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74A6B">
        <w:tblPrEx>
          <w:tblCellMar>
            <w:top w:w="0" w:type="dxa"/>
            <w:bottom w:w="0" w:type="dxa"/>
          </w:tblCellMar>
        </w:tblPrEx>
        <w:tc>
          <w:tcPr>
            <w:tcW w:w="9160" w:type="dxa"/>
            <w:shd w:val="clear" w:color="auto" w:fill="FFF7D5"/>
          </w:tcPr>
          <w:p w:rsidR="00C74A6B" w:rsidRDefault="00C74A6B">
            <w:pPr>
              <w:ind w:firstLine="0"/>
              <w:jc w:val="center"/>
              <w:rPr>
                <w:sz w:val="20"/>
                <w:lang w:bidi="ar-SA"/>
              </w:rPr>
            </w:pPr>
            <w:bookmarkStart w:id="0" w:name="_GoBack"/>
            <w:bookmarkEnd w:id="0"/>
          </w:p>
          <w:p w:rsidR="00C74A6B" w:rsidRDefault="00C74A6B">
            <w:pPr>
              <w:ind w:firstLine="0"/>
              <w:jc w:val="center"/>
              <w:rPr>
                <w:color w:val="FF0000"/>
                <w:sz w:val="20"/>
                <w:lang w:bidi="ar-SA"/>
              </w:rPr>
            </w:pPr>
          </w:p>
          <w:p w:rsidR="00C74A6B" w:rsidRDefault="00C74A6B">
            <w:pPr>
              <w:ind w:firstLine="0"/>
              <w:jc w:val="center"/>
              <w:rPr>
                <w:b/>
                <w:sz w:val="20"/>
                <w:lang w:bidi="ar-SA"/>
              </w:rPr>
            </w:pPr>
          </w:p>
          <w:p w:rsidR="00C74A6B" w:rsidRDefault="00C74A6B">
            <w:pPr>
              <w:ind w:firstLine="0"/>
              <w:jc w:val="center"/>
              <w:rPr>
                <w:b/>
                <w:sz w:val="20"/>
                <w:lang w:bidi="ar-SA"/>
              </w:rPr>
            </w:pPr>
          </w:p>
          <w:p w:rsidR="00C74A6B" w:rsidRDefault="00C74A6B">
            <w:pPr>
              <w:ind w:firstLine="0"/>
              <w:jc w:val="center"/>
              <w:rPr>
                <w:b/>
                <w:sz w:val="36"/>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t xml:space="preserve">et Gérald Fortin </w:t>
            </w:r>
            <w:r w:rsidRPr="00064ED6">
              <w:rPr>
                <w:color w:val="FF0000"/>
                <w:sz w:val="36"/>
                <w:lang w:bidi="ar-SA"/>
              </w:rPr>
              <w:t>†</w:t>
            </w:r>
            <w:r>
              <w:rPr>
                <w:sz w:val="36"/>
                <w:lang w:bidi="ar-SA"/>
              </w:rPr>
              <w:t xml:space="preserve"> (1929-1997)</w:t>
            </w:r>
          </w:p>
          <w:p w:rsidR="00C74A6B" w:rsidRDefault="00C74A6B">
            <w:pPr>
              <w:ind w:firstLine="0"/>
              <w:jc w:val="center"/>
              <w:rPr>
                <w:sz w:val="20"/>
                <w:lang w:bidi="ar-SA"/>
              </w:rPr>
            </w:pPr>
            <w:r>
              <w:rPr>
                <w:sz w:val="20"/>
                <w:lang w:bidi="ar-SA"/>
              </w:rPr>
              <w:t>Département de sociologie, Université Laval</w:t>
            </w:r>
          </w:p>
          <w:p w:rsidR="00C74A6B" w:rsidRDefault="00C74A6B">
            <w:pPr>
              <w:ind w:firstLine="0"/>
              <w:jc w:val="center"/>
              <w:rPr>
                <w:sz w:val="20"/>
                <w:lang w:bidi="ar-SA"/>
              </w:rPr>
            </w:pPr>
          </w:p>
          <w:p w:rsidR="00C74A6B" w:rsidRDefault="00C74A6B" w:rsidP="00C74A6B">
            <w:pPr>
              <w:ind w:firstLine="0"/>
              <w:jc w:val="center"/>
              <w:rPr>
                <w:color w:val="FF0000"/>
                <w:sz w:val="36"/>
                <w:lang w:bidi="ar-SA"/>
              </w:rPr>
            </w:pPr>
            <w:r w:rsidRPr="00064ED6">
              <w:rPr>
                <w:sz w:val="36"/>
                <w:lang w:bidi="ar-SA"/>
              </w:rPr>
              <w:t>(1967)</w:t>
            </w:r>
          </w:p>
          <w:p w:rsidR="00C74A6B" w:rsidRDefault="00C74A6B">
            <w:pPr>
              <w:pStyle w:val="Corpsdetexte"/>
              <w:widowControl w:val="0"/>
              <w:spacing w:before="0" w:after="0"/>
              <w:rPr>
                <w:color w:val="FF0000"/>
                <w:sz w:val="24"/>
                <w:lang w:bidi="ar-SA"/>
              </w:rPr>
            </w:pPr>
          </w:p>
          <w:p w:rsidR="00C74A6B" w:rsidRDefault="00C74A6B">
            <w:pPr>
              <w:pStyle w:val="Corpsdetexte"/>
              <w:widowControl w:val="0"/>
              <w:spacing w:before="0" w:after="0"/>
              <w:rPr>
                <w:color w:val="FF0000"/>
                <w:sz w:val="24"/>
                <w:lang w:bidi="ar-SA"/>
              </w:rPr>
            </w:pPr>
          </w:p>
          <w:p w:rsidR="00C74A6B" w:rsidRDefault="00C74A6B">
            <w:pPr>
              <w:pStyle w:val="Corpsdetexte"/>
              <w:widowControl w:val="0"/>
              <w:spacing w:before="0" w:after="0"/>
              <w:rPr>
                <w:color w:val="FF0000"/>
                <w:sz w:val="24"/>
                <w:lang w:bidi="ar-SA"/>
              </w:rPr>
            </w:pPr>
          </w:p>
          <w:p w:rsidR="00C74A6B" w:rsidRPr="00766A92" w:rsidRDefault="00C74A6B" w:rsidP="00C74A6B">
            <w:pPr>
              <w:pStyle w:val="Titlest"/>
              <w:rPr>
                <w:lang w:bidi="ar-SA"/>
              </w:rPr>
            </w:pPr>
            <w:r w:rsidRPr="00766A92">
              <w:rPr>
                <w:lang w:bidi="ar-SA"/>
              </w:rPr>
              <w:t>“</w:t>
            </w:r>
            <w:r>
              <w:rPr>
                <w:lang w:bidi="ar-SA"/>
              </w:rPr>
              <w:t>Les salariés et le crédit</w:t>
            </w:r>
            <w:r>
              <w:rPr>
                <w:lang w:bidi="ar-SA"/>
              </w:rPr>
              <w:br/>
              <w:t>dans le Québec</w:t>
            </w:r>
            <w:r w:rsidRPr="00766A92">
              <w:rPr>
                <w:lang w:bidi="ar-SA"/>
              </w:rPr>
              <w:t>”</w:t>
            </w:r>
          </w:p>
          <w:p w:rsidR="00C74A6B" w:rsidRDefault="00C74A6B">
            <w:pPr>
              <w:widowControl w:val="0"/>
              <w:ind w:firstLine="0"/>
              <w:jc w:val="center"/>
              <w:rPr>
                <w:lang w:bidi="ar-SA"/>
              </w:rPr>
            </w:pPr>
          </w:p>
          <w:p w:rsidR="00C74A6B" w:rsidRDefault="00C74A6B" w:rsidP="00C74A6B">
            <w:pPr>
              <w:widowControl w:val="0"/>
              <w:ind w:firstLine="0"/>
              <w:jc w:val="center"/>
              <w:rPr>
                <w:lang w:bidi="ar-SA"/>
              </w:rPr>
            </w:pPr>
          </w:p>
          <w:p w:rsidR="00C74A6B" w:rsidRDefault="00C74A6B" w:rsidP="00C74A6B">
            <w:pPr>
              <w:widowControl w:val="0"/>
              <w:ind w:firstLine="0"/>
              <w:jc w:val="center"/>
              <w:rPr>
                <w:sz w:val="20"/>
                <w:lang w:bidi="ar-SA"/>
              </w:rPr>
            </w:pPr>
          </w:p>
          <w:p w:rsidR="00C74A6B" w:rsidRPr="00384B20" w:rsidRDefault="00C74A6B" w:rsidP="00C74A6B">
            <w:pPr>
              <w:widowControl w:val="0"/>
              <w:ind w:firstLine="0"/>
              <w:jc w:val="center"/>
              <w:rPr>
                <w:sz w:val="20"/>
                <w:lang w:bidi="ar-SA"/>
              </w:rPr>
            </w:pPr>
          </w:p>
          <w:p w:rsidR="00C74A6B" w:rsidRDefault="00C74A6B" w:rsidP="00C74A6B">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widowControl w:val="0"/>
              <w:ind w:firstLine="0"/>
              <w:jc w:val="both"/>
              <w:rPr>
                <w:sz w:val="20"/>
                <w:lang w:bidi="ar-SA"/>
              </w:rPr>
            </w:pPr>
          </w:p>
          <w:p w:rsidR="00C74A6B" w:rsidRDefault="00C74A6B">
            <w:pPr>
              <w:ind w:firstLine="0"/>
              <w:jc w:val="both"/>
              <w:rPr>
                <w:lang w:bidi="ar-SA"/>
              </w:rPr>
            </w:pPr>
          </w:p>
        </w:tc>
      </w:tr>
    </w:tbl>
    <w:p w:rsidR="00C74A6B" w:rsidRDefault="00C74A6B" w:rsidP="00C74A6B">
      <w:pPr>
        <w:ind w:firstLine="0"/>
        <w:jc w:val="both"/>
      </w:pPr>
      <w:r>
        <w:br w:type="page"/>
      </w:r>
    </w:p>
    <w:p w:rsidR="00C74A6B" w:rsidRDefault="00C74A6B" w:rsidP="00C74A6B">
      <w:pPr>
        <w:ind w:firstLine="0"/>
        <w:jc w:val="both"/>
      </w:pPr>
    </w:p>
    <w:p w:rsidR="00C74A6B" w:rsidRDefault="00C74A6B" w:rsidP="00C74A6B">
      <w:pPr>
        <w:ind w:firstLine="0"/>
        <w:jc w:val="both"/>
      </w:pPr>
    </w:p>
    <w:p w:rsidR="00C74A6B" w:rsidRDefault="008C1BA0" w:rsidP="00C74A6B">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C74A6B" w:rsidRDefault="00C74A6B" w:rsidP="00C74A6B">
      <w:pPr>
        <w:ind w:firstLine="0"/>
        <w:jc w:val="right"/>
      </w:pPr>
      <w:hyperlink r:id="rId9" w:history="1">
        <w:r w:rsidRPr="00302466">
          <w:rPr>
            <w:rStyle w:val="Lienhypertexte"/>
          </w:rPr>
          <w:t>http://classiques.uqac.ca/</w:t>
        </w:r>
      </w:hyperlink>
      <w:r>
        <w:t xml:space="preserve"> </w:t>
      </w:r>
    </w:p>
    <w:p w:rsidR="00C74A6B" w:rsidRDefault="00C74A6B" w:rsidP="00C74A6B">
      <w:pPr>
        <w:ind w:firstLine="0"/>
        <w:jc w:val="both"/>
      </w:pPr>
    </w:p>
    <w:p w:rsidR="00C74A6B" w:rsidRDefault="00C74A6B" w:rsidP="00C74A6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74A6B" w:rsidRDefault="00C74A6B" w:rsidP="00C74A6B">
      <w:pPr>
        <w:ind w:firstLine="0"/>
        <w:jc w:val="both"/>
      </w:pPr>
    </w:p>
    <w:p w:rsidR="00C74A6B" w:rsidRDefault="008C1BA0" w:rsidP="00C74A6B">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C74A6B" w:rsidRDefault="00C74A6B" w:rsidP="00C74A6B">
      <w:pPr>
        <w:ind w:firstLine="0"/>
        <w:jc w:val="both"/>
      </w:pPr>
      <w:hyperlink r:id="rId11" w:history="1">
        <w:r w:rsidRPr="00302466">
          <w:rPr>
            <w:rStyle w:val="Lienhypertexte"/>
          </w:rPr>
          <w:t>http://bibliotheque.uqac.ca/</w:t>
        </w:r>
      </w:hyperlink>
      <w:r>
        <w:t xml:space="preserve"> </w:t>
      </w:r>
    </w:p>
    <w:p w:rsidR="00C74A6B" w:rsidRDefault="00C74A6B" w:rsidP="00C74A6B">
      <w:pPr>
        <w:ind w:firstLine="0"/>
        <w:jc w:val="both"/>
      </w:pPr>
    </w:p>
    <w:p w:rsidR="00C74A6B" w:rsidRDefault="00C74A6B" w:rsidP="00C74A6B">
      <w:pPr>
        <w:ind w:firstLine="0"/>
        <w:jc w:val="both"/>
      </w:pPr>
    </w:p>
    <w:p w:rsidR="00C74A6B" w:rsidRDefault="00C74A6B" w:rsidP="00C74A6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74A6B" w:rsidRPr="005E1FF1" w:rsidRDefault="00C74A6B" w:rsidP="00C74A6B">
      <w:pPr>
        <w:widowControl w:val="0"/>
        <w:autoSpaceDE w:val="0"/>
        <w:autoSpaceDN w:val="0"/>
        <w:adjustRightInd w:val="0"/>
        <w:rPr>
          <w:rFonts w:ascii="Arial" w:hAnsi="Arial"/>
          <w:sz w:val="32"/>
          <w:szCs w:val="32"/>
        </w:rPr>
      </w:pPr>
      <w:r w:rsidRPr="00E07116">
        <w:br w:type="page"/>
      </w:r>
    </w:p>
    <w:p w:rsidR="00C74A6B" w:rsidRPr="005E1FF1" w:rsidRDefault="00C74A6B" w:rsidP="00C74A6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C74A6B" w:rsidRPr="005E1FF1" w:rsidRDefault="00C74A6B" w:rsidP="00C74A6B">
      <w:pPr>
        <w:widowControl w:val="0"/>
        <w:autoSpaceDE w:val="0"/>
        <w:autoSpaceDN w:val="0"/>
        <w:adjustRightInd w:val="0"/>
        <w:rPr>
          <w:rFonts w:ascii="Arial" w:hAnsi="Arial"/>
          <w:sz w:val="32"/>
          <w:szCs w:val="32"/>
        </w:rPr>
      </w:pPr>
    </w:p>
    <w:p w:rsidR="00C74A6B" w:rsidRPr="005E1FF1" w:rsidRDefault="00C74A6B" w:rsidP="00C74A6B">
      <w:pPr>
        <w:widowControl w:val="0"/>
        <w:autoSpaceDE w:val="0"/>
        <w:autoSpaceDN w:val="0"/>
        <w:adjustRightInd w:val="0"/>
        <w:jc w:val="both"/>
        <w:rPr>
          <w:rFonts w:ascii="Arial" w:hAnsi="Arial"/>
          <w:color w:val="1C1C1C"/>
          <w:sz w:val="26"/>
          <w:szCs w:val="26"/>
        </w:rPr>
      </w:pPr>
    </w:p>
    <w:p w:rsidR="00C74A6B" w:rsidRPr="005E1FF1" w:rsidRDefault="00C74A6B" w:rsidP="00C74A6B">
      <w:pPr>
        <w:widowControl w:val="0"/>
        <w:autoSpaceDE w:val="0"/>
        <w:autoSpaceDN w:val="0"/>
        <w:adjustRightInd w:val="0"/>
        <w:jc w:val="both"/>
        <w:rPr>
          <w:rFonts w:ascii="Arial" w:hAnsi="Arial"/>
          <w:color w:val="1C1C1C"/>
          <w:sz w:val="26"/>
          <w:szCs w:val="26"/>
        </w:rPr>
      </w:pPr>
    </w:p>
    <w:p w:rsidR="00C74A6B" w:rsidRPr="005E1FF1" w:rsidRDefault="00C74A6B" w:rsidP="00C74A6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C74A6B" w:rsidRPr="005E1FF1" w:rsidRDefault="00C74A6B" w:rsidP="00C74A6B">
      <w:pPr>
        <w:widowControl w:val="0"/>
        <w:autoSpaceDE w:val="0"/>
        <w:autoSpaceDN w:val="0"/>
        <w:adjustRightInd w:val="0"/>
        <w:jc w:val="both"/>
        <w:rPr>
          <w:rFonts w:ascii="Arial" w:hAnsi="Arial"/>
          <w:color w:val="1C1C1C"/>
          <w:sz w:val="26"/>
          <w:szCs w:val="26"/>
        </w:rPr>
      </w:pPr>
    </w:p>
    <w:p w:rsidR="00C74A6B" w:rsidRPr="00F336C5" w:rsidRDefault="00C74A6B" w:rsidP="00C74A6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C74A6B" w:rsidRPr="00F336C5" w:rsidRDefault="00C74A6B" w:rsidP="00C74A6B">
      <w:pPr>
        <w:widowControl w:val="0"/>
        <w:autoSpaceDE w:val="0"/>
        <w:autoSpaceDN w:val="0"/>
        <w:adjustRightInd w:val="0"/>
        <w:jc w:val="both"/>
        <w:rPr>
          <w:rFonts w:ascii="Arial" w:hAnsi="Arial"/>
          <w:color w:val="1C1C1C"/>
          <w:sz w:val="26"/>
          <w:szCs w:val="26"/>
        </w:rPr>
      </w:pPr>
    </w:p>
    <w:p w:rsidR="00C74A6B" w:rsidRPr="00F336C5" w:rsidRDefault="00C74A6B" w:rsidP="00C74A6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C74A6B" w:rsidRPr="00F336C5" w:rsidRDefault="00C74A6B" w:rsidP="00C74A6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C74A6B" w:rsidRPr="00F336C5" w:rsidRDefault="00C74A6B" w:rsidP="00C74A6B">
      <w:pPr>
        <w:widowControl w:val="0"/>
        <w:autoSpaceDE w:val="0"/>
        <w:autoSpaceDN w:val="0"/>
        <w:adjustRightInd w:val="0"/>
        <w:jc w:val="both"/>
        <w:rPr>
          <w:rFonts w:ascii="Arial" w:hAnsi="Arial"/>
          <w:color w:val="1C1C1C"/>
          <w:sz w:val="26"/>
          <w:szCs w:val="26"/>
        </w:rPr>
      </w:pPr>
    </w:p>
    <w:p w:rsidR="00C74A6B" w:rsidRPr="005E1FF1" w:rsidRDefault="00C74A6B" w:rsidP="00C74A6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C74A6B" w:rsidRPr="005E1FF1" w:rsidRDefault="00C74A6B" w:rsidP="00C74A6B">
      <w:pPr>
        <w:widowControl w:val="0"/>
        <w:autoSpaceDE w:val="0"/>
        <w:autoSpaceDN w:val="0"/>
        <w:adjustRightInd w:val="0"/>
        <w:jc w:val="both"/>
        <w:rPr>
          <w:rFonts w:ascii="Arial" w:hAnsi="Arial"/>
          <w:color w:val="1C1C1C"/>
          <w:sz w:val="26"/>
          <w:szCs w:val="26"/>
        </w:rPr>
      </w:pPr>
    </w:p>
    <w:p w:rsidR="00C74A6B" w:rsidRPr="005E1FF1" w:rsidRDefault="00C74A6B" w:rsidP="00C74A6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C74A6B" w:rsidRPr="005E1FF1" w:rsidRDefault="00C74A6B" w:rsidP="00C74A6B">
      <w:pPr>
        <w:rPr>
          <w:rFonts w:ascii="Arial" w:hAnsi="Arial"/>
          <w:b/>
          <w:color w:val="1C1C1C"/>
          <w:sz w:val="26"/>
          <w:szCs w:val="26"/>
        </w:rPr>
      </w:pPr>
    </w:p>
    <w:p w:rsidR="00C74A6B" w:rsidRPr="00A51D9C" w:rsidRDefault="00C74A6B" w:rsidP="00C74A6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C74A6B" w:rsidRPr="005E1FF1" w:rsidRDefault="00C74A6B" w:rsidP="00C74A6B">
      <w:pPr>
        <w:rPr>
          <w:rFonts w:ascii="Arial" w:hAnsi="Arial"/>
          <w:b/>
          <w:color w:val="1C1C1C"/>
          <w:sz w:val="26"/>
          <w:szCs w:val="26"/>
        </w:rPr>
      </w:pPr>
    </w:p>
    <w:p w:rsidR="00C74A6B" w:rsidRPr="005E1FF1" w:rsidRDefault="00C74A6B" w:rsidP="00C74A6B">
      <w:pPr>
        <w:rPr>
          <w:rFonts w:ascii="Arial" w:hAnsi="Arial"/>
          <w:color w:val="1C1C1C"/>
          <w:sz w:val="26"/>
          <w:szCs w:val="26"/>
        </w:rPr>
      </w:pPr>
      <w:r w:rsidRPr="005E1FF1">
        <w:rPr>
          <w:rFonts w:ascii="Arial" w:hAnsi="Arial"/>
          <w:color w:val="1C1C1C"/>
          <w:sz w:val="26"/>
          <w:szCs w:val="26"/>
        </w:rPr>
        <w:t>Jean-Marie Tremblay, sociologue</w:t>
      </w:r>
    </w:p>
    <w:p w:rsidR="00C74A6B" w:rsidRPr="005E1FF1" w:rsidRDefault="00C74A6B" w:rsidP="00C74A6B">
      <w:pPr>
        <w:rPr>
          <w:rFonts w:ascii="Arial" w:hAnsi="Arial"/>
          <w:color w:val="1C1C1C"/>
          <w:sz w:val="26"/>
          <w:szCs w:val="26"/>
        </w:rPr>
      </w:pPr>
      <w:r w:rsidRPr="005E1FF1">
        <w:rPr>
          <w:rFonts w:ascii="Arial" w:hAnsi="Arial"/>
          <w:color w:val="1C1C1C"/>
          <w:sz w:val="26"/>
          <w:szCs w:val="26"/>
        </w:rPr>
        <w:t>Fondateur et Président-directeur général,</w:t>
      </w:r>
    </w:p>
    <w:p w:rsidR="00C74A6B" w:rsidRPr="005E1FF1" w:rsidRDefault="00C74A6B" w:rsidP="00C74A6B">
      <w:pPr>
        <w:rPr>
          <w:rFonts w:ascii="Arial" w:hAnsi="Arial"/>
          <w:color w:val="000080"/>
        </w:rPr>
      </w:pPr>
      <w:r w:rsidRPr="005E1FF1">
        <w:rPr>
          <w:rFonts w:ascii="Arial" w:hAnsi="Arial"/>
          <w:color w:val="000080"/>
          <w:sz w:val="26"/>
          <w:szCs w:val="26"/>
        </w:rPr>
        <w:t>LES CLASSIQUES DES SCIENCES SOCIALES.</w:t>
      </w:r>
    </w:p>
    <w:p w:rsidR="00C74A6B" w:rsidRPr="00CF4C8E" w:rsidRDefault="00C74A6B" w:rsidP="00C74A6B">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74A6B" w:rsidRPr="00CF4C8E" w:rsidRDefault="00C74A6B" w:rsidP="00C74A6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74A6B" w:rsidRPr="00CF4C8E" w:rsidRDefault="00C74A6B" w:rsidP="00C74A6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74A6B" w:rsidRPr="00CF4C8E" w:rsidRDefault="00C74A6B" w:rsidP="00C74A6B">
      <w:pPr>
        <w:ind w:left="20" w:hanging="20"/>
        <w:jc w:val="both"/>
        <w:rPr>
          <w:sz w:val="24"/>
        </w:rPr>
      </w:pPr>
      <w:r w:rsidRPr="00CF4C8E">
        <w:rPr>
          <w:sz w:val="24"/>
        </w:rPr>
        <w:t>à partir du texte de :</w:t>
      </w:r>
    </w:p>
    <w:p w:rsidR="00C74A6B" w:rsidRPr="0058603D" w:rsidRDefault="00C74A6B" w:rsidP="00C74A6B"/>
    <w:p w:rsidR="00C74A6B" w:rsidRPr="0058603D" w:rsidRDefault="00C74A6B">
      <w:pPr>
        <w:ind w:left="20" w:firstLine="340"/>
        <w:jc w:val="both"/>
      </w:pPr>
      <w:r>
        <w:t>Marc-Adélard Tremblay et Gérald Fortin</w:t>
      </w:r>
    </w:p>
    <w:p w:rsidR="00C74A6B" w:rsidRPr="0058603D" w:rsidRDefault="00C74A6B">
      <w:pPr>
        <w:ind w:left="20" w:firstLine="340"/>
        <w:jc w:val="both"/>
      </w:pPr>
    </w:p>
    <w:p w:rsidR="00C74A6B" w:rsidRPr="00A65BDD" w:rsidRDefault="00C74A6B">
      <w:pPr>
        <w:jc w:val="both"/>
        <w:rPr>
          <w:b/>
        </w:rPr>
      </w:pPr>
      <w:r w:rsidRPr="00A65BDD">
        <w:rPr>
          <w:b/>
        </w:rPr>
        <w:t>“</w:t>
      </w:r>
      <w:r>
        <w:rPr>
          <w:b/>
          <w:i/>
          <w:color w:val="000080"/>
        </w:rPr>
        <w:t>Les salariés et le crédit dans le Québec</w:t>
      </w:r>
      <w:r w:rsidRPr="00A65BDD">
        <w:rPr>
          <w:b/>
        </w:rPr>
        <w:t>”.</w:t>
      </w:r>
    </w:p>
    <w:p w:rsidR="00C74A6B" w:rsidRDefault="00C74A6B">
      <w:pPr>
        <w:jc w:val="both"/>
      </w:pPr>
    </w:p>
    <w:p w:rsidR="00C74A6B" w:rsidRPr="00F4237A" w:rsidRDefault="00C74A6B">
      <w:pPr>
        <w:jc w:val="both"/>
      </w:pPr>
      <w:r w:rsidRPr="006C3CF3">
        <w:t>Un article publié dans la r</w:t>
      </w:r>
      <w:r w:rsidRPr="006C3CF3">
        <w:t>e</w:t>
      </w:r>
      <w:r w:rsidRPr="006C3CF3">
        <w:t xml:space="preserve">vue </w:t>
      </w:r>
      <w:r w:rsidRPr="006C3CF3">
        <w:rPr>
          <w:b/>
        </w:rPr>
        <w:t>Recherches sociographiques</w:t>
      </w:r>
      <w:r>
        <w:t>, vol. 1</w:t>
      </w:r>
      <w:r w:rsidRPr="006C3CF3">
        <w:t>, no</w:t>
      </w:r>
      <w:r>
        <w:t> 4</w:t>
      </w:r>
      <w:r w:rsidRPr="006C3CF3">
        <w:t xml:space="preserve">, </w:t>
      </w:r>
      <w:r>
        <w:t>octobre-décembre 1960</w:t>
      </w:r>
      <w:r w:rsidRPr="006C3CF3">
        <w:t xml:space="preserve">, pp. </w:t>
      </w:r>
      <w:r>
        <w:t>503-507</w:t>
      </w:r>
      <w:r w:rsidRPr="006C3CF3">
        <w:t>. Québec: Les Pre</w:t>
      </w:r>
      <w:r w:rsidRPr="006C3CF3">
        <w:t>s</w:t>
      </w:r>
      <w:r w:rsidRPr="006C3CF3">
        <w:t>ses de l'Unive</w:t>
      </w:r>
      <w:r w:rsidRPr="006C3CF3">
        <w:t>r</w:t>
      </w:r>
      <w:r w:rsidRPr="006C3CF3">
        <w:t>sité Laval.</w:t>
      </w:r>
    </w:p>
    <w:p w:rsidR="00C74A6B" w:rsidRDefault="00C74A6B">
      <w:pPr>
        <w:jc w:val="both"/>
      </w:pPr>
    </w:p>
    <w:p w:rsidR="00C74A6B" w:rsidRPr="0058603D" w:rsidRDefault="00C74A6B">
      <w:pPr>
        <w:jc w:val="both"/>
      </w:pPr>
    </w:p>
    <w:p w:rsidR="00C74A6B" w:rsidRPr="00A65BDD" w:rsidRDefault="00C74A6B">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C74A6B" w:rsidRPr="00A65BDD" w:rsidRDefault="00C74A6B">
      <w:pPr>
        <w:jc w:val="both"/>
        <w:rPr>
          <w:sz w:val="24"/>
        </w:rPr>
      </w:pPr>
    </w:p>
    <w:p w:rsidR="00C74A6B" w:rsidRPr="00A65BDD" w:rsidRDefault="008C1BA0" w:rsidP="00C74A6B">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C74A6B" w:rsidRPr="00A65BDD">
        <w:rPr>
          <w:sz w:val="24"/>
        </w:rPr>
        <w:t xml:space="preserve"> Courriel : </w:t>
      </w:r>
      <w:hyperlink r:id="rId15" w:history="1">
        <w:r w:rsidR="00C74A6B" w:rsidRPr="00A65BDD">
          <w:rPr>
            <w:rStyle w:val="Lienhypertexte"/>
            <w:sz w:val="24"/>
          </w:rPr>
          <w:t>matrem@microtec.net</w:t>
        </w:r>
      </w:hyperlink>
      <w:r w:rsidR="00C74A6B" w:rsidRPr="00A65BDD">
        <w:rPr>
          <w:sz w:val="24"/>
        </w:rPr>
        <w:t xml:space="preserve">  ou </w:t>
      </w:r>
      <w:hyperlink r:id="rId16" w:history="1">
        <w:r w:rsidR="00C74A6B" w:rsidRPr="00A65BDD">
          <w:rPr>
            <w:rStyle w:val="Lienhypertexte"/>
            <w:sz w:val="24"/>
          </w:rPr>
          <w:t>matremgt@globetrotter.net</w:t>
        </w:r>
      </w:hyperlink>
    </w:p>
    <w:p w:rsidR="00C74A6B" w:rsidRPr="00A65BDD" w:rsidRDefault="00C74A6B">
      <w:pPr>
        <w:ind w:right="1800"/>
        <w:jc w:val="both"/>
        <w:rPr>
          <w:sz w:val="24"/>
        </w:rPr>
      </w:pPr>
    </w:p>
    <w:p w:rsidR="00C74A6B" w:rsidRPr="00A65BDD" w:rsidRDefault="00C74A6B">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C74A6B" w:rsidRPr="00A65BDD" w:rsidRDefault="00C74A6B">
      <w:pPr>
        <w:ind w:right="1800" w:firstLine="0"/>
        <w:jc w:val="both"/>
        <w:rPr>
          <w:sz w:val="24"/>
        </w:rPr>
      </w:pPr>
    </w:p>
    <w:p w:rsidR="00C74A6B" w:rsidRPr="00A65BDD" w:rsidRDefault="00C74A6B" w:rsidP="00C74A6B">
      <w:pPr>
        <w:ind w:left="360" w:right="360" w:firstLine="0"/>
        <w:jc w:val="both"/>
        <w:rPr>
          <w:sz w:val="24"/>
        </w:rPr>
      </w:pPr>
      <w:r w:rsidRPr="00A65BDD">
        <w:rPr>
          <w:sz w:val="24"/>
        </w:rPr>
        <w:t>Pour le texte: Times New Roman, 14 points.</w:t>
      </w:r>
    </w:p>
    <w:p w:rsidR="00C74A6B" w:rsidRPr="00A65BDD" w:rsidRDefault="00C74A6B" w:rsidP="00C74A6B">
      <w:pPr>
        <w:ind w:left="360" w:right="360" w:firstLine="0"/>
        <w:jc w:val="both"/>
        <w:rPr>
          <w:sz w:val="24"/>
        </w:rPr>
      </w:pPr>
      <w:r w:rsidRPr="00A65BDD">
        <w:rPr>
          <w:sz w:val="24"/>
        </w:rPr>
        <w:t>Pour les citations : Times New Roman, 12 points.</w:t>
      </w:r>
    </w:p>
    <w:p w:rsidR="00C74A6B" w:rsidRPr="00A65BDD" w:rsidRDefault="00C74A6B" w:rsidP="00C74A6B">
      <w:pPr>
        <w:ind w:left="360" w:right="360" w:firstLine="0"/>
        <w:jc w:val="both"/>
        <w:rPr>
          <w:sz w:val="24"/>
        </w:rPr>
      </w:pPr>
      <w:r w:rsidRPr="00A65BDD">
        <w:rPr>
          <w:sz w:val="24"/>
        </w:rPr>
        <w:t>Pour les notes de bas de page : Times New Roman, 12 points.</w:t>
      </w:r>
    </w:p>
    <w:p w:rsidR="00C74A6B" w:rsidRPr="00A65BDD" w:rsidRDefault="00C74A6B">
      <w:pPr>
        <w:ind w:left="360" w:right="1800" w:firstLine="0"/>
        <w:jc w:val="both"/>
        <w:rPr>
          <w:sz w:val="24"/>
        </w:rPr>
      </w:pPr>
    </w:p>
    <w:p w:rsidR="00C74A6B" w:rsidRPr="00A65BDD" w:rsidRDefault="00C74A6B">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C74A6B" w:rsidRPr="00A65BDD" w:rsidRDefault="00C74A6B">
      <w:pPr>
        <w:ind w:right="1800" w:firstLine="0"/>
        <w:jc w:val="both"/>
        <w:rPr>
          <w:sz w:val="24"/>
        </w:rPr>
      </w:pPr>
    </w:p>
    <w:p w:rsidR="00C74A6B" w:rsidRPr="00A65BDD" w:rsidRDefault="00C74A6B">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C74A6B" w:rsidRPr="00A65BDD" w:rsidRDefault="00C74A6B">
      <w:pPr>
        <w:ind w:right="1800" w:firstLine="0"/>
        <w:jc w:val="both"/>
        <w:rPr>
          <w:sz w:val="24"/>
        </w:rPr>
      </w:pPr>
    </w:p>
    <w:p w:rsidR="00C74A6B" w:rsidRPr="00A65BDD" w:rsidRDefault="00C74A6B" w:rsidP="00C74A6B">
      <w:pPr>
        <w:ind w:firstLine="0"/>
        <w:jc w:val="both"/>
        <w:rPr>
          <w:sz w:val="24"/>
        </w:rPr>
      </w:pPr>
      <w:r w:rsidRPr="00A65BDD">
        <w:rPr>
          <w:sz w:val="24"/>
        </w:rPr>
        <w:t xml:space="preserve">Édition numérique réalisée le </w:t>
      </w:r>
      <w:r>
        <w:rPr>
          <w:sz w:val="24"/>
        </w:rPr>
        <w:t>28 février 2019</w:t>
      </w:r>
      <w:r w:rsidRPr="00A65BDD">
        <w:rPr>
          <w:sz w:val="24"/>
        </w:rPr>
        <w:t xml:space="preserve"> à Chi</w:t>
      </w:r>
      <w:r>
        <w:rPr>
          <w:sz w:val="24"/>
        </w:rPr>
        <w:t>coutimi, Québec</w:t>
      </w:r>
      <w:r w:rsidRPr="00A65BDD">
        <w:rPr>
          <w:sz w:val="24"/>
        </w:rPr>
        <w:t>.</w:t>
      </w:r>
    </w:p>
    <w:p w:rsidR="00C74A6B" w:rsidRPr="00A65BDD" w:rsidRDefault="00C74A6B">
      <w:pPr>
        <w:ind w:right="1800" w:firstLine="0"/>
        <w:jc w:val="both"/>
        <w:rPr>
          <w:sz w:val="24"/>
        </w:rPr>
      </w:pPr>
    </w:p>
    <w:p w:rsidR="00C74A6B" w:rsidRDefault="008C1BA0">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C74A6B" w:rsidRDefault="00C74A6B">
      <w:pPr>
        <w:ind w:left="20"/>
        <w:jc w:val="both"/>
      </w:pPr>
      <w:r>
        <w:br w:type="page"/>
      </w:r>
    </w:p>
    <w:p w:rsidR="00C74A6B" w:rsidRPr="008C51C4" w:rsidRDefault="00C74A6B" w:rsidP="00C74A6B">
      <w:pPr>
        <w:ind w:firstLine="0"/>
        <w:jc w:val="center"/>
        <w:rPr>
          <w:sz w:val="36"/>
        </w:rPr>
      </w:pPr>
      <w:r>
        <w:rPr>
          <w:sz w:val="36"/>
        </w:rPr>
        <w:t>Marc-Adélard Tremblay et Gérald Fortin</w:t>
      </w:r>
    </w:p>
    <w:p w:rsidR="00C74A6B" w:rsidRDefault="00C74A6B" w:rsidP="00C74A6B">
      <w:pPr>
        <w:ind w:firstLine="0"/>
        <w:jc w:val="center"/>
      </w:pPr>
    </w:p>
    <w:p w:rsidR="00C74A6B" w:rsidRPr="00F4237A" w:rsidRDefault="00C74A6B" w:rsidP="00C74A6B">
      <w:pPr>
        <w:ind w:firstLine="0"/>
        <w:jc w:val="center"/>
        <w:rPr>
          <w:color w:val="000080"/>
          <w:sz w:val="36"/>
        </w:rPr>
      </w:pPr>
      <w:r>
        <w:rPr>
          <w:color w:val="000080"/>
          <w:sz w:val="36"/>
        </w:rPr>
        <w:t>“Les salariés et le crédit</w:t>
      </w:r>
      <w:r>
        <w:rPr>
          <w:color w:val="000080"/>
          <w:sz w:val="36"/>
        </w:rPr>
        <w:br/>
      </w:r>
      <w:r w:rsidRPr="0002121B">
        <w:rPr>
          <w:color w:val="000080"/>
          <w:sz w:val="36"/>
        </w:rPr>
        <w:t>dans le Québec”.</w:t>
      </w:r>
    </w:p>
    <w:p w:rsidR="00C74A6B" w:rsidRDefault="00C74A6B" w:rsidP="00C74A6B">
      <w:pPr>
        <w:ind w:firstLine="0"/>
        <w:jc w:val="center"/>
      </w:pPr>
    </w:p>
    <w:p w:rsidR="00C74A6B" w:rsidRDefault="008C1BA0" w:rsidP="00C74A6B">
      <w:pPr>
        <w:ind w:firstLine="0"/>
        <w:jc w:val="center"/>
      </w:pPr>
      <w:r>
        <w:rPr>
          <w:noProof/>
        </w:rPr>
        <w:drawing>
          <wp:inline distT="0" distB="0" distL="0" distR="0">
            <wp:extent cx="3922395" cy="4990465"/>
            <wp:effectExtent l="25400" t="25400" r="14605" b="13335"/>
            <wp:docPr id="5" name="Image 5" descr="Rech_sociogr_01_4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ch_sociogr_01_4_L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2395" cy="4990465"/>
                    </a:xfrm>
                    <a:prstGeom prst="rect">
                      <a:avLst/>
                    </a:prstGeom>
                    <a:noFill/>
                    <a:ln w="19050" cmpd="sng">
                      <a:solidFill>
                        <a:srgbClr val="000000"/>
                      </a:solidFill>
                      <a:miter lim="800000"/>
                      <a:headEnd/>
                      <a:tailEnd/>
                    </a:ln>
                    <a:effectLst/>
                  </pic:spPr>
                </pic:pic>
              </a:graphicData>
            </a:graphic>
          </wp:inline>
        </w:drawing>
      </w:r>
    </w:p>
    <w:p w:rsidR="00C74A6B" w:rsidRDefault="00C74A6B" w:rsidP="00C74A6B">
      <w:pPr>
        <w:ind w:firstLine="0"/>
        <w:jc w:val="center"/>
      </w:pPr>
    </w:p>
    <w:p w:rsidR="00C74A6B" w:rsidRDefault="00C74A6B">
      <w:pPr>
        <w:jc w:val="both"/>
      </w:pPr>
      <w:r w:rsidRPr="006C3CF3">
        <w:t>Un article publié dans la r</w:t>
      </w:r>
      <w:r w:rsidRPr="006C3CF3">
        <w:t>e</w:t>
      </w:r>
      <w:r w:rsidRPr="006C3CF3">
        <w:t xml:space="preserve">vue </w:t>
      </w:r>
      <w:r w:rsidRPr="006C3CF3">
        <w:rPr>
          <w:b/>
        </w:rPr>
        <w:t>Recherches sociographiques</w:t>
      </w:r>
      <w:r>
        <w:t>, vol. 1</w:t>
      </w:r>
      <w:r w:rsidRPr="006C3CF3">
        <w:t>, no</w:t>
      </w:r>
      <w:r>
        <w:t> 4</w:t>
      </w:r>
      <w:r w:rsidRPr="006C3CF3">
        <w:t xml:space="preserve">, </w:t>
      </w:r>
      <w:r>
        <w:t>octobre-décembre 1960</w:t>
      </w:r>
      <w:r w:rsidRPr="006C3CF3">
        <w:t xml:space="preserve">, pp. </w:t>
      </w:r>
      <w:r>
        <w:t>503-507</w:t>
      </w:r>
      <w:r w:rsidRPr="006C3CF3">
        <w:t>. Québec: Les Pre</w:t>
      </w:r>
      <w:r w:rsidRPr="006C3CF3">
        <w:t>s</w:t>
      </w:r>
      <w:r w:rsidRPr="006C3CF3">
        <w:t>ses de l'Unive</w:t>
      </w:r>
      <w:r w:rsidRPr="006C3CF3">
        <w:t>r</w:t>
      </w:r>
      <w:r w:rsidRPr="006C3CF3">
        <w:t>sité Laval.</w:t>
      </w:r>
    </w:p>
    <w:p w:rsidR="00C74A6B" w:rsidRDefault="00C74A6B">
      <w:pPr>
        <w:jc w:val="both"/>
      </w:pPr>
      <w:r>
        <w:br w:type="page"/>
      </w:r>
    </w:p>
    <w:p w:rsidR="00C74A6B" w:rsidRDefault="00C74A6B">
      <w:pPr>
        <w:jc w:val="both"/>
      </w:pPr>
    </w:p>
    <w:p w:rsidR="00C74A6B" w:rsidRDefault="00C74A6B" w:rsidP="00C74A6B">
      <w:pPr>
        <w:ind w:firstLine="20"/>
        <w:jc w:val="center"/>
      </w:pPr>
      <w:bookmarkStart w:id="1" w:name="tdm"/>
      <w:r>
        <w:rPr>
          <w:color w:val="FF0000"/>
          <w:sz w:val="48"/>
        </w:rPr>
        <w:t>Table des matières</w:t>
      </w:r>
      <w:bookmarkEnd w:id="1"/>
    </w:p>
    <w:p w:rsidR="00C74A6B" w:rsidRDefault="00C74A6B">
      <w:pPr>
        <w:ind w:firstLine="0"/>
      </w:pPr>
    </w:p>
    <w:p w:rsidR="00C74A6B" w:rsidRDefault="00C74A6B">
      <w:pPr>
        <w:ind w:firstLine="0"/>
      </w:pPr>
    </w:p>
    <w:p w:rsidR="00C74A6B" w:rsidRDefault="00C74A6B">
      <w:pPr>
        <w:ind w:left="360" w:firstLine="340"/>
      </w:pPr>
    </w:p>
    <w:p w:rsidR="00C74A6B" w:rsidRDefault="00C74A6B" w:rsidP="00C74A6B">
      <w:pPr>
        <w:ind w:left="360" w:hanging="360"/>
      </w:pPr>
      <w:hyperlink w:anchor="salaries_et_le_credit_intro" w:history="1">
        <w:r w:rsidRPr="00351130">
          <w:rPr>
            <w:rStyle w:val="Lienhypertexte"/>
          </w:rPr>
          <w:t>Introduction</w:t>
        </w:r>
      </w:hyperlink>
      <w:r>
        <w:t xml:space="preserve"> [503]</w:t>
      </w:r>
    </w:p>
    <w:p w:rsidR="00C74A6B" w:rsidRDefault="00C74A6B" w:rsidP="00C74A6B">
      <w:pPr>
        <w:ind w:left="360" w:hanging="360"/>
      </w:pPr>
    </w:p>
    <w:p w:rsidR="00C74A6B" w:rsidRDefault="00C74A6B" w:rsidP="00C74A6B">
      <w:pPr>
        <w:ind w:left="360" w:hanging="360"/>
      </w:pPr>
      <w:r>
        <w:t>1.</w:t>
      </w:r>
      <w:r>
        <w:tab/>
      </w:r>
      <w:hyperlink w:anchor="salaries_et_le_credit_1" w:history="1">
        <w:r w:rsidRPr="00351130">
          <w:rPr>
            <w:rStyle w:val="Lienhypertexte"/>
          </w:rPr>
          <w:t>Le recours au crédit</w:t>
        </w:r>
      </w:hyperlink>
      <w:r>
        <w:t xml:space="preserve"> [503]</w:t>
      </w:r>
    </w:p>
    <w:p w:rsidR="00C74A6B" w:rsidRDefault="00C74A6B" w:rsidP="00C74A6B">
      <w:pPr>
        <w:ind w:left="360" w:hanging="360"/>
      </w:pPr>
    </w:p>
    <w:p w:rsidR="00C74A6B" w:rsidRDefault="00C74A6B" w:rsidP="00C74A6B">
      <w:pPr>
        <w:ind w:left="360" w:hanging="360"/>
      </w:pPr>
      <w:r>
        <w:t>2.</w:t>
      </w:r>
      <w:r>
        <w:tab/>
      </w:r>
      <w:hyperlink w:anchor="salaries_et_le_credit_2" w:history="1">
        <w:r w:rsidRPr="00351130">
          <w:rPr>
            <w:rStyle w:val="Lienhypertexte"/>
          </w:rPr>
          <w:t>Attitudes à l’égard de l’achat à crédit</w:t>
        </w:r>
      </w:hyperlink>
      <w:r>
        <w:t xml:space="preserve"> [506]</w:t>
      </w:r>
    </w:p>
    <w:p w:rsidR="00C74A6B" w:rsidRDefault="00C74A6B">
      <w:pPr>
        <w:ind w:left="360" w:firstLine="340"/>
      </w:pPr>
    </w:p>
    <w:p w:rsidR="00C74A6B" w:rsidRDefault="00C74A6B">
      <w:pPr>
        <w:jc w:val="both"/>
      </w:pPr>
      <w:r>
        <w:br w:type="page"/>
      </w:r>
    </w:p>
    <w:p w:rsidR="00C74A6B" w:rsidRDefault="00C74A6B">
      <w:pPr>
        <w:jc w:val="both"/>
      </w:pPr>
    </w:p>
    <w:p w:rsidR="00C74A6B" w:rsidRPr="008C51C4" w:rsidRDefault="00C74A6B" w:rsidP="00C74A6B">
      <w:pPr>
        <w:ind w:firstLine="0"/>
        <w:jc w:val="center"/>
        <w:rPr>
          <w:sz w:val="36"/>
        </w:rPr>
      </w:pPr>
      <w:r>
        <w:rPr>
          <w:sz w:val="36"/>
        </w:rPr>
        <w:t>Marc-Adélard Tremblay et Gérald Fortin</w:t>
      </w:r>
    </w:p>
    <w:p w:rsidR="00C74A6B" w:rsidRDefault="00C74A6B" w:rsidP="00C74A6B">
      <w:pPr>
        <w:ind w:firstLine="0"/>
        <w:jc w:val="center"/>
      </w:pPr>
    </w:p>
    <w:p w:rsidR="00C74A6B" w:rsidRPr="00F4237A" w:rsidRDefault="00C74A6B" w:rsidP="00C74A6B">
      <w:pPr>
        <w:ind w:firstLine="0"/>
        <w:jc w:val="center"/>
        <w:rPr>
          <w:color w:val="000080"/>
          <w:sz w:val="36"/>
        </w:rPr>
      </w:pPr>
      <w:r>
        <w:rPr>
          <w:color w:val="000080"/>
          <w:sz w:val="36"/>
        </w:rPr>
        <w:t>“Les salariés et le crédit</w:t>
      </w:r>
      <w:r>
        <w:rPr>
          <w:color w:val="000080"/>
          <w:sz w:val="36"/>
        </w:rPr>
        <w:br/>
      </w:r>
      <w:r w:rsidRPr="0002121B">
        <w:rPr>
          <w:color w:val="000080"/>
          <w:sz w:val="36"/>
        </w:rPr>
        <w:t>dans le Québec”.</w:t>
      </w:r>
    </w:p>
    <w:p w:rsidR="00C74A6B" w:rsidRDefault="00C74A6B" w:rsidP="00C74A6B">
      <w:pPr>
        <w:ind w:firstLine="0"/>
        <w:jc w:val="center"/>
      </w:pPr>
    </w:p>
    <w:p w:rsidR="00C74A6B" w:rsidRDefault="00C74A6B" w:rsidP="00C74A6B">
      <w:pPr>
        <w:jc w:val="both"/>
      </w:pPr>
      <w:r w:rsidRPr="006C3CF3">
        <w:t>Un article publié dans la r</w:t>
      </w:r>
      <w:r w:rsidRPr="006C3CF3">
        <w:t>e</w:t>
      </w:r>
      <w:r w:rsidRPr="006C3CF3">
        <w:t xml:space="preserve">vue </w:t>
      </w:r>
      <w:r w:rsidRPr="006C3CF3">
        <w:rPr>
          <w:b/>
        </w:rPr>
        <w:t>Recherches sociographiques</w:t>
      </w:r>
      <w:r>
        <w:t>, vol. 1</w:t>
      </w:r>
      <w:r w:rsidRPr="006C3CF3">
        <w:t>, no</w:t>
      </w:r>
      <w:r>
        <w:t> 4</w:t>
      </w:r>
      <w:r w:rsidRPr="006C3CF3">
        <w:t xml:space="preserve">, </w:t>
      </w:r>
      <w:r>
        <w:t>octobre-décembre 1960</w:t>
      </w:r>
      <w:r w:rsidRPr="006C3CF3">
        <w:t xml:space="preserve">, pp. </w:t>
      </w:r>
      <w:r>
        <w:t>503-507</w:t>
      </w:r>
      <w:r w:rsidRPr="006C3CF3">
        <w:t>. Québec: Les Pre</w:t>
      </w:r>
      <w:r w:rsidRPr="006C3CF3">
        <w:t>s</w:t>
      </w:r>
      <w:r w:rsidRPr="006C3CF3">
        <w:t>ses de l'Unive</w:t>
      </w:r>
      <w:r w:rsidRPr="006C3CF3">
        <w:t>r</w:t>
      </w:r>
      <w:r w:rsidRPr="006C3CF3">
        <w:t>sité Laval.</w:t>
      </w:r>
    </w:p>
    <w:p w:rsidR="00C74A6B" w:rsidRDefault="00C74A6B">
      <w:pPr>
        <w:jc w:val="both"/>
      </w:pPr>
    </w:p>
    <w:p w:rsidR="00C74A6B" w:rsidRDefault="00C74A6B">
      <w:pPr>
        <w:jc w:val="both"/>
      </w:pPr>
    </w:p>
    <w:p w:rsidR="00C74A6B" w:rsidRPr="0068101D" w:rsidRDefault="00C74A6B" w:rsidP="00C74A6B">
      <w:pPr>
        <w:pStyle w:val="planche"/>
      </w:pPr>
      <w:bookmarkStart w:id="2" w:name="salaries_et_le_credit_intro"/>
      <w:r w:rsidRPr="00A65BDD">
        <w:t>Introduction</w:t>
      </w:r>
    </w:p>
    <w:bookmarkEnd w:id="2"/>
    <w:p w:rsidR="00C74A6B" w:rsidRDefault="00C74A6B">
      <w:pPr>
        <w:jc w:val="both"/>
      </w:pPr>
    </w:p>
    <w:p w:rsidR="00C74A6B" w:rsidRDefault="00C74A6B">
      <w:pPr>
        <w:jc w:val="both"/>
      </w:pPr>
    </w:p>
    <w:p w:rsidR="00C74A6B" w:rsidRDefault="00C74A6B">
      <w:pPr>
        <w:jc w:val="both"/>
      </w:pPr>
    </w:p>
    <w:p w:rsidR="00C74A6B" w:rsidRDefault="00C74A6B">
      <w:pPr>
        <w:ind w:right="90" w:firstLine="0"/>
        <w:jc w:val="both"/>
        <w:rPr>
          <w:sz w:val="20"/>
        </w:rPr>
      </w:pPr>
      <w:hyperlink w:anchor="tdm" w:history="1">
        <w:r>
          <w:rPr>
            <w:rStyle w:val="Lienhypertexte"/>
            <w:sz w:val="20"/>
          </w:rPr>
          <w:t>Retour à la table des matières</w:t>
        </w:r>
      </w:hyperlink>
    </w:p>
    <w:p w:rsidR="00C74A6B" w:rsidRPr="00931366" w:rsidRDefault="00C74A6B" w:rsidP="00C74A6B">
      <w:pPr>
        <w:spacing w:before="120" w:after="120"/>
        <w:jc w:val="both"/>
      </w:pPr>
      <w:r w:rsidRPr="00931366">
        <w:t>Les quelques observations que nous livrons ici sur les comport</w:t>
      </w:r>
      <w:r w:rsidRPr="00931366">
        <w:t>e</w:t>
      </w:r>
      <w:r w:rsidRPr="00931366">
        <w:t>ments de crédit des travailleurs salariés et sur l</w:t>
      </w:r>
      <w:r>
        <w:t>eurs attitudes à l’égard de l'</w:t>
      </w:r>
      <w:r w:rsidRPr="00931366">
        <w:t>achat à crédit proviennent d</w:t>
      </w:r>
      <w:r>
        <w:t>’</w:t>
      </w:r>
      <w:r w:rsidRPr="00931366">
        <w:t>une étude que le Centre de reche</w:t>
      </w:r>
      <w:r w:rsidRPr="00931366">
        <w:t>r</w:t>
      </w:r>
      <w:r w:rsidRPr="00931366">
        <w:t xml:space="preserve">ches de la Faculté des Sciences sociales de </w:t>
      </w:r>
      <w:r>
        <w:t>l’</w:t>
      </w:r>
      <w:r w:rsidRPr="00931366">
        <w:t>Université Laval poursuit d</w:t>
      </w:r>
      <w:r w:rsidRPr="00931366">
        <w:t>e</w:t>
      </w:r>
      <w:r w:rsidRPr="00931366">
        <w:t xml:space="preserve">puis </w:t>
      </w:r>
      <w:r>
        <w:t>l’</w:t>
      </w:r>
      <w:r w:rsidRPr="00931366">
        <w:t>été 1957 en collaboration avec la Fédération des Caisses Pop</w:t>
      </w:r>
      <w:r w:rsidRPr="00931366">
        <w:t>u</w:t>
      </w:r>
      <w:r w:rsidRPr="00931366">
        <w:t>laires Desjardins sur les conditions de vie, les besoins, les priv</w:t>
      </w:r>
      <w:r w:rsidRPr="00931366">
        <w:t>a</w:t>
      </w:r>
      <w:r w:rsidRPr="00931366">
        <w:t>tions, et les aspirations des travailleurs salariés de la province de Qu</w:t>
      </w:r>
      <w:r w:rsidRPr="00931366">
        <w:t>é</w:t>
      </w:r>
      <w:r w:rsidRPr="00931366">
        <w:t>bec</w:t>
      </w:r>
      <w:r>
        <w:t> </w:t>
      </w:r>
      <w:r>
        <w:rPr>
          <w:rStyle w:val="Appelnotedebasdep"/>
        </w:rPr>
        <w:footnoteReference w:id="1"/>
      </w:r>
      <w:r>
        <w:t>.</w:t>
      </w:r>
      <w:r w:rsidRPr="00931366">
        <w:t xml:space="preserve"> Les notes qui suivent rassemblent certains résultats </w:t>
      </w:r>
      <w:r>
        <w:t>p</w:t>
      </w:r>
      <w:r w:rsidRPr="00931366">
        <w:t>réliminaires. Des analyses plus approfondies nous amèneront fort probablement à nua</w:t>
      </w:r>
      <w:r w:rsidRPr="00931366">
        <w:t>n</w:t>
      </w:r>
      <w:r w:rsidRPr="00931366">
        <w:t xml:space="preserve">cer les observations présentées ici. </w:t>
      </w:r>
      <w:r>
        <w:t>À</w:t>
      </w:r>
      <w:r w:rsidRPr="00931366">
        <w:t xml:space="preserve"> un stade ultérieur de nos reche</w:t>
      </w:r>
      <w:r w:rsidRPr="00931366">
        <w:t>r</w:t>
      </w:r>
      <w:r w:rsidRPr="00931366">
        <w:t>ches, nous pourrons mieux situer le recours au crédit parmi l'e</w:t>
      </w:r>
      <w:r w:rsidRPr="00931366">
        <w:t>n</w:t>
      </w:r>
      <w:r w:rsidRPr="00931366">
        <w:lastRenderedPageBreak/>
        <w:t>semble des comportements économiques et mieux cerner les valeurs culture</w:t>
      </w:r>
      <w:r w:rsidRPr="00931366">
        <w:t>l</w:t>
      </w:r>
      <w:r w:rsidRPr="00931366">
        <w:t>les auxquelles se rattachent les attitudes des individus à</w:t>
      </w:r>
      <w:r>
        <w:t xml:space="preserve"> </w:t>
      </w:r>
      <w:r w:rsidRPr="00931366">
        <w:t>cet égard.</w:t>
      </w:r>
    </w:p>
    <w:p w:rsidR="00C74A6B" w:rsidRPr="00931366" w:rsidRDefault="00C74A6B" w:rsidP="00C74A6B">
      <w:pPr>
        <w:spacing w:before="120" w:after="120"/>
        <w:jc w:val="both"/>
      </w:pPr>
      <w:r w:rsidRPr="00931366">
        <w:t>Pa</w:t>
      </w:r>
      <w:r>
        <w:t>r</w:t>
      </w:r>
      <w:r w:rsidRPr="00931366">
        <w:t xml:space="preserve"> rapport au crédit, on peut se poser plusieurs questions en ex</w:t>
      </w:r>
      <w:r w:rsidRPr="00931366">
        <w:t>a</w:t>
      </w:r>
      <w:r w:rsidRPr="00931366">
        <w:t>minant les r</w:t>
      </w:r>
      <w:r w:rsidRPr="00931366">
        <w:t>é</w:t>
      </w:r>
      <w:r>
        <w:t>ponses des 1,</w:t>
      </w:r>
      <w:r w:rsidRPr="00931366">
        <w:t xml:space="preserve">460 familles visitées pour les fins de </w:t>
      </w:r>
      <w:r>
        <w:t>l’</w:t>
      </w:r>
      <w:r w:rsidRPr="00931366">
        <w:t>étude, Nous nous en tie</w:t>
      </w:r>
      <w:r w:rsidRPr="00931366">
        <w:t>n</w:t>
      </w:r>
      <w:r w:rsidRPr="00931366">
        <w:t>drons, dans cette note, aux deux questions suivantes : 1) Le recours au crédit est</w:t>
      </w:r>
      <w:r>
        <w:t>-</w:t>
      </w:r>
      <w:r w:rsidRPr="00931366">
        <w:t>il génér</w:t>
      </w:r>
      <w:r w:rsidRPr="00931366">
        <w:t>a</w:t>
      </w:r>
      <w:r w:rsidRPr="00931366">
        <w:t xml:space="preserve">lisé ? 2) Quelles sont les attitudes des familles à </w:t>
      </w:r>
      <w:r>
        <w:t>l’</w:t>
      </w:r>
      <w:r w:rsidRPr="00931366">
        <w:t>égard du crédit en gén</w:t>
      </w:r>
      <w:r w:rsidRPr="00931366">
        <w:t>é</w:t>
      </w:r>
      <w:r w:rsidRPr="00931366">
        <w:t>ral ?</w:t>
      </w:r>
    </w:p>
    <w:p w:rsidR="00C74A6B" w:rsidRPr="00931366" w:rsidRDefault="00C74A6B" w:rsidP="00C74A6B">
      <w:pPr>
        <w:spacing w:before="120" w:after="120"/>
        <w:jc w:val="both"/>
      </w:pPr>
    </w:p>
    <w:p w:rsidR="00C74A6B" w:rsidRPr="00931366" w:rsidRDefault="00C74A6B" w:rsidP="00C74A6B">
      <w:pPr>
        <w:pStyle w:val="planche"/>
      </w:pPr>
      <w:bookmarkStart w:id="3" w:name="salaries_et_le_credit_1"/>
      <w:r w:rsidRPr="00931366">
        <w:t>1.</w:t>
      </w:r>
      <w:r>
        <w:t xml:space="preserve"> </w:t>
      </w:r>
      <w:r w:rsidRPr="00931366">
        <w:t xml:space="preserve">Le recours </w:t>
      </w:r>
      <w:r>
        <w:t xml:space="preserve">au </w:t>
      </w:r>
      <w:r w:rsidRPr="00931366">
        <w:t>crédit</w:t>
      </w:r>
    </w:p>
    <w:bookmarkEnd w:id="3"/>
    <w:p w:rsidR="00C74A6B" w:rsidRPr="00931366" w:rsidRDefault="00C74A6B" w:rsidP="00C74A6B">
      <w:pPr>
        <w:spacing w:before="120" w:after="120"/>
        <w:jc w:val="both"/>
      </w:pPr>
    </w:p>
    <w:p w:rsidR="00C74A6B" w:rsidRDefault="00C74A6B" w:rsidP="00C74A6B">
      <w:pPr>
        <w:ind w:right="90" w:firstLine="0"/>
        <w:jc w:val="both"/>
        <w:rPr>
          <w:sz w:val="20"/>
        </w:rPr>
      </w:pPr>
      <w:hyperlink w:anchor="tdm" w:history="1">
        <w:r>
          <w:rPr>
            <w:rStyle w:val="Lienhypertexte"/>
            <w:sz w:val="20"/>
          </w:rPr>
          <w:t>Retour à la table des matières</w:t>
        </w:r>
      </w:hyperlink>
    </w:p>
    <w:p w:rsidR="00C74A6B" w:rsidRPr="00931366" w:rsidRDefault="00C74A6B" w:rsidP="00C74A6B">
      <w:pPr>
        <w:spacing w:before="120" w:after="120"/>
        <w:jc w:val="both"/>
      </w:pPr>
      <w:r w:rsidRPr="00931366">
        <w:t>On peut affirmer que la population salariée canadienne</w:t>
      </w:r>
      <w:r>
        <w:t>-</w:t>
      </w:r>
      <w:r w:rsidRPr="00931366">
        <w:t>française, considérée globalement, fait beaucoup usage du crédit. Ainsi le t</w:t>
      </w:r>
      <w:r w:rsidRPr="00931366">
        <w:t>a</w:t>
      </w:r>
      <w:r>
        <w:t>bleau 1 montre que 74%</w:t>
      </w:r>
      <w:r w:rsidRPr="00931366">
        <w:t xml:space="preserve"> des familles ont déjà acheté à crédit à un moment ou </w:t>
      </w:r>
      <w:r>
        <w:t>l’</w:t>
      </w:r>
      <w:r w:rsidRPr="00931366">
        <w:t>autre de leur histoire. Contrairement à ce</w:t>
      </w:r>
      <w:r>
        <w:t xml:space="preserve"> qu'</w:t>
      </w:r>
      <w:r w:rsidRPr="00931366">
        <w:t>on croit h</w:t>
      </w:r>
      <w:r w:rsidRPr="00931366">
        <w:t>a</w:t>
      </w:r>
      <w:r w:rsidRPr="00931366">
        <w:t>bituellement, c</w:t>
      </w:r>
      <w:r>
        <w:t>’</w:t>
      </w:r>
      <w:r w:rsidRPr="00931366">
        <w:t xml:space="preserve">est dans les zones métropolitaines que </w:t>
      </w:r>
      <w:r>
        <w:t>l’</w:t>
      </w:r>
      <w:r w:rsidRPr="00931366">
        <w:t>achat à cr</w:t>
      </w:r>
      <w:r w:rsidRPr="00931366">
        <w:t>é</w:t>
      </w:r>
      <w:r w:rsidRPr="00931366">
        <w:t>dit est le moins pratiqué et dans les village</w:t>
      </w:r>
      <w:r>
        <w:t>s</w:t>
      </w:r>
      <w:r w:rsidRPr="00931366">
        <w:t xml:space="preserve"> ruraux les plus éloignés (str</w:t>
      </w:r>
      <w:r w:rsidRPr="00931366">
        <w:t>a</w:t>
      </w:r>
      <w:r w:rsidRPr="00931366">
        <w:t>te</w:t>
      </w:r>
      <w:r>
        <w:t> </w:t>
      </w:r>
      <w:r w:rsidRPr="00931366">
        <w:t>6) qu</w:t>
      </w:r>
      <w:r>
        <w:t>’</w:t>
      </w:r>
      <w:r w:rsidRPr="00931366">
        <w:t>on le pratique le plus. De même dans les petites villes, le pou</w:t>
      </w:r>
      <w:r w:rsidRPr="00931366">
        <w:t>r</w:t>
      </w:r>
      <w:r w:rsidRPr="00931366">
        <w:t xml:space="preserve">centage de familles ayant déjà acheté à crédit est plus fort que pour l'ensemble. </w:t>
      </w:r>
      <w:r>
        <w:t>L’</w:t>
      </w:r>
      <w:r w:rsidRPr="00931366">
        <w:t>achat à crédit n</w:t>
      </w:r>
      <w:r>
        <w:t>’</w:t>
      </w:r>
      <w:r w:rsidRPr="00931366">
        <w:t>est donc pas un comportement su</w:t>
      </w:r>
      <w:r w:rsidRPr="00931366">
        <w:t>r</w:t>
      </w:r>
      <w:r w:rsidRPr="00931366">
        <w:t>tout urbain mais un comport</w:t>
      </w:r>
      <w:r w:rsidRPr="00931366">
        <w:t>e</w:t>
      </w:r>
      <w:r w:rsidRPr="00931366">
        <w:t xml:space="preserve">ment que </w:t>
      </w:r>
      <w:r>
        <w:t>l’</w:t>
      </w:r>
      <w:r w:rsidRPr="00931366">
        <w:t>on retrouve tout aussi bien et encore davantage dans les milieux ruraux. Ce fait semblerait ind</w:t>
      </w:r>
      <w:r w:rsidRPr="00931366">
        <w:t>i</w:t>
      </w:r>
      <w:r w:rsidRPr="00931366">
        <w:t>quer que les valeurs traditionnelles en ce qui concerne l'</w:t>
      </w:r>
      <w:r w:rsidRPr="00931366">
        <w:t>é</w:t>
      </w:r>
      <w:r w:rsidRPr="00931366">
        <w:t>pargne et le crédit sont également</w:t>
      </w:r>
      <w:r>
        <w:t xml:space="preserve"> [</w:t>
      </w:r>
      <w:r w:rsidRPr="00931366">
        <w:t>504</w:t>
      </w:r>
      <w:r>
        <w:t xml:space="preserve">] </w:t>
      </w:r>
      <w:r w:rsidRPr="00931366">
        <w:t>remises en question à la ville</w:t>
      </w:r>
      <w:r>
        <w:t xml:space="preserve"> et à la campagne. Comme nous v</w:t>
      </w:r>
      <w:r w:rsidRPr="00931366">
        <w:t xml:space="preserve">enons de </w:t>
      </w:r>
      <w:r>
        <w:t>l’</w:t>
      </w:r>
      <w:r w:rsidRPr="00931366">
        <w:t>indiquer, nous chercherons, dans des anal</w:t>
      </w:r>
      <w:r w:rsidRPr="00931366">
        <w:t>y</w:t>
      </w:r>
      <w:r w:rsidRPr="00931366">
        <w:t>ses ultérieures, à établir l'importance des valeurs traditionnelles dans la vie de nos familles et jusqu</w:t>
      </w:r>
      <w:r>
        <w:t>’</w:t>
      </w:r>
      <w:r w:rsidRPr="00931366">
        <w:t>à quel point ces v</w:t>
      </w:r>
      <w:r w:rsidRPr="00931366">
        <w:t>a</w:t>
      </w:r>
      <w:r w:rsidRPr="00931366">
        <w:t>leurs influencent les comport</w:t>
      </w:r>
      <w:r w:rsidRPr="00931366">
        <w:t>e</w:t>
      </w:r>
      <w:r w:rsidRPr="00931366">
        <w:t>ments de consommation des travailleurs salariés.</w:t>
      </w:r>
    </w:p>
    <w:p w:rsidR="00C74A6B" w:rsidRPr="00931366" w:rsidRDefault="00C74A6B" w:rsidP="00C74A6B">
      <w:pPr>
        <w:spacing w:before="120" w:after="120"/>
        <w:jc w:val="both"/>
      </w:pPr>
      <w:r>
        <w:br w:type="page"/>
      </w:r>
    </w:p>
    <w:p w:rsidR="00C74A6B" w:rsidRPr="008F2325" w:rsidRDefault="00C74A6B" w:rsidP="00C74A6B">
      <w:pPr>
        <w:spacing w:before="120" w:after="120"/>
        <w:jc w:val="center"/>
        <w:rPr>
          <w:sz w:val="24"/>
        </w:rPr>
      </w:pPr>
      <w:r w:rsidRPr="008F2325">
        <w:rPr>
          <w:sz w:val="24"/>
        </w:rPr>
        <w:t>TABLEAU 1</w:t>
      </w:r>
      <w:r w:rsidRPr="008F2325">
        <w:rPr>
          <w:sz w:val="24"/>
        </w:rPr>
        <w:br/>
        <w:t>Pourcentage de familles ayant déjà acheté à crédit, par strate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5310"/>
        <w:gridCol w:w="1472"/>
      </w:tblGrid>
      <w:tr w:rsidR="00C74A6B" w:rsidRPr="007559FA">
        <w:tc>
          <w:tcPr>
            <w:tcW w:w="6588" w:type="dxa"/>
            <w:gridSpan w:val="2"/>
            <w:tcBorders>
              <w:top w:val="single" w:sz="12" w:space="0" w:color="auto"/>
              <w:left w:val="nil"/>
              <w:bottom w:val="single" w:sz="12" w:space="0" w:color="auto"/>
              <w:right w:val="nil"/>
            </w:tcBorders>
            <w:shd w:val="clear" w:color="auto" w:fill="EEECE1"/>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w:t>
            </w:r>
          </w:p>
        </w:tc>
        <w:tc>
          <w:tcPr>
            <w:tcW w:w="1472" w:type="dxa"/>
            <w:tcBorders>
              <w:top w:val="single" w:sz="12" w:space="0" w:color="auto"/>
              <w:left w:val="nil"/>
              <w:bottom w:val="single" w:sz="12" w:space="0" w:color="auto"/>
              <w:right w:val="nil"/>
            </w:tcBorders>
            <w:shd w:val="clear" w:color="auto" w:fill="EEECE1"/>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 (1)</w:t>
            </w:r>
          </w:p>
        </w:tc>
      </w:tr>
      <w:tr w:rsidR="00C74A6B" w:rsidRPr="007559FA">
        <w:tc>
          <w:tcPr>
            <w:tcW w:w="1278" w:type="dxa"/>
            <w:tcBorders>
              <w:top w:val="single" w:sz="12" w:space="0" w:color="auto"/>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 1</w:t>
            </w:r>
          </w:p>
        </w:tc>
        <w:tc>
          <w:tcPr>
            <w:tcW w:w="5310" w:type="dxa"/>
            <w:tcBorders>
              <w:top w:val="single" w:sz="12" w:space="0" w:color="auto"/>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Montréal et Québec (zones métropolitaines)</w:t>
            </w:r>
          </w:p>
        </w:tc>
        <w:tc>
          <w:tcPr>
            <w:tcW w:w="1472" w:type="dxa"/>
            <w:tcBorders>
              <w:top w:val="single" w:sz="12" w:space="0" w:color="auto"/>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68 &lt;</w:t>
            </w:r>
          </w:p>
        </w:tc>
      </w:tr>
      <w:tr w:rsidR="00C74A6B" w:rsidRPr="007559FA">
        <w:tc>
          <w:tcPr>
            <w:tcW w:w="1278"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 2</w:t>
            </w:r>
          </w:p>
        </w:tc>
        <w:tc>
          <w:tcPr>
            <w:tcW w:w="5310"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Grandes villes (30, 000 h. et plus)</w:t>
            </w:r>
          </w:p>
        </w:tc>
        <w:tc>
          <w:tcPr>
            <w:tcW w:w="1472"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74 =</w:t>
            </w:r>
          </w:p>
        </w:tc>
      </w:tr>
      <w:tr w:rsidR="00C74A6B" w:rsidRPr="007559FA">
        <w:tc>
          <w:tcPr>
            <w:tcW w:w="1278"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 3</w:t>
            </w:r>
          </w:p>
        </w:tc>
        <w:tc>
          <w:tcPr>
            <w:tcW w:w="5310"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Petites villes (de 5,000 à 29,999 h.)</w:t>
            </w:r>
          </w:p>
        </w:tc>
        <w:tc>
          <w:tcPr>
            <w:tcW w:w="1472"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79 &gt;</w:t>
            </w:r>
          </w:p>
        </w:tc>
      </w:tr>
      <w:tr w:rsidR="00C74A6B" w:rsidRPr="007559FA">
        <w:tc>
          <w:tcPr>
            <w:tcW w:w="1278"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 4</w:t>
            </w:r>
          </w:p>
        </w:tc>
        <w:tc>
          <w:tcPr>
            <w:tcW w:w="5310"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Villages de régions agricoles prospères (2)</w:t>
            </w:r>
          </w:p>
        </w:tc>
        <w:tc>
          <w:tcPr>
            <w:tcW w:w="1472"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67 =</w:t>
            </w:r>
          </w:p>
        </w:tc>
      </w:tr>
      <w:tr w:rsidR="00C74A6B" w:rsidRPr="007559FA">
        <w:tc>
          <w:tcPr>
            <w:tcW w:w="1278"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 5</w:t>
            </w:r>
          </w:p>
        </w:tc>
        <w:tc>
          <w:tcPr>
            <w:tcW w:w="5310"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Villages de régions agricoles "moyennes" (2)</w:t>
            </w:r>
          </w:p>
        </w:tc>
        <w:tc>
          <w:tcPr>
            <w:tcW w:w="1472"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78 =</w:t>
            </w:r>
          </w:p>
        </w:tc>
      </w:tr>
      <w:tr w:rsidR="00C74A6B" w:rsidRPr="007559FA">
        <w:tc>
          <w:tcPr>
            <w:tcW w:w="1278"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Strate 6</w:t>
            </w:r>
          </w:p>
        </w:tc>
        <w:tc>
          <w:tcPr>
            <w:tcW w:w="5310"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Villages de régions agricoles pauvres (2)</w:t>
            </w:r>
          </w:p>
        </w:tc>
        <w:tc>
          <w:tcPr>
            <w:tcW w:w="1472" w:type="dxa"/>
            <w:tcBorders>
              <w:top w:val="nil"/>
              <w:left w:val="nil"/>
              <w:bottom w:val="nil"/>
              <w:right w:val="nil"/>
            </w:tcBorders>
          </w:tcPr>
          <w:p w:rsidR="00C74A6B" w:rsidRPr="007559FA" w:rsidRDefault="00C74A6B" w:rsidP="00C74A6B">
            <w:pPr>
              <w:spacing w:before="120" w:after="120"/>
              <w:ind w:firstLine="0"/>
              <w:jc w:val="both"/>
              <w:rPr>
                <w:rFonts w:ascii="Times" w:eastAsia="Times" w:hAnsi="Times"/>
                <w:sz w:val="24"/>
              </w:rPr>
            </w:pPr>
            <w:r w:rsidRPr="007559FA">
              <w:rPr>
                <w:rFonts w:eastAsia="Times"/>
                <w:sz w:val="24"/>
              </w:rPr>
              <w:t>83 &gt;</w:t>
            </w:r>
          </w:p>
        </w:tc>
      </w:tr>
      <w:tr w:rsidR="00C74A6B" w:rsidRPr="007559FA">
        <w:tc>
          <w:tcPr>
            <w:tcW w:w="1278" w:type="dxa"/>
            <w:tcBorders>
              <w:top w:val="nil"/>
              <w:left w:val="nil"/>
              <w:bottom w:val="single" w:sz="12" w:space="0" w:color="auto"/>
              <w:right w:val="nil"/>
            </w:tcBorders>
          </w:tcPr>
          <w:p w:rsidR="00C74A6B" w:rsidRPr="007559FA" w:rsidRDefault="00C74A6B" w:rsidP="00C74A6B">
            <w:pPr>
              <w:spacing w:before="120" w:after="120"/>
              <w:ind w:firstLine="0"/>
              <w:jc w:val="both"/>
              <w:rPr>
                <w:rFonts w:ascii="Times" w:eastAsia="Times" w:hAnsi="Times"/>
                <w:sz w:val="24"/>
              </w:rPr>
            </w:pPr>
            <w:r w:rsidRPr="007559FA">
              <w:rPr>
                <w:rFonts w:ascii="Times" w:eastAsia="Times" w:hAnsi="Times"/>
                <w:sz w:val="24"/>
              </w:rPr>
              <w:t>Ensemble</w:t>
            </w:r>
          </w:p>
        </w:tc>
        <w:tc>
          <w:tcPr>
            <w:tcW w:w="5310" w:type="dxa"/>
            <w:tcBorders>
              <w:top w:val="nil"/>
              <w:left w:val="nil"/>
              <w:bottom w:val="single" w:sz="12" w:space="0" w:color="auto"/>
              <w:right w:val="nil"/>
            </w:tcBorders>
          </w:tcPr>
          <w:p w:rsidR="00C74A6B" w:rsidRPr="007559FA" w:rsidRDefault="00C74A6B" w:rsidP="00C74A6B">
            <w:pPr>
              <w:spacing w:before="120" w:after="120"/>
              <w:ind w:firstLine="0"/>
              <w:jc w:val="both"/>
              <w:rPr>
                <w:rFonts w:ascii="Times" w:eastAsia="Times" w:hAnsi="Times"/>
                <w:sz w:val="24"/>
              </w:rPr>
            </w:pPr>
          </w:p>
        </w:tc>
        <w:tc>
          <w:tcPr>
            <w:tcW w:w="1472" w:type="dxa"/>
            <w:tcBorders>
              <w:top w:val="nil"/>
              <w:left w:val="nil"/>
              <w:bottom w:val="single" w:sz="12" w:space="0" w:color="auto"/>
              <w:right w:val="nil"/>
            </w:tcBorders>
          </w:tcPr>
          <w:p w:rsidR="00C74A6B" w:rsidRPr="007559FA" w:rsidRDefault="00C74A6B" w:rsidP="00C74A6B">
            <w:pPr>
              <w:spacing w:before="120" w:after="120"/>
              <w:ind w:firstLine="0"/>
              <w:jc w:val="both"/>
              <w:rPr>
                <w:rFonts w:ascii="Times" w:eastAsia="Times" w:hAnsi="Times"/>
                <w:sz w:val="24"/>
              </w:rPr>
            </w:pPr>
            <w:r w:rsidRPr="007559FA">
              <w:rPr>
                <w:rFonts w:ascii="Times" w:eastAsia="Times" w:hAnsi="Times"/>
                <w:sz w:val="24"/>
              </w:rPr>
              <w:t>74</w:t>
            </w:r>
          </w:p>
        </w:tc>
      </w:tr>
    </w:tbl>
    <w:p w:rsidR="00C74A6B" w:rsidRPr="008F2325" w:rsidRDefault="00C74A6B" w:rsidP="00C74A6B">
      <w:pPr>
        <w:spacing w:before="120" w:after="120"/>
        <w:jc w:val="both"/>
        <w:rPr>
          <w:sz w:val="24"/>
        </w:rPr>
      </w:pPr>
    </w:p>
    <w:p w:rsidR="00C74A6B" w:rsidRPr="008F2325" w:rsidRDefault="00C74A6B" w:rsidP="00C74A6B">
      <w:pPr>
        <w:spacing w:before="120" w:after="120"/>
        <w:jc w:val="both"/>
        <w:rPr>
          <w:sz w:val="24"/>
        </w:rPr>
      </w:pPr>
      <w:r w:rsidRPr="008F2325">
        <w:rPr>
          <w:sz w:val="24"/>
        </w:rPr>
        <w:t>(1)</w:t>
      </w:r>
      <w:r w:rsidRPr="008F2325">
        <w:rPr>
          <w:sz w:val="24"/>
        </w:rPr>
        <w:tab/>
        <w:t>Le signe &lt;</w:t>
      </w:r>
      <w:r>
        <w:rPr>
          <w:sz w:val="24"/>
        </w:rPr>
        <w:t xml:space="preserve"> </w:t>
      </w:r>
      <w:r w:rsidRPr="008F2325">
        <w:rPr>
          <w:sz w:val="24"/>
        </w:rPr>
        <w:t>indique un pourcentage significativement plus petit que le</w:t>
      </w:r>
      <w:r>
        <w:rPr>
          <w:sz w:val="24"/>
        </w:rPr>
        <w:t xml:space="preserve"> </w:t>
      </w:r>
      <w:r w:rsidRPr="008F2325">
        <w:rPr>
          <w:sz w:val="24"/>
        </w:rPr>
        <w:t xml:space="preserve">pourcentage obtenu pour l'ensemble des six strates ; le signe </w:t>
      </w:r>
      <w:r>
        <w:rPr>
          <w:sz w:val="24"/>
        </w:rPr>
        <w:t>=</w:t>
      </w:r>
      <w:r w:rsidRPr="008F2325">
        <w:rPr>
          <w:sz w:val="24"/>
        </w:rPr>
        <w:t xml:space="preserve"> indique</w:t>
      </w:r>
      <w:r>
        <w:rPr>
          <w:sz w:val="24"/>
        </w:rPr>
        <w:t xml:space="preserve"> </w:t>
      </w:r>
      <w:r w:rsidRPr="008F2325">
        <w:rPr>
          <w:sz w:val="24"/>
        </w:rPr>
        <w:t>un pou</w:t>
      </w:r>
      <w:r w:rsidRPr="008F2325">
        <w:rPr>
          <w:sz w:val="24"/>
        </w:rPr>
        <w:t>r</w:t>
      </w:r>
      <w:r w:rsidRPr="008F2325">
        <w:rPr>
          <w:sz w:val="24"/>
        </w:rPr>
        <w:t>centage égal, en termes statistiques, à celui de l'ensemble ; le</w:t>
      </w:r>
      <w:r>
        <w:rPr>
          <w:sz w:val="24"/>
        </w:rPr>
        <w:t xml:space="preserve"> </w:t>
      </w:r>
      <w:r w:rsidRPr="008F2325">
        <w:rPr>
          <w:sz w:val="24"/>
        </w:rPr>
        <w:t>signe &gt; indique un pourcentage significat</w:t>
      </w:r>
      <w:r>
        <w:rPr>
          <w:sz w:val="24"/>
        </w:rPr>
        <w:t>i</w:t>
      </w:r>
      <w:r w:rsidRPr="008F2325">
        <w:rPr>
          <w:sz w:val="24"/>
        </w:rPr>
        <w:t>vement plus grand que celui de</w:t>
      </w:r>
      <w:r>
        <w:rPr>
          <w:sz w:val="24"/>
        </w:rPr>
        <w:t xml:space="preserve"> </w:t>
      </w:r>
      <w:r w:rsidRPr="008F2325">
        <w:rPr>
          <w:sz w:val="24"/>
        </w:rPr>
        <w:t>l’ensemble.</w:t>
      </w:r>
    </w:p>
    <w:p w:rsidR="00C74A6B" w:rsidRPr="008F2325" w:rsidRDefault="00C74A6B" w:rsidP="00C74A6B">
      <w:pPr>
        <w:spacing w:before="120" w:after="120"/>
        <w:jc w:val="both"/>
        <w:rPr>
          <w:sz w:val="24"/>
        </w:rPr>
      </w:pPr>
      <w:r w:rsidRPr="008F2325">
        <w:rPr>
          <w:sz w:val="24"/>
        </w:rPr>
        <w:t>(2)</w:t>
      </w:r>
      <w:r w:rsidRPr="008F2325">
        <w:rPr>
          <w:sz w:val="24"/>
        </w:rPr>
        <w:tab/>
        <w:t>Pour une description des strates 4, 5 et 6, voir : Gérald FO</w:t>
      </w:r>
      <w:r w:rsidRPr="008F2325">
        <w:rPr>
          <w:sz w:val="24"/>
        </w:rPr>
        <w:t>R</w:t>
      </w:r>
      <w:r w:rsidRPr="008F2325">
        <w:rPr>
          <w:sz w:val="24"/>
        </w:rPr>
        <w:t>TIN, "</w:t>
      </w:r>
      <w:hyperlink r:id="rId19" w:history="1">
        <w:r w:rsidRPr="008F2325">
          <w:rPr>
            <w:rStyle w:val="Lienhypertexte"/>
            <w:sz w:val="24"/>
          </w:rPr>
          <w:t>Une classification socio-économique des municipalités agricoles du Québec</w:t>
        </w:r>
      </w:hyperlink>
      <w:r w:rsidRPr="008F2325">
        <w:rPr>
          <w:sz w:val="24"/>
        </w:rPr>
        <w:t>".</w:t>
      </w:r>
      <w:r>
        <w:rPr>
          <w:sz w:val="24"/>
        </w:rPr>
        <w:t xml:space="preserve"> </w:t>
      </w:r>
      <w:r w:rsidRPr="008F2325">
        <w:rPr>
          <w:i/>
          <w:sz w:val="24"/>
        </w:rPr>
        <w:t>Reche</w:t>
      </w:r>
      <w:r w:rsidRPr="008F2325">
        <w:rPr>
          <w:i/>
          <w:sz w:val="24"/>
        </w:rPr>
        <w:t>r</w:t>
      </w:r>
      <w:r w:rsidRPr="008F2325">
        <w:rPr>
          <w:i/>
          <w:sz w:val="24"/>
        </w:rPr>
        <w:t>ches sociographiques</w:t>
      </w:r>
      <w:r w:rsidRPr="008F2325">
        <w:rPr>
          <w:sz w:val="24"/>
        </w:rPr>
        <w:t>, 1, 2, avril</w:t>
      </w:r>
      <w:r>
        <w:rPr>
          <w:sz w:val="24"/>
        </w:rPr>
        <w:t>-</w:t>
      </w:r>
      <w:r w:rsidRPr="008F2325">
        <w:rPr>
          <w:sz w:val="24"/>
        </w:rPr>
        <w:t>juin 1960, 207</w:t>
      </w:r>
      <w:r>
        <w:rPr>
          <w:sz w:val="24"/>
        </w:rPr>
        <w:t>-</w:t>
      </w:r>
      <w:r w:rsidRPr="008F2325">
        <w:rPr>
          <w:sz w:val="24"/>
        </w:rPr>
        <w:t>216.</w:t>
      </w:r>
    </w:p>
    <w:p w:rsidR="00C74A6B" w:rsidRDefault="00C74A6B" w:rsidP="00C74A6B">
      <w:pPr>
        <w:spacing w:before="120" w:after="120"/>
        <w:jc w:val="both"/>
      </w:pPr>
    </w:p>
    <w:p w:rsidR="00C74A6B" w:rsidRPr="00931366" w:rsidRDefault="00C74A6B" w:rsidP="00C74A6B">
      <w:pPr>
        <w:spacing w:before="120" w:after="120"/>
        <w:jc w:val="both"/>
      </w:pPr>
    </w:p>
    <w:p w:rsidR="00C74A6B" w:rsidRPr="00931366" w:rsidRDefault="00C74A6B" w:rsidP="00C74A6B">
      <w:pPr>
        <w:spacing w:before="120" w:after="120"/>
        <w:jc w:val="both"/>
        <w:rPr>
          <w:szCs w:val="22"/>
        </w:rPr>
      </w:pPr>
      <w:r>
        <w:t>À</w:t>
      </w:r>
      <w:r w:rsidRPr="00931366">
        <w:t xml:space="preserve"> tous ceux qui avaient déjà acheté à crédit, nous avons demandé s</w:t>
      </w:r>
      <w:r>
        <w:t>’</w:t>
      </w:r>
      <w:r w:rsidRPr="00931366">
        <w:t>ils l'avaient fait souvent ou rarement. C</w:t>
      </w:r>
      <w:r>
        <w:t>’</w:t>
      </w:r>
      <w:r w:rsidRPr="00931366">
        <w:t>est là une question qui peut être interprétée différe</w:t>
      </w:r>
      <w:r w:rsidRPr="00931366">
        <w:t>m</w:t>
      </w:r>
      <w:r w:rsidRPr="00931366">
        <w:t>ment par les informateurs. Cependant, quelle que soit l'interprétation numér</w:t>
      </w:r>
      <w:r w:rsidRPr="00931366">
        <w:t>i</w:t>
      </w:r>
      <w:r w:rsidRPr="00931366">
        <w:t>que donnée au mot "souvent", celui qui donne cette réponse</w:t>
      </w:r>
      <w:r>
        <w:t xml:space="preserve"> </w:t>
      </w:r>
      <w:r>
        <w:rPr>
          <w:szCs w:val="22"/>
        </w:rPr>
        <w:t>[</w:t>
      </w:r>
      <w:r w:rsidRPr="00931366">
        <w:rPr>
          <w:szCs w:val="22"/>
        </w:rPr>
        <w:t>505</w:t>
      </w:r>
      <w:r>
        <w:rPr>
          <w:szCs w:val="22"/>
        </w:rPr>
        <w:t xml:space="preserve">] </w:t>
      </w:r>
      <w:r w:rsidRPr="00931366">
        <w:rPr>
          <w:szCs w:val="22"/>
        </w:rPr>
        <w:t>juge d</w:t>
      </w:r>
      <w:r>
        <w:rPr>
          <w:szCs w:val="22"/>
        </w:rPr>
        <w:t>’</w:t>
      </w:r>
      <w:r w:rsidRPr="00931366">
        <w:rPr>
          <w:szCs w:val="22"/>
        </w:rPr>
        <w:t>après son système de valeurs que son recours au crédit a été trop fr</w:t>
      </w:r>
      <w:r w:rsidRPr="00931366">
        <w:rPr>
          <w:szCs w:val="22"/>
        </w:rPr>
        <w:t>é</w:t>
      </w:r>
      <w:r w:rsidRPr="00931366">
        <w:rPr>
          <w:szCs w:val="22"/>
        </w:rPr>
        <w:t>quent :</w:t>
      </w:r>
      <w:r>
        <w:rPr>
          <w:szCs w:val="22"/>
        </w:rPr>
        <w:t xml:space="preserve"> 44%</w:t>
      </w:r>
      <w:r w:rsidRPr="00931366">
        <w:rPr>
          <w:szCs w:val="22"/>
        </w:rPr>
        <w:t xml:space="preserve"> de ceux qui ont déjà acheté à crédit affirment que leurs achats ont été fréquents. Il n</w:t>
      </w:r>
      <w:r>
        <w:rPr>
          <w:szCs w:val="22"/>
        </w:rPr>
        <w:t>’</w:t>
      </w:r>
      <w:r w:rsidRPr="00931366">
        <w:rPr>
          <w:szCs w:val="22"/>
        </w:rPr>
        <w:t>y a aucune différence entre les strates par rapport à ce pourcen</w:t>
      </w:r>
      <w:r w:rsidRPr="00931366">
        <w:rPr>
          <w:szCs w:val="22"/>
        </w:rPr>
        <w:t>t</w:t>
      </w:r>
      <w:r w:rsidRPr="00931366">
        <w:rPr>
          <w:szCs w:val="22"/>
        </w:rPr>
        <w:t>age. Dans le milieu rural aussi bien que dans le milieu urbain, près de la moitié de ceux qui achètent à crédit le font "souvent". La corrélation entre l'achat à crédit et le r</w:t>
      </w:r>
      <w:r w:rsidRPr="00931366">
        <w:rPr>
          <w:szCs w:val="22"/>
        </w:rPr>
        <w:t>e</w:t>
      </w:r>
      <w:r w:rsidRPr="00931366">
        <w:rPr>
          <w:szCs w:val="22"/>
        </w:rPr>
        <w:t>venu montre par ailleurs que ce sont les familles où le revenu est le plus faible (moins de $900 par personne) qui reco</w:t>
      </w:r>
      <w:r w:rsidRPr="00931366">
        <w:rPr>
          <w:szCs w:val="22"/>
        </w:rPr>
        <w:t>u</w:t>
      </w:r>
      <w:r w:rsidRPr="00931366">
        <w:rPr>
          <w:szCs w:val="22"/>
        </w:rPr>
        <w:t>rent le plus souvent à l'achat à crédit. La corrélation entre l'achat à crédit et l'occupation souligne la même tendance. En e</w:t>
      </w:r>
      <w:r w:rsidRPr="00931366">
        <w:rPr>
          <w:szCs w:val="22"/>
        </w:rPr>
        <w:t>f</w:t>
      </w:r>
      <w:r w:rsidRPr="00931366">
        <w:rPr>
          <w:szCs w:val="22"/>
        </w:rPr>
        <w:t>fet, ceux qui achètent le plus souvent à crédit sont les manœuvres et les ouvriers semi</w:t>
      </w:r>
      <w:r>
        <w:rPr>
          <w:szCs w:val="22"/>
        </w:rPr>
        <w:t>-</w:t>
      </w:r>
      <w:r w:rsidRPr="00931366">
        <w:rPr>
          <w:szCs w:val="22"/>
        </w:rPr>
        <w:t>spécia</w:t>
      </w:r>
      <w:r>
        <w:rPr>
          <w:szCs w:val="22"/>
        </w:rPr>
        <w:t>li</w:t>
      </w:r>
      <w:r w:rsidRPr="00931366">
        <w:rPr>
          <w:szCs w:val="22"/>
        </w:rPr>
        <w:t xml:space="preserve">sés. L'analyse montre par ailleurs que ces deux groupes sont ceux dont les revenus sont les plus bas. Pour pouvoir juger si l'occupation a réellement une influence sur </w:t>
      </w:r>
      <w:r>
        <w:rPr>
          <w:szCs w:val="22"/>
        </w:rPr>
        <w:t>l’</w:t>
      </w:r>
      <w:r w:rsidRPr="00931366">
        <w:rPr>
          <w:szCs w:val="22"/>
        </w:rPr>
        <w:t xml:space="preserve">achat à crédit, il faudra, dans nos analyses ultérieures, comparer des familles ayant des revenus égaux mais provenant de </w:t>
      </w:r>
      <w:r>
        <w:rPr>
          <w:szCs w:val="22"/>
        </w:rPr>
        <w:t>l’</w:t>
      </w:r>
      <w:r w:rsidRPr="00931366">
        <w:rPr>
          <w:szCs w:val="22"/>
        </w:rPr>
        <w:t>exercice d</w:t>
      </w:r>
      <w:r>
        <w:rPr>
          <w:szCs w:val="22"/>
        </w:rPr>
        <w:t>’</w:t>
      </w:r>
      <w:r w:rsidRPr="00931366">
        <w:rPr>
          <w:szCs w:val="22"/>
        </w:rPr>
        <w:t>occupations différentes. Il se</w:t>
      </w:r>
      <w:r w:rsidRPr="00931366">
        <w:rPr>
          <w:szCs w:val="22"/>
        </w:rPr>
        <w:t>m</w:t>
      </w:r>
      <w:r w:rsidRPr="00931366">
        <w:rPr>
          <w:szCs w:val="22"/>
        </w:rPr>
        <w:t xml:space="preserve">ble déjà établi toutefois que </w:t>
      </w:r>
      <w:r>
        <w:rPr>
          <w:szCs w:val="22"/>
        </w:rPr>
        <w:t>l’</w:t>
      </w:r>
      <w:r w:rsidRPr="00931366">
        <w:rPr>
          <w:szCs w:val="22"/>
        </w:rPr>
        <w:t>achat à crédit est plus fréquent chez les groupes défavorisés dont le revenu ne permet pas de satisfaire l'e</w:t>
      </w:r>
      <w:r w:rsidRPr="00931366">
        <w:rPr>
          <w:szCs w:val="22"/>
        </w:rPr>
        <w:t>n</w:t>
      </w:r>
      <w:r w:rsidRPr="00931366">
        <w:rPr>
          <w:szCs w:val="22"/>
        </w:rPr>
        <w:t>semble de leurs besoins.</w:t>
      </w:r>
    </w:p>
    <w:p w:rsidR="00C74A6B" w:rsidRPr="00931366" w:rsidRDefault="00C74A6B" w:rsidP="00C74A6B">
      <w:pPr>
        <w:spacing w:before="120" w:after="120"/>
        <w:jc w:val="both"/>
        <w:rPr>
          <w:szCs w:val="22"/>
        </w:rPr>
      </w:pPr>
      <w:r w:rsidRPr="00931366">
        <w:rPr>
          <w:szCs w:val="22"/>
        </w:rPr>
        <w:t xml:space="preserve">Si </w:t>
      </w:r>
      <w:r>
        <w:rPr>
          <w:szCs w:val="22"/>
        </w:rPr>
        <w:t>l’</w:t>
      </w:r>
      <w:r w:rsidRPr="00931366">
        <w:rPr>
          <w:szCs w:val="22"/>
        </w:rPr>
        <w:t xml:space="preserve">on ne considère que les achats à tempérament effectués au cours des deux années précédant </w:t>
      </w:r>
      <w:r>
        <w:rPr>
          <w:szCs w:val="22"/>
        </w:rPr>
        <w:t>l’</w:t>
      </w:r>
      <w:r w:rsidRPr="00931366">
        <w:rPr>
          <w:szCs w:val="22"/>
        </w:rPr>
        <w:t xml:space="preserve">enquête </w:t>
      </w:r>
      <w:r>
        <w:rPr>
          <w:szCs w:val="22"/>
        </w:rPr>
        <w:t>-</w:t>
      </w:r>
      <w:r w:rsidRPr="00931366">
        <w:rPr>
          <w:szCs w:val="22"/>
        </w:rPr>
        <w:t xml:space="preserve"> c'est</w:t>
      </w:r>
      <w:r>
        <w:rPr>
          <w:szCs w:val="22"/>
        </w:rPr>
        <w:t>-</w:t>
      </w:r>
      <w:r w:rsidRPr="00931366">
        <w:rPr>
          <w:szCs w:val="22"/>
        </w:rPr>
        <w:t>à</w:t>
      </w:r>
      <w:r>
        <w:rPr>
          <w:szCs w:val="22"/>
        </w:rPr>
        <w:t>-</w:t>
      </w:r>
      <w:r w:rsidRPr="00931366">
        <w:rPr>
          <w:szCs w:val="22"/>
        </w:rPr>
        <w:t>dire les achats pour lesquels les familles étaient susceptibles de faire encore des re</w:t>
      </w:r>
      <w:r w:rsidRPr="00931366">
        <w:rPr>
          <w:szCs w:val="22"/>
        </w:rPr>
        <w:t>m</w:t>
      </w:r>
      <w:r w:rsidRPr="00931366">
        <w:rPr>
          <w:szCs w:val="22"/>
        </w:rPr>
        <w:t xml:space="preserve">boursements </w:t>
      </w:r>
      <w:r>
        <w:rPr>
          <w:szCs w:val="22"/>
        </w:rPr>
        <w:t>-</w:t>
      </w:r>
      <w:r w:rsidRPr="00931366">
        <w:rPr>
          <w:szCs w:val="22"/>
        </w:rPr>
        <w:t>, on constate que près de la moitié des familles (49%) ont fait de tels achats. Ce pourcentage ne varie pas d'une strate à l'a</w:t>
      </w:r>
      <w:r w:rsidRPr="00931366">
        <w:rPr>
          <w:szCs w:val="22"/>
        </w:rPr>
        <w:t>u</w:t>
      </w:r>
      <w:r w:rsidRPr="00931366">
        <w:rPr>
          <w:szCs w:val="22"/>
        </w:rPr>
        <w:t>tre, sauf dans le cas des villages pauvres où il est plus élevé qu'ai</w:t>
      </w:r>
      <w:r w:rsidRPr="00931366">
        <w:rPr>
          <w:szCs w:val="22"/>
        </w:rPr>
        <w:t>l</w:t>
      </w:r>
      <w:r w:rsidRPr="00931366">
        <w:rPr>
          <w:szCs w:val="22"/>
        </w:rPr>
        <w:t xml:space="preserve">leurs. Encore une fois, on retrouve surtout la pratique de </w:t>
      </w:r>
      <w:r>
        <w:rPr>
          <w:szCs w:val="22"/>
        </w:rPr>
        <w:t>l’</w:t>
      </w:r>
      <w:r w:rsidRPr="00931366">
        <w:rPr>
          <w:szCs w:val="22"/>
        </w:rPr>
        <w:t>achat à cr</w:t>
      </w:r>
      <w:r w:rsidRPr="00931366">
        <w:rPr>
          <w:szCs w:val="22"/>
        </w:rPr>
        <w:t>é</w:t>
      </w:r>
      <w:r>
        <w:rPr>
          <w:szCs w:val="22"/>
        </w:rPr>
        <w:t>dit chez les plus dé</w:t>
      </w:r>
      <w:r w:rsidRPr="00931366">
        <w:rPr>
          <w:szCs w:val="22"/>
        </w:rPr>
        <w:t>favorisés.</w:t>
      </w:r>
    </w:p>
    <w:p w:rsidR="00C74A6B" w:rsidRPr="00931366" w:rsidRDefault="00C74A6B" w:rsidP="00C74A6B">
      <w:pPr>
        <w:spacing w:before="120" w:after="120"/>
        <w:jc w:val="both"/>
        <w:rPr>
          <w:szCs w:val="22"/>
        </w:rPr>
      </w:pPr>
      <w:r w:rsidRPr="00931366">
        <w:rPr>
          <w:szCs w:val="22"/>
        </w:rPr>
        <w:t>Il semble bien que les renseignements donnés par les familles soient véridiques. En effet, en analysant le budget des familles vis</w:t>
      </w:r>
      <w:r w:rsidRPr="00931366">
        <w:rPr>
          <w:szCs w:val="22"/>
        </w:rPr>
        <w:t>i</w:t>
      </w:r>
      <w:r w:rsidRPr="00931366">
        <w:rPr>
          <w:szCs w:val="22"/>
        </w:rPr>
        <w:t>tées, on trouve qu</w:t>
      </w:r>
      <w:r>
        <w:rPr>
          <w:szCs w:val="22"/>
        </w:rPr>
        <w:t>’</w:t>
      </w:r>
      <w:r w:rsidRPr="00931366">
        <w:rPr>
          <w:szCs w:val="22"/>
        </w:rPr>
        <w:t xml:space="preserve">un peu plus de la moitié des familles (53%) ont remboursé des dettes (autres que des dettes sur hypothèque) durant les douze mois précédant </w:t>
      </w:r>
      <w:r>
        <w:rPr>
          <w:szCs w:val="22"/>
        </w:rPr>
        <w:t>l’</w:t>
      </w:r>
      <w:r w:rsidRPr="00931366">
        <w:rPr>
          <w:szCs w:val="22"/>
        </w:rPr>
        <w:t>enquête. Le montant moyen de ces rembou</w:t>
      </w:r>
      <w:r w:rsidRPr="00931366">
        <w:rPr>
          <w:szCs w:val="22"/>
        </w:rPr>
        <w:t>r</w:t>
      </w:r>
      <w:r w:rsidRPr="00931366">
        <w:rPr>
          <w:szCs w:val="22"/>
        </w:rPr>
        <w:t>sements Pour l'ensemble des familles est de $254. Si la moyenne des re</w:t>
      </w:r>
      <w:r w:rsidRPr="00931366">
        <w:rPr>
          <w:szCs w:val="22"/>
        </w:rPr>
        <w:t>m</w:t>
      </w:r>
      <w:r w:rsidRPr="00931366">
        <w:rPr>
          <w:szCs w:val="22"/>
        </w:rPr>
        <w:t>boursements est établie à partir seulement des données recueillies auprès des fami</w:t>
      </w:r>
      <w:r w:rsidRPr="00931366">
        <w:rPr>
          <w:szCs w:val="22"/>
        </w:rPr>
        <w:t>l</w:t>
      </w:r>
      <w:r w:rsidRPr="00931366">
        <w:rPr>
          <w:szCs w:val="22"/>
        </w:rPr>
        <w:t>les ayant des versements réguliers à effectuer, elle se chiffre à $480 par année. Il n</w:t>
      </w:r>
      <w:r>
        <w:rPr>
          <w:szCs w:val="22"/>
        </w:rPr>
        <w:t>’</w:t>
      </w:r>
      <w:r w:rsidRPr="00931366">
        <w:rPr>
          <w:szCs w:val="22"/>
        </w:rPr>
        <w:t>y a aucune différence significative entre les strates par rapport à ces rembours</w:t>
      </w:r>
      <w:r w:rsidRPr="00931366">
        <w:rPr>
          <w:szCs w:val="22"/>
        </w:rPr>
        <w:t>e</w:t>
      </w:r>
      <w:r w:rsidRPr="00931366">
        <w:rPr>
          <w:szCs w:val="22"/>
        </w:rPr>
        <w:t>ments. Ainsi non seulement le pourcentage de familles endettées est</w:t>
      </w:r>
      <w:r>
        <w:rPr>
          <w:szCs w:val="22"/>
        </w:rPr>
        <w:t>-</w:t>
      </w:r>
      <w:r w:rsidRPr="00931366">
        <w:rPr>
          <w:szCs w:val="22"/>
        </w:rPr>
        <w:t>il se</w:t>
      </w:r>
      <w:r w:rsidRPr="00931366">
        <w:rPr>
          <w:szCs w:val="22"/>
        </w:rPr>
        <w:t>m</w:t>
      </w:r>
      <w:r w:rsidRPr="00931366">
        <w:rPr>
          <w:szCs w:val="22"/>
        </w:rPr>
        <w:t>blable à la ville et à la campagne, mais le montant même de l'endettement ne varie pas sens</w:t>
      </w:r>
      <w:r w:rsidRPr="00931366">
        <w:rPr>
          <w:szCs w:val="22"/>
        </w:rPr>
        <w:t>i</w:t>
      </w:r>
      <w:r w:rsidRPr="00931366">
        <w:rPr>
          <w:szCs w:val="22"/>
        </w:rPr>
        <w:t>blement d'un milieu à l'autre.</w:t>
      </w:r>
    </w:p>
    <w:p w:rsidR="00C74A6B" w:rsidRPr="00931366" w:rsidRDefault="00C74A6B" w:rsidP="00C74A6B">
      <w:pPr>
        <w:spacing w:before="120" w:after="120"/>
        <w:jc w:val="both"/>
        <w:rPr>
          <w:szCs w:val="22"/>
        </w:rPr>
      </w:pPr>
      <w:r w:rsidRPr="00931366">
        <w:rPr>
          <w:szCs w:val="22"/>
        </w:rPr>
        <w:t>Le montant moyen des dépenses pour l'ensemble des familles vis</w:t>
      </w:r>
      <w:r w:rsidRPr="00931366">
        <w:rPr>
          <w:szCs w:val="22"/>
        </w:rPr>
        <w:t>i</w:t>
      </w:r>
      <w:r w:rsidRPr="00931366">
        <w:rPr>
          <w:szCs w:val="22"/>
        </w:rPr>
        <w:t>tées est de $4,600. Ainsi, le remboursement de dettes représente env</w:t>
      </w:r>
      <w:r w:rsidRPr="00931366">
        <w:rPr>
          <w:szCs w:val="22"/>
        </w:rPr>
        <w:t>i</w:t>
      </w:r>
      <w:r>
        <w:rPr>
          <w:szCs w:val="22"/>
        </w:rPr>
        <w:t>ron 6% des dép</w:t>
      </w:r>
      <w:r w:rsidRPr="00931366">
        <w:rPr>
          <w:szCs w:val="22"/>
        </w:rPr>
        <w:t>enses totales pour l'ensemble des familles alors qu'il forme environ 12% des dépenses totales pour les familles ayant des dettes.</w:t>
      </w:r>
    </w:p>
    <w:p w:rsidR="00C74A6B" w:rsidRPr="00931366" w:rsidRDefault="00C74A6B" w:rsidP="00C74A6B">
      <w:pPr>
        <w:spacing w:before="120" w:after="120"/>
        <w:jc w:val="both"/>
      </w:pPr>
      <w:r w:rsidRPr="00931366">
        <w:rPr>
          <w:szCs w:val="22"/>
        </w:rPr>
        <w:t>Ces chiffres ne donnent cependant pas une idée exacte de l'ende</w:t>
      </w:r>
      <w:r w:rsidRPr="00931366">
        <w:rPr>
          <w:szCs w:val="22"/>
        </w:rPr>
        <w:t>t</w:t>
      </w:r>
      <w:r w:rsidRPr="00931366">
        <w:rPr>
          <w:szCs w:val="22"/>
        </w:rPr>
        <w:t xml:space="preserve">tement total des familles. En premier lieu, les remboursements de prêts hypothécaires ne sont pas inclus. En deuxième lieu, il faudrait ajouter aux remboursements annuels moyens les montants qui sont encore dus à la fin de l'année. Comme nous voulons nous restreindre ici au crédit à la consommation, nous négligerons d'étudier les prêts hypothécaires. Le montant moyen de dettes à la consommation à la fin de </w:t>
      </w:r>
      <w:r>
        <w:rPr>
          <w:szCs w:val="22"/>
        </w:rPr>
        <w:t>l’</w:t>
      </w:r>
      <w:r w:rsidRPr="00931366">
        <w:rPr>
          <w:szCs w:val="22"/>
        </w:rPr>
        <w:t>an</w:t>
      </w:r>
      <w:r>
        <w:rPr>
          <w:szCs w:val="22"/>
        </w:rPr>
        <w:t>n</w:t>
      </w:r>
      <w:r w:rsidRPr="00931366">
        <w:rPr>
          <w:szCs w:val="22"/>
        </w:rPr>
        <w:t xml:space="preserve">ée est de $240 pour </w:t>
      </w:r>
      <w:r>
        <w:rPr>
          <w:szCs w:val="22"/>
        </w:rPr>
        <w:t>l’</w:t>
      </w:r>
      <w:r w:rsidRPr="00931366">
        <w:rPr>
          <w:szCs w:val="22"/>
        </w:rPr>
        <w:t>ensemble des familles de</w:t>
      </w:r>
      <w:r>
        <w:rPr>
          <w:szCs w:val="22"/>
        </w:rPr>
        <w:t xml:space="preserve"> </w:t>
      </w:r>
      <w:r>
        <w:t>[</w:t>
      </w:r>
      <w:r w:rsidRPr="00931366">
        <w:t>506</w:t>
      </w:r>
      <w:r>
        <w:t>] l’</w:t>
      </w:r>
      <w:r w:rsidRPr="00931366">
        <w:t xml:space="preserve">échantillon. Si </w:t>
      </w:r>
      <w:r>
        <w:t>l’</w:t>
      </w:r>
      <w:r w:rsidRPr="00931366">
        <w:t>on ne considère que les familles qui avaient réell</w:t>
      </w:r>
      <w:r w:rsidRPr="00931366">
        <w:t>e</w:t>
      </w:r>
      <w:r w:rsidRPr="00931366">
        <w:t>ment des dettes (40% de l'ensemble), le montant moyen se chiffre à plus du double, soit $580.</w:t>
      </w:r>
    </w:p>
    <w:p w:rsidR="00C74A6B" w:rsidRPr="00931366" w:rsidRDefault="00C74A6B" w:rsidP="00C74A6B">
      <w:pPr>
        <w:spacing w:before="120" w:after="120"/>
        <w:jc w:val="both"/>
      </w:pPr>
      <w:r w:rsidRPr="00931366">
        <w:t>On peut donc dire que dans l'ensemble des familles, on doit cons</w:t>
      </w:r>
      <w:r w:rsidRPr="00931366">
        <w:t>a</w:t>
      </w:r>
      <w:r w:rsidRPr="00931366">
        <w:t>crer 6156 de ses dépenses à rembourser des dettes. On retrouve c</w:t>
      </w:r>
      <w:r w:rsidRPr="00931366">
        <w:t>e</w:t>
      </w:r>
      <w:r w:rsidRPr="00931366">
        <w:t>pendant le pouvoir d</w:t>
      </w:r>
      <w:r>
        <w:t>’</w:t>
      </w:r>
      <w:r w:rsidRPr="00931366">
        <w:t>achat ainsi perdu en faisant de nouvelles dettes représentant aussi 6% du revenu dispon</w:t>
      </w:r>
      <w:r w:rsidRPr="00931366">
        <w:t>i</w:t>
      </w:r>
      <w:r w:rsidRPr="00931366">
        <w:t>ble. De façon plus réaliste, cependant, il faut affirmer plutôt que 50% des familles ne s'endettent pas (exception faite des pr</w:t>
      </w:r>
      <w:r>
        <w:t>êts hypothécaires) alors que 50%</w:t>
      </w:r>
      <w:r w:rsidRPr="00931366">
        <w:t xml:space="preserve"> des fami</w:t>
      </w:r>
      <w:r w:rsidRPr="00931366">
        <w:t>l</w:t>
      </w:r>
      <w:r w:rsidRPr="00931366">
        <w:t>les vivent avec une dette constante d'environ $500, soit 12</w:t>
      </w:r>
      <w:r>
        <w:t>%</w:t>
      </w:r>
      <w:r w:rsidRPr="00931366">
        <w:t xml:space="preserve"> de leur r</w:t>
      </w:r>
      <w:r w:rsidRPr="00931366">
        <w:t>e</w:t>
      </w:r>
      <w:r w:rsidRPr="00931366">
        <w:t>venu.</w:t>
      </w:r>
    </w:p>
    <w:p w:rsidR="00C74A6B" w:rsidRPr="00931366" w:rsidRDefault="00C74A6B" w:rsidP="00C74A6B">
      <w:pPr>
        <w:spacing w:before="120" w:after="120"/>
        <w:jc w:val="both"/>
      </w:pPr>
    </w:p>
    <w:p w:rsidR="00C74A6B" w:rsidRPr="007112D6" w:rsidRDefault="00C74A6B" w:rsidP="00C74A6B">
      <w:pPr>
        <w:pStyle w:val="planche"/>
      </w:pPr>
      <w:bookmarkStart w:id="4" w:name="salaries_et_le_credit_2"/>
      <w:r w:rsidRPr="007112D6">
        <w:t>2. Attitudes à l’égard de l’achat à crédit</w:t>
      </w:r>
    </w:p>
    <w:bookmarkEnd w:id="4"/>
    <w:p w:rsidR="00C74A6B" w:rsidRPr="00931366" w:rsidRDefault="00C74A6B" w:rsidP="00C74A6B">
      <w:pPr>
        <w:spacing w:before="120" w:after="120"/>
        <w:jc w:val="both"/>
      </w:pPr>
    </w:p>
    <w:p w:rsidR="00C74A6B" w:rsidRDefault="00C74A6B" w:rsidP="00C74A6B">
      <w:pPr>
        <w:ind w:right="90" w:firstLine="0"/>
        <w:jc w:val="both"/>
        <w:rPr>
          <w:sz w:val="20"/>
        </w:rPr>
      </w:pPr>
      <w:hyperlink w:anchor="tdm" w:history="1">
        <w:r>
          <w:rPr>
            <w:rStyle w:val="Lienhypertexte"/>
            <w:sz w:val="20"/>
          </w:rPr>
          <w:t>Retour à la table des matières</w:t>
        </w:r>
      </w:hyperlink>
    </w:p>
    <w:p w:rsidR="00C74A6B" w:rsidRPr="00931366" w:rsidRDefault="00C74A6B" w:rsidP="00C74A6B">
      <w:pPr>
        <w:spacing w:before="120" w:after="120"/>
        <w:jc w:val="both"/>
      </w:pPr>
      <w:r w:rsidRPr="00931366">
        <w:t>Même si 74</w:t>
      </w:r>
      <w:r>
        <w:t>%</w:t>
      </w:r>
      <w:r w:rsidRPr="00931366">
        <w:t xml:space="preserve"> des familles ont déjà eu recours au crédit, il semble qu'on </w:t>
      </w:r>
      <w:r>
        <w:t>l’</w:t>
      </w:r>
      <w:r w:rsidRPr="00931366">
        <w:t>a fa</w:t>
      </w:r>
      <w:r>
        <w:t>it plus ou moins à contre</w:t>
      </w:r>
      <w:r w:rsidRPr="00931366">
        <w:t>cœur. En effet, lorsqu'on dema</w:t>
      </w:r>
      <w:r w:rsidRPr="00931366">
        <w:t>n</w:t>
      </w:r>
      <w:r w:rsidRPr="00931366">
        <w:t>de aux familles si elles conseilleraient à des amis d'acheter à crédit, se</w:t>
      </w:r>
      <w:r w:rsidRPr="00931366">
        <w:t>u</w:t>
      </w:r>
      <w:r w:rsidRPr="00931366">
        <w:t>lement 28</w:t>
      </w:r>
      <w:r>
        <w:t>%</w:t>
      </w:r>
      <w:r w:rsidRPr="00931366">
        <w:t xml:space="preserve"> répondent dans l'affirmative. Donc, même si la m</w:t>
      </w:r>
      <w:r w:rsidRPr="00931366">
        <w:t>a</w:t>
      </w:r>
      <w:r w:rsidRPr="00931366">
        <w:t xml:space="preserve">jorité des familles pratiquent </w:t>
      </w:r>
      <w:r>
        <w:t>l’</w:t>
      </w:r>
      <w:r w:rsidRPr="00931366">
        <w:t>achat à crédit, la majorité demeure o</w:t>
      </w:r>
      <w:r w:rsidRPr="00931366">
        <w:t>p</w:t>
      </w:r>
      <w:r w:rsidRPr="00931366">
        <w:t xml:space="preserve">posée à </w:t>
      </w:r>
      <w:r>
        <w:t>l’</w:t>
      </w:r>
      <w:r w:rsidRPr="00931366">
        <w:t>achat à crédit, du moins en principe, c'est</w:t>
      </w:r>
      <w:r>
        <w:t>-</w:t>
      </w:r>
      <w:r w:rsidRPr="00931366">
        <w:t>à</w:t>
      </w:r>
      <w:r>
        <w:t>-</w:t>
      </w:r>
      <w:r w:rsidRPr="00931366">
        <w:t>dire lor</w:t>
      </w:r>
      <w:r w:rsidRPr="00931366">
        <w:t>s</w:t>
      </w:r>
      <w:r w:rsidRPr="00931366">
        <w:t>qu'il s'agit de quelqu'un d'autre. Cette opposition est d'autant plus forte que ceux qui conseillent l'achat à crédit le font en mettant des restrictions. La re</w:t>
      </w:r>
      <w:r w:rsidRPr="00931366">
        <w:t>s</w:t>
      </w:r>
      <w:r w:rsidRPr="00931366">
        <w:t>triction la plus fréquente est qu</w:t>
      </w:r>
      <w:r>
        <w:t>’</w:t>
      </w:r>
      <w:r w:rsidRPr="00931366">
        <w:t>on doit acheter à crédit "seul</w:t>
      </w:r>
      <w:r w:rsidRPr="00931366">
        <w:t>e</w:t>
      </w:r>
      <w:r w:rsidRPr="00931366">
        <w:t>ment en cas de nécessité".</w:t>
      </w:r>
    </w:p>
    <w:p w:rsidR="00C74A6B" w:rsidRPr="00931366" w:rsidRDefault="00C74A6B" w:rsidP="00C74A6B">
      <w:pPr>
        <w:spacing w:before="120" w:after="120"/>
        <w:jc w:val="both"/>
      </w:pPr>
      <w:r w:rsidRPr="00931366">
        <w:t xml:space="preserve">Cette identification de </w:t>
      </w:r>
      <w:r>
        <w:t>l’</w:t>
      </w:r>
      <w:r w:rsidRPr="00931366">
        <w:t>achat à crédit à une nécessité ressort des réponses à une question posée dans les termes suivants : "Etes</w:t>
      </w:r>
      <w:r>
        <w:t>-</w:t>
      </w:r>
      <w:r w:rsidRPr="00931366">
        <w:t xml:space="preserve">vous d'accord ou non avec le fait que </w:t>
      </w:r>
      <w:r>
        <w:t>l’</w:t>
      </w:r>
      <w:r w:rsidRPr="00931366">
        <w:t>achat à crédit est une nécessité pour un salarié ?" 48</w:t>
      </w:r>
      <w:r>
        <w:t>%</w:t>
      </w:r>
      <w:r w:rsidRPr="00931366">
        <w:t xml:space="preserve"> des informateurs sont d'accord pour affirmer que l'achat à crédit est une nécessité, alors que 49% sont d</w:t>
      </w:r>
      <w:r>
        <w:t>’</w:t>
      </w:r>
      <w:r w:rsidRPr="00931366">
        <w:t>avis contraire. 3% restent indécis. Ainsi très peu d</w:t>
      </w:r>
      <w:r>
        <w:t>’</w:t>
      </w:r>
      <w:r w:rsidRPr="00931366">
        <w:t xml:space="preserve">informateurs acceptent </w:t>
      </w:r>
      <w:r>
        <w:t>l’</w:t>
      </w:r>
      <w:r w:rsidRPr="00931366">
        <w:t>achat à crédit comme une pratique nécessaire. Cette forme d</w:t>
      </w:r>
      <w:r>
        <w:t>’</w:t>
      </w:r>
      <w:r w:rsidRPr="00931366">
        <w:t>achat vient en opposition avec le système de valeurs de la très grande majorité. C</w:t>
      </w:r>
      <w:r w:rsidRPr="00931366">
        <w:t>e</w:t>
      </w:r>
      <w:r w:rsidRPr="00931366">
        <w:t xml:space="preserve">pendant, la moitié des informateurs Justifient </w:t>
      </w:r>
      <w:r>
        <w:t>l’</w:t>
      </w:r>
      <w:r w:rsidRPr="00931366">
        <w:t>achat à crédit par le fait qu</w:t>
      </w:r>
      <w:r>
        <w:t>’i</w:t>
      </w:r>
      <w:r w:rsidRPr="00931366">
        <w:t>l est conçu comme indispe</w:t>
      </w:r>
      <w:r w:rsidRPr="00931366">
        <w:t>n</w:t>
      </w:r>
      <w:r w:rsidRPr="00931366">
        <w:t>sable pour que le salarié puisse se procurer les biens qu</w:t>
      </w:r>
      <w:r>
        <w:t>’</w:t>
      </w:r>
      <w:r w:rsidRPr="00931366">
        <w:t>il juge nécessaires à un genre de vie convenable et satisfaisant.</w:t>
      </w:r>
    </w:p>
    <w:p w:rsidR="00C74A6B" w:rsidRPr="00931366" w:rsidRDefault="00C74A6B" w:rsidP="00C74A6B">
      <w:pPr>
        <w:spacing w:before="120" w:after="120"/>
        <w:jc w:val="both"/>
      </w:pPr>
      <w:r w:rsidRPr="00931366">
        <w:t xml:space="preserve">Cette définition de </w:t>
      </w:r>
      <w:r>
        <w:t>l’</w:t>
      </w:r>
      <w:r w:rsidRPr="00931366">
        <w:t>achat à crédit comme nécessaire est sans doute une ration</w:t>
      </w:r>
      <w:r w:rsidRPr="00931366">
        <w:t>a</w:t>
      </w:r>
      <w:r w:rsidRPr="00931366">
        <w:t xml:space="preserve">lisation offerte pour justifier la pratique (par 74%) de </w:t>
      </w:r>
      <w:r>
        <w:t>l’</w:t>
      </w:r>
      <w:r w:rsidRPr="00931366">
        <w:t>achat à crédit dans une culture où cette pratique est condamnée (67% la condamnent).</w:t>
      </w:r>
    </w:p>
    <w:p w:rsidR="00C74A6B" w:rsidRPr="00931366" w:rsidRDefault="00C74A6B" w:rsidP="00C74A6B">
      <w:pPr>
        <w:spacing w:before="120" w:after="120"/>
        <w:jc w:val="both"/>
      </w:pPr>
      <w:r w:rsidRPr="00931366">
        <w:t>On trouve assez peu de différences entre les divers groupes quand il s</w:t>
      </w:r>
      <w:r>
        <w:t>’</w:t>
      </w:r>
      <w:r w:rsidRPr="00931366">
        <w:t>agit de conseiller l'achat à crédit à des amis. Le pourcentage d'o</w:t>
      </w:r>
      <w:r w:rsidRPr="00931366">
        <w:t>p</w:t>
      </w:r>
      <w:r w:rsidRPr="00931366">
        <w:t>position au crédit ne varie pas quel que soit le revenu par personne des familles. On observe par ailleurs que les ouvriers semi</w:t>
      </w:r>
      <w:r>
        <w:t>-</w:t>
      </w:r>
      <w:r w:rsidRPr="00931366">
        <w:t xml:space="preserve">spécialisés sont plus favorables à </w:t>
      </w:r>
      <w:r>
        <w:t>l’</w:t>
      </w:r>
      <w:r w:rsidRPr="00931366">
        <w:t>achat à crédit que les autres groupes. De même, les habitants des grandes villes sont aussi plus favorables que les autres. Au contraire, les habitants des paroisses pauvres sont opposés plus que les autres à l'achat à crédit. On se souviendra que c'est ce dernier groupe qui prat</w:t>
      </w:r>
      <w:r w:rsidRPr="00931366">
        <w:t>i</w:t>
      </w:r>
      <w:r w:rsidRPr="00931366">
        <w:t>que le plus l'achat à crédit.</w:t>
      </w:r>
    </w:p>
    <w:p w:rsidR="00C74A6B" w:rsidRDefault="00C74A6B" w:rsidP="00C74A6B">
      <w:pPr>
        <w:pStyle w:val="p"/>
      </w:pPr>
      <w:r w:rsidRPr="00931366">
        <w:br w:type="page"/>
      </w:r>
      <w:r>
        <w:t>[</w:t>
      </w:r>
      <w:r w:rsidRPr="00931366">
        <w:t>507</w:t>
      </w:r>
      <w:r>
        <w:t>]</w:t>
      </w:r>
    </w:p>
    <w:p w:rsidR="00C74A6B" w:rsidRDefault="00C74A6B" w:rsidP="00C74A6B">
      <w:pPr>
        <w:pStyle w:val="p"/>
      </w:pPr>
    </w:p>
    <w:p w:rsidR="00C74A6B" w:rsidRPr="00931366" w:rsidRDefault="008C1BA0" w:rsidP="00C74A6B">
      <w:pPr>
        <w:pStyle w:val="fig"/>
      </w:pPr>
      <w:r w:rsidRPr="009F5333">
        <w:rPr>
          <w:noProof/>
        </w:rPr>
        <w:drawing>
          <wp:inline distT="0" distB="0" distL="0" distR="0">
            <wp:extent cx="4281170" cy="3007995"/>
            <wp:effectExtent l="25400" t="25400" r="11430" b="14605"/>
            <wp:docPr id="6" name="Image 6" descr="fig_p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50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1170" cy="3007995"/>
                    </a:xfrm>
                    <a:prstGeom prst="rect">
                      <a:avLst/>
                    </a:prstGeom>
                    <a:noFill/>
                    <a:ln w="19050" cmpd="sng">
                      <a:solidFill>
                        <a:srgbClr val="000000"/>
                      </a:solidFill>
                      <a:miter lim="800000"/>
                      <a:headEnd/>
                      <a:tailEnd/>
                    </a:ln>
                    <a:effectLst/>
                  </pic:spPr>
                </pic:pic>
              </a:graphicData>
            </a:graphic>
          </wp:inline>
        </w:drawing>
      </w:r>
    </w:p>
    <w:p w:rsidR="00C74A6B" w:rsidRDefault="00C74A6B" w:rsidP="00C74A6B">
      <w:pPr>
        <w:spacing w:before="120" w:after="120"/>
        <w:jc w:val="both"/>
        <w:rPr>
          <w:szCs w:val="22"/>
        </w:rPr>
      </w:pPr>
    </w:p>
    <w:p w:rsidR="00C74A6B" w:rsidRPr="00931366" w:rsidRDefault="00C74A6B" w:rsidP="00C74A6B">
      <w:pPr>
        <w:spacing w:before="120" w:after="120"/>
        <w:jc w:val="both"/>
        <w:rPr>
          <w:szCs w:val="22"/>
        </w:rPr>
      </w:pPr>
      <w:r w:rsidRPr="00931366">
        <w:rPr>
          <w:szCs w:val="22"/>
        </w:rPr>
        <w:t xml:space="preserve">Il se peut donc que l'opposition à </w:t>
      </w:r>
      <w:r>
        <w:rPr>
          <w:szCs w:val="22"/>
        </w:rPr>
        <w:t>l’</w:t>
      </w:r>
      <w:r w:rsidRPr="00931366">
        <w:rPr>
          <w:szCs w:val="22"/>
        </w:rPr>
        <w:t>achat à crédit vienne non se</w:t>
      </w:r>
      <w:r w:rsidRPr="00931366">
        <w:rPr>
          <w:szCs w:val="22"/>
        </w:rPr>
        <w:t>u</w:t>
      </w:r>
      <w:r w:rsidRPr="00931366">
        <w:rPr>
          <w:szCs w:val="22"/>
        </w:rPr>
        <w:t>lement du sy</w:t>
      </w:r>
      <w:r w:rsidRPr="00931366">
        <w:rPr>
          <w:szCs w:val="22"/>
        </w:rPr>
        <w:t>s</w:t>
      </w:r>
      <w:r w:rsidRPr="00931366">
        <w:rPr>
          <w:szCs w:val="22"/>
        </w:rPr>
        <w:t>tème de valeurs mais aussi de la connaissance empirique de ses inconvénients (taux d</w:t>
      </w:r>
      <w:r>
        <w:rPr>
          <w:szCs w:val="22"/>
        </w:rPr>
        <w:t>’</w:t>
      </w:r>
      <w:r w:rsidRPr="00931366">
        <w:rPr>
          <w:szCs w:val="22"/>
        </w:rPr>
        <w:t>intérêt, mode de remboursement, etc.).</w:t>
      </w:r>
    </w:p>
    <w:p w:rsidR="00C74A6B" w:rsidRPr="00931366" w:rsidRDefault="00C74A6B" w:rsidP="00C74A6B">
      <w:pPr>
        <w:spacing w:before="120" w:after="120"/>
        <w:jc w:val="both"/>
        <w:rPr>
          <w:szCs w:val="22"/>
        </w:rPr>
      </w:pPr>
      <w:r w:rsidRPr="00931366">
        <w:rPr>
          <w:szCs w:val="22"/>
        </w:rPr>
        <w:t xml:space="preserve">Ce sont les familles qui ont un faible revenu (moins de $900 par personne) qui définissent le plus souvent </w:t>
      </w:r>
      <w:r>
        <w:rPr>
          <w:szCs w:val="22"/>
        </w:rPr>
        <w:t>l’</w:t>
      </w:r>
      <w:r w:rsidRPr="00931366">
        <w:rPr>
          <w:szCs w:val="22"/>
        </w:rPr>
        <w:t xml:space="preserve">achat à crédit comme une nécessité. Plus le revenu est bas, plus </w:t>
      </w:r>
      <w:r>
        <w:rPr>
          <w:szCs w:val="22"/>
        </w:rPr>
        <w:t>l’</w:t>
      </w:r>
      <w:r w:rsidRPr="00931366">
        <w:rPr>
          <w:szCs w:val="22"/>
        </w:rPr>
        <w:t>achat à crédit est jugé néce</w:t>
      </w:r>
      <w:r w:rsidRPr="00931366">
        <w:rPr>
          <w:szCs w:val="22"/>
        </w:rPr>
        <w:t>s</w:t>
      </w:r>
      <w:r w:rsidRPr="00931366">
        <w:rPr>
          <w:szCs w:val="22"/>
        </w:rPr>
        <w:t xml:space="preserve">saire. Cependant, on ne peut affirmer que plus le revenu est élevé, moins </w:t>
      </w:r>
      <w:r>
        <w:rPr>
          <w:szCs w:val="22"/>
        </w:rPr>
        <w:t>l’</w:t>
      </w:r>
      <w:r w:rsidRPr="00931366">
        <w:rPr>
          <w:szCs w:val="22"/>
        </w:rPr>
        <w:t>achat à crédit est jugé nécessaire. En effet, on insiste davant</w:t>
      </w:r>
      <w:r w:rsidRPr="00931366">
        <w:rPr>
          <w:szCs w:val="22"/>
        </w:rPr>
        <w:t>a</w:t>
      </w:r>
      <w:r w:rsidRPr="00931366">
        <w:rPr>
          <w:szCs w:val="22"/>
        </w:rPr>
        <w:t>ge sur cette nécessité parmi les familles dont le revenu est élevé que dans les familles de revenu moyen. La relation est donc curviligne (voir graph</w:t>
      </w:r>
      <w:r w:rsidRPr="00931366">
        <w:rPr>
          <w:szCs w:val="22"/>
        </w:rPr>
        <w:t>i</w:t>
      </w:r>
      <w:r w:rsidRPr="00931366">
        <w:rPr>
          <w:szCs w:val="22"/>
        </w:rPr>
        <w:t>que).</w:t>
      </w:r>
    </w:p>
    <w:p w:rsidR="00C74A6B" w:rsidRPr="00931366" w:rsidRDefault="00C74A6B" w:rsidP="00C74A6B">
      <w:pPr>
        <w:spacing w:before="120" w:after="120"/>
        <w:jc w:val="both"/>
        <w:rPr>
          <w:szCs w:val="22"/>
        </w:rPr>
      </w:pPr>
      <w:r w:rsidRPr="00931366">
        <w:rPr>
          <w:szCs w:val="22"/>
        </w:rPr>
        <w:t>Ainsi, on peut formuler les hypothèses suivantes : l'achat à crédit est jugé nécessaire et est pratiqué partout par les familles à faible r</w:t>
      </w:r>
      <w:r w:rsidRPr="00931366">
        <w:rPr>
          <w:szCs w:val="22"/>
        </w:rPr>
        <w:t>e</w:t>
      </w:r>
      <w:r w:rsidRPr="00931366">
        <w:rPr>
          <w:szCs w:val="22"/>
        </w:rPr>
        <w:t>venu. Ces familles recourent au crédit pour se procurer les biens qu'e</w:t>
      </w:r>
      <w:r w:rsidRPr="00931366">
        <w:rPr>
          <w:szCs w:val="22"/>
        </w:rPr>
        <w:t>l</w:t>
      </w:r>
      <w:r w:rsidRPr="00931366">
        <w:rPr>
          <w:szCs w:val="22"/>
        </w:rPr>
        <w:t xml:space="preserve">les jugent essentiels. </w:t>
      </w:r>
      <w:r>
        <w:rPr>
          <w:szCs w:val="22"/>
        </w:rPr>
        <w:t>L’</w:t>
      </w:r>
      <w:r w:rsidRPr="00931366">
        <w:rPr>
          <w:szCs w:val="22"/>
        </w:rPr>
        <w:t>achat à crédit est aussi jugé nécessaire par les familles dont le revenu est élevé. Ces familles pe</w:t>
      </w:r>
      <w:r w:rsidRPr="00931366">
        <w:rPr>
          <w:szCs w:val="22"/>
        </w:rPr>
        <w:t>u</w:t>
      </w:r>
      <w:r w:rsidRPr="00931366">
        <w:rPr>
          <w:szCs w:val="22"/>
        </w:rPr>
        <w:t>vent ainsi satisfaire leurs aspirations. Les familles dont le revenu moyen permet à peu près exactement la satisfaction des besoins essentiels seraient bea</w:t>
      </w:r>
      <w:r w:rsidRPr="00931366">
        <w:rPr>
          <w:szCs w:val="22"/>
        </w:rPr>
        <w:t>u</w:t>
      </w:r>
      <w:r w:rsidRPr="00931366">
        <w:rPr>
          <w:szCs w:val="22"/>
        </w:rPr>
        <w:t>coup plus conservatrices et pratiqueraient moins l'achat à crédit.</w:t>
      </w:r>
    </w:p>
    <w:p w:rsidR="00C74A6B" w:rsidRPr="00931366" w:rsidRDefault="00C74A6B" w:rsidP="00C74A6B">
      <w:pPr>
        <w:spacing w:before="120" w:after="120"/>
        <w:jc w:val="both"/>
        <w:rPr>
          <w:szCs w:val="22"/>
        </w:rPr>
      </w:pPr>
      <w:r w:rsidRPr="00931366">
        <w:rPr>
          <w:szCs w:val="22"/>
        </w:rPr>
        <w:t>La vérification de ces hypothèses nous permettra d'arriver à des conclusions qui pourront être d'une grande importance sur le plan de l'action. En effet, dans un e</w:t>
      </w:r>
      <w:r w:rsidRPr="00931366">
        <w:rPr>
          <w:szCs w:val="22"/>
        </w:rPr>
        <w:t>f</w:t>
      </w:r>
      <w:r w:rsidRPr="00931366">
        <w:rPr>
          <w:szCs w:val="22"/>
        </w:rPr>
        <w:t>fort d'éducation ou dans l'élaboration de politiques, la connaissance des biens que les familles jugent nécessa</w:t>
      </w:r>
      <w:r w:rsidRPr="00931366">
        <w:rPr>
          <w:szCs w:val="22"/>
        </w:rPr>
        <w:t>i</w:t>
      </w:r>
      <w:r w:rsidRPr="00931366">
        <w:rPr>
          <w:szCs w:val="22"/>
        </w:rPr>
        <w:t>res ou auxquels elles aspirent, de même que la connai</w:t>
      </w:r>
      <w:r w:rsidRPr="00931366">
        <w:rPr>
          <w:szCs w:val="22"/>
        </w:rPr>
        <w:t>s</w:t>
      </w:r>
      <w:r w:rsidRPr="00931366">
        <w:rPr>
          <w:szCs w:val="22"/>
        </w:rPr>
        <w:t>sance des effets de ces définitions subjectives sur le comportement économique, sont essentielles.</w:t>
      </w:r>
    </w:p>
    <w:p w:rsidR="00C74A6B" w:rsidRPr="00931366" w:rsidRDefault="00C74A6B" w:rsidP="00C74A6B">
      <w:pPr>
        <w:spacing w:before="120" w:after="120"/>
        <w:jc w:val="both"/>
        <w:rPr>
          <w:szCs w:val="22"/>
        </w:rPr>
      </w:pPr>
    </w:p>
    <w:p w:rsidR="00C74A6B" w:rsidRPr="00931366" w:rsidRDefault="00C74A6B" w:rsidP="00C74A6B">
      <w:pPr>
        <w:spacing w:before="120" w:after="120"/>
        <w:ind w:left="3600" w:firstLine="0"/>
        <w:jc w:val="both"/>
        <w:rPr>
          <w:szCs w:val="22"/>
        </w:rPr>
      </w:pPr>
      <w:r w:rsidRPr="00931366">
        <w:rPr>
          <w:szCs w:val="22"/>
        </w:rPr>
        <w:t xml:space="preserve">M. </w:t>
      </w:r>
      <w:r>
        <w:rPr>
          <w:szCs w:val="22"/>
        </w:rPr>
        <w:t>-</w:t>
      </w:r>
      <w:r w:rsidRPr="00931366">
        <w:rPr>
          <w:szCs w:val="22"/>
        </w:rPr>
        <w:t>Ad</w:t>
      </w:r>
      <w:r>
        <w:rPr>
          <w:szCs w:val="22"/>
        </w:rPr>
        <w:t>élard TREMBLAY e</w:t>
      </w:r>
      <w:r w:rsidRPr="00931366">
        <w:rPr>
          <w:szCs w:val="22"/>
        </w:rPr>
        <w:t>t</w:t>
      </w:r>
      <w:r>
        <w:rPr>
          <w:szCs w:val="22"/>
        </w:rPr>
        <w:br/>
        <w:t>Gé</w:t>
      </w:r>
      <w:r w:rsidRPr="00931366">
        <w:rPr>
          <w:szCs w:val="22"/>
        </w:rPr>
        <w:t>rald FORTIN</w:t>
      </w:r>
      <w:r>
        <w:rPr>
          <w:szCs w:val="22"/>
        </w:rPr>
        <w:br/>
        <w:t>Département de Sociologie,</w:t>
      </w:r>
      <w:r>
        <w:rPr>
          <w:szCs w:val="22"/>
        </w:rPr>
        <w:br/>
      </w:r>
      <w:r w:rsidRPr="00931366">
        <w:rPr>
          <w:szCs w:val="22"/>
        </w:rPr>
        <w:t>Université Laval.</w:t>
      </w:r>
    </w:p>
    <w:p w:rsidR="00C74A6B" w:rsidRDefault="00C74A6B">
      <w:pPr>
        <w:jc w:val="both"/>
      </w:pPr>
    </w:p>
    <w:p w:rsidR="00C74A6B" w:rsidRDefault="00C74A6B">
      <w:pPr>
        <w:jc w:val="both"/>
      </w:pPr>
    </w:p>
    <w:sectPr w:rsidR="00C74A6B" w:rsidSect="00C74A6B">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235" w:rsidRDefault="00DA0235">
      <w:r>
        <w:separator/>
      </w:r>
    </w:p>
  </w:endnote>
  <w:endnote w:type="continuationSeparator" w:id="0">
    <w:p w:rsidR="00DA0235" w:rsidRDefault="00DA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235" w:rsidRDefault="00DA0235">
      <w:pPr>
        <w:ind w:firstLine="0"/>
      </w:pPr>
      <w:r>
        <w:separator/>
      </w:r>
    </w:p>
  </w:footnote>
  <w:footnote w:type="continuationSeparator" w:id="0">
    <w:p w:rsidR="00DA0235" w:rsidRDefault="00DA0235">
      <w:pPr>
        <w:ind w:firstLine="0"/>
      </w:pPr>
      <w:r>
        <w:separator/>
      </w:r>
    </w:p>
  </w:footnote>
  <w:footnote w:id="1">
    <w:p w:rsidR="00C74A6B" w:rsidRDefault="00C74A6B">
      <w:pPr>
        <w:pStyle w:val="Notedebasdepage"/>
      </w:pPr>
      <w:r>
        <w:rPr>
          <w:rStyle w:val="Appelnotedebasdep"/>
        </w:rPr>
        <w:footnoteRef/>
      </w:r>
      <w:r>
        <w:t xml:space="preserve"> </w:t>
      </w:r>
      <w:r>
        <w:tab/>
      </w:r>
      <w:r w:rsidRPr="00931366">
        <w:t>L'orientation générale de l'étude et la démarche suivie ont été brièvement e</w:t>
      </w:r>
      <w:r w:rsidRPr="00931366">
        <w:t>x</w:t>
      </w:r>
      <w:r w:rsidRPr="00931366">
        <w:t>posées dans : M.</w:t>
      </w:r>
      <w:r>
        <w:t>-</w:t>
      </w:r>
      <w:r w:rsidRPr="00931366">
        <w:t>Adé</w:t>
      </w:r>
      <w:r>
        <w:t>lard TREMBLAY, "</w:t>
      </w:r>
      <w:hyperlink r:id="rId1" w:history="1">
        <w:r w:rsidRPr="007112D6">
          <w:rPr>
            <w:rStyle w:val="Lienhypertexte"/>
          </w:rPr>
          <w:t>Étude des conditions de vie des f</w:t>
        </w:r>
        <w:r w:rsidRPr="007112D6">
          <w:rPr>
            <w:rStyle w:val="Lienhypertexte"/>
          </w:rPr>
          <w:t>a</w:t>
        </w:r>
        <w:r w:rsidRPr="007112D6">
          <w:rPr>
            <w:rStyle w:val="Lienhypertexte"/>
          </w:rPr>
          <w:t>milles canadiennes-françaises</w:t>
        </w:r>
      </w:hyperlink>
      <w:r w:rsidRPr="00931366">
        <w:t xml:space="preserve">", </w:t>
      </w:r>
      <w:r w:rsidRPr="008F2325">
        <w:rPr>
          <w:i/>
        </w:rPr>
        <w:t>Recherches sociographiques</w:t>
      </w:r>
      <w:r w:rsidRPr="00931366">
        <w:t>, 1, 1, janvier</w:t>
      </w:r>
      <w:r>
        <w:t>-</w:t>
      </w:r>
      <w:r w:rsidRPr="00931366">
        <w:t>mars 1960, 106</w:t>
      </w:r>
      <w:r>
        <w:t>-</w:t>
      </w:r>
      <w:r w:rsidRPr="00931366">
        <w:t xml:space="preserve">108. </w:t>
      </w:r>
      <w:r>
        <w:t>-</w:t>
      </w:r>
      <w:r w:rsidRPr="00931366">
        <w:t xml:space="preserve"> Les auteurs de la présente note tiennent à</w:t>
      </w:r>
      <w:r>
        <w:t xml:space="preserve"> </w:t>
      </w:r>
      <w:r w:rsidRPr="00931366">
        <w:t>remercier la Fédération des Caisses Popula</w:t>
      </w:r>
      <w:r w:rsidRPr="00931366">
        <w:t>i</w:t>
      </w:r>
      <w:r w:rsidRPr="00931366">
        <w:t>res Desjardins. Ils veulent aussi souligner la collaboration constante et efficace de M. André Morin, responsable des serv</w:t>
      </w:r>
      <w:r w:rsidRPr="00931366">
        <w:t>i</w:t>
      </w:r>
      <w:r w:rsidRPr="00931366">
        <w:t>ces statistiques de la Fédération.</w:t>
      </w:r>
      <w:r>
        <w:t xml:space="preserve"> </w:t>
      </w:r>
      <w:r w:rsidRPr="00931366">
        <w:t>Les analyses dont il est fait état ici ont été préparées par une équipe de chercheurs comprenant,</w:t>
      </w:r>
      <w:r>
        <w:t xml:space="preserve"> </w:t>
      </w:r>
      <w:r w:rsidRPr="00931366">
        <w:t>outre les auteurs, Pierre Laporte, Marc Laplante et Suzanne McLaren, assistants au Centre de reche</w:t>
      </w:r>
      <w:r w:rsidRPr="00931366">
        <w:t>r</w:t>
      </w:r>
      <w:r w:rsidRPr="00931366">
        <w:t>ches soci</w:t>
      </w:r>
      <w:r w:rsidRPr="00931366">
        <w:t>a</w:t>
      </w:r>
      <w:r w:rsidRPr="00931366">
        <w:t>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A6B" w:rsidRDefault="00C74A6B" w:rsidP="00C74A6B">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M.-A. Tremblay et Gérard Fortin, “</w:t>
    </w:r>
    <w:r w:rsidRPr="0002121B">
      <w:rPr>
        <w:rFonts w:ascii="Times New Roman" w:hAnsi="Times New Roman"/>
      </w:rPr>
      <w:t>Les salariés et le crédit dans le Québec”.</w:t>
    </w:r>
    <w:r>
      <w:rPr>
        <w:rFonts w:ascii="Times New Roman" w:hAnsi="Times New Roman"/>
      </w:rPr>
      <w:t xml:space="preserve"> (1960)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A0235">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C74A6B" w:rsidRDefault="00C74A6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8C1BA0"/>
    <w:rsid w:val="00C74A6B"/>
    <w:rsid w:val="00DA023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1948069-DBF1-3140-9DD7-2B3384C1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DD"/>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7112D6"/>
    <w:rPr>
      <w:rFonts w:eastAsia="Times New Roman"/>
      <w:noProof/>
      <w:lang w:val="fr-CA" w:eastAsia="en-US" w:bidi="ar-SA"/>
    </w:rPr>
  </w:style>
  <w:style w:type="character" w:customStyle="1" w:styleId="Titre2Car">
    <w:name w:val="Titre 2 Car"/>
    <w:basedOn w:val="Policepardfaut"/>
    <w:link w:val="Titre2"/>
    <w:rsid w:val="007112D6"/>
    <w:rPr>
      <w:rFonts w:eastAsia="Times New Roman"/>
      <w:noProof/>
      <w:lang w:val="fr-CA" w:eastAsia="en-US" w:bidi="ar-SA"/>
    </w:rPr>
  </w:style>
  <w:style w:type="character" w:customStyle="1" w:styleId="Titre3Car">
    <w:name w:val="Titre 3 Car"/>
    <w:basedOn w:val="Policepardfaut"/>
    <w:link w:val="Titre3"/>
    <w:rsid w:val="007112D6"/>
    <w:rPr>
      <w:rFonts w:eastAsia="Times New Roman"/>
      <w:noProof/>
      <w:lang w:val="fr-CA" w:eastAsia="en-US" w:bidi="ar-SA"/>
    </w:rPr>
  </w:style>
  <w:style w:type="character" w:customStyle="1" w:styleId="Titre4Car">
    <w:name w:val="Titre 4 Car"/>
    <w:basedOn w:val="Policepardfaut"/>
    <w:link w:val="Titre4"/>
    <w:rsid w:val="007112D6"/>
    <w:rPr>
      <w:rFonts w:eastAsia="Times New Roman"/>
      <w:noProof/>
      <w:lang w:val="fr-CA" w:eastAsia="en-US" w:bidi="ar-SA"/>
    </w:rPr>
  </w:style>
  <w:style w:type="character" w:customStyle="1" w:styleId="Titre5Car">
    <w:name w:val="Titre 5 Car"/>
    <w:basedOn w:val="Policepardfaut"/>
    <w:link w:val="Titre5"/>
    <w:rsid w:val="007112D6"/>
    <w:rPr>
      <w:rFonts w:eastAsia="Times New Roman"/>
      <w:noProof/>
      <w:lang w:val="fr-CA" w:eastAsia="en-US" w:bidi="ar-SA"/>
    </w:rPr>
  </w:style>
  <w:style w:type="character" w:customStyle="1" w:styleId="Titre6Car">
    <w:name w:val="Titre 6 Car"/>
    <w:basedOn w:val="Policepardfaut"/>
    <w:link w:val="Titre6"/>
    <w:rsid w:val="007112D6"/>
    <w:rPr>
      <w:rFonts w:eastAsia="Times New Roman"/>
      <w:noProof/>
      <w:lang w:val="fr-CA" w:eastAsia="en-US" w:bidi="ar-SA"/>
    </w:rPr>
  </w:style>
  <w:style w:type="character" w:customStyle="1" w:styleId="Titre7Car">
    <w:name w:val="Titre 7 Car"/>
    <w:basedOn w:val="Policepardfaut"/>
    <w:link w:val="Titre7"/>
    <w:rsid w:val="007112D6"/>
    <w:rPr>
      <w:rFonts w:eastAsia="Times New Roman"/>
      <w:noProof/>
      <w:lang w:val="fr-CA" w:eastAsia="en-US" w:bidi="ar-SA"/>
    </w:rPr>
  </w:style>
  <w:style w:type="character" w:customStyle="1" w:styleId="Titre8Car">
    <w:name w:val="Titre 8 Car"/>
    <w:basedOn w:val="Policepardfaut"/>
    <w:link w:val="Titre8"/>
    <w:rsid w:val="007112D6"/>
    <w:rPr>
      <w:rFonts w:eastAsia="Times New Roman"/>
      <w:noProof/>
      <w:lang w:val="fr-CA" w:eastAsia="en-US" w:bidi="ar-SA"/>
    </w:rPr>
  </w:style>
  <w:style w:type="character" w:customStyle="1" w:styleId="Titre9Car">
    <w:name w:val="Titre 9 Car"/>
    <w:basedOn w:val="Policepardfaut"/>
    <w:link w:val="Titre9"/>
    <w:rsid w:val="007112D6"/>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7112D6"/>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58603D"/>
    <w:pPr>
      <w:pBdr>
        <w:bottom w:val="single" w:sz="4" w:space="1" w:color="auto"/>
      </w:pBdr>
      <w:ind w:right="1980"/>
    </w:pPr>
    <w:rPr>
      <w:b w:val="0"/>
      <w:sz w:val="60"/>
    </w:rPr>
  </w:style>
  <w:style w:type="paragraph" w:customStyle="1" w:styleId="Titreniveau2">
    <w:name w:val="Titre niveau 2"/>
    <w:basedOn w:val="Titreniveau1"/>
    <w:autoRedefine/>
    <w:rsid w:val="0058603D"/>
    <w:pPr>
      <w:widowControl w:val="0"/>
      <w:pBdr>
        <w:bottom w:val="none" w:sz="0" w:space="0" w:color="auto"/>
      </w:pBdr>
      <w:ind w:right="0"/>
    </w:pPr>
    <w:rPr>
      <w:color w:val="800000"/>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7112D6"/>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7112D6"/>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7112D6"/>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7112D6"/>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7112D6"/>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7112D6"/>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7112D6"/>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7112D6"/>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7112D6"/>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7112D6"/>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7112D6"/>
    <w:pPr>
      <w:widowControl w:val="0"/>
    </w:pPr>
    <w:rPr>
      <w:rFonts w:ascii="Times New Roman" w:hAnsi="Times New Roman"/>
      <w:b w:val="0"/>
      <w:color w:val="000080"/>
      <w:sz w:val="36"/>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58603D"/>
    <w:pPr>
      <w:spacing w:before="60"/>
    </w:pPr>
    <w:rPr>
      <w:rFonts w:ascii="Times New Roman" w:hAnsi="Times New Roman"/>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rsid w:val="0058603D"/>
    <w:pPr>
      <w:tabs>
        <w:tab w:val="right" w:pos="9360"/>
      </w:tabs>
      <w:ind w:firstLine="0"/>
      <w:jc w:val="center"/>
    </w:pPr>
    <w:rPr>
      <w:rFonts w:ascii="Times" w:hAnsi="Times"/>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766A92"/>
    <w:rPr>
      <w:b w:val="0"/>
      <w:sz w:val="64"/>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7112D6"/>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Normal0">
    <w:name w:val="Normal +"/>
    <w:basedOn w:val="Normal"/>
    <w:rsid w:val="007112D6"/>
    <w:pPr>
      <w:spacing w:before="120" w:after="120"/>
      <w:jc w:val="both"/>
    </w:pPr>
  </w:style>
  <w:style w:type="paragraph" w:customStyle="1" w:styleId="fig">
    <w:name w:val="fig"/>
    <w:basedOn w:val="Normal0"/>
    <w:autoRedefine/>
    <w:rsid w:val="007112D6"/>
    <w:pPr>
      <w:ind w:firstLine="0"/>
      <w:jc w:val="center"/>
    </w:pPr>
  </w:style>
  <w:style w:type="paragraph" w:customStyle="1" w:styleId="p">
    <w:name w:val="p"/>
    <w:basedOn w:val="Normal"/>
    <w:autoRedefine/>
    <w:rsid w:val="007112D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localhost/ttp/::dx.doi.org:doi/10.1522:cla.fog.cl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udit.org/fr/revues/rs/1960-v1-n1-rs1499/055007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2527</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“Les salariés et le crédit dans le Québec”</vt:lpstr>
    </vt:vector>
  </TitlesOfParts>
  <Manager>Jean marie Tremblay, sociologue, bénévole, 2019</Manager>
  <Company>Les Classiques des sciences sociales</Company>
  <LinksUpToDate>false</LinksUpToDate>
  <CharactersWithSpaces>16395</CharactersWithSpaces>
  <SharedDoc>false</SharedDoc>
  <HyperlinkBase/>
  <HLinks>
    <vt:vector size="126" baseType="variant">
      <vt:variant>
        <vt:i4>6553625</vt:i4>
      </vt:variant>
      <vt:variant>
        <vt:i4>39</vt:i4>
      </vt:variant>
      <vt:variant>
        <vt:i4>0</vt:i4>
      </vt:variant>
      <vt:variant>
        <vt:i4>5</vt:i4>
      </vt:variant>
      <vt:variant>
        <vt:lpwstr/>
      </vt:variant>
      <vt:variant>
        <vt:lpwstr>tdm</vt:lpwstr>
      </vt:variant>
      <vt:variant>
        <vt:i4>45</vt:i4>
      </vt:variant>
      <vt:variant>
        <vt:i4>36</vt:i4>
      </vt:variant>
      <vt:variant>
        <vt:i4>0</vt:i4>
      </vt:variant>
      <vt:variant>
        <vt:i4>5</vt:i4>
      </vt:variant>
      <vt:variant>
        <vt:lpwstr>file://localhost/ttp/::dx.doi.org:doi/10.1522:cla.fog.cla</vt:lpwstr>
      </vt:variant>
      <vt:variant>
        <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7667776</vt:i4>
      </vt:variant>
      <vt:variant>
        <vt:i4>27</vt:i4>
      </vt:variant>
      <vt:variant>
        <vt:i4>0</vt:i4>
      </vt:variant>
      <vt:variant>
        <vt:i4>5</vt:i4>
      </vt:variant>
      <vt:variant>
        <vt:lpwstr/>
      </vt:variant>
      <vt:variant>
        <vt:lpwstr>salaries_et_le_credit_2</vt:lpwstr>
      </vt:variant>
      <vt:variant>
        <vt:i4>7667779</vt:i4>
      </vt:variant>
      <vt:variant>
        <vt:i4>24</vt:i4>
      </vt:variant>
      <vt:variant>
        <vt:i4>0</vt:i4>
      </vt:variant>
      <vt:variant>
        <vt:i4>5</vt:i4>
      </vt:variant>
      <vt:variant>
        <vt:lpwstr/>
      </vt:variant>
      <vt:variant>
        <vt:lpwstr>salaries_et_le_credit_1</vt:lpwstr>
      </vt:variant>
      <vt:variant>
        <vt:i4>6881280</vt:i4>
      </vt:variant>
      <vt:variant>
        <vt:i4>21</vt:i4>
      </vt:variant>
      <vt:variant>
        <vt:i4>0</vt:i4>
      </vt:variant>
      <vt:variant>
        <vt:i4>5</vt:i4>
      </vt:variant>
      <vt:variant>
        <vt:lpwstr/>
      </vt:variant>
      <vt:variant>
        <vt:lpwstr>salaries_et_le_credit_intro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2293848</vt:i4>
      </vt:variant>
      <vt:variant>
        <vt:i4>0</vt:i4>
      </vt:variant>
      <vt:variant>
        <vt:i4>0</vt:i4>
      </vt:variant>
      <vt:variant>
        <vt:i4>5</vt:i4>
      </vt:variant>
      <vt:variant>
        <vt:lpwstr>https://www.erudit.org/fr/revues/rs/1960-v1-n1-rs1499/055007ar/</vt:lpwstr>
      </vt:variant>
      <vt:variant>
        <vt:lpwstr/>
      </vt:variant>
      <vt:variant>
        <vt:i4>2228293</vt:i4>
      </vt:variant>
      <vt:variant>
        <vt:i4>2368</vt:i4>
      </vt:variant>
      <vt:variant>
        <vt:i4>1029</vt:i4>
      </vt:variant>
      <vt:variant>
        <vt:i4>1</vt:i4>
      </vt:variant>
      <vt:variant>
        <vt:lpwstr>css_logo_gris</vt:lpwstr>
      </vt:variant>
      <vt:variant>
        <vt:lpwstr/>
      </vt:variant>
      <vt:variant>
        <vt:i4>5111880</vt:i4>
      </vt:variant>
      <vt:variant>
        <vt:i4>2656</vt:i4>
      </vt:variant>
      <vt:variant>
        <vt:i4>1025</vt:i4>
      </vt:variant>
      <vt:variant>
        <vt:i4>1</vt:i4>
      </vt:variant>
      <vt:variant>
        <vt:lpwstr>UQAC_logo_2018</vt:lpwstr>
      </vt:variant>
      <vt:variant>
        <vt:lpwstr/>
      </vt:variant>
      <vt:variant>
        <vt:i4>4194334</vt:i4>
      </vt:variant>
      <vt:variant>
        <vt:i4>4994</vt:i4>
      </vt:variant>
      <vt:variant>
        <vt:i4>1026</vt:i4>
      </vt:variant>
      <vt:variant>
        <vt:i4>1</vt:i4>
      </vt:variant>
      <vt:variant>
        <vt:lpwstr>Boite_aux_lettres_clair</vt:lpwstr>
      </vt:variant>
      <vt:variant>
        <vt:lpwstr/>
      </vt:variant>
      <vt:variant>
        <vt:i4>1703963</vt:i4>
      </vt:variant>
      <vt:variant>
        <vt:i4>5563</vt:i4>
      </vt:variant>
      <vt:variant>
        <vt:i4>1027</vt:i4>
      </vt:variant>
      <vt:variant>
        <vt:i4>1</vt:i4>
      </vt:variant>
      <vt:variant>
        <vt:lpwstr>fait_sur_mac</vt:lpwstr>
      </vt:variant>
      <vt:variant>
        <vt:lpwstr/>
      </vt:variant>
      <vt:variant>
        <vt:i4>65583</vt:i4>
      </vt:variant>
      <vt:variant>
        <vt:i4>5652</vt:i4>
      </vt:variant>
      <vt:variant>
        <vt:i4>1028</vt:i4>
      </vt:variant>
      <vt:variant>
        <vt:i4>1</vt:i4>
      </vt:variant>
      <vt:variant>
        <vt:lpwstr>Rech_sociogr_01_4_L16</vt:lpwstr>
      </vt:variant>
      <vt:variant>
        <vt:lpwstr/>
      </vt:variant>
      <vt:variant>
        <vt:i4>5832819</vt:i4>
      </vt:variant>
      <vt:variant>
        <vt:i4>16694</vt:i4>
      </vt:variant>
      <vt:variant>
        <vt:i4>1030</vt:i4>
      </vt:variant>
      <vt:variant>
        <vt:i4>1</vt:i4>
      </vt:variant>
      <vt:variant>
        <vt:lpwstr>fig_p_507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salariés et le crédit dans le Québec”</dc:title>
  <dc:subject/>
  <dc:creator>Marc-Adélard Tremblay et Gérald Fortin, 1960</dc:creator>
  <cp:keywords>classiques.sc.soc@gmail.com</cp:keywords>
  <dc:description>http://classiques.uqac.ca/</dc:description>
  <cp:lastModifiedBy>Microsoft Office User</cp:lastModifiedBy>
  <cp:revision>2</cp:revision>
  <cp:lastPrinted>2001-08-26T19:33:00Z</cp:lastPrinted>
  <dcterms:created xsi:type="dcterms:W3CDTF">2019-03-07T12:17:00Z</dcterms:created>
  <dcterms:modified xsi:type="dcterms:W3CDTF">2019-03-07T12:17:00Z</dcterms:modified>
  <cp:category>jean-marie tremblay, fondateur, 1993</cp:category>
</cp:coreProperties>
</file>