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6F1436" w:rsidRPr="00E07116">
        <w:tblPrEx>
          <w:tblCellMar>
            <w:top w:w="0" w:type="dxa"/>
            <w:bottom w:w="0" w:type="dxa"/>
          </w:tblCellMar>
        </w:tblPrEx>
        <w:tc>
          <w:tcPr>
            <w:tcW w:w="9160" w:type="dxa"/>
            <w:shd w:val="clear" w:color="auto" w:fill="EBE7CF"/>
          </w:tcPr>
          <w:p w:rsidR="006F1436" w:rsidRPr="00E07116" w:rsidRDefault="006F1436" w:rsidP="006F1436">
            <w:pPr>
              <w:pStyle w:val="En-tte"/>
              <w:tabs>
                <w:tab w:val="clear" w:pos="4320"/>
                <w:tab w:val="clear" w:pos="8640"/>
              </w:tabs>
              <w:rPr>
                <w:rFonts w:ascii="Times New Roman" w:hAnsi="Times New Roman"/>
                <w:sz w:val="28"/>
                <w:lang w:val="en-CA" w:bidi="ar-SA"/>
              </w:rPr>
            </w:pPr>
            <w:bookmarkStart w:id="0" w:name="_GoBack"/>
            <w:bookmarkEnd w:id="0"/>
          </w:p>
          <w:p w:rsidR="006F1436" w:rsidRPr="00E07116" w:rsidRDefault="006F1436">
            <w:pPr>
              <w:ind w:firstLine="0"/>
              <w:jc w:val="center"/>
              <w:rPr>
                <w:b/>
                <w:lang w:bidi="ar-SA"/>
              </w:rPr>
            </w:pPr>
          </w:p>
          <w:p w:rsidR="006F1436" w:rsidRPr="00E07116" w:rsidRDefault="006F1436">
            <w:pPr>
              <w:ind w:firstLine="0"/>
              <w:jc w:val="center"/>
              <w:rPr>
                <w:b/>
                <w:lang w:bidi="ar-SA"/>
              </w:rPr>
            </w:pPr>
          </w:p>
          <w:p w:rsidR="006F1436" w:rsidRDefault="006F1436" w:rsidP="006F1436">
            <w:pPr>
              <w:ind w:firstLine="0"/>
              <w:jc w:val="center"/>
              <w:rPr>
                <w:b/>
                <w:sz w:val="20"/>
                <w:lang w:bidi="ar-SA"/>
              </w:rPr>
            </w:pPr>
          </w:p>
          <w:p w:rsidR="006F1436" w:rsidRPr="001E7979" w:rsidRDefault="006F1436" w:rsidP="006F1436">
            <w:pPr>
              <w:ind w:firstLine="0"/>
              <w:jc w:val="center"/>
              <w:rPr>
                <w:sz w:val="20"/>
                <w:lang w:bidi="ar-SA"/>
              </w:rPr>
            </w:pPr>
            <w:r>
              <w:rPr>
                <w:sz w:val="36"/>
              </w:rPr>
              <w:t>Pierre MACKAY</w:t>
            </w:r>
            <w:r>
              <w:rPr>
                <w:sz w:val="36"/>
              </w:rPr>
              <w:br/>
            </w:r>
          </w:p>
          <w:p w:rsidR="006F1436" w:rsidRPr="00AA0F60" w:rsidRDefault="006F1436" w:rsidP="006F1436">
            <w:pPr>
              <w:pStyle w:val="Corpsdetexte"/>
              <w:widowControl w:val="0"/>
              <w:spacing w:before="0" w:after="0"/>
              <w:rPr>
                <w:sz w:val="44"/>
                <w:lang w:bidi="ar-SA"/>
              </w:rPr>
            </w:pPr>
            <w:r w:rsidRPr="00AA0F60">
              <w:rPr>
                <w:sz w:val="44"/>
                <w:lang w:bidi="ar-SA"/>
              </w:rPr>
              <w:t>(</w:t>
            </w:r>
            <w:r>
              <w:rPr>
                <w:sz w:val="44"/>
                <w:lang w:bidi="ar-SA"/>
              </w:rPr>
              <w:t>1988</w:t>
            </w:r>
            <w:r w:rsidRPr="00AA0F60">
              <w:rPr>
                <w:sz w:val="44"/>
                <w:lang w:bidi="ar-SA"/>
              </w:rPr>
              <w:t>)</w:t>
            </w:r>
          </w:p>
          <w:p w:rsidR="006F1436" w:rsidRDefault="006F1436" w:rsidP="006F1436">
            <w:pPr>
              <w:pStyle w:val="Corpsdetexte"/>
              <w:widowControl w:val="0"/>
              <w:spacing w:before="0" w:after="0"/>
              <w:rPr>
                <w:color w:val="FF0000"/>
                <w:sz w:val="24"/>
                <w:lang w:bidi="ar-SA"/>
              </w:rPr>
            </w:pPr>
          </w:p>
          <w:p w:rsidR="006F1436" w:rsidRDefault="006F1436" w:rsidP="006F1436">
            <w:pPr>
              <w:pStyle w:val="Corpsdetexte"/>
              <w:widowControl w:val="0"/>
              <w:spacing w:before="0" w:after="0"/>
              <w:rPr>
                <w:color w:val="FF0000"/>
                <w:sz w:val="24"/>
                <w:lang w:bidi="ar-SA"/>
              </w:rPr>
            </w:pPr>
          </w:p>
          <w:p w:rsidR="006F1436" w:rsidRDefault="006F1436" w:rsidP="006F1436">
            <w:pPr>
              <w:pStyle w:val="Corpsdetexte"/>
              <w:widowControl w:val="0"/>
              <w:spacing w:before="0" w:after="0"/>
              <w:rPr>
                <w:color w:val="FF0000"/>
                <w:sz w:val="24"/>
                <w:lang w:bidi="ar-SA"/>
              </w:rPr>
            </w:pPr>
          </w:p>
          <w:p w:rsidR="006F1436" w:rsidRPr="00923CF0" w:rsidRDefault="006F1436" w:rsidP="006F1436">
            <w:pPr>
              <w:widowControl w:val="0"/>
              <w:ind w:firstLine="0"/>
              <w:jc w:val="center"/>
              <w:rPr>
                <w:sz w:val="64"/>
                <w:lang w:bidi="ar-SA"/>
              </w:rPr>
            </w:pPr>
            <w:r w:rsidRPr="00923CF0">
              <w:rPr>
                <w:sz w:val="64"/>
                <w:lang w:bidi="ar-SA"/>
              </w:rPr>
              <w:t>“La charte canadienne</w:t>
            </w:r>
            <w:r w:rsidRPr="00923CF0">
              <w:rPr>
                <w:sz w:val="64"/>
                <w:lang w:bidi="ar-SA"/>
              </w:rPr>
              <w:br/>
              <w:t>des droits et libertés de 1982 :</w:t>
            </w:r>
            <w:r w:rsidRPr="00923CF0">
              <w:rPr>
                <w:sz w:val="64"/>
                <w:lang w:bidi="ar-SA"/>
              </w:rPr>
              <w:br/>
              <w:t>un phare aveuglant contre</w:t>
            </w:r>
            <w:r>
              <w:rPr>
                <w:sz w:val="64"/>
                <w:lang w:bidi="ar-SA"/>
              </w:rPr>
              <w:br/>
            </w:r>
            <w:r w:rsidRPr="00923CF0">
              <w:rPr>
                <w:sz w:val="64"/>
                <w:lang w:bidi="ar-SA"/>
              </w:rPr>
              <w:t>la grande noirceur.”</w:t>
            </w:r>
          </w:p>
          <w:p w:rsidR="006F1436" w:rsidRDefault="006F1436" w:rsidP="006F1436">
            <w:pPr>
              <w:widowControl w:val="0"/>
              <w:ind w:firstLine="0"/>
              <w:jc w:val="center"/>
              <w:rPr>
                <w:lang w:bidi="ar-SA"/>
              </w:rPr>
            </w:pPr>
          </w:p>
          <w:p w:rsidR="006F1436" w:rsidRDefault="006F1436" w:rsidP="006F1436">
            <w:pPr>
              <w:widowControl w:val="0"/>
              <w:ind w:firstLine="0"/>
              <w:jc w:val="center"/>
              <w:rPr>
                <w:lang w:bidi="ar-SA"/>
              </w:rPr>
            </w:pPr>
          </w:p>
          <w:p w:rsidR="006F1436" w:rsidRDefault="006F1436" w:rsidP="006F1436">
            <w:pPr>
              <w:widowControl w:val="0"/>
              <w:ind w:firstLine="0"/>
              <w:jc w:val="center"/>
              <w:rPr>
                <w:sz w:val="20"/>
                <w:lang w:bidi="ar-SA"/>
              </w:rPr>
            </w:pPr>
          </w:p>
          <w:p w:rsidR="006F1436" w:rsidRPr="00384B20" w:rsidRDefault="006F1436">
            <w:pPr>
              <w:widowControl w:val="0"/>
              <w:ind w:firstLine="0"/>
              <w:jc w:val="center"/>
              <w:rPr>
                <w:sz w:val="20"/>
                <w:lang w:bidi="ar-SA"/>
              </w:rPr>
            </w:pPr>
          </w:p>
          <w:p w:rsidR="006F1436" w:rsidRPr="00384B20" w:rsidRDefault="006F1436">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6F1436" w:rsidRPr="00E07116" w:rsidRDefault="006F1436">
            <w:pPr>
              <w:widowControl w:val="0"/>
              <w:ind w:firstLine="0"/>
              <w:jc w:val="both"/>
              <w:rPr>
                <w:lang w:bidi="ar-SA"/>
              </w:rPr>
            </w:pPr>
          </w:p>
          <w:p w:rsidR="006F1436" w:rsidRPr="00E07116" w:rsidRDefault="006F1436">
            <w:pPr>
              <w:widowControl w:val="0"/>
              <w:ind w:firstLine="0"/>
              <w:jc w:val="both"/>
              <w:rPr>
                <w:lang w:bidi="ar-SA"/>
              </w:rPr>
            </w:pPr>
          </w:p>
          <w:p w:rsidR="006F1436" w:rsidRDefault="006F1436">
            <w:pPr>
              <w:widowControl w:val="0"/>
              <w:ind w:firstLine="0"/>
              <w:jc w:val="both"/>
              <w:rPr>
                <w:lang w:bidi="ar-SA"/>
              </w:rPr>
            </w:pPr>
          </w:p>
          <w:p w:rsidR="006F1436" w:rsidRDefault="006F1436">
            <w:pPr>
              <w:widowControl w:val="0"/>
              <w:ind w:firstLine="0"/>
              <w:jc w:val="both"/>
              <w:rPr>
                <w:lang w:bidi="ar-SA"/>
              </w:rPr>
            </w:pPr>
          </w:p>
          <w:p w:rsidR="006F1436" w:rsidRDefault="006F1436">
            <w:pPr>
              <w:widowControl w:val="0"/>
              <w:ind w:firstLine="0"/>
              <w:jc w:val="both"/>
              <w:rPr>
                <w:lang w:bidi="ar-SA"/>
              </w:rPr>
            </w:pPr>
          </w:p>
          <w:p w:rsidR="006F1436" w:rsidRPr="00E07116" w:rsidRDefault="006F1436">
            <w:pPr>
              <w:widowControl w:val="0"/>
              <w:ind w:firstLine="0"/>
              <w:jc w:val="both"/>
              <w:rPr>
                <w:lang w:bidi="ar-SA"/>
              </w:rPr>
            </w:pPr>
          </w:p>
          <w:p w:rsidR="006F1436" w:rsidRPr="00E07116" w:rsidRDefault="006F1436">
            <w:pPr>
              <w:widowControl w:val="0"/>
              <w:ind w:firstLine="0"/>
              <w:jc w:val="both"/>
              <w:rPr>
                <w:lang w:bidi="ar-SA"/>
              </w:rPr>
            </w:pPr>
          </w:p>
          <w:p w:rsidR="006F1436" w:rsidRDefault="006F1436">
            <w:pPr>
              <w:widowControl w:val="0"/>
              <w:ind w:firstLine="0"/>
              <w:jc w:val="both"/>
              <w:rPr>
                <w:lang w:bidi="ar-SA"/>
              </w:rPr>
            </w:pPr>
          </w:p>
          <w:p w:rsidR="006F1436" w:rsidRPr="00E07116" w:rsidRDefault="006F1436">
            <w:pPr>
              <w:widowControl w:val="0"/>
              <w:ind w:firstLine="0"/>
              <w:jc w:val="both"/>
              <w:rPr>
                <w:lang w:bidi="ar-SA"/>
              </w:rPr>
            </w:pPr>
          </w:p>
          <w:p w:rsidR="006F1436" w:rsidRPr="00E07116" w:rsidRDefault="006F1436">
            <w:pPr>
              <w:ind w:firstLine="0"/>
              <w:jc w:val="both"/>
              <w:rPr>
                <w:lang w:bidi="ar-SA"/>
              </w:rPr>
            </w:pPr>
          </w:p>
        </w:tc>
      </w:tr>
    </w:tbl>
    <w:p w:rsidR="006F1436" w:rsidRDefault="006F1436" w:rsidP="006F1436">
      <w:pPr>
        <w:ind w:firstLine="0"/>
        <w:jc w:val="both"/>
      </w:pPr>
      <w:r w:rsidRPr="00E07116">
        <w:br w:type="page"/>
      </w:r>
    </w:p>
    <w:p w:rsidR="006F1436" w:rsidRDefault="006F1436" w:rsidP="006F1436">
      <w:pPr>
        <w:ind w:firstLine="0"/>
        <w:jc w:val="both"/>
      </w:pPr>
    </w:p>
    <w:p w:rsidR="006F1436" w:rsidRDefault="006F1436" w:rsidP="006F1436">
      <w:pPr>
        <w:ind w:firstLine="0"/>
        <w:jc w:val="both"/>
      </w:pPr>
    </w:p>
    <w:p w:rsidR="006F1436" w:rsidRDefault="006F1436" w:rsidP="006F1436">
      <w:pPr>
        <w:ind w:firstLine="0"/>
        <w:jc w:val="both"/>
      </w:pPr>
    </w:p>
    <w:p w:rsidR="006F1436" w:rsidRDefault="004A0A1E" w:rsidP="006F1436">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6F1436" w:rsidRDefault="006F1436" w:rsidP="006F1436">
      <w:pPr>
        <w:ind w:firstLine="0"/>
        <w:jc w:val="right"/>
      </w:pPr>
      <w:hyperlink r:id="rId9" w:history="1">
        <w:r w:rsidRPr="00302466">
          <w:rPr>
            <w:rStyle w:val="Lienhypertexte"/>
          </w:rPr>
          <w:t>http://classiques.uqac.ca/</w:t>
        </w:r>
      </w:hyperlink>
      <w:r>
        <w:t xml:space="preserve"> </w:t>
      </w:r>
    </w:p>
    <w:p w:rsidR="006F1436" w:rsidRDefault="006F1436" w:rsidP="006F1436">
      <w:pPr>
        <w:ind w:firstLine="0"/>
        <w:jc w:val="both"/>
      </w:pPr>
    </w:p>
    <w:p w:rsidR="006F1436" w:rsidRDefault="006F1436" w:rsidP="006F1436">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6F1436" w:rsidRDefault="006F1436" w:rsidP="006F1436">
      <w:pPr>
        <w:ind w:firstLine="0"/>
        <w:jc w:val="both"/>
      </w:pPr>
    </w:p>
    <w:p w:rsidR="006F1436" w:rsidRDefault="006F1436" w:rsidP="006F1436">
      <w:pPr>
        <w:ind w:firstLine="0"/>
        <w:jc w:val="both"/>
      </w:pPr>
    </w:p>
    <w:p w:rsidR="006F1436" w:rsidRDefault="004A0A1E" w:rsidP="006F1436">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6F1436" w:rsidRDefault="006F1436" w:rsidP="006F1436">
      <w:pPr>
        <w:ind w:firstLine="0"/>
        <w:jc w:val="both"/>
      </w:pPr>
      <w:hyperlink r:id="rId11" w:history="1">
        <w:r w:rsidRPr="00302466">
          <w:rPr>
            <w:rStyle w:val="Lienhypertexte"/>
          </w:rPr>
          <w:t>http://bibliotheque.uqac.ca/</w:t>
        </w:r>
      </w:hyperlink>
      <w:r>
        <w:t xml:space="preserve"> </w:t>
      </w:r>
    </w:p>
    <w:p w:rsidR="006F1436" w:rsidRDefault="006F1436" w:rsidP="006F1436">
      <w:pPr>
        <w:ind w:firstLine="0"/>
        <w:jc w:val="both"/>
      </w:pPr>
    </w:p>
    <w:p w:rsidR="006F1436" w:rsidRDefault="006F1436" w:rsidP="006F1436">
      <w:pPr>
        <w:ind w:firstLine="0"/>
        <w:jc w:val="both"/>
      </w:pPr>
    </w:p>
    <w:p w:rsidR="006F1436" w:rsidRDefault="006F1436" w:rsidP="006F1436">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6F1436" w:rsidRPr="00E07116" w:rsidRDefault="006F1436" w:rsidP="006F1436">
      <w:pPr>
        <w:widowControl w:val="0"/>
        <w:autoSpaceDE w:val="0"/>
        <w:autoSpaceDN w:val="0"/>
        <w:adjustRightInd w:val="0"/>
        <w:rPr>
          <w:szCs w:val="32"/>
        </w:rPr>
      </w:pPr>
      <w:r w:rsidRPr="00E07116">
        <w:br w:type="page"/>
      </w:r>
    </w:p>
    <w:p w:rsidR="006F1436" w:rsidRPr="00241454" w:rsidRDefault="006F1436">
      <w:pPr>
        <w:widowControl w:val="0"/>
        <w:autoSpaceDE w:val="0"/>
        <w:autoSpaceDN w:val="0"/>
        <w:adjustRightInd w:val="0"/>
        <w:jc w:val="center"/>
        <w:rPr>
          <w:color w:val="008B00"/>
          <w:sz w:val="40"/>
          <w:szCs w:val="36"/>
        </w:rPr>
      </w:pPr>
      <w:r w:rsidRPr="00241454">
        <w:rPr>
          <w:color w:val="008B00"/>
          <w:sz w:val="40"/>
          <w:szCs w:val="36"/>
        </w:rPr>
        <w:t>Politique d'utilisation</w:t>
      </w:r>
      <w:r w:rsidRPr="00241454">
        <w:rPr>
          <w:color w:val="008B00"/>
          <w:sz w:val="40"/>
          <w:szCs w:val="36"/>
        </w:rPr>
        <w:br/>
        <w:t>de la bibliothèque des Classiques</w:t>
      </w:r>
    </w:p>
    <w:p w:rsidR="006F1436" w:rsidRPr="00E07116" w:rsidRDefault="006F1436">
      <w:pPr>
        <w:widowControl w:val="0"/>
        <w:autoSpaceDE w:val="0"/>
        <w:autoSpaceDN w:val="0"/>
        <w:adjustRightInd w:val="0"/>
        <w:rPr>
          <w:szCs w:val="32"/>
        </w:rPr>
      </w:pPr>
    </w:p>
    <w:p w:rsidR="006F1436" w:rsidRPr="00E07116" w:rsidRDefault="006F1436">
      <w:pPr>
        <w:widowControl w:val="0"/>
        <w:autoSpaceDE w:val="0"/>
        <w:autoSpaceDN w:val="0"/>
        <w:adjustRightInd w:val="0"/>
        <w:jc w:val="both"/>
        <w:rPr>
          <w:color w:val="1C1C1C"/>
          <w:szCs w:val="26"/>
        </w:rPr>
      </w:pPr>
    </w:p>
    <w:p w:rsidR="006F1436" w:rsidRPr="00E07116" w:rsidRDefault="006F1436">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6F1436" w:rsidRPr="00E07116" w:rsidRDefault="006F1436">
      <w:pPr>
        <w:widowControl w:val="0"/>
        <w:autoSpaceDE w:val="0"/>
        <w:autoSpaceDN w:val="0"/>
        <w:adjustRightInd w:val="0"/>
        <w:jc w:val="both"/>
        <w:rPr>
          <w:color w:val="1C1C1C"/>
          <w:szCs w:val="26"/>
        </w:rPr>
      </w:pPr>
    </w:p>
    <w:p w:rsidR="006F1436" w:rsidRPr="00E07116" w:rsidRDefault="006F1436" w:rsidP="006F1436">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6F1436" w:rsidRPr="00E07116" w:rsidRDefault="006F1436" w:rsidP="006F1436">
      <w:pPr>
        <w:widowControl w:val="0"/>
        <w:autoSpaceDE w:val="0"/>
        <w:autoSpaceDN w:val="0"/>
        <w:adjustRightInd w:val="0"/>
        <w:jc w:val="both"/>
        <w:rPr>
          <w:color w:val="1C1C1C"/>
          <w:szCs w:val="26"/>
        </w:rPr>
      </w:pPr>
    </w:p>
    <w:p w:rsidR="006F1436" w:rsidRPr="00E07116" w:rsidRDefault="006F1436" w:rsidP="006F1436">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6F1436" w:rsidRPr="00E07116" w:rsidRDefault="006F1436" w:rsidP="006F1436">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6F1436" w:rsidRPr="00E07116" w:rsidRDefault="006F1436" w:rsidP="006F1436">
      <w:pPr>
        <w:widowControl w:val="0"/>
        <w:autoSpaceDE w:val="0"/>
        <w:autoSpaceDN w:val="0"/>
        <w:adjustRightInd w:val="0"/>
        <w:jc w:val="both"/>
        <w:rPr>
          <w:color w:val="1C1C1C"/>
          <w:szCs w:val="26"/>
        </w:rPr>
      </w:pPr>
    </w:p>
    <w:p w:rsidR="006F1436" w:rsidRPr="00E07116" w:rsidRDefault="006F1436">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6F1436" w:rsidRPr="00E07116" w:rsidRDefault="006F1436">
      <w:pPr>
        <w:widowControl w:val="0"/>
        <w:autoSpaceDE w:val="0"/>
        <w:autoSpaceDN w:val="0"/>
        <w:adjustRightInd w:val="0"/>
        <w:jc w:val="both"/>
        <w:rPr>
          <w:color w:val="1C1C1C"/>
          <w:szCs w:val="26"/>
        </w:rPr>
      </w:pPr>
    </w:p>
    <w:p w:rsidR="006F1436" w:rsidRPr="00E07116" w:rsidRDefault="006F1436">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6F1436" w:rsidRPr="00E07116" w:rsidRDefault="006F1436">
      <w:pPr>
        <w:rPr>
          <w:b/>
          <w:color w:val="1C1C1C"/>
          <w:szCs w:val="26"/>
        </w:rPr>
      </w:pPr>
    </w:p>
    <w:p w:rsidR="006F1436" w:rsidRPr="00E07116" w:rsidRDefault="006F1436">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6F1436" w:rsidRPr="00E07116" w:rsidRDefault="006F1436">
      <w:pPr>
        <w:rPr>
          <w:b/>
          <w:color w:val="1C1C1C"/>
          <w:szCs w:val="26"/>
        </w:rPr>
      </w:pPr>
    </w:p>
    <w:p w:rsidR="006F1436" w:rsidRPr="00E07116" w:rsidRDefault="006F1436">
      <w:pPr>
        <w:rPr>
          <w:color w:val="1C1C1C"/>
          <w:szCs w:val="26"/>
        </w:rPr>
      </w:pPr>
      <w:r w:rsidRPr="00E07116">
        <w:rPr>
          <w:color w:val="1C1C1C"/>
          <w:szCs w:val="26"/>
        </w:rPr>
        <w:t>Jean-Marie Tremblay, sociologue</w:t>
      </w:r>
    </w:p>
    <w:p w:rsidR="006F1436" w:rsidRPr="00E07116" w:rsidRDefault="006F1436">
      <w:pPr>
        <w:rPr>
          <w:color w:val="1C1C1C"/>
          <w:szCs w:val="26"/>
        </w:rPr>
      </w:pPr>
      <w:r w:rsidRPr="00E07116">
        <w:rPr>
          <w:color w:val="1C1C1C"/>
          <w:szCs w:val="26"/>
        </w:rPr>
        <w:t>Fondateur et Président-directeur général,</w:t>
      </w:r>
    </w:p>
    <w:p w:rsidR="006F1436" w:rsidRPr="00E07116" w:rsidRDefault="006F1436">
      <w:pPr>
        <w:rPr>
          <w:color w:val="000080"/>
        </w:rPr>
      </w:pPr>
      <w:r w:rsidRPr="00E07116">
        <w:rPr>
          <w:color w:val="000080"/>
          <w:szCs w:val="26"/>
        </w:rPr>
        <w:t>LES CLASSIQUES DES SCIENCES SOCIALES.</w:t>
      </w:r>
    </w:p>
    <w:p w:rsidR="006F1436" w:rsidRDefault="006F1436" w:rsidP="006F1436">
      <w:pPr>
        <w:ind w:left="20" w:hanging="20"/>
        <w:jc w:val="both"/>
        <w:rPr>
          <w:sz w:val="24"/>
        </w:rPr>
      </w:pPr>
      <w:r>
        <w:br w:type="page"/>
      </w:r>
      <w:r w:rsidRPr="00753781">
        <w:rPr>
          <w:sz w:val="24"/>
        </w:rPr>
        <w:lastRenderedPageBreak/>
        <w:t xml:space="preserve">Cette édition électronique a été réalisée par </w:t>
      </w:r>
      <w:r>
        <w:rPr>
          <w:sz w:val="24"/>
        </w:rPr>
        <w:t>mon épouse, Diane Brunet</w:t>
      </w:r>
      <w:r w:rsidRPr="00753781">
        <w:rPr>
          <w:sz w:val="24"/>
        </w:rPr>
        <w:t>, bén</w:t>
      </w:r>
      <w:r w:rsidRPr="00753781">
        <w:rPr>
          <w:sz w:val="24"/>
        </w:rPr>
        <w:t>é</w:t>
      </w:r>
      <w:r w:rsidRPr="00753781">
        <w:rPr>
          <w:sz w:val="24"/>
        </w:rPr>
        <w:t xml:space="preserve">vole, </w:t>
      </w:r>
      <w:r>
        <w:rPr>
          <w:sz w:val="24"/>
        </w:rPr>
        <w:t>guide retraitée du Musée de la Pulperie de Chicoutimi</w:t>
      </w:r>
      <w:r w:rsidRPr="00753781">
        <w:rPr>
          <w:sz w:val="24"/>
        </w:rPr>
        <w:t>:</w:t>
      </w:r>
    </w:p>
    <w:p w:rsidR="006F1436" w:rsidRDefault="006F1436" w:rsidP="006F1436">
      <w:pPr>
        <w:ind w:left="20" w:hanging="20"/>
        <w:jc w:val="both"/>
        <w:rPr>
          <w:sz w:val="24"/>
        </w:rPr>
      </w:pPr>
      <w:r>
        <w:rPr>
          <w:sz w:val="24"/>
        </w:rPr>
        <w:t xml:space="preserve">Page web dans </w:t>
      </w:r>
      <w:r w:rsidRPr="00A32BFB">
        <w:rPr>
          <w:sz w:val="24"/>
        </w:rPr>
        <w:t>Les Classiques des sciences sociales</w:t>
      </w:r>
      <w:r>
        <w:rPr>
          <w:sz w:val="24"/>
        </w:rPr>
        <w:t> :</w:t>
      </w:r>
      <w:r>
        <w:rPr>
          <w:sz w:val="24"/>
        </w:rPr>
        <w:br/>
      </w:r>
      <w:hyperlink r:id="rId12" w:history="1">
        <w:r w:rsidRPr="00BF5BF1">
          <w:rPr>
            <w:rStyle w:val="Lienhypertexte"/>
            <w:sz w:val="24"/>
          </w:rPr>
          <w:t>http://classiques.uqac.ca/inter/benevoles_equipe/liste_brunet_diane.html</w:t>
        </w:r>
      </w:hyperlink>
      <w:r>
        <w:rPr>
          <w:sz w:val="24"/>
        </w:rPr>
        <w:t xml:space="preserve"> </w:t>
      </w:r>
    </w:p>
    <w:p w:rsidR="006F1436" w:rsidRPr="00753781" w:rsidRDefault="006F1436" w:rsidP="006F1436">
      <w:pPr>
        <w:ind w:left="20" w:hanging="20"/>
        <w:jc w:val="both"/>
        <w:rPr>
          <w:sz w:val="24"/>
        </w:rPr>
      </w:pPr>
      <w:r>
        <w:rPr>
          <w:sz w:val="24"/>
        </w:rPr>
        <w:t xml:space="preserve">Courriel : </w:t>
      </w:r>
      <w:hyperlink r:id="rId13" w:history="1">
        <w:r w:rsidRPr="00BF5BF1">
          <w:rPr>
            <w:rStyle w:val="Lienhypertexte"/>
            <w:sz w:val="24"/>
          </w:rPr>
          <w:t>Brunet_diane@hotmail.com</w:t>
        </w:r>
      </w:hyperlink>
      <w:r>
        <w:rPr>
          <w:sz w:val="24"/>
        </w:rPr>
        <w:t xml:space="preserve"> </w:t>
      </w:r>
    </w:p>
    <w:p w:rsidR="006F1436" w:rsidRDefault="006F1436" w:rsidP="006F1436">
      <w:pPr>
        <w:ind w:firstLine="0"/>
        <w:jc w:val="both"/>
        <w:rPr>
          <w:sz w:val="24"/>
        </w:rPr>
      </w:pPr>
    </w:p>
    <w:p w:rsidR="006F1436" w:rsidRPr="00CF4C8E" w:rsidRDefault="006F1436" w:rsidP="006F1436">
      <w:pPr>
        <w:ind w:firstLine="0"/>
        <w:jc w:val="both"/>
        <w:rPr>
          <w:sz w:val="24"/>
        </w:rPr>
      </w:pPr>
      <w:r w:rsidRPr="00CF4C8E">
        <w:rPr>
          <w:sz w:val="24"/>
        </w:rPr>
        <w:t>à partir du texte de :</w:t>
      </w:r>
    </w:p>
    <w:p w:rsidR="006F1436" w:rsidRDefault="006F1436" w:rsidP="006F1436">
      <w:pPr>
        <w:ind w:firstLine="0"/>
        <w:jc w:val="both"/>
        <w:rPr>
          <w:sz w:val="24"/>
        </w:rPr>
      </w:pPr>
    </w:p>
    <w:p w:rsidR="006F1436" w:rsidRPr="00FA1BB5" w:rsidRDefault="006F1436" w:rsidP="006F1436">
      <w:pPr>
        <w:ind w:firstLine="0"/>
        <w:jc w:val="both"/>
      </w:pPr>
      <w:r>
        <w:t>Pierre Mackay</w:t>
      </w:r>
      <w:r w:rsidRPr="00FA1BB5">
        <w:t>,</w:t>
      </w:r>
    </w:p>
    <w:p w:rsidR="006F1436" w:rsidRPr="00FA1BB5" w:rsidRDefault="006F1436" w:rsidP="006F1436">
      <w:pPr>
        <w:ind w:firstLine="0"/>
        <w:jc w:val="both"/>
      </w:pPr>
    </w:p>
    <w:p w:rsidR="006F1436" w:rsidRPr="00FA1BB5" w:rsidRDefault="006F1436" w:rsidP="006F1436">
      <w:pPr>
        <w:ind w:firstLine="0"/>
        <w:jc w:val="both"/>
      </w:pPr>
      <w:r w:rsidRPr="00FA1BB5">
        <w:t>“</w:t>
      </w:r>
      <w:r w:rsidRPr="00923CF0">
        <w:rPr>
          <w:b/>
          <w:color w:val="008000"/>
        </w:rPr>
        <w:t>La charte canadienne des droits et libertés de 1982 : un phare aveuglant contre la grande noirceur</w:t>
      </w:r>
      <w:r w:rsidRPr="00FA1BB5">
        <w:t>.”</w:t>
      </w:r>
    </w:p>
    <w:p w:rsidR="006F1436" w:rsidRPr="00384B20" w:rsidRDefault="006F1436" w:rsidP="006F1436">
      <w:pPr>
        <w:ind w:firstLine="0"/>
        <w:jc w:val="both"/>
        <w:rPr>
          <w:sz w:val="24"/>
        </w:rPr>
      </w:pPr>
    </w:p>
    <w:p w:rsidR="006F1436" w:rsidRPr="00A32BFB" w:rsidRDefault="006F1436" w:rsidP="006F1436">
      <w:pPr>
        <w:ind w:left="20" w:hanging="20"/>
        <w:jc w:val="both"/>
      </w:pPr>
      <w:r>
        <w:t xml:space="preserve">in ouvrage de Yves Bélanger, Dorval Brunelle et collaborateurs, </w:t>
      </w:r>
      <w:r>
        <w:rPr>
          <w:b/>
          <w:color w:val="000080"/>
        </w:rPr>
        <w:t>L’ère des libéraux. Le pouvoir fédéral de 1963 à 1984</w:t>
      </w:r>
      <w:r>
        <w:t xml:space="preserve">, pp. 109-126. </w:t>
      </w:r>
      <w:r w:rsidRPr="00A32BFB">
        <w:t>Mo</w:t>
      </w:r>
      <w:r w:rsidRPr="00A32BFB">
        <w:t>n</w:t>
      </w:r>
      <w:r w:rsidRPr="00A32BFB">
        <w:t>tréal : Les Presses de l’Université du Québec, 1988, 442 pp.</w:t>
      </w:r>
    </w:p>
    <w:p w:rsidR="006F1436" w:rsidRPr="00384B20" w:rsidRDefault="006F1436" w:rsidP="006F1436">
      <w:pPr>
        <w:ind w:hanging="20"/>
        <w:jc w:val="both"/>
        <w:rPr>
          <w:sz w:val="24"/>
        </w:rPr>
      </w:pPr>
    </w:p>
    <w:p w:rsidR="006F1436" w:rsidRPr="00384B20" w:rsidRDefault="006F1436" w:rsidP="006F1436">
      <w:pPr>
        <w:jc w:val="both"/>
        <w:rPr>
          <w:sz w:val="24"/>
        </w:rPr>
      </w:pPr>
    </w:p>
    <w:p w:rsidR="006F1436" w:rsidRPr="00384B20" w:rsidRDefault="006F1436" w:rsidP="006F1436">
      <w:pPr>
        <w:ind w:left="20"/>
        <w:jc w:val="both"/>
        <w:rPr>
          <w:sz w:val="24"/>
        </w:rPr>
      </w:pPr>
      <w:r>
        <w:rPr>
          <w:sz w:val="24"/>
        </w:rPr>
        <w:t>Le 17 mars 2006, M. Bélanger nous a accordé l’</w:t>
      </w:r>
      <w:r w:rsidRPr="00384B20">
        <w:rPr>
          <w:sz w:val="24"/>
        </w:rPr>
        <w:t>autoris</w:t>
      </w:r>
      <w:r w:rsidRPr="00384B20">
        <w:rPr>
          <w:sz w:val="24"/>
        </w:rPr>
        <w:t>a</w:t>
      </w:r>
      <w:r w:rsidRPr="00384B20">
        <w:rPr>
          <w:sz w:val="24"/>
        </w:rPr>
        <w:t>tion de diffuser en</w:t>
      </w:r>
      <w:r>
        <w:rPr>
          <w:sz w:val="24"/>
        </w:rPr>
        <w:t xml:space="preserve"> l</w:t>
      </w:r>
      <w:r>
        <w:rPr>
          <w:sz w:val="24"/>
        </w:rPr>
        <w:t>i</w:t>
      </w:r>
      <w:r>
        <w:rPr>
          <w:sz w:val="24"/>
        </w:rPr>
        <w:t xml:space="preserve">bre </w:t>
      </w:r>
      <w:r w:rsidRPr="00384B20">
        <w:rPr>
          <w:sz w:val="24"/>
        </w:rPr>
        <w:t xml:space="preserve"> accès libre à tous </w:t>
      </w:r>
      <w:r>
        <w:rPr>
          <w:sz w:val="24"/>
        </w:rPr>
        <w:t>l’ensemble de ses publications</w:t>
      </w:r>
      <w:r w:rsidRPr="00384B20">
        <w:rPr>
          <w:sz w:val="24"/>
        </w:rPr>
        <w:t xml:space="preserve"> dans Les Class</w:t>
      </w:r>
      <w:r w:rsidRPr="00384B20">
        <w:rPr>
          <w:sz w:val="24"/>
        </w:rPr>
        <w:t>i</w:t>
      </w:r>
      <w:r w:rsidRPr="00384B20">
        <w:rPr>
          <w:sz w:val="24"/>
        </w:rPr>
        <w:t>ques des sciences sociales.</w:t>
      </w:r>
      <w:r>
        <w:rPr>
          <w:sz w:val="24"/>
        </w:rPr>
        <w:t xml:space="preserve"> De même pour M. Dorval Brunelle.</w:t>
      </w:r>
    </w:p>
    <w:p w:rsidR="006F1436" w:rsidRPr="00384B20" w:rsidRDefault="006F1436" w:rsidP="006F1436">
      <w:pPr>
        <w:jc w:val="both"/>
        <w:rPr>
          <w:sz w:val="24"/>
        </w:rPr>
      </w:pPr>
    </w:p>
    <w:p w:rsidR="006F1436" w:rsidRPr="00241454" w:rsidRDefault="004A0A1E" w:rsidP="006F1436">
      <w:pPr>
        <w:tabs>
          <w:tab w:val="left" w:pos="3150"/>
        </w:tabs>
        <w:ind w:firstLine="0"/>
        <w:rPr>
          <w:sz w:val="24"/>
        </w:rPr>
      </w:pPr>
      <w:r w:rsidRPr="00241454">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6F1436" w:rsidRPr="00241454">
        <w:rPr>
          <w:sz w:val="24"/>
        </w:rPr>
        <w:t xml:space="preserve"> Courriel</w:t>
      </w:r>
      <w:r w:rsidR="006F1436">
        <w:rPr>
          <w:sz w:val="24"/>
        </w:rPr>
        <w:t>s</w:t>
      </w:r>
      <w:r w:rsidR="006F1436" w:rsidRPr="00241454">
        <w:rPr>
          <w:sz w:val="24"/>
        </w:rPr>
        <w:t xml:space="preserve"> : Yves Bélanger : </w:t>
      </w:r>
      <w:hyperlink r:id="rId15" w:history="1">
        <w:r w:rsidR="006F1436" w:rsidRPr="00241454">
          <w:rPr>
            <w:rStyle w:val="Lienhypertexte"/>
            <w:sz w:val="24"/>
          </w:rPr>
          <w:t>belanger.yves@uqam.ca</w:t>
        </w:r>
      </w:hyperlink>
    </w:p>
    <w:p w:rsidR="006F1436" w:rsidRPr="00384B20" w:rsidRDefault="006F1436" w:rsidP="006F1436">
      <w:pPr>
        <w:tabs>
          <w:tab w:val="left" w:pos="450"/>
          <w:tab w:val="left" w:pos="3150"/>
        </w:tabs>
        <w:ind w:left="20" w:hanging="20"/>
        <w:jc w:val="both"/>
        <w:rPr>
          <w:sz w:val="24"/>
        </w:rPr>
      </w:pPr>
      <w:r>
        <w:rPr>
          <w:sz w:val="24"/>
        </w:rPr>
        <w:t xml:space="preserve">Dorval Brunelle : </w:t>
      </w:r>
      <w:hyperlink r:id="rId16" w:history="1">
        <w:r w:rsidRPr="00BF5BF1">
          <w:rPr>
            <w:rStyle w:val="Lienhypertexte"/>
            <w:sz w:val="24"/>
          </w:rPr>
          <w:t>brunelle.dorval@uqam.ca</w:t>
        </w:r>
      </w:hyperlink>
      <w:r>
        <w:rPr>
          <w:sz w:val="24"/>
        </w:rPr>
        <w:t xml:space="preserve"> </w:t>
      </w:r>
    </w:p>
    <w:p w:rsidR="006F1436" w:rsidRPr="00384B20" w:rsidRDefault="006F1436" w:rsidP="006F1436">
      <w:pPr>
        <w:ind w:left="20"/>
        <w:jc w:val="both"/>
        <w:rPr>
          <w:sz w:val="24"/>
        </w:rPr>
      </w:pPr>
    </w:p>
    <w:p w:rsidR="006F1436" w:rsidRPr="00384B20" w:rsidRDefault="006F1436">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6F1436" w:rsidRPr="00384B20" w:rsidRDefault="006F1436">
      <w:pPr>
        <w:ind w:right="1800" w:firstLine="0"/>
        <w:jc w:val="both"/>
        <w:rPr>
          <w:sz w:val="24"/>
        </w:rPr>
      </w:pPr>
    </w:p>
    <w:p w:rsidR="006F1436" w:rsidRPr="00384B20" w:rsidRDefault="006F1436" w:rsidP="006F1436">
      <w:pPr>
        <w:ind w:left="360" w:right="360" w:firstLine="0"/>
        <w:jc w:val="both"/>
        <w:rPr>
          <w:sz w:val="24"/>
        </w:rPr>
      </w:pPr>
      <w:r w:rsidRPr="00384B20">
        <w:rPr>
          <w:sz w:val="24"/>
        </w:rPr>
        <w:t>Pour le texte: Times New Roman, 14 points.</w:t>
      </w:r>
    </w:p>
    <w:p w:rsidR="006F1436" w:rsidRPr="00384B20" w:rsidRDefault="006F1436" w:rsidP="006F1436">
      <w:pPr>
        <w:ind w:left="360" w:right="360" w:firstLine="0"/>
        <w:jc w:val="both"/>
        <w:rPr>
          <w:sz w:val="24"/>
        </w:rPr>
      </w:pPr>
      <w:r w:rsidRPr="00384B20">
        <w:rPr>
          <w:sz w:val="24"/>
        </w:rPr>
        <w:t>Pour les notes de bas de page : Times New Roman, 12 points.</w:t>
      </w:r>
    </w:p>
    <w:p w:rsidR="006F1436" w:rsidRPr="00384B20" w:rsidRDefault="006F1436">
      <w:pPr>
        <w:ind w:left="360" w:right="1800" w:firstLine="0"/>
        <w:jc w:val="both"/>
        <w:rPr>
          <w:sz w:val="24"/>
        </w:rPr>
      </w:pPr>
    </w:p>
    <w:p w:rsidR="006F1436" w:rsidRPr="00384B20" w:rsidRDefault="006F1436">
      <w:pPr>
        <w:ind w:right="360" w:firstLine="0"/>
        <w:jc w:val="both"/>
        <w:rPr>
          <w:sz w:val="24"/>
        </w:rPr>
      </w:pPr>
      <w:r w:rsidRPr="00384B20">
        <w:rPr>
          <w:sz w:val="24"/>
        </w:rPr>
        <w:t>Édition électronique réalisée avec le traitement de textes Microsoft Word 2008 pour Macintosh.</w:t>
      </w:r>
    </w:p>
    <w:p w:rsidR="006F1436" w:rsidRPr="00384B20" w:rsidRDefault="006F1436">
      <w:pPr>
        <w:ind w:right="1800" w:firstLine="0"/>
        <w:jc w:val="both"/>
        <w:rPr>
          <w:sz w:val="24"/>
        </w:rPr>
      </w:pPr>
    </w:p>
    <w:p w:rsidR="006F1436" w:rsidRPr="00384B20" w:rsidRDefault="006F1436" w:rsidP="006F1436">
      <w:pPr>
        <w:ind w:right="540" w:firstLine="0"/>
        <w:jc w:val="both"/>
        <w:rPr>
          <w:sz w:val="24"/>
        </w:rPr>
      </w:pPr>
      <w:r w:rsidRPr="00384B20">
        <w:rPr>
          <w:sz w:val="24"/>
        </w:rPr>
        <w:t>Mise en page sur papier format : LETTRE US, 8.5’’ x 11’’.</w:t>
      </w:r>
    </w:p>
    <w:p w:rsidR="006F1436" w:rsidRPr="00384B20" w:rsidRDefault="006F1436">
      <w:pPr>
        <w:ind w:right="1800" w:firstLine="0"/>
        <w:jc w:val="both"/>
        <w:rPr>
          <w:sz w:val="24"/>
        </w:rPr>
      </w:pPr>
    </w:p>
    <w:p w:rsidR="006F1436" w:rsidRPr="00384B20" w:rsidRDefault="006F1436" w:rsidP="006F1436">
      <w:pPr>
        <w:ind w:firstLine="0"/>
        <w:jc w:val="both"/>
        <w:rPr>
          <w:sz w:val="24"/>
        </w:rPr>
      </w:pPr>
      <w:r w:rsidRPr="00384B20">
        <w:rPr>
          <w:sz w:val="24"/>
        </w:rPr>
        <w:t xml:space="preserve">Édition numérique réalisée le </w:t>
      </w:r>
      <w:r>
        <w:rPr>
          <w:sz w:val="24"/>
        </w:rPr>
        <w:t>9 septembre 2019 à Chicoutimi</w:t>
      </w:r>
      <w:r w:rsidRPr="00384B20">
        <w:rPr>
          <w:sz w:val="24"/>
        </w:rPr>
        <w:t>, Qu</w:t>
      </w:r>
      <w:r w:rsidRPr="00384B20">
        <w:rPr>
          <w:sz w:val="24"/>
        </w:rPr>
        <w:t>é</w:t>
      </w:r>
      <w:r w:rsidRPr="00384B20">
        <w:rPr>
          <w:sz w:val="24"/>
        </w:rPr>
        <w:t>bec.</w:t>
      </w:r>
    </w:p>
    <w:p w:rsidR="006F1436" w:rsidRPr="00384B20" w:rsidRDefault="006F1436">
      <w:pPr>
        <w:ind w:right="1800" w:firstLine="0"/>
        <w:jc w:val="both"/>
        <w:rPr>
          <w:sz w:val="24"/>
        </w:rPr>
      </w:pPr>
    </w:p>
    <w:p w:rsidR="006F1436" w:rsidRPr="00E07116" w:rsidRDefault="004A0A1E">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6F1436" w:rsidRPr="00E07116" w:rsidRDefault="006F1436" w:rsidP="006F1436">
      <w:pPr>
        <w:ind w:left="20"/>
        <w:jc w:val="both"/>
      </w:pPr>
      <w:r w:rsidRPr="00E07116">
        <w:br w:type="page"/>
      </w:r>
    </w:p>
    <w:p w:rsidR="006F1436" w:rsidRPr="00FA1BB5" w:rsidRDefault="006F1436" w:rsidP="006F1436">
      <w:pPr>
        <w:ind w:firstLine="0"/>
        <w:jc w:val="center"/>
        <w:rPr>
          <w:sz w:val="36"/>
        </w:rPr>
      </w:pPr>
      <w:r w:rsidRPr="00FA1BB5">
        <w:rPr>
          <w:sz w:val="36"/>
        </w:rPr>
        <w:t>Dorval Brunelle</w:t>
      </w:r>
    </w:p>
    <w:p w:rsidR="006F1436" w:rsidRPr="00E07116" w:rsidRDefault="006F1436" w:rsidP="006F1436">
      <w:pPr>
        <w:ind w:firstLine="0"/>
        <w:jc w:val="center"/>
      </w:pPr>
    </w:p>
    <w:p w:rsidR="006F1436" w:rsidRPr="00E07116" w:rsidRDefault="006F1436" w:rsidP="006F1436">
      <w:pPr>
        <w:ind w:firstLine="0"/>
        <w:jc w:val="center"/>
        <w:rPr>
          <w:color w:val="000080"/>
        </w:rPr>
      </w:pPr>
      <w:r w:rsidRPr="00FA1BB5">
        <w:t>“</w:t>
      </w:r>
      <w:r w:rsidRPr="00923CF0">
        <w:rPr>
          <w:b/>
          <w:color w:val="008000"/>
        </w:rPr>
        <w:t>La charte canadienne d</w:t>
      </w:r>
      <w:r>
        <w:rPr>
          <w:b/>
          <w:color w:val="008000"/>
        </w:rPr>
        <w:t>es droits et libertés de 1982 :</w:t>
      </w:r>
      <w:r>
        <w:rPr>
          <w:b/>
          <w:color w:val="008000"/>
        </w:rPr>
        <w:br/>
      </w:r>
      <w:r w:rsidRPr="00923CF0">
        <w:rPr>
          <w:b/>
          <w:color w:val="008000"/>
        </w:rPr>
        <w:t>un phare aveuglant contre la grande noirceur</w:t>
      </w:r>
      <w:r w:rsidRPr="00FA1BB5">
        <w:t>.”</w:t>
      </w:r>
    </w:p>
    <w:p w:rsidR="006F1436" w:rsidRPr="00E07116" w:rsidRDefault="006F1436" w:rsidP="006F1436">
      <w:pPr>
        <w:ind w:firstLine="0"/>
        <w:jc w:val="center"/>
      </w:pPr>
    </w:p>
    <w:p w:rsidR="006F1436" w:rsidRPr="00E07116" w:rsidRDefault="004A0A1E" w:rsidP="006F1436">
      <w:pPr>
        <w:ind w:firstLine="0"/>
        <w:jc w:val="center"/>
      </w:pPr>
      <w:r>
        <w:rPr>
          <w:noProof/>
        </w:rPr>
        <w:drawing>
          <wp:inline distT="0" distB="0" distL="0" distR="0">
            <wp:extent cx="3507105" cy="5066665"/>
            <wp:effectExtent l="25400" t="25400" r="10795" b="13335"/>
            <wp:docPr id="5" name="Image 5" descr="ere_des_liberaux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re_des_liberaux_L2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7105" cy="5066665"/>
                    </a:xfrm>
                    <a:prstGeom prst="rect">
                      <a:avLst/>
                    </a:prstGeom>
                    <a:noFill/>
                    <a:ln w="19050" cmpd="sng">
                      <a:solidFill>
                        <a:srgbClr val="000000"/>
                      </a:solidFill>
                      <a:miter lim="800000"/>
                      <a:headEnd/>
                      <a:tailEnd/>
                    </a:ln>
                    <a:effectLst/>
                  </pic:spPr>
                </pic:pic>
              </a:graphicData>
            </a:graphic>
          </wp:inline>
        </w:drawing>
      </w:r>
    </w:p>
    <w:p w:rsidR="006F1436" w:rsidRDefault="006F1436" w:rsidP="006F1436">
      <w:pPr>
        <w:jc w:val="both"/>
      </w:pPr>
    </w:p>
    <w:p w:rsidR="006F1436" w:rsidRPr="00E07116" w:rsidRDefault="006F1436" w:rsidP="006F1436">
      <w:pPr>
        <w:jc w:val="both"/>
      </w:pPr>
      <w:r>
        <w:t xml:space="preserve">in ouvrage de Yves Bélanger, Dorval Brunelle et collaborateurs, </w:t>
      </w:r>
      <w:r>
        <w:rPr>
          <w:b/>
          <w:color w:val="000080"/>
        </w:rPr>
        <w:t>L’ère des libéraux. Le pouvoir fédéral de 1963 à 1984</w:t>
      </w:r>
      <w:r>
        <w:t xml:space="preserve">, pp. 109-126. </w:t>
      </w:r>
      <w:r w:rsidRPr="00A32BFB">
        <w:t>Mo</w:t>
      </w:r>
      <w:r w:rsidRPr="00A32BFB">
        <w:t>n</w:t>
      </w:r>
      <w:r w:rsidRPr="00A32BFB">
        <w:t>tréal : Les Presses de l’Université du Québec, 1988, 442 pp.</w:t>
      </w:r>
    </w:p>
    <w:p w:rsidR="006F1436" w:rsidRPr="00E07116" w:rsidRDefault="006F1436" w:rsidP="006F1436">
      <w:pPr>
        <w:pStyle w:val="p"/>
      </w:pPr>
      <w:r w:rsidRPr="00E07116">
        <w:br w:type="page"/>
      </w:r>
    </w:p>
    <w:p w:rsidR="006F1436" w:rsidRPr="00E07116" w:rsidRDefault="006F1436" w:rsidP="006F1436">
      <w:pPr>
        <w:jc w:val="both"/>
      </w:pPr>
    </w:p>
    <w:p w:rsidR="006F1436" w:rsidRPr="00E07116" w:rsidRDefault="006F1436" w:rsidP="006F1436">
      <w:pPr>
        <w:jc w:val="both"/>
      </w:pPr>
    </w:p>
    <w:p w:rsidR="006F1436" w:rsidRPr="00E07116" w:rsidRDefault="006F1436" w:rsidP="006F1436">
      <w:pPr>
        <w:jc w:val="both"/>
      </w:pPr>
    </w:p>
    <w:p w:rsidR="006F1436" w:rsidRPr="00E07116" w:rsidRDefault="006F1436" w:rsidP="006F1436">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6F1436" w:rsidRPr="00E07116" w:rsidRDefault="006F1436" w:rsidP="006F1436">
      <w:pPr>
        <w:pStyle w:val="NormalWeb"/>
        <w:spacing w:before="2" w:after="2"/>
        <w:jc w:val="both"/>
        <w:rPr>
          <w:rFonts w:ascii="Times New Roman" w:hAnsi="Times New Roman"/>
          <w:sz w:val="28"/>
        </w:rPr>
      </w:pPr>
    </w:p>
    <w:p w:rsidR="006F1436" w:rsidRPr="00E07116" w:rsidRDefault="006F1436" w:rsidP="006F1436">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6F1436" w:rsidRPr="00E07116" w:rsidRDefault="006F1436" w:rsidP="006F1436">
      <w:pPr>
        <w:jc w:val="both"/>
        <w:rPr>
          <w:szCs w:val="19"/>
        </w:rPr>
      </w:pPr>
    </w:p>
    <w:p w:rsidR="006F1436" w:rsidRPr="00E07116" w:rsidRDefault="006F1436" w:rsidP="006F1436">
      <w:pPr>
        <w:jc w:val="both"/>
        <w:rPr>
          <w:szCs w:val="19"/>
        </w:rPr>
      </w:pPr>
    </w:p>
    <w:p w:rsidR="006F1436" w:rsidRPr="0077615B" w:rsidRDefault="006F1436" w:rsidP="006F1436">
      <w:pPr>
        <w:spacing w:before="120" w:after="120"/>
        <w:ind w:firstLine="0"/>
        <w:jc w:val="both"/>
      </w:pPr>
      <w:r w:rsidRPr="00E07116">
        <w:br w:type="page"/>
      </w:r>
      <w:r w:rsidRPr="0077615B">
        <w:lastRenderedPageBreak/>
        <w:t>[109]</w:t>
      </w:r>
    </w:p>
    <w:p w:rsidR="006F1436" w:rsidRDefault="006F1436" w:rsidP="006F1436">
      <w:pPr>
        <w:jc w:val="both"/>
      </w:pPr>
    </w:p>
    <w:p w:rsidR="006F1436" w:rsidRPr="00E07116" w:rsidRDefault="006F1436" w:rsidP="006F1436">
      <w:pPr>
        <w:jc w:val="both"/>
      </w:pPr>
    </w:p>
    <w:p w:rsidR="006F1436" w:rsidRPr="003634E0" w:rsidRDefault="006F1436" w:rsidP="006F1436">
      <w:pPr>
        <w:ind w:firstLine="0"/>
        <w:jc w:val="center"/>
        <w:rPr>
          <w:b/>
          <w:color w:val="000080"/>
          <w:sz w:val="24"/>
        </w:rPr>
      </w:pPr>
      <w:bookmarkStart w:id="1" w:name="ere_Liberaux_pt1_texte_05"/>
      <w:r w:rsidRPr="003634E0">
        <w:rPr>
          <w:b/>
          <w:color w:val="000080"/>
          <w:sz w:val="24"/>
        </w:rPr>
        <w:t>PREMIÈRE PARTIE</w:t>
      </w:r>
      <w:r w:rsidRPr="003634E0">
        <w:rPr>
          <w:b/>
          <w:color w:val="000080"/>
          <w:sz w:val="24"/>
        </w:rPr>
        <w:br/>
        <w:t>QUESTIONS POLITIQUES</w:t>
      </w:r>
    </w:p>
    <w:p w:rsidR="006F1436" w:rsidRPr="00E07116" w:rsidRDefault="006F1436" w:rsidP="006F1436">
      <w:pPr>
        <w:jc w:val="both"/>
        <w:rPr>
          <w:szCs w:val="36"/>
        </w:rPr>
      </w:pPr>
    </w:p>
    <w:p w:rsidR="006F1436" w:rsidRPr="00E07116" w:rsidRDefault="006F1436" w:rsidP="006F1436">
      <w:pPr>
        <w:pStyle w:val="planchest"/>
      </w:pPr>
      <w:r>
        <w:t>“La Charte canadienne</w:t>
      </w:r>
      <w:r>
        <w:br/>
        <w:t>des droits et libertés de 1982 :</w:t>
      </w:r>
      <w:r>
        <w:br/>
        <w:t>un phare aveuglant contre</w:t>
      </w:r>
      <w:r>
        <w:br/>
        <w:t>la grande noirceur.” </w:t>
      </w:r>
      <w:r>
        <w:rPr>
          <w:rStyle w:val="Appelnotedebasdep"/>
        </w:rPr>
        <w:footnoteReference w:id="1"/>
      </w:r>
    </w:p>
    <w:bookmarkEnd w:id="1"/>
    <w:p w:rsidR="006F1436" w:rsidRPr="00E07116" w:rsidRDefault="006F1436" w:rsidP="006F1436">
      <w:pPr>
        <w:ind w:firstLine="0"/>
        <w:jc w:val="center"/>
      </w:pPr>
    </w:p>
    <w:p w:rsidR="006F1436" w:rsidRDefault="006F1436" w:rsidP="006F1436">
      <w:pPr>
        <w:ind w:firstLine="0"/>
        <w:jc w:val="center"/>
      </w:pPr>
      <w:r>
        <w:t>par</w:t>
      </w:r>
    </w:p>
    <w:p w:rsidR="006F1436" w:rsidRPr="00E07116" w:rsidRDefault="006F1436" w:rsidP="006F1436">
      <w:pPr>
        <w:pStyle w:val="suite"/>
      </w:pPr>
      <w:r>
        <w:t>Pierre MACKAY</w:t>
      </w:r>
    </w:p>
    <w:p w:rsidR="006F1436" w:rsidRPr="00957619" w:rsidRDefault="006F1436" w:rsidP="006F1436">
      <w:pPr>
        <w:spacing w:before="120"/>
        <w:ind w:firstLine="0"/>
        <w:jc w:val="center"/>
        <w:rPr>
          <w:sz w:val="24"/>
        </w:rPr>
      </w:pPr>
      <w:r w:rsidRPr="00957619">
        <w:rPr>
          <w:sz w:val="24"/>
          <w:szCs w:val="22"/>
        </w:rPr>
        <w:t>D</w:t>
      </w:r>
      <w:r>
        <w:rPr>
          <w:sz w:val="24"/>
          <w:szCs w:val="22"/>
        </w:rPr>
        <w:t>épartement de sciences juridiques</w:t>
      </w:r>
      <w:r w:rsidRPr="00957619">
        <w:rPr>
          <w:sz w:val="24"/>
          <w:szCs w:val="22"/>
        </w:rPr>
        <w:br/>
        <w:t>Un</w:t>
      </w:r>
      <w:r w:rsidRPr="00957619">
        <w:rPr>
          <w:sz w:val="24"/>
          <w:szCs w:val="22"/>
        </w:rPr>
        <w:t>i</w:t>
      </w:r>
      <w:r w:rsidRPr="00957619">
        <w:rPr>
          <w:sz w:val="24"/>
          <w:szCs w:val="22"/>
        </w:rPr>
        <w:t>versité du Québec à Montréal</w:t>
      </w:r>
    </w:p>
    <w:p w:rsidR="006F1436" w:rsidRPr="00E07116" w:rsidRDefault="006F1436" w:rsidP="006F1436">
      <w:pPr>
        <w:jc w:val="both"/>
      </w:pPr>
    </w:p>
    <w:p w:rsidR="006F1436" w:rsidRPr="0077615B" w:rsidRDefault="006F1436" w:rsidP="006F1436">
      <w:pPr>
        <w:spacing w:before="120" w:after="120"/>
        <w:jc w:val="both"/>
      </w:pPr>
    </w:p>
    <w:p w:rsidR="006F1436" w:rsidRPr="0077615B" w:rsidRDefault="006F1436" w:rsidP="006F1436">
      <w:pPr>
        <w:spacing w:before="120" w:after="120"/>
        <w:ind w:left="2160" w:firstLine="0"/>
        <w:jc w:val="right"/>
      </w:pPr>
      <w:r w:rsidRPr="00B77980">
        <w:rPr>
          <w:i/>
          <w:sz w:val="24"/>
        </w:rPr>
        <w:t>Le droit en question est bien celui qui nous régit mais tout aussi bien celui qui peut nous écha</w:t>
      </w:r>
      <w:r w:rsidRPr="00B77980">
        <w:rPr>
          <w:i/>
          <w:sz w:val="24"/>
        </w:rPr>
        <w:t>p</w:t>
      </w:r>
      <w:r w:rsidRPr="00B77980">
        <w:rPr>
          <w:i/>
          <w:sz w:val="24"/>
        </w:rPr>
        <w:t>per</w:t>
      </w:r>
      <w:r>
        <w:t> </w:t>
      </w:r>
      <w:r>
        <w:rPr>
          <w:rStyle w:val="Appelnotedebasdep"/>
        </w:rPr>
        <w:footnoteReference w:id="2"/>
      </w:r>
      <w:r w:rsidRPr="0077615B">
        <w:t>.</w:t>
      </w:r>
    </w:p>
    <w:p w:rsidR="006F1436" w:rsidRPr="0077615B" w:rsidRDefault="006F1436" w:rsidP="006F1436">
      <w:pPr>
        <w:spacing w:before="120" w:after="120"/>
        <w:jc w:val="both"/>
      </w:pPr>
    </w:p>
    <w:p w:rsidR="006F1436" w:rsidRDefault="006F1436" w:rsidP="006F1436">
      <w:pPr>
        <w:spacing w:before="120" w:after="120"/>
        <w:ind w:firstLine="142"/>
        <w:jc w:val="both"/>
      </w:pPr>
    </w:p>
    <w:p w:rsidR="006F1436" w:rsidRDefault="006F1436" w:rsidP="006F1436">
      <w:pPr>
        <w:spacing w:before="120" w:after="120"/>
        <w:ind w:firstLine="142"/>
        <w:jc w:val="both"/>
      </w:pPr>
      <w:r w:rsidRPr="0077615B">
        <w:t>L'adoption et l'entrée en vigueur de la Charte can</w:t>
      </w:r>
      <w:r w:rsidRPr="0077615B">
        <w:t>a</w:t>
      </w:r>
      <w:r w:rsidRPr="0077615B">
        <w:t>dienne des droits et libertés, invoquée à la Loi constit</w:t>
      </w:r>
      <w:r w:rsidRPr="0077615B">
        <w:t>u</w:t>
      </w:r>
      <w:r w:rsidRPr="0077615B">
        <w:t>tionnelle de 1982, ont marqué avec beaucoup d'éclat l'aboutissement de la politique de nationali</w:t>
      </w:r>
      <w:r w:rsidRPr="0077615B">
        <w:t>s</w:t>
      </w:r>
      <w:r w:rsidRPr="0077615B">
        <w:t>me canadien du Parti libéral du Canada et de son chef Pierre Elliott Tr</w:t>
      </w:r>
      <w:r w:rsidRPr="0077615B">
        <w:t>u</w:t>
      </w:r>
      <w:r w:rsidRPr="0077615B">
        <w:t>deau.</w:t>
      </w:r>
    </w:p>
    <w:p w:rsidR="006F1436" w:rsidRPr="0077615B" w:rsidRDefault="006F1436" w:rsidP="006F1436">
      <w:pPr>
        <w:spacing w:before="120" w:after="120"/>
        <w:ind w:firstLine="142"/>
        <w:jc w:val="both"/>
      </w:pPr>
    </w:p>
    <w:p w:rsidR="006F1436" w:rsidRPr="0077615B" w:rsidRDefault="006F1436" w:rsidP="006F1436">
      <w:pPr>
        <w:spacing w:before="120" w:after="120"/>
        <w:jc w:val="both"/>
      </w:pPr>
      <w:r w:rsidRPr="0077615B">
        <w:lastRenderedPageBreak/>
        <w:t>La Loi constitutionnelle de 1982 se démarque en effet très nett</w:t>
      </w:r>
      <w:r w:rsidRPr="0077615B">
        <w:t>e</w:t>
      </w:r>
      <w:r w:rsidRPr="0077615B">
        <w:t>ment de la tradition constitutionnelle canadienne et britannique en prétendant doter le Canada d'une loi suprême made in Can</w:t>
      </w:r>
      <w:r w:rsidRPr="0077615B">
        <w:t>a</w:t>
      </w:r>
      <w:r w:rsidRPr="0077615B">
        <w:t>da, qui s'impose au-dessus du Parlement et des législatures</w:t>
      </w:r>
      <w:r>
        <w:t> </w:t>
      </w:r>
      <w:r w:rsidRPr="005B6CBD">
        <w:rPr>
          <w:rStyle w:val="Appelnotedebasdep"/>
        </w:rPr>
        <w:footnoteReference w:id="3"/>
      </w:r>
      <w:r w:rsidRPr="0077615B">
        <w:t xml:space="preserve"> provi</w:t>
      </w:r>
      <w:r w:rsidRPr="0077615B">
        <w:t>n</w:t>
      </w:r>
      <w:r w:rsidRPr="0077615B">
        <w:t>ciales, et au-dessus du partage traditionnel des compétences législat</w:t>
      </w:r>
      <w:r w:rsidRPr="0077615B">
        <w:t>i</w:t>
      </w:r>
      <w:r w:rsidRPr="0077615B">
        <w:t>ves.</w:t>
      </w:r>
    </w:p>
    <w:p w:rsidR="006F1436" w:rsidRPr="0077615B" w:rsidRDefault="006F1436" w:rsidP="006F1436">
      <w:pPr>
        <w:spacing w:before="120" w:after="120"/>
        <w:jc w:val="both"/>
      </w:pPr>
      <w:r w:rsidRPr="0077615B">
        <w:t xml:space="preserve">La </w:t>
      </w:r>
      <w:r w:rsidRPr="00B605BA">
        <w:rPr>
          <w:i/>
        </w:rPr>
        <w:t xml:space="preserve">Charte canadienne des droits et libertés </w:t>
      </w:r>
      <w:r w:rsidRPr="0077615B">
        <w:t>s'inscrit dans une r</w:t>
      </w:r>
      <w:r w:rsidRPr="0077615B">
        <w:t>é</w:t>
      </w:r>
      <w:r w:rsidRPr="0077615B">
        <w:t>forme plus globale de la Constitution, dont les autres aspects m</w:t>
      </w:r>
      <w:r w:rsidRPr="0077615B">
        <w:t>a</w:t>
      </w:r>
      <w:r w:rsidRPr="0077615B">
        <w:t>jeurs sont le rapatriement</w:t>
      </w:r>
      <w:r>
        <w:t xml:space="preserve"> </w:t>
      </w:r>
      <w:r w:rsidRPr="0077615B">
        <w:rPr>
          <w:szCs w:val="18"/>
        </w:rPr>
        <w:t>[110]</w:t>
      </w:r>
      <w:r>
        <w:rPr>
          <w:szCs w:val="18"/>
        </w:rPr>
        <w:t xml:space="preserve"> </w:t>
      </w:r>
      <w:r w:rsidRPr="0077615B">
        <w:rPr>
          <w:szCs w:val="22"/>
        </w:rPr>
        <w:t>de la formule d'amendement</w:t>
      </w:r>
      <w:r>
        <w:rPr>
          <w:szCs w:val="22"/>
        </w:rPr>
        <w:t> </w:t>
      </w:r>
      <w:r w:rsidRPr="005B6CBD">
        <w:rPr>
          <w:rStyle w:val="Appelnotedebasdep"/>
        </w:rPr>
        <w:footnoteReference w:id="4"/>
      </w:r>
      <w:r w:rsidRPr="0077615B">
        <w:rPr>
          <w:szCs w:val="22"/>
        </w:rPr>
        <w:t>, la reconnai</w:t>
      </w:r>
      <w:r w:rsidRPr="0077615B">
        <w:rPr>
          <w:szCs w:val="22"/>
        </w:rPr>
        <w:t>s</w:t>
      </w:r>
      <w:r w:rsidRPr="0077615B">
        <w:rPr>
          <w:szCs w:val="22"/>
        </w:rPr>
        <w:t>sance des droits ancestraux des peuples autochtones</w:t>
      </w:r>
      <w:r>
        <w:rPr>
          <w:szCs w:val="22"/>
        </w:rPr>
        <w:t> </w:t>
      </w:r>
      <w:r w:rsidRPr="005B6CBD">
        <w:rPr>
          <w:rStyle w:val="Appelnotedebasdep"/>
        </w:rPr>
        <w:footnoteReference w:id="5"/>
      </w:r>
      <w:r w:rsidRPr="0077615B">
        <w:rPr>
          <w:szCs w:val="22"/>
        </w:rPr>
        <w:t xml:space="preserve"> et de la juridi</w:t>
      </w:r>
      <w:r w:rsidRPr="0077615B">
        <w:rPr>
          <w:szCs w:val="22"/>
        </w:rPr>
        <w:t>c</w:t>
      </w:r>
      <w:r w:rsidRPr="0077615B">
        <w:rPr>
          <w:szCs w:val="22"/>
        </w:rPr>
        <w:t>tion des provinces sur les ressources naturelles non renouvel</w:t>
      </w:r>
      <w:r w:rsidRPr="0077615B">
        <w:rPr>
          <w:szCs w:val="22"/>
        </w:rPr>
        <w:t>a</w:t>
      </w:r>
      <w:r w:rsidRPr="0077615B">
        <w:rPr>
          <w:szCs w:val="22"/>
        </w:rPr>
        <w:t>bles</w:t>
      </w:r>
      <w:r>
        <w:rPr>
          <w:szCs w:val="22"/>
        </w:rPr>
        <w:t> </w:t>
      </w:r>
      <w:r w:rsidRPr="005B6CBD">
        <w:rPr>
          <w:rStyle w:val="Appelnotedebasdep"/>
        </w:rPr>
        <w:footnoteReference w:id="6"/>
      </w:r>
      <w:r w:rsidRPr="0077615B">
        <w:rPr>
          <w:szCs w:val="22"/>
        </w:rPr>
        <w:t>.</w:t>
      </w:r>
    </w:p>
    <w:p w:rsidR="006F1436" w:rsidRDefault="006F1436" w:rsidP="006F1436">
      <w:pPr>
        <w:spacing w:before="120" w:after="120"/>
        <w:jc w:val="both"/>
        <w:rPr>
          <w:szCs w:val="22"/>
        </w:rPr>
      </w:pPr>
      <w:r w:rsidRPr="0077615B">
        <w:rPr>
          <w:szCs w:val="22"/>
        </w:rPr>
        <w:t>On peut dire que la Loi constitutionnelle marque un déclin très net, voire l'abandon, des plus importantes tr</w:t>
      </w:r>
      <w:r w:rsidRPr="0077615B">
        <w:rPr>
          <w:szCs w:val="22"/>
        </w:rPr>
        <w:t>a</w:t>
      </w:r>
      <w:r w:rsidRPr="0077615B">
        <w:rPr>
          <w:szCs w:val="22"/>
        </w:rPr>
        <w:t>ditions britanniques dans le droit et les institutions canadiennes. Mais cette réforme et, en partic</w:t>
      </w:r>
      <w:r w:rsidRPr="0077615B">
        <w:rPr>
          <w:szCs w:val="22"/>
        </w:rPr>
        <w:t>u</w:t>
      </w:r>
      <w:r w:rsidRPr="0077615B">
        <w:rPr>
          <w:szCs w:val="22"/>
        </w:rPr>
        <w:t>lier, la Charte canadienne des droits et libertés, marque-t-elle égal</w:t>
      </w:r>
      <w:r w:rsidRPr="0077615B">
        <w:rPr>
          <w:szCs w:val="22"/>
        </w:rPr>
        <w:t>e</w:t>
      </w:r>
      <w:r w:rsidRPr="0077615B">
        <w:rPr>
          <w:szCs w:val="22"/>
        </w:rPr>
        <w:t xml:space="preserve">ment la naissance d'un véritable </w:t>
      </w:r>
      <w:r>
        <w:rPr>
          <w:szCs w:val="22"/>
        </w:rPr>
        <w:t>État</w:t>
      </w:r>
      <w:r w:rsidRPr="0077615B">
        <w:rPr>
          <w:szCs w:val="22"/>
        </w:rPr>
        <w:t xml:space="preserve"> national can</w:t>
      </w:r>
      <w:r w:rsidRPr="0077615B">
        <w:rPr>
          <w:szCs w:val="22"/>
        </w:rPr>
        <w:t>a</w:t>
      </w:r>
      <w:r w:rsidRPr="0077615B">
        <w:rPr>
          <w:szCs w:val="22"/>
        </w:rPr>
        <w:t>dien ? Une analyse de ce texte et de quelques-unes des principales déc</w:t>
      </w:r>
      <w:r w:rsidRPr="0077615B">
        <w:rPr>
          <w:szCs w:val="22"/>
        </w:rPr>
        <w:t>i</w:t>
      </w:r>
      <w:r w:rsidRPr="0077615B">
        <w:rPr>
          <w:szCs w:val="22"/>
        </w:rPr>
        <w:t>sions judiciaires qui l'ont jusqu'ici interprété seraient plus de nature à nous faire croire que loin de réaliser la Magna Carta de l'État n</w:t>
      </w:r>
      <w:r w:rsidRPr="0077615B">
        <w:rPr>
          <w:szCs w:val="22"/>
        </w:rPr>
        <w:t>a</w:t>
      </w:r>
      <w:r w:rsidRPr="0077615B">
        <w:rPr>
          <w:szCs w:val="22"/>
        </w:rPr>
        <w:t>tional canadien, la Charte canadienne des droits et libertés consacre au plan constitutio</w:t>
      </w:r>
      <w:r w:rsidRPr="0077615B">
        <w:rPr>
          <w:szCs w:val="22"/>
        </w:rPr>
        <w:t>n</w:t>
      </w:r>
      <w:r w:rsidRPr="0077615B">
        <w:rPr>
          <w:szCs w:val="22"/>
        </w:rPr>
        <w:t>nel l'intégration du Canada dans l'orbite amér</w:t>
      </w:r>
      <w:r w:rsidRPr="0077615B">
        <w:rPr>
          <w:szCs w:val="22"/>
        </w:rPr>
        <w:t>i</w:t>
      </w:r>
      <w:r w:rsidRPr="0077615B">
        <w:rPr>
          <w:szCs w:val="22"/>
        </w:rPr>
        <w:t>caine.</w:t>
      </w:r>
    </w:p>
    <w:p w:rsidR="006F1436" w:rsidRPr="0077615B" w:rsidRDefault="006F1436" w:rsidP="006F1436">
      <w:pPr>
        <w:spacing w:before="120" w:after="120"/>
        <w:jc w:val="both"/>
      </w:pPr>
    </w:p>
    <w:p w:rsidR="006F1436" w:rsidRPr="0077615B" w:rsidRDefault="006F1436" w:rsidP="006F1436">
      <w:pPr>
        <w:pStyle w:val="planche"/>
      </w:pPr>
      <w:r w:rsidRPr="0077615B">
        <w:t>UNE CONCEPTION</w:t>
      </w:r>
      <w:r>
        <w:br/>
      </w:r>
      <w:r w:rsidRPr="0077615B">
        <w:t>DU DROIT ET DES DROITS</w:t>
      </w:r>
    </w:p>
    <w:p w:rsidR="006F1436" w:rsidRPr="0077615B" w:rsidRDefault="006F1436" w:rsidP="006F1436">
      <w:pPr>
        <w:spacing w:before="120" w:after="120"/>
        <w:jc w:val="both"/>
        <w:rPr>
          <w:szCs w:val="22"/>
        </w:rPr>
      </w:pPr>
    </w:p>
    <w:p w:rsidR="006F1436" w:rsidRPr="0077615B" w:rsidRDefault="006F1436" w:rsidP="006F1436">
      <w:pPr>
        <w:spacing w:before="120" w:after="120"/>
        <w:ind w:firstLine="0"/>
        <w:jc w:val="both"/>
      </w:pPr>
      <w:r w:rsidRPr="0077615B">
        <w:rPr>
          <w:szCs w:val="22"/>
        </w:rPr>
        <w:t>La tradition et les institutions constitutionnelles britanniques font r</w:t>
      </w:r>
      <w:r w:rsidRPr="0077615B">
        <w:rPr>
          <w:szCs w:val="22"/>
        </w:rPr>
        <w:t>e</w:t>
      </w:r>
      <w:r w:rsidRPr="0077615B">
        <w:rPr>
          <w:szCs w:val="22"/>
        </w:rPr>
        <w:t>poser sur le Parlement seul toute la souveraineté de l'État. R</w:t>
      </w:r>
      <w:r w:rsidRPr="0077615B">
        <w:rPr>
          <w:szCs w:val="22"/>
        </w:rPr>
        <w:t>é</w:t>
      </w:r>
      <w:r w:rsidRPr="0077615B">
        <w:rPr>
          <w:szCs w:val="22"/>
        </w:rPr>
        <w:t>sultat de la longue lutte qui opposa bourgeoisie et aristocratie anglaise, la plén</w:t>
      </w:r>
      <w:r w:rsidRPr="0077615B">
        <w:rPr>
          <w:szCs w:val="22"/>
        </w:rPr>
        <w:t>i</w:t>
      </w:r>
      <w:r w:rsidRPr="0077615B">
        <w:rPr>
          <w:szCs w:val="22"/>
        </w:rPr>
        <w:t>tude de la souveraineté parlementaire britannique fut très tôt exprimée par Lord Coke, dans une déclaration désormais cla</w:t>
      </w:r>
      <w:r w:rsidRPr="0077615B">
        <w:rPr>
          <w:szCs w:val="22"/>
        </w:rPr>
        <w:t>s</w:t>
      </w:r>
      <w:r w:rsidRPr="0077615B">
        <w:rPr>
          <w:szCs w:val="22"/>
        </w:rPr>
        <w:t>sique :</w:t>
      </w:r>
    </w:p>
    <w:p w:rsidR="006F1436" w:rsidRDefault="006F1436" w:rsidP="006F1436">
      <w:pPr>
        <w:pStyle w:val="Grillecouleur-Accent1"/>
      </w:pPr>
    </w:p>
    <w:p w:rsidR="006F1436" w:rsidRDefault="006F1436" w:rsidP="006F1436">
      <w:pPr>
        <w:pStyle w:val="Grillecouleur-Accent1"/>
      </w:pPr>
      <w:r w:rsidRPr="00B77980">
        <w:lastRenderedPageBreak/>
        <w:t>The power and jurisdiction of Parliament is so transcendant and abs</w:t>
      </w:r>
      <w:r w:rsidRPr="00B77980">
        <w:t>o</w:t>
      </w:r>
      <w:r w:rsidRPr="00B77980">
        <w:t>lute as it cannot be confined either for causes or persons w</w:t>
      </w:r>
      <w:r w:rsidRPr="00B77980">
        <w:t>i</w:t>
      </w:r>
      <w:r w:rsidRPr="00B77980">
        <w:t>thin any bounds</w:t>
      </w:r>
      <w:r>
        <w:t> </w:t>
      </w:r>
      <w:r w:rsidRPr="005B6CBD">
        <w:rPr>
          <w:rStyle w:val="Appelnotedebasdep"/>
          <w:szCs w:val="18"/>
        </w:rPr>
        <w:footnoteReference w:id="7"/>
      </w:r>
      <w:r w:rsidRPr="00B77980">
        <w:t>.</w:t>
      </w:r>
    </w:p>
    <w:p w:rsidR="006F1436" w:rsidRPr="00B77980" w:rsidRDefault="006F1436" w:rsidP="006F1436">
      <w:pPr>
        <w:pStyle w:val="Grillecouleur-Accent1"/>
      </w:pPr>
    </w:p>
    <w:p w:rsidR="006F1436" w:rsidRPr="0077615B" w:rsidRDefault="006F1436" w:rsidP="006F1436">
      <w:pPr>
        <w:spacing w:before="120" w:after="120"/>
        <w:jc w:val="both"/>
      </w:pPr>
      <w:r w:rsidRPr="0077615B">
        <w:rPr>
          <w:szCs w:val="22"/>
        </w:rPr>
        <w:t>Réaffirmé par Dicey</w:t>
      </w:r>
      <w:r>
        <w:rPr>
          <w:szCs w:val="22"/>
        </w:rPr>
        <w:t> </w:t>
      </w:r>
      <w:r w:rsidRPr="005B6CBD">
        <w:rPr>
          <w:rStyle w:val="Appelnotedebasdep"/>
        </w:rPr>
        <w:footnoteReference w:id="8"/>
      </w:r>
      <w:r w:rsidRPr="0077615B">
        <w:rPr>
          <w:szCs w:val="22"/>
        </w:rPr>
        <w:t>, deux siècles plus tard, ce principe fut inco</w:t>
      </w:r>
      <w:r w:rsidRPr="0077615B">
        <w:rPr>
          <w:szCs w:val="22"/>
        </w:rPr>
        <w:t>r</w:t>
      </w:r>
      <w:r w:rsidRPr="0077615B">
        <w:rPr>
          <w:szCs w:val="22"/>
        </w:rPr>
        <w:t>poré dans la Constitution canadienne par le préambule du British North America Act de 1867 qui d</w:t>
      </w:r>
      <w:r w:rsidRPr="0077615B">
        <w:rPr>
          <w:szCs w:val="22"/>
        </w:rPr>
        <w:t>é</w:t>
      </w:r>
      <w:r w:rsidRPr="0077615B">
        <w:rPr>
          <w:szCs w:val="22"/>
        </w:rPr>
        <w:t>clarait que :</w:t>
      </w:r>
    </w:p>
    <w:p w:rsidR="006F1436" w:rsidRDefault="006F1436" w:rsidP="006F1436">
      <w:pPr>
        <w:pStyle w:val="Grillecouleur-Accent1"/>
      </w:pPr>
    </w:p>
    <w:p w:rsidR="006F1436" w:rsidRDefault="006F1436" w:rsidP="006F1436">
      <w:pPr>
        <w:pStyle w:val="Grillecouleur-Accent1"/>
        <w:rPr>
          <w:szCs w:val="18"/>
        </w:rPr>
      </w:pPr>
      <w:r w:rsidRPr="00B77980">
        <w:t>Les provinces du Canada, de la Nouvelle-Écosse et du No</w:t>
      </w:r>
      <w:r w:rsidRPr="00B77980">
        <w:t>u</w:t>
      </w:r>
      <w:r w:rsidRPr="00B77980">
        <w:t>veau-Brunswick ont exprimé le désir de se fédérer en un</w:t>
      </w:r>
      <w:r>
        <w:t xml:space="preserve"> </w:t>
      </w:r>
      <w:r w:rsidRPr="0077615B">
        <w:t>[111]</w:t>
      </w:r>
      <w:r>
        <w:t xml:space="preserve"> </w:t>
      </w:r>
      <w:r w:rsidRPr="0039476A">
        <w:rPr>
          <w:szCs w:val="18"/>
        </w:rPr>
        <w:t xml:space="preserve">dominion [...] régi par une constitution semblable en principes à celle de </w:t>
      </w:r>
      <w:r>
        <w:rPr>
          <w:szCs w:val="18"/>
        </w:rPr>
        <w:t>Royaume-Uni </w:t>
      </w:r>
      <w:r w:rsidRPr="005B6CBD">
        <w:rPr>
          <w:rStyle w:val="Appelnotedebasdep"/>
          <w:szCs w:val="18"/>
        </w:rPr>
        <w:footnoteReference w:id="9"/>
      </w:r>
      <w:r w:rsidRPr="0039476A">
        <w:rPr>
          <w:szCs w:val="18"/>
        </w:rPr>
        <w:t>.</w:t>
      </w:r>
    </w:p>
    <w:p w:rsidR="006F1436" w:rsidRPr="0039476A" w:rsidRDefault="006F1436" w:rsidP="006F1436">
      <w:pPr>
        <w:pStyle w:val="Grillecouleur-Accent1"/>
      </w:pPr>
    </w:p>
    <w:p w:rsidR="006F1436" w:rsidRPr="0077615B" w:rsidRDefault="006F1436" w:rsidP="006F1436">
      <w:pPr>
        <w:spacing w:before="120" w:after="120"/>
        <w:jc w:val="both"/>
      </w:pPr>
      <w:r w:rsidRPr="0077615B">
        <w:rPr>
          <w:szCs w:val="22"/>
        </w:rPr>
        <w:t>Ce principe fut d'ailleurs réaffirmé, à de nombreuses reprises, par les tribunaux chargés de trancher les litiges constitutionnels. Contra</w:t>
      </w:r>
      <w:r w:rsidRPr="0077615B">
        <w:rPr>
          <w:szCs w:val="22"/>
        </w:rPr>
        <w:t>i</w:t>
      </w:r>
      <w:r w:rsidRPr="0077615B">
        <w:rPr>
          <w:szCs w:val="22"/>
        </w:rPr>
        <w:t>rement au régime unitaire britannique, le cadre d'un rég</w:t>
      </w:r>
      <w:r w:rsidRPr="0077615B">
        <w:rPr>
          <w:szCs w:val="22"/>
        </w:rPr>
        <w:t>i</w:t>
      </w:r>
      <w:r w:rsidRPr="0077615B">
        <w:rPr>
          <w:szCs w:val="22"/>
        </w:rPr>
        <w:t>me fédéral impose cependant parfois aux tribunaux de trancher les lit</w:t>
      </w:r>
      <w:r w:rsidRPr="0077615B">
        <w:rPr>
          <w:szCs w:val="22"/>
        </w:rPr>
        <w:t>i</w:t>
      </w:r>
      <w:r w:rsidRPr="0077615B">
        <w:rPr>
          <w:szCs w:val="22"/>
        </w:rPr>
        <w:t>ges qui peuvent surgir entre l'État central et les États fédérés, dans le c</w:t>
      </w:r>
      <w:r w:rsidRPr="0077615B">
        <w:rPr>
          <w:szCs w:val="22"/>
        </w:rPr>
        <w:t>a</w:t>
      </w:r>
      <w:r w:rsidRPr="0077615B">
        <w:rPr>
          <w:szCs w:val="22"/>
        </w:rPr>
        <w:t>dre du partage des compétences.</w:t>
      </w:r>
    </w:p>
    <w:p w:rsidR="006F1436" w:rsidRPr="0077615B" w:rsidRDefault="006F1436" w:rsidP="006F1436">
      <w:pPr>
        <w:spacing w:before="120" w:after="120"/>
        <w:jc w:val="both"/>
      </w:pPr>
      <w:r w:rsidRPr="0077615B">
        <w:rPr>
          <w:szCs w:val="22"/>
        </w:rPr>
        <w:t>Mais les tribunaux ont, avant 1982, pris grand soin d'affirmer que leur interprétation ne visait pas à intervenir dans les affaires parleme</w:t>
      </w:r>
      <w:r w:rsidRPr="0077615B">
        <w:rPr>
          <w:szCs w:val="22"/>
        </w:rPr>
        <w:t>n</w:t>
      </w:r>
      <w:r w:rsidRPr="0077615B">
        <w:rPr>
          <w:szCs w:val="22"/>
        </w:rPr>
        <w:t>taires et législatives canadiennes. Leurs décisions ne d</w:t>
      </w:r>
      <w:r w:rsidRPr="0077615B">
        <w:rPr>
          <w:szCs w:val="22"/>
        </w:rPr>
        <w:t>e</w:t>
      </w:r>
      <w:r w:rsidRPr="0077615B">
        <w:rPr>
          <w:szCs w:val="22"/>
        </w:rPr>
        <w:t>vaient jamais constituer, du moins en théorie, un jugement sur l'opportunité polit</w:t>
      </w:r>
      <w:r w:rsidRPr="0077615B">
        <w:rPr>
          <w:szCs w:val="22"/>
        </w:rPr>
        <w:t>i</w:t>
      </w:r>
      <w:r w:rsidRPr="0077615B">
        <w:rPr>
          <w:szCs w:val="22"/>
        </w:rPr>
        <w:t>que, sociale ou économique d'une mesure — ce qui aurait eu pour e</w:t>
      </w:r>
      <w:r w:rsidRPr="0077615B">
        <w:rPr>
          <w:szCs w:val="22"/>
        </w:rPr>
        <w:t>f</w:t>
      </w:r>
      <w:r w:rsidRPr="0077615B">
        <w:rPr>
          <w:szCs w:val="22"/>
        </w:rPr>
        <w:t>fet de substituer l'autorité judiciaire à la souverai</w:t>
      </w:r>
      <w:r>
        <w:rPr>
          <w:szCs w:val="22"/>
        </w:rPr>
        <w:t>n</w:t>
      </w:r>
      <w:r>
        <w:rPr>
          <w:szCs w:val="22"/>
        </w:rPr>
        <w:t>e</w:t>
      </w:r>
      <w:r>
        <w:rPr>
          <w:szCs w:val="22"/>
        </w:rPr>
        <w:t xml:space="preserve">té parlementaire </w:t>
      </w:r>
      <w:r w:rsidRPr="0077615B">
        <w:rPr>
          <w:szCs w:val="22"/>
        </w:rPr>
        <w:t>—, mais leurs jugements se limitaient uniquement à arbitrer le caractère fédéral ou provincial du po</w:t>
      </w:r>
      <w:r w:rsidRPr="0077615B">
        <w:rPr>
          <w:szCs w:val="22"/>
        </w:rPr>
        <w:t>u</w:t>
      </w:r>
      <w:r w:rsidRPr="0077615B">
        <w:rPr>
          <w:szCs w:val="22"/>
        </w:rPr>
        <w:t>voir disputé.</w:t>
      </w:r>
    </w:p>
    <w:p w:rsidR="006F1436" w:rsidRPr="0077615B" w:rsidRDefault="006F1436" w:rsidP="006F1436">
      <w:pPr>
        <w:spacing w:before="120" w:after="120"/>
        <w:jc w:val="both"/>
      </w:pPr>
      <w:r w:rsidRPr="0077615B">
        <w:rPr>
          <w:szCs w:val="22"/>
        </w:rPr>
        <w:t>Dans le contexte d'une évolution historique différente, la Constit</w:t>
      </w:r>
      <w:r w:rsidRPr="0077615B">
        <w:rPr>
          <w:szCs w:val="22"/>
        </w:rPr>
        <w:t>u</w:t>
      </w:r>
      <w:r w:rsidRPr="0077615B">
        <w:rPr>
          <w:szCs w:val="22"/>
        </w:rPr>
        <w:t>tion américaine de 1787 avait établi non se</w:t>
      </w:r>
      <w:r w:rsidRPr="0077615B">
        <w:rPr>
          <w:szCs w:val="22"/>
        </w:rPr>
        <w:t>u</w:t>
      </w:r>
      <w:r w:rsidRPr="0077615B">
        <w:rPr>
          <w:szCs w:val="22"/>
        </w:rPr>
        <w:t xml:space="preserve">lement un partage des </w:t>
      </w:r>
      <w:r w:rsidRPr="0077615B">
        <w:rPr>
          <w:szCs w:val="22"/>
        </w:rPr>
        <w:lastRenderedPageBreak/>
        <w:t>compétences législatives dans le cadre d'un régime fédéral, mais avait aussi affirmé que certaines valeurs et certains droits étaient si fond</w:t>
      </w:r>
      <w:r w:rsidRPr="0077615B">
        <w:rPr>
          <w:szCs w:val="22"/>
        </w:rPr>
        <w:t>a</w:t>
      </w:r>
      <w:r w:rsidRPr="0077615B">
        <w:rPr>
          <w:szCs w:val="22"/>
        </w:rPr>
        <w:t>mentaux et inaliénables que ni l</w:t>
      </w:r>
      <w:r>
        <w:rPr>
          <w:szCs w:val="22"/>
        </w:rPr>
        <w:t>’</w:t>
      </w:r>
      <w:r w:rsidRPr="0077615B">
        <w:rPr>
          <w:szCs w:val="22"/>
        </w:rPr>
        <w:t>État fédéral ni les États féd</w:t>
      </w:r>
      <w:r w:rsidRPr="0077615B">
        <w:rPr>
          <w:szCs w:val="22"/>
        </w:rPr>
        <w:t>é</w:t>
      </w:r>
      <w:r w:rsidRPr="0077615B">
        <w:rPr>
          <w:szCs w:val="22"/>
        </w:rPr>
        <w:t>rés n'étaient habilités à légiférer à rencontre de ces no</w:t>
      </w:r>
      <w:r w:rsidRPr="0077615B">
        <w:rPr>
          <w:szCs w:val="22"/>
        </w:rPr>
        <w:t>r</w:t>
      </w:r>
      <w:r w:rsidRPr="0077615B">
        <w:rPr>
          <w:szCs w:val="22"/>
        </w:rPr>
        <w:t>mes.</w:t>
      </w:r>
    </w:p>
    <w:p w:rsidR="006F1436" w:rsidRPr="0077615B" w:rsidRDefault="006F1436" w:rsidP="006F1436">
      <w:pPr>
        <w:spacing w:before="120" w:after="120"/>
        <w:jc w:val="both"/>
      </w:pPr>
      <w:r w:rsidRPr="0077615B">
        <w:rPr>
          <w:szCs w:val="22"/>
        </w:rPr>
        <w:t>C'était affirmer que la souveraineté ultime dans l'État amér</w:t>
      </w:r>
      <w:r w:rsidRPr="0077615B">
        <w:rPr>
          <w:szCs w:val="22"/>
        </w:rPr>
        <w:t>i</w:t>
      </w:r>
      <w:r w:rsidRPr="0077615B">
        <w:rPr>
          <w:szCs w:val="22"/>
        </w:rPr>
        <w:t>cain ne reposait pas, comme en Angleterre, au Pa</w:t>
      </w:r>
      <w:r w:rsidRPr="0077615B">
        <w:rPr>
          <w:szCs w:val="22"/>
        </w:rPr>
        <w:t>r</w:t>
      </w:r>
      <w:r w:rsidRPr="0077615B">
        <w:rPr>
          <w:szCs w:val="22"/>
        </w:rPr>
        <w:t>lement, mais dans le peuple, dont la Constitution était la gardienne et la repr</w:t>
      </w:r>
      <w:r w:rsidRPr="0077615B">
        <w:rPr>
          <w:szCs w:val="22"/>
        </w:rPr>
        <w:t>é</w:t>
      </w:r>
      <w:r w:rsidRPr="0077615B">
        <w:rPr>
          <w:szCs w:val="22"/>
        </w:rPr>
        <w:t>sentation juridique.</w:t>
      </w:r>
    </w:p>
    <w:p w:rsidR="006F1436" w:rsidRPr="0077615B" w:rsidRDefault="006F1436" w:rsidP="006F1436">
      <w:pPr>
        <w:spacing w:before="120" w:after="120"/>
        <w:jc w:val="both"/>
      </w:pPr>
      <w:r w:rsidRPr="0077615B">
        <w:rPr>
          <w:szCs w:val="22"/>
        </w:rPr>
        <w:t>Dès 1803, la Cour suprême des États-Unis établissait le rôle rad</w:t>
      </w:r>
      <w:r w:rsidRPr="0077615B">
        <w:rPr>
          <w:szCs w:val="22"/>
        </w:rPr>
        <w:t>i</w:t>
      </w:r>
      <w:r w:rsidRPr="0077615B">
        <w:rPr>
          <w:szCs w:val="22"/>
        </w:rPr>
        <w:t>calement différent des tribunaux dans un tel cadre constitutio</w:t>
      </w:r>
      <w:r w:rsidRPr="0077615B">
        <w:rPr>
          <w:szCs w:val="22"/>
        </w:rPr>
        <w:t>n</w:t>
      </w:r>
      <w:r w:rsidRPr="0077615B">
        <w:rPr>
          <w:szCs w:val="22"/>
        </w:rPr>
        <w:t>nel :</w:t>
      </w:r>
    </w:p>
    <w:p w:rsidR="006F1436" w:rsidRDefault="006F1436" w:rsidP="006F1436">
      <w:pPr>
        <w:pStyle w:val="Grillecouleur-Accent1"/>
      </w:pPr>
    </w:p>
    <w:p w:rsidR="006F1436" w:rsidRPr="00D73B87" w:rsidRDefault="006F1436" w:rsidP="006F1436">
      <w:pPr>
        <w:pStyle w:val="Grillecouleur-Accent1"/>
      </w:pPr>
      <w:r w:rsidRPr="00D73B87">
        <w:t>Tous les auteurs d'une constitution écrite ont certainement vo</w:t>
      </w:r>
      <w:r w:rsidRPr="00D73B87">
        <w:t>u</w:t>
      </w:r>
      <w:r w:rsidRPr="00D73B87">
        <w:t>lu en faire la loi fondamentale et suprême de la nation et, en conséquence, ch</w:t>
      </w:r>
      <w:r w:rsidRPr="00D73B87">
        <w:t>a</w:t>
      </w:r>
      <w:r w:rsidRPr="00D73B87">
        <w:t>cun de ces gouvernements doit avoir pour principe qu'une loi de la législ</w:t>
      </w:r>
      <w:r w:rsidRPr="00D73B87">
        <w:t>a</w:t>
      </w:r>
      <w:r w:rsidRPr="00D73B87">
        <w:t>ture incompat</w:t>
      </w:r>
      <w:r w:rsidRPr="00D73B87">
        <w:t>i</w:t>
      </w:r>
      <w:r w:rsidRPr="00D73B87">
        <w:t>ble avec la constitution est nulle.</w:t>
      </w:r>
    </w:p>
    <w:p w:rsidR="006F1436" w:rsidRDefault="006F1436" w:rsidP="006F1436">
      <w:pPr>
        <w:pStyle w:val="Grillecouleur-Accent1"/>
      </w:pPr>
      <w:r w:rsidRPr="00D73B87">
        <w:t>Cette théorie est un aspect essentiel d'une constitution écrite et, en conséquence, cette Cour doit la considérer comme un des principes fo</w:t>
      </w:r>
      <w:r w:rsidRPr="00D73B87">
        <w:t>n</w:t>
      </w:r>
      <w:r w:rsidRPr="00D73B87">
        <w:t>damentaux de notre société</w:t>
      </w:r>
      <w:r>
        <w:t>. </w:t>
      </w:r>
      <w:r w:rsidRPr="005B6CBD">
        <w:rPr>
          <w:rStyle w:val="Appelnotedebasdep"/>
          <w:szCs w:val="18"/>
        </w:rPr>
        <w:footnoteReference w:id="10"/>
      </w:r>
    </w:p>
    <w:p w:rsidR="006F1436" w:rsidRPr="0077615B" w:rsidRDefault="006F1436" w:rsidP="006F1436">
      <w:pPr>
        <w:pStyle w:val="Grillecouleur-Accent1"/>
      </w:pPr>
    </w:p>
    <w:p w:rsidR="006F1436" w:rsidRDefault="006F1436" w:rsidP="006F1436">
      <w:pPr>
        <w:spacing w:before="120" w:after="120"/>
        <w:jc w:val="both"/>
        <w:rPr>
          <w:szCs w:val="22"/>
        </w:rPr>
      </w:pPr>
      <w:r w:rsidRPr="0077615B">
        <w:rPr>
          <w:szCs w:val="22"/>
        </w:rPr>
        <w:t xml:space="preserve">L'inclusion en 1982 d'une </w:t>
      </w:r>
      <w:r w:rsidRPr="0039476A">
        <w:rPr>
          <w:i/>
          <w:szCs w:val="22"/>
        </w:rPr>
        <w:t>Charte des droits et libertés</w:t>
      </w:r>
      <w:r w:rsidRPr="0077615B">
        <w:rPr>
          <w:szCs w:val="22"/>
        </w:rPr>
        <w:t>, larg</w:t>
      </w:r>
      <w:r w:rsidRPr="0077615B">
        <w:rPr>
          <w:szCs w:val="22"/>
        </w:rPr>
        <w:t>e</w:t>
      </w:r>
      <w:r w:rsidRPr="0077615B">
        <w:rPr>
          <w:szCs w:val="22"/>
        </w:rPr>
        <w:t>ment inspirée des principes de la Constitution am</w:t>
      </w:r>
      <w:r w:rsidRPr="0077615B">
        <w:rPr>
          <w:szCs w:val="22"/>
        </w:rPr>
        <w:t>é</w:t>
      </w:r>
      <w:r w:rsidRPr="0077615B">
        <w:rPr>
          <w:szCs w:val="22"/>
        </w:rPr>
        <w:t>ricaine, placée au-dessus des lois du Parlement et des législatures, a donc modifié profond</w:t>
      </w:r>
      <w:r w:rsidRPr="0077615B">
        <w:rPr>
          <w:szCs w:val="22"/>
        </w:rPr>
        <w:t>é</w:t>
      </w:r>
      <w:r w:rsidRPr="0077615B">
        <w:rPr>
          <w:szCs w:val="22"/>
        </w:rPr>
        <w:t>ment les principes fondamentaux du droit constitutio</w:t>
      </w:r>
      <w:r w:rsidRPr="0077615B">
        <w:rPr>
          <w:szCs w:val="22"/>
        </w:rPr>
        <w:t>n</w:t>
      </w:r>
      <w:r w:rsidRPr="0077615B">
        <w:rPr>
          <w:szCs w:val="22"/>
        </w:rPr>
        <w:t>nel canadien.</w:t>
      </w:r>
    </w:p>
    <w:p w:rsidR="006F1436" w:rsidRPr="0077615B" w:rsidRDefault="006F1436" w:rsidP="006F1436">
      <w:pPr>
        <w:spacing w:before="120" w:after="120"/>
        <w:jc w:val="both"/>
      </w:pPr>
      <w:r w:rsidRPr="0077615B">
        <w:rPr>
          <w:szCs w:val="18"/>
        </w:rPr>
        <w:t>[112]</w:t>
      </w:r>
    </w:p>
    <w:p w:rsidR="006F1436" w:rsidRPr="0077615B" w:rsidRDefault="006F1436" w:rsidP="006F1436">
      <w:pPr>
        <w:spacing w:before="120" w:after="120"/>
        <w:jc w:val="both"/>
      </w:pPr>
      <w:r w:rsidRPr="0077615B">
        <w:t xml:space="preserve">La </w:t>
      </w:r>
      <w:r w:rsidRPr="00DD5121">
        <w:rPr>
          <w:i/>
        </w:rPr>
        <w:t>Charte canadienne des droits et libertés</w:t>
      </w:r>
      <w:r w:rsidRPr="0077615B">
        <w:t xml:space="preserve"> limite la souverain</w:t>
      </w:r>
      <w:r w:rsidRPr="0077615B">
        <w:t>e</w:t>
      </w:r>
      <w:r w:rsidRPr="0077615B">
        <w:t>té politique du Parlement et des législatures, aux profit</w:t>
      </w:r>
      <w:r>
        <w:t>s</w:t>
      </w:r>
      <w:r w:rsidRPr="0077615B">
        <w:t xml:space="preserve"> de certaines v</w:t>
      </w:r>
      <w:r w:rsidRPr="0077615B">
        <w:t>a</w:t>
      </w:r>
      <w:r w:rsidRPr="0077615B">
        <w:t>leurs dites « fondamentales », énoncées sous forme de droits et de l</w:t>
      </w:r>
      <w:r w:rsidRPr="0077615B">
        <w:t>i</w:t>
      </w:r>
      <w:r w:rsidRPr="0077615B">
        <w:t>bertés des personnes ou des citoyens. Ces droits et libertés des indiv</w:t>
      </w:r>
      <w:r w:rsidRPr="0077615B">
        <w:t>i</w:t>
      </w:r>
      <w:r w:rsidRPr="0077615B">
        <w:t>dus ne peuvent être limités que dans des ci</w:t>
      </w:r>
      <w:r w:rsidRPr="0077615B">
        <w:t>r</w:t>
      </w:r>
      <w:r w:rsidRPr="0077615B">
        <w:t>constances et par des moyens exceptionnels et sont de ce fait, dans une très la</w:t>
      </w:r>
      <w:r w:rsidRPr="0077615B">
        <w:t>r</w:t>
      </w:r>
      <w:r w:rsidRPr="0077615B">
        <w:t>ge mesure, devenus intouchables.</w:t>
      </w:r>
    </w:p>
    <w:p w:rsidR="006F1436" w:rsidRPr="0077615B" w:rsidRDefault="006F1436" w:rsidP="006F1436">
      <w:pPr>
        <w:spacing w:before="120" w:after="120"/>
        <w:jc w:val="both"/>
      </w:pPr>
      <w:r w:rsidRPr="0077615B">
        <w:t>La Cour suprême du Canada s'est d'ailleurs empressée de reconna</w:t>
      </w:r>
      <w:r w:rsidRPr="0077615B">
        <w:t>î</w:t>
      </w:r>
      <w:r w:rsidRPr="0077615B">
        <w:t>tre le caractère profond du changement dans plusieurs d</w:t>
      </w:r>
      <w:r w:rsidRPr="0077615B">
        <w:t>é</w:t>
      </w:r>
      <w:r w:rsidRPr="0077615B">
        <w:t xml:space="preserve">cisions où </w:t>
      </w:r>
      <w:r w:rsidRPr="0077615B">
        <w:lastRenderedPageBreak/>
        <w:t>elle a été chargée de donner un sens aux dispositions de la Charte c</w:t>
      </w:r>
      <w:r w:rsidRPr="0077615B">
        <w:t>a</w:t>
      </w:r>
      <w:r w:rsidRPr="0077615B">
        <w:t>nadienne des droits et libertés et de la Loi constitutio</w:t>
      </w:r>
      <w:r w:rsidRPr="0077615B">
        <w:t>n</w:t>
      </w:r>
      <w:r w:rsidRPr="0077615B">
        <w:t>nelle.</w:t>
      </w:r>
    </w:p>
    <w:p w:rsidR="006F1436" w:rsidRPr="0077615B" w:rsidRDefault="006F1436" w:rsidP="006F1436">
      <w:pPr>
        <w:spacing w:before="120" w:after="120"/>
        <w:jc w:val="both"/>
      </w:pPr>
      <w:r w:rsidRPr="0077615B">
        <w:t>Ainsi, dans le tout premier arrêt</w:t>
      </w:r>
      <w:r>
        <w:t> </w:t>
      </w:r>
      <w:r w:rsidRPr="005B6CBD">
        <w:rPr>
          <w:rStyle w:val="Appelnotedebasdep"/>
        </w:rPr>
        <w:footnoteReference w:id="11"/>
      </w:r>
      <w:r w:rsidRPr="0077615B">
        <w:t xml:space="preserve"> où elle a interprété les effets de la Charte sur la validité des lois ordinaires, elle a reconnu, pour la première fois de son histoire, la théorie de la suprématie de la Const</w:t>
      </w:r>
      <w:r w:rsidRPr="0077615B">
        <w:t>i</w:t>
      </w:r>
      <w:r w:rsidRPr="0077615B">
        <w:t>tution énoncée par le juge Marshall en 1803. La Cour suprême du C</w:t>
      </w:r>
      <w:r w:rsidRPr="0077615B">
        <w:t>a</w:t>
      </w:r>
      <w:r w:rsidRPr="0077615B">
        <w:t>nada a même reconnu que « les tribunaux amér</w:t>
      </w:r>
      <w:r w:rsidRPr="0077615B">
        <w:t>i</w:t>
      </w:r>
      <w:r w:rsidRPr="0077615B">
        <w:t>cains ont presque deux cents ans d'expérience dans l'accompli</w:t>
      </w:r>
      <w:r w:rsidRPr="0077615B">
        <w:t>s</w:t>
      </w:r>
      <w:r w:rsidRPr="0077615B">
        <w:t>sement de cette tâche, et l'analyse de leur expérience offre plus qu'un intérêt passager pour ceux qui s'intéressent à cett</w:t>
      </w:r>
      <w:r>
        <w:t>e nouvelle évolution du Canada » </w:t>
      </w:r>
      <w:r>
        <w:rPr>
          <w:rStyle w:val="Appelnotedebasdep"/>
        </w:rPr>
        <w:footnoteReference w:id="12"/>
      </w:r>
      <w:r w:rsidRPr="0077615B">
        <w:t>. Sans importer directement la jurisprudence américa</w:t>
      </w:r>
      <w:r w:rsidRPr="0077615B">
        <w:t>i</w:t>
      </w:r>
      <w:r w:rsidRPr="0077615B">
        <w:t>ne dans notre droit constitutionnel, une telle déclaration lui donne une place sans préc</w:t>
      </w:r>
      <w:r w:rsidRPr="0077615B">
        <w:t>é</w:t>
      </w:r>
      <w:r w:rsidRPr="0077615B">
        <w:t>dent.</w:t>
      </w:r>
    </w:p>
    <w:p w:rsidR="006F1436" w:rsidRPr="0077615B" w:rsidRDefault="006F1436" w:rsidP="006F1436">
      <w:pPr>
        <w:spacing w:before="120" w:after="120"/>
        <w:jc w:val="both"/>
      </w:pPr>
      <w:r w:rsidRPr="0077615B">
        <w:t>Pour bien comprendre l'importance et l'étendue du chang</w:t>
      </w:r>
      <w:r w:rsidRPr="0077615B">
        <w:t>e</w:t>
      </w:r>
      <w:r w:rsidRPr="0077615B">
        <w:t>ment, il est nécessaire d'analyser le contenu de la Charte can</w:t>
      </w:r>
      <w:r w:rsidRPr="0077615B">
        <w:t>a</w:t>
      </w:r>
      <w:r w:rsidRPr="0077615B">
        <w:t>dienne pour en saisir à la fois la portée, mais aussi les limites.</w:t>
      </w:r>
    </w:p>
    <w:p w:rsidR="006F1436" w:rsidRPr="0077615B" w:rsidRDefault="006F1436" w:rsidP="006F1436">
      <w:pPr>
        <w:spacing w:before="120" w:after="120"/>
        <w:jc w:val="both"/>
      </w:pPr>
    </w:p>
    <w:p w:rsidR="006F1436" w:rsidRPr="0077615B" w:rsidRDefault="006F1436" w:rsidP="006F1436">
      <w:pPr>
        <w:pStyle w:val="planche"/>
      </w:pPr>
      <w:r w:rsidRPr="0077615B">
        <w:t>LE CONTENU</w:t>
      </w:r>
      <w:r>
        <w:br/>
      </w:r>
      <w:r w:rsidRPr="0077615B">
        <w:t>DE LA CHARTE CANADIENNE</w:t>
      </w:r>
    </w:p>
    <w:p w:rsidR="006F1436" w:rsidRPr="0077615B" w:rsidRDefault="006F1436" w:rsidP="006F1436">
      <w:pPr>
        <w:spacing w:before="120" w:after="120"/>
        <w:jc w:val="both"/>
      </w:pPr>
    </w:p>
    <w:p w:rsidR="006F1436" w:rsidRPr="0077615B" w:rsidRDefault="006F1436" w:rsidP="006F1436">
      <w:pPr>
        <w:spacing w:before="120" w:after="120"/>
        <w:ind w:firstLine="0"/>
        <w:jc w:val="both"/>
      </w:pPr>
      <w:r w:rsidRPr="0077615B">
        <w:t>La Charte canadienne des droits et libertés est contenue à la Pa</w:t>
      </w:r>
      <w:r w:rsidRPr="0077615B">
        <w:t>r</w:t>
      </w:r>
      <w:r w:rsidRPr="0077615B">
        <w:t>tie 1 de la Loi Constitutionnelle de 1982. Elle est l'aboutiss</w:t>
      </w:r>
      <w:r w:rsidRPr="0077615B">
        <w:t>e</w:t>
      </w:r>
      <w:r w:rsidRPr="0077615B">
        <w:t>ment d'un long processus de négociations politiques entre le fédéral et les pr</w:t>
      </w:r>
      <w:r w:rsidRPr="0077615B">
        <w:t>o</w:t>
      </w:r>
      <w:r w:rsidRPr="0077615B">
        <w:t>vinces. Plusieurs de ses articles reflètent les compr</w:t>
      </w:r>
      <w:r w:rsidRPr="0077615B">
        <w:t>o</w:t>
      </w:r>
      <w:r w:rsidRPr="0077615B">
        <w:t>mis qui ont été faits de part et d'autre.</w:t>
      </w:r>
    </w:p>
    <w:p w:rsidR="006F1436" w:rsidRPr="0077615B" w:rsidRDefault="006F1436" w:rsidP="006F1436">
      <w:pPr>
        <w:spacing w:before="120" w:after="120"/>
        <w:jc w:val="both"/>
      </w:pPr>
      <w:r w:rsidRPr="0077615B">
        <w:t>La Charte comprend 34 articles, d'importance, de lo</w:t>
      </w:r>
      <w:r w:rsidRPr="0077615B">
        <w:t>n</w:t>
      </w:r>
      <w:r w:rsidRPr="0077615B">
        <w:t>gueur et de portée bien différentes, regroupés selon des subdivisions dont il n'est pas toujours aisé de saisir la l</w:t>
      </w:r>
      <w:r w:rsidRPr="0077615B">
        <w:t>o</w:t>
      </w:r>
      <w:r w:rsidRPr="0077615B">
        <w:t>gique.</w:t>
      </w:r>
    </w:p>
    <w:p w:rsidR="006F1436" w:rsidRPr="0077615B" w:rsidRDefault="006F1436" w:rsidP="006F1436">
      <w:pPr>
        <w:spacing w:before="120" w:after="120"/>
        <w:jc w:val="both"/>
      </w:pPr>
      <w:r>
        <w:br w:type="page"/>
      </w:r>
    </w:p>
    <w:p w:rsidR="006F1436" w:rsidRPr="002E2B2C" w:rsidRDefault="006F1436" w:rsidP="006F1436">
      <w:pPr>
        <w:pStyle w:val="a"/>
      </w:pPr>
      <w:r w:rsidRPr="002E2B2C">
        <w:t>Le préambule et la garantie</w:t>
      </w:r>
    </w:p>
    <w:p w:rsidR="006F1436" w:rsidRPr="0077615B" w:rsidRDefault="006F1436" w:rsidP="006F1436">
      <w:pPr>
        <w:spacing w:before="120" w:after="120"/>
        <w:jc w:val="both"/>
      </w:pPr>
    </w:p>
    <w:p w:rsidR="006F1436" w:rsidRPr="0077615B" w:rsidRDefault="006F1436" w:rsidP="006F1436">
      <w:pPr>
        <w:spacing w:before="120" w:after="120"/>
        <w:ind w:firstLine="0"/>
        <w:jc w:val="both"/>
      </w:pPr>
      <w:r w:rsidRPr="0077615B">
        <w:t>Le texte de la Charte s'ouvre sur un préambule qui d</w:t>
      </w:r>
      <w:r w:rsidRPr="0077615B">
        <w:t>é</w:t>
      </w:r>
      <w:r w:rsidRPr="0077615B">
        <w:t>clare :</w:t>
      </w:r>
    </w:p>
    <w:p w:rsidR="006F1436" w:rsidRDefault="006F1436" w:rsidP="006F1436">
      <w:pPr>
        <w:pStyle w:val="Grillecouleur-Accent1"/>
      </w:pPr>
    </w:p>
    <w:p w:rsidR="006F1436" w:rsidRDefault="006F1436" w:rsidP="006F1436">
      <w:pPr>
        <w:pStyle w:val="Grillecouleur-Accent1"/>
      </w:pPr>
      <w:r w:rsidRPr="002E2B2C">
        <w:t>Attendu que le Canada est fondé sur des principes qui reconnaissent la supr</w:t>
      </w:r>
      <w:r w:rsidRPr="002E2B2C">
        <w:t>é</w:t>
      </w:r>
      <w:r w:rsidRPr="002E2B2C">
        <w:t>matie de Dieu et la primauté du droit.</w:t>
      </w:r>
    </w:p>
    <w:p w:rsidR="006F1436" w:rsidRPr="002E2B2C" w:rsidRDefault="006F1436" w:rsidP="006F1436">
      <w:pPr>
        <w:pStyle w:val="Grillecouleur-Accent1"/>
      </w:pPr>
    </w:p>
    <w:p w:rsidR="006F1436" w:rsidRPr="0077615B" w:rsidRDefault="006F1436" w:rsidP="006F1436">
      <w:pPr>
        <w:spacing w:before="120" w:after="120"/>
        <w:jc w:val="both"/>
        <w:rPr>
          <w:szCs w:val="18"/>
        </w:rPr>
      </w:pPr>
      <w:r w:rsidRPr="007A7F86">
        <w:t>[113]</w:t>
      </w:r>
    </w:p>
    <w:p w:rsidR="006F1436" w:rsidRPr="0077615B" w:rsidRDefault="006F1436" w:rsidP="006F1436">
      <w:pPr>
        <w:spacing w:before="120" w:after="120"/>
        <w:jc w:val="both"/>
      </w:pPr>
      <w:r w:rsidRPr="0077615B">
        <w:t>Selon les règles classiques de l'interprétation des lois, le préa</w:t>
      </w:r>
      <w:r w:rsidRPr="0077615B">
        <w:t>m</w:t>
      </w:r>
      <w:r w:rsidRPr="0077615B">
        <w:t>bule dans une loi n'est pas considéré comme constituant le droit substantif, mais plutôt comme une règle d'interprétation, susceptible d'aider l'i</w:t>
      </w:r>
      <w:r w:rsidRPr="0077615B">
        <w:t>n</w:t>
      </w:r>
      <w:r w:rsidRPr="0077615B">
        <w:t>terprète du texte à déterminer l'intention du législ</w:t>
      </w:r>
      <w:r w:rsidRPr="0077615B">
        <w:t>a</w:t>
      </w:r>
      <w:r w:rsidRPr="0077615B">
        <w:t>teur. Cependant, la nature d'un texte constitutionnel a permis aux trib</w:t>
      </w:r>
      <w:r w:rsidRPr="0077615B">
        <w:t>u</w:t>
      </w:r>
      <w:r w:rsidRPr="0077615B">
        <w:t>naux, dans le passé, d'utiliser le préambule de la loi de 1867, pour y retrouver l'origine de l'inclusion dans notre droit de princ</w:t>
      </w:r>
      <w:r w:rsidRPr="0077615B">
        <w:t>i</w:t>
      </w:r>
      <w:r w:rsidRPr="0077615B">
        <w:t>pes aussi fondamentaux que la souveraineté du Parlement et la liberté d'expression. Le texte constit</w:t>
      </w:r>
      <w:r w:rsidRPr="0077615B">
        <w:t>u</w:t>
      </w:r>
      <w:r w:rsidRPr="0077615B">
        <w:t>tionnel a depuis longtemps été considéré</w:t>
      </w:r>
      <w:r>
        <w:t> </w:t>
      </w:r>
      <w:r w:rsidRPr="005B6CBD">
        <w:rPr>
          <w:rStyle w:val="Appelnotedebasdep"/>
        </w:rPr>
        <w:footnoteReference w:id="13"/>
      </w:r>
      <w:r w:rsidRPr="0077615B">
        <w:t>, et il l'est encore aujou</w:t>
      </w:r>
      <w:r w:rsidRPr="0077615B">
        <w:t>r</w:t>
      </w:r>
      <w:r w:rsidRPr="0077615B">
        <w:t>d'hui comme un texte d'une nature partic</w:t>
      </w:r>
      <w:r w:rsidRPr="0077615B">
        <w:t>u</w:t>
      </w:r>
      <w:r w:rsidRPr="0077615B">
        <w:t>lière par les tribunaux</w:t>
      </w:r>
      <w:r>
        <w:t> </w:t>
      </w:r>
      <w:r w:rsidRPr="005B6CBD">
        <w:rPr>
          <w:rStyle w:val="Appelnotedebasdep"/>
        </w:rPr>
        <w:footnoteReference w:id="14"/>
      </w:r>
      <w:r w:rsidRPr="0077615B">
        <w:t>.</w:t>
      </w:r>
    </w:p>
    <w:p w:rsidR="006F1436" w:rsidRPr="0077615B" w:rsidRDefault="006F1436" w:rsidP="006F1436">
      <w:pPr>
        <w:spacing w:before="120" w:after="120"/>
        <w:jc w:val="both"/>
      </w:pPr>
      <w:r w:rsidRPr="0077615B">
        <w:t>Il est important de souligner que le préambule reconnaît formell</w:t>
      </w:r>
      <w:r w:rsidRPr="0077615B">
        <w:t>e</w:t>
      </w:r>
      <w:r w:rsidRPr="0077615B">
        <w:t xml:space="preserve">ment le principe de la primauté du droit, connu aussi sous le nom de </w:t>
      </w:r>
      <w:r w:rsidRPr="0077615B">
        <w:rPr>
          <w:i/>
        </w:rPr>
        <w:t>Rule of Law</w:t>
      </w:r>
      <w:r w:rsidRPr="0077615B">
        <w:t xml:space="preserve"> parce que ce principe a une importance pa</w:t>
      </w:r>
      <w:r w:rsidRPr="0077615B">
        <w:t>r</w:t>
      </w:r>
      <w:r w:rsidRPr="0077615B">
        <w:t>ticulière et nouvelle dans notre droit. C'est en effet son caractère fondame</w:t>
      </w:r>
      <w:r w:rsidRPr="0077615B">
        <w:t>n</w:t>
      </w:r>
      <w:r w:rsidRPr="0077615B">
        <w:t>tal dans notre Constitution qui a permis à la Cour suprême du C</w:t>
      </w:r>
      <w:r w:rsidRPr="0077615B">
        <w:t>a</w:t>
      </w:r>
      <w:r w:rsidRPr="0077615B">
        <w:t>nada de déclarer valides et opérantes les lois unilingues anglaises du Manit</w:t>
      </w:r>
      <w:r w:rsidRPr="0077615B">
        <w:t>o</w:t>
      </w:r>
      <w:r w:rsidRPr="0077615B">
        <w:t>ba, qui depuis 1890 contrevenaient à une disposition constit</w:t>
      </w:r>
      <w:r w:rsidRPr="0077615B">
        <w:t>u</w:t>
      </w:r>
      <w:r w:rsidRPr="0077615B">
        <w:t>tionnelle expresse :</w:t>
      </w:r>
    </w:p>
    <w:p w:rsidR="006F1436" w:rsidRDefault="006F1436" w:rsidP="006F1436">
      <w:pPr>
        <w:pStyle w:val="Grillecouleur-Accent1"/>
      </w:pPr>
    </w:p>
    <w:p w:rsidR="006F1436" w:rsidRDefault="006F1436" w:rsidP="006F1436">
      <w:pPr>
        <w:pStyle w:val="Grillecouleur-Accent1"/>
      </w:pPr>
      <w:r w:rsidRPr="002E2B2C">
        <w:t>En raison de la violation incessante par la législature du Man</w:t>
      </w:r>
      <w:r w:rsidRPr="002E2B2C">
        <w:t>i</w:t>
      </w:r>
      <w:r w:rsidRPr="002E2B2C">
        <w:t>toba des prescriptions constitutionnelles de la Loi de 1870 sur le Manitoba, la pr</w:t>
      </w:r>
      <w:r w:rsidRPr="002E2B2C">
        <w:t>o</w:t>
      </w:r>
      <w:r w:rsidRPr="002E2B2C">
        <w:t>vince du Manitoba se trouve dans une situation d'urgence : to</w:t>
      </w:r>
      <w:r w:rsidRPr="002E2B2C">
        <w:t>u</w:t>
      </w:r>
      <w:r w:rsidRPr="002E2B2C">
        <w:t xml:space="preserve">tes les lois du Manitoba apparemment abrogées, périmées ou actuelles [...] sont, et </w:t>
      </w:r>
      <w:r w:rsidRPr="002E2B2C">
        <w:lastRenderedPageBreak/>
        <w:t>ont to</w:t>
      </w:r>
      <w:r w:rsidRPr="002E2B2C">
        <w:t>u</w:t>
      </w:r>
      <w:r w:rsidRPr="002E2B2C">
        <w:t>jours été invalides et inopérantes... La Constitution ne permet pas qu'une province soit dépourvue de lois. La Constitution exige donc que les lois actuelles de la législature du Manitoba soient déclarées temporair</w:t>
      </w:r>
      <w:r w:rsidRPr="002E2B2C">
        <w:t>e</w:t>
      </w:r>
      <w:r w:rsidRPr="002E2B2C">
        <w:t>ment valides et opérantes... C'est là la seule manière d'éviter le chaos jur</w:t>
      </w:r>
      <w:r w:rsidRPr="002E2B2C">
        <w:t>i</w:t>
      </w:r>
      <w:r w:rsidRPr="002E2B2C">
        <w:t xml:space="preserve">dique et de </w:t>
      </w:r>
      <w:r w:rsidRPr="002E2B2C">
        <w:rPr>
          <w:i/>
        </w:rPr>
        <w:t>préserver la pr</w:t>
      </w:r>
      <w:r w:rsidRPr="002E2B2C">
        <w:rPr>
          <w:i/>
        </w:rPr>
        <w:t>i</w:t>
      </w:r>
      <w:r w:rsidRPr="002E2B2C">
        <w:rPr>
          <w:i/>
        </w:rPr>
        <w:t>mauté du droit</w:t>
      </w:r>
      <w:r>
        <w:t> </w:t>
      </w:r>
      <w:r w:rsidRPr="003A7487">
        <w:rPr>
          <w:rStyle w:val="Appelnotedebasdep"/>
          <w:szCs w:val="18"/>
        </w:rPr>
        <w:footnoteReference w:id="15"/>
      </w:r>
      <w:r w:rsidRPr="002E2B2C">
        <w:t>.</w:t>
      </w:r>
    </w:p>
    <w:p w:rsidR="006F1436" w:rsidRPr="002E2B2C" w:rsidRDefault="006F1436" w:rsidP="006F1436">
      <w:pPr>
        <w:pStyle w:val="Grillecouleur-Accent1"/>
      </w:pPr>
    </w:p>
    <w:p w:rsidR="006F1436" w:rsidRDefault="006F1436" w:rsidP="006F1436">
      <w:pPr>
        <w:spacing w:before="120" w:after="120"/>
        <w:jc w:val="both"/>
      </w:pPr>
      <w:r w:rsidRPr="0077615B">
        <w:t>La situation était exceptionnelle, le remède l'était aussi. Il n'en d</w:t>
      </w:r>
      <w:r w:rsidRPr="0077615B">
        <w:t>e</w:t>
      </w:r>
      <w:r w:rsidRPr="0077615B">
        <w:t>meure pas moins que le principe de la primauté du droit est d</w:t>
      </w:r>
      <w:r w:rsidRPr="0077615B">
        <w:t>é</w:t>
      </w:r>
      <w:r w:rsidRPr="0077615B">
        <w:t>sormais considéré comme la mesure ultime de la validité et de la nécessité des lois au-dessus même de leur conformité aux a</w:t>
      </w:r>
      <w:r w:rsidRPr="0077615B">
        <w:t>u</w:t>
      </w:r>
      <w:r w:rsidRPr="0077615B">
        <w:t>tres dispositions de la Constitution. Soulignons au passage que les lois unili</w:t>
      </w:r>
      <w:r w:rsidRPr="0077615B">
        <w:t>n</w:t>
      </w:r>
      <w:r w:rsidRPr="0077615B">
        <w:t>gues adoptées par le Québec de 1976 à 1979 avaient aussi été déclarées inconstit</w:t>
      </w:r>
      <w:r w:rsidRPr="0077615B">
        <w:t>u</w:t>
      </w:r>
      <w:r w:rsidRPr="0077615B">
        <w:t>tionnelles pour les mêmes raisons</w:t>
      </w:r>
      <w:r>
        <w:t> </w:t>
      </w:r>
      <w:r w:rsidRPr="005B6CBD">
        <w:rPr>
          <w:rStyle w:val="Appelnotedebasdep"/>
        </w:rPr>
        <w:footnoteReference w:id="16"/>
      </w:r>
      <w:r w:rsidRPr="0077615B">
        <w:t>. Le gouve</w:t>
      </w:r>
      <w:r w:rsidRPr="0077615B">
        <w:t>r</w:t>
      </w:r>
      <w:r w:rsidRPr="0077615B">
        <w:t>nement du Québec avait cependant pris soin d'assurer une tr</w:t>
      </w:r>
      <w:r w:rsidRPr="0077615B">
        <w:t>a</w:t>
      </w:r>
      <w:r w:rsidRPr="0077615B">
        <w:t>duction officieuse des lois et put ainsi réadopter instantanément toutes les lois dans les deux la</w:t>
      </w:r>
      <w:r w:rsidRPr="0077615B">
        <w:t>n</w:t>
      </w:r>
      <w:r w:rsidRPr="0077615B">
        <w:t>gues</w:t>
      </w:r>
      <w:r>
        <w:t> </w:t>
      </w:r>
      <w:r w:rsidRPr="005B6CBD">
        <w:rPr>
          <w:rStyle w:val="Appelnotedebasdep"/>
        </w:rPr>
        <w:footnoteReference w:id="17"/>
      </w:r>
      <w:r w:rsidRPr="0077615B">
        <w:t xml:space="preserve"> sans que n'existe de situation de vide jur</w:t>
      </w:r>
      <w:r w:rsidRPr="0077615B">
        <w:t>i</w:t>
      </w:r>
      <w:r w:rsidRPr="0077615B">
        <w:t>dique, comme dans le cas du Manitoba.</w:t>
      </w:r>
    </w:p>
    <w:p w:rsidR="006F1436" w:rsidRPr="0077615B" w:rsidRDefault="006F1436" w:rsidP="006F1436">
      <w:pPr>
        <w:spacing w:before="120" w:after="120"/>
        <w:jc w:val="both"/>
      </w:pPr>
      <w:r w:rsidRPr="0077615B">
        <w:rPr>
          <w:szCs w:val="18"/>
        </w:rPr>
        <w:t>[114]</w:t>
      </w:r>
    </w:p>
    <w:p w:rsidR="006F1436" w:rsidRDefault="006F1436" w:rsidP="006F1436">
      <w:pPr>
        <w:spacing w:before="120" w:after="120"/>
        <w:jc w:val="both"/>
      </w:pPr>
      <w:r w:rsidRPr="0077615B">
        <w:t>L'article 1 énonce que la Charte « garantit les droits et libertés qui y sont énoncés. Ils ne peuvent être restreints que par une règle de droit, dans des limites qui soient raisonnables et dont la justific</w:t>
      </w:r>
      <w:r w:rsidRPr="0077615B">
        <w:t>a</w:t>
      </w:r>
      <w:r w:rsidRPr="0077615B">
        <w:t>tion puisse se démontrer dans le cadre d'une société libre et démocrat</w:t>
      </w:r>
      <w:r w:rsidRPr="0077615B">
        <w:t>i</w:t>
      </w:r>
      <w:r w:rsidRPr="0077615B">
        <w:t>que ». Les droits garantis par la Charte ne sont donc pas absolus et certaines restrictions peuvent y être apportées à l'occ</w:t>
      </w:r>
      <w:r w:rsidRPr="0077615B">
        <w:t>a</w:t>
      </w:r>
      <w:r w:rsidRPr="0077615B">
        <w:t>sion</w:t>
      </w:r>
      <w:r>
        <w:t> </w:t>
      </w:r>
      <w:r w:rsidRPr="005B6CBD">
        <w:rPr>
          <w:rStyle w:val="Appelnotedebasdep"/>
        </w:rPr>
        <w:footnoteReference w:id="18"/>
      </w:r>
      <w:r w:rsidRPr="0077615B">
        <w:t>.</w:t>
      </w:r>
    </w:p>
    <w:p w:rsidR="006F1436" w:rsidRPr="0077615B" w:rsidRDefault="006F1436" w:rsidP="006F1436">
      <w:pPr>
        <w:spacing w:before="120" w:after="120"/>
        <w:jc w:val="both"/>
      </w:pPr>
      <w:r>
        <w:br w:type="page"/>
      </w:r>
    </w:p>
    <w:p w:rsidR="006F1436" w:rsidRPr="005E1720" w:rsidRDefault="006F1436" w:rsidP="006F1436">
      <w:pPr>
        <w:pStyle w:val="a"/>
      </w:pPr>
      <w:r w:rsidRPr="005E1720">
        <w:t>Les libertés fondamentales, les droits démocratiques</w:t>
      </w:r>
      <w:r>
        <w:br/>
      </w:r>
      <w:r w:rsidRPr="005E1720">
        <w:t>et les gara</w:t>
      </w:r>
      <w:r w:rsidRPr="005E1720">
        <w:t>n</w:t>
      </w:r>
      <w:r w:rsidRPr="005E1720">
        <w:t>ties juridiques.</w:t>
      </w:r>
    </w:p>
    <w:p w:rsidR="006F1436" w:rsidRPr="007A7F86" w:rsidRDefault="006F1436" w:rsidP="006F1436">
      <w:pPr>
        <w:spacing w:before="120" w:after="120"/>
        <w:jc w:val="both"/>
        <w:rPr>
          <w:szCs w:val="18"/>
        </w:rPr>
      </w:pPr>
    </w:p>
    <w:p w:rsidR="006F1436" w:rsidRPr="007A7F86" w:rsidRDefault="006F1436" w:rsidP="006F1436">
      <w:pPr>
        <w:spacing w:before="120" w:after="120"/>
        <w:jc w:val="both"/>
        <w:rPr>
          <w:szCs w:val="18"/>
        </w:rPr>
      </w:pPr>
      <w:r w:rsidRPr="007A7F86">
        <w:rPr>
          <w:szCs w:val="18"/>
        </w:rPr>
        <w:t>L'article 2 énonce les libertés fondamentales dont chacun jouit : conscience, pensée, croyance, opinion et expression (y compris l</w:t>
      </w:r>
      <w:r w:rsidRPr="007A7F86">
        <w:rPr>
          <w:szCs w:val="18"/>
        </w:rPr>
        <w:t>i</w:t>
      </w:r>
      <w:r w:rsidRPr="007A7F86">
        <w:rPr>
          <w:szCs w:val="18"/>
        </w:rPr>
        <w:t>berté de la presse et autres moyens de communication), réunion p</w:t>
      </w:r>
      <w:r w:rsidRPr="007A7F86">
        <w:rPr>
          <w:szCs w:val="18"/>
        </w:rPr>
        <w:t>a</w:t>
      </w:r>
      <w:r w:rsidRPr="007A7F86">
        <w:rPr>
          <w:szCs w:val="18"/>
        </w:rPr>
        <w:t>cifique et association.</w:t>
      </w:r>
    </w:p>
    <w:p w:rsidR="006F1436" w:rsidRPr="0077615B" w:rsidRDefault="006F1436" w:rsidP="006F1436">
      <w:pPr>
        <w:spacing w:before="120" w:after="120"/>
        <w:jc w:val="both"/>
      </w:pPr>
      <w:r w:rsidRPr="0077615B">
        <w:t>Les articles 3, 4 et 5 énoncent les droits démocratiques de tout c</w:t>
      </w:r>
      <w:r w:rsidRPr="0077615B">
        <w:t>i</w:t>
      </w:r>
      <w:r w:rsidRPr="0077615B">
        <w:t>toyen canadien (vote et éligibilité), ainsi que le mandat max</w:t>
      </w:r>
      <w:r w:rsidRPr="0077615B">
        <w:t>i</w:t>
      </w:r>
      <w:r w:rsidRPr="0077615B">
        <w:t>mal (cinq ans) des législatures et du Parlement, qui doivent tenir des séances au moins une fois tous les douze mois. La durée du Parlement et des lég</w:t>
      </w:r>
      <w:r w:rsidRPr="0077615B">
        <w:t>i</w:t>
      </w:r>
      <w:r w:rsidRPr="0077615B">
        <w:t>slatures ne peut être prolongée au-delà de cinq ans que dans des ci</w:t>
      </w:r>
      <w:r w:rsidRPr="0077615B">
        <w:t>r</w:t>
      </w:r>
      <w:r w:rsidRPr="0077615B">
        <w:t>constances exceptionnelles dont le libe</w:t>
      </w:r>
      <w:r w:rsidRPr="0077615B">
        <w:t>l</w:t>
      </w:r>
      <w:r w:rsidRPr="0077615B">
        <w:t>lé rappelle celui de la Loi des mesures de guerre (« guerre, invasion, insurrection, réelles ou appr</w:t>
      </w:r>
      <w:r w:rsidRPr="0077615B">
        <w:t>é</w:t>
      </w:r>
      <w:r w:rsidRPr="0077615B">
        <w:t>hendées »), par un vote des deux tiers des d</w:t>
      </w:r>
      <w:r w:rsidRPr="0077615B">
        <w:t>é</w:t>
      </w:r>
      <w:r w:rsidRPr="0077615B">
        <w:t>putés.</w:t>
      </w:r>
    </w:p>
    <w:p w:rsidR="006F1436" w:rsidRPr="0077615B" w:rsidRDefault="006F1436" w:rsidP="006F1436">
      <w:pPr>
        <w:spacing w:before="120" w:after="120"/>
        <w:jc w:val="both"/>
      </w:pPr>
      <w:r w:rsidRPr="0077615B">
        <w:t>L'article 6 assure aux citoyens canadiens la liberté de circul</w:t>
      </w:r>
      <w:r w:rsidRPr="0077615B">
        <w:t>a</w:t>
      </w:r>
      <w:r w:rsidRPr="0077615B">
        <w:t>tion et d'établissement partout au Canada sous réserve de certaines dispos</w:t>
      </w:r>
      <w:r w:rsidRPr="0077615B">
        <w:t>i</w:t>
      </w:r>
      <w:r w:rsidRPr="0077615B">
        <w:t>tions législatives</w:t>
      </w:r>
      <w:r>
        <w:t> </w:t>
      </w:r>
      <w:r w:rsidRPr="005B6CBD">
        <w:rPr>
          <w:rStyle w:val="Appelnotedebasdep"/>
        </w:rPr>
        <w:footnoteReference w:id="19"/>
      </w:r>
      <w:r w:rsidRPr="0077615B">
        <w:t>.</w:t>
      </w:r>
    </w:p>
    <w:p w:rsidR="006F1436" w:rsidRPr="0077615B" w:rsidRDefault="006F1436" w:rsidP="006F1436">
      <w:pPr>
        <w:spacing w:before="120" w:after="120"/>
        <w:jc w:val="both"/>
      </w:pPr>
      <w:r w:rsidRPr="0077615B">
        <w:t>Les articles 7 à 14 énoncent les garanties juridiques auxquelles chaque personne a droit. Ces garanties comprennent notamment :</w:t>
      </w:r>
    </w:p>
    <w:p w:rsidR="006F1436" w:rsidRPr="0077615B" w:rsidRDefault="006F1436" w:rsidP="006F1436">
      <w:pPr>
        <w:ind w:left="720" w:hanging="360"/>
        <w:jc w:val="both"/>
      </w:pPr>
    </w:p>
    <w:p w:rsidR="006F1436" w:rsidRPr="0077615B" w:rsidRDefault="006F1436" w:rsidP="006F1436">
      <w:pPr>
        <w:ind w:left="720" w:hanging="360"/>
        <w:jc w:val="both"/>
      </w:pPr>
      <w:r w:rsidRPr="0077615B">
        <w:t>-</w:t>
      </w:r>
      <w:r w:rsidRPr="0077615B">
        <w:tab/>
        <w:t>les droits à la vie, la liberté et à la sécurité de sa personne ;</w:t>
      </w:r>
    </w:p>
    <w:p w:rsidR="006F1436" w:rsidRPr="0077615B" w:rsidRDefault="006F1436" w:rsidP="006F1436">
      <w:pPr>
        <w:ind w:left="720" w:hanging="360"/>
        <w:jc w:val="both"/>
      </w:pPr>
      <w:r w:rsidRPr="0077615B">
        <w:t>-</w:t>
      </w:r>
      <w:r w:rsidRPr="0077615B">
        <w:tab/>
        <w:t>la protection contre les fouilles et perquisitions abusives et les détentions et emprisonnements arbitraires, à l'inform</w:t>
      </w:r>
      <w:r w:rsidRPr="0077615B">
        <w:t>a</w:t>
      </w:r>
      <w:r w:rsidRPr="0077615B">
        <w:t>tion en cas d'arre</w:t>
      </w:r>
      <w:r w:rsidRPr="0077615B">
        <w:t>s</w:t>
      </w:r>
      <w:r w:rsidRPr="0077615B">
        <w:t>tation ;</w:t>
      </w:r>
    </w:p>
    <w:p w:rsidR="006F1436" w:rsidRPr="0077615B" w:rsidRDefault="006F1436" w:rsidP="006F1436">
      <w:pPr>
        <w:ind w:left="720" w:hanging="360"/>
        <w:jc w:val="both"/>
      </w:pPr>
      <w:r w:rsidRPr="0077615B">
        <w:t>-</w:t>
      </w:r>
      <w:r w:rsidRPr="0077615B">
        <w:tab/>
        <w:t>l'assistance d'un avocat ;</w:t>
      </w:r>
    </w:p>
    <w:p w:rsidR="006F1436" w:rsidRPr="0077615B" w:rsidRDefault="006F1436" w:rsidP="006F1436">
      <w:pPr>
        <w:ind w:left="720" w:hanging="360"/>
        <w:jc w:val="both"/>
      </w:pPr>
      <w:r w:rsidRPr="0077615B">
        <w:t>-</w:t>
      </w:r>
      <w:r w:rsidRPr="0077615B">
        <w:tab/>
        <w:t>l'habeas corpus ;</w:t>
      </w:r>
    </w:p>
    <w:p w:rsidR="006F1436" w:rsidRPr="0077615B" w:rsidRDefault="006F1436" w:rsidP="006F1436">
      <w:pPr>
        <w:ind w:left="720" w:hanging="360"/>
        <w:jc w:val="both"/>
      </w:pPr>
      <w:r w:rsidRPr="0077615B">
        <w:t>-</w:t>
      </w:r>
      <w:r w:rsidRPr="0077615B">
        <w:tab/>
        <w:t>le procès dans un délai raisonnable ;</w:t>
      </w:r>
    </w:p>
    <w:p w:rsidR="006F1436" w:rsidRPr="0077615B" w:rsidRDefault="006F1436" w:rsidP="006F1436">
      <w:pPr>
        <w:ind w:left="720" w:hanging="360"/>
        <w:jc w:val="both"/>
      </w:pPr>
      <w:r w:rsidRPr="0077615B">
        <w:t>-</w:t>
      </w:r>
      <w:r w:rsidRPr="0077615B">
        <w:tab/>
        <w:t>la présomption d'innocence ;</w:t>
      </w:r>
    </w:p>
    <w:p w:rsidR="006F1436" w:rsidRPr="0077615B" w:rsidRDefault="006F1436" w:rsidP="006F1436">
      <w:pPr>
        <w:ind w:left="720" w:hanging="360"/>
        <w:jc w:val="both"/>
      </w:pPr>
      <w:r w:rsidRPr="0077615B">
        <w:t>-</w:t>
      </w:r>
      <w:r w:rsidRPr="0077615B">
        <w:tab/>
        <w:t>le procès par jury pour les infractions les plus importantes ;</w:t>
      </w:r>
    </w:p>
    <w:p w:rsidR="006F1436" w:rsidRPr="0077615B" w:rsidRDefault="006F1436" w:rsidP="006F1436">
      <w:pPr>
        <w:ind w:left="720" w:hanging="360"/>
        <w:jc w:val="both"/>
      </w:pPr>
      <w:r w:rsidRPr="0077615B">
        <w:t>-</w:t>
      </w:r>
      <w:r w:rsidRPr="0077615B">
        <w:tab/>
        <w:t>la non-rétroactivité des lois ;</w:t>
      </w:r>
    </w:p>
    <w:p w:rsidR="006F1436" w:rsidRPr="0077615B" w:rsidRDefault="006F1436" w:rsidP="006F1436">
      <w:pPr>
        <w:ind w:left="720" w:hanging="360"/>
        <w:jc w:val="both"/>
      </w:pPr>
      <w:r w:rsidRPr="0077615B">
        <w:lastRenderedPageBreak/>
        <w:t>-</w:t>
      </w:r>
      <w:r w:rsidRPr="0077615B">
        <w:tab/>
        <w:t>la protection contre les traitements usuels ou inusités ;</w:t>
      </w:r>
    </w:p>
    <w:p w:rsidR="006F1436" w:rsidRPr="0077615B" w:rsidRDefault="006F1436" w:rsidP="006F1436">
      <w:pPr>
        <w:ind w:left="720" w:hanging="360"/>
        <w:jc w:val="both"/>
      </w:pPr>
      <w:r w:rsidRPr="0077615B">
        <w:t>-</w:t>
      </w:r>
      <w:r w:rsidRPr="0077615B">
        <w:tab/>
        <w:t>la protection contre des témoignages incriminants ant</w:t>
      </w:r>
      <w:r w:rsidRPr="0077615B">
        <w:t>é</w:t>
      </w:r>
      <w:r w:rsidRPr="0077615B">
        <w:t>rieurs ;</w:t>
      </w:r>
    </w:p>
    <w:p w:rsidR="006F1436" w:rsidRPr="0077615B" w:rsidRDefault="006F1436" w:rsidP="006F1436">
      <w:pPr>
        <w:ind w:left="720" w:hanging="360"/>
        <w:jc w:val="both"/>
      </w:pPr>
      <w:r w:rsidRPr="0077615B">
        <w:t>-</w:t>
      </w:r>
      <w:r w:rsidRPr="0077615B">
        <w:tab/>
        <w:t>le droit à un interprète.</w:t>
      </w:r>
    </w:p>
    <w:p w:rsidR="006F1436" w:rsidRPr="0077615B" w:rsidRDefault="006F1436" w:rsidP="006F1436">
      <w:pPr>
        <w:spacing w:before="120" w:after="120"/>
        <w:jc w:val="both"/>
      </w:pPr>
    </w:p>
    <w:p w:rsidR="006F1436" w:rsidRPr="0077615B" w:rsidRDefault="006F1436" w:rsidP="006F1436">
      <w:pPr>
        <w:spacing w:before="120" w:after="120"/>
        <w:ind w:firstLine="0"/>
        <w:jc w:val="both"/>
      </w:pPr>
      <w:r w:rsidRPr="0077615B">
        <w:t>[115]</w:t>
      </w:r>
    </w:p>
    <w:p w:rsidR="006F1436" w:rsidRPr="0077615B" w:rsidRDefault="006F1436" w:rsidP="006F1436">
      <w:pPr>
        <w:spacing w:before="120" w:after="120"/>
        <w:jc w:val="both"/>
      </w:pPr>
    </w:p>
    <w:p w:rsidR="006F1436" w:rsidRPr="005A48FC" w:rsidRDefault="006F1436" w:rsidP="006F1436">
      <w:pPr>
        <w:pStyle w:val="a"/>
      </w:pPr>
      <w:r w:rsidRPr="005A48FC">
        <w:t>Les droits à l'égalité</w:t>
      </w:r>
    </w:p>
    <w:p w:rsidR="006F1436" w:rsidRPr="0077615B" w:rsidRDefault="006F1436" w:rsidP="006F1436">
      <w:pPr>
        <w:spacing w:before="120" w:after="120"/>
        <w:jc w:val="both"/>
      </w:pPr>
    </w:p>
    <w:p w:rsidR="006F1436" w:rsidRPr="0077615B" w:rsidRDefault="006F1436" w:rsidP="006F1436">
      <w:pPr>
        <w:spacing w:before="120" w:after="120"/>
        <w:ind w:firstLine="0"/>
        <w:jc w:val="both"/>
      </w:pPr>
      <w:r w:rsidRPr="0077615B">
        <w:t>L'article 15 est sans contredit l'un des plus importants et des plus no</w:t>
      </w:r>
      <w:r w:rsidRPr="0077615B">
        <w:t>u</w:t>
      </w:r>
      <w:r w:rsidRPr="0077615B">
        <w:t>veaux. Cet article déclare que :</w:t>
      </w:r>
    </w:p>
    <w:p w:rsidR="006F1436" w:rsidRDefault="006F1436" w:rsidP="006F1436">
      <w:pPr>
        <w:pStyle w:val="Grillecouleur-Accent1"/>
      </w:pPr>
    </w:p>
    <w:p w:rsidR="006F1436" w:rsidRDefault="006F1436" w:rsidP="006F1436">
      <w:pPr>
        <w:pStyle w:val="Grillecouleur-Accent1"/>
      </w:pPr>
      <w:r w:rsidRPr="005A48FC">
        <w:t>La loi ne fait exception de personne et s'applique également à tous, et tous ont droit à la même protection et au même bénéfice de la loi, ind</w:t>
      </w:r>
      <w:r w:rsidRPr="005A48FC">
        <w:t>é</w:t>
      </w:r>
      <w:r w:rsidRPr="005A48FC">
        <w:t>pendamment de toute discrimination, notamment des discriminations fo</w:t>
      </w:r>
      <w:r w:rsidRPr="005A48FC">
        <w:t>n</w:t>
      </w:r>
      <w:r w:rsidRPr="005A48FC">
        <w:t>dées sur la race, l'origine nationale ou ethnique, la couleur, la religion, le sexe, l'âge ou les déficiences mentales ou phys</w:t>
      </w:r>
      <w:r w:rsidRPr="005A48FC">
        <w:t>i</w:t>
      </w:r>
      <w:r w:rsidRPr="005A48FC">
        <w:t>ques.</w:t>
      </w:r>
    </w:p>
    <w:p w:rsidR="006F1436" w:rsidRPr="005A48FC" w:rsidRDefault="006F1436" w:rsidP="006F1436">
      <w:pPr>
        <w:pStyle w:val="Grillecouleur-Accent1"/>
      </w:pPr>
    </w:p>
    <w:p w:rsidR="006F1436" w:rsidRPr="0077615B" w:rsidRDefault="006F1436" w:rsidP="006F1436">
      <w:pPr>
        <w:spacing w:before="120" w:after="120"/>
        <w:jc w:val="both"/>
      </w:pPr>
      <w:r w:rsidRPr="0077615B">
        <w:t>Cet article élargit considérablement la portée de la Déclaration c</w:t>
      </w:r>
      <w:r w:rsidRPr="0077615B">
        <w:t>a</w:t>
      </w:r>
      <w:r w:rsidRPr="0077615B">
        <w:t>nadienne des droits de 1960 et va même plus loin que le XIV</w:t>
      </w:r>
      <w:r w:rsidRPr="0077615B">
        <w:rPr>
          <w:vertAlign w:val="superscript"/>
        </w:rPr>
        <w:t>e</w:t>
      </w:r>
      <w:r w:rsidRPr="0077615B">
        <w:t xml:space="preserve"> ame</w:t>
      </w:r>
      <w:r w:rsidRPr="0077615B">
        <w:t>n</w:t>
      </w:r>
      <w:r w:rsidRPr="0077615B">
        <w:t>dement de la Constitution américaine dans la définition du concept d'égalité et des discriminations interdites. Sa portée était vue comme si considérable que son entrée en vigueur fut reportée de trois ans afin de permettre aux législatures et au Parlement de s'y conformer.</w:t>
      </w:r>
    </w:p>
    <w:p w:rsidR="006F1436" w:rsidRPr="0077615B" w:rsidRDefault="006F1436" w:rsidP="006F1436">
      <w:pPr>
        <w:spacing w:before="120" w:after="120"/>
        <w:jc w:val="both"/>
        <w:rPr>
          <w:bCs/>
        </w:rPr>
      </w:pPr>
    </w:p>
    <w:p w:rsidR="006F1436" w:rsidRPr="005A48FC" w:rsidRDefault="006F1436" w:rsidP="006F1436">
      <w:pPr>
        <w:pStyle w:val="a"/>
      </w:pPr>
      <w:r w:rsidRPr="005A48FC">
        <w:t>Les langues officielles et les droits à l'instruction</w:t>
      </w:r>
      <w:r>
        <w:br/>
      </w:r>
      <w:r w:rsidRPr="005A48FC">
        <w:t>dans la la</w:t>
      </w:r>
      <w:r w:rsidRPr="005A48FC">
        <w:t>n</w:t>
      </w:r>
      <w:r w:rsidRPr="005A48FC">
        <w:t>gue de la minorité</w:t>
      </w:r>
    </w:p>
    <w:p w:rsidR="006F1436" w:rsidRPr="007A7F86" w:rsidRDefault="006F1436" w:rsidP="006F1436">
      <w:pPr>
        <w:spacing w:before="120" w:after="120"/>
        <w:jc w:val="both"/>
        <w:rPr>
          <w:bCs/>
        </w:rPr>
      </w:pPr>
    </w:p>
    <w:p w:rsidR="006F1436" w:rsidRPr="007A7F86" w:rsidRDefault="006F1436" w:rsidP="006F1436">
      <w:pPr>
        <w:spacing w:before="120" w:after="120"/>
        <w:jc w:val="both"/>
        <w:rPr>
          <w:bCs/>
        </w:rPr>
      </w:pPr>
      <w:r w:rsidRPr="007A7F86">
        <w:rPr>
          <w:bCs/>
        </w:rPr>
        <w:t>Les articles 16 à 22 concernent les langues officielles. Ils affi</w:t>
      </w:r>
      <w:r w:rsidRPr="007A7F86">
        <w:rPr>
          <w:bCs/>
        </w:rPr>
        <w:t>r</w:t>
      </w:r>
      <w:r w:rsidRPr="007A7F86">
        <w:rPr>
          <w:bCs/>
        </w:rPr>
        <w:t>ment le caractère officiel de l'anglais et du français au Parlement et dans les institutions fédérales. Ils étendent des dispositions simila</w:t>
      </w:r>
      <w:r w:rsidRPr="007A7F86">
        <w:rPr>
          <w:bCs/>
        </w:rPr>
        <w:t>i</w:t>
      </w:r>
      <w:r w:rsidRPr="007A7F86">
        <w:rPr>
          <w:bCs/>
        </w:rPr>
        <w:t xml:space="preserve">res à celles de l'article 133 de la loi de 1867 au Nouveau-Brunswick </w:t>
      </w:r>
      <w:r w:rsidRPr="0077615B">
        <w:rPr>
          <w:bCs/>
        </w:rPr>
        <w:t xml:space="preserve">tout </w:t>
      </w:r>
      <w:r w:rsidRPr="007A7F86">
        <w:rPr>
          <w:bCs/>
        </w:rPr>
        <w:t>en mai</w:t>
      </w:r>
      <w:r w:rsidRPr="007A7F86">
        <w:rPr>
          <w:bCs/>
        </w:rPr>
        <w:t>n</w:t>
      </w:r>
      <w:r w:rsidRPr="007A7F86">
        <w:rPr>
          <w:bCs/>
        </w:rPr>
        <w:t>tenant le statu quo pour les autres provi</w:t>
      </w:r>
      <w:r w:rsidRPr="007A7F86">
        <w:rPr>
          <w:bCs/>
        </w:rPr>
        <w:t>n</w:t>
      </w:r>
      <w:r w:rsidRPr="007A7F86">
        <w:rPr>
          <w:bCs/>
        </w:rPr>
        <w:t>ces.</w:t>
      </w:r>
    </w:p>
    <w:p w:rsidR="006F1436" w:rsidRPr="0077615B" w:rsidRDefault="006F1436" w:rsidP="006F1436">
      <w:pPr>
        <w:spacing w:before="120" w:after="120"/>
        <w:jc w:val="both"/>
      </w:pPr>
      <w:r w:rsidRPr="0077615B">
        <w:t>L'article 23 est mieux connu sous le nom de « clause-Canada ». Il vient faire expressément échec à la « clause-Québec » de la loi 101 et qui prévoit le droit de fréquenter l'école anglaise pour « les citoyens canadiens dont un enfant a reçu ou reçoit son instruction, au niveau primaire ou secondaire en français ou anglais, au Can</w:t>
      </w:r>
      <w:r w:rsidRPr="0077615B">
        <w:t>a</w:t>
      </w:r>
      <w:r w:rsidRPr="0077615B">
        <w:t>da », là où le nombre d'enfants est suff</w:t>
      </w:r>
      <w:r w:rsidRPr="0077615B">
        <w:t>i</w:t>
      </w:r>
      <w:r w:rsidRPr="0077615B">
        <w:t>sant. C'est sur la base de cet article que la Cour suprême a inval</w:t>
      </w:r>
      <w:r w:rsidRPr="0077615B">
        <w:t>i</w:t>
      </w:r>
      <w:r w:rsidRPr="0077615B">
        <w:t>dé les dispositions de la Charte de la langue française qui v</w:t>
      </w:r>
      <w:r w:rsidRPr="0077615B">
        <w:t>e</w:t>
      </w:r>
      <w:r w:rsidRPr="0077615B">
        <w:t>naient en conflit avec cette disposition</w:t>
      </w:r>
      <w:r>
        <w:t> </w:t>
      </w:r>
      <w:r w:rsidRPr="005B6CBD">
        <w:rPr>
          <w:rStyle w:val="Appelnotedebasdep"/>
        </w:rPr>
        <w:footnoteReference w:id="20"/>
      </w:r>
      <w:r w:rsidRPr="0077615B">
        <w:t>.</w:t>
      </w:r>
    </w:p>
    <w:p w:rsidR="006F1436" w:rsidRPr="0077615B" w:rsidRDefault="006F1436" w:rsidP="006F1436">
      <w:pPr>
        <w:spacing w:before="120" w:after="120"/>
        <w:jc w:val="both"/>
        <w:rPr>
          <w:bCs/>
        </w:rPr>
      </w:pPr>
    </w:p>
    <w:p w:rsidR="006F1436" w:rsidRPr="005A48FC" w:rsidRDefault="006F1436" w:rsidP="006F1436">
      <w:pPr>
        <w:pStyle w:val="a"/>
      </w:pPr>
      <w:r w:rsidRPr="005A48FC">
        <w:t>Les recours</w:t>
      </w:r>
    </w:p>
    <w:p w:rsidR="006F1436" w:rsidRPr="0077615B" w:rsidRDefault="006F1436" w:rsidP="006F1436">
      <w:pPr>
        <w:spacing w:before="120" w:after="120"/>
        <w:jc w:val="both"/>
      </w:pPr>
    </w:p>
    <w:p w:rsidR="006F1436" w:rsidRPr="0077615B" w:rsidRDefault="006F1436" w:rsidP="006F1436">
      <w:pPr>
        <w:spacing w:before="120" w:after="120"/>
        <w:jc w:val="both"/>
      </w:pPr>
      <w:r w:rsidRPr="0077615B">
        <w:t>L'article 24 prévoit les recours qui peuvent être exercés par to</w:t>
      </w:r>
      <w:r w:rsidRPr="0077615B">
        <w:t>u</w:t>
      </w:r>
      <w:r w:rsidRPr="0077615B">
        <w:t>te personne victime d'une atteinte aux droits et libertés gara</w:t>
      </w:r>
      <w:r w:rsidRPr="0077615B">
        <w:t>n</w:t>
      </w:r>
      <w:r w:rsidRPr="0077615B">
        <w:t>tis par la Charte. Ces recours</w:t>
      </w:r>
      <w:r>
        <w:t xml:space="preserve"> </w:t>
      </w:r>
      <w:r w:rsidRPr="0077615B">
        <w:t>[</w:t>
      </w:r>
      <w:r w:rsidRPr="0077615B">
        <w:rPr>
          <w:szCs w:val="18"/>
        </w:rPr>
        <w:t>116]</w:t>
      </w:r>
      <w:r>
        <w:rPr>
          <w:szCs w:val="18"/>
        </w:rPr>
        <w:t xml:space="preserve"> </w:t>
      </w:r>
      <w:r w:rsidRPr="0077615B">
        <w:t>peuvent s'exercer devant tout tribunal co</w:t>
      </w:r>
      <w:r w:rsidRPr="0077615B">
        <w:t>m</w:t>
      </w:r>
      <w:r w:rsidRPr="0077615B">
        <w:t>pétent, et la réparation sera celle que le tribunal estimera convenable et juste eu égard aux ci</w:t>
      </w:r>
      <w:r w:rsidRPr="0077615B">
        <w:t>r</w:t>
      </w:r>
      <w:r w:rsidRPr="0077615B">
        <w:t>constances.</w:t>
      </w:r>
    </w:p>
    <w:p w:rsidR="006F1436" w:rsidRPr="0077615B" w:rsidRDefault="006F1436" w:rsidP="006F1436">
      <w:pPr>
        <w:spacing w:before="120" w:after="120"/>
        <w:jc w:val="both"/>
        <w:rPr>
          <w:bCs/>
        </w:rPr>
      </w:pPr>
    </w:p>
    <w:p w:rsidR="006F1436" w:rsidRPr="0062624B" w:rsidRDefault="006F1436" w:rsidP="006F1436">
      <w:pPr>
        <w:pStyle w:val="a"/>
      </w:pPr>
      <w:r w:rsidRPr="0062624B">
        <w:t>Les dispositions générales</w:t>
      </w:r>
    </w:p>
    <w:p w:rsidR="006F1436" w:rsidRPr="0077615B" w:rsidRDefault="006F1436" w:rsidP="006F1436">
      <w:pPr>
        <w:spacing w:before="120" w:after="120"/>
        <w:jc w:val="both"/>
      </w:pPr>
    </w:p>
    <w:p w:rsidR="006F1436" w:rsidRPr="0077615B" w:rsidRDefault="006F1436" w:rsidP="006F1436">
      <w:pPr>
        <w:spacing w:before="120" w:after="120"/>
        <w:jc w:val="both"/>
      </w:pPr>
      <w:r w:rsidRPr="0077615B">
        <w:t>L'article 25 garantit que la Charte canadienne des droits et libe</w:t>
      </w:r>
      <w:r w:rsidRPr="0077615B">
        <w:t>r</w:t>
      </w:r>
      <w:r w:rsidRPr="0077615B">
        <w:t>tés ne portera pas atteinte aux droits ancestraux des peuples autocht</w:t>
      </w:r>
      <w:r w:rsidRPr="0077615B">
        <w:t>o</w:t>
      </w:r>
      <w:r w:rsidRPr="0077615B">
        <w:t>nes du Canada.</w:t>
      </w:r>
    </w:p>
    <w:p w:rsidR="006F1436" w:rsidRPr="0077615B" w:rsidRDefault="006F1436" w:rsidP="006F1436">
      <w:pPr>
        <w:spacing w:before="120" w:after="120"/>
        <w:jc w:val="both"/>
      </w:pPr>
      <w:r w:rsidRPr="0077615B">
        <w:t>L'article 26 maintient les autres droits et libertés existant par ai</w:t>
      </w:r>
      <w:r w:rsidRPr="0077615B">
        <w:t>l</w:t>
      </w:r>
      <w:r w:rsidRPr="0077615B">
        <w:t>leurs.</w:t>
      </w:r>
    </w:p>
    <w:p w:rsidR="006F1436" w:rsidRPr="0077615B" w:rsidRDefault="006F1436" w:rsidP="006F1436">
      <w:pPr>
        <w:spacing w:before="120" w:after="120"/>
        <w:jc w:val="both"/>
      </w:pPr>
      <w:r w:rsidRPr="0077615B">
        <w:t>L'article 27 prévoit que l'interprétation de la Charte doit conco</w:t>
      </w:r>
      <w:r w:rsidRPr="0077615B">
        <w:t>r</w:t>
      </w:r>
      <w:r w:rsidRPr="0077615B">
        <w:t>der avec la promotion et le maintien du patrimoine mult</w:t>
      </w:r>
      <w:r w:rsidRPr="0077615B">
        <w:t>i</w:t>
      </w:r>
      <w:r w:rsidRPr="0077615B">
        <w:t>culturel.</w:t>
      </w:r>
    </w:p>
    <w:p w:rsidR="006F1436" w:rsidRPr="0077615B" w:rsidRDefault="006F1436" w:rsidP="006F1436">
      <w:pPr>
        <w:spacing w:before="120" w:after="120"/>
        <w:jc w:val="both"/>
      </w:pPr>
      <w:r w:rsidRPr="0077615B">
        <w:t>L'article 28, qui a fait l'objet de nombreuses discussions, const</w:t>
      </w:r>
      <w:r w:rsidRPr="0077615B">
        <w:t>i</w:t>
      </w:r>
      <w:r w:rsidRPr="0077615B">
        <w:t>tue une véritable clause « nonobstant » qui déclare que « indépendamment des autres dispositions de la présente Charte, les droits et libertés qui y sont mentionnés sont garantis égal</w:t>
      </w:r>
      <w:r w:rsidRPr="0077615B">
        <w:t>e</w:t>
      </w:r>
      <w:r w:rsidRPr="0077615B">
        <w:t>ment aux personnes des deux sexes ».</w:t>
      </w:r>
    </w:p>
    <w:p w:rsidR="006F1436" w:rsidRPr="0077615B" w:rsidRDefault="006F1436" w:rsidP="006F1436">
      <w:pPr>
        <w:spacing w:before="120" w:after="120"/>
        <w:jc w:val="both"/>
      </w:pPr>
      <w:r w:rsidRPr="0077615B">
        <w:t>L'article 29 maintient les droits des écoles séparées ou confessio</w:t>
      </w:r>
      <w:r w:rsidRPr="0077615B">
        <w:t>n</w:t>
      </w:r>
      <w:r w:rsidRPr="0077615B">
        <w:t>nelles.</w:t>
      </w:r>
    </w:p>
    <w:p w:rsidR="006F1436" w:rsidRPr="0077615B" w:rsidRDefault="006F1436" w:rsidP="006F1436">
      <w:pPr>
        <w:spacing w:before="120" w:after="120"/>
        <w:jc w:val="both"/>
      </w:pPr>
      <w:r w:rsidRPr="0077615B">
        <w:t>L'article 30 prévoit que la Charte s'applique au Yukon et aux Terr</w:t>
      </w:r>
      <w:r w:rsidRPr="0077615B">
        <w:t>i</w:t>
      </w:r>
      <w:r w:rsidRPr="0077615B">
        <w:t>toires.</w:t>
      </w:r>
    </w:p>
    <w:p w:rsidR="006F1436" w:rsidRPr="0077615B" w:rsidRDefault="006F1436" w:rsidP="006F1436">
      <w:pPr>
        <w:spacing w:before="120" w:after="120"/>
        <w:jc w:val="both"/>
        <w:rPr>
          <w:bCs/>
        </w:rPr>
      </w:pPr>
    </w:p>
    <w:p w:rsidR="006F1436" w:rsidRPr="0062624B" w:rsidRDefault="006F1436" w:rsidP="006F1436">
      <w:pPr>
        <w:pStyle w:val="a"/>
      </w:pPr>
      <w:r w:rsidRPr="0062624B">
        <w:t>L'application de la Charte</w:t>
      </w:r>
    </w:p>
    <w:p w:rsidR="006F1436" w:rsidRPr="0077615B" w:rsidRDefault="006F1436" w:rsidP="006F1436">
      <w:pPr>
        <w:spacing w:before="120" w:after="120"/>
        <w:jc w:val="both"/>
      </w:pPr>
    </w:p>
    <w:p w:rsidR="006F1436" w:rsidRPr="0077615B" w:rsidRDefault="006F1436" w:rsidP="006F1436">
      <w:pPr>
        <w:spacing w:before="120" w:after="120"/>
        <w:jc w:val="both"/>
      </w:pPr>
      <w:r w:rsidRPr="0077615B">
        <w:t>L'article 32 prévoit que la Charte s'applique aux législatures et au gouvernement du Canada et des provinces. Cet article contr</w:t>
      </w:r>
      <w:r w:rsidRPr="0077615B">
        <w:t>o</w:t>
      </w:r>
      <w:r w:rsidRPr="0077615B">
        <w:t>versé a été interprété de façon limitative par la Cour suprême du Canada qui a déclaré qu'il signifiait que la Charte n'était pas eff</w:t>
      </w:r>
      <w:r w:rsidRPr="0077615B">
        <w:t>i</w:t>
      </w:r>
      <w:r w:rsidRPr="0077615B">
        <w:t>cace dans le cadre des rapports de droit privé, impliquant des i</w:t>
      </w:r>
      <w:r w:rsidRPr="0077615B">
        <w:t>n</w:t>
      </w:r>
      <w:r w:rsidRPr="0077615B">
        <w:t>dividus</w:t>
      </w:r>
      <w:r>
        <w:t> </w:t>
      </w:r>
      <w:r w:rsidRPr="005B6CBD">
        <w:rPr>
          <w:rStyle w:val="Appelnotedebasdep"/>
        </w:rPr>
        <w:footnoteReference w:id="21"/>
      </w:r>
      <w:r w:rsidRPr="0077615B">
        <w:t>.</w:t>
      </w:r>
    </w:p>
    <w:p w:rsidR="006F1436" w:rsidRPr="0077615B" w:rsidRDefault="006F1436" w:rsidP="006F1436">
      <w:pPr>
        <w:spacing w:before="120" w:after="120"/>
        <w:jc w:val="both"/>
      </w:pPr>
      <w:r w:rsidRPr="0077615B">
        <w:t>L'article 33, parfois appelé à tort « clause nonobstant », clôt les dispositions substantives de la Charte. Cet article permet au Parl</w:t>
      </w:r>
      <w:r w:rsidRPr="0077615B">
        <w:t>e</w:t>
      </w:r>
      <w:r w:rsidRPr="0077615B">
        <w:t>ment ou aux législatures de déroger aux dispositions des a</w:t>
      </w:r>
      <w:r w:rsidRPr="0077615B">
        <w:t>r</w:t>
      </w:r>
      <w:r w:rsidRPr="0077615B">
        <w:t>ticles 2 et 7 à 15 à condition de respecter certaines conditions. La dér</w:t>
      </w:r>
      <w:r w:rsidRPr="0077615B">
        <w:t>o</w:t>
      </w:r>
      <w:r w:rsidRPr="0077615B">
        <w:t>gation doit être adoptée dans le cadre d'une loi qui déclare « que celle-ci ou une de ses dispositions a effet indépendamment d'une disposition donnée de l'a</w:t>
      </w:r>
      <w:r w:rsidRPr="0077615B">
        <w:t>r</w:t>
      </w:r>
      <w:r w:rsidRPr="0077615B">
        <w:t>ticle 2 ou des articles 7 à 15 ». Une telle déclaration donne à la loi ou à la disposition protégée, l'effet qu'elle aurait en l'absence de la disp</w:t>
      </w:r>
      <w:r w:rsidRPr="0077615B">
        <w:t>o</w:t>
      </w:r>
      <w:r w:rsidRPr="0077615B">
        <w:t>sition de la Charte dont on a voulu la protéger. L'effet d'une telle d</w:t>
      </w:r>
      <w:r w:rsidRPr="0077615B">
        <w:t>é</w:t>
      </w:r>
      <w:r w:rsidRPr="0077615B">
        <w:t>claration est d'une durée maximale de cinq années, et peut-être ado</w:t>
      </w:r>
      <w:r w:rsidRPr="0077615B">
        <w:t>p</w:t>
      </w:r>
      <w:r w:rsidRPr="0077615B">
        <w:t>tée de nouveau à son expiration. Cette clause, critiquée par les tenants d'une Charte forte, est une concession en faveur des provinces qui voyaient dans la Charte une limite excessive à leurs compétences lég</w:t>
      </w:r>
      <w:r w:rsidRPr="0077615B">
        <w:t>i</w:t>
      </w:r>
      <w:r w:rsidRPr="0077615B">
        <w:t>slatives.</w:t>
      </w:r>
    </w:p>
    <w:p w:rsidR="006F1436" w:rsidRPr="0077615B" w:rsidRDefault="006F1436" w:rsidP="006F1436">
      <w:pPr>
        <w:spacing w:before="120" w:after="120"/>
        <w:ind w:firstLine="0"/>
        <w:jc w:val="both"/>
      </w:pPr>
      <w:r w:rsidRPr="0077615B">
        <w:br w:type="page"/>
        <w:t>[117]</w:t>
      </w:r>
    </w:p>
    <w:p w:rsidR="006F1436" w:rsidRPr="0077615B" w:rsidRDefault="006F1436" w:rsidP="006F1436">
      <w:pPr>
        <w:spacing w:before="120" w:after="120"/>
        <w:jc w:val="both"/>
      </w:pPr>
    </w:p>
    <w:p w:rsidR="006F1436" w:rsidRPr="0077615B" w:rsidRDefault="006F1436" w:rsidP="006F1436">
      <w:pPr>
        <w:pStyle w:val="planche"/>
      </w:pPr>
      <w:r>
        <w:t>LA POSITION CONSTITUT</w:t>
      </w:r>
      <w:r w:rsidRPr="0077615B">
        <w:t>IONNELLE</w:t>
      </w:r>
      <w:r>
        <w:br/>
      </w:r>
      <w:r w:rsidRPr="0077615B">
        <w:t>DE LA CHARTE</w:t>
      </w:r>
    </w:p>
    <w:p w:rsidR="006F1436" w:rsidRPr="0077615B" w:rsidRDefault="006F1436" w:rsidP="006F1436">
      <w:pPr>
        <w:spacing w:before="120" w:after="120"/>
        <w:jc w:val="both"/>
      </w:pPr>
    </w:p>
    <w:p w:rsidR="006F1436" w:rsidRPr="0077615B" w:rsidRDefault="006F1436" w:rsidP="006F1436">
      <w:pPr>
        <w:spacing w:before="120" w:after="120"/>
        <w:ind w:firstLine="0"/>
        <w:jc w:val="both"/>
      </w:pPr>
      <w:r w:rsidRPr="0077615B">
        <w:t>L'article 52 de la Loi constitutionnelle de 1982 déclare que :</w:t>
      </w:r>
    </w:p>
    <w:p w:rsidR="006F1436" w:rsidRDefault="006F1436" w:rsidP="006F1436">
      <w:pPr>
        <w:pStyle w:val="Grillecouleur-Accent1"/>
      </w:pPr>
    </w:p>
    <w:p w:rsidR="006F1436" w:rsidRDefault="006F1436" w:rsidP="006F1436">
      <w:pPr>
        <w:pStyle w:val="Grillecouleur-Accent1"/>
      </w:pPr>
      <w:r w:rsidRPr="00D964FA">
        <w:t>La constitution du Canada est la loi suprême du Canada ; elle rend inopérantes les dispositions incompatibles de toute autre r</w:t>
      </w:r>
      <w:r w:rsidRPr="00D964FA">
        <w:t>è</w:t>
      </w:r>
      <w:r w:rsidRPr="00D964FA">
        <w:t>gle de droit</w:t>
      </w:r>
      <w:r w:rsidRPr="0077615B">
        <w:t>.</w:t>
      </w:r>
    </w:p>
    <w:p w:rsidR="006F1436" w:rsidRPr="0077615B" w:rsidRDefault="006F1436" w:rsidP="006F1436">
      <w:pPr>
        <w:pStyle w:val="Grillecouleur-Accent1"/>
      </w:pPr>
    </w:p>
    <w:p w:rsidR="006F1436" w:rsidRPr="0077615B" w:rsidRDefault="006F1436" w:rsidP="006F1436">
      <w:pPr>
        <w:spacing w:before="120" w:after="120"/>
        <w:jc w:val="both"/>
      </w:pPr>
      <w:r w:rsidRPr="0077615B">
        <w:t xml:space="preserve">Cela rend donc la </w:t>
      </w:r>
      <w:r w:rsidRPr="00D964FA">
        <w:rPr>
          <w:i/>
        </w:rPr>
        <w:t>Loi constitutionnelle  de 1982</w:t>
      </w:r>
      <w:r>
        <w:t xml:space="preserve"> </w:t>
      </w:r>
      <w:r w:rsidRPr="0077615B">
        <w:t xml:space="preserve">et la </w:t>
      </w:r>
      <w:r w:rsidRPr="007B7BFC">
        <w:rPr>
          <w:i/>
        </w:rPr>
        <w:t>Charte can</w:t>
      </w:r>
      <w:r w:rsidRPr="007B7BFC">
        <w:rPr>
          <w:i/>
        </w:rPr>
        <w:t>a</w:t>
      </w:r>
      <w:r w:rsidRPr="007B7BFC">
        <w:rPr>
          <w:i/>
        </w:rPr>
        <w:t>dienne des droits et libertés</w:t>
      </w:r>
      <w:r w:rsidRPr="0077615B">
        <w:t>, hiérarchiquement supérieures à to</w:t>
      </w:r>
      <w:r w:rsidRPr="0077615B">
        <w:t>u</w:t>
      </w:r>
      <w:r w:rsidRPr="0077615B">
        <w:t>tes les lois et à tous les règlements des provinces et du fédéral, dans la mes</w:t>
      </w:r>
      <w:r w:rsidRPr="0077615B">
        <w:t>u</w:t>
      </w:r>
      <w:r w:rsidRPr="0077615B">
        <w:t>re de l'incompatibilité de ces dernières à la Loi constitutio</w:t>
      </w:r>
      <w:r w:rsidRPr="0077615B">
        <w:t>n</w:t>
      </w:r>
      <w:r w:rsidRPr="0077615B">
        <w:t>nelle.</w:t>
      </w:r>
    </w:p>
    <w:p w:rsidR="006F1436" w:rsidRPr="0077615B" w:rsidRDefault="006F1436" w:rsidP="006F1436">
      <w:pPr>
        <w:spacing w:before="120" w:after="120"/>
        <w:jc w:val="both"/>
      </w:pPr>
      <w:r w:rsidRPr="0077615B">
        <w:t>Ce principe n'existait dans notre droit constitutionnel avant 1982 qu'à l'égard du partage des compétences et des autres dispos</w:t>
      </w:r>
      <w:r w:rsidRPr="0077615B">
        <w:t>i</w:t>
      </w:r>
      <w:r w:rsidRPr="0077615B">
        <w:t xml:space="preserve">tions de la loi de 1867. L'invalidité pouvait alors être prononcée en raison des dispositions d'une vieille loi anglaise, le </w:t>
      </w:r>
      <w:r w:rsidRPr="00D964FA">
        <w:rPr>
          <w:i/>
        </w:rPr>
        <w:t>Colonial Laws Validity Act</w:t>
      </w:r>
      <w:r>
        <w:t> </w:t>
      </w:r>
      <w:r w:rsidRPr="005B6CBD">
        <w:rPr>
          <w:rStyle w:val="Appelnotedebasdep"/>
        </w:rPr>
        <w:footnoteReference w:id="22"/>
      </w:r>
      <w:r>
        <w:rPr>
          <w:vertAlign w:val="superscript"/>
        </w:rPr>
        <w:t xml:space="preserve"> </w:t>
      </w:r>
      <w:r w:rsidRPr="0077615B">
        <w:t>de 1866, dont les dispositions étaient demeurées en vigueur jusqu'en 1982 à cause de l'impossibilité pour le fédéral et les provinces de s'e</w:t>
      </w:r>
      <w:r w:rsidRPr="0077615B">
        <w:t>n</w:t>
      </w:r>
      <w:r w:rsidRPr="0077615B">
        <w:t>tendre sur une formule d'amendement, en 1931, au moment où l'A</w:t>
      </w:r>
      <w:r w:rsidRPr="0077615B">
        <w:t>n</w:t>
      </w:r>
      <w:r w:rsidRPr="0077615B">
        <w:t>gleterre, par le Statut de Wesminster</w:t>
      </w:r>
      <w:r>
        <w:rPr>
          <w:vertAlign w:val="superscript"/>
        </w:rPr>
        <w:t xml:space="preserve">, </w:t>
      </w:r>
      <w:r>
        <w:rPr>
          <w:rStyle w:val="Appelnotedebasdep"/>
        </w:rPr>
        <w:footnoteReference w:id="23"/>
      </w:r>
      <w:r w:rsidRPr="0077615B">
        <w:t>, avait reconnu l'ind</w:t>
      </w:r>
      <w:r w:rsidRPr="0077615B">
        <w:t>é</w:t>
      </w:r>
      <w:r w:rsidRPr="0077615B">
        <w:t>pendance complète de plusieurs de ses col</w:t>
      </w:r>
      <w:r w:rsidRPr="0077615B">
        <w:t>o</w:t>
      </w:r>
      <w:r w:rsidRPr="0077615B">
        <w:t>nies.</w:t>
      </w:r>
    </w:p>
    <w:p w:rsidR="006F1436" w:rsidRPr="0077615B" w:rsidRDefault="006F1436" w:rsidP="006F1436">
      <w:pPr>
        <w:spacing w:before="120" w:after="120"/>
        <w:jc w:val="both"/>
      </w:pPr>
      <w:r>
        <w:br w:type="page"/>
      </w:r>
    </w:p>
    <w:p w:rsidR="006F1436" w:rsidRPr="0077615B" w:rsidRDefault="006F1436" w:rsidP="006F1436">
      <w:pPr>
        <w:pStyle w:val="planche"/>
      </w:pPr>
      <w:r w:rsidRPr="0077615B">
        <w:t>CE QUE NE CONTIENT PAS</w:t>
      </w:r>
      <w:r>
        <w:br/>
      </w:r>
      <w:r w:rsidRPr="00A0564A">
        <w:rPr>
          <w:i/>
        </w:rPr>
        <w:t>LA CHARTE CAN</w:t>
      </w:r>
      <w:r w:rsidRPr="00A0564A">
        <w:rPr>
          <w:i/>
        </w:rPr>
        <w:t>A</w:t>
      </w:r>
      <w:r>
        <w:rPr>
          <w:i/>
        </w:rPr>
        <w:t>DIENNE</w:t>
      </w:r>
      <w:r>
        <w:rPr>
          <w:i/>
        </w:rPr>
        <w:br/>
      </w:r>
      <w:r w:rsidRPr="00A0564A">
        <w:rPr>
          <w:i/>
        </w:rPr>
        <w:t>DES DROITS ET L</w:t>
      </w:r>
      <w:r w:rsidRPr="00A0564A">
        <w:rPr>
          <w:i/>
        </w:rPr>
        <w:t>I</w:t>
      </w:r>
      <w:r w:rsidRPr="00A0564A">
        <w:rPr>
          <w:i/>
        </w:rPr>
        <w:t>BERTÉS</w:t>
      </w:r>
    </w:p>
    <w:p w:rsidR="006F1436" w:rsidRPr="0077615B" w:rsidRDefault="006F1436" w:rsidP="006F1436">
      <w:pPr>
        <w:spacing w:before="120" w:after="120"/>
        <w:jc w:val="both"/>
      </w:pPr>
    </w:p>
    <w:p w:rsidR="006F1436" w:rsidRPr="0077615B" w:rsidRDefault="006F1436" w:rsidP="006F1436">
      <w:pPr>
        <w:spacing w:before="120" w:after="120"/>
        <w:jc w:val="both"/>
      </w:pPr>
      <w:r w:rsidRPr="0077615B">
        <w:t>La Charte de 1982 est la consécration constitutionnelle de no</w:t>
      </w:r>
      <w:r w:rsidRPr="0077615B">
        <w:t>m</w:t>
      </w:r>
      <w:r w:rsidRPr="0077615B">
        <w:t>breux droits et libertés individuels qui étaient reconnus par les trib</w:t>
      </w:r>
      <w:r w:rsidRPr="0077615B">
        <w:t>u</w:t>
      </w:r>
      <w:r w:rsidRPr="0077615B">
        <w:t>naux et les lois canadiennes avant 1982. Dans plusieurs cas, elle éla</w:t>
      </w:r>
      <w:r w:rsidRPr="0077615B">
        <w:t>r</w:t>
      </w:r>
      <w:r w:rsidRPr="0077615B">
        <w:t>git les frontières et le contenu de ces droits (droit à l'égalité, l</w:t>
      </w:r>
      <w:r w:rsidRPr="0077615B">
        <w:t>i</w:t>
      </w:r>
      <w:r w:rsidRPr="0077615B">
        <w:t>berté de circulation, droit de vote), dans d'autres cas, elle reconnaît de no</w:t>
      </w:r>
      <w:r w:rsidRPr="0077615B">
        <w:t>u</w:t>
      </w:r>
      <w:r w:rsidRPr="0077615B">
        <w:t>veaux droits (protection contre les traitements cruels ou inusités, pr</w:t>
      </w:r>
      <w:r w:rsidRPr="0077615B">
        <w:t>o</w:t>
      </w:r>
      <w:r w:rsidRPr="0077615B">
        <w:t>tection automatique contre l'auto-incrimination...).</w:t>
      </w:r>
    </w:p>
    <w:p w:rsidR="006F1436" w:rsidRPr="0077615B" w:rsidRDefault="006F1436" w:rsidP="006F1436">
      <w:pPr>
        <w:spacing w:before="120" w:after="120"/>
        <w:jc w:val="both"/>
      </w:pPr>
      <w:r w:rsidRPr="0077615B">
        <w:t>Mais la Charte ne couvre pas tout, loin de là ! Il est également i</w:t>
      </w:r>
      <w:r w:rsidRPr="0077615B">
        <w:t>m</w:t>
      </w:r>
      <w:r w:rsidRPr="0077615B">
        <w:t>portant d'analyser les droits qui en sont absents que ceux qui y sont reconnus. En effet,</w:t>
      </w:r>
      <w:r>
        <w:t xml:space="preserve"> </w:t>
      </w:r>
      <w:r w:rsidRPr="0077615B">
        <w:rPr>
          <w:szCs w:val="18"/>
        </w:rPr>
        <w:t>[118]</w:t>
      </w:r>
      <w:r>
        <w:rPr>
          <w:szCs w:val="18"/>
        </w:rPr>
        <w:t xml:space="preserve"> </w:t>
      </w:r>
      <w:r w:rsidRPr="0077615B">
        <w:t>la Charte est totalement muette sur les droits économiques et s</w:t>
      </w:r>
      <w:r w:rsidRPr="0077615B">
        <w:t>o</w:t>
      </w:r>
      <w:r w:rsidRPr="0077615B">
        <w:t>ciaux, et sur presque tous les aspects de nombreux droits colle</w:t>
      </w:r>
      <w:r w:rsidRPr="0077615B">
        <w:t>c</w:t>
      </w:r>
      <w:r w:rsidRPr="0077615B">
        <w:t>tifs.</w:t>
      </w:r>
    </w:p>
    <w:p w:rsidR="006F1436" w:rsidRPr="0077615B" w:rsidRDefault="006F1436" w:rsidP="006F1436">
      <w:pPr>
        <w:spacing w:before="120" w:after="120"/>
        <w:jc w:val="both"/>
        <w:rPr>
          <w:bCs/>
        </w:rPr>
      </w:pPr>
      <w:r>
        <w:rPr>
          <w:bCs/>
        </w:rPr>
        <w:br w:type="page"/>
      </w:r>
    </w:p>
    <w:p w:rsidR="006F1436" w:rsidRPr="0077615B" w:rsidRDefault="006F1436" w:rsidP="006F1436">
      <w:pPr>
        <w:spacing w:before="120" w:after="120"/>
        <w:ind w:firstLine="0"/>
        <w:jc w:val="center"/>
      </w:pPr>
      <w:r w:rsidRPr="0077615B">
        <w:rPr>
          <w:bCs/>
        </w:rPr>
        <w:t>Graphique 1</w:t>
      </w:r>
    </w:p>
    <w:p w:rsidR="006F1436" w:rsidRDefault="004A0A1E" w:rsidP="006F1436">
      <w:pPr>
        <w:pStyle w:val="fig"/>
      </w:pPr>
      <w:r>
        <w:rPr>
          <w:noProof/>
        </w:rPr>
        <w:drawing>
          <wp:inline distT="0" distB="0" distL="0" distR="0">
            <wp:extent cx="4980940" cy="3184525"/>
            <wp:effectExtent l="25400" t="25400" r="10160" b="15875"/>
            <wp:docPr id="6" name="Image 6" descr="fig_p_118_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g_p_118_st"/>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0940" cy="3184525"/>
                    </a:xfrm>
                    <a:prstGeom prst="rect">
                      <a:avLst/>
                    </a:prstGeom>
                    <a:noFill/>
                    <a:ln w="19050" cmpd="sng">
                      <a:solidFill>
                        <a:srgbClr val="000000"/>
                      </a:solidFill>
                      <a:miter lim="800000"/>
                      <a:headEnd/>
                      <a:tailEnd/>
                    </a:ln>
                    <a:effectLst/>
                  </pic:spPr>
                </pic:pic>
              </a:graphicData>
            </a:graphic>
          </wp:inline>
        </w:drawing>
      </w:r>
    </w:p>
    <w:p w:rsidR="006F1436" w:rsidRPr="0077615B" w:rsidRDefault="006F1436" w:rsidP="006F1436">
      <w:pPr>
        <w:spacing w:before="120" w:after="120"/>
        <w:jc w:val="both"/>
      </w:pPr>
    </w:p>
    <w:p w:rsidR="006F1436" w:rsidRPr="0077615B" w:rsidRDefault="006F1436" w:rsidP="006F1436">
      <w:pPr>
        <w:spacing w:before="120" w:after="120"/>
        <w:jc w:val="both"/>
      </w:pPr>
      <w:r w:rsidRPr="0077615B">
        <w:t>Ainsi, aucun des droits reconnus, par exemple, au chapitre IV de la Charte des droits et libertés de la personne du Québec relatif au droit à l'instruction publique gratuite, aux mesures d'assistance f</w:t>
      </w:r>
      <w:r w:rsidRPr="0077615B">
        <w:t>i</w:t>
      </w:r>
      <w:r w:rsidRPr="0077615B">
        <w:t>nancière et sociale, à des conditions de travail justes et raiso</w:t>
      </w:r>
      <w:r w:rsidRPr="0077615B">
        <w:t>n</w:t>
      </w:r>
      <w:r w:rsidRPr="0077615B">
        <w:t>nables, ni aucun des droits reconnus dans le Pacte international sur les droits économiques et sociaux n'apparaît dans la Charte can</w:t>
      </w:r>
      <w:r w:rsidRPr="0077615B">
        <w:t>a</w:t>
      </w:r>
      <w:r w:rsidRPr="0077615B">
        <w:t>dienne.</w:t>
      </w:r>
    </w:p>
    <w:p w:rsidR="006F1436" w:rsidRPr="0077615B" w:rsidRDefault="006F1436" w:rsidP="006F1436">
      <w:pPr>
        <w:spacing w:before="120" w:after="120"/>
        <w:jc w:val="both"/>
      </w:pPr>
      <w:r w:rsidRPr="0077615B">
        <w:t xml:space="preserve">Sur le plan des droits des collectivités et des groupes, la </w:t>
      </w:r>
      <w:r w:rsidRPr="007B7BFC">
        <w:rPr>
          <w:i/>
        </w:rPr>
        <w:t>Cha</w:t>
      </w:r>
      <w:r w:rsidRPr="007B7BFC">
        <w:rPr>
          <w:i/>
        </w:rPr>
        <w:t>r</w:t>
      </w:r>
      <w:r w:rsidRPr="007B7BFC">
        <w:rPr>
          <w:i/>
        </w:rPr>
        <w:t xml:space="preserve">te canadienne des droits et libertés </w:t>
      </w:r>
      <w:r w:rsidRPr="0077615B">
        <w:t>est également bien pauvre. Rien, bien sûr, n'y reconnaît le caractère distinct ou particulier de la société qu</w:t>
      </w:r>
      <w:r w:rsidRPr="0077615B">
        <w:t>é</w:t>
      </w:r>
      <w:r w:rsidRPr="0077615B">
        <w:t>bécoise, bien peu sur les peuples autochtones. Ceux-ci sont mentio</w:t>
      </w:r>
      <w:r w:rsidRPr="0077615B">
        <w:t>n</w:t>
      </w:r>
      <w:r w:rsidRPr="0077615B">
        <w:t>nés dans la Loi Constitutionnelle, en dehors de la Charte (c'est-à-dire sans la protection de l'article 1), à l'article 35 qui décl</w:t>
      </w:r>
      <w:r w:rsidRPr="0077615B">
        <w:t>a</w:t>
      </w:r>
      <w:r w:rsidRPr="0077615B">
        <w:t>re :</w:t>
      </w:r>
    </w:p>
    <w:p w:rsidR="006F1436" w:rsidRDefault="006F1436" w:rsidP="006F1436">
      <w:pPr>
        <w:pStyle w:val="Grillecouleur-Accent1"/>
      </w:pPr>
    </w:p>
    <w:p w:rsidR="006F1436" w:rsidRDefault="006F1436" w:rsidP="006F1436">
      <w:pPr>
        <w:pStyle w:val="Grillecouleur-Accent1"/>
      </w:pPr>
      <w:r w:rsidRPr="00AA58C4">
        <w:t>Les droits existants — ancestraux ou issus de traités — des peuples a</w:t>
      </w:r>
      <w:r w:rsidRPr="00AA58C4">
        <w:t>u</w:t>
      </w:r>
      <w:r w:rsidRPr="00AA58C4">
        <w:t>tochtones du Canada sont reconnus et confirmés.</w:t>
      </w:r>
    </w:p>
    <w:p w:rsidR="006F1436" w:rsidRPr="00AA58C4" w:rsidRDefault="006F1436" w:rsidP="006F1436">
      <w:pPr>
        <w:pStyle w:val="Grillecouleur-Accent1"/>
      </w:pPr>
      <w:r>
        <w:br w:type="page"/>
      </w:r>
    </w:p>
    <w:p w:rsidR="006F1436" w:rsidRPr="0077615B" w:rsidRDefault="006F1436" w:rsidP="006F1436">
      <w:pPr>
        <w:spacing w:before="120" w:after="120"/>
        <w:jc w:val="both"/>
      </w:pPr>
      <w:r w:rsidRPr="0077615B">
        <w:t>La Charte se contente de déclarer, à l'article 25, que :</w:t>
      </w:r>
    </w:p>
    <w:p w:rsidR="006F1436" w:rsidRPr="0077615B" w:rsidRDefault="006F1436" w:rsidP="006F1436">
      <w:pPr>
        <w:spacing w:before="120" w:after="120"/>
        <w:ind w:firstLine="0"/>
        <w:jc w:val="both"/>
      </w:pPr>
      <w:r w:rsidRPr="0077615B">
        <w:t>[119]</w:t>
      </w:r>
    </w:p>
    <w:p w:rsidR="006F1436" w:rsidRDefault="006F1436" w:rsidP="006F1436">
      <w:pPr>
        <w:pStyle w:val="Grillecouleur-Accent1"/>
      </w:pPr>
    </w:p>
    <w:p w:rsidR="006F1436" w:rsidRDefault="006F1436" w:rsidP="006F1436">
      <w:pPr>
        <w:pStyle w:val="Grillecouleur-Accent1"/>
      </w:pPr>
      <w:r w:rsidRPr="00AA58C4">
        <w:t>Le fait que la présente Charte garantit certains droits et libertés ne po</w:t>
      </w:r>
      <w:r w:rsidRPr="00AA58C4">
        <w:t>r</w:t>
      </w:r>
      <w:r w:rsidRPr="00AA58C4">
        <w:t>te pas atteinte aux droits ou libertés ancestraux, issus de traités ou a</w:t>
      </w:r>
      <w:r w:rsidRPr="00AA58C4">
        <w:t>u</w:t>
      </w:r>
      <w:r w:rsidRPr="00AA58C4">
        <w:t>tres — des peuples autochtones du Canada.</w:t>
      </w:r>
    </w:p>
    <w:p w:rsidR="006F1436" w:rsidRPr="00AA58C4" w:rsidRDefault="006F1436" w:rsidP="006F1436">
      <w:pPr>
        <w:pStyle w:val="Grillecouleur-Accent1"/>
      </w:pPr>
    </w:p>
    <w:p w:rsidR="006F1436" w:rsidRPr="0077615B" w:rsidRDefault="006F1436" w:rsidP="006F1436">
      <w:pPr>
        <w:spacing w:before="120" w:after="120"/>
        <w:jc w:val="both"/>
      </w:pPr>
      <w:r w:rsidRPr="0077615B">
        <w:t>Est-il utile de rappeler que la Charte ne reconnaît pas non plus le droit des peuples à l'autodétermination. Il faut donc en concl</w:t>
      </w:r>
      <w:r w:rsidRPr="0077615B">
        <w:t>u</w:t>
      </w:r>
      <w:r w:rsidRPr="0077615B">
        <w:t>re qu'en regard du droit constitutionnel canadien, la seule façon pour un peuple autochtone ou pour le Québec d'atteindre l'indépendance serait d'obt</w:t>
      </w:r>
      <w:r w:rsidRPr="0077615B">
        <w:t>e</w:t>
      </w:r>
      <w:r w:rsidRPr="0077615B">
        <w:t>nir un amendement à la Constitution can</w:t>
      </w:r>
      <w:r w:rsidRPr="0077615B">
        <w:t>a</w:t>
      </w:r>
      <w:r w:rsidRPr="0077615B">
        <w:t>dienne qui recueillerait l'unanimité des voix des provinces et du fédéral</w:t>
      </w:r>
      <w:r>
        <w:t> </w:t>
      </w:r>
      <w:r w:rsidRPr="005B6CBD">
        <w:rPr>
          <w:rStyle w:val="Appelnotedebasdep"/>
        </w:rPr>
        <w:footnoteReference w:id="24"/>
      </w:r>
      <w:r w:rsidRPr="0077615B">
        <w:t> !</w:t>
      </w:r>
    </w:p>
    <w:p w:rsidR="006F1436" w:rsidRPr="0077615B" w:rsidRDefault="006F1436" w:rsidP="006F1436">
      <w:pPr>
        <w:spacing w:before="120" w:after="120"/>
        <w:jc w:val="both"/>
      </w:pPr>
      <w:r w:rsidRPr="0077615B">
        <w:t>Des arrêts récents de la Cour suprême du Canada ont d'ailleurs rappelé à l'ordre ceux ou celles qui auraient pu voir dans la Cha</w:t>
      </w:r>
      <w:r w:rsidRPr="0077615B">
        <w:t>r</w:t>
      </w:r>
      <w:r w:rsidRPr="0077615B">
        <w:t>te une protection accrue à certains droits collectifs. Des droits que l'on aurait naturellement pu croire reliés au droit d'association sy</w:t>
      </w:r>
      <w:r w:rsidRPr="0077615B">
        <w:t>n</w:t>
      </w:r>
      <w:r w:rsidRPr="0077615B">
        <w:t>dicale, tel le piquetage et le droit de grève, ne sont pas concernés.</w:t>
      </w:r>
    </w:p>
    <w:p w:rsidR="006F1436" w:rsidRPr="0077615B" w:rsidRDefault="006F1436" w:rsidP="006F1436">
      <w:pPr>
        <w:spacing w:before="120" w:after="120"/>
        <w:jc w:val="both"/>
      </w:pPr>
      <w:r w:rsidRPr="0077615B">
        <w:t>Rappelons enfin que les rapports juridiques entre individus ne sont pas couverts par les droits et garanties de la Charte. Les trib</w:t>
      </w:r>
      <w:r w:rsidRPr="0077615B">
        <w:t>u</w:t>
      </w:r>
      <w:r w:rsidRPr="0077615B">
        <w:t>naux ont en effet davantage pris position en faveur d'une interprétation restri</w:t>
      </w:r>
      <w:r w:rsidRPr="0077615B">
        <w:t>c</w:t>
      </w:r>
      <w:r w:rsidRPr="0077615B">
        <w:t>tive de la Charte canadienne des droits et libertés en d</w:t>
      </w:r>
      <w:r w:rsidRPr="0077615B">
        <w:t>é</w:t>
      </w:r>
      <w:r w:rsidRPr="0077615B">
        <w:t>clarant que des individus victimes de violations de leurs droits par d'autres individus ne pourraient pas chercher de remède dans la Charte canadienne des droits et libertés, mais devraient s'en reme</w:t>
      </w:r>
      <w:r w:rsidRPr="0077615B">
        <w:t>t</w:t>
      </w:r>
      <w:r w:rsidRPr="0077615B">
        <w:t>tre aux lois provinciales sur ces questions</w:t>
      </w:r>
      <w:r>
        <w:t> </w:t>
      </w:r>
      <w:r w:rsidRPr="005B6CBD">
        <w:rPr>
          <w:rStyle w:val="Appelnotedebasdep"/>
        </w:rPr>
        <w:footnoteReference w:id="25"/>
      </w:r>
      <w:r w:rsidRPr="0077615B">
        <w:t>. Doit-on s'étonner que ce soit dans le cadre d'un conflit opposant travailleurs et e</w:t>
      </w:r>
      <w:r w:rsidRPr="0077615B">
        <w:t>m</w:t>
      </w:r>
      <w:r w:rsidRPr="0077615B">
        <w:t>ployeurs que la Cour suprême ait statué que la Charte ne protégeait pas ceux-là contre ceux-ci ? Quo</w:t>
      </w:r>
      <w:r w:rsidRPr="0077615B">
        <w:t>i</w:t>
      </w:r>
      <w:r w:rsidRPr="0077615B">
        <w:t>qu'il en soit, il r</w:t>
      </w:r>
      <w:r w:rsidRPr="0077615B">
        <w:t>é</w:t>
      </w:r>
      <w:r w:rsidRPr="0077615B">
        <w:t>sulte de cette interprétation de la Charte que celle-ci ne peut-être utilisée que pour priver l'État et le législateur de pouvoirs d'inte</w:t>
      </w:r>
      <w:r w:rsidRPr="0077615B">
        <w:t>r</w:t>
      </w:r>
      <w:r w:rsidRPr="0077615B">
        <w:t>vention, mais ne peut pas être utilisée pour modifier les rapports éc</w:t>
      </w:r>
      <w:r w:rsidRPr="0077615B">
        <w:t>o</w:t>
      </w:r>
      <w:r w:rsidRPr="0077615B">
        <w:t>nomiques lorsque l'État n'y est pas impliqué. Cela reflète bien, au plan con</w:t>
      </w:r>
      <w:r w:rsidRPr="0077615B">
        <w:t>s</w:t>
      </w:r>
      <w:r w:rsidRPr="0077615B">
        <w:t>titutionnel, les principes politiques du néo-libéralisme.</w:t>
      </w:r>
    </w:p>
    <w:p w:rsidR="006F1436" w:rsidRPr="0077615B" w:rsidRDefault="006F1436" w:rsidP="006F1436">
      <w:pPr>
        <w:spacing w:before="120" w:after="120"/>
        <w:jc w:val="both"/>
      </w:pPr>
    </w:p>
    <w:p w:rsidR="006F1436" w:rsidRPr="0077615B" w:rsidRDefault="006F1436" w:rsidP="006F1436">
      <w:pPr>
        <w:pStyle w:val="planche"/>
      </w:pPr>
      <w:r w:rsidRPr="0077615B">
        <w:t>LES DÉROGATIONS À LA CHARTE</w:t>
      </w:r>
    </w:p>
    <w:p w:rsidR="006F1436" w:rsidRPr="0077615B" w:rsidRDefault="006F1436" w:rsidP="006F1436">
      <w:pPr>
        <w:spacing w:before="120" w:after="120"/>
        <w:jc w:val="both"/>
      </w:pPr>
    </w:p>
    <w:p w:rsidR="006F1436" w:rsidRDefault="006F1436" w:rsidP="006F1436">
      <w:pPr>
        <w:spacing w:before="120" w:after="120"/>
        <w:jc w:val="both"/>
      </w:pPr>
      <w:r w:rsidRPr="0077615B">
        <w:t>Non seulement la Charte ne couvre pas tout, mais il est impo</w:t>
      </w:r>
      <w:r w:rsidRPr="0077615B">
        <w:t>r</w:t>
      </w:r>
      <w:r w:rsidRPr="0077615B">
        <w:t>tant de souligner que les législatures ou le Parlement peuvent y d</w:t>
      </w:r>
      <w:r w:rsidRPr="0077615B">
        <w:t>é</w:t>
      </w:r>
      <w:r w:rsidRPr="0077615B">
        <w:t>roger de deux façons.</w:t>
      </w:r>
    </w:p>
    <w:p w:rsidR="006F1436" w:rsidRPr="0077615B" w:rsidRDefault="006F1436" w:rsidP="006F1436">
      <w:pPr>
        <w:spacing w:before="120" w:after="120"/>
        <w:jc w:val="both"/>
      </w:pPr>
      <w:r w:rsidRPr="0077615B">
        <w:rPr>
          <w:szCs w:val="18"/>
        </w:rPr>
        <w:t>[</w:t>
      </w:r>
      <w:r w:rsidRPr="0077615B">
        <w:t>120]</w:t>
      </w:r>
    </w:p>
    <w:p w:rsidR="006F1436" w:rsidRPr="0077615B" w:rsidRDefault="006F1436" w:rsidP="006F1436">
      <w:pPr>
        <w:spacing w:before="120" w:after="120"/>
        <w:jc w:val="both"/>
        <w:rPr>
          <w:bCs/>
        </w:rPr>
      </w:pPr>
    </w:p>
    <w:p w:rsidR="006F1436" w:rsidRPr="009D44D8" w:rsidRDefault="006F1436" w:rsidP="006F1436">
      <w:pPr>
        <w:pStyle w:val="a"/>
      </w:pPr>
      <w:r w:rsidRPr="009D44D8">
        <w:t>Les dérogations de l'article 1</w:t>
      </w:r>
    </w:p>
    <w:p w:rsidR="006F1436" w:rsidRPr="0077615B" w:rsidRDefault="006F1436" w:rsidP="006F1436">
      <w:pPr>
        <w:spacing w:before="120" w:after="120"/>
        <w:jc w:val="both"/>
      </w:pPr>
    </w:p>
    <w:p w:rsidR="006F1436" w:rsidRPr="0077615B" w:rsidRDefault="006F1436" w:rsidP="006F1436">
      <w:pPr>
        <w:spacing w:before="120" w:after="120"/>
        <w:ind w:firstLine="0"/>
        <w:jc w:val="both"/>
      </w:pPr>
      <w:r w:rsidRPr="0077615B">
        <w:t>Tout d'abord, selon les termes de l'article 1, les droits qui sont g</w:t>
      </w:r>
      <w:r w:rsidRPr="0077615B">
        <w:t>a</w:t>
      </w:r>
      <w:r w:rsidRPr="0077615B">
        <w:t>rantis par la Charte peuvent être limités par des « règles de droit dans des limites raisonnables dont la justification puisse se démo</w:t>
      </w:r>
      <w:r w:rsidRPr="0077615B">
        <w:t>n</w:t>
      </w:r>
      <w:r w:rsidRPr="0077615B">
        <w:t>trer dans le cadre d'une société libre et démocratique ».</w:t>
      </w:r>
    </w:p>
    <w:p w:rsidR="006F1436" w:rsidRPr="0077615B" w:rsidRDefault="006F1436" w:rsidP="006F1436">
      <w:pPr>
        <w:spacing w:before="120" w:after="120"/>
        <w:jc w:val="both"/>
      </w:pPr>
      <w:r w:rsidRPr="0077615B">
        <w:t>Les auteurs s'entendent généralement pour dire qu'en l'absence de l'expression écrite de cette limite, il aurait fallu interpréter le te</w:t>
      </w:r>
      <w:r w:rsidRPr="0077615B">
        <w:t>x</w:t>
      </w:r>
      <w:r w:rsidRPr="0077615B">
        <w:t>te constitutionnel, telle la Constitution américaine, comme cont</w:t>
      </w:r>
      <w:r w:rsidRPr="0077615B">
        <w:t>e</w:t>
      </w:r>
      <w:r w:rsidRPr="0077615B">
        <w:t>nant une possibilité implicite de dérogation</w:t>
      </w:r>
      <w:r>
        <w:t> </w:t>
      </w:r>
      <w:r w:rsidRPr="005B6CBD">
        <w:rPr>
          <w:rStyle w:val="Appelnotedebasdep"/>
        </w:rPr>
        <w:footnoteReference w:id="26"/>
      </w:r>
      <w:r w:rsidRPr="0077615B">
        <w:t>. Tous s'ente</w:t>
      </w:r>
      <w:r w:rsidRPr="0077615B">
        <w:t>n</w:t>
      </w:r>
      <w:r w:rsidRPr="0077615B">
        <w:t>dent en effet pour dire que des droits comme la liberté d'expre</w:t>
      </w:r>
      <w:r w:rsidRPr="0077615B">
        <w:t>s</w:t>
      </w:r>
      <w:r w:rsidRPr="0077615B">
        <w:t>sion trouvent leurs limites dans le respect du droit à la réputation, que la liberté de religion tro</w:t>
      </w:r>
      <w:r w:rsidRPr="0077615B">
        <w:t>u</w:t>
      </w:r>
      <w:r w:rsidRPr="0077615B">
        <w:t>ve sa limite dans le respect des convictions religieuses des autres, et ainsi de suite.</w:t>
      </w:r>
    </w:p>
    <w:p w:rsidR="006F1436" w:rsidRDefault="006F1436" w:rsidP="006F1436">
      <w:pPr>
        <w:spacing w:before="120" w:after="120"/>
        <w:jc w:val="both"/>
      </w:pPr>
      <w:r w:rsidRPr="0077615B">
        <w:t xml:space="preserve">Dans l'arrêt </w:t>
      </w:r>
      <w:r w:rsidRPr="009D44D8">
        <w:rPr>
          <w:i/>
        </w:rPr>
        <w:t>R. c. Oakes</w:t>
      </w:r>
      <w:r>
        <w:t> </w:t>
      </w:r>
      <w:r w:rsidRPr="009D44D8">
        <w:rPr>
          <w:rStyle w:val="Appelnotedebasdep"/>
        </w:rPr>
        <w:footnoteReference w:id="27"/>
      </w:r>
      <w:r>
        <w:rPr>
          <w:i/>
        </w:rPr>
        <w:t xml:space="preserve"> </w:t>
      </w:r>
      <w:r w:rsidRPr="0077615B">
        <w:t>la Cour suprême a défini ainsi les cond</w:t>
      </w:r>
      <w:r w:rsidRPr="0077615B">
        <w:t>i</w:t>
      </w:r>
      <w:r w:rsidRPr="0077615B">
        <w:t>tions précises pour déroger aux dispositions de la Charte :</w:t>
      </w:r>
    </w:p>
    <w:p w:rsidR="006F1436" w:rsidRPr="0077615B" w:rsidRDefault="006F1436" w:rsidP="006F1436">
      <w:pPr>
        <w:spacing w:before="120" w:after="120"/>
        <w:jc w:val="both"/>
      </w:pPr>
    </w:p>
    <w:p w:rsidR="006F1436" w:rsidRDefault="006F1436" w:rsidP="006F1436">
      <w:pPr>
        <w:pStyle w:val="Grillecouleur-Accent1"/>
      </w:pPr>
      <w:r w:rsidRPr="003A74A4">
        <w:t>En premier lieu, l'objectif que visent à servir les mesures qui appo</w:t>
      </w:r>
      <w:r w:rsidRPr="003A74A4">
        <w:t>r</w:t>
      </w:r>
      <w:r w:rsidRPr="003A74A4">
        <w:t>tent une restriction à un droit ou à un droit garanti par la Charte, doit être suff</w:t>
      </w:r>
      <w:r w:rsidRPr="003A74A4">
        <w:t>i</w:t>
      </w:r>
      <w:r w:rsidRPr="003A74A4">
        <w:t>samment important pour justifier la suppression d'un droit ou d'une liberté g</w:t>
      </w:r>
      <w:r w:rsidRPr="003A74A4">
        <w:t>a</w:t>
      </w:r>
      <w:r w:rsidRPr="003A74A4">
        <w:t>rantie par la Constitution. En deuxième lieu, dès qu'il est reconnu qu'un objectif est suffisamment important, la pa</w:t>
      </w:r>
      <w:r w:rsidRPr="003A74A4">
        <w:t>r</w:t>
      </w:r>
      <w:r w:rsidRPr="003A74A4">
        <w:t>tie qui invoque l'article premier doit alors démontrer que les moyens choisis sont raisonnables et que leur justific</w:t>
      </w:r>
      <w:r w:rsidRPr="003A74A4">
        <w:t>a</w:t>
      </w:r>
      <w:r w:rsidRPr="003A74A4">
        <w:t xml:space="preserve">tion peut se démontrer. </w:t>
      </w:r>
    </w:p>
    <w:p w:rsidR="006F1436" w:rsidRPr="00AA58C4" w:rsidRDefault="006F1436" w:rsidP="006F1436">
      <w:pPr>
        <w:pStyle w:val="Grillecouleur-Accent1"/>
      </w:pPr>
    </w:p>
    <w:p w:rsidR="006F1436" w:rsidRPr="0077615B" w:rsidRDefault="006F1436" w:rsidP="006F1436">
      <w:pPr>
        <w:spacing w:before="120" w:after="120"/>
        <w:jc w:val="both"/>
      </w:pPr>
      <w:r w:rsidRPr="0077615B">
        <w:t>Cependant, la Cour suprême, dans l'arrêt Protestant School Board</w:t>
      </w:r>
      <w:r>
        <w:t> </w:t>
      </w:r>
      <w:r w:rsidRPr="005B6CBD">
        <w:rPr>
          <w:rStyle w:val="Appelnotedebasdep"/>
        </w:rPr>
        <w:footnoteReference w:id="28"/>
      </w:r>
      <w:r w:rsidRPr="0077615B">
        <w:t>, n'a pas jugé que les dispositions de la Charte de la la</w:t>
      </w:r>
      <w:r w:rsidRPr="0077615B">
        <w:t>n</w:t>
      </w:r>
      <w:r w:rsidRPr="0077615B">
        <w:t>gue française qui dérogeaient à la Charte canadienne pouvaient se just</w:t>
      </w:r>
      <w:r w:rsidRPr="0077615B">
        <w:t>i</w:t>
      </w:r>
      <w:r w:rsidRPr="0077615B">
        <w:t>fier dans le cadre d'une société libre et démocratique.</w:t>
      </w:r>
    </w:p>
    <w:p w:rsidR="006F1436" w:rsidRDefault="006F1436" w:rsidP="006F1436">
      <w:pPr>
        <w:spacing w:before="120" w:after="120"/>
        <w:jc w:val="both"/>
      </w:pPr>
      <w:r w:rsidRPr="0077615B">
        <w:t>Cette marge d'interprétation laisse désormais une vaste place à l'opinion judiciaire dans la détermination du sens et de la portée du droit et des droits. Est-il besoin de rappeler que les juges sont inam</w:t>
      </w:r>
      <w:r w:rsidRPr="0077615B">
        <w:t>o</w:t>
      </w:r>
      <w:r w:rsidRPr="0077615B">
        <w:t>vibles, et que leur nomination est encore faite par le gouvern</w:t>
      </w:r>
      <w:r w:rsidRPr="0077615B">
        <w:t>e</w:t>
      </w:r>
      <w:r w:rsidRPr="0077615B">
        <w:t>ment au pouvoir sans contrôle démocratique ni auditions publ</w:t>
      </w:r>
      <w:r w:rsidRPr="0077615B">
        <w:t>i</w:t>
      </w:r>
      <w:r w:rsidRPr="0077615B">
        <w:t>ques ?</w:t>
      </w:r>
    </w:p>
    <w:p w:rsidR="006F1436" w:rsidRPr="0077615B" w:rsidRDefault="006F1436" w:rsidP="006F1436">
      <w:pPr>
        <w:spacing w:before="120" w:after="120"/>
        <w:jc w:val="both"/>
      </w:pPr>
      <w:r w:rsidRPr="0077615B">
        <w:t>[121]</w:t>
      </w:r>
    </w:p>
    <w:p w:rsidR="006F1436" w:rsidRPr="0077615B" w:rsidRDefault="006F1436" w:rsidP="006F1436">
      <w:pPr>
        <w:spacing w:before="120" w:after="120"/>
        <w:jc w:val="both"/>
      </w:pPr>
    </w:p>
    <w:p w:rsidR="006F1436" w:rsidRPr="003A74A4" w:rsidRDefault="006F1436" w:rsidP="006F1436">
      <w:pPr>
        <w:pStyle w:val="a"/>
      </w:pPr>
      <w:r w:rsidRPr="003A74A4">
        <w:t>Les dérogations de l'article 33</w:t>
      </w:r>
    </w:p>
    <w:p w:rsidR="006F1436" w:rsidRPr="0077615B" w:rsidRDefault="006F1436" w:rsidP="006F1436">
      <w:pPr>
        <w:spacing w:before="120" w:after="120"/>
        <w:jc w:val="both"/>
      </w:pPr>
    </w:p>
    <w:p w:rsidR="006F1436" w:rsidRPr="0077615B" w:rsidRDefault="006F1436" w:rsidP="006F1436">
      <w:pPr>
        <w:spacing w:before="120" w:after="120"/>
        <w:jc w:val="both"/>
      </w:pPr>
      <w:r w:rsidRPr="0077615B">
        <w:t>L'article 33 permet au Parlement et aux législatures de mettre leurs lois « à l'abri » de certaines dispositions de la Charte, en re</w:t>
      </w:r>
      <w:r w:rsidRPr="0077615B">
        <w:t>s</w:t>
      </w:r>
      <w:r w:rsidRPr="0077615B">
        <w:t>pectant certaines conditions de forme et de fond</w:t>
      </w:r>
      <w:r>
        <w:t> </w:t>
      </w:r>
      <w:r w:rsidRPr="005B6CBD">
        <w:rPr>
          <w:rStyle w:val="Appelnotedebasdep"/>
        </w:rPr>
        <w:footnoteReference w:id="29"/>
      </w:r>
      <w:r w:rsidRPr="0077615B">
        <w:t>.</w:t>
      </w:r>
    </w:p>
    <w:p w:rsidR="006F1436" w:rsidRPr="0077615B" w:rsidRDefault="006F1436" w:rsidP="006F1436">
      <w:pPr>
        <w:spacing w:before="120" w:after="120"/>
        <w:jc w:val="both"/>
      </w:pPr>
    </w:p>
    <w:p w:rsidR="006F1436" w:rsidRPr="0077615B" w:rsidRDefault="006F1436" w:rsidP="006F1436">
      <w:pPr>
        <w:pStyle w:val="planche"/>
      </w:pPr>
      <w:r w:rsidRPr="0077615B">
        <w:t>POURQUOI UNE CHARTE ?</w:t>
      </w:r>
    </w:p>
    <w:p w:rsidR="006F1436" w:rsidRPr="0077615B" w:rsidRDefault="006F1436" w:rsidP="006F1436">
      <w:pPr>
        <w:spacing w:before="120" w:after="120"/>
        <w:jc w:val="both"/>
      </w:pPr>
    </w:p>
    <w:p w:rsidR="006F1436" w:rsidRPr="0077615B" w:rsidRDefault="006F1436" w:rsidP="006F1436">
      <w:pPr>
        <w:spacing w:before="120" w:after="120"/>
        <w:jc w:val="both"/>
      </w:pPr>
      <w:r w:rsidRPr="0077615B">
        <w:t>Dans le contexte d'un document qui limite ainsi l'action gouvern</w:t>
      </w:r>
      <w:r w:rsidRPr="0077615B">
        <w:t>e</w:t>
      </w:r>
      <w:r w:rsidRPr="0077615B">
        <w:t>mentale, on est en droit de se demander pourquoi le gouvern</w:t>
      </w:r>
      <w:r w:rsidRPr="0077615B">
        <w:t>e</w:t>
      </w:r>
      <w:r w:rsidRPr="0077615B">
        <w:t>ment Trudeau a-t-il tant fait pour voir de telles dispositions i</w:t>
      </w:r>
      <w:r w:rsidRPr="0077615B">
        <w:t>n</w:t>
      </w:r>
      <w:r w:rsidRPr="0077615B">
        <w:t>cluses dans la Constitution canadienne au moment du rapatri</w:t>
      </w:r>
      <w:r w:rsidRPr="0077615B">
        <w:t>e</w:t>
      </w:r>
      <w:r w:rsidRPr="0077615B">
        <w:t>ment ?</w:t>
      </w:r>
    </w:p>
    <w:p w:rsidR="006F1436" w:rsidRDefault="006F1436" w:rsidP="006F1436">
      <w:pPr>
        <w:spacing w:before="120" w:after="120"/>
        <w:jc w:val="both"/>
        <w:rPr>
          <w:bCs/>
        </w:rPr>
      </w:pPr>
    </w:p>
    <w:p w:rsidR="006F1436" w:rsidRPr="0077615B" w:rsidRDefault="006F1436" w:rsidP="006F1436">
      <w:pPr>
        <w:spacing w:before="120" w:after="120"/>
        <w:jc w:val="both"/>
        <w:rPr>
          <w:bCs/>
        </w:rPr>
      </w:pPr>
    </w:p>
    <w:p w:rsidR="006F1436" w:rsidRPr="003A74A4" w:rsidRDefault="006F1436" w:rsidP="006F1436">
      <w:pPr>
        <w:pStyle w:val="a"/>
      </w:pPr>
      <w:r w:rsidRPr="003A74A4">
        <w:t>Les dangers de la grande noirceur</w:t>
      </w:r>
    </w:p>
    <w:p w:rsidR="006F1436" w:rsidRPr="0077615B" w:rsidRDefault="006F1436" w:rsidP="006F1436">
      <w:pPr>
        <w:spacing w:before="120" w:after="120"/>
        <w:jc w:val="both"/>
      </w:pPr>
    </w:p>
    <w:p w:rsidR="006F1436" w:rsidRPr="0077615B" w:rsidRDefault="006F1436" w:rsidP="006F1436">
      <w:pPr>
        <w:spacing w:before="120" w:after="120"/>
        <w:jc w:val="both"/>
      </w:pPr>
      <w:r w:rsidRPr="0077615B">
        <w:t>Rappelons d'abord que son principal promoteur, Pierre Tr</w:t>
      </w:r>
      <w:r w:rsidRPr="0077615B">
        <w:t>u</w:t>
      </w:r>
      <w:r w:rsidRPr="0077615B">
        <w:t>deau, a été formé dans la lutte contre le duplessisme et ce qu'il est conv</w:t>
      </w:r>
      <w:r w:rsidRPr="0077615B">
        <w:t>e</w:t>
      </w:r>
      <w:r w:rsidRPr="0077615B">
        <w:t>nu d'appeler la « grande noirceur ». Régime fondé sur le pouvoir perso</w:t>
      </w:r>
      <w:r w:rsidRPr="0077615B">
        <w:t>n</w:t>
      </w:r>
      <w:r w:rsidRPr="0077615B">
        <w:t>nel du « Chef », et sur l'anti-intellectualisme, le gouvernement D</w:t>
      </w:r>
      <w:r w:rsidRPr="0077615B">
        <w:t>u</w:t>
      </w:r>
      <w:r w:rsidRPr="0077615B">
        <w:t>plessis avait adopté de nombreuse mesures lui permettant de réprimer au nom de la lutte aux communistes, tout ce qui n'était pas foncièr</w:t>
      </w:r>
      <w:r w:rsidRPr="0077615B">
        <w:t>e</w:t>
      </w:r>
      <w:r w:rsidRPr="0077615B">
        <w:t>ment canadien-français-catholique-pratiquant. La plus célèbre de ces mesures fut sans contredit la « Loi du cadenas »</w:t>
      </w:r>
      <w:r>
        <w:t> </w:t>
      </w:r>
      <w:r w:rsidRPr="005B6CBD">
        <w:rPr>
          <w:rStyle w:val="Appelnotedebasdep"/>
        </w:rPr>
        <w:footnoteReference w:id="30"/>
      </w:r>
      <w:r w:rsidRPr="0077615B">
        <w:t xml:space="preserve"> qui visait à prot</w:t>
      </w:r>
      <w:r w:rsidRPr="0077615B">
        <w:t>é</w:t>
      </w:r>
      <w:r w:rsidRPr="0077615B">
        <w:t>ger la province contre la propagande communiste. Au nombre des personnes visées par la loi, le groupe religieux des Témoins de Jéh</w:t>
      </w:r>
      <w:r w:rsidRPr="0077615B">
        <w:t>o</w:t>
      </w:r>
      <w:r w:rsidRPr="0077615B">
        <w:t>vah fût un de ceux qui fit le plus parler de lui à cause des nombreuses affaires judiciaires célèbres qui découlèrent de l'a</w:t>
      </w:r>
      <w:r w:rsidRPr="0077615B">
        <w:t>p</w:t>
      </w:r>
      <w:r w:rsidRPr="0077615B">
        <w:t>plication de cette loi et</w:t>
      </w:r>
      <w:r>
        <w:t xml:space="preserve"> dans le</w:t>
      </w:r>
      <w:r>
        <w:t>s</w:t>
      </w:r>
      <w:r>
        <w:t>quelles il fut impliqué </w:t>
      </w:r>
      <w:r w:rsidRPr="005B6CBD">
        <w:rPr>
          <w:rStyle w:val="Appelnotedebasdep"/>
        </w:rPr>
        <w:footnoteReference w:id="31"/>
      </w:r>
      <w:r w:rsidRPr="0077615B">
        <w:t>.</w:t>
      </w:r>
    </w:p>
    <w:p w:rsidR="006F1436" w:rsidRDefault="006F1436" w:rsidP="006F1436">
      <w:pPr>
        <w:spacing w:before="120" w:after="120"/>
        <w:jc w:val="both"/>
      </w:pPr>
      <w:r w:rsidRPr="0077615B">
        <w:t>Dans tous ces cas, les tribunaux du Québec (Cour supérieure, Cour d'appel) ont donné raison au gouvernement et non aux vict</w:t>
      </w:r>
      <w:r w:rsidRPr="0077615B">
        <w:t>i</w:t>
      </w:r>
      <w:r w:rsidRPr="0077615B">
        <w:t>mes de ses attaques. Il a fallu porter les affaires devant la Cour suprême du Can</w:t>
      </w:r>
      <w:r w:rsidRPr="0077615B">
        <w:t>a</w:t>
      </w:r>
      <w:r w:rsidRPr="0077615B">
        <w:t>da pour que ces dernières obtiennent enfin justice et que la loi sur l</w:t>
      </w:r>
      <w:r w:rsidRPr="0077615B">
        <w:t>a</w:t>
      </w:r>
      <w:r w:rsidRPr="0077615B">
        <w:t>quelle les persécutions étaient fondées soit déclarée invalide par les juges des provinces anglaises du Can</w:t>
      </w:r>
      <w:r w:rsidRPr="0077615B">
        <w:t>a</w:t>
      </w:r>
      <w:r w:rsidRPr="0077615B">
        <w:t>da. Notons au passage que les motifs de la Cour fondent ces décisions non pas sur une garantie fo</w:t>
      </w:r>
      <w:r w:rsidRPr="0077615B">
        <w:t>n</w:t>
      </w:r>
      <w:r w:rsidRPr="0077615B">
        <w:t>damentale des droits individuels qui aurait été enchâssée dans la Constitution, mais sur le fait que la compétence l</w:t>
      </w:r>
      <w:r w:rsidRPr="0077615B">
        <w:t>é</w:t>
      </w:r>
      <w:r w:rsidRPr="0077615B">
        <w:t>gislative pour porter atteinte à ces droits n'appartient qu'au Parl</w:t>
      </w:r>
      <w:r w:rsidRPr="0077615B">
        <w:t>e</w:t>
      </w:r>
      <w:r w:rsidRPr="0077615B">
        <w:t>ment fédéral.</w:t>
      </w:r>
    </w:p>
    <w:p w:rsidR="006F1436" w:rsidRPr="0077615B" w:rsidRDefault="006F1436" w:rsidP="006F1436">
      <w:pPr>
        <w:spacing w:before="120" w:after="120"/>
        <w:jc w:val="both"/>
      </w:pPr>
      <w:r w:rsidRPr="0077615B">
        <w:rPr>
          <w:szCs w:val="18"/>
        </w:rPr>
        <w:t>[122]</w:t>
      </w:r>
    </w:p>
    <w:p w:rsidR="006F1436" w:rsidRPr="0077615B" w:rsidRDefault="006F1436" w:rsidP="006F1436">
      <w:pPr>
        <w:spacing w:before="120" w:after="120"/>
        <w:jc w:val="both"/>
      </w:pPr>
      <w:r w:rsidRPr="0077615B">
        <w:rPr>
          <w:szCs w:val="22"/>
        </w:rPr>
        <w:t>Cette loi ne fut pas la seule mesure anti-intellectuelle du gouve</w:t>
      </w:r>
      <w:r w:rsidRPr="0077615B">
        <w:rPr>
          <w:szCs w:val="22"/>
        </w:rPr>
        <w:t>r</w:t>
      </w:r>
      <w:r w:rsidRPr="0077615B">
        <w:rPr>
          <w:szCs w:val="22"/>
        </w:rPr>
        <w:t>nement Duplessis. Citons également, à titre d'exemple, le r</w:t>
      </w:r>
      <w:r w:rsidRPr="0077615B">
        <w:rPr>
          <w:szCs w:val="22"/>
        </w:rPr>
        <w:t>e</w:t>
      </w:r>
      <w:r w:rsidRPr="0077615B">
        <w:rPr>
          <w:szCs w:val="22"/>
        </w:rPr>
        <w:t>fus des subventions fédérales à la recherche universitaire, sous préte</w:t>
      </w:r>
      <w:r w:rsidRPr="0077615B">
        <w:rPr>
          <w:szCs w:val="22"/>
        </w:rPr>
        <w:t>x</w:t>
      </w:r>
      <w:r w:rsidRPr="0077615B">
        <w:rPr>
          <w:szCs w:val="22"/>
        </w:rPr>
        <w:t>te que celles-ci constituaient une intrusion fédérale dans un champ de jur</w:t>
      </w:r>
      <w:r w:rsidRPr="0077615B">
        <w:rPr>
          <w:szCs w:val="22"/>
        </w:rPr>
        <w:t>i</w:t>
      </w:r>
      <w:r w:rsidRPr="0077615B">
        <w:rPr>
          <w:szCs w:val="22"/>
        </w:rPr>
        <w:t>diction provinciale exclusive.</w:t>
      </w:r>
    </w:p>
    <w:p w:rsidR="006F1436" w:rsidRPr="0077615B" w:rsidRDefault="006F1436" w:rsidP="006F1436">
      <w:pPr>
        <w:spacing w:before="120" w:after="120"/>
        <w:jc w:val="both"/>
      </w:pPr>
      <w:r w:rsidRPr="0077615B">
        <w:rPr>
          <w:szCs w:val="22"/>
        </w:rPr>
        <w:t>Plusieurs autres gouvernements provinciaux, surtout ceux du Cr</w:t>
      </w:r>
      <w:r w:rsidRPr="0077615B">
        <w:rPr>
          <w:szCs w:val="22"/>
        </w:rPr>
        <w:t>é</w:t>
      </w:r>
      <w:r w:rsidRPr="0077615B">
        <w:rPr>
          <w:szCs w:val="22"/>
        </w:rPr>
        <w:t>dit social dans l'Ouest, n'étaient pas non plus sans reproches. Des lois visant à limiter la liberté d'expression furent invalidées par la Cour suprême, en invoquant une interprétation du partage des compétences législatives qui ne reconnaissait pas aux provi</w:t>
      </w:r>
      <w:r w:rsidRPr="0077615B">
        <w:rPr>
          <w:szCs w:val="22"/>
        </w:rPr>
        <w:t>n</w:t>
      </w:r>
      <w:r w:rsidRPr="0077615B">
        <w:rPr>
          <w:szCs w:val="22"/>
        </w:rPr>
        <w:t>ces le droit de limiter la liberté d'expression</w:t>
      </w:r>
      <w:r>
        <w:rPr>
          <w:szCs w:val="22"/>
        </w:rPr>
        <w:t> </w:t>
      </w:r>
      <w:r w:rsidRPr="005B6CBD">
        <w:rPr>
          <w:rStyle w:val="Appelnotedebasdep"/>
        </w:rPr>
        <w:footnoteReference w:id="32"/>
      </w:r>
      <w:r w:rsidRPr="0077615B">
        <w:rPr>
          <w:szCs w:val="22"/>
        </w:rPr>
        <w:t>.</w:t>
      </w:r>
    </w:p>
    <w:p w:rsidR="006F1436" w:rsidRPr="0077615B" w:rsidRDefault="006F1436" w:rsidP="006F1436">
      <w:pPr>
        <w:spacing w:before="120" w:after="120"/>
        <w:jc w:val="both"/>
      </w:pPr>
      <w:r w:rsidRPr="0077615B">
        <w:rPr>
          <w:szCs w:val="22"/>
        </w:rPr>
        <w:t>À la fin des années 1950, il était donc quasi inévitable, pour une bonne partie de ce très petit groupe de personnes — les inte</w:t>
      </w:r>
      <w:r w:rsidRPr="0077615B">
        <w:rPr>
          <w:szCs w:val="22"/>
        </w:rPr>
        <w:t>l</w:t>
      </w:r>
      <w:r w:rsidRPr="0077615B">
        <w:rPr>
          <w:szCs w:val="22"/>
        </w:rPr>
        <w:t>lectuels québécois — de voir dans le gouvernement fédéral et la Cour s</w:t>
      </w:r>
      <w:r w:rsidRPr="0077615B">
        <w:rPr>
          <w:szCs w:val="22"/>
        </w:rPr>
        <w:t>u</w:t>
      </w:r>
      <w:r w:rsidRPr="0077615B">
        <w:rPr>
          <w:szCs w:val="22"/>
        </w:rPr>
        <w:t>prême le principal moyen de défense contre ce qui semblait alors un atavi</w:t>
      </w:r>
      <w:r w:rsidRPr="0077615B">
        <w:rPr>
          <w:szCs w:val="22"/>
        </w:rPr>
        <w:t>s</w:t>
      </w:r>
      <w:r w:rsidRPr="0077615B">
        <w:rPr>
          <w:szCs w:val="22"/>
        </w:rPr>
        <w:t>me du caractère québécois, sinon provincial, l'esprit de clocher, le d</w:t>
      </w:r>
      <w:r w:rsidRPr="0077615B">
        <w:rPr>
          <w:szCs w:val="22"/>
        </w:rPr>
        <w:t>é</w:t>
      </w:r>
      <w:r w:rsidRPr="0077615B">
        <w:rPr>
          <w:szCs w:val="22"/>
        </w:rPr>
        <w:t>vouement béat au Chef et la répression de tous les co</w:t>
      </w:r>
      <w:r w:rsidRPr="0077615B">
        <w:rPr>
          <w:szCs w:val="22"/>
        </w:rPr>
        <w:t>u</w:t>
      </w:r>
      <w:r w:rsidRPr="0077615B">
        <w:rPr>
          <w:szCs w:val="22"/>
        </w:rPr>
        <w:t>rants de pensée pouvant menacer cet état de fait.</w:t>
      </w:r>
    </w:p>
    <w:p w:rsidR="006F1436" w:rsidRPr="0077615B" w:rsidRDefault="006F1436" w:rsidP="006F1436">
      <w:pPr>
        <w:spacing w:before="120" w:after="120"/>
        <w:jc w:val="both"/>
      </w:pPr>
      <w:r w:rsidRPr="0077615B">
        <w:rPr>
          <w:szCs w:val="22"/>
        </w:rPr>
        <w:t>Les outils juridiques de cette défense des libertés individuelles étaient alors, comme nous l'avons souligné plus haut, bien aléato</w:t>
      </w:r>
      <w:r w:rsidRPr="0077615B">
        <w:rPr>
          <w:szCs w:val="22"/>
        </w:rPr>
        <w:t>i</w:t>
      </w:r>
      <w:r w:rsidRPr="0077615B">
        <w:rPr>
          <w:szCs w:val="22"/>
        </w:rPr>
        <w:t>res. Ils reposaient essentiellement sur la Cour suprême et sur une interpr</w:t>
      </w:r>
      <w:r w:rsidRPr="0077615B">
        <w:rPr>
          <w:szCs w:val="22"/>
        </w:rPr>
        <w:t>é</w:t>
      </w:r>
      <w:r w:rsidRPr="0077615B">
        <w:rPr>
          <w:szCs w:val="22"/>
        </w:rPr>
        <w:t>tation de la Constitution qui reconnaissait que seul le Parlement féd</w:t>
      </w:r>
      <w:r w:rsidRPr="0077615B">
        <w:rPr>
          <w:szCs w:val="22"/>
        </w:rPr>
        <w:t>é</w:t>
      </w:r>
      <w:r w:rsidRPr="0077615B">
        <w:rPr>
          <w:szCs w:val="22"/>
        </w:rPr>
        <w:t>ral possédait les compétences législatives pour limiter la liberté de pensée et d'expression en vertu de son po</w:t>
      </w:r>
      <w:r w:rsidRPr="0077615B">
        <w:rPr>
          <w:szCs w:val="22"/>
        </w:rPr>
        <w:t>u</w:t>
      </w:r>
      <w:r w:rsidRPr="0077615B">
        <w:rPr>
          <w:szCs w:val="22"/>
        </w:rPr>
        <w:t>voir sur le droit criminel. Il demeurait donc théoriquement possible que le gouve</w:t>
      </w:r>
      <w:r w:rsidRPr="0077615B">
        <w:rPr>
          <w:szCs w:val="22"/>
        </w:rPr>
        <w:t>r</w:t>
      </w:r>
      <w:r w:rsidRPr="0077615B">
        <w:rPr>
          <w:szCs w:val="22"/>
        </w:rPr>
        <w:t>nement fédéral soit un jour formé par un paru du même acabit que l'Union Nationale ou le Crédit social et qu'à ce moment l'argumentation juridique dév</w:t>
      </w:r>
      <w:r w:rsidRPr="0077615B">
        <w:rPr>
          <w:szCs w:val="22"/>
        </w:rPr>
        <w:t>e</w:t>
      </w:r>
      <w:r w:rsidRPr="0077615B">
        <w:rPr>
          <w:szCs w:val="22"/>
        </w:rPr>
        <w:t>loppée par la Cour suprême pour défendre la l</w:t>
      </w:r>
      <w:r w:rsidRPr="0077615B">
        <w:rPr>
          <w:szCs w:val="22"/>
        </w:rPr>
        <w:t>i</w:t>
      </w:r>
      <w:r w:rsidRPr="0077615B">
        <w:rPr>
          <w:szCs w:val="22"/>
        </w:rPr>
        <w:t>berté d'expression contre les attaques pr</w:t>
      </w:r>
      <w:r w:rsidRPr="0077615B">
        <w:rPr>
          <w:szCs w:val="22"/>
        </w:rPr>
        <w:t>o</w:t>
      </w:r>
      <w:r w:rsidRPr="0077615B">
        <w:rPr>
          <w:szCs w:val="22"/>
        </w:rPr>
        <w:t>vinciales ne se retourne contre elle-même.</w:t>
      </w:r>
    </w:p>
    <w:p w:rsidR="006F1436" w:rsidRPr="0077615B" w:rsidRDefault="006F1436" w:rsidP="006F1436">
      <w:pPr>
        <w:spacing w:before="120" w:after="120"/>
        <w:jc w:val="both"/>
      </w:pPr>
      <w:r w:rsidRPr="0077615B">
        <w:rPr>
          <w:szCs w:val="22"/>
        </w:rPr>
        <w:t>La juridiction fédérale sur cette matière désormais reconnue et la souveraineté du Parlement ne connaissant aucune autre limite dans la cadre constitutionnel canadien, la seule méthode pour garantir ces l</w:t>
      </w:r>
      <w:r w:rsidRPr="0077615B">
        <w:rPr>
          <w:szCs w:val="22"/>
        </w:rPr>
        <w:t>i</w:t>
      </w:r>
      <w:r w:rsidRPr="0077615B">
        <w:rPr>
          <w:szCs w:val="22"/>
        </w:rPr>
        <w:t>bertés individuelles « pour l'éternité » et les mettre à l'abri des dangers et aléas des gouvernements élus, était donc de les placer au dessus du Parlement, au dessus de la loi. La méthode était connue, elle fonctio</w:t>
      </w:r>
      <w:r w:rsidRPr="0077615B">
        <w:rPr>
          <w:szCs w:val="22"/>
        </w:rPr>
        <w:t>n</w:t>
      </w:r>
      <w:r w:rsidRPr="0077615B">
        <w:rPr>
          <w:szCs w:val="22"/>
        </w:rPr>
        <w:t>nait depuis près de deux cents ans chez nos voisins du Sud, il fallait « constitutionnaliser » les droits m</w:t>
      </w:r>
      <w:r w:rsidRPr="0077615B">
        <w:rPr>
          <w:szCs w:val="22"/>
        </w:rPr>
        <w:t>e</w:t>
      </w:r>
      <w:r w:rsidRPr="0077615B">
        <w:rPr>
          <w:szCs w:val="22"/>
        </w:rPr>
        <w:t>nacés, les placer dans une Charte au-dessus des lois.</w:t>
      </w:r>
    </w:p>
    <w:p w:rsidR="006F1436" w:rsidRPr="0077615B" w:rsidRDefault="006F1436" w:rsidP="006F1436">
      <w:pPr>
        <w:spacing w:before="120" w:after="120"/>
        <w:jc w:val="both"/>
        <w:rPr>
          <w:bCs/>
          <w:szCs w:val="22"/>
        </w:rPr>
      </w:pPr>
    </w:p>
    <w:p w:rsidR="006F1436" w:rsidRPr="00797E41" w:rsidRDefault="006F1436" w:rsidP="006F1436">
      <w:pPr>
        <w:pStyle w:val="a"/>
      </w:pPr>
      <w:r w:rsidRPr="00797E41">
        <w:t>Un phare qui n'éclaire que dans une seule direction</w:t>
      </w:r>
    </w:p>
    <w:p w:rsidR="006F1436" w:rsidRPr="0077615B" w:rsidRDefault="006F1436" w:rsidP="006F1436">
      <w:pPr>
        <w:spacing w:before="120" w:after="120"/>
        <w:jc w:val="both"/>
        <w:rPr>
          <w:szCs w:val="22"/>
        </w:rPr>
      </w:pPr>
    </w:p>
    <w:p w:rsidR="006F1436" w:rsidRPr="0077615B" w:rsidRDefault="006F1436" w:rsidP="006F1436">
      <w:pPr>
        <w:spacing w:before="120" w:after="120"/>
        <w:jc w:val="both"/>
      </w:pPr>
      <w:r w:rsidRPr="0077615B">
        <w:rPr>
          <w:szCs w:val="22"/>
        </w:rPr>
        <w:t>Cette idée, Pierre Trudeau l'avait énoncée dès 1955 dans un m</w:t>
      </w:r>
      <w:r w:rsidRPr="0077615B">
        <w:rPr>
          <w:szCs w:val="22"/>
        </w:rPr>
        <w:t>é</w:t>
      </w:r>
      <w:r w:rsidRPr="0077615B">
        <w:rPr>
          <w:szCs w:val="22"/>
        </w:rPr>
        <w:t>moire à la Commission royale d'enquête sur les problèmes constit</w:t>
      </w:r>
      <w:r w:rsidRPr="0077615B">
        <w:rPr>
          <w:szCs w:val="22"/>
        </w:rPr>
        <w:t>u</w:t>
      </w:r>
      <w:r w:rsidRPr="0077615B">
        <w:rPr>
          <w:szCs w:val="22"/>
        </w:rPr>
        <w:t>tionnels, la</w:t>
      </w:r>
      <w:r>
        <w:rPr>
          <w:szCs w:val="22"/>
        </w:rPr>
        <w:t xml:space="preserve"> </w:t>
      </w:r>
      <w:r w:rsidRPr="0077615B">
        <w:rPr>
          <w:szCs w:val="22"/>
        </w:rPr>
        <w:t>[123]</w:t>
      </w:r>
      <w:r>
        <w:rPr>
          <w:szCs w:val="22"/>
        </w:rPr>
        <w:t xml:space="preserve"> </w:t>
      </w:r>
      <w:r w:rsidRPr="0077615B">
        <w:rPr>
          <w:szCs w:val="22"/>
        </w:rPr>
        <w:t>Commission Tremblay. Il la reprit dès son entrée en fonction co</w:t>
      </w:r>
      <w:r w:rsidRPr="0077615B">
        <w:rPr>
          <w:szCs w:val="22"/>
        </w:rPr>
        <w:t>m</w:t>
      </w:r>
      <w:r w:rsidRPr="0077615B">
        <w:rPr>
          <w:szCs w:val="22"/>
        </w:rPr>
        <w:t>me ministre de la Justice dans le gouvernement Pearson et d</w:t>
      </w:r>
      <w:r w:rsidRPr="0077615B">
        <w:rPr>
          <w:szCs w:val="22"/>
        </w:rPr>
        <w:t>é</w:t>
      </w:r>
      <w:r w:rsidRPr="0077615B">
        <w:rPr>
          <w:szCs w:val="22"/>
        </w:rPr>
        <w:t>posa à la Chambre des communes, en février 1968, un Livre blanc sur La Cha</w:t>
      </w:r>
      <w:r w:rsidRPr="0077615B">
        <w:rPr>
          <w:szCs w:val="22"/>
        </w:rPr>
        <w:t>r</w:t>
      </w:r>
      <w:r w:rsidRPr="0077615B">
        <w:rPr>
          <w:szCs w:val="22"/>
        </w:rPr>
        <w:t>te canadienne des droits de l'Homme. En 1971, le Comité Molg</w:t>
      </w:r>
      <w:r w:rsidRPr="0077615B">
        <w:rPr>
          <w:szCs w:val="22"/>
        </w:rPr>
        <w:t>a</w:t>
      </w:r>
      <w:r w:rsidRPr="0077615B">
        <w:rPr>
          <w:szCs w:val="22"/>
        </w:rPr>
        <w:t>te-McGuigan recommandait que la Charte des droits soit enchâ</w:t>
      </w:r>
      <w:r w:rsidRPr="0077615B">
        <w:rPr>
          <w:szCs w:val="22"/>
        </w:rPr>
        <w:t>s</w:t>
      </w:r>
      <w:r w:rsidRPr="0077615B">
        <w:rPr>
          <w:szCs w:val="22"/>
        </w:rPr>
        <w:t>sée dans la Constitution. Cette position devint inséparable, aux yeux de Trudeau, de l'opération du rapatriement : les deux opér</w:t>
      </w:r>
      <w:r w:rsidRPr="0077615B">
        <w:rPr>
          <w:szCs w:val="22"/>
        </w:rPr>
        <w:t>a</w:t>
      </w:r>
      <w:r w:rsidRPr="0077615B">
        <w:rPr>
          <w:szCs w:val="22"/>
        </w:rPr>
        <w:t>tions ne pouvaient se réaliser que si elles étaient menées conjoint</w:t>
      </w:r>
      <w:r w:rsidRPr="0077615B">
        <w:rPr>
          <w:szCs w:val="22"/>
        </w:rPr>
        <w:t>e</w:t>
      </w:r>
      <w:r w:rsidRPr="0077615B">
        <w:rPr>
          <w:szCs w:val="22"/>
        </w:rPr>
        <w:t>ment, l'une s'a</w:t>
      </w:r>
      <w:r w:rsidRPr="0077615B">
        <w:rPr>
          <w:szCs w:val="22"/>
        </w:rPr>
        <w:t>p</w:t>
      </w:r>
      <w:r w:rsidRPr="0077615B">
        <w:rPr>
          <w:szCs w:val="22"/>
        </w:rPr>
        <w:t>puyant sur l'autre.</w:t>
      </w:r>
    </w:p>
    <w:p w:rsidR="006F1436" w:rsidRPr="0077615B" w:rsidRDefault="006F1436" w:rsidP="006F1436">
      <w:pPr>
        <w:spacing w:before="120" w:after="120"/>
        <w:jc w:val="both"/>
      </w:pPr>
      <w:r w:rsidRPr="0077615B">
        <w:rPr>
          <w:szCs w:val="22"/>
        </w:rPr>
        <w:t>Le contenu économique et social de ces documents a cepe</w:t>
      </w:r>
      <w:r w:rsidRPr="0077615B">
        <w:rPr>
          <w:szCs w:val="22"/>
        </w:rPr>
        <w:t>n</w:t>
      </w:r>
      <w:r w:rsidRPr="0077615B">
        <w:rPr>
          <w:szCs w:val="22"/>
        </w:rPr>
        <w:t>dant fait les frais de la négociation et la Charte s'est trouvée r</w:t>
      </w:r>
      <w:r w:rsidRPr="0077615B">
        <w:rPr>
          <w:szCs w:val="22"/>
        </w:rPr>
        <w:t>é</w:t>
      </w:r>
      <w:r w:rsidRPr="0077615B">
        <w:rPr>
          <w:szCs w:val="22"/>
        </w:rPr>
        <w:t>duite à la portion congrue des libertés et droits individuels. Les seuls droits co</w:t>
      </w:r>
      <w:r w:rsidRPr="0077615B">
        <w:rPr>
          <w:szCs w:val="22"/>
        </w:rPr>
        <w:t>l</w:t>
      </w:r>
      <w:r w:rsidRPr="0077615B">
        <w:rPr>
          <w:szCs w:val="22"/>
        </w:rPr>
        <w:t>lectifs qui s'y trouvent encore sont ceux reconnus aux peuples autoc</w:t>
      </w:r>
      <w:r w:rsidRPr="0077615B">
        <w:rPr>
          <w:szCs w:val="22"/>
        </w:rPr>
        <w:t>h</w:t>
      </w:r>
      <w:r w:rsidRPr="0077615B">
        <w:rPr>
          <w:szCs w:val="22"/>
        </w:rPr>
        <w:t>tones (art. 25), aux minorités scolaires (art. 23), et à l'énigm</w:t>
      </w:r>
      <w:r w:rsidRPr="0077615B">
        <w:rPr>
          <w:szCs w:val="22"/>
        </w:rPr>
        <w:t>a</w:t>
      </w:r>
      <w:r w:rsidRPr="0077615B">
        <w:rPr>
          <w:szCs w:val="22"/>
        </w:rPr>
        <w:t>tique « patrimoine multiculturel » (art. 27). Pour le reste, les libertés de r</w:t>
      </w:r>
      <w:r w:rsidRPr="0077615B">
        <w:rPr>
          <w:szCs w:val="22"/>
        </w:rPr>
        <w:t>e</w:t>
      </w:r>
      <w:r w:rsidRPr="0077615B">
        <w:rPr>
          <w:szCs w:val="22"/>
        </w:rPr>
        <w:t>ligion, d'opinion, d'expression et d'ass</w:t>
      </w:r>
      <w:r w:rsidRPr="0077615B">
        <w:rPr>
          <w:szCs w:val="22"/>
        </w:rPr>
        <w:t>o</w:t>
      </w:r>
      <w:r w:rsidRPr="0077615B">
        <w:rPr>
          <w:szCs w:val="22"/>
        </w:rPr>
        <w:t>ciation (art. 2) sont conçues comme des droits individuels ; il en est de même du droit de vote (art. 3), et probablement des droits linguistiques.</w:t>
      </w:r>
    </w:p>
    <w:p w:rsidR="006F1436" w:rsidRPr="0077615B" w:rsidRDefault="006F1436" w:rsidP="006F1436">
      <w:pPr>
        <w:spacing w:before="120" w:after="120"/>
        <w:jc w:val="both"/>
      </w:pPr>
      <w:r w:rsidRPr="0077615B">
        <w:rPr>
          <w:szCs w:val="22"/>
        </w:rPr>
        <w:t>Les critiques faites au Québec à rencontre de la Charte n'ont pas eu pour objet de souligner ni les dangers potentiels, ni les l</w:t>
      </w:r>
      <w:r w:rsidRPr="0077615B">
        <w:rPr>
          <w:szCs w:val="22"/>
        </w:rPr>
        <w:t>i</w:t>
      </w:r>
      <w:r w:rsidRPr="0077615B">
        <w:rPr>
          <w:szCs w:val="22"/>
        </w:rPr>
        <w:t>mites de la Charte à l'égard même des libertés fondamentales que ce</w:t>
      </w:r>
      <w:r w:rsidRPr="0077615B">
        <w:rPr>
          <w:szCs w:val="22"/>
        </w:rPr>
        <w:t>l</w:t>
      </w:r>
      <w:r w:rsidRPr="0077615B">
        <w:rPr>
          <w:szCs w:val="22"/>
        </w:rPr>
        <w:t>le-ci prétend défendre, bien au contraire.</w:t>
      </w:r>
    </w:p>
    <w:p w:rsidR="006F1436" w:rsidRPr="0077615B" w:rsidRDefault="006F1436" w:rsidP="006F1436">
      <w:pPr>
        <w:spacing w:before="120" w:after="120"/>
        <w:jc w:val="both"/>
      </w:pPr>
      <w:r w:rsidRPr="0077615B">
        <w:rPr>
          <w:szCs w:val="22"/>
        </w:rPr>
        <w:t>L'un des seuls arguments à rencontre la Charte canadienne qui ne se fondait ni du point de vue du législateur qui voit ses prér</w:t>
      </w:r>
      <w:r w:rsidRPr="0077615B">
        <w:rPr>
          <w:szCs w:val="22"/>
        </w:rPr>
        <w:t>o</w:t>
      </w:r>
      <w:r w:rsidRPr="0077615B">
        <w:rPr>
          <w:szCs w:val="22"/>
        </w:rPr>
        <w:t>gatives diminuées, ni d'une soi-disant plus grande efficacité de la Charte qu</w:t>
      </w:r>
      <w:r w:rsidRPr="0077615B">
        <w:rPr>
          <w:szCs w:val="22"/>
        </w:rPr>
        <w:t>é</w:t>
      </w:r>
      <w:r w:rsidRPr="0077615B">
        <w:rPr>
          <w:szCs w:val="22"/>
        </w:rPr>
        <w:t>bécoise, fut soulevé par le ministre Paquette lorsqu'il déclarait :</w:t>
      </w:r>
    </w:p>
    <w:p w:rsidR="006F1436" w:rsidRDefault="006F1436" w:rsidP="006F1436">
      <w:pPr>
        <w:pStyle w:val="Grillecouleur-Accent1"/>
      </w:pPr>
    </w:p>
    <w:p w:rsidR="006F1436" w:rsidRDefault="006F1436" w:rsidP="006F1436">
      <w:pPr>
        <w:pStyle w:val="Grillecouleur-Accent1"/>
      </w:pPr>
      <w:r w:rsidRPr="00B678B2">
        <w:t>[On] a raison de dire que, parfois, certains gestes des gouvern</w:t>
      </w:r>
      <w:r w:rsidRPr="00B678B2">
        <w:t>e</w:t>
      </w:r>
      <w:r w:rsidRPr="00B678B2">
        <w:t>ments dans d'autres pays ont supprimé les droits et libertés, mais, à l'inverse, su</w:t>
      </w:r>
      <w:r w:rsidRPr="00B678B2">
        <w:t>p</w:t>
      </w:r>
      <w:r w:rsidRPr="00B678B2">
        <w:t>primons les gouvernements et on verra le fort écraser le faible. On ver ra les tensions sociales s'accroître, les riches devenir plus riches et les pa</w:t>
      </w:r>
      <w:r w:rsidRPr="00B678B2">
        <w:t>u</w:t>
      </w:r>
      <w:r w:rsidRPr="00B678B2">
        <w:t>vres d</w:t>
      </w:r>
      <w:r w:rsidRPr="00B678B2">
        <w:t>e</w:t>
      </w:r>
      <w:r w:rsidRPr="00B678B2">
        <w:t>venir plus pauvres</w:t>
      </w:r>
      <w:r>
        <w:t> </w:t>
      </w:r>
      <w:r w:rsidRPr="005B6CBD">
        <w:rPr>
          <w:rStyle w:val="Appelnotedebasdep"/>
          <w:szCs w:val="18"/>
        </w:rPr>
        <w:footnoteReference w:id="33"/>
      </w:r>
      <w:r w:rsidRPr="0077615B">
        <w:t>.</w:t>
      </w:r>
    </w:p>
    <w:p w:rsidR="006F1436" w:rsidRPr="00AA58C4" w:rsidRDefault="006F1436" w:rsidP="006F1436">
      <w:pPr>
        <w:pStyle w:val="Grillecouleur-Accent1"/>
      </w:pPr>
    </w:p>
    <w:p w:rsidR="006F1436" w:rsidRPr="0077615B" w:rsidRDefault="006F1436" w:rsidP="006F1436">
      <w:pPr>
        <w:spacing w:before="120" w:after="120"/>
        <w:jc w:val="both"/>
      </w:pPr>
      <w:r w:rsidRPr="0077615B">
        <w:rPr>
          <w:szCs w:val="22"/>
        </w:rPr>
        <w:t>Cette préoccupation voulait souligner qu'il peut être parfois dang</w:t>
      </w:r>
      <w:r w:rsidRPr="0077615B">
        <w:rPr>
          <w:szCs w:val="22"/>
        </w:rPr>
        <w:t>e</w:t>
      </w:r>
      <w:r w:rsidRPr="0077615B">
        <w:rPr>
          <w:szCs w:val="22"/>
        </w:rPr>
        <w:t xml:space="preserve">reux d'imposer des limites </w:t>
      </w:r>
      <w:r w:rsidRPr="00BA12E5">
        <w:rPr>
          <w:i/>
          <w:szCs w:val="22"/>
        </w:rPr>
        <w:t>a priori</w:t>
      </w:r>
      <w:r w:rsidRPr="0077615B">
        <w:rPr>
          <w:szCs w:val="22"/>
        </w:rPr>
        <w:t xml:space="preserve"> à l'action gouvernement</w:t>
      </w:r>
      <w:r w:rsidRPr="0077615B">
        <w:rPr>
          <w:szCs w:val="22"/>
        </w:rPr>
        <w:t>a</w:t>
      </w:r>
      <w:r w:rsidRPr="0077615B">
        <w:rPr>
          <w:szCs w:val="22"/>
        </w:rPr>
        <w:t>le, comme le fait la Charte canadienne, et que la limite à l'action gouvernement</w:t>
      </w:r>
      <w:r w:rsidRPr="0077615B">
        <w:rPr>
          <w:szCs w:val="22"/>
        </w:rPr>
        <w:t>a</w:t>
      </w:r>
      <w:r w:rsidRPr="0077615B">
        <w:rPr>
          <w:szCs w:val="22"/>
        </w:rPr>
        <w:t>le n'est pas en soi un signe de progrès. Mais cet arg</w:t>
      </w:r>
      <w:r w:rsidRPr="0077615B">
        <w:rPr>
          <w:szCs w:val="22"/>
        </w:rPr>
        <w:t>u</w:t>
      </w:r>
      <w:r w:rsidRPr="0077615B">
        <w:rPr>
          <w:szCs w:val="22"/>
        </w:rPr>
        <w:t>ment sérieux n'a pas été repris par les gouvernements dans la suite des débats.</w:t>
      </w:r>
    </w:p>
    <w:p w:rsidR="006F1436" w:rsidRPr="0077615B" w:rsidRDefault="006F1436" w:rsidP="006F1436">
      <w:pPr>
        <w:spacing w:before="120" w:after="120"/>
        <w:jc w:val="both"/>
      </w:pPr>
      <w:r w:rsidRPr="0077615B">
        <w:rPr>
          <w:szCs w:val="22"/>
        </w:rPr>
        <w:t>Le Gouvernement du Québec, se prévalant de l'article 33 de la Charte canadienne — qu'il dénonçait par ailleurs —, s'est e</w:t>
      </w:r>
      <w:r w:rsidRPr="0077615B">
        <w:rPr>
          <w:szCs w:val="22"/>
        </w:rPr>
        <w:t>m</w:t>
      </w:r>
      <w:r w:rsidRPr="0077615B">
        <w:rPr>
          <w:szCs w:val="22"/>
        </w:rPr>
        <w:t>pressé de déclarer que toutes ses lois devaient s'appliquer indépenda</w:t>
      </w:r>
      <w:r w:rsidRPr="0077615B">
        <w:rPr>
          <w:szCs w:val="22"/>
        </w:rPr>
        <w:t>m</w:t>
      </w:r>
      <w:r w:rsidRPr="0077615B">
        <w:rPr>
          <w:szCs w:val="22"/>
        </w:rPr>
        <w:t>ment des articles 2 et 7 à 15 de la Charte</w:t>
      </w:r>
      <w:r>
        <w:rPr>
          <w:szCs w:val="22"/>
        </w:rPr>
        <w:t> </w:t>
      </w:r>
      <w:r w:rsidRPr="005B6CBD">
        <w:rPr>
          <w:rStyle w:val="Appelnotedebasdep"/>
        </w:rPr>
        <w:footnoteReference w:id="34"/>
      </w:r>
      <w:r w:rsidRPr="0077615B">
        <w:rPr>
          <w:szCs w:val="22"/>
        </w:rPr>
        <w:t>. Ce geste ne pouvait que conforter les opposants à l'autonomie</w:t>
      </w:r>
      <w:r>
        <w:rPr>
          <w:szCs w:val="22"/>
        </w:rPr>
        <w:t xml:space="preserve"> </w:t>
      </w:r>
      <w:r w:rsidRPr="0077615B">
        <w:rPr>
          <w:szCs w:val="18"/>
        </w:rPr>
        <w:t>[</w:t>
      </w:r>
      <w:r w:rsidRPr="0077615B">
        <w:t>124]</w:t>
      </w:r>
      <w:r>
        <w:t xml:space="preserve"> </w:t>
      </w:r>
      <w:r w:rsidRPr="0077615B">
        <w:t>québécoise dans leur conviction que le Québec n'a pas la maturité politique de se gouverner lui-même, i</w:t>
      </w:r>
      <w:r w:rsidRPr="0077615B">
        <w:t>n</w:t>
      </w:r>
      <w:r w:rsidRPr="0077615B">
        <w:t>capable de garantir à ses citoyens les mêmes droits qu'aux autres c</w:t>
      </w:r>
      <w:r w:rsidRPr="0077615B">
        <w:t>a</w:t>
      </w:r>
      <w:r w:rsidRPr="0077615B">
        <w:t>nadiens, incapable de restreindre son goût et ses traditions trop réce</w:t>
      </w:r>
      <w:r w:rsidRPr="0077615B">
        <w:t>n</w:t>
      </w:r>
      <w:r w:rsidRPr="0077615B">
        <w:t>tes pour le pouvoir pe</w:t>
      </w:r>
      <w:r w:rsidRPr="0077615B">
        <w:t>r</w:t>
      </w:r>
      <w:r w:rsidRPr="0077615B">
        <w:t>sonnel. Mais ces réflexions dépassent le cadre de l'analyse du gouvernement libéral f</w:t>
      </w:r>
      <w:r w:rsidRPr="0077615B">
        <w:t>é</w:t>
      </w:r>
      <w:r w:rsidRPr="0077615B">
        <w:t>déral à proprement parler.</w:t>
      </w:r>
    </w:p>
    <w:p w:rsidR="006F1436" w:rsidRPr="0077615B" w:rsidRDefault="006F1436" w:rsidP="006F1436">
      <w:pPr>
        <w:pStyle w:val="c"/>
      </w:pPr>
      <w:r w:rsidRPr="0077615B">
        <w:t>*  *  *</w:t>
      </w:r>
    </w:p>
    <w:p w:rsidR="006F1436" w:rsidRPr="0077615B" w:rsidRDefault="006F1436" w:rsidP="006F1436">
      <w:pPr>
        <w:spacing w:before="120" w:after="120"/>
        <w:jc w:val="both"/>
      </w:pPr>
      <w:r w:rsidRPr="0077615B">
        <w:t xml:space="preserve">La </w:t>
      </w:r>
      <w:r w:rsidRPr="00BA12E5">
        <w:rPr>
          <w:i/>
        </w:rPr>
        <w:t>Charte canadienne des droits et libertés</w:t>
      </w:r>
      <w:r w:rsidRPr="0077615B">
        <w:t xml:space="preserve"> de 1982 reconnaît à l'individu des droits et des libertés à </w:t>
      </w:r>
      <w:r>
        <w:t>l’</w:t>
      </w:r>
      <w:r w:rsidRPr="0077615B">
        <w:t>encontre de l'État. Elle lui pe</w:t>
      </w:r>
      <w:r w:rsidRPr="0077615B">
        <w:t>r</w:t>
      </w:r>
      <w:r w:rsidRPr="0077615B">
        <w:t>met de recourir aux tribunaux pour faire valoir ces droits et aller ju</w:t>
      </w:r>
      <w:r w:rsidRPr="0077615B">
        <w:t>s</w:t>
      </w:r>
      <w:r w:rsidRPr="0077615B">
        <w:t>qu'à faire invalider des lois adoptées par le Parlement ou l'A</w:t>
      </w:r>
      <w:r w:rsidRPr="0077615B">
        <w:t>s</w:t>
      </w:r>
      <w:r w:rsidRPr="0077615B">
        <w:t>semblée nationale. Le plus faible des citoyens, la plus dém</w:t>
      </w:r>
      <w:r w:rsidRPr="0077615B">
        <w:t>u</w:t>
      </w:r>
      <w:r w:rsidRPr="0077615B">
        <w:t>nie des citoyennes a donc, en théorie, le pouvoir de mettre en branle un processus qui allumera le phare de la Justice afin de jeter la lumière sur tout obsc</w:t>
      </w:r>
      <w:r w:rsidRPr="0077615B">
        <w:t>u</w:t>
      </w:r>
      <w:r w:rsidRPr="0077615B">
        <w:t>rantiste qui aurait pu berner l'électorat et s'e</w:t>
      </w:r>
      <w:r w:rsidRPr="0077615B">
        <w:t>m</w:t>
      </w:r>
      <w:r w:rsidRPr="0077615B">
        <w:t>parer du pouvoir aux fins de faire triompher ses so</w:t>
      </w:r>
      <w:r w:rsidRPr="0077615B">
        <w:t>m</w:t>
      </w:r>
      <w:r w:rsidRPr="0077615B">
        <w:t>bres desseins.</w:t>
      </w:r>
    </w:p>
    <w:p w:rsidR="006F1436" w:rsidRPr="0077615B" w:rsidRDefault="006F1436" w:rsidP="006F1436">
      <w:pPr>
        <w:spacing w:before="120" w:after="120"/>
        <w:jc w:val="both"/>
      </w:pPr>
      <w:r w:rsidRPr="0077615B">
        <w:t>Il faut bien dire en théorie, car les lumières de la Justice co</w:t>
      </w:r>
      <w:r w:rsidRPr="0077615B">
        <w:t>û</w:t>
      </w:r>
      <w:r w:rsidRPr="0077615B">
        <w:t>tent cher et elles sont longues à s'allumer. Dans la célèbre affaire Ronc</w:t>
      </w:r>
      <w:r w:rsidRPr="0077615B">
        <w:t>a</w:t>
      </w:r>
      <w:r w:rsidRPr="0077615B">
        <w:t>relli c. Duplessis, par exemple, ce n'est qu'après neuf ans de d</w:t>
      </w:r>
      <w:r w:rsidRPr="0077615B">
        <w:t>é</w:t>
      </w:r>
      <w:r w:rsidRPr="0077615B">
        <w:t>bats judiciaires que celui-là eut raison de celui-ci. La petite histoire nous rapporte que le restaurant de Roncarelli que Duplessis avait fait fe</w:t>
      </w:r>
      <w:r w:rsidRPr="0077615B">
        <w:t>r</w:t>
      </w:r>
      <w:r w:rsidRPr="0077615B">
        <w:t>mer, n'a jamais été réouvert, et que Roncarelli a dû s'exp</w:t>
      </w:r>
      <w:r w:rsidRPr="0077615B">
        <w:t>a</w:t>
      </w:r>
      <w:r w:rsidRPr="0077615B">
        <w:t>trier aux États-Unis. Sans l'acharnement de son avocat, le profe</w:t>
      </w:r>
      <w:r w:rsidRPr="0077615B">
        <w:t>s</w:t>
      </w:r>
      <w:r w:rsidRPr="0077615B">
        <w:t>seur Frank Scott de McGill, l'affaire se serait éteinte avant d'avoir été entendue. La compensation financière ne réussit jamais à compenser des attei</w:t>
      </w:r>
      <w:r w:rsidRPr="0077615B">
        <w:t>n</w:t>
      </w:r>
      <w:r w:rsidRPr="0077615B">
        <w:t>tes de cette nature.</w:t>
      </w:r>
    </w:p>
    <w:p w:rsidR="006F1436" w:rsidRPr="0077615B" w:rsidRDefault="006F1436" w:rsidP="006F1436">
      <w:pPr>
        <w:spacing w:before="120" w:after="120"/>
        <w:jc w:val="both"/>
      </w:pPr>
      <w:r w:rsidRPr="0077615B">
        <w:t>Et si les recours contre l'État sont ouverts aux plus petits et aux plus démunis, ils le sont aussi, au nom de l'égalité, aux plus gros et aux plus puissants. Sans l'inclusion des droits économiques, s</w:t>
      </w:r>
      <w:r w:rsidRPr="0077615B">
        <w:t>o</w:t>
      </w:r>
      <w:r w:rsidRPr="0077615B">
        <w:t>ciaux et collectifs dans la Charte, ceux-ci seront toujours évalués et so</w:t>
      </w:r>
      <w:r w:rsidRPr="0077615B">
        <w:t>u</w:t>
      </w:r>
      <w:r w:rsidRPr="0077615B">
        <w:t>pesés en termes d'atteintes aux droits individuels qui, eux, jouissent d'un statut et d'une protection constitutionnels plus él</w:t>
      </w:r>
      <w:r w:rsidRPr="0077615B">
        <w:t>e</w:t>
      </w:r>
      <w:r w:rsidRPr="0077615B">
        <w:t>vés. Et dans ce contexte on est en droit de se demander qui sera le mieux pourvu pour faire valoir son point de vue ?</w:t>
      </w:r>
    </w:p>
    <w:p w:rsidR="006F1436" w:rsidRDefault="006F1436" w:rsidP="006F1436">
      <w:pPr>
        <w:spacing w:before="120" w:after="120"/>
        <w:jc w:val="both"/>
      </w:pPr>
      <w:r w:rsidRPr="0077615B">
        <w:t>Les options de ses concepteurs, les négociations politiques et la r</w:t>
      </w:r>
      <w:r w:rsidRPr="0077615B">
        <w:t>é</w:t>
      </w:r>
      <w:r w:rsidRPr="0077615B">
        <w:t>daction législative ont laissé au Canada et au Québec le d</w:t>
      </w:r>
      <w:r w:rsidRPr="0077615B">
        <w:t>o</w:t>
      </w:r>
      <w:r w:rsidRPr="0077615B">
        <w:t>cument que l'on connaît. Ce phare, conçu à l'origine comme une l</w:t>
      </w:r>
      <w:r w:rsidRPr="0077615B">
        <w:t>u</w:t>
      </w:r>
      <w:r w:rsidRPr="0077615B">
        <w:t>mière contre le retour de la grande</w:t>
      </w:r>
      <w:r>
        <w:t xml:space="preserve"> noirceur, ne tourne pas rond. I</w:t>
      </w:r>
      <w:r w:rsidRPr="0077615B">
        <w:t>l n'écla</w:t>
      </w:r>
      <w:r w:rsidRPr="0077615B">
        <w:t>i</w:t>
      </w:r>
      <w:r w:rsidRPr="0077615B">
        <w:t>re que dans une seule direction, celle des droits et libertés indiv</w:t>
      </w:r>
      <w:r w:rsidRPr="0077615B">
        <w:t>i</w:t>
      </w:r>
      <w:r w:rsidRPr="0077615B">
        <w:t>duels. À force de le regarder, on risque d'être aveuglé et de ne plus voir que d'autres d</w:t>
      </w:r>
      <w:r w:rsidRPr="0077615B">
        <w:t>i</w:t>
      </w:r>
      <w:r w:rsidRPr="0077615B">
        <w:t>mensions de la vie en société mér</w:t>
      </w:r>
      <w:r w:rsidRPr="0077615B">
        <w:t>i</w:t>
      </w:r>
      <w:r w:rsidRPr="0077615B">
        <w:t>teraient une protection non moins grande que celles accordées aux droits indiv</w:t>
      </w:r>
      <w:r w:rsidRPr="0077615B">
        <w:t>i</w:t>
      </w:r>
      <w:r w:rsidRPr="0077615B">
        <w:t>duels.</w:t>
      </w:r>
    </w:p>
    <w:p w:rsidR="006F1436" w:rsidRDefault="006F1436" w:rsidP="006F1436">
      <w:pPr>
        <w:spacing w:before="120" w:after="120"/>
        <w:jc w:val="both"/>
      </w:pPr>
      <w:r w:rsidRPr="0077615B">
        <w:t>[125]</w:t>
      </w:r>
    </w:p>
    <w:p w:rsidR="006F1436" w:rsidRPr="0077615B" w:rsidRDefault="006F1436" w:rsidP="006F1436">
      <w:pPr>
        <w:spacing w:before="120" w:after="120"/>
        <w:ind w:firstLine="426"/>
        <w:jc w:val="both"/>
      </w:pPr>
      <w:r w:rsidRPr="0077615B">
        <w:t xml:space="preserve">Le phare allumé par la </w:t>
      </w:r>
      <w:r w:rsidRPr="00F259C4">
        <w:rPr>
          <w:i/>
        </w:rPr>
        <w:t>Charte canadienne des droits et libe</w:t>
      </w:r>
      <w:r w:rsidRPr="00F259C4">
        <w:rPr>
          <w:i/>
        </w:rPr>
        <w:t>r</w:t>
      </w:r>
      <w:r w:rsidRPr="00F259C4">
        <w:rPr>
          <w:i/>
        </w:rPr>
        <w:t>tés</w:t>
      </w:r>
      <w:r w:rsidRPr="0077615B">
        <w:t xml:space="preserve"> risque de nous cacher l'essentiel, et c'est peut-être Georges A. L</w:t>
      </w:r>
      <w:r w:rsidRPr="0077615B">
        <w:t>e</w:t>
      </w:r>
      <w:r w:rsidRPr="0077615B">
        <w:t>Bel qui a le mieux saisi cette dimension de la Charte, à lui donc le mot de la fin :</w:t>
      </w:r>
    </w:p>
    <w:p w:rsidR="006F1436" w:rsidRDefault="006F1436" w:rsidP="006F1436">
      <w:pPr>
        <w:pStyle w:val="Grillecouleur-Accent1"/>
      </w:pPr>
    </w:p>
    <w:p w:rsidR="006F1436" w:rsidRPr="0077615B" w:rsidRDefault="006F1436" w:rsidP="006F1436">
      <w:pPr>
        <w:pStyle w:val="Grillecouleur-Accent1"/>
      </w:pPr>
      <w:r w:rsidRPr="005241E1">
        <w:t>Méfions-nous que la proclamation des droits individuels ne légit</w:t>
      </w:r>
      <w:r w:rsidRPr="005241E1">
        <w:t>i</w:t>
      </w:r>
      <w:r w:rsidRPr="005241E1">
        <w:t>me et ne masque un processus d'étouffement des solidarités anciennes. Aux vi</w:t>
      </w:r>
      <w:r w:rsidRPr="005241E1">
        <w:t>l</w:t>
      </w:r>
      <w:r w:rsidRPr="005241E1">
        <w:t>lages, qua</w:t>
      </w:r>
      <w:r w:rsidRPr="005241E1">
        <w:t>r</w:t>
      </w:r>
      <w:r w:rsidRPr="005241E1">
        <w:t>tiers et familles fourmillants de solidarités multiformes, on substitue l'u</w:t>
      </w:r>
      <w:r w:rsidRPr="005241E1">
        <w:t>r</w:t>
      </w:r>
      <w:r w:rsidRPr="005241E1">
        <w:t>banisation stérilisante qui confine des individus de plus en plus seuls dans des casiers ident</w:t>
      </w:r>
      <w:r w:rsidRPr="005241E1">
        <w:t>i</w:t>
      </w:r>
      <w:r w:rsidRPr="005241E1">
        <w:t>ques et interchangeables, prisonniers d'un écran c</w:t>
      </w:r>
      <w:r w:rsidRPr="005241E1">
        <w:t>a</w:t>
      </w:r>
      <w:r w:rsidRPr="005241E1">
        <w:t>thodique qui est la négation même de la communication avec son entourage. L'ensemble des mécanismes idéologiques et sociaux à l'œuvre aujourd'hui, pousse à l'individu</w:t>
      </w:r>
      <w:r w:rsidRPr="005241E1">
        <w:t>a</w:t>
      </w:r>
      <w:r w:rsidRPr="005241E1">
        <w:t>lisme et à la disparition des solidarités. Il faut s'écarter de cette conception qui veut que Dieu nous ait donné des droits de toute éternité et pour toujours et que, comme le dit la Constit</w:t>
      </w:r>
      <w:r w:rsidRPr="005241E1">
        <w:t>u</w:t>
      </w:r>
      <w:r w:rsidRPr="005241E1">
        <w:t xml:space="preserve">tion américaine, </w:t>
      </w:r>
      <w:r w:rsidRPr="005241E1">
        <w:rPr>
          <w:i/>
        </w:rPr>
        <w:t>The Congress shall not infringe the rights</w:t>
      </w:r>
      <w:r w:rsidRPr="005241E1">
        <w:t>, car son coro</w:t>
      </w:r>
      <w:r w:rsidRPr="005241E1">
        <w:t>l</w:t>
      </w:r>
      <w:r w:rsidRPr="005241E1">
        <w:t>laire est que l'État n'est pas obligé positivement de les me</w:t>
      </w:r>
      <w:r w:rsidRPr="005241E1">
        <w:t>t</w:t>
      </w:r>
      <w:r w:rsidRPr="005241E1">
        <w:t>tre en œuvre. Au contraire, les droits sont des acquis qu'il faut défendre d'abord, compléter ensuite. La Charte constitutio</w:t>
      </w:r>
      <w:r w:rsidRPr="005241E1">
        <w:t>n</w:t>
      </w:r>
      <w:r w:rsidRPr="005241E1">
        <w:t>nelle est un obstacle à l'action de l'État, mais ne constitue pas le moyen dont nous avons besoin pour la prom</w:t>
      </w:r>
      <w:r w:rsidRPr="005241E1">
        <w:t>o</w:t>
      </w:r>
      <w:r w:rsidRPr="005241E1">
        <w:t>tion de nos droits</w:t>
      </w:r>
      <w:r>
        <w:t> </w:t>
      </w:r>
      <w:r>
        <w:rPr>
          <w:rStyle w:val="Appelnotedebasdep"/>
          <w:szCs w:val="18"/>
        </w:rPr>
        <w:footnoteReference w:id="35"/>
      </w:r>
      <w:r w:rsidRPr="0077615B">
        <w:t>.</w:t>
      </w:r>
      <w:r w:rsidRPr="005241E1">
        <w:t xml:space="preserve"> </w:t>
      </w:r>
    </w:p>
    <w:p w:rsidR="006F1436" w:rsidRDefault="006F1436" w:rsidP="006F1436">
      <w:pPr>
        <w:spacing w:before="120" w:after="120"/>
        <w:ind w:firstLine="0"/>
        <w:jc w:val="both"/>
      </w:pPr>
    </w:p>
    <w:p w:rsidR="006F1436" w:rsidRPr="0077615B" w:rsidRDefault="006F1436" w:rsidP="006F1436">
      <w:pPr>
        <w:spacing w:before="120" w:after="120"/>
        <w:ind w:firstLine="0"/>
        <w:jc w:val="both"/>
      </w:pPr>
      <w:r>
        <w:t>[126]</w:t>
      </w:r>
    </w:p>
    <w:p w:rsidR="006F1436" w:rsidRPr="00EC43AA" w:rsidRDefault="006F1436" w:rsidP="006F1436">
      <w:pPr>
        <w:spacing w:before="120" w:after="120"/>
        <w:jc w:val="both"/>
      </w:pPr>
    </w:p>
    <w:p w:rsidR="006F1436" w:rsidRPr="00E07116" w:rsidRDefault="006F1436">
      <w:pPr>
        <w:pStyle w:val="suite"/>
      </w:pPr>
      <w:r w:rsidRPr="00E07116">
        <w:t>Fin du texte</w:t>
      </w:r>
    </w:p>
    <w:p w:rsidR="006F1436" w:rsidRPr="00E07116" w:rsidRDefault="006F1436">
      <w:pPr>
        <w:jc w:val="both"/>
      </w:pPr>
    </w:p>
    <w:sectPr w:rsidR="006F1436" w:rsidRPr="00E07116" w:rsidSect="006F1436">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2E9" w:rsidRDefault="00E132E9">
      <w:r>
        <w:separator/>
      </w:r>
    </w:p>
  </w:endnote>
  <w:endnote w:type="continuationSeparator" w:id="0">
    <w:p w:rsidR="00E132E9" w:rsidRDefault="00E1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2E9" w:rsidRDefault="00E132E9">
      <w:pPr>
        <w:ind w:firstLine="0"/>
      </w:pPr>
      <w:r>
        <w:separator/>
      </w:r>
    </w:p>
  </w:footnote>
  <w:footnote w:type="continuationSeparator" w:id="0">
    <w:p w:rsidR="00E132E9" w:rsidRDefault="00E132E9">
      <w:pPr>
        <w:ind w:firstLine="0"/>
      </w:pPr>
      <w:r>
        <w:separator/>
      </w:r>
    </w:p>
  </w:footnote>
  <w:footnote w:id="1">
    <w:p w:rsidR="006F1436" w:rsidRDefault="006F1436" w:rsidP="006F1436">
      <w:pPr>
        <w:pStyle w:val="Notedebasdepage"/>
      </w:pPr>
      <w:r>
        <w:rPr>
          <w:rStyle w:val="Appelnotedebasdep"/>
        </w:rPr>
        <w:footnoteRef/>
      </w:r>
      <w:r>
        <w:t xml:space="preserve"> </w:t>
      </w:r>
      <w:r>
        <w:tab/>
      </w:r>
      <w:r w:rsidRPr="00B605BA">
        <w:t>Le présent texte a également été publié en partie dans Le droit dans tous ses états, Montréal, Wilson et Lafleur, 1987, à la p. 13. Les références à la juri</w:t>
      </w:r>
      <w:r w:rsidRPr="00B605BA">
        <w:t>s</w:t>
      </w:r>
      <w:r w:rsidRPr="00B605BA">
        <w:t>prudence et aux amendements législatifs sont à jour au 1er mai 1987 et ne tiennent pas compte des a</w:t>
      </w:r>
      <w:r w:rsidRPr="00B605BA">
        <w:t>c</w:t>
      </w:r>
      <w:r w:rsidRPr="00B605BA">
        <w:t>cords du lac Meech.</w:t>
      </w:r>
    </w:p>
  </w:footnote>
  <w:footnote w:id="2">
    <w:p w:rsidR="006F1436" w:rsidRDefault="006F1436" w:rsidP="006F1436">
      <w:pPr>
        <w:pStyle w:val="Notedebasdepage"/>
      </w:pPr>
      <w:r>
        <w:rPr>
          <w:rStyle w:val="Appelnotedebasdep"/>
        </w:rPr>
        <w:footnoteRef/>
      </w:r>
      <w:r>
        <w:t xml:space="preserve"> </w:t>
      </w:r>
      <w:r>
        <w:tab/>
      </w:r>
      <w:r w:rsidRPr="00B605BA">
        <w:t>BUREAU, Robert D., Le droit dans tous ses états, Montréal, Wilson et L</w:t>
      </w:r>
      <w:r w:rsidRPr="00B605BA">
        <w:t>a</w:t>
      </w:r>
      <w:r w:rsidRPr="00B605BA">
        <w:t>fleur, 1987, à la p. 11.</w:t>
      </w:r>
    </w:p>
  </w:footnote>
  <w:footnote w:id="3">
    <w:p w:rsidR="006F1436" w:rsidRDefault="006F1436" w:rsidP="006F1436">
      <w:pPr>
        <w:pStyle w:val="Notedebasdepage"/>
      </w:pPr>
      <w:r>
        <w:rPr>
          <w:rStyle w:val="Appelnotedebasdep"/>
        </w:rPr>
        <w:footnoteRef/>
      </w:r>
      <w:r>
        <w:t xml:space="preserve"> </w:t>
      </w:r>
      <w:r>
        <w:tab/>
      </w:r>
      <w:r w:rsidRPr="00B605BA">
        <w:t>Loi constitutionnelle de 1982, art. 32 et art. 52.</w:t>
      </w:r>
    </w:p>
  </w:footnote>
  <w:footnote w:id="4">
    <w:p w:rsidR="006F1436" w:rsidRDefault="006F1436" w:rsidP="006F1436">
      <w:pPr>
        <w:pStyle w:val="Notedebasdepage"/>
      </w:pPr>
      <w:r>
        <w:rPr>
          <w:rStyle w:val="Appelnotedebasdep"/>
        </w:rPr>
        <w:footnoteRef/>
      </w:r>
      <w:r>
        <w:t xml:space="preserve"> </w:t>
      </w:r>
      <w:r>
        <w:tab/>
      </w:r>
      <w:r w:rsidRPr="00B605BA">
        <w:rPr>
          <w:i/>
        </w:rPr>
        <w:t>Ibid</w:t>
      </w:r>
      <w:r w:rsidRPr="00B605BA">
        <w:t>., Partie V.</w:t>
      </w:r>
    </w:p>
  </w:footnote>
  <w:footnote w:id="5">
    <w:p w:rsidR="006F1436" w:rsidRDefault="006F1436" w:rsidP="006F1436">
      <w:pPr>
        <w:pStyle w:val="Notedebasdepage"/>
      </w:pPr>
      <w:r>
        <w:rPr>
          <w:rStyle w:val="Appelnotedebasdep"/>
        </w:rPr>
        <w:footnoteRef/>
      </w:r>
      <w:r>
        <w:t xml:space="preserve"> </w:t>
      </w:r>
      <w:r>
        <w:tab/>
      </w:r>
      <w:r w:rsidRPr="00B605BA">
        <w:rPr>
          <w:i/>
        </w:rPr>
        <w:t>Ibid</w:t>
      </w:r>
      <w:r w:rsidRPr="00B605BA">
        <w:t>., art. 25 et 35</w:t>
      </w:r>
      <w:r>
        <w:t>.</w:t>
      </w:r>
    </w:p>
  </w:footnote>
  <w:footnote w:id="6">
    <w:p w:rsidR="006F1436" w:rsidRDefault="006F1436" w:rsidP="006F1436">
      <w:pPr>
        <w:pStyle w:val="Notedebasdepage"/>
      </w:pPr>
      <w:r>
        <w:rPr>
          <w:rStyle w:val="Appelnotedebasdep"/>
        </w:rPr>
        <w:footnoteRef/>
      </w:r>
      <w:r>
        <w:t xml:space="preserve"> </w:t>
      </w:r>
      <w:r>
        <w:tab/>
      </w:r>
      <w:r w:rsidRPr="00B77980">
        <w:rPr>
          <w:i/>
        </w:rPr>
        <w:t>Ibid</w:t>
      </w:r>
      <w:r w:rsidRPr="00B77980">
        <w:t>., Partie VI.</w:t>
      </w:r>
    </w:p>
  </w:footnote>
  <w:footnote w:id="7">
    <w:p w:rsidR="006F1436" w:rsidRDefault="006F1436" w:rsidP="006F1436">
      <w:pPr>
        <w:pStyle w:val="Notedebasdepage"/>
      </w:pPr>
      <w:r>
        <w:rPr>
          <w:rStyle w:val="Appelnotedebasdep"/>
        </w:rPr>
        <w:footnoteRef/>
      </w:r>
      <w:r>
        <w:t xml:space="preserve"> </w:t>
      </w:r>
      <w:r>
        <w:tab/>
      </w:r>
      <w:r w:rsidRPr="00B77980">
        <w:t>COKE, E.,</w:t>
      </w:r>
      <w:r w:rsidRPr="00B77980">
        <w:rPr>
          <w:i/>
        </w:rPr>
        <w:t xml:space="preserve"> Institutes</w:t>
      </w:r>
      <w:r w:rsidRPr="00B77980">
        <w:t xml:space="preserve">, vol. IV à la p. 36, cité par J.H. Baker, An </w:t>
      </w:r>
      <w:r w:rsidRPr="00B77980">
        <w:rPr>
          <w:i/>
        </w:rPr>
        <w:t>Introdu</w:t>
      </w:r>
      <w:r w:rsidRPr="00B77980">
        <w:rPr>
          <w:i/>
        </w:rPr>
        <w:t>c</w:t>
      </w:r>
      <w:r w:rsidRPr="00B77980">
        <w:rPr>
          <w:i/>
        </w:rPr>
        <w:t>tion to English Legal History</w:t>
      </w:r>
      <w:r w:rsidRPr="00B77980">
        <w:t>, Lo</w:t>
      </w:r>
      <w:r w:rsidRPr="00B77980">
        <w:t>n</w:t>
      </w:r>
      <w:r w:rsidRPr="00B77980">
        <w:t>dres, Butterworths, 1979, à la p. 181 :</w:t>
      </w:r>
      <w:r w:rsidRPr="00B77980">
        <w:rPr>
          <w:rFonts w:cs="Arial"/>
        </w:rPr>
        <w:t xml:space="preserve"> </w:t>
      </w:r>
      <w:r w:rsidRPr="00B77980">
        <w:t>« Les pouvoirs et la juridiction du Parlement sont si transcendants et abs</w:t>
      </w:r>
      <w:r w:rsidRPr="00B77980">
        <w:t>o</w:t>
      </w:r>
      <w:r w:rsidRPr="00B77980">
        <w:t>lus qu'ils ne peuvent être restreints de quelque façon ni en raison des sujets de droit ni en raison de leur objet » (notre tradu</w:t>
      </w:r>
      <w:r w:rsidRPr="00B77980">
        <w:t>c</w:t>
      </w:r>
      <w:r w:rsidRPr="00B77980">
        <w:t>tion).</w:t>
      </w:r>
    </w:p>
  </w:footnote>
  <w:footnote w:id="8">
    <w:p w:rsidR="006F1436" w:rsidRDefault="006F1436" w:rsidP="006F1436">
      <w:pPr>
        <w:pStyle w:val="Notedebasdepage"/>
      </w:pPr>
      <w:r>
        <w:rPr>
          <w:rStyle w:val="Appelnotedebasdep"/>
        </w:rPr>
        <w:footnoteRef/>
      </w:r>
      <w:r>
        <w:t xml:space="preserve"> </w:t>
      </w:r>
      <w:r>
        <w:tab/>
      </w:r>
      <w:r w:rsidRPr="00B77980">
        <w:t xml:space="preserve">DICEY, A.V., </w:t>
      </w:r>
      <w:r w:rsidRPr="00B77980">
        <w:rPr>
          <w:i/>
        </w:rPr>
        <w:t>The Law of the Constitution</w:t>
      </w:r>
      <w:r w:rsidRPr="00B77980">
        <w:t>, 10</w:t>
      </w:r>
      <w:r w:rsidRPr="00B77980">
        <w:rPr>
          <w:vertAlign w:val="superscript"/>
        </w:rPr>
        <w:t>e</w:t>
      </w:r>
      <w:r w:rsidRPr="00B77980">
        <w:t xml:space="preserve"> éd., London MacMi</w:t>
      </w:r>
      <w:r w:rsidRPr="00B77980">
        <w:t>l</w:t>
      </w:r>
      <w:r w:rsidRPr="00B77980">
        <w:t>lan, 1965.</w:t>
      </w:r>
    </w:p>
  </w:footnote>
  <w:footnote w:id="9">
    <w:p w:rsidR="006F1436" w:rsidRDefault="006F1436" w:rsidP="006F1436">
      <w:pPr>
        <w:pStyle w:val="Notedebasdepage"/>
      </w:pPr>
      <w:r>
        <w:rPr>
          <w:rStyle w:val="Appelnotedebasdep"/>
        </w:rPr>
        <w:footnoteRef/>
      </w:r>
      <w:r>
        <w:t xml:space="preserve"> </w:t>
      </w:r>
      <w:r>
        <w:tab/>
      </w:r>
      <w:r w:rsidRPr="00D73B87">
        <w:t>Loi constitutionnelle de 1867</w:t>
      </w:r>
      <w:r w:rsidRPr="0039476A">
        <w:t>, Préambule.</w:t>
      </w:r>
    </w:p>
  </w:footnote>
  <w:footnote w:id="10">
    <w:p w:rsidR="006F1436" w:rsidRDefault="006F1436" w:rsidP="006F1436">
      <w:pPr>
        <w:pStyle w:val="Notedebasdepage"/>
      </w:pPr>
      <w:r>
        <w:rPr>
          <w:rStyle w:val="Appelnotedebasdep"/>
        </w:rPr>
        <w:footnoteRef/>
      </w:r>
      <w:r>
        <w:tab/>
        <w:t xml:space="preserve"> </w:t>
      </w:r>
      <w:r w:rsidRPr="0039476A">
        <w:rPr>
          <w:i/>
        </w:rPr>
        <w:t>Marbury c. Madison</w:t>
      </w:r>
      <w:r w:rsidRPr="0039476A">
        <w:t>, 5 U.S. (1 Cranch) 137, 1803 à la p. 175, le juge en chef Marshal</w:t>
      </w:r>
    </w:p>
  </w:footnote>
  <w:footnote w:id="11">
    <w:p w:rsidR="006F1436" w:rsidRDefault="006F1436" w:rsidP="006F1436">
      <w:pPr>
        <w:pStyle w:val="Notedebasdepage"/>
      </w:pPr>
      <w:r>
        <w:rPr>
          <w:rStyle w:val="Appelnotedebasdep"/>
        </w:rPr>
        <w:footnoteRef/>
      </w:r>
      <w:r>
        <w:t xml:space="preserve"> </w:t>
      </w:r>
      <w:r>
        <w:tab/>
      </w:r>
      <w:r w:rsidRPr="002E2B2C">
        <w:t>The Law Society of Upper Canada c. Skapinker, [1984] R.C.S. 357.</w:t>
      </w:r>
    </w:p>
  </w:footnote>
  <w:footnote w:id="12">
    <w:p w:rsidR="006F1436" w:rsidRDefault="006F1436" w:rsidP="006F1436">
      <w:pPr>
        <w:pStyle w:val="Notedebasdepage"/>
      </w:pPr>
      <w:r>
        <w:rPr>
          <w:rStyle w:val="Appelnotedebasdep"/>
        </w:rPr>
        <w:footnoteRef/>
      </w:r>
      <w:r>
        <w:t xml:space="preserve"> </w:t>
      </w:r>
      <w:r>
        <w:tab/>
      </w:r>
      <w:r>
        <w:rPr>
          <w:i/>
        </w:rPr>
        <w:t>Ibid</w:t>
      </w:r>
      <w:r w:rsidRPr="002E2B2C">
        <w:t>., à la p. 367</w:t>
      </w:r>
    </w:p>
  </w:footnote>
  <w:footnote w:id="13">
    <w:p w:rsidR="006F1436" w:rsidRDefault="006F1436" w:rsidP="006F1436">
      <w:pPr>
        <w:pStyle w:val="Notedebasdepage"/>
      </w:pPr>
      <w:r>
        <w:rPr>
          <w:rStyle w:val="Appelnotedebasdep"/>
        </w:rPr>
        <w:footnoteRef/>
      </w:r>
      <w:r>
        <w:t xml:space="preserve"> </w:t>
      </w:r>
      <w:r>
        <w:tab/>
      </w:r>
      <w:r w:rsidRPr="002E2B2C">
        <w:t>Edwards c. Procureur général du Canada, [1930] A.C. 124.</w:t>
      </w:r>
    </w:p>
  </w:footnote>
  <w:footnote w:id="14">
    <w:p w:rsidR="006F1436" w:rsidRDefault="006F1436" w:rsidP="006F1436">
      <w:pPr>
        <w:pStyle w:val="Notedebasdepage"/>
      </w:pPr>
      <w:r>
        <w:rPr>
          <w:rStyle w:val="Appelnotedebasdep"/>
        </w:rPr>
        <w:footnoteRef/>
      </w:r>
      <w:r>
        <w:t xml:space="preserve"> </w:t>
      </w:r>
      <w:r>
        <w:tab/>
      </w:r>
      <w:r w:rsidRPr="005E1720">
        <w:t>The Law Society of Upper Canada c. Skapinker, [1984] R.C.S. 357.</w:t>
      </w:r>
    </w:p>
  </w:footnote>
  <w:footnote w:id="15">
    <w:p w:rsidR="006F1436" w:rsidRDefault="006F1436" w:rsidP="006F1436">
      <w:pPr>
        <w:pStyle w:val="Notedebasdepage"/>
      </w:pPr>
      <w:r>
        <w:rPr>
          <w:rStyle w:val="Appelnotedebasdep"/>
        </w:rPr>
        <w:footnoteRef/>
      </w:r>
      <w:r>
        <w:t xml:space="preserve"> </w:t>
      </w:r>
      <w:r>
        <w:tab/>
      </w:r>
      <w:r w:rsidRPr="005E1720">
        <w:rPr>
          <w:i/>
        </w:rPr>
        <w:t>Renvoi relatif aux droits linguistiques au Manitoba</w:t>
      </w:r>
      <w:r w:rsidRPr="005E1720">
        <w:t>, [1985] 1 R.C.S. 721, 725 (les italiques sont de nous).</w:t>
      </w:r>
    </w:p>
  </w:footnote>
  <w:footnote w:id="16">
    <w:p w:rsidR="006F1436" w:rsidRDefault="006F1436" w:rsidP="006F1436">
      <w:pPr>
        <w:pStyle w:val="Notedebasdepage"/>
      </w:pPr>
      <w:r>
        <w:rPr>
          <w:rStyle w:val="Appelnotedebasdep"/>
        </w:rPr>
        <w:footnoteRef/>
      </w:r>
      <w:r>
        <w:t xml:space="preserve"> </w:t>
      </w:r>
      <w:r>
        <w:tab/>
      </w:r>
      <w:r w:rsidRPr="005E1720">
        <w:t>Procureur général du Québec c. Blaikie, [1979], 2 R.C.S. 1016.</w:t>
      </w:r>
    </w:p>
  </w:footnote>
  <w:footnote w:id="17">
    <w:p w:rsidR="006F1436" w:rsidRDefault="006F1436" w:rsidP="006F1436">
      <w:pPr>
        <w:pStyle w:val="Notedebasdepage"/>
      </w:pPr>
      <w:r>
        <w:rPr>
          <w:rStyle w:val="Appelnotedebasdep"/>
        </w:rPr>
        <w:footnoteRef/>
      </w:r>
      <w:r>
        <w:t xml:space="preserve"> </w:t>
      </w:r>
      <w:r>
        <w:tab/>
      </w:r>
      <w:r w:rsidRPr="005E1720">
        <w:t>Loi concernant un jugement rendu par la Cour suprême du Canada le 13 décembre 1979 sur la langue de la législation et de la justice au Qu</w:t>
      </w:r>
      <w:r w:rsidRPr="005E1720">
        <w:t>é</w:t>
      </w:r>
      <w:r w:rsidRPr="005E1720">
        <w:t>bec, L.Q., 1979, c. 61.</w:t>
      </w:r>
    </w:p>
  </w:footnote>
  <w:footnote w:id="18">
    <w:p w:rsidR="006F1436" w:rsidRDefault="006F1436" w:rsidP="006F1436">
      <w:pPr>
        <w:pStyle w:val="Notedebasdepage"/>
      </w:pPr>
      <w:r>
        <w:rPr>
          <w:rStyle w:val="Appelnotedebasdep"/>
        </w:rPr>
        <w:footnoteRef/>
      </w:r>
      <w:r>
        <w:t xml:space="preserve"> </w:t>
      </w:r>
      <w:r>
        <w:tab/>
      </w:r>
      <w:r w:rsidRPr="005E1720">
        <w:t>Nous traiterons plus loin des importantes dérogations qui peuvent être fa</w:t>
      </w:r>
      <w:r w:rsidRPr="005E1720">
        <w:t>i</w:t>
      </w:r>
      <w:r w:rsidRPr="005E1720">
        <w:t>tes à la Charte.</w:t>
      </w:r>
    </w:p>
  </w:footnote>
  <w:footnote w:id="19">
    <w:p w:rsidR="006F1436" w:rsidRDefault="006F1436" w:rsidP="006F1436">
      <w:pPr>
        <w:pStyle w:val="Notedebasdepage"/>
      </w:pPr>
      <w:r>
        <w:rPr>
          <w:rStyle w:val="Appelnotedebasdep"/>
        </w:rPr>
        <w:footnoteRef/>
      </w:r>
      <w:r>
        <w:t xml:space="preserve"> </w:t>
      </w:r>
      <w:r>
        <w:tab/>
      </w:r>
      <w:r w:rsidRPr="005A48FC">
        <w:t>À noter que les dispositions des art. 3, 4, 5 et 6 ne bénéficient qu'aux c</w:t>
      </w:r>
      <w:r w:rsidRPr="005A48FC">
        <w:t>i</w:t>
      </w:r>
      <w:r w:rsidRPr="005A48FC">
        <w:t>toyens, par opposition à tous les autres articles qui s'appl</w:t>
      </w:r>
      <w:r w:rsidRPr="005A48FC">
        <w:t>i</w:t>
      </w:r>
      <w:r w:rsidRPr="005A48FC">
        <w:t>quent à toutes les pe</w:t>
      </w:r>
      <w:r w:rsidRPr="005A48FC">
        <w:t>r</w:t>
      </w:r>
      <w:r w:rsidRPr="005A48FC">
        <w:t>sonnes.</w:t>
      </w:r>
    </w:p>
  </w:footnote>
  <w:footnote w:id="20">
    <w:p w:rsidR="006F1436" w:rsidRDefault="006F1436" w:rsidP="006F1436">
      <w:pPr>
        <w:pStyle w:val="Notedebasdepage"/>
      </w:pPr>
      <w:r>
        <w:rPr>
          <w:rStyle w:val="Appelnotedebasdep"/>
        </w:rPr>
        <w:footnoteRef/>
      </w:r>
      <w:r>
        <w:t xml:space="preserve"> </w:t>
      </w:r>
      <w:r>
        <w:tab/>
      </w:r>
      <w:r w:rsidRPr="003A7487">
        <w:t>Procureur général du Québec c. Québec Protestant School Boards</w:t>
      </w:r>
      <w:r w:rsidRPr="005A48FC">
        <w:t xml:space="preserve"> (1984), 2 R.C.S. 66.</w:t>
      </w:r>
    </w:p>
  </w:footnote>
  <w:footnote w:id="21">
    <w:p w:rsidR="006F1436" w:rsidRDefault="006F1436" w:rsidP="006F1436">
      <w:pPr>
        <w:pStyle w:val="Notedebasdepage"/>
      </w:pPr>
      <w:r>
        <w:rPr>
          <w:rStyle w:val="Appelnotedebasdep"/>
        </w:rPr>
        <w:footnoteRef/>
      </w:r>
      <w:r>
        <w:t xml:space="preserve"> </w:t>
      </w:r>
      <w:r>
        <w:tab/>
      </w:r>
      <w:r w:rsidRPr="007B7BFC">
        <w:t>S.G. D.M.R. c. Dolphin Delevery Ltd</w:t>
      </w:r>
      <w:r w:rsidRPr="0062624B">
        <w:t xml:space="preserve"> (1986), R.C.S.</w:t>
      </w:r>
    </w:p>
  </w:footnote>
  <w:footnote w:id="22">
    <w:p w:rsidR="006F1436" w:rsidRDefault="006F1436" w:rsidP="006F1436">
      <w:pPr>
        <w:pStyle w:val="Notedebasdepage"/>
      </w:pPr>
      <w:r>
        <w:rPr>
          <w:rStyle w:val="Appelnotedebasdep"/>
        </w:rPr>
        <w:footnoteRef/>
      </w:r>
      <w:r>
        <w:t xml:space="preserve"> </w:t>
      </w:r>
      <w:r>
        <w:tab/>
      </w:r>
      <w:r w:rsidRPr="002167DD">
        <w:rPr>
          <w:i/>
        </w:rPr>
        <w:t>Loi relative à la validité des lois coloniales</w:t>
      </w:r>
      <w:r w:rsidRPr="002167DD">
        <w:t>, 1865, (R.V.) 28 &amp; 29 Vict., c. 63, art. 2. Cette loi prévoyait qu'aucune loi d'une colonie ne pouvait aller à l'encontre d'une loi anglaise adoptée pour cette colonie. Les lois fédérales ou provinciales qui violaient les dispositions de l'</w:t>
      </w:r>
      <w:r w:rsidRPr="002167DD">
        <w:rPr>
          <w:i/>
        </w:rPr>
        <w:t>A</w:t>
      </w:r>
      <w:r w:rsidRPr="002167DD">
        <w:rPr>
          <w:i/>
        </w:rPr>
        <w:t>c</w:t>
      </w:r>
      <w:r w:rsidRPr="002167DD">
        <w:rPr>
          <w:i/>
        </w:rPr>
        <w:t xml:space="preserve">te de l’Amérique du nord britannique </w:t>
      </w:r>
      <w:r w:rsidRPr="002167DD">
        <w:t>pouvaient donc être déclarées invalides car cette de</w:t>
      </w:r>
      <w:r w:rsidRPr="002167DD">
        <w:t>r</w:t>
      </w:r>
      <w:r w:rsidRPr="002167DD">
        <w:t>nière loi avait, bien sûr, été adoptée pour les colonies du Canada. Cela ne pe</w:t>
      </w:r>
      <w:r w:rsidRPr="002167DD">
        <w:t>r</w:t>
      </w:r>
      <w:r w:rsidRPr="002167DD">
        <w:t>mettait pas aux tribunaux de porter des jugements sur la conformité à d'autres pri</w:t>
      </w:r>
      <w:r w:rsidRPr="002167DD">
        <w:t>n</w:t>
      </w:r>
      <w:r w:rsidRPr="002167DD">
        <w:t>cipes tels ceux qui existent aujou</w:t>
      </w:r>
      <w:r w:rsidRPr="002167DD">
        <w:t>r</w:t>
      </w:r>
      <w:r w:rsidRPr="002167DD">
        <w:t>d'hui dans la Charte.</w:t>
      </w:r>
    </w:p>
  </w:footnote>
  <w:footnote w:id="23">
    <w:p w:rsidR="006F1436" w:rsidRDefault="006F1436" w:rsidP="006F1436">
      <w:pPr>
        <w:pStyle w:val="Notedebasdepage"/>
      </w:pPr>
      <w:r>
        <w:rPr>
          <w:rStyle w:val="Appelnotedebasdep"/>
        </w:rPr>
        <w:footnoteRef/>
      </w:r>
      <w:r>
        <w:t xml:space="preserve"> </w:t>
      </w:r>
      <w:r>
        <w:tab/>
      </w:r>
      <w:r w:rsidRPr="002167DD">
        <w:t>1931 (R.V.), 22 Geo. V, c. 4.</w:t>
      </w:r>
    </w:p>
  </w:footnote>
  <w:footnote w:id="24">
    <w:p w:rsidR="006F1436" w:rsidRDefault="006F1436" w:rsidP="006F1436">
      <w:pPr>
        <w:pStyle w:val="Notedebasdepage"/>
      </w:pPr>
      <w:r>
        <w:rPr>
          <w:rStyle w:val="Appelnotedebasdep"/>
        </w:rPr>
        <w:footnoteRef/>
      </w:r>
      <w:r>
        <w:t xml:space="preserve"> </w:t>
      </w:r>
      <w:r>
        <w:tab/>
      </w:r>
      <w:r w:rsidRPr="009D44D8">
        <w:t>Nous ne discuterons pas les aspects de l'accession du Québec à l'indépe</w:t>
      </w:r>
      <w:r w:rsidRPr="009D44D8">
        <w:t>n</w:t>
      </w:r>
      <w:r w:rsidRPr="009D44D8">
        <w:t>dance au plan du droit international qui connaît des règles différe</w:t>
      </w:r>
      <w:r w:rsidRPr="009D44D8">
        <w:t>n</w:t>
      </w:r>
      <w:r w:rsidRPr="009D44D8">
        <w:t xml:space="preserve">tes. À ce sujet voir BROSSARD, L, </w:t>
      </w:r>
      <w:r w:rsidRPr="009D44D8">
        <w:rPr>
          <w:i/>
        </w:rPr>
        <w:t>L'accession à la souveraineté et le cas du Qu</w:t>
      </w:r>
      <w:r w:rsidRPr="009D44D8">
        <w:rPr>
          <w:i/>
        </w:rPr>
        <w:t>é</w:t>
      </w:r>
      <w:r w:rsidRPr="009D44D8">
        <w:rPr>
          <w:i/>
        </w:rPr>
        <w:t>bec</w:t>
      </w:r>
      <w:r w:rsidRPr="009D44D8">
        <w:t>, Mo</w:t>
      </w:r>
      <w:r w:rsidRPr="009D44D8">
        <w:t>n</w:t>
      </w:r>
      <w:r w:rsidRPr="009D44D8">
        <w:t>tréal, P.U.M., 1976.</w:t>
      </w:r>
    </w:p>
  </w:footnote>
  <w:footnote w:id="25">
    <w:p w:rsidR="006F1436" w:rsidRDefault="006F1436" w:rsidP="006F1436">
      <w:pPr>
        <w:pStyle w:val="Notedebasdepage"/>
      </w:pPr>
      <w:r>
        <w:rPr>
          <w:rStyle w:val="Appelnotedebasdep"/>
        </w:rPr>
        <w:footnoteRef/>
      </w:r>
      <w:r>
        <w:t xml:space="preserve"> </w:t>
      </w:r>
      <w:r>
        <w:tab/>
      </w:r>
      <w:r w:rsidRPr="009D44D8">
        <w:t xml:space="preserve">Voir </w:t>
      </w:r>
      <w:r w:rsidRPr="007B7BFC">
        <w:t>SGDMR c. Dolphin Delivery, supra, et Re : Blainey and Ontario Ho</w:t>
      </w:r>
      <w:r w:rsidRPr="007B7BFC">
        <w:t>c</w:t>
      </w:r>
      <w:r w:rsidRPr="007B7BFC">
        <w:t>key Association et al</w:t>
      </w:r>
      <w:r w:rsidRPr="009D44D8">
        <w:t>. (1986) 54 O.L.R. (2d) 513.</w:t>
      </w:r>
    </w:p>
  </w:footnote>
  <w:footnote w:id="26">
    <w:p w:rsidR="006F1436" w:rsidRDefault="006F1436" w:rsidP="006F1436">
      <w:pPr>
        <w:pStyle w:val="Notedebasdepage"/>
      </w:pPr>
      <w:r>
        <w:rPr>
          <w:rStyle w:val="Appelnotedebasdep"/>
        </w:rPr>
        <w:footnoteRef/>
      </w:r>
      <w:r>
        <w:t xml:space="preserve"> </w:t>
      </w:r>
      <w:r>
        <w:tab/>
      </w:r>
      <w:r w:rsidRPr="009D44D8">
        <w:t xml:space="preserve">Voir par exemple : MANNING, M., </w:t>
      </w:r>
      <w:r w:rsidRPr="009D44D8">
        <w:rPr>
          <w:i/>
        </w:rPr>
        <w:t>Rights, Freedoms and the Courts</w:t>
      </w:r>
      <w:r w:rsidRPr="009D44D8">
        <w:t>, T</w:t>
      </w:r>
      <w:r w:rsidRPr="009D44D8">
        <w:t>o</w:t>
      </w:r>
      <w:r w:rsidRPr="009D44D8">
        <w:t xml:space="preserve">ronto, Emond-Montgomery, 1983, à la p. 151 et HOGG, P., </w:t>
      </w:r>
      <w:r w:rsidRPr="009D44D8">
        <w:rPr>
          <w:i/>
        </w:rPr>
        <w:t>Constit</w:t>
      </w:r>
      <w:r w:rsidRPr="009D44D8">
        <w:rPr>
          <w:i/>
        </w:rPr>
        <w:t>u</w:t>
      </w:r>
      <w:r w:rsidRPr="009D44D8">
        <w:rPr>
          <w:i/>
        </w:rPr>
        <w:t>tional Law of C</w:t>
      </w:r>
      <w:r w:rsidRPr="009D44D8">
        <w:rPr>
          <w:i/>
        </w:rPr>
        <w:t>a</w:t>
      </w:r>
      <w:r w:rsidRPr="009D44D8">
        <w:rPr>
          <w:i/>
        </w:rPr>
        <w:t>nada</w:t>
      </w:r>
      <w:r w:rsidRPr="009D44D8">
        <w:t>, 2</w:t>
      </w:r>
      <w:r w:rsidRPr="009D44D8">
        <w:rPr>
          <w:vertAlign w:val="superscript"/>
        </w:rPr>
        <w:t>e</w:t>
      </w:r>
      <w:r w:rsidRPr="009D44D8">
        <w:t xml:space="preserve"> édition, Toronto, Larswell, 1985, à la p. 680.</w:t>
      </w:r>
    </w:p>
  </w:footnote>
  <w:footnote w:id="27">
    <w:p w:rsidR="006F1436" w:rsidRDefault="006F1436" w:rsidP="006F1436">
      <w:pPr>
        <w:pStyle w:val="Notedebasdepage"/>
      </w:pPr>
      <w:r>
        <w:rPr>
          <w:rStyle w:val="Appelnotedebasdep"/>
        </w:rPr>
        <w:footnoteRef/>
      </w:r>
      <w:r>
        <w:t xml:space="preserve"> </w:t>
      </w:r>
      <w:r>
        <w:tab/>
      </w:r>
      <w:r w:rsidRPr="009D44D8">
        <w:t>[1986] 1 R.C.S. 103.</w:t>
      </w:r>
    </w:p>
  </w:footnote>
  <w:footnote w:id="28">
    <w:p w:rsidR="006F1436" w:rsidRDefault="006F1436" w:rsidP="006F1436">
      <w:pPr>
        <w:pStyle w:val="Notedebasdepage"/>
      </w:pPr>
      <w:r>
        <w:rPr>
          <w:rStyle w:val="Appelnotedebasdep"/>
        </w:rPr>
        <w:footnoteRef/>
      </w:r>
      <w:r>
        <w:t xml:space="preserve"> </w:t>
      </w:r>
      <w:r>
        <w:tab/>
      </w:r>
      <w:r w:rsidRPr="009D44D8">
        <w:t>Supra, note 19.</w:t>
      </w:r>
    </w:p>
  </w:footnote>
  <w:footnote w:id="29">
    <w:p w:rsidR="006F1436" w:rsidRDefault="006F1436" w:rsidP="006F1436">
      <w:pPr>
        <w:pStyle w:val="Notedebasdepage"/>
      </w:pPr>
      <w:r>
        <w:rPr>
          <w:rStyle w:val="Appelnotedebasdep"/>
        </w:rPr>
        <w:footnoteRef/>
      </w:r>
      <w:r>
        <w:t xml:space="preserve"> </w:t>
      </w:r>
      <w:r>
        <w:tab/>
      </w:r>
      <w:r w:rsidRPr="003A74A4">
        <w:t>Voir supra, Partie 1, Le contenu de la Charte canadienne.</w:t>
      </w:r>
    </w:p>
  </w:footnote>
  <w:footnote w:id="30">
    <w:p w:rsidR="006F1436" w:rsidRDefault="006F1436" w:rsidP="006F1436">
      <w:pPr>
        <w:pStyle w:val="Notedebasdepage"/>
      </w:pPr>
      <w:r>
        <w:rPr>
          <w:rStyle w:val="Appelnotedebasdep"/>
        </w:rPr>
        <w:footnoteRef/>
      </w:r>
      <w:r>
        <w:t xml:space="preserve"> </w:t>
      </w:r>
      <w:r>
        <w:tab/>
      </w:r>
      <w:r w:rsidRPr="003A74A4">
        <w:t>Loi protégeant la province contre la propagande communiste, S.R.Q. 1941, ch. 52.</w:t>
      </w:r>
    </w:p>
  </w:footnote>
  <w:footnote w:id="31">
    <w:p w:rsidR="006F1436" w:rsidRDefault="006F1436" w:rsidP="006F1436">
      <w:pPr>
        <w:pStyle w:val="Notedebasdepage"/>
      </w:pPr>
      <w:r>
        <w:rPr>
          <w:rStyle w:val="Appelnotedebasdep"/>
        </w:rPr>
        <w:footnoteRef/>
      </w:r>
      <w:r>
        <w:t xml:space="preserve"> </w:t>
      </w:r>
      <w:r>
        <w:tab/>
      </w:r>
      <w:r w:rsidRPr="003A74A4">
        <w:t xml:space="preserve">Voir par exemple : </w:t>
      </w:r>
      <w:r w:rsidRPr="003A74A4">
        <w:rPr>
          <w:i/>
        </w:rPr>
        <w:t>Roncarelli c. Duplessis</w:t>
      </w:r>
      <w:r w:rsidRPr="003A74A4">
        <w:t xml:space="preserve"> (1959), R.C.S. 121 ; </w:t>
      </w:r>
      <w:r w:rsidRPr="003A74A4">
        <w:rPr>
          <w:i/>
        </w:rPr>
        <w:t>Swit</w:t>
      </w:r>
      <w:r w:rsidRPr="003A74A4">
        <w:rPr>
          <w:i/>
        </w:rPr>
        <w:t>z</w:t>
      </w:r>
      <w:r w:rsidRPr="003A74A4">
        <w:rPr>
          <w:i/>
        </w:rPr>
        <w:t>man c. Elbling</w:t>
      </w:r>
      <w:r w:rsidRPr="003A74A4">
        <w:t xml:space="preserve"> (1957), R.C.S. 285 ; </w:t>
      </w:r>
      <w:r w:rsidRPr="003A74A4">
        <w:rPr>
          <w:i/>
        </w:rPr>
        <w:t>Chaput c. Romain</w:t>
      </w:r>
      <w:r w:rsidRPr="003A74A4">
        <w:t xml:space="preserve"> (1955), R.C.S. 834 et bien d'a</w:t>
      </w:r>
      <w:r w:rsidRPr="003A74A4">
        <w:t>u</w:t>
      </w:r>
      <w:r w:rsidRPr="003A74A4">
        <w:t>tres...</w:t>
      </w:r>
    </w:p>
  </w:footnote>
  <w:footnote w:id="32">
    <w:p w:rsidR="006F1436" w:rsidRDefault="006F1436" w:rsidP="006F1436">
      <w:pPr>
        <w:pStyle w:val="Notedebasdepage"/>
      </w:pPr>
      <w:r>
        <w:rPr>
          <w:rStyle w:val="Appelnotedebasdep"/>
        </w:rPr>
        <w:footnoteRef/>
      </w:r>
      <w:r>
        <w:t xml:space="preserve"> </w:t>
      </w:r>
      <w:r>
        <w:tab/>
      </w:r>
      <w:r w:rsidRPr="003A74A4">
        <w:t xml:space="preserve">Voir par exemple l'arrêt : </w:t>
      </w:r>
      <w:r w:rsidRPr="003A74A4">
        <w:rPr>
          <w:i/>
        </w:rPr>
        <w:t>Renvoi relatif aux lois de l'Alberta</w:t>
      </w:r>
      <w:r w:rsidRPr="003A74A4">
        <w:t xml:space="preserve"> [1938] R.C.S. 100, dans lequel une loi intitulée </w:t>
      </w:r>
      <w:r w:rsidRPr="003A74A4">
        <w:rPr>
          <w:i/>
        </w:rPr>
        <w:t>An Act to Ensure the Publication of Acc</w:t>
      </w:r>
      <w:r w:rsidRPr="003A74A4">
        <w:rPr>
          <w:i/>
        </w:rPr>
        <w:t>u</w:t>
      </w:r>
      <w:r w:rsidRPr="003A74A4">
        <w:rPr>
          <w:i/>
        </w:rPr>
        <w:t>rate News and Information</w:t>
      </w:r>
      <w:r w:rsidRPr="003A74A4">
        <w:t xml:space="preserve"> fut déclarée inconstitutionne</w:t>
      </w:r>
      <w:r w:rsidRPr="003A74A4">
        <w:t>l</w:t>
      </w:r>
      <w:r w:rsidRPr="003A74A4">
        <w:t>le.</w:t>
      </w:r>
    </w:p>
  </w:footnote>
  <w:footnote w:id="33">
    <w:p w:rsidR="006F1436" w:rsidRDefault="006F1436" w:rsidP="006F1436">
      <w:pPr>
        <w:pStyle w:val="Notedebasdepage"/>
      </w:pPr>
      <w:r>
        <w:rPr>
          <w:rStyle w:val="Appelnotedebasdep"/>
        </w:rPr>
        <w:footnoteRef/>
      </w:r>
      <w:r>
        <w:t xml:space="preserve"> </w:t>
      </w:r>
      <w:r>
        <w:tab/>
      </w:r>
      <w:r w:rsidRPr="00B678B2">
        <w:t>Journal des débats de l'Assemblée nationale, 25 mai 1982, à la p. 3759.</w:t>
      </w:r>
    </w:p>
  </w:footnote>
  <w:footnote w:id="34">
    <w:p w:rsidR="006F1436" w:rsidRDefault="006F1436" w:rsidP="006F1436">
      <w:pPr>
        <w:pStyle w:val="Notedebasdepage"/>
      </w:pPr>
      <w:r>
        <w:rPr>
          <w:rStyle w:val="Appelnotedebasdep"/>
        </w:rPr>
        <w:footnoteRef/>
      </w:r>
      <w:r>
        <w:t xml:space="preserve"> </w:t>
      </w:r>
      <w:r>
        <w:tab/>
      </w:r>
      <w:r w:rsidRPr="00B678B2">
        <w:rPr>
          <w:i/>
        </w:rPr>
        <w:t>Loi concernant la Loi constitutionnelle de 1982</w:t>
      </w:r>
      <w:r w:rsidRPr="00B678B2">
        <w:t>, L.Q. 1982 c. 21, (Projet de loi n° 62). Il est ironique de constater que même la Charte québ</w:t>
      </w:r>
      <w:r w:rsidRPr="00B678B2">
        <w:t>é</w:t>
      </w:r>
      <w:r w:rsidRPr="00B678B2">
        <w:t>coise</w:t>
      </w:r>
      <w:r w:rsidRPr="00F259C4">
        <w:t xml:space="preserve"> contient une telle disposition (art.92) qui la met à l'abri de la Charte can</w:t>
      </w:r>
      <w:r w:rsidRPr="00F259C4">
        <w:t>a</w:t>
      </w:r>
      <w:r w:rsidRPr="00F259C4">
        <w:t>die</w:t>
      </w:r>
      <w:r w:rsidRPr="00F259C4">
        <w:t>n</w:t>
      </w:r>
      <w:r w:rsidRPr="00F259C4">
        <w:t>ne.</w:t>
      </w:r>
    </w:p>
  </w:footnote>
  <w:footnote w:id="35">
    <w:p w:rsidR="006F1436" w:rsidRDefault="006F1436" w:rsidP="006F1436">
      <w:pPr>
        <w:pStyle w:val="Notedebasdepage"/>
      </w:pPr>
      <w:r>
        <w:rPr>
          <w:rStyle w:val="Appelnotedebasdep"/>
        </w:rPr>
        <w:footnoteRef/>
      </w:r>
      <w:r>
        <w:t xml:space="preserve"> </w:t>
      </w:r>
      <w:r>
        <w:tab/>
      </w:r>
      <w:r w:rsidRPr="005241E1">
        <w:t>LEBEL, G. A., « Parlez-nous de nos droits et pas uniquement de la Cha</w:t>
      </w:r>
      <w:r w:rsidRPr="005241E1">
        <w:t>r</w:t>
      </w:r>
      <w:r w:rsidRPr="005241E1">
        <w:t xml:space="preserve">te ! » dans Bureau, Robert D. et Mackay, Pierre, </w:t>
      </w:r>
      <w:r w:rsidRPr="005241E1">
        <w:rPr>
          <w:i/>
        </w:rPr>
        <w:t>Le droit dans tous ses états</w:t>
      </w:r>
      <w:r w:rsidRPr="005241E1">
        <w:t>, Mo</w:t>
      </w:r>
      <w:r w:rsidRPr="005241E1">
        <w:t>n</w:t>
      </w:r>
      <w:r w:rsidRPr="005241E1">
        <w:t xml:space="preserve">tréal, </w:t>
      </w:r>
      <w:r>
        <w:t>Wilson et Lafleur, 1987, p. 117.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436" w:rsidRDefault="006F1436" w:rsidP="006F1436">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Pierre Mackay, “</w:t>
    </w:r>
    <w:r w:rsidRPr="00923CF0">
      <w:rPr>
        <w:rFonts w:ascii="Times New Roman" w:hAnsi="Times New Roman"/>
      </w:rPr>
      <w:t>La charte canadienne d</w:t>
    </w:r>
    <w:r>
      <w:rPr>
        <w:rFonts w:ascii="Times New Roman" w:hAnsi="Times New Roman"/>
      </w:rPr>
      <w:t>es droits et libertés de 1982…”</w:t>
    </w:r>
    <w:r w:rsidRPr="00C90835">
      <w:rPr>
        <w:rFonts w:ascii="Times New Roman" w:hAnsi="Times New Roman"/>
      </w:rPr>
      <w:t xml:space="preserve"> </w:t>
    </w:r>
    <w:r>
      <w:rPr>
        <w:rFonts w:ascii="Times New Roman" w:hAnsi="Times New Roman"/>
      </w:rPr>
      <w:t>(1988)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E132E9">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5</w:t>
    </w:r>
    <w:r>
      <w:rPr>
        <w:rStyle w:val="Numrodepage"/>
        <w:rFonts w:ascii="Times New Roman" w:hAnsi="Times New Roman"/>
      </w:rPr>
      <w:fldChar w:fldCharType="end"/>
    </w:r>
  </w:p>
  <w:p w:rsidR="006F1436" w:rsidRDefault="006F143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A0A1E"/>
    <w:rsid w:val="006F1436"/>
    <w:rsid w:val="00E132E9"/>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13B56AB-146C-A348-B434-A5A62D4E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uiPriority w:val="99"/>
    <w:rsid w:val="003F3D5C"/>
    <w:rPr>
      <w:color w:val="FF0000"/>
      <w:position w:val="6"/>
      <w:sz w:val="20"/>
      <w:szCs w:val="22"/>
    </w:rPr>
  </w:style>
  <w:style w:type="paragraph" w:styleId="Grillecouleur-Accent1">
    <w:name w:val="Colorful Grid Accent 1"/>
    <w:basedOn w:val="Normal"/>
    <w:link w:val="Grillecouleur-Accent1Car"/>
    <w:autoRedefine/>
    <w:rsid w:val="006100E5"/>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uiPriority w:val="99"/>
    <w:rsid w:val="00624090"/>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A32BFB"/>
    <w:rPr>
      <w:b w:val="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A0564A"/>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Grillecouleur-Accent1Car">
    <w:name w:val="Grille couleur - Accent 1 Car"/>
    <w:basedOn w:val="Policepardfaut"/>
    <w:link w:val="Grillecouleur-Accent1"/>
    <w:rsid w:val="006100E5"/>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957619"/>
    <w:rPr>
      <w:rFonts w:ascii="Times New Roman" w:eastAsia="Times New Roman" w:hAnsi="Times New Roman"/>
      <w:sz w:val="72"/>
      <w:lang w:val="fr-CA" w:eastAsia="en-US"/>
    </w:rPr>
  </w:style>
  <w:style w:type="paragraph" w:styleId="Corpsdetexte2">
    <w:name w:val="Body Text 2"/>
    <w:basedOn w:val="Normal"/>
    <w:link w:val="Corpsdetexte2Car"/>
    <w:rsid w:val="00957619"/>
    <w:pPr>
      <w:widowControl w:val="0"/>
      <w:autoSpaceDE w:val="0"/>
      <w:autoSpaceDN w:val="0"/>
      <w:adjustRightInd w:val="0"/>
      <w:ind w:firstLine="0"/>
      <w:jc w:val="both"/>
    </w:pPr>
    <w:rPr>
      <w:rFonts w:ascii="Arial" w:hAnsi="Arial"/>
      <w:sz w:val="20"/>
      <w:lang w:val="fr-FR" w:eastAsia="fr-FR"/>
    </w:rPr>
  </w:style>
  <w:style w:type="character" w:customStyle="1" w:styleId="Corpsdetexte2Car">
    <w:name w:val="Corps de texte 2 Car"/>
    <w:basedOn w:val="Policepardfaut"/>
    <w:link w:val="Corpsdetexte2"/>
    <w:rsid w:val="00957619"/>
    <w:rPr>
      <w:rFonts w:ascii="Arial" w:eastAsia="Times New Roman" w:hAnsi="Arial"/>
    </w:rPr>
  </w:style>
  <w:style w:type="paragraph" w:styleId="Corpsdetexte3">
    <w:name w:val="Body Text 3"/>
    <w:basedOn w:val="Normal"/>
    <w:link w:val="Corpsdetexte3Car"/>
    <w:rsid w:val="00957619"/>
    <w:pPr>
      <w:widowControl w:val="0"/>
      <w:tabs>
        <w:tab w:val="left" w:pos="510"/>
        <w:tab w:val="left" w:pos="510"/>
      </w:tabs>
      <w:autoSpaceDE w:val="0"/>
      <w:autoSpaceDN w:val="0"/>
      <w:adjustRightInd w:val="0"/>
      <w:ind w:firstLine="0"/>
      <w:jc w:val="both"/>
    </w:pPr>
    <w:rPr>
      <w:rFonts w:ascii="Arial" w:hAnsi="Arial"/>
      <w:sz w:val="20"/>
      <w:lang w:val="fr-FR" w:eastAsia="fr-FR"/>
    </w:rPr>
  </w:style>
  <w:style w:type="character" w:customStyle="1" w:styleId="Corpsdetexte3Car">
    <w:name w:val="Corps de texte 3 Car"/>
    <w:basedOn w:val="Policepardfaut"/>
    <w:link w:val="Corpsdetexte3"/>
    <w:rsid w:val="00957619"/>
    <w:rPr>
      <w:rFonts w:ascii="Arial" w:eastAsia="Times New Roman" w:hAnsi="Arial"/>
    </w:rPr>
  </w:style>
  <w:style w:type="character" w:customStyle="1" w:styleId="En-tteCar">
    <w:name w:val="En-tête Car"/>
    <w:basedOn w:val="Policepardfaut"/>
    <w:link w:val="En-tte"/>
    <w:uiPriority w:val="99"/>
    <w:rsid w:val="00957619"/>
    <w:rPr>
      <w:rFonts w:ascii="GillSans" w:eastAsia="Times New Roman" w:hAnsi="GillSans"/>
      <w:lang w:val="fr-CA" w:eastAsia="en-US"/>
    </w:rPr>
  </w:style>
  <w:style w:type="character" w:customStyle="1" w:styleId="NotedebasdepageCar">
    <w:name w:val="Note de bas de page Car"/>
    <w:basedOn w:val="Policepardfaut"/>
    <w:link w:val="Notedebasdepage"/>
    <w:uiPriority w:val="99"/>
    <w:rsid w:val="00624090"/>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957619"/>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957619"/>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957619"/>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957619"/>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957619"/>
    <w:rPr>
      <w:rFonts w:ascii="Arial" w:eastAsia="Times New Roman" w:hAnsi="Arial"/>
      <w:sz w:val="28"/>
      <w:lang w:val="fr-CA" w:eastAsia="en-US"/>
    </w:rPr>
  </w:style>
  <w:style w:type="character" w:customStyle="1" w:styleId="TitreCar">
    <w:name w:val="Titre Car"/>
    <w:basedOn w:val="Policepardfaut"/>
    <w:link w:val="Titre"/>
    <w:rsid w:val="00957619"/>
    <w:rPr>
      <w:rFonts w:ascii="Times New Roman" w:eastAsia="Times New Roman" w:hAnsi="Times New Roman"/>
      <w:b/>
      <w:sz w:val="48"/>
      <w:lang w:val="fr-CA" w:eastAsia="en-US"/>
    </w:rPr>
  </w:style>
  <w:style w:type="character" w:customStyle="1" w:styleId="Titre1Car">
    <w:name w:val="Titre 1 Car"/>
    <w:basedOn w:val="Policepardfaut"/>
    <w:link w:val="Titre1"/>
    <w:rsid w:val="00957619"/>
    <w:rPr>
      <w:rFonts w:eastAsia="Times New Roman"/>
      <w:noProof/>
      <w:lang w:val="fr-CA" w:eastAsia="en-US" w:bidi="ar-SA"/>
    </w:rPr>
  </w:style>
  <w:style w:type="character" w:customStyle="1" w:styleId="Titre2Car">
    <w:name w:val="Titre 2 Car"/>
    <w:basedOn w:val="Policepardfaut"/>
    <w:link w:val="Titre2"/>
    <w:rsid w:val="00957619"/>
    <w:rPr>
      <w:rFonts w:eastAsia="Times New Roman"/>
      <w:noProof/>
      <w:lang w:val="fr-CA" w:eastAsia="en-US" w:bidi="ar-SA"/>
    </w:rPr>
  </w:style>
  <w:style w:type="character" w:customStyle="1" w:styleId="Titre3Car">
    <w:name w:val="Titre 3 Car"/>
    <w:basedOn w:val="Policepardfaut"/>
    <w:link w:val="Titre3"/>
    <w:rsid w:val="00957619"/>
    <w:rPr>
      <w:rFonts w:eastAsia="Times New Roman"/>
      <w:noProof/>
      <w:lang w:val="fr-CA" w:eastAsia="en-US" w:bidi="ar-SA"/>
    </w:rPr>
  </w:style>
  <w:style w:type="character" w:customStyle="1" w:styleId="Titre4Car">
    <w:name w:val="Titre 4 Car"/>
    <w:basedOn w:val="Policepardfaut"/>
    <w:link w:val="Titre4"/>
    <w:rsid w:val="00957619"/>
    <w:rPr>
      <w:rFonts w:eastAsia="Times New Roman"/>
      <w:noProof/>
      <w:lang w:val="fr-CA" w:eastAsia="en-US" w:bidi="ar-SA"/>
    </w:rPr>
  </w:style>
  <w:style w:type="character" w:customStyle="1" w:styleId="Titre5Car">
    <w:name w:val="Titre 5 Car"/>
    <w:basedOn w:val="Policepardfaut"/>
    <w:link w:val="Titre5"/>
    <w:rsid w:val="00957619"/>
    <w:rPr>
      <w:rFonts w:eastAsia="Times New Roman"/>
      <w:noProof/>
      <w:lang w:val="fr-CA" w:eastAsia="en-US" w:bidi="ar-SA"/>
    </w:rPr>
  </w:style>
  <w:style w:type="character" w:customStyle="1" w:styleId="Titre6Car">
    <w:name w:val="Titre 6 Car"/>
    <w:basedOn w:val="Policepardfaut"/>
    <w:link w:val="Titre6"/>
    <w:rsid w:val="00957619"/>
    <w:rPr>
      <w:rFonts w:eastAsia="Times New Roman"/>
      <w:noProof/>
      <w:lang w:val="fr-CA" w:eastAsia="en-US" w:bidi="ar-SA"/>
    </w:rPr>
  </w:style>
  <w:style w:type="character" w:customStyle="1" w:styleId="Titre7Car">
    <w:name w:val="Titre 7 Car"/>
    <w:basedOn w:val="Policepardfaut"/>
    <w:link w:val="Titre7"/>
    <w:rsid w:val="00957619"/>
    <w:rPr>
      <w:rFonts w:eastAsia="Times New Roman"/>
      <w:noProof/>
      <w:lang w:val="fr-CA" w:eastAsia="en-US" w:bidi="ar-SA"/>
    </w:rPr>
  </w:style>
  <w:style w:type="character" w:customStyle="1" w:styleId="Titre8Car">
    <w:name w:val="Titre 8 Car"/>
    <w:basedOn w:val="Policepardfaut"/>
    <w:link w:val="Titre8"/>
    <w:rsid w:val="00957619"/>
    <w:rPr>
      <w:rFonts w:eastAsia="Times New Roman"/>
      <w:noProof/>
      <w:lang w:val="fr-CA" w:eastAsia="en-US" w:bidi="ar-SA"/>
    </w:rPr>
  </w:style>
  <w:style w:type="character" w:customStyle="1" w:styleId="Titre9Car">
    <w:name w:val="Titre 9 Car"/>
    <w:basedOn w:val="Policepardfaut"/>
    <w:link w:val="Titre9"/>
    <w:rsid w:val="00957619"/>
    <w:rPr>
      <w:rFonts w:eastAsia="Times New Roman"/>
      <w:noProof/>
      <w:lang w:val="fr-CA" w:eastAsia="en-US" w:bidi="ar-SA"/>
    </w:rPr>
  </w:style>
  <w:style w:type="paragraph" w:customStyle="1" w:styleId="figtitre">
    <w:name w:val="fig titre"/>
    <w:basedOn w:val="Normal"/>
    <w:autoRedefine/>
    <w:rsid w:val="003F7015"/>
    <w:pPr>
      <w:spacing w:before="120" w:after="120"/>
      <w:ind w:firstLine="0"/>
      <w:jc w:val="center"/>
    </w:pPr>
    <w:rPr>
      <w:bCs/>
      <w:color w:val="000090"/>
      <w:sz w:val="24"/>
      <w:szCs w:val="22"/>
    </w:rPr>
  </w:style>
  <w:style w:type="paragraph" w:customStyle="1" w:styleId="figst">
    <w:name w:val="fig st"/>
    <w:basedOn w:val="Normal"/>
    <w:autoRedefine/>
    <w:rsid w:val="003F7015"/>
    <w:pPr>
      <w:spacing w:before="120" w:after="120"/>
      <w:ind w:firstLine="0"/>
      <w:jc w:val="both"/>
    </w:pPr>
    <w:rPr>
      <w:color w:val="000090"/>
      <w:sz w:val="24"/>
      <w:szCs w:val="18"/>
    </w:rPr>
  </w:style>
  <w:style w:type="paragraph" w:customStyle="1" w:styleId="figstlegende">
    <w:name w:val="fig st legende"/>
    <w:basedOn w:val="figst"/>
    <w:autoRedefine/>
    <w:rsid w:val="00D756DB"/>
    <w:pPr>
      <w:spacing w:after="0"/>
      <w:ind w:left="706" w:hanging="706"/>
    </w:pPr>
  </w:style>
  <w:style w:type="paragraph" w:customStyle="1" w:styleId="FIGST0">
    <w:name w:val="FIG ST"/>
    <w:basedOn w:val="Normal"/>
    <w:autoRedefine/>
    <w:rsid w:val="00226F76"/>
    <w:pPr>
      <w:autoSpaceDE w:val="0"/>
      <w:autoSpaceDN w:val="0"/>
      <w:adjustRightInd w:val="0"/>
      <w:spacing w:before="120" w:after="120"/>
      <w:ind w:firstLine="0"/>
      <w:jc w:val="both"/>
    </w:pPr>
    <w:rPr>
      <w:color w:val="000090"/>
      <w:sz w:val="20"/>
      <w:szCs w:val="18"/>
      <w:lang w:eastAsia="fr-FR"/>
    </w:rPr>
  </w:style>
  <w:style w:type="paragraph" w:customStyle="1" w:styleId="figstliste">
    <w:name w:val="fig st liste"/>
    <w:basedOn w:val="Normal"/>
    <w:autoRedefine/>
    <w:rsid w:val="00226F76"/>
    <w:pPr>
      <w:autoSpaceDE w:val="0"/>
      <w:autoSpaceDN w:val="0"/>
      <w:adjustRightInd w:val="0"/>
      <w:ind w:left="360" w:hanging="360"/>
      <w:jc w:val="both"/>
    </w:pPr>
    <w:rPr>
      <w:color w:val="000090"/>
      <w:sz w:val="24"/>
      <w:szCs w:val="14"/>
      <w:lang w:eastAsia="fr-FR"/>
    </w:rPr>
  </w:style>
  <w:style w:type="paragraph" w:customStyle="1" w:styleId="FIGSTc">
    <w:name w:val="FIG ST c"/>
    <w:basedOn w:val="FIGST0"/>
    <w:autoRedefine/>
    <w:rsid w:val="009E5960"/>
    <w:pPr>
      <w:jc w:val="center"/>
    </w:pPr>
  </w:style>
  <w:style w:type="paragraph" w:customStyle="1" w:styleId="fig2">
    <w:name w:val="fig 2"/>
    <w:basedOn w:val="fig"/>
    <w:autoRedefine/>
    <w:rsid w:val="000F7900"/>
    <w:pPr>
      <w:ind w:left="-1530" w:right="-360"/>
      <w:jc w:val="right"/>
    </w:pPr>
  </w:style>
  <w:style w:type="paragraph" w:customStyle="1" w:styleId="citationliste">
    <w:name w:val="citation liste"/>
    <w:basedOn w:val="Normal"/>
    <w:autoRedefine/>
    <w:rsid w:val="00122C1F"/>
    <w:pPr>
      <w:spacing w:before="120" w:after="120"/>
      <w:ind w:left="1440" w:hanging="360"/>
      <w:jc w:val="both"/>
    </w:pPr>
    <w:rPr>
      <w:color w:val="000090"/>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unet_diane@hotmail.com"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brunet_diane.htm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brunelle.dorval@uqam.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to:belanger.yves@uqam.ca" TargetMode="Externa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6075</Words>
  <Characters>33413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“La charte canadienne des droits et libertés de 1982 : un phare aveuglant contre la grande noirceur.”</vt:lpstr>
    </vt:vector>
  </TitlesOfParts>
  <Manager>Diane Brunet, bénévole, 2019</Manager>
  <Company>Les Classiques des sciences sociales</Company>
  <LinksUpToDate>false</LinksUpToDate>
  <CharactersWithSpaces>39410</CharactersWithSpaces>
  <SharedDoc>false</SharedDoc>
  <HyperlinkBase/>
  <HLinks>
    <vt:vector size="78" baseType="variant">
      <vt:variant>
        <vt:i4>8126487</vt:i4>
      </vt:variant>
      <vt:variant>
        <vt:i4>18</vt:i4>
      </vt:variant>
      <vt:variant>
        <vt:i4>0</vt:i4>
      </vt:variant>
      <vt:variant>
        <vt:i4>5</vt:i4>
      </vt:variant>
      <vt:variant>
        <vt:lpwstr>mailto:brunelle.dorval@uqam.ca</vt:lpwstr>
      </vt:variant>
      <vt:variant>
        <vt:lpwstr/>
      </vt:variant>
      <vt:variant>
        <vt:i4>4522029</vt:i4>
      </vt:variant>
      <vt:variant>
        <vt:i4>15</vt:i4>
      </vt:variant>
      <vt:variant>
        <vt:i4>0</vt:i4>
      </vt:variant>
      <vt:variant>
        <vt:i4>5</vt:i4>
      </vt:variant>
      <vt:variant>
        <vt:lpwstr>file://localhost/maito/belanger.yves@uqam.ca</vt:lpwstr>
      </vt:variant>
      <vt:variant>
        <vt:lpwstr/>
      </vt:variant>
      <vt:variant>
        <vt:i4>2228317</vt:i4>
      </vt:variant>
      <vt:variant>
        <vt:i4>12</vt:i4>
      </vt:variant>
      <vt:variant>
        <vt:i4>0</vt:i4>
      </vt:variant>
      <vt:variant>
        <vt:i4>5</vt:i4>
      </vt:variant>
      <vt:variant>
        <vt:lpwstr>mailto:Brunet_diane@hotmail.com</vt:lpwstr>
      </vt:variant>
      <vt:variant>
        <vt:lpwstr/>
      </vt:variant>
      <vt:variant>
        <vt:i4>5505064</vt:i4>
      </vt:variant>
      <vt:variant>
        <vt:i4>9</vt:i4>
      </vt:variant>
      <vt:variant>
        <vt:i4>0</vt:i4>
      </vt:variant>
      <vt:variant>
        <vt:i4>5</vt:i4>
      </vt:variant>
      <vt:variant>
        <vt:lpwstr>http://classiques.uqac.ca/inter/benevoles_equipe/liste_brunet_diane.html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2326</vt:i4>
      </vt:variant>
      <vt:variant>
        <vt:i4>1028</vt:i4>
      </vt:variant>
      <vt:variant>
        <vt:i4>1</vt:i4>
      </vt:variant>
      <vt:variant>
        <vt:lpwstr>css_logo_gris</vt:lpwstr>
      </vt:variant>
      <vt:variant>
        <vt:lpwstr/>
      </vt:variant>
      <vt:variant>
        <vt:i4>5111880</vt:i4>
      </vt:variant>
      <vt:variant>
        <vt:i4>2615</vt:i4>
      </vt:variant>
      <vt:variant>
        <vt:i4>1029</vt:i4>
      </vt:variant>
      <vt:variant>
        <vt:i4>1</vt:i4>
      </vt:variant>
      <vt:variant>
        <vt:lpwstr>UQAC_logo_2018</vt:lpwstr>
      </vt:variant>
      <vt:variant>
        <vt:lpwstr/>
      </vt:variant>
      <vt:variant>
        <vt:i4>4194334</vt:i4>
      </vt:variant>
      <vt:variant>
        <vt:i4>5145</vt:i4>
      </vt:variant>
      <vt:variant>
        <vt:i4>1025</vt:i4>
      </vt:variant>
      <vt:variant>
        <vt:i4>1</vt:i4>
      </vt:variant>
      <vt:variant>
        <vt:lpwstr>Boite_aux_lettres_clair</vt:lpwstr>
      </vt:variant>
      <vt:variant>
        <vt:lpwstr/>
      </vt:variant>
      <vt:variant>
        <vt:i4>1703963</vt:i4>
      </vt:variant>
      <vt:variant>
        <vt:i4>5696</vt:i4>
      </vt:variant>
      <vt:variant>
        <vt:i4>1026</vt:i4>
      </vt:variant>
      <vt:variant>
        <vt:i4>1</vt:i4>
      </vt:variant>
      <vt:variant>
        <vt:lpwstr>fait_sur_mac</vt:lpwstr>
      </vt:variant>
      <vt:variant>
        <vt:lpwstr/>
      </vt:variant>
      <vt:variant>
        <vt:i4>5963891</vt:i4>
      </vt:variant>
      <vt:variant>
        <vt:i4>5820</vt:i4>
      </vt:variant>
      <vt:variant>
        <vt:i4>1027</vt:i4>
      </vt:variant>
      <vt:variant>
        <vt:i4>1</vt:i4>
      </vt:variant>
      <vt:variant>
        <vt:lpwstr>ere_des_liberaux_L25</vt:lpwstr>
      </vt:variant>
      <vt:variant>
        <vt:lpwstr/>
      </vt:variant>
      <vt:variant>
        <vt:i4>7536651</vt:i4>
      </vt:variant>
      <vt:variant>
        <vt:i4>24842</vt:i4>
      </vt:variant>
      <vt:variant>
        <vt:i4>1030</vt:i4>
      </vt:variant>
      <vt:variant>
        <vt:i4>1</vt:i4>
      </vt:variant>
      <vt:variant>
        <vt:lpwstr>fig_p_118_st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charte canadienne des droits et libertés de 1982 : un phare aveuglant contre la grande noirceur.”</dc:title>
  <dc:subject/>
  <dc:creator>Pierre Mackay, 1988</dc:creator>
  <cp:keywords>classiques.sc.soc@gmail.com</cp:keywords>
  <dc:description>http://classiques.uqac.ca/</dc:description>
  <cp:lastModifiedBy>Microsoft Office User</cp:lastModifiedBy>
  <cp:revision>2</cp:revision>
  <cp:lastPrinted>2001-08-26T19:33:00Z</cp:lastPrinted>
  <dcterms:created xsi:type="dcterms:W3CDTF">2019-09-09T14:44:00Z</dcterms:created>
  <dcterms:modified xsi:type="dcterms:W3CDTF">2019-09-09T14:44:00Z</dcterms:modified>
  <cp:category>jean-marie tremblay, sociologue, fondateur, 1993.</cp:category>
</cp:coreProperties>
</file>