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A4910" w:rsidRPr="00E07116" w14:paraId="10B23022" w14:textId="77777777">
        <w:tblPrEx>
          <w:tblCellMar>
            <w:top w:w="0" w:type="dxa"/>
            <w:bottom w:w="0" w:type="dxa"/>
          </w:tblCellMar>
        </w:tblPrEx>
        <w:tc>
          <w:tcPr>
            <w:tcW w:w="9160" w:type="dxa"/>
            <w:shd w:val="clear" w:color="auto" w:fill="DDD9C3"/>
          </w:tcPr>
          <w:p w14:paraId="001F3635" w14:textId="77777777" w:rsidR="009A4910" w:rsidRPr="00E07116" w:rsidRDefault="009A4910" w:rsidP="009A4910">
            <w:pPr>
              <w:pStyle w:val="En-tte"/>
              <w:tabs>
                <w:tab w:val="clear" w:pos="4320"/>
                <w:tab w:val="clear" w:pos="8640"/>
              </w:tabs>
              <w:rPr>
                <w:rFonts w:ascii="Times New Roman" w:hAnsi="Times New Roman"/>
                <w:sz w:val="28"/>
                <w:lang w:val="en-CA" w:bidi="ar-SA"/>
              </w:rPr>
            </w:pPr>
          </w:p>
          <w:p w14:paraId="486F4846" w14:textId="77777777" w:rsidR="009A4910" w:rsidRPr="00E07116" w:rsidRDefault="009A4910">
            <w:pPr>
              <w:ind w:firstLine="0"/>
              <w:jc w:val="center"/>
              <w:rPr>
                <w:b/>
                <w:lang w:bidi="ar-SA"/>
              </w:rPr>
            </w:pPr>
          </w:p>
          <w:p w14:paraId="70348809" w14:textId="77777777" w:rsidR="009A4910" w:rsidRDefault="009A4910" w:rsidP="009A4910">
            <w:pPr>
              <w:ind w:firstLine="0"/>
              <w:jc w:val="center"/>
              <w:rPr>
                <w:b/>
                <w:sz w:val="20"/>
                <w:lang w:bidi="ar-SA"/>
              </w:rPr>
            </w:pPr>
          </w:p>
          <w:p w14:paraId="2A53AAFF" w14:textId="77777777" w:rsidR="009A4910" w:rsidRDefault="009A4910" w:rsidP="009A4910">
            <w:pPr>
              <w:ind w:firstLine="0"/>
              <w:jc w:val="center"/>
              <w:rPr>
                <w:b/>
                <w:sz w:val="20"/>
                <w:lang w:bidi="ar-SA"/>
              </w:rPr>
            </w:pPr>
          </w:p>
          <w:p w14:paraId="66D3B780" w14:textId="77777777" w:rsidR="009A4910" w:rsidRDefault="009A4910" w:rsidP="009A4910">
            <w:pPr>
              <w:ind w:firstLine="0"/>
              <w:jc w:val="center"/>
              <w:rPr>
                <w:b/>
                <w:sz w:val="36"/>
              </w:rPr>
            </w:pPr>
            <w:r>
              <w:rPr>
                <w:sz w:val="36"/>
              </w:rPr>
              <w:t>Denise Helly</w:t>
            </w:r>
          </w:p>
          <w:p w14:paraId="6333928C" w14:textId="77777777" w:rsidR="009A4910" w:rsidRDefault="009A4910" w:rsidP="009A4910">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14:paraId="4C89F806" w14:textId="77777777" w:rsidR="009A4910" w:rsidRPr="005F6843" w:rsidRDefault="009A4910" w:rsidP="009A4910">
            <w:pPr>
              <w:ind w:firstLine="0"/>
              <w:jc w:val="center"/>
              <w:rPr>
                <w:sz w:val="20"/>
                <w:lang w:bidi="ar-SA"/>
              </w:rPr>
            </w:pPr>
          </w:p>
          <w:p w14:paraId="63FCDEFC" w14:textId="77777777" w:rsidR="009A4910" w:rsidRPr="00AA0F60" w:rsidRDefault="009A4910" w:rsidP="009A4910">
            <w:pPr>
              <w:pStyle w:val="Corpsdetexte"/>
              <w:widowControl w:val="0"/>
              <w:spacing w:before="0" w:after="0"/>
              <w:rPr>
                <w:sz w:val="44"/>
                <w:lang w:bidi="ar-SA"/>
              </w:rPr>
            </w:pPr>
            <w:r w:rsidRPr="00AA0F60">
              <w:rPr>
                <w:sz w:val="44"/>
                <w:lang w:bidi="ar-SA"/>
              </w:rPr>
              <w:t>(</w:t>
            </w:r>
            <w:r>
              <w:rPr>
                <w:sz w:val="44"/>
                <w:lang w:bidi="ar-SA"/>
              </w:rPr>
              <w:t>2002</w:t>
            </w:r>
            <w:r w:rsidRPr="00AA0F60">
              <w:rPr>
                <w:sz w:val="44"/>
                <w:lang w:bidi="ar-SA"/>
              </w:rPr>
              <w:t>)</w:t>
            </w:r>
          </w:p>
          <w:p w14:paraId="77035D75" w14:textId="77777777" w:rsidR="009A4910" w:rsidRDefault="009A4910" w:rsidP="009A4910">
            <w:pPr>
              <w:pStyle w:val="Corpsdetexte"/>
              <w:widowControl w:val="0"/>
              <w:spacing w:before="0" w:after="0"/>
              <w:rPr>
                <w:color w:val="FF0000"/>
                <w:sz w:val="24"/>
                <w:lang w:bidi="ar-SA"/>
              </w:rPr>
            </w:pPr>
          </w:p>
          <w:p w14:paraId="572551A1" w14:textId="77777777" w:rsidR="009A4910" w:rsidRDefault="009A4910" w:rsidP="009A4910">
            <w:pPr>
              <w:pStyle w:val="Corpsdetexte"/>
              <w:widowControl w:val="0"/>
              <w:spacing w:before="0" w:after="0"/>
              <w:rPr>
                <w:color w:val="FF0000"/>
                <w:sz w:val="24"/>
                <w:lang w:bidi="ar-SA"/>
              </w:rPr>
            </w:pPr>
          </w:p>
          <w:p w14:paraId="4DB97EB4" w14:textId="77777777" w:rsidR="009A4910" w:rsidRDefault="009A4910" w:rsidP="009A4910">
            <w:pPr>
              <w:pStyle w:val="Corpsdetexte"/>
              <w:widowControl w:val="0"/>
              <w:spacing w:before="0" w:after="0"/>
              <w:rPr>
                <w:color w:val="FF0000"/>
                <w:sz w:val="24"/>
                <w:lang w:bidi="ar-SA"/>
              </w:rPr>
            </w:pPr>
          </w:p>
          <w:p w14:paraId="603EAAD6" w14:textId="77777777" w:rsidR="009A4910" w:rsidRPr="007317AC" w:rsidRDefault="009A4910" w:rsidP="009A4910">
            <w:pPr>
              <w:pStyle w:val="Titlest"/>
            </w:pPr>
            <w:r w:rsidRPr="007317AC">
              <w:t>“</w:t>
            </w:r>
            <w:r>
              <w:t>Le statut linguistique</w:t>
            </w:r>
            <w:r>
              <w:br/>
              <w:t>des allophones et des anglophones</w:t>
            </w:r>
            <w:r>
              <w:br/>
              <w:t>au Québec.</w:t>
            </w:r>
            <w:r w:rsidRPr="007317AC">
              <w:t>”</w:t>
            </w:r>
          </w:p>
          <w:p w14:paraId="5F2CBFB6" w14:textId="77777777" w:rsidR="009A4910" w:rsidRDefault="009A4910" w:rsidP="009A4910">
            <w:pPr>
              <w:widowControl w:val="0"/>
              <w:ind w:firstLine="0"/>
              <w:jc w:val="center"/>
              <w:rPr>
                <w:lang w:bidi="ar-SA"/>
              </w:rPr>
            </w:pPr>
          </w:p>
          <w:p w14:paraId="52C39F81" w14:textId="77777777" w:rsidR="009A4910" w:rsidRDefault="009A4910" w:rsidP="009A4910">
            <w:pPr>
              <w:widowControl w:val="0"/>
              <w:ind w:firstLine="0"/>
              <w:jc w:val="center"/>
              <w:rPr>
                <w:lang w:bidi="ar-SA"/>
              </w:rPr>
            </w:pPr>
          </w:p>
          <w:p w14:paraId="35CAF167" w14:textId="77777777" w:rsidR="009A4910" w:rsidRDefault="009A4910" w:rsidP="009A4910">
            <w:pPr>
              <w:widowControl w:val="0"/>
              <w:ind w:firstLine="0"/>
              <w:jc w:val="center"/>
              <w:rPr>
                <w:lang w:bidi="ar-SA"/>
              </w:rPr>
            </w:pPr>
          </w:p>
          <w:p w14:paraId="459BD894" w14:textId="77777777" w:rsidR="009A4910" w:rsidRDefault="009A4910" w:rsidP="009A4910">
            <w:pPr>
              <w:widowControl w:val="0"/>
              <w:ind w:firstLine="0"/>
              <w:jc w:val="center"/>
              <w:rPr>
                <w:sz w:val="20"/>
                <w:lang w:bidi="ar-SA"/>
              </w:rPr>
            </w:pPr>
          </w:p>
          <w:p w14:paraId="06D08FA5" w14:textId="77777777" w:rsidR="009A4910" w:rsidRPr="00384B20" w:rsidRDefault="009A4910">
            <w:pPr>
              <w:widowControl w:val="0"/>
              <w:ind w:firstLine="0"/>
              <w:jc w:val="center"/>
              <w:rPr>
                <w:sz w:val="20"/>
                <w:lang w:bidi="ar-SA"/>
              </w:rPr>
            </w:pPr>
          </w:p>
          <w:p w14:paraId="0A23534F" w14:textId="77777777" w:rsidR="009A4910" w:rsidRPr="00384B20" w:rsidRDefault="009A491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83FB12E" w14:textId="77777777" w:rsidR="009A4910" w:rsidRPr="00E07116" w:rsidRDefault="009A4910">
            <w:pPr>
              <w:widowControl w:val="0"/>
              <w:ind w:firstLine="0"/>
              <w:jc w:val="both"/>
              <w:rPr>
                <w:lang w:bidi="ar-SA"/>
              </w:rPr>
            </w:pPr>
          </w:p>
          <w:p w14:paraId="0E7CDD06" w14:textId="77777777" w:rsidR="009A4910" w:rsidRPr="00E07116" w:rsidRDefault="009A4910">
            <w:pPr>
              <w:widowControl w:val="0"/>
              <w:ind w:firstLine="0"/>
              <w:jc w:val="both"/>
              <w:rPr>
                <w:lang w:bidi="ar-SA"/>
              </w:rPr>
            </w:pPr>
          </w:p>
          <w:p w14:paraId="6737E234" w14:textId="77777777" w:rsidR="009A4910" w:rsidRPr="00E07116" w:rsidRDefault="009A4910">
            <w:pPr>
              <w:widowControl w:val="0"/>
              <w:ind w:firstLine="0"/>
              <w:jc w:val="both"/>
              <w:rPr>
                <w:lang w:bidi="ar-SA"/>
              </w:rPr>
            </w:pPr>
          </w:p>
          <w:p w14:paraId="65EDD97A" w14:textId="77777777" w:rsidR="009A4910" w:rsidRDefault="009A4910">
            <w:pPr>
              <w:widowControl w:val="0"/>
              <w:ind w:firstLine="0"/>
              <w:jc w:val="both"/>
              <w:rPr>
                <w:lang w:bidi="ar-SA"/>
              </w:rPr>
            </w:pPr>
          </w:p>
          <w:p w14:paraId="70BD0F6F" w14:textId="77777777" w:rsidR="009A4910" w:rsidRDefault="009A4910">
            <w:pPr>
              <w:widowControl w:val="0"/>
              <w:ind w:firstLine="0"/>
              <w:jc w:val="both"/>
              <w:rPr>
                <w:lang w:bidi="ar-SA"/>
              </w:rPr>
            </w:pPr>
          </w:p>
          <w:p w14:paraId="200607AB" w14:textId="77777777" w:rsidR="009A4910" w:rsidRPr="00E07116" w:rsidRDefault="009A4910">
            <w:pPr>
              <w:widowControl w:val="0"/>
              <w:ind w:firstLine="0"/>
              <w:jc w:val="both"/>
              <w:rPr>
                <w:lang w:bidi="ar-SA"/>
              </w:rPr>
            </w:pPr>
          </w:p>
          <w:p w14:paraId="2260E5CB" w14:textId="77777777" w:rsidR="009A4910" w:rsidRDefault="009A4910">
            <w:pPr>
              <w:widowControl w:val="0"/>
              <w:ind w:firstLine="0"/>
              <w:jc w:val="both"/>
              <w:rPr>
                <w:lang w:bidi="ar-SA"/>
              </w:rPr>
            </w:pPr>
          </w:p>
          <w:p w14:paraId="7A5C58D6" w14:textId="77777777" w:rsidR="009A4910" w:rsidRPr="00E07116" w:rsidRDefault="009A4910">
            <w:pPr>
              <w:widowControl w:val="0"/>
              <w:ind w:firstLine="0"/>
              <w:jc w:val="both"/>
              <w:rPr>
                <w:lang w:bidi="ar-SA"/>
              </w:rPr>
            </w:pPr>
          </w:p>
          <w:p w14:paraId="43C8FD82" w14:textId="77777777" w:rsidR="009A4910" w:rsidRPr="00E07116" w:rsidRDefault="009A4910">
            <w:pPr>
              <w:ind w:firstLine="0"/>
              <w:jc w:val="both"/>
              <w:rPr>
                <w:lang w:bidi="ar-SA"/>
              </w:rPr>
            </w:pPr>
          </w:p>
        </w:tc>
      </w:tr>
    </w:tbl>
    <w:p w14:paraId="1EED3BE8" w14:textId="77777777" w:rsidR="009A4910" w:rsidRDefault="009A4910" w:rsidP="009A4910">
      <w:pPr>
        <w:ind w:firstLine="0"/>
        <w:jc w:val="both"/>
      </w:pPr>
      <w:r w:rsidRPr="00E07116">
        <w:br w:type="page"/>
      </w:r>
    </w:p>
    <w:p w14:paraId="0E1FE590" w14:textId="77777777" w:rsidR="009A4910" w:rsidRDefault="009A4910" w:rsidP="009A4910">
      <w:pPr>
        <w:ind w:firstLine="0"/>
        <w:jc w:val="both"/>
      </w:pPr>
    </w:p>
    <w:p w14:paraId="78B67437" w14:textId="77777777" w:rsidR="009A4910" w:rsidRDefault="009A4910" w:rsidP="009A4910">
      <w:pPr>
        <w:ind w:firstLine="0"/>
        <w:jc w:val="both"/>
      </w:pPr>
    </w:p>
    <w:p w14:paraId="0A9556F2" w14:textId="77777777" w:rsidR="009A4910" w:rsidRDefault="00F80C06" w:rsidP="009A4910">
      <w:pPr>
        <w:ind w:firstLine="0"/>
        <w:jc w:val="right"/>
      </w:pPr>
      <w:r>
        <w:rPr>
          <w:noProof/>
        </w:rPr>
        <w:drawing>
          <wp:inline distT="0" distB="0" distL="0" distR="0" wp14:anchorId="31D9089C" wp14:editId="6E2C0D0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E354A39" w14:textId="77777777" w:rsidR="009A4910" w:rsidRDefault="009A4910" w:rsidP="009A4910">
      <w:pPr>
        <w:ind w:firstLine="0"/>
        <w:jc w:val="right"/>
      </w:pPr>
      <w:hyperlink r:id="rId9" w:history="1">
        <w:r w:rsidRPr="00302466">
          <w:rPr>
            <w:rStyle w:val="Hyperlien"/>
          </w:rPr>
          <w:t>http://classiques.uqac.ca/</w:t>
        </w:r>
      </w:hyperlink>
      <w:r>
        <w:t xml:space="preserve"> </w:t>
      </w:r>
    </w:p>
    <w:p w14:paraId="7D6D2B0B" w14:textId="77777777" w:rsidR="009A4910" w:rsidRDefault="009A4910" w:rsidP="009A4910">
      <w:pPr>
        <w:ind w:firstLine="0"/>
        <w:jc w:val="both"/>
      </w:pPr>
    </w:p>
    <w:p w14:paraId="601949FE" w14:textId="77777777" w:rsidR="009A4910" w:rsidRDefault="009A4910" w:rsidP="009A491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5387EFF" w14:textId="77777777" w:rsidR="009A4910" w:rsidRDefault="009A4910" w:rsidP="009A4910">
      <w:pPr>
        <w:ind w:firstLine="0"/>
        <w:jc w:val="both"/>
      </w:pPr>
    </w:p>
    <w:p w14:paraId="236CE1CB" w14:textId="77777777" w:rsidR="009A4910" w:rsidRDefault="00F80C06" w:rsidP="009A4910">
      <w:pPr>
        <w:ind w:firstLine="0"/>
        <w:jc w:val="both"/>
      </w:pPr>
      <w:r>
        <w:rPr>
          <w:noProof/>
        </w:rPr>
        <w:drawing>
          <wp:inline distT="0" distB="0" distL="0" distR="0" wp14:anchorId="2AFBD261" wp14:editId="19C2A63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31EE477" w14:textId="77777777" w:rsidR="009A4910" w:rsidRDefault="009A4910" w:rsidP="009A4910">
      <w:pPr>
        <w:ind w:firstLine="0"/>
        <w:jc w:val="both"/>
      </w:pPr>
      <w:hyperlink r:id="rId11" w:history="1">
        <w:r w:rsidRPr="00302466">
          <w:rPr>
            <w:rStyle w:val="Hyperlien"/>
          </w:rPr>
          <w:t>http://bibliotheque.uqac.ca/</w:t>
        </w:r>
      </w:hyperlink>
      <w:r>
        <w:t xml:space="preserve"> </w:t>
      </w:r>
    </w:p>
    <w:p w14:paraId="732F7A26" w14:textId="77777777" w:rsidR="009A4910" w:rsidRDefault="009A4910" w:rsidP="009A4910">
      <w:pPr>
        <w:ind w:firstLine="0"/>
        <w:jc w:val="both"/>
      </w:pPr>
    </w:p>
    <w:p w14:paraId="7F6E0A99" w14:textId="77777777" w:rsidR="009A4910" w:rsidRDefault="009A4910" w:rsidP="009A4910">
      <w:pPr>
        <w:ind w:firstLine="0"/>
        <w:jc w:val="both"/>
      </w:pPr>
    </w:p>
    <w:p w14:paraId="3B998718" w14:textId="77777777" w:rsidR="009A4910" w:rsidRDefault="009A4910" w:rsidP="009A4910">
      <w:pPr>
        <w:ind w:firstLine="0"/>
        <w:jc w:val="both"/>
      </w:pPr>
      <w:r>
        <w:t>En 2018, Les Classiques des sciences sociales fêteront leur 25</w:t>
      </w:r>
      <w:r w:rsidRPr="00622FDA">
        <w:rPr>
          <w:vertAlign w:val="superscript"/>
        </w:rPr>
        <w:t>e</w:t>
      </w:r>
      <w:r>
        <w:t xml:space="preserve"> ann</w:t>
      </w:r>
      <w:r>
        <w:t>i</w:t>
      </w:r>
      <w:r>
        <w:t>versaire de fo</w:t>
      </w:r>
      <w:r>
        <w:t>n</w:t>
      </w:r>
      <w:r>
        <w:t>dation. Une belle initiative citoyenne.</w:t>
      </w:r>
    </w:p>
    <w:p w14:paraId="0BE072C6" w14:textId="77777777" w:rsidR="009A4910" w:rsidRPr="00E07116" w:rsidRDefault="009A4910" w:rsidP="009A4910">
      <w:pPr>
        <w:widowControl w:val="0"/>
        <w:autoSpaceDE w:val="0"/>
        <w:autoSpaceDN w:val="0"/>
        <w:adjustRightInd w:val="0"/>
        <w:rPr>
          <w:szCs w:val="32"/>
        </w:rPr>
      </w:pPr>
      <w:r w:rsidRPr="00E07116">
        <w:br w:type="page"/>
      </w:r>
    </w:p>
    <w:p w14:paraId="3C9FBB3F" w14:textId="77777777" w:rsidR="009A4910" w:rsidRPr="00412C2C" w:rsidRDefault="009A4910">
      <w:pPr>
        <w:widowControl w:val="0"/>
        <w:autoSpaceDE w:val="0"/>
        <w:autoSpaceDN w:val="0"/>
        <w:adjustRightInd w:val="0"/>
        <w:jc w:val="center"/>
        <w:rPr>
          <w:color w:val="008B00"/>
          <w:sz w:val="48"/>
          <w:szCs w:val="36"/>
        </w:rPr>
      </w:pPr>
      <w:r w:rsidRPr="00412C2C">
        <w:rPr>
          <w:color w:val="008B00"/>
          <w:sz w:val="48"/>
          <w:szCs w:val="36"/>
        </w:rPr>
        <w:t>Politique d'utilisation</w:t>
      </w:r>
      <w:r w:rsidRPr="00412C2C">
        <w:rPr>
          <w:color w:val="008B00"/>
          <w:sz w:val="48"/>
          <w:szCs w:val="36"/>
        </w:rPr>
        <w:br/>
        <w:t>de la bibliothèque des Classiques</w:t>
      </w:r>
    </w:p>
    <w:p w14:paraId="56DF24E5" w14:textId="77777777" w:rsidR="009A4910" w:rsidRPr="00E07116" w:rsidRDefault="009A4910">
      <w:pPr>
        <w:widowControl w:val="0"/>
        <w:autoSpaceDE w:val="0"/>
        <w:autoSpaceDN w:val="0"/>
        <w:adjustRightInd w:val="0"/>
        <w:rPr>
          <w:szCs w:val="32"/>
        </w:rPr>
      </w:pPr>
    </w:p>
    <w:p w14:paraId="49974A32" w14:textId="77777777" w:rsidR="009A4910" w:rsidRPr="00E07116" w:rsidRDefault="009A4910">
      <w:pPr>
        <w:widowControl w:val="0"/>
        <w:autoSpaceDE w:val="0"/>
        <w:autoSpaceDN w:val="0"/>
        <w:adjustRightInd w:val="0"/>
        <w:jc w:val="both"/>
        <w:rPr>
          <w:color w:val="1C1C1C"/>
          <w:szCs w:val="26"/>
        </w:rPr>
      </w:pPr>
    </w:p>
    <w:p w14:paraId="4C06344F" w14:textId="77777777" w:rsidR="009A4910" w:rsidRPr="00E07116" w:rsidRDefault="009A4910">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51193DE" w14:textId="77777777" w:rsidR="009A4910" w:rsidRPr="00E07116" w:rsidRDefault="009A4910">
      <w:pPr>
        <w:widowControl w:val="0"/>
        <w:autoSpaceDE w:val="0"/>
        <w:autoSpaceDN w:val="0"/>
        <w:adjustRightInd w:val="0"/>
        <w:jc w:val="both"/>
        <w:rPr>
          <w:color w:val="1C1C1C"/>
          <w:szCs w:val="26"/>
        </w:rPr>
      </w:pPr>
    </w:p>
    <w:p w14:paraId="2E6264F8" w14:textId="77777777" w:rsidR="009A4910" w:rsidRPr="00E07116" w:rsidRDefault="009A4910" w:rsidP="009A4910">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FC85636" w14:textId="77777777" w:rsidR="009A4910" w:rsidRPr="00E07116" w:rsidRDefault="009A4910" w:rsidP="009A4910">
      <w:pPr>
        <w:widowControl w:val="0"/>
        <w:autoSpaceDE w:val="0"/>
        <w:autoSpaceDN w:val="0"/>
        <w:adjustRightInd w:val="0"/>
        <w:jc w:val="both"/>
        <w:rPr>
          <w:color w:val="1C1C1C"/>
          <w:szCs w:val="26"/>
        </w:rPr>
      </w:pPr>
    </w:p>
    <w:p w14:paraId="13A02079" w14:textId="77777777" w:rsidR="009A4910" w:rsidRPr="00E07116" w:rsidRDefault="009A4910" w:rsidP="009A4910">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10A870C" w14:textId="77777777" w:rsidR="009A4910" w:rsidRPr="00E07116" w:rsidRDefault="009A4910" w:rsidP="009A4910">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BEB769C" w14:textId="77777777" w:rsidR="009A4910" w:rsidRPr="00E07116" w:rsidRDefault="009A4910" w:rsidP="009A4910">
      <w:pPr>
        <w:widowControl w:val="0"/>
        <w:autoSpaceDE w:val="0"/>
        <w:autoSpaceDN w:val="0"/>
        <w:adjustRightInd w:val="0"/>
        <w:jc w:val="both"/>
        <w:rPr>
          <w:color w:val="1C1C1C"/>
          <w:szCs w:val="26"/>
        </w:rPr>
      </w:pPr>
    </w:p>
    <w:p w14:paraId="6331E855" w14:textId="77777777" w:rsidR="009A4910" w:rsidRPr="00E07116" w:rsidRDefault="009A4910">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CAAE9EC" w14:textId="77777777" w:rsidR="009A4910" w:rsidRPr="00E07116" w:rsidRDefault="009A4910">
      <w:pPr>
        <w:widowControl w:val="0"/>
        <w:autoSpaceDE w:val="0"/>
        <w:autoSpaceDN w:val="0"/>
        <w:adjustRightInd w:val="0"/>
        <w:jc w:val="both"/>
        <w:rPr>
          <w:color w:val="1C1C1C"/>
          <w:szCs w:val="26"/>
        </w:rPr>
      </w:pPr>
    </w:p>
    <w:p w14:paraId="13DCC739" w14:textId="77777777" w:rsidR="009A4910" w:rsidRPr="00E07116" w:rsidRDefault="009A4910">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7D389EF" w14:textId="77777777" w:rsidR="009A4910" w:rsidRPr="00E07116" w:rsidRDefault="009A4910">
      <w:pPr>
        <w:rPr>
          <w:b/>
          <w:color w:val="1C1C1C"/>
          <w:szCs w:val="26"/>
        </w:rPr>
      </w:pPr>
    </w:p>
    <w:p w14:paraId="295F6074" w14:textId="77777777" w:rsidR="009A4910" w:rsidRPr="00E07116" w:rsidRDefault="009A4910">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B0418AF" w14:textId="77777777" w:rsidR="009A4910" w:rsidRPr="00E07116" w:rsidRDefault="009A4910">
      <w:pPr>
        <w:rPr>
          <w:b/>
          <w:color w:val="1C1C1C"/>
          <w:szCs w:val="26"/>
        </w:rPr>
      </w:pPr>
    </w:p>
    <w:p w14:paraId="7733C38B" w14:textId="77777777" w:rsidR="009A4910" w:rsidRPr="00E07116" w:rsidRDefault="009A4910">
      <w:pPr>
        <w:rPr>
          <w:color w:val="1C1C1C"/>
          <w:szCs w:val="26"/>
        </w:rPr>
      </w:pPr>
      <w:r w:rsidRPr="00E07116">
        <w:rPr>
          <w:color w:val="1C1C1C"/>
          <w:szCs w:val="26"/>
        </w:rPr>
        <w:t>Jean-Marie Tremblay, sociologue</w:t>
      </w:r>
    </w:p>
    <w:p w14:paraId="17E1A0C3" w14:textId="77777777" w:rsidR="009A4910" w:rsidRPr="00E07116" w:rsidRDefault="009A4910">
      <w:pPr>
        <w:rPr>
          <w:color w:val="1C1C1C"/>
          <w:szCs w:val="26"/>
        </w:rPr>
      </w:pPr>
      <w:r w:rsidRPr="00E07116">
        <w:rPr>
          <w:color w:val="1C1C1C"/>
          <w:szCs w:val="26"/>
        </w:rPr>
        <w:t>Fondateur et Président-directeur général,</w:t>
      </w:r>
    </w:p>
    <w:p w14:paraId="45E116A8" w14:textId="77777777" w:rsidR="009A4910" w:rsidRPr="00E07116" w:rsidRDefault="009A4910">
      <w:pPr>
        <w:rPr>
          <w:color w:val="000080"/>
        </w:rPr>
      </w:pPr>
      <w:r w:rsidRPr="00E07116">
        <w:rPr>
          <w:color w:val="000080"/>
          <w:szCs w:val="26"/>
        </w:rPr>
        <w:t>LES CLASSIQUES DES SCIENCES SOCIALES.</w:t>
      </w:r>
    </w:p>
    <w:p w14:paraId="672EFF40" w14:textId="77777777" w:rsidR="009A4910" w:rsidRPr="00CF4C8E" w:rsidRDefault="009A4910" w:rsidP="009A4910">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w:t>
      </w:r>
      <w:r w:rsidRPr="00CF4C8E">
        <w:rPr>
          <w:sz w:val="24"/>
          <w:lang w:bidi="ar-SA"/>
        </w:rPr>
        <w:t>o</w:t>
      </w:r>
      <w:r w:rsidRPr="00CF4C8E">
        <w:rPr>
          <w:sz w:val="24"/>
          <w:lang w:bidi="ar-SA"/>
        </w:rPr>
        <w:t>cié, Université du Québec à Chicoutimi</w:t>
      </w:r>
    </w:p>
    <w:p w14:paraId="11031A63" w14:textId="77777777" w:rsidR="009A4910" w:rsidRPr="00CF4C8E" w:rsidRDefault="009A4910" w:rsidP="009A4910">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p>
    <w:p w14:paraId="3F17FD2A" w14:textId="77777777" w:rsidR="009A4910" w:rsidRPr="00CF4C8E" w:rsidRDefault="009A4910" w:rsidP="009A4910">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6580CC0" w14:textId="77777777" w:rsidR="009A4910" w:rsidRPr="00CF4C8E" w:rsidRDefault="009A4910" w:rsidP="009A4910">
      <w:pPr>
        <w:ind w:left="20" w:hanging="20"/>
        <w:jc w:val="both"/>
        <w:rPr>
          <w:sz w:val="24"/>
        </w:rPr>
      </w:pPr>
      <w:r w:rsidRPr="00CF4C8E">
        <w:rPr>
          <w:sz w:val="24"/>
        </w:rPr>
        <w:t>à partir du texte de :</w:t>
      </w:r>
    </w:p>
    <w:p w14:paraId="4AEDE915" w14:textId="77777777" w:rsidR="009A4910" w:rsidRPr="00384B20" w:rsidRDefault="009A4910" w:rsidP="009A4910">
      <w:pPr>
        <w:ind w:firstLine="0"/>
        <w:jc w:val="both"/>
        <w:rPr>
          <w:sz w:val="24"/>
        </w:rPr>
      </w:pPr>
    </w:p>
    <w:p w14:paraId="2413A179" w14:textId="77777777" w:rsidR="009A4910" w:rsidRPr="00E07116" w:rsidRDefault="009A4910" w:rsidP="009A4910">
      <w:pPr>
        <w:ind w:left="20" w:firstLine="340"/>
        <w:jc w:val="both"/>
      </w:pPr>
      <w:r>
        <w:t>Denise Helly</w:t>
      </w:r>
    </w:p>
    <w:p w14:paraId="20266671" w14:textId="77777777" w:rsidR="009A4910" w:rsidRPr="00E07116" w:rsidRDefault="009A4910" w:rsidP="009A4910">
      <w:pPr>
        <w:ind w:left="20" w:firstLine="340"/>
        <w:jc w:val="both"/>
      </w:pPr>
    </w:p>
    <w:p w14:paraId="7C34BB76" w14:textId="77777777" w:rsidR="009A4910" w:rsidRPr="007317AC" w:rsidRDefault="009A4910" w:rsidP="009A4910">
      <w:pPr>
        <w:jc w:val="both"/>
        <w:rPr>
          <w:b/>
          <w:color w:val="000080"/>
        </w:rPr>
      </w:pPr>
      <w:r w:rsidRPr="00556E3C">
        <w:rPr>
          <w:b/>
          <w:color w:val="000080"/>
        </w:rPr>
        <w:t>“Le statut linguistique des allophones et des anglophones au Québec.”</w:t>
      </w:r>
    </w:p>
    <w:p w14:paraId="0E08A9D6" w14:textId="77777777" w:rsidR="009A4910" w:rsidRPr="00E07116" w:rsidRDefault="009A4910" w:rsidP="009A4910">
      <w:pPr>
        <w:jc w:val="both"/>
      </w:pPr>
    </w:p>
    <w:p w14:paraId="7D6835E7" w14:textId="77777777" w:rsidR="009A4910" w:rsidRPr="00E07116" w:rsidRDefault="009A4910" w:rsidP="009A4910">
      <w:pPr>
        <w:jc w:val="both"/>
      </w:pPr>
    </w:p>
    <w:p w14:paraId="21E8E3D8" w14:textId="77777777" w:rsidR="009A4910" w:rsidRPr="007317AC" w:rsidRDefault="009A4910" w:rsidP="009A4910">
      <w:pPr>
        <w:jc w:val="both"/>
      </w:pPr>
      <w:r>
        <w:t xml:space="preserve">In </w:t>
      </w:r>
      <w:r w:rsidRPr="002A59B5">
        <w:rPr>
          <w:i/>
        </w:rPr>
        <w:t>Revue d’aménagement linguistique</w:t>
      </w:r>
      <w:r>
        <w:t>, no Hors-série, Automne 2002, pp. 37-49.</w:t>
      </w:r>
    </w:p>
    <w:p w14:paraId="7E7991EF" w14:textId="77777777" w:rsidR="009A4910" w:rsidRPr="00384B20" w:rsidRDefault="009A4910" w:rsidP="009A4910">
      <w:pPr>
        <w:jc w:val="both"/>
        <w:rPr>
          <w:sz w:val="24"/>
        </w:rPr>
      </w:pPr>
    </w:p>
    <w:p w14:paraId="18E06E12" w14:textId="77777777" w:rsidR="009A4910" w:rsidRPr="00384B20" w:rsidRDefault="009A4910" w:rsidP="009A4910">
      <w:pPr>
        <w:jc w:val="both"/>
        <w:rPr>
          <w:sz w:val="24"/>
        </w:rPr>
      </w:pPr>
    </w:p>
    <w:p w14:paraId="74EB5FE8" w14:textId="77777777" w:rsidR="009A4910" w:rsidRPr="00EE56A6" w:rsidRDefault="009A4910" w:rsidP="009A4910">
      <w:pPr>
        <w:rPr>
          <w:sz w:val="24"/>
        </w:rPr>
      </w:pPr>
      <w:r w:rsidRPr="00EE56A6">
        <w:rPr>
          <w:sz w:val="24"/>
        </w:rPr>
        <w:t xml:space="preserve">[Autorisation formelle accordée le </w:t>
      </w:r>
      <w:r>
        <w:rPr>
          <w:sz w:val="24"/>
        </w:rPr>
        <w:t>13 avril 2019</w:t>
      </w:r>
      <w:r w:rsidRPr="00EE56A6">
        <w:rPr>
          <w:sz w:val="24"/>
        </w:rPr>
        <w:t xml:space="preserve"> par l’auteure de diffuser ce </w:t>
      </w:r>
      <w:r>
        <w:rPr>
          <w:sz w:val="24"/>
        </w:rPr>
        <w:t>texte en libre a</w:t>
      </w:r>
      <w:r>
        <w:rPr>
          <w:sz w:val="24"/>
        </w:rPr>
        <w:t>c</w:t>
      </w:r>
      <w:r>
        <w:rPr>
          <w:sz w:val="24"/>
        </w:rPr>
        <w:t>cès à tous</w:t>
      </w:r>
      <w:r w:rsidRPr="00EE56A6">
        <w:rPr>
          <w:sz w:val="24"/>
        </w:rPr>
        <w:t xml:space="preserve"> dans Les Classiques des sciences sociales.]</w:t>
      </w:r>
    </w:p>
    <w:p w14:paraId="04CB5067" w14:textId="77777777" w:rsidR="009A4910" w:rsidRPr="00384B20" w:rsidRDefault="009A4910" w:rsidP="009A4910">
      <w:pPr>
        <w:jc w:val="both"/>
        <w:rPr>
          <w:sz w:val="24"/>
        </w:rPr>
      </w:pPr>
    </w:p>
    <w:p w14:paraId="06D8427C" w14:textId="77777777" w:rsidR="009A4910" w:rsidRPr="00EE56A6" w:rsidRDefault="00F80C06" w:rsidP="009A4910">
      <w:pPr>
        <w:ind w:firstLine="0"/>
        <w:jc w:val="both"/>
        <w:rPr>
          <w:sz w:val="24"/>
        </w:rPr>
      </w:pPr>
      <w:r w:rsidRPr="00EE56A6">
        <w:rPr>
          <w:noProof/>
          <w:sz w:val="24"/>
        </w:rPr>
        <w:drawing>
          <wp:inline distT="0" distB="0" distL="0" distR="0" wp14:anchorId="5B6E35D6" wp14:editId="2E1427A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A4910" w:rsidRPr="00EE56A6">
        <w:rPr>
          <w:sz w:val="24"/>
        </w:rPr>
        <w:t xml:space="preserve">  Courriel : </w:t>
      </w:r>
      <w:hyperlink r:id="rId15" w:history="1">
        <w:r w:rsidR="009A4910" w:rsidRPr="00EE56A6">
          <w:rPr>
            <w:rStyle w:val="Hyperlien"/>
            <w:sz w:val="24"/>
          </w:rPr>
          <w:t>Denise_Helly@UCS.INRS.Ca</w:t>
        </w:r>
      </w:hyperlink>
      <w:r w:rsidR="009A4910" w:rsidRPr="00EE56A6">
        <w:rPr>
          <w:sz w:val="24"/>
        </w:rPr>
        <w:t xml:space="preserve"> </w:t>
      </w:r>
    </w:p>
    <w:p w14:paraId="317B31F7" w14:textId="77777777" w:rsidR="009A4910" w:rsidRPr="00384B20" w:rsidRDefault="009A4910" w:rsidP="009A4910">
      <w:pPr>
        <w:ind w:left="20"/>
        <w:jc w:val="both"/>
        <w:rPr>
          <w:sz w:val="24"/>
        </w:rPr>
      </w:pPr>
    </w:p>
    <w:p w14:paraId="5E389CEE" w14:textId="77777777" w:rsidR="009A4910" w:rsidRPr="00384B20" w:rsidRDefault="009A4910">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CE94C40" w14:textId="77777777" w:rsidR="009A4910" w:rsidRPr="00384B20" w:rsidRDefault="009A4910">
      <w:pPr>
        <w:ind w:right="1800" w:firstLine="0"/>
        <w:jc w:val="both"/>
        <w:rPr>
          <w:sz w:val="24"/>
        </w:rPr>
      </w:pPr>
    </w:p>
    <w:p w14:paraId="5D1EFB68" w14:textId="77777777" w:rsidR="009A4910" w:rsidRPr="00384B20" w:rsidRDefault="009A4910" w:rsidP="009A4910">
      <w:pPr>
        <w:ind w:left="360" w:right="360" w:firstLine="0"/>
        <w:jc w:val="both"/>
        <w:rPr>
          <w:sz w:val="24"/>
        </w:rPr>
      </w:pPr>
      <w:r w:rsidRPr="00384B20">
        <w:rPr>
          <w:sz w:val="24"/>
        </w:rPr>
        <w:t>Pour le texte: Times New Roman, 14 points.</w:t>
      </w:r>
    </w:p>
    <w:p w14:paraId="089F9B8D" w14:textId="77777777" w:rsidR="009A4910" w:rsidRPr="00384B20" w:rsidRDefault="009A4910" w:rsidP="009A4910">
      <w:pPr>
        <w:ind w:left="360" w:right="360" w:firstLine="0"/>
        <w:jc w:val="both"/>
        <w:rPr>
          <w:sz w:val="24"/>
        </w:rPr>
      </w:pPr>
      <w:r w:rsidRPr="00384B20">
        <w:rPr>
          <w:sz w:val="24"/>
        </w:rPr>
        <w:t>Pour les notes de bas de page : Times New Roman, 12 points.</w:t>
      </w:r>
    </w:p>
    <w:p w14:paraId="6E1F30BC" w14:textId="77777777" w:rsidR="009A4910" w:rsidRPr="00384B20" w:rsidRDefault="009A4910">
      <w:pPr>
        <w:ind w:left="360" w:right="1800" w:firstLine="0"/>
        <w:jc w:val="both"/>
        <w:rPr>
          <w:sz w:val="24"/>
        </w:rPr>
      </w:pPr>
    </w:p>
    <w:p w14:paraId="3D9D8532" w14:textId="77777777" w:rsidR="009A4910" w:rsidRPr="00384B20" w:rsidRDefault="009A4910">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14:paraId="5F0BB464" w14:textId="77777777" w:rsidR="009A4910" w:rsidRPr="00384B20" w:rsidRDefault="009A4910">
      <w:pPr>
        <w:ind w:right="1800" w:firstLine="0"/>
        <w:jc w:val="both"/>
        <w:rPr>
          <w:sz w:val="24"/>
        </w:rPr>
      </w:pPr>
    </w:p>
    <w:p w14:paraId="5F144960" w14:textId="77777777" w:rsidR="009A4910" w:rsidRPr="00384B20" w:rsidRDefault="009A4910" w:rsidP="009A4910">
      <w:pPr>
        <w:ind w:right="540" w:firstLine="0"/>
        <w:jc w:val="both"/>
        <w:rPr>
          <w:sz w:val="24"/>
        </w:rPr>
      </w:pPr>
      <w:r w:rsidRPr="00384B20">
        <w:rPr>
          <w:sz w:val="24"/>
        </w:rPr>
        <w:t>Mise en page sur papier format : LETTRE US, 8.5’’ x 11’’.</w:t>
      </w:r>
    </w:p>
    <w:p w14:paraId="284FDB0B" w14:textId="77777777" w:rsidR="009A4910" w:rsidRPr="00384B20" w:rsidRDefault="009A4910">
      <w:pPr>
        <w:ind w:right="1800" w:firstLine="0"/>
        <w:jc w:val="both"/>
        <w:rPr>
          <w:sz w:val="24"/>
        </w:rPr>
      </w:pPr>
    </w:p>
    <w:p w14:paraId="1A92EF71" w14:textId="77777777" w:rsidR="009A4910" w:rsidRPr="00384B20" w:rsidRDefault="009A4910" w:rsidP="009A4910">
      <w:pPr>
        <w:ind w:firstLine="0"/>
        <w:jc w:val="both"/>
        <w:rPr>
          <w:sz w:val="24"/>
        </w:rPr>
      </w:pPr>
      <w:r w:rsidRPr="00384B20">
        <w:rPr>
          <w:sz w:val="24"/>
        </w:rPr>
        <w:t>Édition numérique réalisée le</w:t>
      </w:r>
      <w:r>
        <w:rPr>
          <w:sz w:val="24"/>
        </w:rPr>
        <w:t xml:space="preserve"> 21 janvier 2022 à Chicoutimi</w:t>
      </w:r>
      <w:r w:rsidRPr="00384B20">
        <w:rPr>
          <w:sz w:val="24"/>
        </w:rPr>
        <w:t>, Québec.</w:t>
      </w:r>
    </w:p>
    <w:p w14:paraId="11F88F9B" w14:textId="77777777" w:rsidR="009A4910" w:rsidRPr="00384B20" w:rsidRDefault="009A4910">
      <w:pPr>
        <w:ind w:right="1800" w:firstLine="0"/>
        <w:jc w:val="both"/>
        <w:rPr>
          <w:sz w:val="24"/>
        </w:rPr>
      </w:pPr>
    </w:p>
    <w:p w14:paraId="07A9E0B7" w14:textId="77777777" w:rsidR="009A4910" w:rsidRPr="00E07116" w:rsidRDefault="00F80C06">
      <w:pPr>
        <w:ind w:right="1800" w:firstLine="0"/>
        <w:jc w:val="both"/>
      </w:pPr>
      <w:r w:rsidRPr="00E07116">
        <w:rPr>
          <w:noProof/>
        </w:rPr>
        <w:drawing>
          <wp:inline distT="0" distB="0" distL="0" distR="0" wp14:anchorId="56416A56" wp14:editId="26994215">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B1E70D3" w14:textId="77777777" w:rsidR="009A4910" w:rsidRPr="00E07116" w:rsidRDefault="009A4910" w:rsidP="009A4910">
      <w:pPr>
        <w:ind w:left="20"/>
        <w:jc w:val="both"/>
      </w:pPr>
      <w:r w:rsidRPr="00E07116">
        <w:br w:type="page"/>
      </w:r>
    </w:p>
    <w:p w14:paraId="79DB05CC" w14:textId="77777777" w:rsidR="009A4910" w:rsidRDefault="009A4910" w:rsidP="009A4910">
      <w:pPr>
        <w:ind w:firstLine="0"/>
        <w:jc w:val="center"/>
        <w:rPr>
          <w:b/>
          <w:sz w:val="36"/>
        </w:rPr>
      </w:pPr>
      <w:r>
        <w:rPr>
          <w:sz w:val="36"/>
        </w:rPr>
        <w:t>Denise Helly</w:t>
      </w:r>
    </w:p>
    <w:p w14:paraId="627A5752" w14:textId="77777777" w:rsidR="009A4910" w:rsidRDefault="009A4910" w:rsidP="009A4910">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14:paraId="0A74DA81" w14:textId="77777777" w:rsidR="009A4910" w:rsidRPr="00E07116" w:rsidRDefault="009A4910" w:rsidP="009A4910">
      <w:pPr>
        <w:ind w:firstLine="0"/>
        <w:jc w:val="center"/>
      </w:pPr>
    </w:p>
    <w:p w14:paraId="3FEF480D" w14:textId="77777777" w:rsidR="009A4910" w:rsidRPr="00BA5984" w:rsidRDefault="009A4910" w:rsidP="009A4910">
      <w:pPr>
        <w:ind w:firstLine="0"/>
        <w:jc w:val="center"/>
        <w:rPr>
          <w:color w:val="000080"/>
          <w:sz w:val="36"/>
        </w:rPr>
      </w:pPr>
      <w:r w:rsidRPr="00BA5984">
        <w:rPr>
          <w:color w:val="000080"/>
          <w:sz w:val="36"/>
        </w:rPr>
        <w:t>La question linguistique</w:t>
      </w:r>
      <w:r>
        <w:rPr>
          <w:color w:val="000080"/>
          <w:sz w:val="36"/>
        </w:rPr>
        <w:br/>
      </w:r>
      <w:r w:rsidRPr="00BA5984">
        <w:rPr>
          <w:color w:val="000080"/>
          <w:sz w:val="36"/>
        </w:rPr>
        <w:t>et le statut des allophones</w:t>
      </w:r>
      <w:r>
        <w:rPr>
          <w:color w:val="000080"/>
          <w:sz w:val="36"/>
        </w:rPr>
        <w:br/>
      </w:r>
      <w:r w:rsidRPr="00BA5984">
        <w:rPr>
          <w:color w:val="000080"/>
          <w:sz w:val="36"/>
        </w:rPr>
        <w:t>et des anglophones au Québec</w:t>
      </w:r>
    </w:p>
    <w:p w14:paraId="59ABF59C" w14:textId="77777777" w:rsidR="009A4910" w:rsidRPr="00E07116" w:rsidRDefault="009A4910" w:rsidP="009A4910">
      <w:pPr>
        <w:ind w:firstLine="0"/>
        <w:jc w:val="center"/>
      </w:pPr>
    </w:p>
    <w:p w14:paraId="34FA482D" w14:textId="77777777" w:rsidR="009A4910" w:rsidRPr="00E07116" w:rsidRDefault="00F80C06" w:rsidP="009A4910">
      <w:pPr>
        <w:ind w:firstLine="0"/>
        <w:jc w:val="center"/>
      </w:pPr>
      <w:r>
        <w:rPr>
          <w:noProof/>
        </w:rPr>
        <w:drawing>
          <wp:inline distT="0" distB="0" distL="0" distR="0" wp14:anchorId="6088D520" wp14:editId="7C6520FC">
            <wp:extent cx="3213100" cy="4699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0" cy="4699000"/>
                    </a:xfrm>
                    <a:prstGeom prst="rect">
                      <a:avLst/>
                    </a:prstGeom>
                    <a:noFill/>
                    <a:ln>
                      <a:noFill/>
                    </a:ln>
                  </pic:spPr>
                </pic:pic>
              </a:graphicData>
            </a:graphic>
          </wp:inline>
        </w:drawing>
      </w:r>
    </w:p>
    <w:p w14:paraId="00AFAC69" w14:textId="77777777" w:rsidR="009A4910" w:rsidRPr="00E07116" w:rsidRDefault="009A4910" w:rsidP="009A4910">
      <w:pPr>
        <w:jc w:val="both"/>
      </w:pPr>
    </w:p>
    <w:p w14:paraId="6E75E540" w14:textId="77777777" w:rsidR="009A4910" w:rsidRDefault="009A4910">
      <w:pPr>
        <w:jc w:val="both"/>
        <w:rPr>
          <w:sz w:val="24"/>
        </w:rPr>
      </w:pPr>
      <w:r>
        <w:t xml:space="preserve">In </w:t>
      </w:r>
      <w:r w:rsidRPr="002A59B5">
        <w:rPr>
          <w:i/>
        </w:rPr>
        <w:t>Revue d’aménagement linguistique</w:t>
      </w:r>
      <w:r>
        <w:t>, no Hors-série, Automne 2002, pp. 37-49.</w:t>
      </w:r>
    </w:p>
    <w:p w14:paraId="3BE8AF6E" w14:textId="77777777" w:rsidR="009A4910" w:rsidRPr="00E07116" w:rsidRDefault="009A4910" w:rsidP="009A4910">
      <w:pPr>
        <w:pStyle w:val="p"/>
      </w:pPr>
      <w:r w:rsidRPr="00E07116">
        <w:br w:type="page"/>
      </w:r>
      <w:r w:rsidRPr="00E07116">
        <w:lastRenderedPageBreak/>
        <w:t>[</w:t>
      </w:r>
      <w:r>
        <w:t>37</w:t>
      </w:r>
      <w:r w:rsidRPr="00E07116">
        <w:t>]</w:t>
      </w:r>
    </w:p>
    <w:p w14:paraId="689ED29E" w14:textId="77777777" w:rsidR="009A4910" w:rsidRPr="00E07116" w:rsidRDefault="009A4910" w:rsidP="009A4910">
      <w:pPr>
        <w:jc w:val="both"/>
      </w:pPr>
    </w:p>
    <w:p w14:paraId="3002F86D" w14:textId="77777777" w:rsidR="009A4910" w:rsidRPr="00E07116" w:rsidRDefault="009A4910" w:rsidP="009A4910">
      <w:pPr>
        <w:ind w:left="20"/>
        <w:jc w:val="both"/>
      </w:pPr>
    </w:p>
    <w:p w14:paraId="7D013F31" w14:textId="77777777" w:rsidR="009A4910" w:rsidRDefault="009A4910" w:rsidP="009A4910">
      <w:pPr>
        <w:ind w:firstLine="0"/>
        <w:jc w:val="center"/>
        <w:rPr>
          <w:b/>
          <w:sz w:val="36"/>
        </w:rPr>
      </w:pPr>
      <w:r>
        <w:rPr>
          <w:sz w:val="36"/>
        </w:rPr>
        <w:t>Denise Helly </w:t>
      </w:r>
      <w:r>
        <w:rPr>
          <w:rStyle w:val="Appelnotedebasdep"/>
        </w:rPr>
        <w:footnoteReference w:customMarkFollows="1" w:id="1"/>
        <w:t>*</w:t>
      </w:r>
    </w:p>
    <w:p w14:paraId="33E23396" w14:textId="77777777" w:rsidR="009A4910" w:rsidRDefault="009A4910" w:rsidP="009A4910">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14:paraId="07E1D3D8" w14:textId="77777777" w:rsidR="009A4910" w:rsidRPr="00E07116" w:rsidRDefault="009A4910" w:rsidP="009A4910">
      <w:pPr>
        <w:ind w:firstLine="0"/>
        <w:jc w:val="center"/>
      </w:pPr>
    </w:p>
    <w:p w14:paraId="7D88AA7B" w14:textId="77777777" w:rsidR="009A4910" w:rsidRPr="00E07116" w:rsidRDefault="009A4910" w:rsidP="009A4910">
      <w:pPr>
        <w:ind w:firstLine="0"/>
        <w:jc w:val="center"/>
      </w:pPr>
      <w:r w:rsidRPr="00BA5984">
        <w:rPr>
          <w:color w:val="000080"/>
          <w:sz w:val="36"/>
        </w:rPr>
        <w:t>La question linguistique</w:t>
      </w:r>
      <w:r>
        <w:rPr>
          <w:color w:val="000080"/>
          <w:sz w:val="36"/>
        </w:rPr>
        <w:br/>
      </w:r>
      <w:r w:rsidRPr="00BA5984">
        <w:rPr>
          <w:color w:val="000080"/>
          <w:sz w:val="36"/>
        </w:rPr>
        <w:t>et le statut des allophones</w:t>
      </w:r>
      <w:r>
        <w:rPr>
          <w:color w:val="000080"/>
          <w:sz w:val="36"/>
        </w:rPr>
        <w:br/>
      </w:r>
      <w:r w:rsidRPr="00BA5984">
        <w:rPr>
          <w:color w:val="000080"/>
          <w:sz w:val="36"/>
        </w:rPr>
        <w:t>et des anglophones au Québec</w:t>
      </w:r>
    </w:p>
    <w:p w14:paraId="7F01268B" w14:textId="77777777" w:rsidR="009A4910" w:rsidRPr="00E07116" w:rsidRDefault="009A4910" w:rsidP="009A4910">
      <w:pPr>
        <w:jc w:val="both"/>
      </w:pPr>
    </w:p>
    <w:p w14:paraId="6A30980E" w14:textId="77777777" w:rsidR="009A4910" w:rsidRPr="00E07116" w:rsidRDefault="009A4910">
      <w:pPr>
        <w:jc w:val="both"/>
      </w:pPr>
      <w:r>
        <w:t xml:space="preserve">In </w:t>
      </w:r>
      <w:r w:rsidRPr="002A59B5">
        <w:rPr>
          <w:i/>
        </w:rPr>
        <w:t>Revue d’aménagement linguistique</w:t>
      </w:r>
      <w:r>
        <w:t>, no Hors-série, Automne 2002, pp. 37-49.</w:t>
      </w:r>
    </w:p>
    <w:p w14:paraId="65465123" w14:textId="77777777" w:rsidR="009A4910" w:rsidRDefault="009A4910">
      <w:pPr>
        <w:jc w:val="both"/>
      </w:pPr>
    </w:p>
    <w:p w14:paraId="55A395D0" w14:textId="77777777" w:rsidR="009A4910" w:rsidRDefault="009A4910">
      <w:pPr>
        <w:jc w:val="both"/>
      </w:pPr>
    </w:p>
    <w:p w14:paraId="7FB72E31" w14:textId="77777777" w:rsidR="009A4910" w:rsidRDefault="009A4910" w:rsidP="009A4910">
      <w:pPr>
        <w:pStyle w:val="a"/>
      </w:pPr>
      <w:bookmarkStart w:id="0" w:name="Pourquoi_intro"/>
      <w:r>
        <w:t>Résumé</w:t>
      </w:r>
    </w:p>
    <w:bookmarkEnd w:id="0"/>
    <w:p w14:paraId="317401A4" w14:textId="77777777" w:rsidR="009A4910" w:rsidRDefault="009A4910" w:rsidP="009A4910">
      <w:pPr>
        <w:spacing w:before="120" w:after="120"/>
        <w:jc w:val="both"/>
      </w:pPr>
    </w:p>
    <w:p w14:paraId="4A6FC386" w14:textId="77777777" w:rsidR="009A4910" w:rsidRDefault="009A4910" w:rsidP="009A4910">
      <w:pPr>
        <w:spacing w:before="120" w:after="120"/>
        <w:jc w:val="both"/>
      </w:pPr>
      <w:r w:rsidRPr="00601E6E">
        <w:rPr>
          <w:lang w:eastAsia="fr-FR" w:bidi="fr-FR"/>
        </w:rPr>
        <w:t>La loi 101 visait à franciser la société civile au Québec et non si</w:t>
      </w:r>
      <w:r w:rsidRPr="00601E6E">
        <w:rPr>
          <w:lang w:eastAsia="fr-FR" w:bidi="fr-FR"/>
        </w:rPr>
        <w:t>m</w:t>
      </w:r>
      <w:r w:rsidRPr="00601E6E">
        <w:rPr>
          <w:lang w:eastAsia="fr-FR" w:bidi="fr-FR"/>
        </w:rPr>
        <w:t>plement à faire du français la langue des instances publiques et go</w:t>
      </w:r>
      <w:r w:rsidRPr="00601E6E">
        <w:rPr>
          <w:lang w:eastAsia="fr-FR" w:bidi="fr-FR"/>
        </w:rPr>
        <w:t>u</w:t>
      </w:r>
      <w:r w:rsidRPr="00601E6E">
        <w:rPr>
          <w:lang w:eastAsia="fr-FR" w:bidi="fr-FR"/>
        </w:rPr>
        <w:t>vernementales</w:t>
      </w:r>
      <w:r>
        <w:rPr>
          <w:lang w:eastAsia="fr-FR" w:bidi="fr-FR"/>
        </w:rPr>
        <w:t> ;</w:t>
      </w:r>
      <w:r w:rsidRPr="00601E6E">
        <w:rPr>
          <w:lang w:eastAsia="fr-FR" w:bidi="fr-FR"/>
        </w:rPr>
        <w:t xml:space="preserve"> elle avait pour but de transformer les rapports entre le français et l’anglais dans les domaines de la langue d’enseignement, des transactions commerciales et des milieux de travail. Cet objectif a été atteint selon les multiples études sur la connaissance et l’usage du français par les anglophones et les allophones de la province, nota</w:t>
      </w:r>
      <w:r w:rsidRPr="00601E6E">
        <w:rPr>
          <w:lang w:eastAsia="fr-FR" w:bidi="fr-FR"/>
        </w:rPr>
        <w:t>m</w:t>
      </w:r>
      <w:r w:rsidRPr="00601E6E">
        <w:rPr>
          <w:lang w:eastAsia="fr-FR" w:bidi="fr-FR"/>
        </w:rPr>
        <w:t>ment par les nouvelles générations de descendants d’immigrants s</w:t>
      </w:r>
      <w:r w:rsidRPr="00601E6E">
        <w:rPr>
          <w:lang w:eastAsia="fr-FR" w:bidi="fr-FR"/>
        </w:rPr>
        <w:t>o</w:t>
      </w:r>
      <w:r w:rsidRPr="00601E6E">
        <w:rPr>
          <w:lang w:eastAsia="fr-FR" w:bidi="fr-FR"/>
        </w:rPr>
        <w:t>cialisés au Québec. L’enquête du Conseil de la langue française (B</w:t>
      </w:r>
      <w:r w:rsidRPr="00601E6E">
        <w:rPr>
          <w:lang w:eastAsia="fr-FR" w:bidi="fr-FR"/>
        </w:rPr>
        <w:t>é</w:t>
      </w:r>
      <w:r w:rsidRPr="00601E6E">
        <w:rPr>
          <w:lang w:eastAsia="fr-FR" w:bidi="fr-FR"/>
        </w:rPr>
        <w:t>land, 1999) sur leur usage du français dans les sphères autres que la sphère privée confirme ce constat</w:t>
      </w:r>
      <w:r>
        <w:rPr>
          <w:lang w:eastAsia="fr-FR" w:bidi="fr-FR"/>
        </w:rPr>
        <w:t> :</w:t>
      </w:r>
      <w:r w:rsidRPr="00601E6E">
        <w:rPr>
          <w:lang w:eastAsia="fr-FR" w:bidi="fr-FR"/>
        </w:rPr>
        <w:t xml:space="preserve"> 77</w:t>
      </w:r>
      <w:r>
        <w:rPr>
          <w:lang w:eastAsia="fr-FR" w:bidi="fr-FR"/>
        </w:rPr>
        <w:t>%</w:t>
      </w:r>
      <w:r w:rsidRPr="00601E6E">
        <w:rPr>
          <w:lang w:eastAsia="fr-FR" w:bidi="fr-FR"/>
        </w:rPr>
        <w:t xml:space="preserve"> des immigrés parlent le fra</w:t>
      </w:r>
      <w:r w:rsidRPr="00601E6E">
        <w:rPr>
          <w:lang w:eastAsia="fr-FR" w:bidi="fr-FR"/>
        </w:rPr>
        <w:t>n</w:t>
      </w:r>
      <w:r w:rsidRPr="00601E6E">
        <w:rPr>
          <w:lang w:eastAsia="fr-FR" w:bidi="fr-FR"/>
        </w:rPr>
        <w:t>çais dans la sphère p</w:t>
      </w:r>
      <w:r w:rsidRPr="00601E6E">
        <w:rPr>
          <w:lang w:eastAsia="fr-FR" w:bidi="fr-FR"/>
        </w:rPr>
        <w:t>u</w:t>
      </w:r>
      <w:r w:rsidRPr="00601E6E">
        <w:rPr>
          <w:lang w:eastAsia="fr-FR" w:bidi="fr-FR"/>
        </w:rPr>
        <w:t>blique.</w:t>
      </w:r>
    </w:p>
    <w:p w14:paraId="3CACC871" w14:textId="77777777" w:rsidR="009A4910" w:rsidRDefault="009A4910" w:rsidP="009A4910">
      <w:pPr>
        <w:spacing w:before="120" w:after="120"/>
        <w:jc w:val="both"/>
      </w:pPr>
      <w:r w:rsidRPr="00601E6E">
        <w:rPr>
          <w:lang w:eastAsia="fr-FR" w:bidi="fr-FR"/>
        </w:rPr>
        <w:t>Les objectifs de la loi 101 impliquaient une double dissociation. Une dissociation entre une culture particulière et l’</w:t>
      </w:r>
      <w:r>
        <w:rPr>
          <w:lang w:eastAsia="fr-FR" w:bidi="fr-FR"/>
        </w:rPr>
        <w:t>État</w:t>
      </w:r>
      <w:r w:rsidRPr="00601E6E">
        <w:rPr>
          <w:lang w:eastAsia="fr-FR" w:bidi="fr-FR"/>
        </w:rPr>
        <w:t>, lequel d</w:t>
      </w:r>
      <w:r w:rsidRPr="00601E6E">
        <w:rPr>
          <w:lang w:eastAsia="fr-FR" w:bidi="fr-FR"/>
        </w:rPr>
        <w:t>e</w:t>
      </w:r>
      <w:r w:rsidRPr="00601E6E">
        <w:rPr>
          <w:lang w:eastAsia="fr-FR" w:bidi="fr-FR"/>
        </w:rPr>
        <w:t xml:space="preserve">vait se construire comme </w:t>
      </w:r>
      <w:r>
        <w:rPr>
          <w:lang w:eastAsia="fr-FR" w:bidi="fr-FR"/>
        </w:rPr>
        <w:t>État</w:t>
      </w:r>
      <w:r w:rsidRPr="00601E6E">
        <w:rPr>
          <w:lang w:eastAsia="fr-FR" w:bidi="fr-FR"/>
        </w:rPr>
        <w:t xml:space="preserve"> des résidents du territoire québ</w:t>
      </w:r>
      <w:r w:rsidRPr="00601E6E">
        <w:rPr>
          <w:lang w:eastAsia="fr-FR" w:bidi="fr-FR"/>
        </w:rPr>
        <w:t>é</w:t>
      </w:r>
      <w:r w:rsidRPr="00601E6E">
        <w:rPr>
          <w:lang w:eastAsia="fr-FR" w:bidi="fr-FR"/>
        </w:rPr>
        <w:t>cois</w:t>
      </w:r>
      <w:r>
        <w:rPr>
          <w:lang w:eastAsia="fr-FR" w:bidi="fr-FR"/>
        </w:rPr>
        <w:t> ;</w:t>
      </w:r>
      <w:r w:rsidRPr="00601E6E">
        <w:rPr>
          <w:lang w:eastAsia="fr-FR" w:bidi="fr-FR"/>
        </w:rPr>
        <w:t xml:space="preserve"> une dissociation entre langue et toute référence culturelle partic</w:t>
      </w:r>
      <w:r w:rsidRPr="00601E6E">
        <w:rPr>
          <w:lang w:eastAsia="fr-FR" w:bidi="fr-FR"/>
        </w:rPr>
        <w:t>u</w:t>
      </w:r>
      <w:r w:rsidRPr="00601E6E">
        <w:rPr>
          <w:lang w:eastAsia="fr-FR" w:bidi="fr-FR"/>
        </w:rPr>
        <w:t xml:space="preserve">lière qui </w:t>
      </w:r>
      <w:r w:rsidRPr="00601E6E">
        <w:rPr>
          <w:lang w:eastAsia="fr-FR" w:bidi="fr-FR"/>
        </w:rPr>
        <w:lastRenderedPageBreak/>
        <w:t>impliquait une définition du français comme outil de communication ne se référant à aucune des cultures particuli</w:t>
      </w:r>
      <w:r w:rsidRPr="00601E6E">
        <w:rPr>
          <w:lang w:eastAsia="fr-FR" w:bidi="fr-FR"/>
        </w:rPr>
        <w:t>è</w:t>
      </w:r>
      <w:r w:rsidRPr="00601E6E">
        <w:rPr>
          <w:lang w:eastAsia="fr-FR" w:bidi="fr-FR"/>
        </w:rPr>
        <w:t>res canadiennes-françaises, passées ou présentes. On ne saurait en e</w:t>
      </w:r>
      <w:r w:rsidRPr="00601E6E">
        <w:rPr>
          <w:lang w:eastAsia="fr-FR" w:bidi="fr-FR"/>
        </w:rPr>
        <w:t>f</w:t>
      </w:r>
      <w:r w:rsidRPr="00601E6E">
        <w:rPr>
          <w:lang w:eastAsia="fr-FR" w:bidi="fr-FR"/>
        </w:rPr>
        <w:t>fet penser que la société québécoise n’ait secrété qu’une forme culturelle au fil de son histoire et de l’époque contemporaine, et qu’il n’existe qu’une mani</w:t>
      </w:r>
      <w:r w:rsidRPr="00601E6E">
        <w:rPr>
          <w:lang w:eastAsia="fr-FR" w:bidi="fr-FR"/>
        </w:rPr>
        <w:t>è</w:t>
      </w:r>
      <w:r w:rsidRPr="00601E6E">
        <w:rPr>
          <w:lang w:eastAsia="fr-FR" w:bidi="fr-FR"/>
        </w:rPr>
        <w:t>re d’être Québécois.</w:t>
      </w:r>
    </w:p>
    <w:p w14:paraId="4B926BF2" w14:textId="77777777" w:rsidR="009A4910" w:rsidRDefault="009A4910" w:rsidP="009A4910">
      <w:pPr>
        <w:pStyle w:val="c"/>
      </w:pPr>
      <w:r>
        <w:t>_______________________</w:t>
      </w:r>
    </w:p>
    <w:p w14:paraId="4B43F509" w14:textId="77777777" w:rsidR="009A4910" w:rsidRDefault="009A4910" w:rsidP="009A4910">
      <w:pPr>
        <w:spacing w:before="120" w:after="120"/>
        <w:jc w:val="both"/>
      </w:pPr>
    </w:p>
    <w:p w14:paraId="091C371C" w14:textId="77777777" w:rsidR="009A4910" w:rsidRDefault="009A4910" w:rsidP="009A4910">
      <w:pPr>
        <w:spacing w:before="120" w:after="120"/>
        <w:jc w:val="both"/>
      </w:pPr>
      <w:r>
        <w:t>[38]</w:t>
      </w:r>
    </w:p>
    <w:p w14:paraId="1A7AE2AC" w14:textId="77777777" w:rsidR="009A4910" w:rsidRDefault="009A4910" w:rsidP="009A4910">
      <w:pPr>
        <w:spacing w:before="120" w:after="120"/>
        <w:jc w:val="both"/>
      </w:pPr>
      <w:r w:rsidRPr="00601E6E">
        <w:rPr>
          <w:lang w:eastAsia="fr-FR" w:bidi="fr-FR"/>
        </w:rPr>
        <w:t xml:space="preserve">Ces dissociations ne semblent pas acquises si Ton considère les débats qui resurgissent périodiquement à propos de la </w:t>
      </w:r>
      <w:r>
        <w:rPr>
          <w:lang w:eastAsia="fr-FR" w:bidi="fr-FR"/>
        </w:rPr>
        <w:t>« </w:t>
      </w:r>
      <w:r w:rsidRPr="00601E6E">
        <w:rPr>
          <w:lang w:eastAsia="fr-FR" w:bidi="fr-FR"/>
        </w:rPr>
        <w:t>menace</w:t>
      </w:r>
      <w:r>
        <w:rPr>
          <w:lang w:eastAsia="fr-FR" w:bidi="fr-FR"/>
        </w:rPr>
        <w:t> »</w:t>
      </w:r>
      <w:r w:rsidRPr="00601E6E">
        <w:rPr>
          <w:lang w:eastAsia="fr-FR" w:bidi="fr-FR"/>
        </w:rPr>
        <w:t xml:space="preserve"> li</w:t>
      </w:r>
      <w:r w:rsidRPr="00601E6E">
        <w:rPr>
          <w:lang w:eastAsia="fr-FR" w:bidi="fr-FR"/>
        </w:rPr>
        <w:t>n</w:t>
      </w:r>
      <w:r w:rsidRPr="00601E6E">
        <w:rPr>
          <w:lang w:eastAsia="fr-FR" w:bidi="fr-FR"/>
        </w:rPr>
        <w:t xml:space="preserve">guistique immigrée à Montréal, soit les transferts vers l’anglais par les immigrés, le vote </w:t>
      </w:r>
      <w:r>
        <w:rPr>
          <w:lang w:eastAsia="fr-FR" w:bidi="fr-FR"/>
        </w:rPr>
        <w:t>« </w:t>
      </w:r>
      <w:r w:rsidRPr="00601E6E">
        <w:rPr>
          <w:lang w:eastAsia="fr-FR" w:bidi="fr-FR"/>
        </w:rPr>
        <w:t>ethnique</w:t>
      </w:r>
      <w:r>
        <w:rPr>
          <w:lang w:eastAsia="fr-FR" w:bidi="fr-FR"/>
        </w:rPr>
        <w:t> »</w:t>
      </w:r>
      <w:r w:rsidRPr="00601E6E">
        <w:rPr>
          <w:lang w:eastAsia="fr-FR" w:bidi="fr-FR"/>
        </w:rPr>
        <w:t xml:space="preserve"> sur la question de la souveraineté pol</w:t>
      </w:r>
      <w:r w:rsidRPr="00601E6E">
        <w:rPr>
          <w:lang w:eastAsia="fr-FR" w:bidi="fr-FR"/>
        </w:rPr>
        <w:t>i</w:t>
      </w:r>
      <w:r w:rsidRPr="00601E6E">
        <w:rPr>
          <w:lang w:eastAsia="fr-FR" w:bidi="fr-FR"/>
        </w:rPr>
        <w:t>tique du Québec, et l’usage de leur langue maternelle par les angl</w:t>
      </w:r>
      <w:r w:rsidRPr="00601E6E">
        <w:rPr>
          <w:lang w:eastAsia="fr-FR" w:bidi="fr-FR"/>
        </w:rPr>
        <w:t>o</w:t>
      </w:r>
      <w:r w:rsidRPr="00601E6E">
        <w:rPr>
          <w:lang w:eastAsia="fr-FR" w:bidi="fr-FR"/>
        </w:rPr>
        <w:t>phones et les allophones.</w:t>
      </w:r>
    </w:p>
    <w:p w14:paraId="7756AE7B" w14:textId="77777777" w:rsidR="009A4910" w:rsidRDefault="009A4910" w:rsidP="009A4910">
      <w:pPr>
        <w:spacing w:before="120" w:after="120"/>
        <w:jc w:val="both"/>
      </w:pPr>
      <w:r w:rsidRPr="00601E6E">
        <w:rPr>
          <w:lang w:eastAsia="fr-FR" w:bidi="fr-FR"/>
        </w:rPr>
        <w:t>De ces trois arguments, le premier est inopérant pour une raison connue et relevant d’une myopie sociologique contrairement à ses prétentions scientifiques. La concentration des populations all</w:t>
      </w:r>
      <w:r w:rsidRPr="00601E6E">
        <w:rPr>
          <w:lang w:eastAsia="fr-FR" w:bidi="fr-FR"/>
        </w:rPr>
        <w:t>o</w:t>
      </w:r>
      <w:r w:rsidRPr="00601E6E">
        <w:rPr>
          <w:lang w:eastAsia="fr-FR" w:bidi="fr-FR"/>
        </w:rPr>
        <w:t>phones à Montréal ne peut fonder un constat défavorable à l’évolution dém</w:t>
      </w:r>
      <w:r w:rsidRPr="00601E6E">
        <w:rPr>
          <w:lang w:eastAsia="fr-FR" w:bidi="fr-FR"/>
        </w:rPr>
        <w:t>o</w:t>
      </w:r>
      <w:r w:rsidRPr="00601E6E">
        <w:rPr>
          <w:lang w:eastAsia="fr-FR" w:bidi="fr-FR"/>
        </w:rPr>
        <w:t>linguistique dans cette ville quand ne sont pas pris en compte les liens économiques étroits entre les différentes régions de l’aire métropol</w:t>
      </w:r>
      <w:r w:rsidRPr="00601E6E">
        <w:rPr>
          <w:lang w:eastAsia="fr-FR" w:bidi="fr-FR"/>
        </w:rPr>
        <w:t>i</w:t>
      </w:r>
      <w:r w:rsidRPr="00601E6E">
        <w:rPr>
          <w:lang w:eastAsia="fr-FR" w:bidi="fr-FR"/>
        </w:rPr>
        <w:t>taine. Ces liens, en dépit de l’étalement urbain et de la hausse du nombre de francophones dans les ba</w:t>
      </w:r>
      <w:r w:rsidRPr="00601E6E">
        <w:rPr>
          <w:lang w:eastAsia="fr-FR" w:bidi="fr-FR"/>
        </w:rPr>
        <w:t>n</w:t>
      </w:r>
      <w:r w:rsidRPr="00601E6E">
        <w:rPr>
          <w:lang w:eastAsia="fr-FR" w:bidi="fr-FR"/>
        </w:rPr>
        <w:t>lieues nord et sud, génèrent une forte présence de la main-d’œuvre francophone dans la municipalité de Montréal, fait favorable à l’usage du français dans le monde du travail et dans la sphère p</w:t>
      </w:r>
      <w:r w:rsidRPr="00601E6E">
        <w:rPr>
          <w:lang w:eastAsia="fr-FR" w:bidi="fr-FR"/>
        </w:rPr>
        <w:t>u</w:t>
      </w:r>
      <w:r w:rsidRPr="00601E6E">
        <w:rPr>
          <w:lang w:eastAsia="fr-FR" w:bidi="fr-FR"/>
        </w:rPr>
        <w:t>blique.</w:t>
      </w:r>
    </w:p>
    <w:p w14:paraId="5370A842" w14:textId="77777777" w:rsidR="009A4910" w:rsidRDefault="009A4910" w:rsidP="009A4910">
      <w:pPr>
        <w:spacing w:before="120" w:after="120"/>
        <w:jc w:val="both"/>
      </w:pPr>
      <w:r w:rsidRPr="00601E6E">
        <w:rPr>
          <w:lang w:eastAsia="fr-FR" w:bidi="fr-FR"/>
        </w:rPr>
        <w:t>La concentration de l’immigration à Montréal, sur laquelle r</w:t>
      </w:r>
      <w:r w:rsidRPr="00601E6E">
        <w:rPr>
          <w:lang w:eastAsia="fr-FR" w:bidi="fr-FR"/>
        </w:rPr>
        <w:t>e</w:t>
      </w:r>
      <w:r w:rsidRPr="00601E6E">
        <w:rPr>
          <w:lang w:eastAsia="fr-FR" w:bidi="fr-FR"/>
        </w:rPr>
        <w:t>pose cet argument, tient à des raisons économiques et sociales. L’absence historique de noyau immigré en dehors de Montréal qu’ont produite et reproduisent le non-recrutement d’immigrés dans les administrations publiques de tous niveaux, une faible acceptation sociale des imm</w:t>
      </w:r>
      <w:r w:rsidRPr="00601E6E">
        <w:rPr>
          <w:lang w:eastAsia="fr-FR" w:bidi="fr-FR"/>
        </w:rPr>
        <w:t>i</w:t>
      </w:r>
      <w:r w:rsidRPr="00601E6E">
        <w:rPr>
          <w:lang w:eastAsia="fr-FR" w:bidi="fr-FR"/>
        </w:rPr>
        <w:t>grés en région si ce n’est pour obtenir une main-d’œuvre peu coûte</w:t>
      </w:r>
      <w:r w:rsidRPr="00601E6E">
        <w:rPr>
          <w:lang w:eastAsia="fr-FR" w:bidi="fr-FR"/>
        </w:rPr>
        <w:t>u</w:t>
      </w:r>
      <w:r w:rsidRPr="00601E6E">
        <w:rPr>
          <w:lang w:eastAsia="fr-FR" w:bidi="fr-FR"/>
        </w:rPr>
        <w:t>se, des marchés de l’emploi réduits en région, ainsi que des progra</w:t>
      </w:r>
      <w:r w:rsidRPr="00601E6E">
        <w:rPr>
          <w:lang w:eastAsia="fr-FR" w:bidi="fr-FR"/>
        </w:rPr>
        <w:t>m</w:t>
      </w:r>
      <w:r w:rsidRPr="00601E6E">
        <w:rPr>
          <w:lang w:eastAsia="fr-FR" w:bidi="fr-FR"/>
        </w:rPr>
        <w:t>mes inefficaces de dispersion de l’immigration en dehors de Montréal ne facilitent pas une distrib</w:t>
      </w:r>
      <w:r w:rsidRPr="00601E6E">
        <w:rPr>
          <w:lang w:eastAsia="fr-FR" w:bidi="fr-FR"/>
        </w:rPr>
        <w:t>u</w:t>
      </w:r>
      <w:r w:rsidRPr="00601E6E">
        <w:rPr>
          <w:lang w:eastAsia="fr-FR" w:bidi="fr-FR"/>
        </w:rPr>
        <w:t>tion des immigrés dans l’ensemble du Québec. Les autorités polit</w:t>
      </w:r>
      <w:r w:rsidRPr="00601E6E">
        <w:rPr>
          <w:lang w:eastAsia="fr-FR" w:bidi="fr-FR"/>
        </w:rPr>
        <w:t>i</w:t>
      </w:r>
      <w:r w:rsidRPr="00601E6E">
        <w:rPr>
          <w:lang w:eastAsia="fr-FR" w:bidi="fr-FR"/>
        </w:rPr>
        <w:t xml:space="preserve">ques québécoises ont </w:t>
      </w:r>
      <w:r w:rsidRPr="00601E6E">
        <w:rPr>
          <w:lang w:eastAsia="fr-FR" w:bidi="fr-FR"/>
        </w:rPr>
        <w:lastRenderedPageBreak/>
        <w:t>néanmoins admis durant les années 1990 deux faits pouvant faciliter la dispersion de l’immigration et sa francisation</w:t>
      </w:r>
      <w:r>
        <w:rPr>
          <w:lang w:eastAsia="fr-FR" w:bidi="fr-FR"/>
        </w:rPr>
        <w:t> :</w:t>
      </w:r>
      <w:r w:rsidRPr="00601E6E">
        <w:rPr>
          <w:lang w:eastAsia="fr-FR" w:bidi="fr-FR"/>
        </w:rPr>
        <w:t xml:space="preserve"> le choix de quelques régions écon</w:t>
      </w:r>
      <w:r w:rsidRPr="00601E6E">
        <w:rPr>
          <w:lang w:eastAsia="fr-FR" w:bidi="fr-FR"/>
        </w:rPr>
        <w:t>o</w:t>
      </w:r>
      <w:r w:rsidRPr="00601E6E">
        <w:rPr>
          <w:lang w:eastAsia="fr-FR" w:bidi="fr-FR"/>
        </w:rPr>
        <w:t>miquement dynamiques, notamment Québec, Sherbrooke et la Mont</w:t>
      </w:r>
      <w:r w:rsidRPr="00601E6E">
        <w:rPr>
          <w:lang w:eastAsia="fr-FR" w:bidi="fr-FR"/>
        </w:rPr>
        <w:t>é</w:t>
      </w:r>
      <w:r w:rsidRPr="00601E6E">
        <w:rPr>
          <w:lang w:eastAsia="fr-FR" w:bidi="fr-FR"/>
        </w:rPr>
        <w:t>régie ainsi que l’implantation de noyaux minimaux de 50 à 100 pe</w:t>
      </w:r>
      <w:r w:rsidRPr="00601E6E">
        <w:rPr>
          <w:lang w:eastAsia="fr-FR" w:bidi="fr-FR"/>
        </w:rPr>
        <w:t>r</w:t>
      </w:r>
      <w:r w:rsidRPr="00601E6E">
        <w:rPr>
          <w:lang w:eastAsia="fr-FR" w:bidi="fr-FR"/>
        </w:rPr>
        <w:t>sonnes d’un même groupe ethnoculturel dans chaque zone d’établissement afin de faciliter la vie sociale des nouveaux arrivés.</w:t>
      </w:r>
    </w:p>
    <w:p w14:paraId="23F3C452" w14:textId="77777777" w:rsidR="009A4910" w:rsidRDefault="009A4910" w:rsidP="009A4910">
      <w:pPr>
        <w:spacing w:before="120" w:after="120"/>
        <w:jc w:val="both"/>
        <w:rPr>
          <w:lang w:eastAsia="fr-FR" w:bidi="fr-FR"/>
        </w:rPr>
      </w:pPr>
      <w:r w:rsidRPr="00601E6E">
        <w:rPr>
          <w:lang w:eastAsia="fr-FR" w:bidi="fr-FR"/>
        </w:rPr>
        <w:t>Aussi, si la concentration de l’immigration à Montréal est consid</w:t>
      </w:r>
      <w:r w:rsidRPr="00601E6E">
        <w:rPr>
          <w:lang w:eastAsia="fr-FR" w:bidi="fr-FR"/>
        </w:rPr>
        <w:t>é</w:t>
      </w:r>
      <w:r w:rsidRPr="00601E6E">
        <w:rPr>
          <w:lang w:eastAsia="fr-FR" w:bidi="fr-FR"/>
        </w:rPr>
        <w:t>rée par certains comme un fait nocif à la francisation de la société c</w:t>
      </w:r>
      <w:r w:rsidRPr="00601E6E">
        <w:rPr>
          <w:lang w:eastAsia="fr-FR" w:bidi="fr-FR"/>
        </w:rPr>
        <w:t>i</w:t>
      </w:r>
      <w:r w:rsidRPr="00601E6E">
        <w:rPr>
          <w:lang w:eastAsia="fr-FR" w:bidi="fr-FR"/>
        </w:rPr>
        <w:t>vile québécoise, faut-il débattre des conditions sociales et économ</w:t>
      </w:r>
      <w:r w:rsidRPr="00601E6E">
        <w:rPr>
          <w:lang w:eastAsia="fr-FR" w:bidi="fr-FR"/>
        </w:rPr>
        <w:t>i</w:t>
      </w:r>
      <w:r w:rsidRPr="00601E6E">
        <w:rPr>
          <w:lang w:eastAsia="fr-FR" w:bidi="fr-FR"/>
        </w:rPr>
        <w:t>ques qui la génèrent plutôt que lancer un anathème sur les immigrés montréalais, ou encore demander une réduction drac</w:t>
      </w:r>
      <w:r w:rsidRPr="00601E6E">
        <w:rPr>
          <w:lang w:eastAsia="fr-FR" w:bidi="fr-FR"/>
        </w:rPr>
        <w:t>o</w:t>
      </w:r>
      <w:r w:rsidRPr="00601E6E">
        <w:rPr>
          <w:lang w:eastAsia="fr-FR" w:bidi="fr-FR"/>
        </w:rPr>
        <w:t>nienne de l’immigration ou une sélection d’immigrés francophones uniquement. L’immigration est une nécessité démographique et, moindrement, économique, incontournable pour le Québec dans le contexte nord-américain, et les bassins de flux migratoires franc</w:t>
      </w:r>
      <w:r w:rsidRPr="00601E6E">
        <w:rPr>
          <w:lang w:eastAsia="fr-FR" w:bidi="fr-FR"/>
        </w:rPr>
        <w:t>o</w:t>
      </w:r>
      <w:r w:rsidRPr="00601E6E">
        <w:rPr>
          <w:lang w:eastAsia="fr-FR" w:bidi="fr-FR"/>
        </w:rPr>
        <w:t>phones dans le monde sont plus que limités. On ne peut pas plus souhaiter une sol</w:t>
      </w:r>
      <w:r w:rsidRPr="00601E6E">
        <w:rPr>
          <w:lang w:eastAsia="fr-FR" w:bidi="fr-FR"/>
        </w:rPr>
        <w:t>u</w:t>
      </w:r>
      <w:r w:rsidRPr="00601E6E">
        <w:rPr>
          <w:lang w:eastAsia="fr-FR" w:bidi="fr-FR"/>
        </w:rPr>
        <w:t>tion autoritaire comme limiter le droit de libre circulation des imm</w:t>
      </w:r>
      <w:r w:rsidRPr="00601E6E">
        <w:rPr>
          <w:lang w:eastAsia="fr-FR" w:bidi="fr-FR"/>
        </w:rPr>
        <w:t>i</w:t>
      </w:r>
      <w:r w:rsidRPr="00601E6E">
        <w:rPr>
          <w:lang w:eastAsia="fr-FR" w:bidi="fr-FR"/>
        </w:rPr>
        <w:t>grés durant leurs premières années d’installation au Québec, ni insister sur des aspects de la loi 101 sans effets notables sur la francisation de la société provinciale. Toute discussion sur les dérogations à la loi 101 et le millimétrage des panneaux commerciaux est à ce titre futile, et une discussion sur la langue de travail est plus utile et plus difficile vu l’exportation d’une large part de la production québécoise vers des marchés nord-américains et internationaux.</w:t>
      </w:r>
    </w:p>
    <w:p w14:paraId="59BF372F" w14:textId="77777777" w:rsidR="009A4910" w:rsidRDefault="009A4910" w:rsidP="009A4910">
      <w:pPr>
        <w:spacing w:before="120" w:after="120"/>
        <w:jc w:val="both"/>
      </w:pPr>
      <w:r>
        <w:t>[39]</w:t>
      </w:r>
    </w:p>
    <w:p w14:paraId="17B4E529" w14:textId="77777777" w:rsidR="009A4910" w:rsidRDefault="009A4910" w:rsidP="009A4910">
      <w:pPr>
        <w:spacing w:before="120" w:after="120"/>
        <w:jc w:val="both"/>
      </w:pPr>
      <w:r w:rsidRPr="00601E6E">
        <w:rPr>
          <w:lang w:eastAsia="fr-FR" w:bidi="fr-FR"/>
        </w:rPr>
        <w:t>Ne pas tenir compte des contextes locaux et internationaux de l’immigration et de la francisation au Québec sert un propos</w:t>
      </w:r>
      <w:r>
        <w:rPr>
          <w:lang w:eastAsia="fr-FR" w:bidi="fr-FR"/>
        </w:rPr>
        <w:t> :</w:t>
      </w:r>
      <w:r w:rsidRPr="00601E6E">
        <w:rPr>
          <w:lang w:eastAsia="fr-FR" w:bidi="fr-FR"/>
        </w:rPr>
        <w:t xml:space="preserve"> ref</w:t>
      </w:r>
      <w:r w:rsidRPr="00601E6E">
        <w:rPr>
          <w:lang w:eastAsia="fr-FR" w:bidi="fr-FR"/>
        </w:rPr>
        <w:t>u</w:t>
      </w:r>
      <w:r w:rsidRPr="00601E6E">
        <w:rPr>
          <w:lang w:eastAsia="fr-FR" w:bidi="fr-FR"/>
        </w:rPr>
        <w:t>ser un statut d’égaux aux allophones et anglophones, immigrés et natifs. Ce propos est présent dans les deux autres arguments cités ci-dessus. Considérer un vote contre la souveraineté comme illégitime est ant</w:t>
      </w:r>
      <w:r w:rsidRPr="00601E6E">
        <w:rPr>
          <w:lang w:eastAsia="fr-FR" w:bidi="fr-FR"/>
        </w:rPr>
        <w:t>i</w:t>
      </w:r>
      <w:r w:rsidRPr="00601E6E">
        <w:rPr>
          <w:lang w:eastAsia="fr-FR" w:bidi="fr-FR"/>
        </w:rPr>
        <w:t>démocratique et révèle une définition de ce qu’est un Québécois. Quand il est dit que le vote référendaire des allophones et des angl</w:t>
      </w:r>
      <w:r w:rsidRPr="00601E6E">
        <w:rPr>
          <w:lang w:eastAsia="fr-FR" w:bidi="fr-FR"/>
        </w:rPr>
        <w:t>o</w:t>
      </w:r>
      <w:r w:rsidRPr="00601E6E">
        <w:rPr>
          <w:lang w:eastAsia="fr-FR" w:bidi="fr-FR"/>
        </w:rPr>
        <w:t xml:space="preserve">phones est </w:t>
      </w:r>
      <w:r>
        <w:rPr>
          <w:lang w:eastAsia="fr-FR" w:bidi="fr-FR"/>
        </w:rPr>
        <w:t>« </w:t>
      </w:r>
      <w:r w:rsidRPr="00601E6E">
        <w:rPr>
          <w:lang w:eastAsia="fr-FR" w:bidi="fr-FR"/>
        </w:rPr>
        <w:t>ethnique</w:t>
      </w:r>
      <w:r>
        <w:rPr>
          <w:lang w:eastAsia="fr-FR" w:bidi="fr-FR"/>
        </w:rPr>
        <w:t> »</w:t>
      </w:r>
      <w:r w:rsidRPr="00601E6E">
        <w:rPr>
          <w:lang w:eastAsia="fr-FR" w:bidi="fr-FR"/>
        </w:rPr>
        <w:t>, on ne peut que remarquer que les votes féd</w:t>
      </w:r>
      <w:r w:rsidRPr="00601E6E">
        <w:rPr>
          <w:lang w:eastAsia="fr-FR" w:bidi="fr-FR"/>
        </w:rPr>
        <w:t>é</w:t>
      </w:r>
      <w:r w:rsidRPr="00601E6E">
        <w:rPr>
          <w:lang w:eastAsia="fr-FR" w:bidi="fr-FR"/>
        </w:rPr>
        <w:t>raliste et sécessionniste de descendants de Canadiens français ne r</w:t>
      </w:r>
      <w:r w:rsidRPr="00601E6E">
        <w:rPr>
          <w:lang w:eastAsia="fr-FR" w:bidi="fr-FR"/>
        </w:rPr>
        <w:t>e</w:t>
      </w:r>
      <w:r w:rsidRPr="00601E6E">
        <w:rPr>
          <w:lang w:eastAsia="fr-FR" w:bidi="fr-FR"/>
        </w:rPr>
        <w:t>cueillent jamais cette qualification, comme si la s</w:t>
      </w:r>
      <w:r w:rsidRPr="00601E6E">
        <w:rPr>
          <w:lang w:eastAsia="fr-FR" w:bidi="fr-FR"/>
        </w:rPr>
        <w:t>o</w:t>
      </w:r>
      <w:r w:rsidRPr="00601E6E">
        <w:rPr>
          <w:lang w:eastAsia="fr-FR" w:bidi="fr-FR"/>
        </w:rPr>
        <w:t>ciété provinciale était composée d’individus aux origines légitimes et d’autres aux or</w:t>
      </w:r>
      <w:r w:rsidRPr="00601E6E">
        <w:rPr>
          <w:lang w:eastAsia="fr-FR" w:bidi="fr-FR"/>
        </w:rPr>
        <w:t>i</w:t>
      </w:r>
      <w:r w:rsidRPr="00601E6E">
        <w:rPr>
          <w:lang w:eastAsia="fr-FR" w:bidi="fr-FR"/>
        </w:rPr>
        <w:lastRenderedPageBreak/>
        <w:t>gines impures, à tout jamais étrangères. Le Québec serait donc esse</w:t>
      </w:r>
      <w:r w:rsidRPr="00601E6E">
        <w:rPr>
          <w:lang w:eastAsia="fr-FR" w:bidi="fr-FR"/>
        </w:rPr>
        <w:t>n</w:t>
      </w:r>
      <w:r w:rsidRPr="00601E6E">
        <w:rPr>
          <w:lang w:eastAsia="fr-FR" w:bidi="fr-FR"/>
        </w:rPr>
        <w:t>tiellement canadien-français.</w:t>
      </w:r>
    </w:p>
    <w:p w14:paraId="11C81CA1" w14:textId="77777777" w:rsidR="009A4910" w:rsidRDefault="009A4910" w:rsidP="009A4910">
      <w:pPr>
        <w:spacing w:before="120" w:after="120"/>
        <w:jc w:val="both"/>
      </w:pPr>
      <w:r w:rsidRPr="00601E6E">
        <w:rPr>
          <w:lang w:eastAsia="fr-FR" w:bidi="fr-FR"/>
        </w:rPr>
        <w:t>Quant à l’interprétation de l’usage d’une langue maternelle a</w:t>
      </w:r>
      <w:r w:rsidRPr="00601E6E">
        <w:rPr>
          <w:lang w:eastAsia="fr-FR" w:bidi="fr-FR"/>
        </w:rPr>
        <w:t>u</w:t>
      </w:r>
      <w:r w:rsidRPr="00601E6E">
        <w:rPr>
          <w:lang w:eastAsia="fr-FR" w:bidi="fr-FR"/>
        </w:rPr>
        <w:t>tre que le français dans la sphère privée</w:t>
      </w:r>
      <w:r>
        <w:rPr>
          <w:lang w:eastAsia="fr-FR" w:bidi="fr-FR"/>
        </w:rPr>
        <w:t> </w:t>
      </w:r>
      <w:r>
        <w:rPr>
          <w:rStyle w:val="Appelnotedebasdep"/>
          <w:lang w:eastAsia="fr-FR" w:bidi="fr-FR"/>
        </w:rPr>
        <w:footnoteReference w:id="2"/>
      </w:r>
      <w:r w:rsidRPr="00601E6E">
        <w:rPr>
          <w:lang w:eastAsia="fr-FR" w:bidi="fr-FR"/>
        </w:rPr>
        <w:t xml:space="preserve"> comme une indifférence, sinon une hostilité à l’égard non seulement de la primauté du français vo</w:t>
      </w:r>
      <w:r w:rsidRPr="00601E6E">
        <w:rPr>
          <w:lang w:eastAsia="fr-FR" w:bidi="fr-FR"/>
        </w:rPr>
        <w:t>u</w:t>
      </w:r>
      <w:r w:rsidRPr="00601E6E">
        <w:rPr>
          <w:lang w:eastAsia="fr-FR" w:bidi="fr-FR"/>
        </w:rPr>
        <w:t xml:space="preserve">lue par la loi 101, mais aussi de la </w:t>
      </w:r>
      <w:r>
        <w:rPr>
          <w:lang w:eastAsia="fr-FR" w:bidi="fr-FR"/>
        </w:rPr>
        <w:t>« culture franco-</w:t>
      </w:r>
      <w:r w:rsidRPr="00601E6E">
        <w:rPr>
          <w:lang w:eastAsia="fr-FR" w:bidi="fr-FR"/>
        </w:rPr>
        <w:t>québ</w:t>
      </w:r>
      <w:r w:rsidRPr="00601E6E">
        <w:rPr>
          <w:lang w:eastAsia="fr-FR" w:bidi="fr-FR"/>
        </w:rPr>
        <w:t>é</w:t>
      </w:r>
      <w:r w:rsidRPr="00601E6E">
        <w:rPr>
          <w:lang w:eastAsia="fr-FR" w:bidi="fr-FR"/>
        </w:rPr>
        <w:t>coise</w:t>
      </w:r>
      <w:r>
        <w:rPr>
          <w:lang w:eastAsia="fr-FR" w:bidi="fr-FR"/>
        </w:rPr>
        <w:t> »</w:t>
      </w:r>
      <w:r w:rsidRPr="00601E6E">
        <w:rPr>
          <w:lang w:eastAsia="fr-FR" w:bidi="fr-FR"/>
        </w:rPr>
        <w:t>, elle dénote un non-respect du droit à la vie privée, ignore les fondements sociologiques et psychologiques de cet usage et ostracisé une pratique privée non suivie par le groupe majoritaire. Ce faisant, ce groupe est érigé en seul détenteur de la définition de ce qu’est un Québécois et cette tentative d’imposer une forme culturelle du Québec comme se</w:t>
      </w:r>
      <w:r w:rsidRPr="00601E6E">
        <w:rPr>
          <w:lang w:eastAsia="fr-FR" w:bidi="fr-FR"/>
        </w:rPr>
        <w:t>u</w:t>
      </w:r>
      <w:r w:rsidRPr="00601E6E">
        <w:rPr>
          <w:lang w:eastAsia="fr-FR" w:bidi="fr-FR"/>
        </w:rPr>
        <w:t>le réelle et légitime convoie le même propos de refuser un statut d’égal aux personnes d’autres origines. En fait, elle réifie une identif</w:t>
      </w:r>
      <w:r w:rsidRPr="00601E6E">
        <w:rPr>
          <w:lang w:eastAsia="fr-FR" w:bidi="fr-FR"/>
        </w:rPr>
        <w:t>i</w:t>
      </w:r>
      <w:r w:rsidRPr="00601E6E">
        <w:rPr>
          <w:lang w:eastAsia="fr-FR" w:bidi="fr-FR"/>
        </w:rPr>
        <w:t>cation québécoise à des fins politiques. Sur ce point, il faut rappeler que la loi 101 n’avait nu</w:t>
      </w:r>
      <w:r w:rsidRPr="00601E6E">
        <w:rPr>
          <w:lang w:eastAsia="fr-FR" w:bidi="fr-FR"/>
        </w:rPr>
        <w:t>l</w:t>
      </w:r>
      <w:r w:rsidRPr="00601E6E">
        <w:rPr>
          <w:lang w:eastAsia="fr-FR" w:bidi="fr-FR"/>
        </w:rPr>
        <w:t>lement pour but de faire de la langue parlée à la maison un indic</w:t>
      </w:r>
      <w:r w:rsidRPr="00601E6E">
        <w:rPr>
          <w:lang w:eastAsia="fr-FR" w:bidi="fr-FR"/>
        </w:rPr>
        <w:t>a</w:t>
      </w:r>
      <w:r w:rsidRPr="00601E6E">
        <w:rPr>
          <w:lang w:eastAsia="fr-FR" w:bidi="fr-FR"/>
        </w:rPr>
        <w:t>teur d’acceptation de la francophonie au Québec. Par ailleurs, il semblerait que le multilinguisme fonctionnel immigré constituerait un atout culturel et économique à exploiter et à laisser fleurir plutôt qu’à condamner.</w:t>
      </w:r>
    </w:p>
    <w:p w14:paraId="44FF11F2" w14:textId="77777777" w:rsidR="009A4910" w:rsidRDefault="009A4910" w:rsidP="009A4910">
      <w:pPr>
        <w:spacing w:before="120" w:after="120"/>
        <w:jc w:val="both"/>
      </w:pPr>
      <w:r w:rsidRPr="00601E6E">
        <w:rPr>
          <w:lang w:eastAsia="fr-FR" w:bidi="fr-FR"/>
        </w:rPr>
        <w:t>Cette volonté de réduire le Québec à l’une de ses expressions culturelles constitue l’écueil principal du débat sur la francisation des dits ethniques. S’identifier comme Québécois peut pourtant prendre des formes différentes.</w:t>
      </w:r>
    </w:p>
    <w:p w14:paraId="0860595E" w14:textId="77777777" w:rsidR="009A4910" w:rsidRDefault="009A4910" w:rsidP="009A4910">
      <w:pPr>
        <w:spacing w:before="120" w:after="120"/>
        <w:jc w:val="both"/>
      </w:pPr>
      <w:r w:rsidRPr="00601E6E">
        <w:rPr>
          <w:lang w:eastAsia="fr-FR" w:bidi="fr-FR"/>
        </w:rPr>
        <w:t>Il existe en système démocratique plusieurs manières d’être lié à une société ou de développer un sens d’appartenance à l’égard de ce</w:t>
      </w:r>
      <w:r w:rsidRPr="00601E6E">
        <w:rPr>
          <w:lang w:eastAsia="fr-FR" w:bidi="fr-FR"/>
        </w:rPr>
        <w:t>l</w:t>
      </w:r>
      <w:r w:rsidRPr="00601E6E">
        <w:rPr>
          <w:lang w:eastAsia="fr-FR" w:bidi="fr-FR"/>
        </w:rPr>
        <w:t>le-ci. Schématiquement parlant, quatre principaux types de lien sont possibles et peuvent se combiner le plus souvent</w:t>
      </w:r>
      <w:r>
        <w:rPr>
          <w:lang w:eastAsia="fr-FR" w:bidi="fr-FR"/>
        </w:rPr>
        <w:t> :</w:t>
      </w:r>
    </w:p>
    <w:p w14:paraId="73512690" w14:textId="77777777" w:rsidR="009A4910" w:rsidRDefault="009A4910" w:rsidP="009A4910">
      <w:pPr>
        <w:spacing w:before="120" w:after="120"/>
        <w:jc w:val="both"/>
        <w:rPr>
          <w:lang w:eastAsia="fr-FR" w:bidi="fr-FR"/>
        </w:rPr>
      </w:pPr>
    </w:p>
    <w:p w14:paraId="0B416418" w14:textId="77777777" w:rsidR="009A4910" w:rsidRDefault="009A4910" w:rsidP="009A4910">
      <w:pPr>
        <w:spacing w:before="120" w:after="120"/>
        <w:ind w:left="720" w:hanging="360"/>
        <w:jc w:val="both"/>
      </w:pPr>
      <w:r>
        <w:rPr>
          <w:lang w:eastAsia="fr-FR" w:bidi="fr-FR"/>
        </w:rPr>
        <w:t>a)</w:t>
      </w:r>
      <w:r>
        <w:rPr>
          <w:lang w:eastAsia="fr-FR" w:bidi="fr-FR"/>
        </w:rPr>
        <w:tab/>
      </w:r>
      <w:r w:rsidRPr="00601E6E">
        <w:rPr>
          <w:lang w:eastAsia="fr-FR" w:bidi="fr-FR"/>
        </w:rPr>
        <w:t>le lien citoyen, juridico-politique, souvent encore considéré comme le fondement premier du lien collectif en système d</w:t>
      </w:r>
      <w:r w:rsidRPr="00601E6E">
        <w:rPr>
          <w:lang w:eastAsia="fr-FR" w:bidi="fr-FR"/>
        </w:rPr>
        <w:t>é</w:t>
      </w:r>
      <w:r w:rsidRPr="00601E6E">
        <w:rPr>
          <w:lang w:eastAsia="fr-FR" w:bidi="fr-FR"/>
        </w:rPr>
        <w:t>mocrat</w:t>
      </w:r>
      <w:r w:rsidRPr="00601E6E">
        <w:rPr>
          <w:lang w:eastAsia="fr-FR" w:bidi="fr-FR"/>
        </w:rPr>
        <w:t>i</w:t>
      </w:r>
      <w:r w:rsidRPr="00601E6E">
        <w:rPr>
          <w:lang w:eastAsia="fr-FR" w:bidi="fr-FR"/>
        </w:rPr>
        <w:t>que moderne. Etre lié à une société signifie dans ce cas participer de l’</w:t>
      </w:r>
      <w:r>
        <w:rPr>
          <w:lang w:eastAsia="fr-FR" w:bidi="fr-FR"/>
        </w:rPr>
        <w:t>État</w:t>
      </w:r>
      <w:r w:rsidRPr="00601E6E">
        <w:rPr>
          <w:lang w:eastAsia="fr-FR" w:bidi="fr-FR"/>
        </w:rPr>
        <w:t>, instance de représentation de tous et insta</w:t>
      </w:r>
      <w:r w:rsidRPr="00601E6E">
        <w:rPr>
          <w:lang w:eastAsia="fr-FR" w:bidi="fr-FR"/>
        </w:rPr>
        <w:t>n</w:t>
      </w:r>
      <w:r w:rsidRPr="00601E6E">
        <w:rPr>
          <w:lang w:eastAsia="fr-FR" w:bidi="fr-FR"/>
        </w:rPr>
        <w:t>ce de protection de l’égalité des droits politiques et des liber</w:t>
      </w:r>
      <w:r w:rsidRPr="00601E6E">
        <w:rPr>
          <w:lang w:eastAsia="fr-FR" w:bidi="fr-FR"/>
        </w:rPr>
        <w:lastRenderedPageBreak/>
        <w:t>tés de ch</w:t>
      </w:r>
      <w:r w:rsidRPr="00601E6E">
        <w:rPr>
          <w:lang w:eastAsia="fr-FR" w:bidi="fr-FR"/>
        </w:rPr>
        <w:t>a</w:t>
      </w:r>
      <w:r w:rsidRPr="00601E6E">
        <w:rPr>
          <w:lang w:eastAsia="fr-FR" w:bidi="fr-FR"/>
        </w:rPr>
        <w:t xml:space="preserve">cun, et chaque </w:t>
      </w:r>
      <w:r>
        <w:rPr>
          <w:lang w:eastAsia="fr-FR" w:bidi="fr-FR"/>
        </w:rPr>
        <w:t>État</w:t>
      </w:r>
      <w:r w:rsidRPr="00601E6E">
        <w:rPr>
          <w:lang w:eastAsia="fr-FR" w:bidi="fr-FR"/>
        </w:rPr>
        <w:t xml:space="preserve"> peut être jugé selon les particularités de ses régimes politique, juridique et jud</w:t>
      </w:r>
      <w:r w:rsidRPr="00601E6E">
        <w:rPr>
          <w:lang w:eastAsia="fr-FR" w:bidi="fr-FR"/>
        </w:rPr>
        <w:t>i</w:t>
      </w:r>
      <w:r w:rsidRPr="00601E6E">
        <w:rPr>
          <w:lang w:eastAsia="fr-FR" w:bidi="fr-FR"/>
        </w:rPr>
        <w:t>ciaire</w:t>
      </w:r>
      <w:r>
        <w:rPr>
          <w:lang w:eastAsia="fr-FR" w:bidi="fr-FR"/>
        </w:rPr>
        <w:t> ;</w:t>
      </w:r>
    </w:p>
    <w:p w14:paraId="66A990E8" w14:textId="77777777" w:rsidR="009A4910" w:rsidRDefault="009A4910" w:rsidP="009A4910">
      <w:pPr>
        <w:spacing w:before="120" w:after="120"/>
        <w:ind w:left="720" w:hanging="360"/>
        <w:jc w:val="both"/>
      </w:pPr>
      <w:r>
        <w:t>b)</w:t>
      </w:r>
      <w:r>
        <w:tab/>
      </w:r>
      <w:r w:rsidRPr="00601E6E">
        <w:rPr>
          <w:lang w:eastAsia="fr-FR" w:bidi="fr-FR"/>
        </w:rPr>
        <w:t>le lien civil ou l’appréciation de la nature des relations sociales et de la qualité de vie au sein d’une société civile</w:t>
      </w:r>
      <w:r>
        <w:rPr>
          <w:lang w:eastAsia="fr-FR" w:bidi="fr-FR"/>
        </w:rPr>
        <w:t> </w:t>
      </w:r>
      <w:r>
        <w:rPr>
          <w:rStyle w:val="Appelnotedebasdep"/>
          <w:lang w:eastAsia="fr-FR" w:bidi="fr-FR"/>
        </w:rPr>
        <w:footnoteReference w:id="3"/>
      </w:r>
      <w:r w:rsidRPr="00601E6E">
        <w:rPr>
          <w:lang w:eastAsia="fr-FR" w:bidi="fr-FR"/>
        </w:rPr>
        <w:t>. Ces caractérist</w:t>
      </w:r>
      <w:r w:rsidRPr="00601E6E">
        <w:rPr>
          <w:lang w:eastAsia="fr-FR" w:bidi="fr-FR"/>
        </w:rPr>
        <w:t>i</w:t>
      </w:r>
      <w:r w:rsidRPr="00601E6E">
        <w:rPr>
          <w:lang w:eastAsia="fr-FR" w:bidi="fr-FR"/>
        </w:rPr>
        <w:t>ques, propres à chaque société, sont en partie codifiées par l’action étatique et législative, mais elles dépendent aussi de</w:t>
      </w:r>
      <w:r>
        <w:rPr>
          <w:lang w:eastAsia="fr-FR" w:bidi="fr-FR"/>
        </w:rPr>
        <w:t xml:space="preserve"> </w:t>
      </w:r>
      <w:r>
        <w:t xml:space="preserve">[40] </w:t>
      </w:r>
      <w:r w:rsidRPr="00601E6E">
        <w:rPr>
          <w:lang w:eastAsia="fr-FR" w:bidi="fr-FR"/>
        </w:rPr>
        <w:t>situations, d’attitudes et de comportements façonnés par l’histoire de la constitution de la société civile et des rapports en son sein entre les catégories sociales, que celles-ci soient cult</w:t>
      </w:r>
      <w:r w:rsidRPr="00601E6E">
        <w:rPr>
          <w:lang w:eastAsia="fr-FR" w:bidi="fr-FR"/>
        </w:rPr>
        <w:t>u</w:t>
      </w:r>
      <w:r w:rsidRPr="00601E6E">
        <w:rPr>
          <w:lang w:eastAsia="fr-FR" w:bidi="fr-FR"/>
        </w:rPr>
        <w:t>re</w:t>
      </w:r>
      <w:r w:rsidRPr="00601E6E">
        <w:rPr>
          <w:lang w:eastAsia="fr-FR" w:bidi="fr-FR"/>
        </w:rPr>
        <w:t>l</w:t>
      </w:r>
      <w:r w:rsidRPr="00601E6E">
        <w:rPr>
          <w:lang w:eastAsia="fr-FR" w:bidi="fr-FR"/>
        </w:rPr>
        <w:t xml:space="preserve">les, linguistiques ou socioéconomiques. Concernant par exemple les minorités immigrées, tous les pays de </w:t>
      </w:r>
      <w:r w:rsidRPr="00601E6E">
        <w:t xml:space="preserve">l’OCDE </w:t>
      </w:r>
      <w:r w:rsidRPr="00601E6E">
        <w:rPr>
          <w:lang w:eastAsia="fr-FR" w:bidi="fr-FR"/>
        </w:rPr>
        <w:t>d</w:t>
      </w:r>
      <w:r w:rsidRPr="00601E6E">
        <w:rPr>
          <w:lang w:eastAsia="fr-FR" w:bidi="fr-FR"/>
        </w:rPr>
        <w:t>é</w:t>
      </w:r>
      <w:r w:rsidRPr="00601E6E">
        <w:rPr>
          <w:lang w:eastAsia="fr-FR" w:bidi="fr-FR"/>
        </w:rPr>
        <w:t>tiennent une législation antidiscriminato</w:t>
      </w:r>
      <w:r w:rsidRPr="00601E6E">
        <w:rPr>
          <w:lang w:eastAsia="fr-FR" w:bidi="fr-FR"/>
        </w:rPr>
        <w:t>i</w:t>
      </w:r>
      <w:r w:rsidRPr="00601E6E">
        <w:rPr>
          <w:lang w:eastAsia="fr-FR" w:bidi="fr-FR"/>
        </w:rPr>
        <w:t>re, mais le racisme et la xénophobie y montrent une teneur et des expressions fort di</w:t>
      </w:r>
      <w:r w:rsidRPr="00601E6E">
        <w:rPr>
          <w:lang w:eastAsia="fr-FR" w:bidi="fr-FR"/>
        </w:rPr>
        <w:t>f</w:t>
      </w:r>
      <w:r w:rsidRPr="00601E6E">
        <w:rPr>
          <w:lang w:eastAsia="fr-FR" w:bidi="fr-FR"/>
        </w:rPr>
        <w:t>férentes au sein des sociétés civiles de ces pays</w:t>
      </w:r>
      <w:r>
        <w:rPr>
          <w:lang w:eastAsia="fr-FR" w:bidi="fr-FR"/>
        </w:rPr>
        <w:t> </w:t>
      </w:r>
      <w:r>
        <w:rPr>
          <w:rStyle w:val="Appelnotedebasdep"/>
          <w:lang w:eastAsia="fr-FR" w:bidi="fr-FR"/>
        </w:rPr>
        <w:footnoteReference w:id="4"/>
      </w:r>
      <w:r>
        <w:rPr>
          <w:lang w:eastAsia="fr-FR" w:bidi="fr-FR"/>
        </w:rPr>
        <w:t> ;</w:t>
      </w:r>
    </w:p>
    <w:p w14:paraId="12290A39" w14:textId="77777777" w:rsidR="009A4910" w:rsidRDefault="009A4910" w:rsidP="009A4910">
      <w:pPr>
        <w:spacing w:before="120" w:after="120"/>
        <w:ind w:left="720" w:hanging="360"/>
        <w:jc w:val="both"/>
      </w:pPr>
      <w:r>
        <w:t>c)</w:t>
      </w:r>
      <w:r>
        <w:tab/>
      </w:r>
      <w:r w:rsidRPr="00601E6E">
        <w:rPr>
          <w:lang w:eastAsia="fr-FR" w:bidi="fr-FR"/>
        </w:rPr>
        <w:t xml:space="preserve">le lien étatique ou la valorisation d’un </w:t>
      </w:r>
      <w:r>
        <w:rPr>
          <w:lang w:eastAsia="fr-FR" w:bidi="fr-FR"/>
        </w:rPr>
        <w:t>État</w:t>
      </w:r>
      <w:r w:rsidRPr="00601E6E">
        <w:rPr>
          <w:lang w:eastAsia="fr-FR" w:bidi="fr-FR"/>
        </w:rPr>
        <w:t xml:space="preserve"> en raison de ses p</w:t>
      </w:r>
      <w:r w:rsidRPr="00601E6E">
        <w:rPr>
          <w:lang w:eastAsia="fr-FR" w:bidi="fr-FR"/>
        </w:rPr>
        <w:t>o</w:t>
      </w:r>
      <w:r w:rsidRPr="00601E6E">
        <w:rPr>
          <w:lang w:eastAsia="fr-FR" w:bidi="fr-FR"/>
        </w:rPr>
        <w:t>litiques économique, de l’emploi, scolaire, sociale, fiscale, i</w:t>
      </w:r>
      <w:r w:rsidRPr="00601E6E">
        <w:rPr>
          <w:lang w:eastAsia="fr-FR" w:bidi="fr-FR"/>
        </w:rPr>
        <w:t>n</w:t>
      </w:r>
      <w:r w:rsidRPr="00601E6E">
        <w:rPr>
          <w:lang w:eastAsia="fr-FR" w:bidi="fr-FR"/>
        </w:rPr>
        <w:t>ternation</w:t>
      </w:r>
      <w:r w:rsidRPr="00601E6E">
        <w:rPr>
          <w:lang w:eastAsia="fr-FR" w:bidi="fr-FR"/>
        </w:rPr>
        <w:t>a</w:t>
      </w:r>
      <w:r w:rsidRPr="00601E6E">
        <w:rPr>
          <w:lang w:eastAsia="fr-FR" w:bidi="fr-FR"/>
        </w:rPr>
        <w:t>le, culturelle, etc., des politiques elles aussi toujours partic</w:t>
      </w:r>
      <w:r w:rsidRPr="00601E6E">
        <w:rPr>
          <w:lang w:eastAsia="fr-FR" w:bidi="fr-FR"/>
        </w:rPr>
        <w:t>u</w:t>
      </w:r>
      <w:r w:rsidRPr="00601E6E">
        <w:rPr>
          <w:lang w:eastAsia="fr-FR" w:bidi="fr-FR"/>
        </w:rPr>
        <w:t>lières</w:t>
      </w:r>
      <w:r>
        <w:rPr>
          <w:lang w:eastAsia="fr-FR" w:bidi="fr-FR"/>
        </w:rPr>
        <w:t> ;</w:t>
      </w:r>
    </w:p>
    <w:p w14:paraId="4B79DC70" w14:textId="77777777" w:rsidR="009A4910" w:rsidRDefault="009A4910" w:rsidP="009A4910">
      <w:pPr>
        <w:spacing w:before="120" w:after="120"/>
        <w:ind w:left="720" w:hanging="360"/>
        <w:jc w:val="both"/>
      </w:pPr>
      <w:r>
        <w:t>d)</w:t>
      </w:r>
      <w:r>
        <w:tab/>
      </w:r>
      <w:r w:rsidRPr="00601E6E">
        <w:rPr>
          <w:lang w:eastAsia="fr-FR" w:bidi="fr-FR"/>
        </w:rPr>
        <w:t xml:space="preserve">le lien national au sens conceptuel du terme de </w:t>
      </w:r>
      <w:r w:rsidRPr="00601E6E">
        <w:t>nation</w:t>
      </w:r>
      <w:r w:rsidRPr="00601E6E">
        <w:rPr>
          <w:lang w:eastAsia="fr-FR" w:bidi="fr-FR"/>
        </w:rPr>
        <w:t>, soit une communauté d’histoire, de langue et de culture.</w:t>
      </w:r>
    </w:p>
    <w:p w14:paraId="1D0A8337" w14:textId="77777777" w:rsidR="009A4910" w:rsidRDefault="009A4910" w:rsidP="009A4910">
      <w:pPr>
        <w:spacing w:before="120" w:after="120"/>
        <w:jc w:val="both"/>
        <w:rPr>
          <w:lang w:eastAsia="fr-FR" w:bidi="fr-FR"/>
        </w:rPr>
      </w:pPr>
      <w:r>
        <w:rPr>
          <w:lang w:eastAsia="fr-FR" w:bidi="fr-FR"/>
        </w:rPr>
        <w:br w:type="page"/>
      </w:r>
    </w:p>
    <w:p w14:paraId="3758963E" w14:textId="77777777" w:rsidR="009A4910" w:rsidRDefault="009A4910" w:rsidP="009A4910">
      <w:pPr>
        <w:spacing w:before="120" w:after="120"/>
        <w:jc w:val="both"/>
      </w:pPr>
      <w:r w:rsidRPr="00601E6E">
        <w:rPr>
          <w:lang w:eastAsia="fr-FR" w:bidi="fr-FR"/>
        </w:rPr>
        <w:t>Qu’en est-il des formes du lien sociétal au Québec</w:t>
      </w:r>
      <w:r>
        <w:rPr>
          <w:lang w:eastAsia="fr-FR" w:bidi="fr-FR"/>
        </w:rPr>
        <w:t> ?</w:t>
      </w:r>
    </w:p>
    <w:p w14:paraId="5C88AA61" w14:textId="77777777" w:rsidR="009A4910" w:rsidRDefault="009A4910" w:rsidP="009A4910">
      <w:pPr>
        <w:spacing w:before="120" w:after="120"/>
        <w:jc w:val="both"/>
        <w:rPr>
          <w:lang w:eastAsia="fr-FR" w:bidi="fr-FR"/>
        </w:rPr>
      </w:pPr>
    </w:p>
    <w:p w14:paraId="01FD2DA0" w14:textId="77777777" w:rsidR="009A4910" w:rsidRDefault="009A4910" w:rsidP="009A4910">
      <w:pPr>
        <w:spacing w:before="120" w:after="120"/>
        <w:jc w:val="both"/>
      </w:pPr>
      <w:r w:rsidRPr="00601E6E">
        <w:rPr>
          <w:lang w:eastAsia="fr-FR" w:bidi="fr-FR"/>
        </w:rPr>
        <w:t>Selon une enquête réalisée auprès de résidents montr</w:t>
      </w:r>
      <w:r>
        <w:rPr>
          <w:lang w:eastAsia="fr-FR" w:bidi="fr-FR"/>
        </w:rPr>
        <w:t>éalais d’ascendance canadienne-</w:t>
      </w:r>
      <w:r w:rsidRPr="00601E6E">
        <w:rPr>
          <w:lang w:eastAsia="fr-FR" w:bidi="fr-FR"/>
        </w:rPr>
        <w:t>française ou immigrés de six pays diff</w:t>
      </w:r>
      <w:r w:rsidRPr="00601E6E">
        <w:rPr>
          <w:lang w:eastAsia="fr-FR" w:bidi="fr-FR"/>
        </w:rPr>
        <w:t>é</w:t>
      </w:r>
      <w:r w:rsidRPr="00601E6E">
        <w:rPr>
          <w:lang w:eastAsia="fr-FR" w:bidi="fr-FR"/>
        </w:rPr>
        <w:t>rents, les figures suivantes du lien au Québec apparaissent. On peut voir dans le Québec un peuple francophone, culturellement co</w:t>
      </w:r>
      <w:r w:rsidRPr="00601E6E">
        <w:rPr>
          <w:lang w:eastAsia="fr-FR" w:bidi="fr-FR"/>
        </w:rPr>
        <w:t>m</w:t>
      </w:r>
      <w:r w:rsidRPr="00601E6E">
        <w:rPr>
          <w:lang w:eastAsia="fr-FR" w:bidi="fr-FR"/>
        </w:rPr>
        <w:t>posite, dominé par des intérêts économiques anglo-saxons et ass</w:t>
      </w:r>
      <w:r w:rsidRPr="00601E6E">
        <w:rPr>
          <w:lang w:eastAsia="fr-FR" w:bidi="fr-FR"/>
        </w:rPr>
        <w:t>u</w:t>
      </w:r>
      <w:r w:rsidRPr="00601E6E">
        <w:rPr>
          <w:lang w:eastAsia="fr-FR" w:bidi="fr-FR"/>
        </w:rPr>
        <w:t xml:space="preserve">jetti par un </w:t>
      </w:r>
      <w:r>
        <w:rPr>
          <w:lang w:eastAsia="fr-FR" w:bidi="fr-FR"/>
        </w:rPr>
        <w:t>État</w:t>
      </w:r>
      <w:r w:rsidRPr="00601E6E">
        <w:rPr>
          <w:lang w:eastAsia="fr-FR" w:bidi="fr-FR"/>
        </w:rPr>
        <w:t xml:space="preserve"> canadien ne le représentant pas, et l’on est attaché à sa libération par la construction d’un </w:t>
      </w:r>
      <w:r>
        <w:rPr>
          <w:lang w:eastAsia="fr-FR" w:bidi="fr-FR"/>
        </w:rPr>
        <w:t>État</w:t>
      </w:r>
      <w:r w:rsidRPr="00601E6E">
        <w:rPr>
          <w:lang w:eastAsia="fr-FR" w:bidi="fr-FR"/>
        </w:rPr>
        <w:t xml:space="preserve"> souverain, francophone, plus apte à ado</w:t>
      </w:r>
      <w:r w:rsidRPr="00601E6E">
        <w:rPr>
          <w:lang w:eastAsia="fr-FR" w:bidi="fr-FR"/>
        </w:rPr>
        <w:t>p</w:t>
      </w:r>
      <w:r w:rsidRPr="00601E6E">
        <w:rPr>
          <w:lang w:eastAsia="fr-FR" w:bidi="fr-FR"/>
        </w:rPr>
        <w:t>ter des politiques soucieuses d’égalité sociale et politique. Les liens citoyen et étatique, comme expressions d’un peuple québécois libre de ses décisions, enracinent dans ce cas un fort sens d’appartenance au Québec. On peut voir dans le Québec un groupe ethnoculturel, canadien-français, propriétaire du territoire de son i</w:t>
      </w:r>
      <w:r w:rsidRPr="00601E6E">
        <w:rPr>
          <w:lang w:eastAsia="fr-FR" w:bidi="fr-FR"/>
        </w:rPr>
        <w:t>m</w:t>
      </w:r>
      <w:r w:rsidRPr="00601E6E">
        <w:rPr>
          <w:lang w:eastAsia="fr-FR" w:bidi="fr-FR"/>
        </w:rPr>
        <w:t>plantation historique, mais menacé depuis trois siècles par des étra</w:t>
      </w:r>
      <w:r w:rsidRPr="00601E6E">
        <w:rPr>
          <w:lang w:eastAsia="fr-FR" w:bidi="fr-FR"/>
        </w:rPr>
        <w:t>n</w:t>
      </w:r>
      <w:r w:rsidRPr="00601E6E">
        <w:rPr>
          <w:lang w:eastAsia="fr-FR" w:bidi="fr-FR"/>
        </w:rPr>
        <w:t xml:space="preserve">gers de langue et de culture, et souhaiter la constitution d’un </w:t>
      </w:r>
      <w:r>
        <w:rPr>
          <w:lang w:eastAsia="fr-FR" w:bidi="fr-FR"/>
        </w:rPr>
        <w:t>État</w:t>
      </w:r>
      <w:r w:rsidRPr="00601E6E">
        <w:rPr>
          <w:lang w:eastAsia="fr-FR" w:bidi="fr-FR"/>
        </w:rPr>
        <w:t xml:space="preserve"> i</w:t>
      </w:r>
      <w:r w:rsidRPr="00601E6E">
        <w:rPr>
          <w:lang w:eastAsia="fr-FR" w:bidi="fr-FR"/>
        </w:rPr>
        <w:t>n</w:t>
      </w:r>
      <w:r w:rsidRPr="00601E6E">
        <w:rPr>
          <w:lang w:eastAsia="fr-FR" w:bidi="fr-FR"/>
        </w:rPr>
        <w:t xml:space="preserve">dépendant défendant uniquement les intérêts de ce groupe </w:t>
      </w:r>
      <w:r>
        <w:rPr>
          <w:lang w:eastAsia="fr-FR" w:bidi="fr-FR"/>
        </w:rPr>
        <w:t>« </w:t>
      </w:r>
      <w:r w:rsidRPr="00601E6E">
        <w:rPr>
          <w:lang w:eastAsia="fr-FR" w:bidi="fr-FR"/>
        </w:rPr>
        <w:t>originel</w:t>
      </w:r>
      <w:r>
        <w:rPr>
          <w:lang w:eastAsia="fr-FR" w:bidi="fr-FR"/>
        </w:rPr>
        <w:t> »</w:t>
      </w:r>
      <w:r w:rsidRPr="00601E6E">
        <w:rPr>
          <w:lang w:eastAsia="fr-FR" w:bidi="fr-FR"/>
        </w:rPr>
        <w:t>. Toute notion d’un peuple souverain, incluant des perso</w:t>
      </w:r>
      <w:r w:rsidRPr="00601E6E">
        <w:rPr>
          <w:lang w:eastAsia="fr-FR" w:bidi="fr-FR"/>
        </w:rPr>
        <w:t>n</w:t>
      </w:r>
      <w:r w:rsidRPr="00601E6E">
        <w:rPr>
          <w:lang w:eastAsia="fr-FR" w:bidi="fr-FR"/>
        </w:rPr>
        <w:t>nes aux héritages historiques différents et aux cultures diverses est absente de cette conception, comme toute notion de rapports de force économiques à l’échelle nord-américaine et canadienne. Le lien pr</w:t>
      </w:r>
      <w:r w:rsidRPr="00601E6E">
        <w:rPr>
          <w:lang w:eastAsia="fr-FR" w:bidi="fr-FR"/>
        </w:rPr>
        <w:t>e</w:t>
      </w:r>
      <w:r w:rsidRPr="00601E6E">
        <w:rPr>
          <w:lang w:eastAsia="fr-FR" w:bidi="fr-FR"/>
        </w:rPr>
        <w:t>mier est national, le lien étatique québécois à créer devant servir un séparatisme culturel favorable à la nation canadienne-française et transformer la société civile à l’image de celle-ci. Un fort sens d’appartenance à la nation québécoise, en fait canadienne-française, est développé. On peut encore voir dans le Québec une société régi</w:t>
      </w:r>
      <w:r w:rsidRPr="00601E6E">
        <w:rPr>
          <w:lang w:eastAsia="fr-FR" w:bidi="fr-FR"/>
        </w:rPr>
        <w:t>o</w:t>
      </w:r>
      <w:r w:rsidRPr="00601E6E">
        <w:rPr>
          <w:lang w:eastAsia="fr-FR" w:bidi="fr-FR"/>
        </w:rPr>
        <w:t>nale se particularisant par une cohabit</w:t>
      </w:r>
      <w:r w:rsidRPr="00601E6E">
        <w:rPr>
          <w:lang w:eastAsia="fr-FR" w:bidi="fr-FR"/>
        </w:rPr>
        <w:t>a</w:t>
      </w:r>
      <w:r w:rsidRPr="00601E6E">
        <w:rPr>
          <w:lang w:eastAsia="fr-FR" w:bidi="fr-FR"/>
        </w:rPr>
        <w:t>tion séculaire d’intérêts anglo-saxons et canadiens-français, une cohabitation souvent conflictuelle mais ayant permis au fil du temps des acquis, tels un système d’auto-gouvernement, le système parlementaire, l’idée de deux peuples fo</w:t>
      </w:r>
      <w:r w:rsidRPr="00601E6E">
        <w:rPr>
          <w:lang w:eastAsia="fr-FR" w:bidi="fr-FR"/>
        </w:rPr>
        <w:t>n</w:t>
      </w:r>
      <w:r w:rsidRPr="00601E6E">
        <w:rPr>
          <w:lang w:eastAsia="fr-FR" w:bidi="fr-FR"/>
        </w:rPr>
        <w:t>dateurs, des politiques sociales généreuses, l’intégration dans le</w:t>
      </w:r>
      <w:r>
        <w:rPr>
          <w:lang w:eastAsia="fr-FR" w:bidi="fr-FR"/>
        </w:rPr>
        <w:t xml:space="preserve"> </w:t>
      </w:r>
      <w:r>
        <w:t xml:space="preserve">[41] </w:t>
      </w:r>
      <w:r w:rsidRPr="00601E6E">
        <w:rPr>
          <w:lang w:eastAsia="fr-FR" w:bidi="fr-FR"/>
        </w:rPr>
        <w:t>marché nord-américain et la possibilité d’imposer le français comme langue officielle. Dans ce cas, trois liens se renforcent pour créer là encore un fort sens d’appartenance au Québec, les liens citoyen et ét</w:t>
      </w:r>
      <w:r w:rsidRPr="00601E6E">
        <w:rPr>
          <w:lang w:eastAsia="fr-FR" w:bidi="fr-FR"/>
        </w:rPr>
        <w:t>a</w:t>
      </w:r>
      <w:r w:rsidRPr="00601E6E">
        <w:rPr>
          <w:lang w:eastAsia="fr-FR" w:bidi="fr-FR"/>
        </w:rPr>
        <w:t xml:space="preserve">tique à un </w:t>
      </w:r>
      <w:r>
        <w:rPr>
          <w:lang w:eastAsia="fr-FR" w:bidi="fr-FR"/>
        </w:rPr>
        <w:t>État</w:t>
      </w:r>
      <w:r w:rsidRPr="00601E6E">
        <w:rPr>
          <w:lang w:eastAsia="fr-FR" w:bidi="fr-FR"/>
        </w:rPr>
        <w:t xml:space="preserve"> fédéral conçu comme bi-national et le lien à une nation canadienne-française partageant son territoire avec des m</w:t>
      </w:r>
      <w:r w:rsidRPr="00601E6E">
        <w:rPr>
          <w:lang w:eastAsia="fr-FR" w:bidi="fr-FR"/>
        </w:rPr>
        <w:t>i</w:t>
      </w:r>
      <w:r w:rsidRPr="00601E6E">
        <w:rPr>
          <w:lang w:eastAsia="fr-FR" w:bidi="fr-FR"/>
        </w:rPr>
        <w:t xml:space="preserve">norités, dont au premier rang une minorité canadienne-anglaise. On peut encore et </w:t>
      </w:r>
      <w:r w:rsidRPr="00601E6E">
        <w:rPr>
          <w:lang w:eastAsia="fr-FR" w:bidi="fr-FR"/>
        </w:rPr>
        <w:lastRenderedPageBreak/>
        <w:t>uniquement voir dans le Québec une société civile aux différences évidentes et plaisantes à vivre, co</w:t>
      </w:r>
      <w:r w:rsidRPr="00601E6E">
        <w:rPr>
          <w:lang w:eastAsia="fr-FR" w:bidi="fr-FR"/>
        </w:rPr>
        <w:t>m</w:t>
      </w:r>
      <w:r w:rsidRPr="00601E6E">
        <w:rPr>
          <w:lang w:eastAsia="fr-FR" w:bidi="fr-FR"/>
        </w:rPr>
        <w:t>me un cosmopolitisme pacifique, un libéralisme des mœurs et un bilinguisme fonctionnel ut</w:t>
      </w:r>
      <w:r w:rsidRPr="00601E6E">
        <w:rPr>
          <w:lang w:eastAsia="fr-FR" w:bidi="fr-FR"/>
        </w:rPr>
        <w:t>i</w:t>
      </w:r>
      <w:r w:rsidRPr="00601E6E">
        <w:rPr>
          <w:lang w:eastAsia="fr-FR" w:bidi="fr-FR"/>
        </w:rPr>
        <w:t>le en un temps de commerce transnational, société civile dotée d’une forte a</w:t>
      </w:r>
      <w:r w:rsidRPr="00601E6E">
        <w:rPr>
          <w:lang w:eastAsia="fr-FR" w:bidi="fr-FR"/>
        </w:rPr>
        <w:t>u</w:t>
      </w:r>
      <w:r w:rsidRPr="00601E6E">
        <w:rPr>
          <w:lang w:eastAsia="fr-FR" w:bidi="fr-FR"/>
        </w:rPr>
        <w:t>tonomie administrative au sein d’un ensemble pan-canadien qui l’assure de politiques multiculturalistes, sociales et économiques di</w:t>
      </w:r>
      <w:r w:rsidRPr="00601E6E">
        <w:rPr>
          <w:lang w:eastAsia="fr-FR" w:bidi="fr-FR"/>
        </w:rPr>
        <w:t>s</w:t>
      </w:r>
      <w:r w:rsidRPr="00601E6E">
        <w:rPr>
          <w:lang w:eastAsia="fr-FR" w:bidi="fr-FR"/>
        </w:rPr>
        <w:t xml:space="preserve">tinctes de celles des </w:t>
      </w:r>
      <w:r>
        <w:rPr>
          <w:lang w:eastAsia="fr-FR" w:bidi="fr-FR"/>
        </w:rPr>
        <w:t>É</w:t>
      </w:r>
      <w:r w:rsidRPr="00601E6E">
        <w:rPr>
          <w:lang w:eastAsia="fr-FR" w:bidi="fr-FR"/>
        </w:rPr>
        <w:t>tats-Unis. On peut aussi développer la même représentation du Québec comme une société civile particulière au Canada et en Amérique du Nord, mais voir dans cette particularité, notamment dans la di</w:t>
      </w:r>
      <w:r w:rsidRPr="00601E6E">
        <w:rPr>
          <w:lang w:eastAsia="fr-FR" w:bidi="fr-FR"/>
        </w:rPr>
        <w:t>f</w:t>
      </w:r>
      <w:r w:rsidRPr="00601E6E">
        <w:rPr>
          <w:lang w:eastAsia="fr-FR" w:bidi="fr-FR"/>
        </w:rPr>
        <w:t>férence linguistique, un héritage peu utile et à laisser s’éteindre, tout en respectant la loi 101 au nom du principe de la loi de la majorité politique. Dans ces deux derniers cas, le lien pr</w:t>
      </w:r>
      <w:r w:rsidRPr="00601E6E">
        <w:rPr>
          <w:lang w:eastAsia="fr-FR" w:bidi="fr-FR"/>
        </w:rPr>
        <w:t>e</w:t>
      </w:r>
      <w:r w:rsidRPr="00601E6E">
        <w:rPr>
          <w:lang w:eastAsia="fr-FR" w:bidi="fr-FR"/>
        </w:rPr>
        <w:t>mier au Québec est essentiellement civil, les liens étatique et citoyen sont valorisés mais canadiens, et l’on se dit Québécois au titre de la qualité de citoyen canadien. Enfin, on peut considérer tout lien avec le Québec impossible en raison du statut socioéconomique que l’on connaît ou du racisme que l’on subit de la part du groupe blanc maj</w:t>
      </w:r>
      <w:r w:rsidRPr="00601E6E">
        <w:rPr>
          <w:lang w:eastAsia="fr-FR" w:bidi="fr-FR"/>
        </w:rPr>
        <w:t>o</w:t>
      </w:r>
      <w:r w:rsidRPr="00601E6E">
        <w:rPr>
          <w:lang w:eastAsia="fr-FR" w:bidi="fr-FR"/>
        </w:rPr>
        <w:t>ritaire dans la province (Helly et van Schendel, 2001).</w:t>
      </w:r>
    </w:p>
    <w:p w14:paraId="68CBF331" w14:textId="77777777" w:rsidR="009A4910" w:rsidRDefault="009A4910" w:rsidP="009A4910">
      <w:pPr>
        <w:spacing w:before="120" w:after="120"/>
        <w:jc w:val="both"/>
      </w:pPr>
      <w:r w:rsidRPr="00601E6E">
        <w:rPr>
          <w:lang w:eastAsia="fr-FR" w:bidi="fr-FR"/>
        </w:rPr>
        <w:t>Si l’on excepte la dernière forme selon laquelle toute idée de lien au Québec est illusoire et démagogique, ces formes de lien au Québec admettent, toutes, la légitimité de la loi 101 d’ériger la langue du groupe linguistique majoritaire en langue de tous. Elles admettent, toutes également, la légitimité de la notion de société distincte québ</w:t>
      </w:r>
      <w:r w:rsidRPr="00601E6E">
        <w:rPr>
          <w:lang w:eastAsia="fr-FR" w:bidi="fr-FR"/>
        </w:rPr>
        <w:t>é</w:t>
      </w:r>
      <w:r w:rsidRPr="00601E6E">
        <w:rPr>
          <w:lang w:eastAsia="fr-FR" w:bidi="fr-FR"/>
        </w:rPr>
        <w:t>coise, sinon l’avant-dernière qui y voit un fait non significatif. Deux objets de litige principaux les opposent en fait et ce ne sont ni la lég</w:t>
      </w:r>
      <w:r w:rsidRPr="00601E6E">
        <w:rPr>
          <w:lang w:eastAsia="fr-FR" w:bidi="fr-FR"/>
        </w:rPr>
        <w:t>i</w:t>
      </w:r>
      <w:r w:rsidRPr="00601E6E">
        <w:rPr>
          <w:lang w:eastAsia="fr-FR" w:bidi="fr-FR"/>
        </w:rPr>
        <w:t>slation linguistique ni le caractère distinctif de la société québécoise, mais l’avenir de l’espace économique réduit que constitue le Québec, et le partage du pouvoir politique entre groupe majoritaire canadien-français et groupes d’autres origines. C’est à partir de ces deux que</w:t>
      </w:r>
      <w:r w:rsidRPr="00601E6E">
        <w:rPr>
          <w:lang w:eastAsia="fr-FR" w:bidi="fr-FR"/>
        </w:rPr>
        <w:t>s</w:t>
      </w:r>
      <w:r w:rsidRPr="00601E6E">
        <w:rPr>
          <w:lang w:eastAsia="fr-FR" w:bidi="fr-FR"/>
        </w:rPr>
        <w:t>tions que sont débattues la loi 101 et la question de l’indépendance, et l’abrogation de la loi 101 n’est jamais envisagée dans la mesure où un bilinguisme fonctionnel anglais-français demeure et permet l’accès à des marchés étra</w:t>
      </w:r>
      <w:r w:rsidRPr="00601E6E">
        <w:rPr>
          <w:lang w:eastAsia="fr-FR" w:bidi="fr-FR"/>
        </w:rPr>
        <w:t>n</w:t>
      </w:r>
      <w:r w:rsidRPr="00601E6E">
        <w:rPr>
          <w:lang w:eastAsia="fr-FR" w:bidi="fr-FR"/>
        </w:rPr>
        <w:t>gers.</w:t>
      </w:r>
    </w:p>
    <w:p w14:paraId="733D951D" w14:textId="77777777" w:rsidR="009A4910" w:rsidRDefault="009A4910" w:rsidP="009A4910">
      <w:pPr>
        <w:spacing w:before="120" w:after="120"/>
        <w:jc w:val="both"/>
      </w:pPr>
      <w:r w:rsidRPr="00601E6E">
        <w:rPr>
          <w:lang w:eastAsia="fr-FR" w:bidi="fr-FR"/>
        </w:rPr>
        <w:t>Débattre de la valeur des formes de lien que développent les pe</w:t>
      </w:r>
      <w:r w:rsidRPr="00601E6E">
        <w:rPr>
          <w:lang w:eastAsia="fr-FR" w:bidi="fr-FR"/>
        </w:rPr>
        <w:t>r</w:t>
      </w:r>
      <w:r w:rsidRPr="00601E6E">
        <w:rPr>
          <w:lang w:eastAsia="fr-FR" w:bidi="fr-FR"/>
        </w:rPr>
        <w:t>sonnes à la société où elles vivent est une lutte politique atte</w:t>
      </w:r>
      <w:r w:rsidRPr="00601E6E">
        <w:rPr>
          <w:lang w:eastAsia="fr-FR" w:bidi="fr-FR"/>
        </w:rPr>
        <w:t>n</w:t>
      </w:r>
      <w:r w:rsidRPr="00601E6E">
        <w:rPr>
          <w:lang w:eastAsia="fr-FR" w:bidi="fr-FR"/>
        </w:rPr>
        <w:t>due en démocratie, au Québec comme ailleurs. Ce n’est qu’une des facettes des conflits sur la hiérarchie sociale et la distribution du pouvoir pol</w:t>
      </w:r>
      <w:r w:rsidRPr="00601E6E">
        <w:rPr>
          <w:lang w:eastAsia="fr-FR" w:bidi="fr-FR"/>
        </w:rPr>
        <w:t>i</w:t>
      </w:r>
      <w:r w:rsidRPr="00601E6E">
        <w:rPr>
          <w:lang w:eastAsia="fr-FR" w:bidi="fr-FR"/>
        </w:rPr>
        <w:t>tique. Cette lutte doit respecter deux principes</w:t>
      </w:r>
      <w:r>
        <w:rPr>
          <w:lang w:eastAsia="fr-FR" w:bidi="fr-FR"/>
        </w:rPr>
        <w:t> :</w:t>
      </w:r>
      <w:r w:rsidRPr="00601E6E">
        <w:rPr>
          <w:lang w:eastAsia="fr-FR" w:bidi="fr-FR"/>
        </w:rPr>
        <w:t xml:space="preserve"> le re</w:t>
      </w:r>
      <w:r w:rsidRPr="00601E6E">
        <w:rPr>
          <w:lang w:eastAsia="fr-FR" w:bidi="fr-FR"/>
        </w:rPr>
        <w:t>s</w:t>
      </w:r>
      <w:r w:rsidRPr="00601E6E">
        <w:rPr>
          <w:lang w:eastAsia="fr-FR" w:bidi="fr-FR"/>
        </w:rPr>
        <w:t xml:space="preserve">pect de la loi de </w:t>
      </w:r>
      <w:r w:rsidRPr="00601E6E">
        <w:rPr>
          <w:lang w:eastAsia="fr-FR" w:bidi="fr-FR"/>
        </w:rPr>
        <w:lastRenderedPageBreak/>
        <w:t>la majorité politique et des libertés fondamentales, lesquelles incluent en l’occurrence le droit à la vie privée et à des choix culturels perso</w:t>
      </w:r>
      <w:r w:rsidRPr="00601E6E">
        <w:rPr>
          <w:lang w:eastAsia="fr-FR" w:bidi="fr-FR"/>
        </w:rPr>
        <w:t>n</w:t>
      </w:r>
      <w:r w:rsidRPr="00601E6E">
        <w:rPr>
          <w:lang w:eastAsia="fr-FR" w:bidi="fr-FR"/>
        </w:rPr>
        <w:t>nels, dans la mesure où ce droit ne porte pas atteinte à des droits d’autrui. Vouloir imposer une forme du lien à une société au nom d’une implantation historique et de pratiques culturelles privées d’un groupe majoritaire correspond à un projet exclusionniste et constitue une tentative d’hégémonie culturelle anti-démocratique, de surcroît inopérante, à une époque de contr</w:t>
      </w:r>
      <w:r w:rsidRPr="00601E6E">
        <w:rPr>
          <w:lang w:eastAsia="fr-FR" w:bidi="fr-FR"/>
        </w:rPr>
        <w:t>o</w:t>
      </w:r>
      <w:r w:rsidRPr="00601E6E">
        <w:rPr>
          <w:lang w:eastAsia="fr-FR" w:bidi="fr-FR"/>
        </w:rPr>
        <w:t>verses sur les droits des groupes minoritaires et de valorisation des connaissances linguistiques dans toute économie d’exportation. Par ailleurs, aucun devoir</w:t>
      </w:r>
      <w:r>
        <w:rPr>
          <w:lang w:eastAsia="fr-FR" w:bidi="fr-FR"/>
        </w:rPr>
        <w:t xml:space="preserve"> </w:t>
      </w:r>
      <w:r>
        <w:t xml:space="preserve">[42] </w:t>
      </w:r>
      <w:r w:rsidRPr="00601E6E">
        <w:rPr>
          <w:lang w:eastAsia="fr-FR" w:bidi="fr-FR"/>
        </w:rPr>
        <w:t>d’appartenance à une société ne peut être requis</w:t>
      </w:r>
      <w:r>
        <w:rPr>
          <w:lang w:eastAsia="fr-FR" w:bidi="fr-FR"/>
        </w:rPr>
        <w:t> ;</w:t>
      </w:r>
      <w:r w:rsidRPr="00601E6E">
        <w:rPr>
          <w:lang w:eastAsia="fr-FR" w:bidi="fr-FR"/>
        </w:rPr>
        <w:t xml:space="preserve"> le droit à l’indifférence en la matière demeure, dans la mesure où sont re</w:t>
      </w:r>
      <w:r w:rsidRPr="00601E6E">
        <w:rPr>
          <w:lang w:eastAsia="fr-FR" w:bidi="fr-FR"/>
        </w:rPr>
        <w:t>s</w:t>
      </w:r>
      <w:r w:rsidRPr="00601E6E">
        <w:rPr>
          <w:lang w:eastAsia="fr-FR" w:bidi="fr-FR"/>
        </w:rPr>
        <w:t>pectés les deux principes mentionnés ci-dessus.</w:t>
      </w:r>
    </w:p>
    <w:p w14:paraId="1C8E631D" w14:textId="77777777" w:rsidR="009A4910" w:rsidRDefault="009A4910" w:rsidP="009A4910">
      <w:pPr>
        <w:spacing w:before="120" w:after="120"/>
        <w:jc w:val="both"/>
      </w:pPr>
      <w:r w:rsidRPr="00601E6E">
        <w:rPr>
          <w:lang w:eastAsia="fr-FR" w:bidi="fr-FR"/>
        </w:rPr>
        <w:t>De plus, la tension inévitable en démocratie entre majorité et min</w:t>
      </w:r>
      <w:r w:rsidRPr="00601E6E">
        <w:rPr>
          <w:lang w:eastAsia="fr-FR" w:bidi="fr-FR"/>
        </w:rPr>
        <w:t>o</w:t>
      </w:r>
      <w:r w:rsidRPr="00601E6E">
        <w:rPr>
          <w:lang w:eastAsia="fr-FR" w:bidi="fr-FR"/>
        </w:rPr>
        <w:t>rités, ainsi qu’entre nation et citoyenneté, doit toujours être tenue en compte, et la qualité de citoyen sans cesse distinguée de la qualité de national. Ce dilemme est historique dans les systèmes politiques m</w:t>
      </w:r>
      <w:r w:rsidRPr="00601E6E">
        <w:rPr>
          <w:lang w:eastAsia="fr-FR" w:bidi="fr-FR"/>
        </w:rPr>
        <w:t>o</w:t>
      </w:r>
      <w:r w:rsidRPr="00601E6E">
        <w:rPr>
          <w:lang w:eastAsia="fr-FR" w:bidi="fr-FR"/>
        </w:rPr>
        <w:t>dernes, et ne peut être ignoré en une période de fortes migrations i</w:t>
      </w:r>
      <w:r w:rsidRPr="00601E6E">
        <w:rPr>
          <w:lang w:eastAsia="fr-FR" w:bidi="fr-FR"/>
        </w:rPr>
        <w:t>n</w:t>
      </w:r>
      <w:r w:rsidRPr="00601E6E">
        <w:rPr>
          <w:lang w:eastAsia="fr-FR" w:bidi="fr-FR"/>
        </w:rPr>
        <w:t>ternationales et de différenciation des valeurs et des comportements individuels. Aussi toute affirmation de la possibilité d’un choix polit</w:t>
      </w:r>
      <w:r w:rsidRPr="00601E6E">
        <w:rPr>
          <w:lang w:eastAsia="fr-FR" w:bidi="fr-FR"/>
        </w:rPr>
        <w:t>i</w:t>
      </w:r>
      <w:r w:rsidRPr="00601E6E">
        <w:rPr>
          <w:lang w:eastAsia="fr-FR" w:bidi="fr-FR"/>
        </w:rPr>
        <w:t>que définitif entre une définition ethnique ou civique de la nation est-elle irréaliste et contre-productive. Elle ignore la dynamique, sociol</w:t>
      </w:r>
      <w:r w:rsidRPr="00601E6E">
        <w:rPr>
          <w:lang w:eastAsia="fr-FR" w:bidi="fr-FR"/>
        </w:rPr>
        <w:t>o</w:t>
      </w:r>
      <w:r w:rsidRPr="00601E6E">
        <w:rPr>
          <w:lang w:eastAsia="fr-FR" w:bidi="fr-FR"/>
        </w:rPr>
        <w:t>gique et idéologique, propre à une société démocratique moderne</w:t>
      </w:r>
      <w:r>
        <w:rPr>
          <w:lang w:eastAsia="fr-FR" w:bidi="fr-FR"/>
        </w:rPr>
        <w:t> ;</w:t>
      </w:r>
      <w:r w:rsidRPr="00601E6E">
        <w:rPr>
          <w:lang w:eastAsia="fr-FR" w:bidi="fr-FR"/>
        </w:rPr>
        <w:t xml:space="preserve"> elle participe de l’idée illusoire d’un discours et d’une décision polit</w:t>
      </w:r>
      <w:r w:rsidRPr="00601E6E">
        <w:rPr>
          <w:lang w:eastAsia="fr-FR" w:bidi="fr-FR"/>
        </w:rPr>
        <w:t>i</w:t>
      </w:r>
      <w:r w:rsidRPr="00601E6E">
        <w:rPr>
          <w:lang w:eastAsia="fr-FR" w:bidi="fr-FR"/>
        </w:rPr>
        <w:t>ques justes et équitables à tout jamais, comme si un idéal démocrat</w:t>
      </w:r>
      <w:r w:rsidRPr="00601E6E">
        <w:rPr>
          <w:lang w:eastAsia="fr-FR" w:bidi="fr-FR"/>
        </w:rPr>
        <w:t>i</w:t>
      </w:r>
      <w:r w:rsidRPr="00601E6E">
        <w:rPr>
          <w:lang w:eastAsia="fr-FR" w:bidi="fr-FR"/>
        </w:rPr>
        <w:t>que existait en dehors de ses manifestations concrètes et des revend</w:t>
      </w:r>
      <w:r w:rsidRPr="00601E6E">
        <w:rPr>
          <w:lang w:eastAsia="fr-FR" w:bidi="fr-FR"/>
        </w:rPr>
        <w:t>i</w:t>
      </w:r>
      <w:r w:rsidRPr="00601E6E">
        <w:rPr>
          <w:lang w:eastAsia="fr-FR" w:bidi="fr-FR"/>
        </w:rPr>
        <w:t>cations qu’il génère, et comme si la nécessité incessante de contreca</w:t>
      </w:r>
      <w:r w:rsidRPr="00601E6E">
        <w:rPr>
          <w:lang w:eastAsia="fr-FR" w:bidi="fr-FR"/>
        </w:rPr>
        <w:t>r</w:t>
      </w:r>
      <w:r w:rsidRPr="00601E6E">
        <w:rPr>
          <w:lang w:eastAsia="fr-FR" w:bidi="fr-FR"/>
        </w:rPr>
        <w:t>rer toute forme de domination politique, culturelle, économique po</w:t>
      </w:r>
      <w:r w:rsidRPr="00601E6E">
        <w:rPr>
          <w:lang w:eastAsia="fr-FR" w:bidi="fr-FR"/>
        </w:rPr>
        <w:t>u</w:t>
      </w:r>
      <w:r w:rsidRPr="00601E6E">
        <w:rPr>
          <w:lang w:eastAsia="fr-FR" w:bidi="fr-FR"/>
        </w:rPr>
        <w:t>vait être annulée. Elle ignore que le conflit de pouvoir est constitutif d’une société démocratique et que les luttes sociales modèlent une société.</w:t>
      </w:r>
    </w:p>
    <w:p w14:paraId="1D7D0077" w14:textId="77777777" w:rsidR="009A4910" w:rsidRDefault="009A4910" w:rsidP="009A4910">
      <w:pPr>
        <w:spacing w:before="120" w:after="120"/>
        <w:jc w:val="both"/>
      </w:pPr>
      <w:r w:rsidRPr="00601E6E">
        <w:rPr>
          <w:lang w:eastAsia="fr-FR" w:bidi="fr-FR"/>
        </w:rPr>
        <w:t>L’</w:t>
      </w:r>
      <w:r>
        <w:rPr>
          <w:lang w:eastAsia="fr-FR" w:bidi="fr-FR"/>
        </w:rPr>
        <w:t>État</w:t>
      </w:r>
      <w:r w:rsidRPr="00601E6E">
        <w:rPr>
          <w:lang w:eastAsia="fr-FR" w:bidi="fr-FR"/>
        </w:rPr>
        <w:t xml:space="preserve"> moderne se caractérise depuis sa fondation par une te</w:t>
      </w:r>
      <w:r w:rsidRPr="00601E6E">
        <w:rPr>
          <w:lang w:eastAsia="fr-FR" w:bidi="fr-FR"/>
        </w:rPr>
        <w:t>n</w:t>
      </w:r>
      <w:r w:rsidRPr="00601E6E">
        <w:rPr>
          <w:lang w:eastAsia="fr-FR" w:bidi="fr-FR"/>
        </w:rPr>
        <w:t>sion inhérente entre un fondement culturel, particulier, et un fo</w:t>
      </w:r>
      <w:r w:rsidRPr="00601E6E">
        <w:rPr>
          <w:lang w:eastAsia="fr-FR" w:bidi="fr-FR"/>
        </w:rPr>
        <w:t>n</w:t>
      </w:r>
      <w:r w:rsidRPr="00601E6E">
        <w:rPr>
          <w:lang w:eastAsia="fr-FR" w:bidi="fr-FR"/>
        </w:rPr>
        <w:t>dement universaliste, et l’idée de similitudes d’expérience (institutions, n</w:t>
      </w:r>
      <w:r w:rsidRPr="00601E6E">
        <w:rPr>
          <w:lang w:eastAsia="fr-FR" w:bidi="fr-FR"/>
        </w:rPr>
        <w:t>a</w:t>
      </w:r>
      <w:r w:rsidRPr="00601E6E">
        <w:rPr>
          <w:lang w:eastAsia="fr-FR" w:bidi="fr-FR"/>
        </w:rPr>
        <w:t>tion, religion, langue) des membres d’une société constitue un co</w:t>
      </w:r>
      <w:r w:rsidRPr="00601E6E">
        <w:rPr>
          <w:lang w:eastAsia="fr-FR" w:bidi="fr-FR"/>
        </w:rPr>
        <w:t>m</w:t>
      </w:r>
      <w:r w:rsidRPr="00601E6E">
        <w:rPr>
          <w:lang w:eastAsia="fr-FR" w:bidi="fr-FR"/>
        </w:rPr>
        <w:t>plément de sa définition vu l’abstraction de l’identité pol</w:t>
      </w:r>
      <w:r w:rsidRPr="00601E6E">
        <w:rPr>
          <w:lang w:eastAsia="fr-FR" w:bidi="fr-FR"/>
        </w:rPr>
        <w:t>i</w:t>
      </w:r>
      <w:r w:rsidRPr="00601E6E">
        <w:rPr>
          <w:lang w:eastAsia="fr-FR" w:bidi="fr-FR"/>
        </w:rPr>
        <w:t>tique qu’il crée, et vu sa formation sur un territoire particulier (Freitag, 1981</w:t>
      </w:r>
      <w:r>
        <w:rPr>
          <w:lang w:eastAsia="fr-FR" w:bidi="fr-FR"/>
        </w:rPr>
        <w:t> ;</w:t>
      </w:r>
      <w:r w:rsidRPr="00601E6E">
        <w:rPr>
          <w:lang w:eastAsia="fr-FR" w:bidi="fr-FR"/>
        </w:rPr>
        <w:t xml:space="preserve"> Schnapper, 1994</w:t>
      </w:r>
      <w:r>
        <w:rPr>
          <w:lang w:eastAsia="fr-FR" w:bidi="fr-FR"/>
        </w:rPr>
        <w:t> ;</w:t>
      </w:r>
      <w:r w:rsidRPr="00601E6E">
        <w:rPr>
          <w:lang w:eastAsia="fr-FR" w:bidi="fr-FR"/>
        </w:rPr>
        <w:t xml:space="preserve"> Harp, 1998</w:t>
      </w:r>
      <w:r>
        <w:rPr>
          <w:lang w:eastAsia="fr-FR" w:bidi="fr-FR"/>
        </w:rPr>
        <w:t> ;</w:t>
      </w:r>
      <w:r w:rsidRPr="00601E6E">
        <w:rPr>
          <w:lang w:eastAsia="fr-FR" w:bidi="fr-FR"/>
        </w:rPr>
        <w:t xml:space="preserve"> Bourque, Ducha</w:t>
      </w:r>
      <w:r w:rsidRPr="00601E6E">
        <w:rPr>
          <w:lang w:eastAsia="fr-FR" w:bidi="fr-FR"/>
        </w:rPr>
        <w:t>s</w:t>
      </w:r>
      <w:r w:rsidRPr="00601E6E">
        <w:rPr>
          <w:lang w:eastAsia="fr-FR" w:bidi="fr-FR"/>
        </w:rPr>
        <w:t xml:space="preserve">tel et Pineault, </w:t>
      </w:r>
      <w:r w:rsidRPr="00601E6E">
        <w:rPr>
          <w:lang w:eastAsia="fr-FR" w:bidi="fr-FR"/>
        </w:rPr>
        <w:lastRenderedPageBreak/>
        <w:t>1999). L’</w:t>
      </w:r>
      <w:r>
        <w:rPr>
          <w:lang w:eastAsia="fr-FR" w:bidi="fr-FR"/>
        </w:rPr>
        <w:t>État</w:t>
      </w:r>
      <w:r w:rsidRPr="00601E6E">
        <w:rPr>
          <w:lang w:eastAsia="fr-FR" w:bidi="fr-FR"/>
        </w:rPr>
        <w:t xml:space="preserve"> moderne exerce toujours sa souvera</w:t>
      </w:r>
      <w:r w:rsidRPr="00601E6E">
        <w:rPr>
          <w:lang w:eastAsia="fr-FR" w:bidi="fr-FR"/>
        </w:rPr>
        <w:t>i</w:t>
      </w:r>
      <w:r w:rsidRPr="00601E6E">
        <w:rPr>
          <w:lang w:eastAsia="fr-FR" w:bidi="fr-FR"/>
        </w:rPr>
        <w:t xml:space="preserve">neté en intégrant la population d’un territoire donné et en s’affirmant comme </w:t>
      </w:r>
      <w:r>
        <w:rPr>
          <w:lang w:eastAsia="fr-FR" w:bidi="fr-FR"/>
        </w:rPr>
        <w:t>« </w:t>
      </w:r>
      <w:r w:rsidRPr="00601E6E">
        <w:rPr>
          <w:lang w:eastAsia="fr-FR" w:bidi="fr-FR"/>
        </w:rPr>
        <w:t>sujet hist</w:t>
      </w:r>
      <w:r w:rsidRPr="00601E6E">
        <w:rPr>
          <w:lang w:eastAsia="fr-FR" w:bidi="fr-FR"/>
        </w:rPr>
        <w:t>o</w:t>
      </w:r>
      <w:r w:rsidRPr="00601E6E">
        <w:rPr>
          <w:lang w:eastAsia="fr-FR" w:bidi="fr-FR"/>
        </w:rPr>
        <w:t>rique dans un ordre mondial fondé sur des rel</w:t>
      </w:r>
      <w:r w:rsidRPr="00601E6E">
        <w:rPr>
          <w:lang w:eastAsia="fr-FR" w:bidi="fr-FR"/>
        </w:rPr>
        <w:t>a</w:t>
      </w:r>
      <w:r w:rsidRPr="00601E6E">
        <w:rPr>
          <w:lang w:eastAsia="fr-FR" w:bidi="fr-FR"/>
        </w:rPr>
        <w:t>tions entre nations-unités politiques</w:t>
      </w:r>
      <w:r>
        <w:rPr>
          <w:lang w:eastAsia="fr-FR" w:bidi="fr-FR"/>
        </w:rPr>
        <w:t> »</w:t>
      </w:r>
      <w:r w:rsidRPr="00601E6E">
        <w:rPr>
          <w:lang w:eastAsia="fr-FR" w:bidi="fr-FR"/>
        </w:rPr>
        <w:t xml:space="preserve"> (Schnapper, 1994</w:t>
      </w:r>
      <w:r>
        <w:rPr>
          <w:lang w:eastAsia="fr-FR" w:bidi="fr-FR"/>
        </w:rPr>
        <w:t> :</w:t>
      </w:r>
      <w:r w:rsidRPr="00601E6E">
        <w:rPr>
          <w:lang w:eastAsia="fr-FR" w:bidi="fr-FR"/>
        </w:rPr>
        <w:t xml:space="preserve"> 28), fait qu’il doit expliquer faute de fondements a-histor</w:t>
      </w:r>
      <w:r w:rsidRPr="00601E6E">
        <w:rPr>
          <w:lang w:eastAsia="fr-FR" w:bidi="fr-FR"/>
        </w:rPr>
        <w:t>i</w:t>
      </w:r>
      <w:r w:rsidRPr="00601E6E">
        <w:rPr>
          <w:lang w:eastAsia="fr-FR" w:bidi="fr-FR"/>
        </w:rPr>
        <w:t>ques, religieux par exemple, ou pouvant relever de la violence pure. Il doit to</w:t>
      </w:r>
      <w:r w:rsidRPr="00601E6E">
        <w:rPr>
          <w:lang w:eastAsia="fr-FR" w:bidi="fr-FR"/>
        </w:rPr>
        <w:t>u</w:t>
      </w:r>
      <w:r w:rsidRPr="00601E6E">
        <w:rPr>
          <w:lang w:eastAsia="fr-FR" w:bidi="fr-FR"/>
        </w:rPr>
        <w:t>jours créer un discours sur son inscription dans ce te</w:t>
      </w:r>
      <w:r w:rsidRPr="00601E6E">
        <w:rPr>
          <w:lang w:eastAsia="fr-FR" w:bidi="fr-FR"/>
        </w:rPr>
        <w:t>r</w:t>
      </w:r>
      <w:r w:rsidRPr="00601E6E">
        <w:rPr>
          <w:lang w:eastAsia="fr-FR" w:bidi="fr-FR"/>
        </w:rPr>
        <w:t>ritoire et sur les raisons du rassemblement de la population qui pa</w:t>
      </w:r>
      <w:r w:rsidRPr="00601E6E">
        <w:rPr>
          <w:lang w:eastAsia="fr-FR" w:bidi="fr-FR"/>
        </w:rPr>
        <w:t>r</w:t>
      </w:r>
      <w:r w:rsidRPr="00601E6E">
        <w:rPr>
          <w:lang w:eastAsia="fr-FR" w:bidi="fr-FR"/>
        </w:rPr>
        <w:t>ticipe à l’espace affirmé commun. L’</w:t>
      </w:r>
      <w:r>
        <w:rPr>
          <w:lang w:eastAsia="fr-FR" w:bidi="fr-FR"/>
        </w:rPr>
        <w:t>État</w:t>
      </w:r>
      <w:r w:rsidRPr="00601E6E">
        <w:rPr>
          <w:lang w:eastAsia="fr-FR" w:bidi="fr-FR"/>
        </w:rPr>
        <w:t xml:space="preserve"> moderne est fortement aidé dans cette œuvre par un processus décrit par Gel</w:t>
      </w:r>
      <w:r w:rsidRPr="00601E6E">
        <w:rPr>
          <w:lang w:eastAsia="fr-FR" w:bidi="fr-FR"/>
        </w:rPr>
        <w:t>l</w:t>
      </w:r>
      <w:r w:rsidRPr="00601E6E">
        <w:rPr>
          <w:lang w:eastAsia="fr-FR" w:bidi="fr-FR"/>
        </w:rPr>
        <w:t>ner (1983). Le mode d’implantation particulier du capitalisme et de l’</w:t>
      </w:r>
      <w:r>
        <w:rPr>
          <w:lang w:eastAsia="fr-FR" w:bidi="fr-FR"/>
        </w:rPr>
        <w:t>État</w:t>
      </w:r>
      <w:r w:rsidRPr="00601E6E">
        <w:rPr>
          <w:lang w:eastAsia="fr-FR" w:bidi="fr-FR"/>
        </w:rPr>
        <w:t xml:space="preserve"> dans chaque pays expose les personnes à une relative similitude de s</w:t>
      </w:r>
      <w:r w:rsidRPr="00601E6E">
        <w:rPr>
          <w:lang w:eastAsia="fr-FR" w:bidi="fr-FR"/>
        </w:rPr>
        <w:t>o</w:t>
      </w:r>
      <w:r w:rsidRPr="00601E6E">
        <w:rPr>
          <w:lang w:eastAsia="fr-FR" w:bidi="fr-FR"/>
        </w:rPr>
        <w:t>cialisation et d’expérience, et produit l’idée d’appartenance à une entité terr</w:t>
      </w:r>
      <w:r w:rsidRPr="00601E6E">
        <w:rPr>
          <w:lang w:eastAsia="fr-FR" w:bidi="fr-FR"/>
        </w:rPr>
        <w:t>i</w:t>
      </w:r>
      <w:r w:rsidRPr="00601E6E">
        <w:rPr>
          <w:lang w:eastAsia="fr-FR" w:bidi="fr-FR"/>
        </w:rPr>
        <w:t>torialisée, une société étatisée distincte.</w:t>
      </w:r>
    </w:p>
    <w:p w14:paraId="5F87A028" w14:textId="77777777" w:rsidR="009A4910" w:rsidRDefault="009A4910" w:rsidP="009A4910">
      <w:pPr>
        <w:spacing w:before="120" w:after="120"/>
        <w:jc w:val="both"/>
      </w:pPr>
      <w:r w:rsidRPr="00601E6E">
        <w:rPr>
          <w:lang w:eastAsia="fr-FR" w:bidi="fr-FR"/>
        </w:rPr>
        <w:t xml:space="preserve">Ces trois réalités, l’idée de communalité territoriale et sociétale, la contrainte pour un </w:t>
      </w:r>
      <w:r>
        <w:rPr>
          <w:lang w:eastAsia="fr-FR" w:bidi="fr-FR"/>
        </w:rPr>
        <w:t>État</w:t>
      </w:r>
      <w:r w:rsidRPr="00601E6E">
        <w:rPr>
          <w:lang w:eastAsia="fr-FR" w:bidi="fr-FR"/>
        </w:rPr>
        <w:t xml:space="preserve"> moderne de s’inscrire sur la scène internati</w:t>
      </w:r>
      <w:r w:rsidRPr="00601E6E">
        <w:rPr>
          <w:lang w:eastAsia="fr-FR" w:bidi="fr-FR"/>
        </w:rPr>
        <w:t>o</w:t>
      </w:r>
      <w:r w:rsidRPr="00601E6E">
        <w:rPr>
          <w:lang w:eastAsia="fr-FR" w:bidi="fr-FR"/>
        </w:rPr>
        <w:t>nale comme entité aux intérêts propres et l’institution de pol</w:t>
      </w:r>
      <w:r w:rsidRPr="00601E6E">
        <w:rPr>
          <w:lang w:eastAsia="fr-FR" w:bidi="fr-FR"/>
        </w:rPr>
        <w:t>i</w:t>
      </w:r>
      <w:r w:rsidRPr="00601E6E">
        <w:rPr>
          <w:lang w:eastAsia="fr-FR" w:bidi="fr-FR"/>
        </w:rPr>
        <w:t>tiques publiques toujours particulières en raison des héritages sociaux et p</w:t>
      </w:r>
      <w:r w:rsidRPr="00601E6E">
        <w:rPr>
          <w:lang w:eastAsia="fr-FR" w:bidi="fr-FR"/>
        </w:rPr>
        <w:t>o</w:t>
      </w:r>
      <w:r w:rsidRPr="00601E6E">
        <w:rPr>
          <w:lang w:eastAsia="fr-FR" w:bidi="fr-FR"/>
        </w:rPr>
        <w:t>litiques de chaque pays se trouvent en tension constante avec le pri</w:t>
      </w:r>
      <w:r w:rsidRPr="00601E6E">
        <w:rPr>
          <w:lang w:eastAsia="fr-FR" w:bidi="fr-FR"/>
        </w:rPr>
        <w:t>n</w:t>
      </w:r>
      <w:r w:rsidRPr="00601E6E">
        <w:rPr>
          <w:lang w:eastAsia="fr-FR" w:bidi="fr-FR"/>
        </w:rPr>
        <w:t>cipe de rationalité abstraite de l’</w:t>
      </w:r>
      <w:r>
        <w:rPr>
          <w:lang w:eastAsia="fr-FR" w:bidi="fr-FR"/>
        </w:rPr>
        <w:t>État</w:t>
      </w:r>
      <w:r w:rsidRPr="00601E6E">
        <w:rPr>
          <w:lang w:eastAsia="fr-FR" w:bidi="fr-FR"/>
        </w:rPr>
        <w:t xml:space="preserve"> et son idée régul</w:t>
      </w:r>
      <w:r w:rsidRPr="00601E6E">
        <w:rPr>
          <w:lang w:eastAsia="fr-FR" w:bidi="fr-FR"/>
        </w:rPr>
        <w:t>a</w:t>
      </w:r>
      <w:r w:rsidRPr="00601E6E">
        <w:rPr>
          <w:lang w:eastAsia="fr-FR" w:bidi="fr-FR"/>
        </w:rPr>
        <w:t>trice à visée universelle. Les idées de citoyenneté, de territoire, de communalité et de particularité sociétales en deviennent liées et la question fondame</w:t>
      </w:r>
      <w:r w:rsidRPr="00601E6E">
        <w:rPr>
          <w:lang w:eastAsia="fr-FR" w:bidi="fr-FR"/>
        </w:rPr>
        <w:t>n</w:t>
      </w:r>
      <w:r w:rsidRPr="00601E6E">
        <w:rPr>
          <w:lang w:eastAsia="fr-FR" w:bidi="fr-FR"/>
        </w:rPr>
        <w:t>tale est dès lors</w:t>
      </w:r>
      <w:r>
        <w:rPr>
          <w:lang w:eastAsia="fr-FR" w:bidi="fr-FR"/>
        </w:rPr>
        <w:t> :</w:t>
      </w:r>
      <w:r w:rsidRPr="00601E6E">
        <w:rPr>
          <w:lang w:eastAsia="fr-FR" w:bidi="fr-FR"/>
        </w:rPr>
        <w:t xml:space="preserve"> </w:t>
      </w:r>
      <w:r>
        <w:rPr>
          <w:lang w:eastAsia="fr-FR" w:bidi="fr-FR"/>
        </w:rPr>
        <w:t>« </w:t>
      </w:r>
      <w:r w:rsidRPr="00601E6E">
        <w:rPr>
          <w:lang w:eastAsia="fr-FR" w:bidi="fr-FR"/>
        </w:rPr>
        <w:t>Comment préserver l’universalisme en reconnai</w:t>
      </w:r>
      <w:r w:rsidRPr="00601E6E">
        <w:rPr>
          <w:lang w:eastAsia="fr-FR" w:bidi="fr-FR"/>
        </w:rPr>
        <w:t>s</w:t>
      </w:r>
      <w:r w:rsidRPr="00601E6E">
        <w:rPr>
          <w:lang w:eastAsia="fr-FR" w:bidi="fr-FR"/>
        </w:rPr>
        <w:t>sant la légitimité d’une solidarité pr</w:t>
      </w:r>
      <w:r w:rsidRPr="00601E6E">
        <w:rPr>
          <w:lang w:eastAsia="fr-FR" w:bidi="fr-FR"/>
        </w:rPr>
        <w:t>o</w:t>
      </w:r>
      <w:r w:rsidRPr="00601E6E">
        <w:rPr>
          <w:lang w:eastAsia="fr-FR" w:bidi="fr-FR"/>
        </w:rPr>
        <w:t xml:space="preserve">pre aux citoyens partageant un même espace public et un même imaginaire commun en évitant que le </w:t>
      </w:r>
      <w:r w:rsidRPr="00601E6E">
        <w:t>nous</w:t>
      </w:r>
      <w:r w:rsidRPr="00601E6E">
        <w:rPr>
          <w:lang w:eastAsia="fr-FR" w:bidi="fr-FR"/>
        </w:rPr>
        <w:t xml:space="preserve"> ne dégénère en un re</w:t>
      </w:r>
      <w:r w:rsidRPr="00601E6E">
        <w:rPr>
          <w:lang w:eastAsia="fr-FR" w:bidi="fr-FR"/>
        </w:rPr>
        <w:t>n</w:t>
      </w:r>
      <w:r w:rsidRPr="00601E6E">
        <w:rPr>
          <w:lang w:eastAsia="fr-FR" w:bidi="fr-FR"/>
        </w:rPr>
        <w:t>fermement ethnique</w:t>
      </w:r>
      <w:r>
        <w:rPr>
          <w:lang w:eastAsia="fr-FR" w:bidi="fr-FR"/>
        </w:rPr>
        <w:t> ? »</w:t>
      </w:r>
      <w:r w:rsidRPr="00601E6E">
        <w:rPr>
          <w:lang w:eastAsia="fr-FR" w:bidi="fr-FR"/>
        </w:rPr>
        <w:t>, comme écrit Birnbaum (1997</w:t>
      </w:r>
      <w:r>
        <w:rPr>
          <w:lang w:eastAsia="fr-FR" w:bidi="fr-FR"/>
        </w:rPr>
        <w:t> :</w:t>
      </w:r>
      <w:r w:rsidRPr="00601E6E">
        <w:rPr>
          <w:lang w:eastAsia="fr-FR" w:bidi="fr-FR"/>
        </w:rPr>
        <w:t xml:space="preserve"> 33). En d’autres termes, comment éviter que le lien à une nation recouvre les autres formes possibles de communalité créées par l’expérience présente de vivre au sein d’une même société</w:t>
      </w:r>
      <w:r>
        <w:rPr>
          <w:lang w:eastAsia="fr-FR" w:bidi="fr-FR"/>
        </w:rPr>
        <w:t xml:space="preserve"> </w:t>
      </w:r>
      <w:r>
        <w:t xml:space="preserve">[43] </w:t>
      </w:r>
      <w:r w:rsidRPr="00601E6E">
        <w:rPr>
          <w:lang w:eastAsia="fr-FR" w:bidi="fr-FR"/>
        </w:rPr>
        <w:t>et/ou sous l’égide d’un même État</w:t>
      </w:r>
      <w:r>
        <w:rPr>
          <w:lang w:eastAsia="fr-FR" w:bidi="fr-FR"/>
        </w:rPr>
        <w:t> ?</w:t>
      </w:r>
      <w:r w:rsidRPr="00601E6E">
        <w:rPr>
          <w:lang w:eastAsia="fr-FR" w:bidi="fr-FR"/>
        </w:rPr>
        <w:t xml:space="preserve"> Le lien national met en avant l’idée d’une communalité restreinte, soit une expérience hi</w:t>
      </w:r>
      <w:r w:rsidRPr="00601E6E">
        <w:rPr>
          <w:lang w:eastAsia="fr-FR" w:bidi="fr-FR"/>
        </w:rPr>
        <w:t>s</w:t>
      </w:r>
      <w:r w:rsidRPr="00601E6E">
        <w:rPr>
          <w:lang w:eastAsia="fr-FR" w:bidi="fr-FR"/>
        </w:rPr>
        <w:t>torique se traduisant par le partage d’une généalogie, de qualités personnelles, d’usages, d’une langue, de héros, de productions savantes et popula</w:t>
      </w:r>
      <w:r w:rsidRPr="00601E6E">
        <w:rPr>
          <w:lang w:eastAsia="fr-FR" w:bidi="fr-FR"/>
        </w:rPr>
        <w:t>i</w:t>
      </w:r>
      <w:r w:rsidRPr="00601E6E">
        <w:rPr>
          <w:lang w:eastAsia="fr-FR" w:bidi="fr-FR"/>
        </w:rPr>
        <w:t>res, d’institutions et, dans certains cas, d’un terr</w:t>
      </w:r>
      <w:r w:rsidRPr="00601E6E">
        <w:rPr>
          <w:lang w:eastAsia="fr-FR" w:bidi="fr-FR"/>
        </w:rPr>
        <w:t>i</w:t>
      </w:r>
      <w:r w:rsidRPr="00601E6E">
        <w:rPr>
          <w:lang w:eastAsia="fr-FR" w:bidi="fr-FR"/>
        </w:rPr>
        <w:t>toire</w:t>
      </w:r>
      <w:r>
        <w:rPr>
          <w:lang w:eastAsia="fr-FR" w:bidi="fr-FR"/>
        </w:rPr>
        <w:t> </w:t>
      </w:r>
      <w:r>
        <w:rPr>
          <w:rStyle w:val="Appelnotedebasdep"/>
          <w:lang w:eastAsia="fr-FR" w:bidi="fr-FR"/>
        </w:rPr>
        <w:footnoteReference w:id="5"/>
      </w:r>
      <w:r w:rsidRPr="00601E6E">
        <w:rPr>
          <w:lang w:eastAsia="fr-FR" w:bidi="fr-FR"/>
        </w:rPr>
        <w:t>. Et c’est dans ces derniers cas que le risque de recouvrement de la société est le plus aigu.</w:t>
      </w:r>
    </w:p>
    <w:p w14:paraId="711810F2" w14:textId="77777777" w:rsidR="009A4910" w:rsidRDefault="009A4910" w:rsidP="009A4910">
      <w:pPr>
        <w:spacing w:before="120" w:after="120"/>
        <w:jc w:val="both"/>
      </w:pPr>
      <w:r w:rsidRPr="00601E6E">
        <w:rPr>
          <w:lang w:eastAsia="fr-FR" w:bidi="fr-FR"/>
        </w:rPr>
        <w:t>Toute opposition nette et absolue entre nation ethnique et nation civique ne permet pas de répondre à la question de Birnbaum. La di</w:t>
      </w:r>
      <w:r w:rsidRPr="00601E6E">
        <w:rPr>
          <w:lang w:eastAsia="fr-FR" w:bidi="fr-FR"/>
        </w:rPr>
        <w:t>s</w:t>
      </w:r>
      <w:r w:rsidRPr="00601E6E">
        <w:rPr>
          <w:lang w:eastAsia="fr-FR" w:bidi="fr-FR"/>
        </w:rPr>
        <w:t>tinction entre nationalismes dits civiques, jugés positivement, français, britannique, néerlandais, grec, suisse, canadien, américain, et nation</w:t>
      </w:r>
      <w:r w:rsidRPr="00601E6E">
        <w:rPr>
          <w:lang w:eastAsia="fr-FR" w:bidi="fr-FR"/>
        </w:rPr>
        <w:t>a</w:t>
      </w:r>
      <w:r w:rsidRPr="00601E6E">
        <w:rPr>
          <w:lang w:eastAsia="fr-FR" w:bidi="fr-FR"/>
        </w:rPr>
        <w:t>lismes dits romantiques et ethnoculturels, asiat</w:t>
      </w:r>
      <w:r w:rsidRPr="00601E6E">
        <w:rPr>
          <w:lang w:eastAsia="fr-FR" w:bidi="fr-FR"/>
        </w:rPr>
        <w:t>i</w:t>
      </w:r>
      <w:r w:rsidRPr="00601E6E">
        <w:rPr>
          <w:lang w:eastAsia="fr-FR" w:bidi="fr-FR"/>
        </w:rPr>
        <w:t>ques, allemand et d’États de l’Europe centrale et de l’Est (Seton-Watson, 1965</w:t>
      </w:r>
      <w:r>
        <w:rPr>
          <w:lang w:eastAsia="fr-FR" w:bidi="fr-FR"/>
        </w:rPr>
        <w:t> ;</w:t>
      </w:r>
      <w:r w:rsidRPr="00601E6E">
        <w:rPr>
          <w:lang w:eastAsia="fr-FR" w:bidi="fr-FR"/>
        </w:rPr>
        <w:t xml:space="preserve"> Kohn, 1944</w:t>
      </w:r>
      <w:r>
        <w:rPr>
          <w:lang w:eastAsia="fr-FR" w:bidi="fr-FR"/>
        </w:rPr>
        <w:t> ;</w:t>
      </w:r>
      <w:r w:rsidRPr="00601E6E">
        <w:rPr>
          <w:lang w:eastAsia="fr-FR" w:bidi="fr-FR"/>
        </w:rPr>
        <w:t xml:space="preserve"> Brubaker, 1989</w:t>
      </w:r>
      <w:r>
        <w:rPr>
          <w:lang w:eastAsia="fr-FR" w:bidi="fr-FR"/>
        </w:rPr>
        <w:t> ;</w:t>
      </w:r>
      <w:r w:rsidRPr="00601E6E">
        <w:rPr>
          <w:lang w:eastAsia="fr-FR" w:bidi="fr-FR"/>
        </w:rPr>
        <w:t xml:space="preserve"> Ignatieff, 1994) est sociologiquement non fondée. La réelle distinction entre ces nati</w:t>
      </w:r>
      <w:r w:rsidRPr="00601E6E">
        <w:rPr>
          <w:lang w:eastAsia="fr-FR" w:bidi="fr-FR"/>
        </w:rPr>
        <w:t>o</w:t>
      </w:r>
      <w:r w:rsidRPr="00601E6E">
        <w:rPr>
          <w:lang w:eastAsia="fr-FR" w:bidi="fr-FR"/>
        </w:rPr>
        <w:t>nalismes est une distinction entre régimes démocratiques et rég</w:t>
      </w:r>
      <w:r w:rsidRPr="00601E6E">
        <w:rPr>
          <w:lang w:eastAsia="fr-FR" w:bidi="fr-FR"/>
        </w:rPr>
        <w:t>i</w:t>
      </w:r>
      <w:r w:rsidRPr="00601E6E">
        <w:rPr>
          <w:lang w:eastAsia="fr-FR" w:bidi="fr-FR"/>
        </w:rPr>
        <w:t>mes autoritaires.</w:t>
      </w:r>
    </w:p>
    <w:p w14:paraId="434EFBC4" w14:textId="77777777" w:rsidR="009A4910" w:rsidRDefault="009A4910" w:rsidP="009A4910">
      <w:pPr>
        <w:spacing w:before="120" w:after="120"/>
        <w:jc w:val="both"/>
      </w:pPr>
      <w:r w:rsidRPr="00601E6E">
        <w:rPr>
          <w:lang w:eastAsia="fr-FR" w:bidi="fr-FR"/>
        </w:rPr>
        <w:t>La réponse à la question soulevée par Birnbaum implique au pr</w:t>
      </w:r>
      <w:r w:rsidRPr="00601E6E">
        <w:rPr>
          <w:lang w:eastAsia="fr-FR" w:bidi="fr-FR"/>
        </w:rPr>
        <w:t>e</w:t>
      </w:r>
      <w:r w:rsidRPr="00601E6E">
        <w:rPr>
          <w:lang w:eastAsia="fr-FR" w:bidi="fr-FR"/>
        </w:rPr>
        <w:t>mier chef une analyse sociologique des interprétations de la comm</w:t>
      </w:r>
      <w:r w:rsidRPr="00601E6E">
        <w:rPr>
          <w:lang w:eastAsia="fr-FR" w:bidi="fr-FR"/>
        </w:rPr>
        <w:t>u</w:t>
      </w:r>
      <w:r w:rsidRPr="00601E6E">
        <w:rPr>
          <w:lang w:eastAsia="fr-FR" w:bidi="fr-FR"/>
        </w:rPr>
        <w:t>nalité sociétale selon le système politique, l’époque et les rapports de force à l’œuvre au sein de chaque société. Il faut ex</w:t>
      </w:r>
      <w:r w:rsidRPr="00601E6E">
        <w:rPr>
          <w:lang w:eastAsia="fr-FR" w:bidi="fr-FR"/>
        </w:rPr>
        <w:t>a</w:t>
      </w:r>
      <w:r w:rsidRPr="00601E6E">
        <w:rPr>
          <w:lang w:eastAsia="fr-FR" w:bidi="fr-FR"/>
        </w:rPr>
        <w:t>miner comment tout discours parlant de communalité transforme ces rapports de force et génère éventuellement une ou plusieurs formes nouvelles de dom</w:t>
      </w:r>
      <w:r w:rsidRPr="00601E6E">
        <w:rPr>
          <w:lang w:eastAsia="fr-FR" w:bidi="fr-FR"/>
        </w:rPr>
        <w:t>i</w:t>
      </w:r>
      <w:r w:rsidRPr="00601E6E">
        <w:rPr>
          <w:lang w:eastAsia="fr-FR" w:bidi="fr-FR"/>
        </w:rPr>
        <w:t>nation ou en annule d’autres existantes.</w:t>
      </w:r>
    </w:p>
    <w:p w14:paraId="481D5EC0" w14:textId="77777777" w:rsidR="009A4910" w:rsidRDefault="009A4910" w:rsidP="009A4910">
      <w:pPr>
        <w:spacing w:before="120" w:after="120"/>
        <w:jc w:val="both"/>
      </w:pPr>
      <w:r w:rsidRPr="00601E6E">
        <w:rPr>
          <w:lang w:eastAsia="fr-FR" w:bidi="fr-FR"/>
        </w:rPr>
        <w:t xml:space="preserve">Dans le cas des discours nationalistes passés, nombre d’historiens, dont Hroch (1985, 1995), ont montré comment au </w:t>
      </w:r>
      <w:r w:rsidRPr="00601E6E">
        <w:t>XIX</w:t>
      </w:r>
      <w:r w:rsidRPr="00601E6E">
        <w:rPr>
          <w:vertAlign w:val="superscript"/>
        </w:rPr>
        <w:t>e</w:t>
      </w:r>
      <w:r w:rsidRPr="00601E6E">
        <w:t xml:space="preserve"> </w:t>
      </w:r>
      <w:r w:rsidRPr="00601E6E">
        <w:rPr>
          <w:lang w:eastAsia="fr-FR" w:bidi="fr-FR"/>
        </w:rPr>
        <w:t>siècle des membres de leur profession et des écrivains ont expliqué et rehaussé l’image d’une communalité linguistique pour appuyer la création d’États indépendants en Europe centrale. Des minorités accédèrent à la souveraineté politique, d’autres furent délivrées de la tutelle imp</w:t>
      </w:r>
      <w:r w:rsidRPr="00601E6E">
        <w:rPr>
          <w:lang w:eastAsia="fr-FR" w:bidi="fr-FR"/>
        </w:rPr>
        <w:t>é</w:t>
      </w:r>
      <w:r w:rsidRPr="00601E6E">
        <w:rPr>
          <w:lang w:eastAsia="fr-FR" w:bidi="fr-FR"/>
        </w:rPr>
        <w:t>riale mais devinrent assujetties aux premières. Des historiens ont ég</w:t>
      </w:r>
      <w:r w:rsidRPr="00601E6E">
        <w:rPr>
          <w:lang w:eastAsia="fr-FR" w:bidi="fr-FR"/>
        </w:rPr>
        <w:t>a</w:t>
      </w:r>
      <w:r w:rsidRPr="00601E6E">
        <w:rPr>
          <w:lang w:eastAsia="fr-FR" w:bidi="fr-FR"/>
        </w:rPr>
        <w:t xml:space="preserve">lement montré comment, durant la première moitié du </w:t>
      </w:r>
      <w:r w:rsidRPr="00601E6E">
        <w:t>XIX</w:t>
      </w:r>
      <w:r w:rsidRPr="00601E6E">
        <w:rPr>
          <w:vertAlign w:val="superscript"/>
        </w:rPr>
        <w:t>e</w:t>
      </w:r>
      <w:r w:rsidRPr="00601E6E">
        <w:t xml:space="preserve"> </w:t>
      </w:r>
      <w:r w:rsidRPr="00601E6E">
        <w:rPr>
          <w:lang w:eastAsia="fr-FR" w:bidi="fr-FR"/>
        </w:rPr>
        <w:t>siècle, les bureaucraties d’État en Europe occidentale ont superposé culture, et</w:t>
      </w:r>
      <w:r w:rsidRPr="00601E6E">
        <w:rPr>
          <w:lang w:eastAsia="fr-FR" w:bidi="fr-FR"/>
        </w:rPr>
        <w:t>h</w:t>
      </w:r>
      <w:r w:rsidRPr="00601E6E">
        <w:rPr>
          <w:lang w:eastAsia="fr-FR" w:bidi="fr-FR"/>
        </w:rPr>
        <w:t>nie et État moderne, ce</w:t>
      </w:r>
      <w:r w:rsidRPr="00601E6E">
        <w:rPr>
          <w:lang w:eastAsia="fr-FR" w:bidi="fr-FR"/>
        </w:rPr>
        <w:t>r</w:t>
      </w:r>
      <w:r w:rsidRPr="00601E6E">
        <w:rPr>
          <w:lang w:eastAsia="fr-FR" w:bidi="fr-FR"/>
        </w:rPr>
        <w:t>tes selon des formes différentes, et promu une équivalence entre institutions publiques, intérêts nationaux et territoire au nom d’impératifs économiques, puis divulgué, à partir des années 1860-1870, une équivalence entre des qualités individuelles</w:t>
      </w:r>
      <w:r>
        <w:rPr>
          <w:lang w:eastAsia="fr-FR" w:bidi="fr-FR"/>
        </w:rPr>
        <w:t> </w:t>
      </w:r>
      <w:r>
        <w:rPr>
          <w:rStyle w:val="Appelnotedebasdep"/>
          <w:lang w:eastAsia="fr-FR" w:bidi="fr-FR"/>
        </w:rPr>
        <w:footnoteReference w:id="6"/>
      </w:r>
      <w:r w:rsidRPr="00601E6E">
        <w:rPr>
          <w:lang w:eastAsia="fr-FR" w:bidi="fr-FR"/>
        </w:rPr>
        <w:t>, une langue, une histoire séculaire, des liens du sang et un territoire (Hob</w:t>
      </w:r>
      <w:r w:rsidRPr="00601E6E">
        <w:rPr>
          <w:lang w:eastAsia="fr-FR" w:bidi="fr-FR"/>
        </w:rPr>
        <w:t>s</w:t>
      </w:r>
      <w:r w:rsidRPr="00601E6E">
        <w:rPr>
          <w:lang w:eastAsia="fr-FR" w:bidi="fr-FR"/>
        </w:rPr>
        <w:t>bawm, 1983, 1990</w:t>
      </w:r>
      <w:r>
        <w:rPr>
          <w:lang w:eastAsia="fr-FR" w:bidi="fr-FR"/>
        </w:rPr>
        <w:t> </w:t>
      </w:r>
      <w:r>
        <w:rPr>
          <w:rStyle w:val="Appelnotedebasdep"/>
          <w:lang w:eastAsia="fr-FR" w:bidi="fr-FR"/>
        </w:rPr>
        <w:footnoteReference w:id="7"/>
      </w:r>
      <w:r w:rsidRPr="00601E6E">
        <w:rPr>
          <w:lang w:eastAsia="fr-FR" w:bidi="fr-FR"/>
        </w:rPr>
        <w:t>), au nom cette fois d’impératifs économiques et militaires. Une équivalence qu’à leur tour des écrivains et des hist</w:t>
      </w:r>
      <w:r w:rsidRPr="00601E6E">
        <w:rPr>
          <w:lang w:eastAsia="fr-FR" w:bidi="fr-FR"/>
        </w:rPr>
        <w:t>o</w:t>
      </w:r>
      <w:r w:rsidRPr="00601E6E">
        <w:rPr>
          <w:lang w:eastAsia="fr-FR" w:bidi="fr-FR"/>
        </w:rPr>
        <w:t>riens</w:t>
      </w:r>
      <w:r>
        <w:rPr>
          <w:lang w:eastAsia="fr-FR" w:bidi="fr-FR"/>
        </w:rPr>
        <w:t xml:space="preserve"> </w:t>
      </w:r>
      <w:r>
        <w:t xml:space="preserve">[44] </w:t>
      </w:r>
      <w:r w:rsidRPr="00601E6E">
        <w:rPr>
          <w:lang w:eastAsia="fr-FR" w:bidi="fr-FR"/>
        </w:rPr>
        <w:t>ont romancée (Agulhon, 1989</w:t>
      </w:r>
      <w:r>
        <w:rPr>
          <w:lang w:eastAsia="fr-FR" w:bidi="fr-FR"/>
        </w:rPr>
        <w:t> ;</w:t>
      </w:r>
      <w:r w:rsidRPr="00601E6E">
        <w:rPr>
          <w:lang w:eastAsia="fr-FR" w:bidi="fr-FR"/>
        </w:rPr>
        <w:t xml:space="preserve"> Nora, 1992</w:t>
      </w:r>
      <w:r>
        <w:rPr>
          <w:lang w:eastAsia="fr-FR" w:bidi="fr-FR"/>
        </w:rPr>
        <w:t> ;</w:t>
      </w:r>
      <w:r w:rsidRPr="00601E6E">
        <w:rPr>
          <w:lang w:eastAsia="fr-FR" w:bidi="fr-FR"/>
        </w:rPr>
        <w:t xml:space="preserve"> Colley, 1992</w:t>
      </w:r>
      <w:r>
        <w:rPr>
          <w:lang w:eastAsia="fr-FR" w:bidi="fr-FR"/>
        </w:rPr>
        <w:t> ;</w:t>
      </w:r>
      <w:r w:rsidRPr="00601E6E">
        <w:rPr>
          <w:lang w:eastAsia="fr-FR" w:bidi="fr-FR"/>
        </w:rPr>
        <w:t xml:space="preserve"> Thie</w:t>
      </w:r>
      <w:r w:rsidRPr="00601E6E">
        <w:rPr>
          <w:lang w:eastAsia="fr-FR" w:bidi="fr-FR"/>
        </w:rPr>
        <w:t>s</w:t>
      </w:r>
      <w:r w:rsidRPr="00601E6E">
        <w:rPr>
          <w:lang w:eastAsia="fr-FR" w:bidi="fr-FR"/>
        </w:rPr>
        <w:t>se, 1999) et que servit la généralisation des institutions scolaires publiques (Green, 1990</w:t>
      </w:r>
      <w:r>
        <w:rPr>
          <w:lang w:eastAsia="fr-FR" w:bidi="fr-FR"/>
        </w:rPr>
        <w:t> ;</w:t>
      </w:r>
      <w:r w:rsidRPr="00601E6E">
        <w:rPr>
          <w:lang w:eastAsia="fr-FR" w:bidi="fr-FR"/>
        </w:rPr>
        <w:t xml:space="preserve"> Harp, 1998</w:t>
      </w:r>
      <w:r>
        <w:rPr>
          <w:lang w:eastAsia="fr-FR" w:bidi="fr-FR"/>
        </w:rPr>
        <w:t> ;</w:t>
      </w:r>
      <w:r w:rsidRPr="00601E6E">
        <w:rPr>
          <w:lang w:eastAsia="fr-FR" w:bidi="fr-FR"/>
        </w:rPr>
        <w:t xml:space="preserve"> Heathorn, 2000). C</w:t>
      </w:r>
      <w:r w:rsidRPr="00601E6E">
        <w:rPr>
          <w:lang w:eastAsia="fr-FR" w:bidi="fr-FR"/>
        </w:rPr>
        <w:t>i</w:t>
      </w:r>
      <w:r w:rsidRPr="00601E6E">
        <w:rPr>
          <w:lang w:eastAsia="fr-FR" w:bidi="fr-FR"/>
        </w:rPr>
        <w:t>toyenneté et nationalité en devinrent à l’époque nettement superp</w:t>
      </w:r>
      <w:r w:rsidRPr="00601E6E">
        <w:rPr>
          <w:lang w:eastAsia="fr-FR" w:bidi="fr-FR"/>
        </w:rPr>
        <w:t>o</w:t>
      </w:r>
      <w:r w:rsidRPr="00601E6E">
        <w:rPr>
          <w:lang w:eastAsia="fr-FR" w:bidi="fr-FR"/>
        </w:rPr>
        <w:t>sées</w:t>
      </w:r>
      <w:r>
        <w:rPr>
          <w:lang w:eastAsia="fr-FR" w:bidi="fr-FR"/>
        </w:rPr>
        <w:t> ;</w:t>
      </w:r>
      <w:r w:rsidRPr="00601E6E">
        <w:rPr>
          <w:lang w:eastAsia="fr-FR" w:bidi="fr-FR"/>
        </w:rPr>
        <w:t xml:space="preserve"> un bon citoyen fut défini comme un national patriote et les </w:t>
      </w:r>
      <w:r>
        <w:rPr>
          <w:lang w:eastAsia="fr-FR" w:bidi="fr-FR"/>
        </w:rPr>
        <w:t>« </w:t>
      </w:r>
      <w:r w:rsidRPr="00601E6E">
        <w:rPr>
          <w:lang w:eastAsia="fr-FR" w:bidi="fr-FR"/>
        </w:rPr>
        <w:t>grands nation</w:t>
      </w:r>
      <w:r w:rsidRPr="00601E6E">
        <w:rPr>
          <w:lang w:eastAsia="fr-FR" w:bidi="fr-FR"/>
        </w:rPr>
        <w:t>a</w:t>
      </w:r>
      <w:r w:rsidRPr="00601E6E">
        <w:rPr>
          <w:lang w:eastAsia="fr-FR" w:bidi="fr-FR"/>
        </w:rPr>
        <w:t>lismes</w:t>
      </w:r>
      <w:r>
        <w:rPr>
          <w:lang w:eastAsia="fr-FR" w:bidi="fr-FR"/>
        </w:rPr>
        <w:t> </w:t>
      </w:r>
      <w:r>
        <w:rPr>
          <w:rStyle w:val="Appelnotedebasdep"/>
          <w:lang w:eastAsia="fr-FR" w:bidi="fr-FR"/>
        </w:rPr>
        <w:footnoteReference w:id="8"/>
      </w:r>
      <w:r>
        <w:rPr>
          <w:lang w:eastAsia="fr-FR" w:bidi="fr-FR"/>
        </w:rPr>
        <w:t> »</w:t>
      </w:r>
      <w:r w:rsidRPr="00601E6E">
        <w:rPr>
          <w:lang w:eastAsia="fr-FR" w:bidi="fr-FR"/>
        </w:rPr>
        <w:t xml:space="preserve"> fleurirent.</w:t>
      </w:r>
    </w:p>
    <w:p w14:paraId="29C8CFB5" w14:textId="77777777" w:rsidR="009A4910" w:rsidRDefault="009A4910" w:rsidP="009A4910">
      <w:pPr>
        <w:spacing w:before="120" w:after="120"/>
        <w:jc w:val="both"/>
      </w:pPr>
      <w:r w:rsidRPr="00601E6E">
        <w:rPr>
          <w:lang w:eastAsia="fr-FR" w:bidi="fr-FR"/>
        </w:rPr>
        <w:t>Cette évolution historique n’a rien d’inéluctable et permet un pr</w:t>
      </w:r>
      <w:r w:rsidRPr="00601E6E">
        <w:rPr>
          <w:lang w:eastAsia="fr-FR" w:bidi="fr-FR"/>
        </w:rPr>
        <w:t>e</w:t>
      </w:r>
      <w:r w:rsidRPr="00601E6E">
        <w:rPr>
          <w:lang w:eastAsia="fr-FR" w:bidi="fr-FR"/>
        </w:rPr>
        <w:t xml:space="preserve">mier constat, empirique et de simple réalisme politique. Les </w:t>
      </w:r>
      <w:r>
        <w:rPr>
          <w:lang w:eastAsia="fr-FR" w:bidi="fr-FR"/>
        </w:rPr>
        <w:t>« </w:t>
      </w:r>
      <w:r w:rsidRPr="00601E6E">
        <w:rPr>
          <w:lang w:eastAsia="fr-FR" w:bidi="fr-FR"/>
        </w:rPr>
        <w:t>grands nationalismes</w:t>
      </w:r>
      <w:r>
        <w:rPr>
          <w:lang w:eastAsia="fr-FR" w:bidi="fr-FR"/>
        </w:rPr>
        <w:t> »</w:t>
      </w:r>
      <w:r w:rsidRPr="00601E6E">
        <w:rPr>
          <w:lang w:eastAsia="fr-FR" w:bidi="fr-FR"/>
        </w:rPr>
        <w:t xml:space="preserve"> des années 1870-1914 purent s’affirmer grâce à la multiplication des classes moyennes générée par l’urbanisation et une mobilité sociale les servant, et grâce à la concession de droits sociaux et politiques aux </w:t>
      </w:r>
      <w:r>
        <w:rPr>
          <w:lang w:eastAsia="fr-FR" w:bidi="fr-FR"/>
        </w:rPr>
        <w:t>« </w:t>
      </w:r>
      <w:r w:rsidRPr="00601E6E">
        <w:rPr>
          <w:lang w:eastAsia="fr-FR" w:bidi="fr-FR"/>
        </w:rPr>
        <w:t>classes populaires</w:t>
      </w:r>
      <w:r>
        <w:rPr>
          <w:lang w:eastAsia="fr-FR" w:bidi="fr-FR"/>
        </w:rPr>
        <w:t> »</w:t>
      </w:r>
      <w:r w:rsidRPr="00601E6E">
        <w:rPr>
          <w:lang w:eastAsia="fr-FR" w:bidi="fr-FR"/>
        </w:rPr>
        <w:t xml:space="preserve"> (droit de vote universel aux hommes et leur intégration à la vie politique, accès à la scolarisation et à une mobilité sociale, premi</w:t>
      </w:r>
      <w:r w:rsidRPr="00601E6E">
        <w:rPr>
          <w:lang w:eastAsia="fr-FR" w:bidi="fr-FR"/>
        </w:rPr>
        <w:t>è</w:t>
      </w:r>
      <w:r w:rsidRPr="00601E6E">
        <w:rPr>
          <w:lang w:eastAsia="fr-FR" w:bidi="fr-FR"/>
        </w:rPr>
        <w:t>res formes de protection au travail et sociale, droits syndicaux, hausse des revenus). Ce ralliement de la m</w:t>
      </w:r>
      <w:r w:rsidRPr="00601E6E">
        <w:rPr>
          <w:lang w:eastAsia="fr-FR" w:bidi="fr-FR"/>
        </w:rPr>
        <w:t>a</w:t>
      </w:r>
      <w:r w:rsidRPr="00601E6E">
        <w:rPr>
          <w:lang w:eastAsia="fr-FR" w:bidi="fr-FR"/>
        </w:rPr>
        <w:t>jorité des populations leur permit de réprimer les résistances et conte</w:t>
      </w:r>
      <w:r w:rsidRPr="00601E6E">
        <w:rPr>
          <w:lang w:eastAsia="fr-FR" w:bidi="fr-FR"/>
        </w:rPr>
        <w:t>s</w:t>
      </w:r>
      <w:r w:rsidRPr="00601E6E">
        <w:rPr>
          <w:lang w:eastAsia="fr-FR" w:bidi="fr-FR"/>
        </w:rPr>
        <w:t>tations régionales, linguistiques, religieuses et politiques que suscit</w:t>
      </w:r>
      <w:r w:rsidRPr="00601E6E">
        <w:rPr>
          <w:lang w:eastAsia="fr-FR" w:bidi="fr-FR"/>
        </w:rPr>
        <w:t>è</w:t>
      </w:r>
      <w:r w:rsidRPr="00601E6E">
        <w:rPr>
          <w:lang w:eastAsia="fr-FR" w:bidi="fr-FR"/>
        </w:rPr>
        <w:t>rent l’expansion du capitalisme à la fin du siècle dernier et l’affirmation de patri</w:t>
      </w:r>
      <w:r w:rsidRPr="00601E6E">
        <w:rPr>
          <w:lang w:eastAsia="fr-FR" w:bidi="fr-FR"/>
        </w:rPr>
        <w:t>o</w:t>
      </w:r>
      <w:r w:rsidRPr="00601E6E">
        <w:rPr>
          <w:lang w:eastAsia="fr-FR" w:bidi="fr-FR"/>
        </w:rPr>
        <w:t>tismes nationaux guerriers de 1870 à 1914.</w:t>
      </w:r>
    </w:p>
    <w:p w14:paraId="17D51212" w14:textId="77777777" w:rsidR="009A4910" w:rsidRDefault="009A4910" w:rsidP="009A4910">
      <w:pPr>
        <w:spacing w:before="120" w:after="120"/>
        <w:jc w:val="both"/>
      </w:pPr>
      <w:r w:rsidRPr="00601E6E">
        <w:rPr>
          <w:lang w:eastAsia="fr-FR" w:bidi="fr-FR"/>
        </w:rPr>
        <w:t>Par contre, toute idéologie prétendant superposer société et n</w:t>
      </w:r>
      <w:r w:rsidRPr="00601E6E">
        <w:rPr>
          <w:lang w:eastAsia="fr-FR" w:bidi="fr-FR"/>
        </w:rPr>
        <w:t>a</w:t>
      </w:r>
      <w:r w:rsidRPr="00601E6E">
        <w:rPr>
          <w:lang w:eastAsia="fr-FR" w:bidi="fr-FR"/>
        </w:rPr>
        <w:t xml:space="preserve">tion, ou encore </w:t>
      </w:r>
      <w:r>
        <w:rPr>
          <w:lang w:eastAsia="fr-FR" w:bidi="fr-FR"/>
        </w:rPr>
        <w:t>État</w:t>
      </w:r>
      <w:r w:rsidRPr="00601E6E">
        <w:rPr>
          <w:lang w:eastAsia="fr-FR" w:bidi="fr-FR"/>
        </w:rPr>
        <w:t xml:space="preserve"> et nation, est actuellement condamnée à gén</w:t>
      </w:r>
      <w:r w:rsidRPr="00601E6E">
        <w:rPr>
          <w:lang w:eastAsia="fr-FR" w:bidi="fr-FR"/>
        </w:rPr>
        <w:t>é</w:t>
      </w:r>
      <w:r w:rsidRPr="00601E6E">
        <w:rPr>
          <w:lang w:eastAsia="fr-FR" w:bidi="fr-FR"/>
        </w:rPr>
        <w:t>rer force conflits. Les revendications noires et féministes à partir des années 1940, nationalitaires et ethniques à partir des années 1960, ont démo</w:t>
      </w:r>
      <w:r w:rsidRPr="00601E6E">
        <w:rPr>
          <w:lang w:eastAsia="fr-FR" w:bidi="fr-FR"/>
        </w:rPr>
        <w:t>n</w:t>
      </w:r>
      <w:r w:rsidRPr="00601E6E">
        <w:rPr>
          <w:lang w:eastAsia="fr-FR" w:bidi="fr-FR"/>
        </w:rPr>
        <w:t>tré les effets inégalitaires produits par toute philosophie politique a</w:t>
      </w:r>
      <w:r w:rsidRPr="00601E6E">
        <w:rPr>
          <w:lang w:eastAsia="fr-FR" w:bidi="fr-FR"/>
        </w:rPr>
        <w:t>f</w:t>
      </w:r>
      <w:r w:rsidRPr="00601E6E">
        <w:rPr>
          <w:lang w:eastAsia="fr-FR" w:bidi="fr-FR"/>
        </w:rPr>
        <w:t>firmant l’égalité de tous et ignorant les dynamiques sociales enge</w:t>
      </w:r>
      <w:r w:rsidRPr="00601E6E">
        <w:rPr>
          <w:lang w:eastAsia="fr-FR" w:bidi="fr-FR"/>
        </w:rPr>
        <w:t>n</w:t>
      </w:r>
      <w:r w:rsidRPr="00601E6E">
        <w:rPr>
          <w:lang w:eastAsia="fr-FR" w:bidi="fr-FR"/>
        </w:rPr>
        <w:t>drées par le racisme, le sexisme et l’ethnocentrisme. Elles ont révélé que les inégalités créées par ces dynamiques avaient un caractère sy</w:t>
      </w:r>
      <w:r w:rsidRPr="00601E6E">
        <w:rPr>
          <w:lang w:eastAsia="fr-FR" w:bidi="fr-FR"/>
        </w:rPr>
        <w:t>s</w:t>
      </w:r>
      <w:r w:rsidRPr="00601E6E">
        <w:rPr>
          <w:lang w:eastAsia="fr-FR" w:bidi="fr-FR"/>
        </w:rPr>
        <w:t>témique, non aléatoire, s’inscrivaient dans la structure des occupations et des postes polit</w:t>
      </w:r>
      <w:r w:rsidRPr="00601E6E">
        <w:rPr>
          <w:lang w:eastAsia="fr-FR" w:bidi="fr-FR"/>
        </w:rPr>
        <w:t>i</w:t>
      </w:r>
      <w:r w:rsidRPr="00601E6E">
        <w:rPr>
          <w:lang w:eastAsia="fr-FR" w:bidi="fr-FR"/>
        </w:rPr>
        <w:t>ques et ne paraissaient pas devoir s’effacer au fil d’une évolution positive des mentalités. Elles n’ont cependant que peu souvent mis en cause les effets de l’affirmation d’une communalité sociétale ancrée dans une histoire et une culture nationales. Ce fut à partir des années 1980 que le droit d’exprimer sans préjudice social des héritages et orientations culturels minoritaires devint partie int</w:t>
      </w:r>
      <w:r w:rsidRPr="00601E6E">
        <w:rPr>
          <w:lang w:eastAsia="fr-FR" w:bidi="fr-FR"/>
        </w:rPr>
        <w:t>é</w:t>
      </w:r>
      <w:r w:rsidRPr="00601E6E">
        <w:rPr>
          <w:lang w:eastAsia="fr-FR" w:bidi="fr-FR"/>
        </w:rPr>
        <w:t>grante du paysage politique occidental. La nature discriminatoire de tout discours prétendant imposer une définition du national fut déso</w:t>
      </w:r>
      <w:r w:rsidRPr="00601E6E">
        <w:rPr>
          <w:lang w:eastAsia="fr-FR" w:bidi="fr-FR"/>
        </w:rPr>
        <w:t>r</w:t>
      </w:r>
      <w:r w:rsidRPr="00601E6E">
        <w:rPr>
          <w:lang w:eastAsia="fr-FR" w:bidi="fr-FR"/>
        </w:rPr>
        <w:t>mais dénoncée et ses effets, un accès limité, sinon nul, des non-nationaux à des emplois et au corps des élus, un déni de reconnaissa</w:t>
      </w:r>
      <w:r w:rsidRPr="00601E6E">
        <w:rPr>
          <w:lang w:eastAsia="fr-FR" w:bidi="fr-FR"/>
        </w:rPr>
        <w:t>n</w:t>
      </w:r>
      <w:r w:rsidRPr="00601E6E">
        <w:rPr>
          <w:lang w:eastAsia="fr-FR" w:bidi="fr-FR"/>
        </w:rPr>
        <w:t>ce comme membres à part entière de la nation, une ér</w:t>
      </w:r>
      <w:r w:rsidRPr="00601E6E">
        <w:rPr>
          <w:lang w:eastAsia="fr-FR" w:bidi="fr-FR"/>
        </w:rPr>
        <w:t>o</w:t>
      </w:r>
      <w:r w:rsidRPr="00601E6E">
        <w:rPr>
          <w:lang w:eastAsia="fr-FR" w:bidi="fr-FR"/>
        </w:rPr>
        <w:t>sion de leurs langues et cultures et leur effacement ou statut second dans la narr</w:t>
      </w:r>
      <w:r w:rsidRPr="00601E6E">
        <w:rPr>
          <w:lang w:eastAsia="fr-FR" w:bidi="fr-FR"/>
        </w:rPr>
        <w:t>a</w:t>
      </w:r>
      <w:r w:rsidRPr="00601E6E">
        <w:rPr>
          <w:lang w:eastAsia="fr-FR" w:bidi="fr-FR"/>
        </w:rPr>
        <w:t>tion historique, furent mis au jour. Dès lors, un discours national to</w:t>
      </w:r>
      <w:r w:rsidRPr="00601E6E">
        <w:rPr>
          <w:lang w:eastAsia="fr-FR" w:bidi="fr-FR"/>
        </w:rPr>
        <w:t>u</w:t>
      </w:r>
      <w:r w:rsidRPr="00601E6E">
        <w:rPr>
          <w:lang w:eastAsia="fr-FR" w:bidi="fr-FR"/>
        </w:rPr>
        <w:t>jours producteur d’exclusions sociales, économ</w:t>
      </w:r>
      <w:r w:rsidRPr="00601E6E">
        <w:rPr>
          <w:lang w:eastAsia="fr-FR" w:bidi="fr-FR"/>
        </w:rPr>
        <w:t>i</w:t>
      </w:r>
      <w:r w:rsidRPr="00601E6E">
        <w:rPr>
          <w:lang w:eastAsia="fr-FR" w:bidi="fr-FR"/>
        </w:rPr>
        <w:t>ques et politiques, vu ses fondements ethnocentriques, ne peut que s’attirer des répliques cinglantes. Une transformation sociopolit</w:t>
      </w:r>
      <w:r w:rsidRPr="00601E6E">
        <w:rPr>
          <w:lang w:eastAsia="fr-FR" w:bidi="fr-FR"/>
        </w:rPr>
        <w:t>i</w:t>
      </w:r>
      <w:r w:rsidRPr="00601E6E">
        <w:rPr>
          <w:lang w:eastAsia="fr-FR" w:bidi="fr-FR"/>
        </w:rPr>
        <w:t>que est survenue.</w:t>
      </w:r>
    </w:p>
    <w:p w14:paraId="642302AC" w14:textId="77777777" w:rsidR="009A4910" w:rsidRDefault="009A4910" w:rsidP="009A4910">
      <w:pPr>
        <w:spacing w:before="120" w:after="120"/>
        <w:jc w:val="both"/>
      </w:pPr>
      <w:r w:rsidRPr="00601E6E">
        <w:rPr>
          <w:lang w:eastAsia="fr-FR" w:bidi="fr-FR"/>
        </w:rPr>
        <w:t>Ce constat empirique a des fondements sociologiques.</w:t>
      </w:r>
    </w:p>
    <w:p w14:paraId="2E2A5AED" w14:textId="77777777" w:rsidR="009A4910" w:rsidRDefault="009A4910" w:rsidP="009A4910">
      <w:pPr>
        <w:spacing w:before="120" w:after="120"/>
        <w:jc w:val="both"/>
      </w:pPr>
      <w:r w:rsidRPr="00601E6E">
        <w:rPr>
          <w:lang w:eastAsia="fr-FR" w:bidi="fr-FR"/>
        </w:rPr>
        <w:t>Les expériences communes aux membres d’une société, socialis</w:t>
      </w:r>
      <w:r w:rsidRPr="00601E6E">
        <w:rPr>
          <w:lang w:eastAsia="fr-FR" w:bidi="fr-FR"/>
        </w:rPr>
        <w:t>a</w:t>
      </w:r>
      <w:r w:rsidRPr="00601E6E">
        <w:rPr>
          <w:lang w:eastAsia="fr-FR" w:bidi="fr-FR"/>
        </w:rPr>
        <w:t>tion par l’école, usage d’une ou de plusieurs langues majoritaires, m</w:t>
      </w:r>
      <w:r w:rsidRPr="00601E6E">
        <w:rPr>
          <w:lang w:eastAsia="fr-FR" w:bidi="fr-FR"/>
        </w:rPr>
        <w:t>o</w:t>
      </w:r>
      <w:r w:rsidRPr="00601E6E">
        <w:rPr>
          <w:lang w:eastAsia="fr-FR" w:bidi="fr-FR"/>
        </w:rPr>
        <w:t>des de relation avec les services publics et les institutions politiques, exposition aux médias, aux politiques publiques et à un</w:t>
      </w:r>
      <w:r>
        <w:rPr>
          <w:lang w:eastAsia="fr-FR" w:bidi="fr-FR"/>
        </w:rPr>
        <w:t xml:space="preserve"> </w:t>
      </w:r>
      <w:r>
        <w:t xml:space="preserve">[45] </w:t>
      </w:r>
      <w:r w:rsidRPr="00601E6E">
        <w:rPr>
          <w:lang w:eastAsia="fr-FR" w:bidi="fr-FR"/>
        </w:rPr>
        <w:t>enviro</w:t>
      </w:r>
      <w:r w:rsidRPr="00601E6E">
        <w:rPr>
          <w:lang w:eastAsia="fr-FR" w:bidi="fr-FR"/>
        </w:rPr>
        <w:t>n</w:t>
      </w:r>
      <w:r w:rsidRPr="00601E6E">
        <w:rPr>
          <w:lang w:eastAsia="fr-FR" w:bidi="fr-FR"/>
        </w:rPr>
        <w:t>nement physique, ne créent jamais une totale homogénéisation cult</w:t>
      </w:r>
      <w:r w:rsidRPr="00601E6E">
        <w:rPr>
          <w:lang w:eastAsia="fr-FR" w:bidi="fr-FR"/>
        </w:rPr>
        <w:t>u</w:t>
      </w:r>
      <w:r w:rsidRPr="00601E6E">
        <w:rPr>
          <w:lang w:eastAsia="fr-FR" w:bidi="fr-FR"/>
        </w:rPr>
        <w:t>relle. Différence de places et de statuts sociaux au premier chef, mais aussi différence de trajectoires personnelles i</w:t>
      </w:r>
      <w:r w:rsidRPr="00601E6E">
        <w:rPr>
          <w:lang w:eastAsia="fr-FR" w:bidi="fr-FR"/>
        </w:rPr>
        <w:t>n</w:t>
      </w:r>
      <w:r w:rsidRPr="00601E6E">
        <w:rPr>
          <w:lang w:eastAsia="fr-FR" w:bidi="fr-FR"/>
        </w:rPr>
        <w:t>terviennent et il ne se crée pas pour tous un sens de communalité nationale ou s</w:t>
      </w:r>
      <w:r w:rsidRPr="00601E6E">
        <w:rPr>
          <w:lang w:eastAsia="fr-FR" w:bidi="fr-FR"/>
        </w:rPr>
        <w:t>o</w:t>
      </w:r>
      <w:r w:rsidRPr="00601E6E">
        <w:rPr>
          <w:lang w:eastAsia="fr-FR" w:bidi="fr-FR"/>
        </w:rPr>
        <w:t>ciétale mais, quand ce sens est présent, il peut s’ancrer différemment, comme l’illustre à sa faible échelle l’enquête citée ci-dessus.</w:t>
      </w:r>
    </w:p>
    <w:p w14:paraId="29EEF2CB" w14:textId="77777777" w:rsidR="009A4910" w:rsidRDefault="009A4910" w:rsidP="009A4910">
      <w:pPr>
        <w:spacing w:before="120" w:after="120"/>
        <w:jc w:val="both"/>
      </w:pPr>
      <w:r w:rsidRPr="00601E6E">
        <w:rPr>
          <w:lang w:eastAsia="fr-FR" w:bidi="fr-FR"/>
        </w:rPr>
        <w:t>L’idée de culture dominante et de ses limites rend en partie compte de cette dynamique. Selon Williams (1973, 1980), une culture dom</w:t>
      </w:r>
      <w:r w:rsidRPr="00601E6E">
        <w:rPr>
          <w:lang w:eastAsia="fr-FR" w:bidi="fr-FR"/>
        </w:rPr>
        <w:t>i</w:t>
      </w:r>
      <w:r w:rsidRPr="00601E6E">
        <w:rPr>
          <w:lang w:eastAsia="fr-FR" w:bidi="fr-FR"/>
        </w:rPr>
        <w:t>nante est l’ensemble des interprétations, rarement e</w:t>
      </w:r>
      <w:r w:rsidRPr="00601E6E">
        <w:rPr>
          <w:lang w:eastAsia="fr-FR" w:bidi="fr-FR"/>
        </w:rPr>
        <w:t>x</w:t>
      </w:r>
      <w:r w:rsidRPr="00601E6E">
        <w:rPr>
          <w:lang w:eastAsia="fr-FR" w:bidi="fr-FR"/>
        </w:rPr>
        <w:t>plicitées et plutôt tenues pour acquises, qui régissent les relations quotidiennes entre les personnes dans les principaux aspects de leur vie sociale. Néanmoins, cette culture n’est jamais hégémon</w:t>
      </w:r>
      <w:r w:rsidRPr="00601E6E">
        <w:rPr>
          <w:lang w:eastAsia="fr-FR" w:bidi="fr-FR"/>
        </w:rPr>
        <w:t>i</w:t>
      </w:r>
      <w:r w:rsidRPr="00601E6E">
        <w:rPr>
          <w:lang w:eastAsia="fr-FR" w:bidi="fr-FR"/>
        </w:rPr>
        <w:t>que, car les rapports de pouvoir qu’elle crée révèlent toujours des contradictions entre les préceptes idéaux et la réalité sociale. D’autres interprétations de cette réalité en sont créées, qui conte</w:t>
      </w:r>
      <w:r w:rsidRPr="00601E6E">
        <w:rPr>
          <w:lang w:eastAsia="fr-FR" w:bidi="fr-FR"/>
        </w:rPr>
        <w:t>s</w:t>
      </w:r>
      <w:r w:rsidRPr="00601E6E">
        <w:rPr>
          <w:lang w:eastAsia="fr-FR" w:bidi="fr-FR"/>
        </w:rPr>
        <w:t>tent la légitimité de toute culture dominante (Roseberry, 1989</w:t>
      </w:r>
      <w:r>
        <w:rPr>
          <w:lang w:eastAsia="fr-FR" w:bidi="fr-FR"/>
        </w:rPr>
        <w:t> ;</w:t>
      </w:r>
      <w:r w:rsidRPr="00601E6E">
        <w:rPr>
          <w:lang w:eastAsia="fr-FR" w:bidi="fr-FR"/>
        </w:rPr>
        <w:t xml:space="preserve"> Thomas, 1994) et ouvrent un espace au conflit. Dans un système moderne, les idées d’égalité et de libertés fondame</w:t>
      </w:r>
      <w:r w:rsidRPr="00601E6E">
        <w:rPr>
          <w:lang w:eastAsia="fr-FR" w:bidi="fr-FR"/>
        </w:rPr>
        <w:t>n</w:t>
      </w:r>
      <w:r w:rsidRPr="00601E6E">
        <w:rPr>
          <w:lang w:eastAsia="fr-FR" w:bidi="fr-FR"/>
        </w:rPr>
        <w:t>tales sont les représentations qui créent un tel espace (Rancière, 1981,1995</w:t>
      </w:r>
      <w:r>
        <w:rPr>
          <w:lang w:eastAsia="fr-FR" w:bidi="fr-FR"/>
        </w:rPr>
        <w:t> ;</w:t>
      </w:r>
      <w:r w:rsidRPr="00601E6E">
        <w:rPr>
          <w:lang w:eastAsia="fr-FR" w:bidi="fr-FR"/>
        </w:rPr>
        <w:t xml:space="preserve"> Scott, 1985</w:t>
      </w:r>
      <w:r>
        <w:rPr>
          <w:lang w:eastAsia="fr-FR" w:bidi="fr-FR"/>
        </w:rPr>
        <w:t> </w:t>
      </w:r>
      <w:r>
        <w:rPr>
          <w:rStyle w:val="Appelnotedebasdep"/>
          <w:lang w:eastAsia="fr-FR" w:bidi="fr-FR"/>
        </w:rPr>
        <w:footnoteReference w:id="9"/>
      </w:r>
      <w:r w:rsidRPr="00601E6E">
        <w:rPr>
          <w:lang w:eastAsia="fr-FR" w:bidi="fr-FR"/>
        </w:rPr>
        <w:t>). Depuis la fondation des démocraties, l’égalité des droits a été l’objet de contestations portant entre autres sur l’accès au vote des hommes non propriétaires et des femmes, la liberté d’expression, des conditions de travail et de rémunération d</w:t>
      </w:r>
      <w:r w:rsidRPr="00601E6E">
        <w:rPr>
          <w:lang w:eastAsia="fr-FR" w:bidi="fr-FR"/>
        </w:rPr>
        <w:t>é</w:t>
      </w:r>
      <w:r w:rsidRPr="00601E6E">
        <w:rPr>
          <w:lang w:eastAsia="fr-FR" w:bidi="fr-FR"/>
        </w:rPr>
        <w:t>ce</w:t>
      </w:r>
      <w:r w:rsidRPr="00601E6E">
        <w:rPr>
          <w:lang w:eastAsia="fr-FR" w:bidi="fr-FR"/>
        </w:rPr>
        <w:t>n</w:t>
      </w:r>
      <w:r w:rsidRPr="00601E6E">
        <w:rPr>
          <w:lang w:eastAsia="fr-FR" w:bidi="fr-FR"/>
        </w:rPr>
        <w:t>tes, et une protection sociale étatique.</w:t>
      </w:r>
    </w:p>
    <w:p w14:paraId="4EE50E2B" w14:textId="77777777" w:rsidR="009A4910" w:rsidRDefault="009A4910" w:rsidP="009A4910">
      <w:pPr>
        <w:spacing w:before="120" w:after="120"/>
        <w:jc w:val="both"/>
      </w:pPr>
      <w:r w:rsidRPr="00601E6E">
        <w:rPr>
          <w:lang w:eastAsia="fr-FR" w:bidi="fr-FR"/>
        </w:rPr>
        <w:t>En sus, les marges de contestation ouvertes permettent des fo</w:t>
      </w:r>
      <w:r w:rsidRPr="00601E6E">
        <w:rPr>
          <w:lang w:eastAsia="fr-FR" w:bidi="fr-FR"/>
        </w:rPr>
        <w:t>r</w:t>
      </w:r>
      <w:r w:rsidRPr="00601E6E">
        <w:rPr>
          <w:lang w:eastAsia="fr-FR" w:bidi="fr-FR"/>
        </w:rPr>
        <w:t>mes multiples de mise en cause de la hiérarchie sociale et des pr</w:t>
      </w:r>
      <w:r w:rsidRPr="00601E6E">
        <w:rPr>
          <w:lang w:eastAsia="fr-FR" w:bidi="fr-FR"/>
        </w:rPr>
        <w:t>é</w:t>
      </w:r>
      <w:r w:rsidRPr="00601E6E">
        <w:rPr>
          <w:lang w:eastAsia="fr-FR" w:bidi="fr-FR"/>
        </w:rPr>
        <w:t>ceptes démocratiques. Il peut, par exemple, exister plusieurs majorités cult</w:t>
      </w:r>
      <w:r w:rsidRPr="00601E6E">
        <w:rPr>
          <w:lang w:eastAsia="fr-FR" w:bidi="fr-FR"/>
        </w:rPr>
        <w:t>u</w:t>
      </w:r>
      <w:r w:rsidRPr="00601E6E">
        <w:rPr>
          <w:lang w:eastAsia="fr-FR" w:bidi="fr-FR"/>
        </w:rPr>
        <w:t>relles</w:t>
      </w:r>
      <w:r>
        <w:rPr>
          <w:lang w:eastAsia="fr-FR" w:bidi="fr-FR"/>
        </w:rPr>
        <w:t> </w:t>
      </w:r>
      <w:r>
        <w:rPr>
          <w:rStyle w:val="Appelnotedebasdep"/>
          <w:lang w:eastAsia="fr-FR" w:bidi="fr-FR"/>
        </w:rPr>
        <w:footnoteReference w:id="10"/>
      </w:r>
      <w:r w:rsidRPr="00601E6E">
        <w:rPr>
          <w:lang w:eastAsia="fr-FR" w:bidi="fr-FR"/>
        </w:rPr>
        <w:t xml:space="preserve"> au sein d’une société, chacune ancrée à un réf</w:t>
      </w:r>
      <w:r w:rsidRPr="00601E6E">
        <w:rPr>
          <w:lang w:eastAsia="fr-FR" w:bidi="fr-FR"/>
        </w:rPr>
        <w:t>é</w:t>
      </w:r>
      <w:r w:rsidRPr="00601E6E">
        <w:rPr>
          <w:lang w:eastAsia="fr-FR" w:bidi="fr-FR"/>
        </w:rPr>
        <w:t>rent propre (culture historique, langue, religion, orientation sexue</w:t>
      </w:r>
      <w:r w:rsidRPr="00601E6E">
        <w:rPr>
          <w:lang w:eastAsia="fr-FR" w:bidi="fr-FR"/>
        </w:rPr>
        <w:t>l</w:t>
      </w:r>
      <w:r w:rsidRPr="00601E6E">
        <w:rPr>
          <w:lang w:eastAsia="fr-FR" w:bidi="fr-FR"/>
        </w:rPr>
        <w:t>le, genre, race, origine nationale) et autant d’interprétations des conditions de l’inégalité en découlent.</w:t>
      </w:r>
    </w:p>
    <w:p w14:paraId="445D58D8" w14:textId="77777777" w:rsidR="009A4910" w:rsidRDefault="009A4910" w:rsidP="009A4910">
      <w:pPr>
        <w:spacing w:before="120" w:after="120"/>
        <w:jc w:val="both"/>
      </w:pPr>
      <w:r w:rsidRPr="00601E6E">
        <w:rPr>
          <w:lang w:eastAsia="fr-FR" w:bidi="fr-FR"/>
        </w:rPr>
        <w:t>Ce faisant, deux conclusions s’imposent, encore plus évidentes d</w:t>
      </w:r>
      <w:r w:rsidRPr="00601E6E">
        <w:rPr>
          <w:lang w:eastAsia="fr-FR" w:bidi="fr-FR"/>
        </w:rPr>
        <w:t>e</w:t>
      </w:r>
      <w:r w:rsidRPr="00601E6E">
        <w:rPr>
          <w:lang w:eastAsia="fr-FR" w:bidi="fr-FR"/>
        </w:rPr>
        <w:t>puis un demi-siècle.</w:t>
      </w:r>
    </w:p>
    <w:p w14:paraId="4C262C69" w14:textId="77777777" w:rsidR="009A4910" w:rsidRDefault="009A4910" w:rsidP="009A4910">
      <w:pPr>
        <w:spacing w:before="120" w:after="120"/>
        <w:jc w:val="both"/>
      </w:pPr>
      <w:r w:rsidRPr="00601E6E">
        <w:rPr>
          <w:lang w:eastAsia="fr-FR" w:bidi="fr-FR"/>
        </w:rPr>
        <w:t>Tout d’abord, comme l’a écrit Berlin (1959) il y a effectivement presque un demi-siècle, le désaccord au sujet de normes communes au sein de chaque société et d’une forme primordiale à celle-ci est con</w:t>
      </w:r>
      <w:r w:rsidRPr="00601E6E">
        <w:rPr>
          <w:lang w:eastAsia="fr-FR" w:bidi="fr-FR"/>
        </w:rPr>
        <w:t>s</w:t>
      </w:r>
      <w:r w:rsidRPr="00601E6E">
        <w:rPr>
          <w:lang w:eastAsia="fr-FR" w:bidi="fr-FR"/>
        </w:rPr>
        <w:t>tant et inéluctable</w:t>
      </w:r>
      <w:r>
        <w:rPr>
          <w:lang w:eastAsia="fr-FR" w:bidi="fr-FR"/>
        </w:rPr>
        <w:t> ;</w:t>
      </w:r>
      <w:r w:rsidRPr="00601E6E">
        <w:rPr>
          <w:lang w:eastAsia="fr-FR" w:bidi="fr-FR"/>
        </w:rPr>
        <w:t xml:space="preserve"> il est impossible de définir de la même m</w:t>
      </w:r>
      <w:r w:rsidRPr="00601E6E">
        <w:rPr>
          <w:lang w:eastAsia="fr-FR" w:bidi="fr-FR"/>
        </w:rPr>
        <w:t>a</w:t>
      </w:r>
      <w:r w:rsidRPr="00601E6E">
        <w:rPr>
          <w:lang w:eastAsia="fr-FR" w:bidi="fr-FR"/>
        </w:rPr>
        <w:t>nière ce qui est commun et bon pour vivre dans une société do</w:t>
      </w:r>
      <w:r w:rsidRPr="00601E6E">
        <w:rPr>
          <w:lang w:eastAsia="fr-FR" w:bidi="fr-FR"/>
        </w:rPr>
        <w:t>n</w:t>
      </w:r>
      <w:r w:rsidRPr="00601E6E">
        <w:rPr>
          <w:lang w:eastAsia="fr-FR" w:bidi="fr-FR"/>
        </w:rPr>
        <w:t>née. L’idéologie politique moderne tente de résoudre ce dilemme par les idées d’universalisme des droits et de tolérance, mais elle ne peut év</w:t>
      </w:r>
      <w:r w:rsidRPr="00601E6E">
        <w:rPr>
          <w:lang w:eastAsia="fr-FR" w:bidi="fr-FR"/>
        </w:rPr>
        <w:t>i</w:t>
      </w:r>
      <w:r w:rsidRPr="00601E6E">
        <w:rPr>
          <w:lang w:eastAsia="fr-FR" w:bidi="fr-FR"/>
        </w:rPr>
        <w:t>ter les conflits incessants que soulève l’application concrète de ces idées. Aussi, les définitions du lien à une société et le droit à la diss</w:t>
      </w:r>
      <w:r w:rsidRPr="00601E6E">
        <w:rPr>
          <w:lang w:eastAsia="fr-FR" w:bidi="fr-FR"/>
        </w:rPr>
        <w:t>i</w:t>
      </w:r>
      <w:r w:rsidRPr="00601E6E">
        <w:rPr>
          <w:lang w:eastAsia="fr-FR" w:bidi="fr-FR"/>
        </w:rPr>
        <w:t>dence, qu’elle soit politique ou culturelle, sont-ils à négocier sans ce</w:t>
      </w:r>
      <w:r w:rsidRPr="00601E6E">
        <w:rPr>
          <w:lang w:eastAsia="fr-FR" w:bidi="fr-FR"/>
        </w:rPr>
        <w:t>s</w:t>
      </w:r>
      <w:r w:rsidRPr="00601E6E">
        <w:rPr>
          <w:lang w:eastAsia="fr-FR" w:bidi="fr-FR"/>
        </w:rPr>
        <w:t>se et au cas par cas.</w:t>
      </w:r>
    </w:p>
    <w:p w14:paraId="6F829F18" w14:textId="77777777" w:rsidR="009A4910" w:rsidRDefault="009A4910" w:rsidP="009A4910">
      <w:pPr>
        <w:spacing w:before="120" w:after="120"/>
        <w:jc w:val="both"/>
      </w:pPr>
      <w:r w:rsidRPr="00601E6E">
        <w:rPr>
          <w:lang w:eastAsia="fr-FR" w:bidi="fr-FR"/>
        </w:rPr>
        <w:t>Ensuite, pour qu’une forme de lien s’affirme, il faut soit que les forces de contestation des inégalités soient annihilées ou tenues en compte par des négociations, soit que les rapports de domination fa</w:t>
      </w:r>
      <w:r w:rsidRPr="00601E6E">
        <w:rPr>
          <w:lang w:eastAsia="fr-FR" w:bidi="fr-FR"/>
        </w:rPr>
        <w:t>s</w:t>
      </w:r>
      <w:r w:rsidRPr="00601E6E">
        <w:rPr>
          <w:lang w:eastAsia="fr-FR" w:bidi="fr-FR"/>
        </w:rPr>
        <w:t>sent consensus. Le lien citoyen dont le caractère universaliste est si souvent mis en avant, n’a en fait jamais cessé d’être contesté (Ranci</w:t>
      </w:r>
      <w:r w:rsidRPr="00601E6E">
        <w:rPr>
          <w:lang w:eastAsia="fr-FR" w:bidi="fr-FR"/>
        </w:rPr>
        <w:t>è</w:t>
      </w:r>
      <w:r w:rsidRPr="00601E6E">
        <w:rPr>
          <w:lang w:eastAsia="fr-FR" w:bidi="fr-FR"/>
        </w:rPr>
        <w:t>re, 1981</w:t>
      </w:r>
      <w:r>
        <w:rPr>
          <w:lang w:eastAsia="fr-FR" w:bidi="fr-FR"/>
        </w:rPr>
        <w:t> ;</w:t>
      </w:r>
      <w:r w:rsidRPr="00601E6E">
        <w:rPr>
          <w:lang w:eastAsia="fr-FR" w:bidi="fr-FR"/>
        </w:rPr>
        <w:t xml:space="preserve"> Okin, 1979</w:t>
      </w:r>
      <w:r>
        <w:rPr>
          <w:lang w:eastAsia="fr-FR" w:bidi="fr-FR"/>
        </w:rPr>
        <w:t> ;</w:t>
      </w:r>
      <w:r w:rsidRPr="00601E6E">
        <w:rPr>
          <w:lang w:eastAsia="fr-FR" w:bidi="fr-FR"/>
        </w:rPr>
        <w:t xml:space="preserve"> Pateman, 1988</w:t>
      </w:r>
      <w:r>
        <w:rPr>
          <w:lang w:eastAsia="fr-FR" w:bidi="fr-FR"/>
        </w:rPr>
        <w:t> ;</w:t>
      </w:r>
      <w:r w:rsidRPr="00601E6E">
        <w:rPr>
          <w:lang w:eastAsia="fr-FR" w:bidi="fr-FR"/>
        </w:rPr>
        <w:t xml:space="preserve"> Young, 1989, 1990, 2000) et redéfini dans</w:t>
      </w:r>
      <w:r>
        <w:rPr>
          <w:lang w:eastAsia="fr-FR" w:bidi="fr-FR"/>
        </w:rPr>
        <w:t xml:space="preserve"> </w:t>
      </w:r>
      <w:r>
        <w:t xml:space="preserve">[46] </w:t>
      </w:r>
      <w:r>
        <w:rPr>
          <w:lang w:eastAsia="fr-FR" w:bidi="fr-FR"/>
        </w:rPr>
        <w:t>l’</w:t>
      </w:r>
      <w:r w:rsidRPr="00601E6E">
        <w:rPr>
          <w:lang w:eastAsia="fr-FR" w:bidi="fr-FR"/>
        </w:rPr>
        <w:t>histoire, passée et récente (Helly, 1999, 2000) des sociétés m</w:t>
      </w:r>
      <w:r w:rsidRPr="00601E6E">
        <w:rPr>
          <w:lang w:eastAsia="fr-FR" w:bidi="fr-FR"/>
        </w:rPr>
        <w:t>o</w:t>
      </w:r>
      <w:r w:rsidRPr="00601E6E">
        <w:rPr>
          <w:lang w:eastAsia="fr-FR" w:bidi="fr-FR"/>
        </w:rPr>
        <w:t>dernes. À l’inverse, toute définition du droit à l’établissement dans une société est ancrée dans le déni d’un droit, la libre circul</w:t>
      </w:r>
      <w:r w:rsidRPr="00601E6E">
        <w:rPr>
          <w:lang w:eastAsia="fr-FR" w:bidi="fr-FR"/>
        </w:rPr>
        <w:t>a</w:t>
      </w:r>
      <w:r w:rsidRPr="00601E6E">
        <w:rPr>
          <w:lang w:eastAsia="fr-FR" w:bidi="fr-FR"/>
        </w:rPr>
        <w:t>tion à l’échelle internationale, qui se perpétue en raison d’un large consensus des citoyens. L’admission de réfugiés a souvent illustré ce fait et l’illustre encore.</w:t>
      </w:r>
    </w:p>
    <w:p w14:paraId="011E4B97" w14:textId="77777777" w:rsidR="009A4910" w:rsidRDefault="009A4910" w:rsidP="009A4910">
      <w:pPr>
        <w:spacing w:before="120" w:after="120"/>
        <w:jc w:val="both"/>
      </w:pPr>
      <w:r w:rsidRPr="00601E6E">
        <w:rPr>
          <w:lang w:eastAsia="fr-FR" w:bidi="fr-FR"/>
        </w:rPr>
        <w:t>Comme toute autre forme de culture qui se veut ou est dom</w:t>
      </w:r>
      <w:r w:rsidRPr="00601E6E">
        <w:rPr>
          <w:lang w:eastAsia="fr-FR" w:bidi="fr-FR"/>
        </w:rPr>
        <w:t>i</w:t>
      </w:r>
      <w:r w:rsidRPr="00601E6E">
        <w:rPr>
          <w:lang w:eastAsia="fr-FR" w:bidi="fr-FR"/>
        </w:rPr>
        <w:t xml:space="preserve">nante, le lien national est partial et inégalitaire quand il tente de s’imposer ou réussit à s’imposer comme seul lien sociétal légitime. Ce type de lien n’est, en effet, qu’une interprétation de l’histoire et du présent, une </w:t>
      </w:r>
      <w:r>
        <w:rPr>
          <w:lang w:eastAsia="fr-FR" w:bidi="fr-FR"/>
        </w:rPr>
        <w:t>« </w:t>
      </w:r>
      <w:r w:rsidRPr="00601E6E">
        <w:rPr>
          <w:lang w:eastAsia="fr-FR" w:bidi="fr-FR"/>
        </w:rPr>
        <w:t>sélection de traditions</w:t>
      </w:r>
      <w:r>
        <w:rPr>
          <w:lang w:eastAsia="fr-FR" w:bidi="fr-FR"/>
        </w:rPr>
        <w:t> »</w:t>
      </w:r>
      <w:r w:rsidRPr="00601E6E">
        <w:rPr>
          <w:lang w:eastAsia="fr-FR" w:bidi="fr-FR"/>
        </w:rPr>
        <w:t xml:space="preserve"> (Williams, 1961</w:t>
      </w:r>
      <w:r>
        <w:rPr>
          <w:lang w:eastAsia="fr-FR" w:bidi="fr-FR"/>
        </w:rPr>
        <w:t> :</w:t>
      </w:r>
      <w:r w:rsidRPr="00601E6E">
        <w:rPr>
          <w:lang w:eastAsia="fr-FR" w:bidi="fr-FR"/>
        </w:rPr>
        <w:t xml:space="preserve"> 50-59), et il convoie une hostilité à l’égard des déviances refusant le conformisme qu’il érige en norme. Par son irrespect de deux post</w:t>
      </w:r>
      <w:r w:rsidRPr="00601E6E">
        <w:rPr>
          <w:lang w:eastAsia="fr-FR" w:bidi="fr-FR"/>
        </w:rPr>
        <w:t>u</w:t>
      </w:r>
      <w:r w:rsidRPr="00601E6E">
        <w:rPr>
          <w:lang w:eastAsia="fr-FR" w:bidi="fr-FR"/>
        </w:rPr>
        <w:t>lats normatifs modernes, l’égalité des droits et l’égalité des chances, quand bien même corre</w:t>
      </w:r>
      <w:r w:rsidRPr="00601E6E">
        <w:rPr>
          <w:lang w:eastAsia="fr-FR" w:bidi="fr-FR"/>
        </w:rPr>
        <w:t>s</w:t>
      </w:r>
      <w:r w:rsidRPr="00601E6E">
        <w:rPr>
          <w:lang w:eastAsia="fr-FR" w:bidi="fr-FR"/>
        </w:rPr>
        <w:t>pondrait-il à la loi de la majorité pol</w:t>
      </w:r>
      <w:r w:rsidRPr="00601E6E">
        <w:rPr>
          <w:lang w:eastAsia="fr-FR" w:bidi="fr-FR"/>
        </w:rPr>
        <w:t>i</w:t>
      </w:r>
      <w:r w:rsidRPr="00601E6E">
        <w:rPr>
          <w:lang w:eastAsia="fr-FR" w:bidi="fr-FR"/>
        </w:rPr>
        <w:t>tique, il suppose des mesures d’exclusion pour assurer la suprém</w:t>
      </w:r>
      <w:r w:rsidRPr="00601E6E">
        <w:rPr>
          <w:lang w:eastAsia="fr-FR" w:bidi="fr-FR"/>
        </w:rPr>
        <w:t>a</w:t>
      </w:r>
      <w:r w:rsidRPr="00601E6E">
        <w:rPr>
          <w:lang w:eastAsia="fr-FR" w:bidi="fr-FR"/>
        </w:rPr>
        <w:t>tie de sa définition du lien à une société. Il ne laisse guère d’espace à des négociations avec les groupes ethnoculturels ne relevant pas de sa tradition et il rend aussi total</w:t>
      </w:r>
      <w:r w:rsidRPr="00601E6E">
        <w:rPr>
          <w:lang w:eastAsia="fr-FR" w:bidi="fr-FR"/>
        </w:rPr>
        <w:t>e</w:t>
      </w:r>
      <w:r w:rsidRPr="00601E6E">
        <w:rPr>
          <w:lang w:eastAsia="fr-FR" w:bidi="fr-FR"/>
        </w:rPr>
        <w:t>ment factice la neutralité culturelle de l’État moderne, déjà fort inst</w:t>
      </w:r>
      <w:r w:rsidRPr="00601E6E">
        <w:rPr>
          <w:lang w:eastAsia="fr-FR" w:bidi="fr-FR"/>
        </w:rPr>
        <w:t>a</w:t>
      </w:r>
      <w:r w:rsidRPr="00601E6E">
        <w:rPr>
          <w:lang w:eastAsia="fr-FR" w:bidi="fr-FR"/>
        </w:rPr>
        <w:t>ble (Young, 1990</w:t>
      </w:r>
      <w:r>
        <w:rPr>
          <w:lang w:eastAsia="fr-FR" w:bidi="fr-FR"/>
        </w:rPr>
        <w:t> ;</w:t>
      </w:r>
      <w:r w:rsidRPr="00601E6E">
        <w:rPr>
          <w:lang w:eastAsia="fr-FR" w:bidi="fr-FR"/>
        </w:rPr>
        <w:t xml:space="preserve"> Kymlicka, 1995). Aussi l’idée de son imposition à l’échelle d’une société ne peut-elle être portée que par des courants peu enclins à respecter et encore moins à élargir les acquis démocrat</w:t>
      </w:r>
      <w:r w:rsidRPr="00601E6E">
        <w:rPr>
          <w:lang w:eastAsia="fr-FR" w:bidi="fr-FR"/>
        </w:rPr>
        <w:t>i</w:t>
      </w:r>
      <w:r w:rsidRPr="00601E6E">
        <w:rPr>
          <w:lang w:eastAsia="fr-FR" w:bidi="fr-FR"/>
        </w:rPr>
        <w:t>ques. On peut dès lors comprendre pourquoi les historiens attachés aux notions de nati</w:t>
      </w:r>
      <w:r w:rsidRPr="00601E6E">
        <w:rPr>
          <w:lang w:eastAsia="fr-FR" w:bidi="fr-FR"/>
        </w:rPr>
        <w:t>o</w:t>
      </w:r>
      <w:r w:rsidRPr="00601E6E">
        <w:rPr>
          <w:lang w:eastAsia="fr-FR" w:bidi="fr-FR"/>
        </w:rPr>
        <w:t>nalismes ethnique et civique n’ont en fait parlé que de régimes autoritaires et de régimes plus démocratiques et pou</w:t>
      </w:r>
      <w:r w:rsidRPr="00601E6E">
        <w:rPr>
          <w:lang w:eastAsia="fr-FR" w:bidi="fr-FR"/>
        </w:rPr>
        <w:t>r</w:t>
      </w:r>
      <w:r w:rsidRPr="00601E6E">
        <w:rPr>
          <w:lang w:eastAsia="fr-FR" w:bidi="fr-FR"/>
        </w:rPr>
        <w:t xml:space="preserve">quoi ce sont des mouvements conservateurs et </w:t>
      </w:r>
      <w:r>
        <w:rPr>
          <w:lang w:eastAsia="fr-FR" w:bidi="fr-FR"/>
        </w:rPr>
        <w:t>souvent de droite ou d’extrême-</w:t>
      </w:r>
      <w:r w:rsidRPr="00601E6E">
        <w:rPr>
          <w:lang w:eastAsia="fr-FR" w:bidi="fr-FR"/>
        </w:rPr>
        <w:t>dro</w:t>
      </w:r>
      <w:r w:rsidRPr="00601E6E">
        <w:rPr>
          <w:lang w:eastAsia="fr-FR" w:bidi="fr-FR"/>
        </w:rPr>
        <w:t>i</w:t>
      </w:r>
      <w:r w:rsidRPr="00601E6E">
        <w:rPr>
          <w:lang w:eastAsia="fr-FR" w:bidi="fr-FR"/>
        </w:rPr>
        <w:t>te qui portent le discours national.</w:t>
      </w:r>
    </w:p>
    <w:p w14:paraId="02469AAE" w14:textId="77777777" w:rsidR="009A4910" w:rsidRDefault="009A4910" w:rsidP="009A4910">
      <w:pPr>
        <w:spacing w:before="120" w:after="120"/>
        <w:jc w:val="both"/>
      </w:pPr>
      <w:r w:rsidRPr="00601E6E">
        <w:rPr>
          <w:lang w:eastAsia="fr-FR" w:bidi="fr-FR"/>
        </w:rPr>
        <w:t>Si ces constats empirique et sociologique délégitiment l’idée de lien national en montrant sa dynamique exclusionniste, ils ne sa</w:t>
      </w:r>
      <w:r w:rsidRPr="00601E6E">
        <w:rPr>
          <w:lang w:eastAsia="fr-FR" w:bidi="fr-FR"/>
        </w:rPr>
        <w:t>u</w:t>
      </w:r>
      <w:r w:rsidRPr="00601E6E">
        <w:rPr>
          <w:lang w:eastAsia="fr-FR" w:bidi="fr-FR"/>
        </w:rPr>
        <w:t>raient en réduire le droit d’expression sur la scène publique. Les débats sur la forme du lien à une société sont, avons-nous dit, inévitables et const</w:t>
      </w:r>
      <w:r w:rsidRPr="00601E6E">
        <w:rPr>
          <w:lang w:eastAsia="fr-FR" w:bidi="fr-FR"/>
        </w:rPr>
        <w:t>i</w:t>
      </w:r>
      <w:r w:rsidRPr="00601E6E">
        <w:rPr>
          <w:lang w:eastAsia="fr-FR" w:bidi="fr-FR"/>
        </w:rPr>
        <w:t>tutifs d’un régime démocratique vu l’abstraction et le formalisme du principe citoyen et des postulats libertaires et égalitaires. La question est donc de toujours s’assurer que cette idée, comme toute autre idée de la communalité sociétale se voulant hégémonique, ne vienne env</w:t>
      </w:r>
      <w:r w:rsidRPr="00601E6E">
        <w:rPr>
          <w:lang w:eastAsia="fr-FR" w:bidi="fr-FR"/>
        </w:rPr>
        <w:t>a</w:t>
      </w:r>
      <w:r w:rsidRPr="00601E6E">
        <w:rPr>
          <w:lang w:eastAsia="fr-FR" w:bidi="fr-FR"/>
        </w:rPr>
        <w:t>hir la scène publique et servir les propos de certaines catégories soci</w:t>
      </w:r>
      <w:r w:rsidRPr="00601E6E">
        <w:rPr>
          <w:lang w:eastAsia="fr-FR" w:bidi="fr-FR"/>
        </w:rPr>
        <w:t>a</w:t>
      </w:r>
      <w:r w:rsidRPr="00601E6E">
        <w:rPr>
          <w:lang w:eastAsia="fr-FR" w:bidi="fr-FR"/>
        </w:rPr>
        <w:t>les, par ailleurs légitimes s’ils donnaient lieu à des formes plus égal</w:t>
      </w:r>
      <w:r w:rsidRPr="00601E6E">
        <w:rPr>
          <w:lang w:eastAsia="fr-FR" w:bidi="fr-FR"/>
        </w:rPr>
        <w:t>i</w:t>
      </w:r>
      <w:r w:rsidRPr="00601E6E">
        <w:rPr>
          <w:lang w:eastAsia="fr-FR" w:bidi="fr-FR"/>
        </w:rPr>
        <w:t>taires de définition du lien sociétal pour atteindre leurs objectifs, que ceux-ci soient l’obtention d’une mobilité sociale, l’accès au pouvoir politique ou, au contraire, la tentative d’endiguer une descension s</w:t>
      </w:r>
      <w:r w:rsidRPr="00601E6E">
        <w:rPr>
          <w:lang w:eastAsia="fr-FR" w:bidi="fr-FR"/>
        </w:rPr>
        <w:t>o</w:t>
      </w:r>
      <w:r w:rsidRPr="00601E6E">
        <w:rPr>
          <w:lang w:eastAsia="fr-FR" w:bidi="fr-FR"/>
        </w:rPr>
        <w:t>ciale ou pol</w:t>
      </w:r>
      <w:r w:rsidRPr="00601E6E">
        <w:rPr>
          <w:lang w:eastAsia="fr-FR" w:bidi="fr-FR"/>
        </w:rPr>
        <w:t>i</w:t>
      </w:r>
      <w:r w:rsidRPr="00601E6E">
        <w:rPr>
          <w:lang w:eastAsia="fr-FR" w:bidi="fr-FR"/>
        </w:rPr>
        <w:t>tique.</w:t>
      </w:r>
    </w:p>
    <w:p w14:paraId="69A8A8E0" w14:textId="77777777" w:rsidR="009A4910" w:rsidRDefault="009A4910" w:rsidP="009A4910">
      <w:pPr>
        <w:spacing w:before="120" w:after="120"/>
        <w:jc w:val="both"/>
      </w:pPr>
      <w:r w:rsidRPr="00601E6E">
        <w:rPr>
          <w:lang w:eastAsia="fr-FR" w:bidi="fr-FR"/>
        </w:rPr>
        <w:t>Des enquêtes illustrent cependant un fait actuel. Le sens de co</w:t>
      </w:r>
      <w:r w:rsidRPr="00601E6E">
        <w:rPr>
          <w:lang w:eastAsia="fr-FR" w:bidi="fr-FR"/>
        </w:rPr>
        <w:t>m</w:t>
      </w:r>
      <w:r w:rsidRPr="00601E6E">
        <w:rPr>
          <w:lang w:eastAsia="fr-FR" w:bidi="fr-FR"/>
        </w:rPr>
        <w:t>munalité sociétale demeure prégnant dans de larges fractions des p</w:t>
      </w:r>
      <w:r w:rsidRPr="00601E6E">
        <w:rPr>
          <w:lang w:eastAsia="fr-FR" w:bidi="fr-FR"/>
        </w:rPr>
        <w:t>o</w:t>
      </w:r>
      <w:r w:rsidRPr="00601E6E">
        <w:rPr>
          <w:lang w:eastAsia="fr-FR" w:bidi="fr-FR"/>
        </w:rPr>
        <w:t>pulations occidentales et il s’enracine moins dans des exp</w:t>
      </w:r>
      <w:r w:rsidRPr="00601E6E">
        <w:rPr>
          <w:lang w:eastAsia="fr-FR" w:bidi="fr-FR"/>
        </w:rPr>
        <w:t>é</w:t>
      </w:r>
      <w:r w:rsidRPr="00601E6E">
        <w:rPr>
          <w:lang w:eastAsia="fr-FR" w:bidi="fr-FR"/>
        </w:rPr>
        <w:t>riences culturelles et historiques dites communes que dans des i</w:t>
      </w:r>
      <w:r w:rsidRPr="00601E6E">
        <w:rPr>
          <w:lang w:eastAsia="fr-FR" w:bidi="fr-FR"/>
        </w:rPr>
        <w:t>n</w:t>
      </w:r>
      <w:r w:rsidRPr="00601E6E">
        <w:rPr>
          <w:lang w:eastAsia="fr-FR" w:bidi="fr-FR"/>
        </w:rPr>
        <w:t>térêts très spécifiques. Ces enquêtes montrent (Perrineau, 1994</w:t>
      </w:r>
      <w:r>
        <w:rPr>
          <w:lang w:eastAsia="fr-FR" w:bidi="fr-FR"/>
        </w:rPr>
        <w:t> ;</w:t>
      </w:r>
      <w:r w:rsidRPr="00601E6E">
        <w:rPr>
          <w:lang w:eastAsia="fr-FR" w:bidi="fr-FR"/>
        </w:rPr>
        <w:t xml:space="preserve"> Mayer, 1997</w:t>
      </w:r>
      <w:r>
        <w:rPr>
          <w:lang w:eastAsia="fr-FR" w:bidi="fr-FR"/>
        </w:rPr>
        <w:t> ;</w:t>
      </w:r>
      <w:r w:rsidRPr="00601E6E">
        <w:rPr>
          <w:lang w:eastAsia="fr-FR" w:bidi="fr-FR"/>
        </w:rPr>
        <w:t xml:space="preserve"> Duchesne, 1997</w:t>
      </w:r>
      <w:r>
        <w:rPr>
          <w:lang w:eastAsia="fr-FR" w:bidi="fr-FR"/>
        </w:rPr>
        <w:t> ;</w:t>
      </w:r>
      <w:r w:rsidRPr="00601E6E">
        <w:rPr>
          <w:lang w:eastAsia="fr-FR" w:bidi="fr-FR"/>
        </w:rPr>
        <w:t xml:space="preserve"> Bréchon et coll., 2000</w:t>
      </w:r>
      <w:r>
        <w:rPr>
          <w:lang w:eastAsia="fr-FR" w:bidi="fr-FR"/>
        </w:rPr>
        <w:t> ;</w:t>
      </w:r>
      <w:r w:rsidRPr="00601E6E">
        <w:rPr>
          <w:lang w:eastAsia="fr-FR" w:bidi="fr-FR"/>
        </w:rPr>
        <w:t xml:space="preserve"> Helly et van Schendel, 2001) combien l’attachement à une société est sous-tendu par l’image de spécificités culturelles et historiques (qualités d’une population établie de longue date sur un territoire, patrimoines savant et popula</w:t>
      </w:r>
      <w:r w:rsidRPr="00601E6E">
        <w:rPr>
          <w:lang w:eastAsia="fr-FR" w:bidi="fr-FR"/>
        </w:rPr>
        <w:t>i</w:t>
      </w:r>
      <w:r w:rsidRPr="00601E6E">
        <w:rPr>
          <w:lang w:eastAsia="fr-FR" w:bidi="fr-FR"/>
        </w:rPr>
        <w:t>re), mais fait de plus en plus place à l’invocation de spécificités autres, telles que les politiques sociales, culturelles et économiques d’un État, le régime politique et la place d’un pays sur la scène internationale. Le lien étatique apparaît d</w:t>
      </w:r>
      <w:r w:rsidRPr="00601E6E">
        <w:rPr>
          <w:lang w:eastAsia="fr-FR" w:bidi="fr-FR"/>
        </w:rPr>
        <w:t>é</w:t>
      </w:r>
      <w:r w:rsidRPr="00601E6E">
        <w:rPr>
          <w:lang w:eastAsia="fr-FR" w:bidi="fr-FR"/>
        </w:rPr>
        <w:t>sormais plus fort que le lien national dans le contexte de la mo</w:t>
      </w:r>
      <w:r w:rsidRPr="00601E6E">
        <w:rPr>
          <w:lang w:eastAsia="fr-FR" w:bidi="fr-FR"/>
        </w:rPr>
        <w:t>n</w:t>
      </w:r>
      <w:r w:rsidRPr="00601E6E">
        <w:rPr>
          <w:lang w:eastAsia="fr-FR" w:bidi="fr-FR"/>
        </w:rPr>
        <w:t>dialisation</w:t>
      </w:r>
      <w:r>
        <w:rPr>
          <w:lang w:eastAsia="fr-FR" w:bidi="fr-FR"/>
        </w:rPr>
        <w:t xml:space="preserve"> </w:t>
      </w:r>
      <w:r>
        <w:t xml:space="preserve">[47] </w:t>
      </w:r>
      <w:r w:rsidRPr="00601E6E">
        <w:rPr>
          <w:lang w:eastAsia="fr-FR" w:bidi="fr-FR"/>
        </w:rPr>
        <w:t>financière et économique, de la multiplication des instances de régulation internationale et de la pr</w:t>
      </w:r>
      <w:r w:rsidRPr="00601E6E">
        <w:rPr>
          <w:lang w:eastAsia="fr-FR" w:bidi="fr-FR"/>
        </w:rPr>
        <w:t>é</w:t>
      </w:r>
      <w:r w:rsidRPr="00601E6E">
        <w:rPr>
          <w:lang w:eastAsia="fr-FR" w:bidi="fr-FR"/>
        </w:rPr>
        <w:t>pondérance américaine. Il reste à observer comment cette valorisation du lien étatique, qui sembl</w:t>
      </w:r>
      <w:r w:rsidRPr="00601E6E">
        <w:rPr>
          <w:lang w:eastAsia="fr-FR" w:bidi="fr-FR"/>
        </w:rPr>
        <w:t>e</w:t>
      </w:r>
      <w:r w:rsidRPr="00601E6E">
        <w:rPr>
          <w:lang w:eastAsia="fr-FR" w:bidi="fr-FR"/>
        </w:rPr>
        <w:t>rait devenir une représentation majoritaire, peut servir les préceptes égalitaires et libertaires, générer des antag</w:t>
      </w:r>
      <w:r w:rsidRPr="00601E6E">
        <w:rPr>
          <w:lang w:eastAsia="fr-FR" w:bidi="fr-FR"/>
        </w:rPr>
        <w:t>o</w:t>
      </w:r>
      <w:r w:rsidRPr="00601E6E">
        <w:rPr>
          <w:lang w:eastAsia="fr-FR" w:bidi="fr-FR"/>
        </w:rPr>
        <w:t>nismes nouveaux et exiger de nouvelles transformations sociales, l</w:t>
      </w:r>
      <w:r w:rsidRPr="00601E6E">
        <w:rPr>
          <w:lang w:eastAsia="fr-FR" w:bidi="fr-FR"/>
        </w:rPr>
        <w:t>o</w:t>
      </w:r>
      <w:r w:rsidRPr="00601E6E">
        <w:rPr>
          <w:lang w:eastAsia="fr-FR" w:bidi="fr-FR"/>
        </w:rPr>
        <w:t>cales ou internationales. Des formes de la contestation contre la mo</w:t>
      </w:r>
      <w:r w:rsidRPr="00601E6E">
        <w:rPr>
          <w:lang w:eastAsia="fr-FR" w:bidi="fr-FR"/>
        </w:rPr>
        <w:t>n</w:t>
      </w:r>
      <w:r w:rsidRPr="00601E6E">
        <w:rPr>
          <w:lang w:eastAsia="fr-FR" w:bidi="fr-FR"/>
        </w:rPr>
        <w:t>dialisation atte</w:t>
      </w:r>
      <w:r w:rsidRPr="00601E6E">
        <w:rPr>
          <w:lang w:eastAsia="fr-FR" w:bidi="fr-FR"/>
        </w:rPr>
        <w:t>s</w:t>
      </w:r>
      <w:r w:rsidRPr="00601E6E">
        <w:rPr>
          <w:lang w:eastAsia="fr-FR" w:bidi="fr-FR"/>
        </w:rPr>
        <w:t>tent de ces nouveaux enjeux et espaces de conflit.</w:t>
      </w:r>
    </w:p>
    <w:p w14:paraId="06639066" w14:textId="77777777" w:rsidR="009A4910" w:rsidRDefault="009A4910" w:rsidP="009A4910">
      <w:pPr>
        <w:spacing w:before="120" w:after="120"/>
        <w:jc w:val="both"/>
      </w:pPr>
      <w:r w:rsidRPr="00601E6E">
        <w:rPr>
          <w:lang w:eastAsia="fr-FR" w:bidi="fr-FR"/>
        </w:rPr>
        <w:t>Quel intérêt ont ces quelques réflexions pour le débat sur le st</w:t>
      </w:r>
      <w:r w:rsidRPr="00601E6E">
        <w:rPr>
          <w:lang w:eastAsia="fr-FR" w:bidi="fr-FR"/>
        </w:rPr>
        <w:t>a</w:t>
      </w:r>
      <w:r w:rsidRPr="00601E6E">
        <w:rPr>
          <w:lang w:eastAsia="fr-FR" w:bidi="fr-FR"/>
        </w:rPr>
        <w:t>tut des allophones au Québec</w:t>
      </w:r>
      <w:r>
        <w:rPr>
          <w:lang w:eastAsia="fr-FR" w:bidi="fr-FR"/>
        </w:rPr>
        <w:t> ?</w:t>
      </w:r>
      <w:r w:rsidRPr="00601E6E">
        <w:rPr>
          <w:lang w:eastAsia="fr-FR" w:bidi="fr-FR"/>
        </w:rPr>
        <w:t xml:space="preserve"> Elles montrent qu’une société est con</w:t>
      </w:r>
      <w:r w:rsidRPr="00601E6E">
        <w:rPr>
          <w:lang w:eastAsia="fr-FR" w:bidi="fr-FR"/>
        </w:rPr>
        <w:t>s</w:t>
      </w:r>
      <w:r w:rsidRPr="00601E6E">
        <w:rPr>
          <w:lang w:eastAsia="fr-FR" w:bidi="fr-FR"/>
        </w:rPr>
        <w:t>truite par des rapports de pouvoir et comprend toujours de ce fait pl</w:t>
      </w:r>
      <w:r w:rsidRPr="00601E6E">
        <w:rPr>
          <w:lang w:eastAsia="fr-FR" w:bidi="fr-FR"/>
        </w:rPr>
        <w:t>u</w:t>
      </w:r>
      <w:r w:rsidRPr="00601E6E">
        <w:rPr>
          <w:lang w:eastAsia="fr-FR" w:bidi="fr-FR"/>
        </w:rPr>
        <w:t>sieurs définitions du lien sociétal, sans cesse en conflit entre elles. Un conflit qu’on doit tenter de résoudre par des avancées démocratiques et égalitaires, qui, certes, créeront elles-mêmes le plus souvent de nouveaux conflits. L’égalité est un précepte, non une réalité atteign</w:t>
      </w:r>
      <w:r w:rsidRPr="00601E6E">
        <w:rPr>
          <w:lang w:eastAsia="fr-FR" w:bidi="fr-FR"/>
        </w:rPr>
        <w:t>a</w:t>
      </w:r>
      <w:r w:rsidRPr="00601E6E">
        <w:rPr>
          <w:lang w:eastAsia="fr-FR" w:bidi="fr-FR"/>
        </w:rPr>
        <w:t>ble une fois pour toutes, comme si l’histoire avait une fin et comme si la philosophie politique pouvait trouver une solution définitive. Elles montrent aussi combien il est utile de préciser les termes ou concepts pour clarifier les enjeux et les d</w:t>
      </w:r>
      <w:r w:rsidRPr="00601E6E">
        <w:rPr>
          <w:lang w:eastAsia="fr-FR" w:bidi="fr-FR"/>
        </w:rPr>
        <w:t>y</w:t>
      </w:r>
      <w:r w:rsidRPr="00601E6E">
        <w:rPr>
          <w:lang w:eastAsia="fr-FR" w:bidi="fr-FR"/>
        </w:rPr>
        <w:t xml:space="preserve">namiques sociales et parler de </w:t>
      </w:r>
      <w:r>
        <w:rPr>
          <w:lang w:eastAsia="fr-FR" w:bidi="fr-FR"/>
        </w:rPr>
        <w:t>« </w:t>
      </w:r>
      <w:r w:rsidRPr="00601E6E">
        <w:rPr>
          <w:lang w:eastAsia="fr-FR" w:bidi="fr-FR"/>
        </w:rPr>
        <w:t>peuple</w:t>
      </w:r>
      <w:r>
        <w:rPr>
          <w:lang w:eastAsia="fr-FR" w:bidi="fr-FR"/>
        </w:rPr>
        <w:t> »</w:t>
      </w:r>
      <w:r w:rsidRPr="00601E6E">
        <w:rPr>
          <w:lang w:eastAsia="fr-FR" w:bidi="fr-FR"/>
        </w:rPr>
        <w:t xml:space="preserve"> comme collectivité pol</w:t>
      </w:r>
      <w:r w:rsidRPr="00601E6E">
        <w:rPr>
          <w:lang w:eastAsia="fr-FR" w:bidi="fr-FR"/>
        </w:rPr>
        <w:t>i</w:t>
      </w:r>
      <w:r w:rsidRPr="00601E6E">
        <w:rPr>
          <w:lang w:eastAsia="fr-FR" w:bidi="fr-FR"/>
        </w:rPr>
        <w:t xml:space="preserve">tique souveraine au fondement d’un </w:t>
      </w:r>
      <w:r>
        <w:rPr>
          <w:lang w:eastAsia="fr-FR" w:bidi="fr-FR"/>
        </w:rPr>
        <w:t>État</w:t>
      </w:r>
      <w:r w:rsidRPr="00601E6E">
        <w:rPr>
          <w:lang w:eastAsia="fr-FR" w:bidi="fr-FR"/>
        </w:rPr>
        <w:t xml:space="preserve">, de </w:t>
      </w:r>
      <w:r>
        <w:rPr>
          <w:lang w:eastAsia="fr-FR" w:bidi="fr-FR"/>
        </w:rPr>
        <w:t>« </w:t>
      </w:r>
      <w:r w:rsidRPr="00601E6E">
        <w:rPr>
          <w:lang w:eastAsia="fr-FR" w:bidi="fr-FR"/>
        </w:rPr>
        <w:t>nation</w:t>
      </w:r>
      <w:r>
        <w:rPr>
          <w:lang w:eastAsia="fr-FR" w:bidi="fr-FR"/>
        </w:rPr>
        <w:t> »</w:t>
      </w:r>
      <w:r w:rsidRPr="00601E6E">
        <w:rPr>
          <w:lang w:eastAsia="fr-FR" w:bidi="fr-FR"/>
        </w:rPr>
        <w:t xml:space="preserve"> comme co</w:t>
      </w:r>
      <w:r w:rsidRPr="00601E6E">
        <w:rPr>
          <w:lang w:eastAsia="fr-FR" w:bidi="fr-FR"/>
        </w:rPr>
        <w:t>l</w:t>
      </w:r>
      <w:r w:rsidRPr="00601E6E">
        <w:rPr>
          <w:lang w:eastAsia="fr-FR" w:bidi="fr-FR"/>
        </w:rPr>
        <w:t xml:space="preserve">lectivité de mémoire et d’histoire dites communes, et de </w:t>
      </w:r>
      <w:r>
        <w:rPr>
          <w:lang w:eastAsia="fr-FR" w:bidi="fr-FR"/>
        </w:rPr>
        <w:t>« </w:t>
      </w:r>
      <w:r w:rsidRPr="00601E6E">
        <w:rPr>
          <w:lang w:eastAsia="fr-FR" w:bidi="fr-FR"/>
        </w:rPr>
        <w:t>société</w:t>
      </w:r>
      <w:r>
        <w:rPr>
          <w:lang w:eastAsia="fr-FR" w:bidi="fr-FR"/>
        </w:rPr>
        <w:t> »</w:t>
      </w:r>
      <w:r w:rsidRPr="00601E6E">
        <w:rPr>
          <w:lang w:eastAsia="fr-FR" w:bidi="fr-FR"/>
        </w:rPr>
        <w:t xml:space="preserve"> comme structure des rapports sociaux, organisation des relations sociales et variance d’interprétations de l’ordre social. La notion de </w:t>
      </w:r>
      <w:r>
        <w:rPr>
          <w:lang w:eastAsia="fr-FR" w:bidi="fr-FR"/>
        </w:rPr>
        <w:t>« </w:t>
      </w:r>
      <w:r w:rsidRPr="00601E6E">
        <w:rPr>
          <w:lang w:eastAsia="fr-FR" w:bidi="fr-FR"/>
        </w:rPr>
        <w:t>nation civique</w:t>
      </w:r>
      <w:r>
        <w:rPr>
          <w:lang w:eastAsia="fr-FR" w:bidi="fr-FR"/>
        </w:rPr>
        <w:t> »</w:t>
      </w:r>
      <w:r w:rsidRPr="00601E6E">
        <w:rPr>
          <w:lang w:eastAsia="fr-FR" w:bidi="fr-FR"/>
        </w:rPr>
        <w:t xml:space="preserve"> joue à superposer d</w:t>
      </w:r>
      <w:r w:rsidRPr="00601E6E">
        <w:rPr>
          <w:lang w:eastAsia="fr-FR" w:bidi="fr-FR"/>
        </w:rPr>
        <w:t>é</w:t>
      </w:r>
      <w:r w:rsidRPr="00601E6E">
        <w:rPr>
          <w:lang w:eastAsia="fr-FR" w:bidi="fr-FR"/>
        </w:rPr>
        <w:t>mocratie et nation sans voir et résoudre la tension entre les deux. De plus, la précision du vocabulaire introduit une autre clarté dans le d</w:t>
      </w:r>
      <w:r w:rsidRPr="00601E6E">
        <w:rPr>
          <w:lang w:eastAsia="fr-FR" w:bidi="fr-FR"/>
        </w:rPr>
        <w:t>é</w:t>
      </w:r>
      <w:r w:rsidRPr="00601E6E">
        <w:rPr>
          <w:lang w:eastAsia="fr-FR" w:bidi="fr-FR"/>
        </w:rPr>
        <w:t>bat nationaliste au Qu</w:t>
      </w:r>
      <w:r w:rsidRPr="00601E6E">
        <w:rPr>
          <w:lang w:eastAsia="fr-FR" w:bidi="fr-FR"/>
        </w:rPr>
        <w:t>é</w:t>
      </w:r>
      <w:r w:rsidRPr="00601E6E">
        <w:rPr>
          <w:lang w:eastAsia="fr-FR" w:bidi="fr-FR"/>
        </w:rPr>
        <w:t>bec dont fait partie intégrante le débat sur les dits allophones. L’indépendance québécoise vise-t-elle la conquête du pouvoir pol</w:t>
      </w:r>
      <w:r w:rsidRPr="00601E6E">
        <w:rPr>
          <w:lang w:eastAsia="fr-FR" w:bidi="fr-FR"/>
        </w:rPr>
        <w:t>i</w:t>
      </w:r>
      <w:r w:rsidRPr="00601E6E">
        <w:rPr>
          <w:lang w:eastAsia="fr-FR" w:bidi="fr-FR"/>
        </w:rPr>
        <w:t>tique en vue de disposer de tout levier décisionnel et de poser des questions centrales à toute société actuelle</w:t>
      </w:r>
      <w:r>
        <w:rPr>
          <w:lang w:eastAsia="fr-FR" w:bidi="fr-FR"/>
        </w:rPr>
        <w:t> :</w:t>
      </w:r>
      <w:r w:rsidRPr="00601E6E">
        <w:rPr>
          <w:lang w:eastAsia="fr-FR" w:bidi="fr-FR"/>
        </w:rPr>
        <w:t xml:space="preserve"> redistribution, inégal</w:t>
      </w:r>
      <w:r w:rsidRPr="00601E6E">
        <w:rPr>
          <w:lang w:eastAsia="fr-FR" w:bidi="fr-FR"/>
        </w:rPr>
        <w:t>i</w:t>
      </w:r>
      <w:r w:rsidRPr="00601E6E">
        <w:rPr>
          <w:lang w:eastAsia="fr-FR" w:bidi="fr-FR"/>
        </w:rPr>
        <w:t>tés sociales, environnement, équité, participation démocratique élargie, réduction d’un pouvoir trop centralisé</w:t>
      </w:r>
      <w:r>
        <w:rPr>
          <w:lang w:eastAsia="fr-FR" w:bidi="fr-FR"/>
        </w:rPr>
        <w:t> ?</w:t>
      </w:r>
      <w:r w:rsidRPr="00601E6E">
        <w:rPr>
          <w:lang w:eastAsia="fr-FR" w:bidi="fr-FR"/>
        </w:rPr>
        <w:t xml:space="preserve"> Vise-t-elle le sauvet</w:t>
      </w:r>
      <w:r w:rsidRPr="00601E6E">
        <w:rPr>
          <w:lang w:eastAsia="fr-FR" w:bidi="fr-FR"/>
        </w:rPr>
        <w:t>a</w:t>
      </w:r>
      <w:r w:rsidRPr="00601E6E">
        <w:rPr>
          <w:lang w:eastAsia="fr-FR" w:bidi="fr-FR"/>
        </w:rPr>
        <w:t>ge ou la délivrance d’une nation linguistique et culturelle o</w:t>
      </w:r>
      <w:r w:rsidRPr="00601E6E">
        <w:rPr>
          <w:lang w:eastAsia="fr-FR" w:bidi="fr-FR"/>
        </w:rPr>
        <w:t>p</w:t>
      </w:r>
      <w:r w:rsidRPr="00601E6E">
        <w:rPr>
          <w:lang w:eastAsia="fr-FR" w:bidi="fr-FR"/>
        </w:rPr>
        <w:t>primée depuis des lustres et menacée par l’anglais international et des ch</w:t>
      </w:r>
      <w:r w:rsidRPr="00601E6E">
        <w:rPr>
          <w:lang w:eastAsia="fr-FR" w:bidi="fr-FR"/>
        </w:rPr>
        <w:t>e</w:t>
      </w:r>
      <w:r w:rsidRPr="00601E6E">
        <w:rPr>
          <w:lang w:eastAsia="fr-FR" w:bidi="fr-FR"/>
        </w:rPr>
        <w:t>vaux de Troie que seraient les immigrés et leurs descendants, les C</w:t>
      </w:r>
      <w:r w:rsidRPr="00601E6E">
        <w:rPr>
          <w:lang w:eastAsia="fr-FR" w:bidi="fr-FR"/>
        </w:rPr>
        <w:t>a</w:t>
      </w:r>
      <w:r w:rsidRPr="00601E6E">
        <w:rPr>
          <w:lang w:eastAsia="fr-FR" w:bidi="fr-FR"/>
        </w:rPr>
        <w:t>nadiens anglais de la province, les Canadiens français fédéralistes</w:t>
      </w:r>
      <w:r>
        <w:rPr>
          <w:lang w:eastAsia="fr-FR" w:bidi="fr-FR"/>
        </w:rPr>
        <w:t> ?</w:t>
      </w:r>
      <w:r w:rsidRPr="00601E6E">
        <w:rPr>
          <w:lang w:eastAsia="fr-FR" w:bidi="fr-FR"/>
        </w:rPr>
        <w:t xml:space="preserve"> Et dans ce cas que reste-t-il de la nation</w:t>
      </w:r>
      <w:r>
        <w:rPr>
          <w:lang w:eastAsia="fr-FR" w:bidi="fr-FR"/>
        </w:rPr>
        <w:t> ?</w:t>
      </w:r>
    </w:p>
    <w:p w14:paraId="34A75D51" w14:textId="77777777" w:rsidR="009A4910" w:rsidRDefault="009A4910" w:rsidP="009A4910">
      <w:pPr>
        <w:spacing w:before="120" w:after="120"/>
        <w:jc w:val="both"/>
      </w:pPr>
    </w:p>
    <w:p w14:paraId="13B3B21D" w14:textId="77777777" w:rsidR="009A4910" w:rsidRDefault="009A4910" w:rsidP="009A4910">
      <w:pPr>
        <w:pStyle w:val="a"/>
      </w:pPr>
      <w:r w:rsidRPr="00601E6E">
        <w:rPr>
          <w:lang w:eastAsia="fr-FR" w:bidi="fr-FR"/>
        </w:rPr>
        <w:t>Références</w:t>
      </w:r>
    </w:p>
    <w:p w14:paraId="6FC4B329" w14:textId="77777777" w:rsidR="009A4910" w:rsidRDefault="009A4910" w:rsidP="009A4910">
      <w:pPr>
        <w:spacing w:before="120" w:after="120"/>
        <w:jc w:val="both"/>
      </w:pPr>
    </w:p>
    <w:p w14:paraId="681A27AD" w14:textId="77777777" w:rsidR="009A4910" w:rsidRDefault="009A4910" w:rsidP="009A4910">
      <w:pPr>
        <w:spacing w:before="120" w:after="120"/>
        <w:jc w:val="both"/>
      </w:pPr>
      <w:r w:rsidRPr="00A25C5C">
        <w:t>AGULHON,</w:t>
      </w:r>
      <w:r w:rsidRPr="00601E6E">
        <w:rPr>
          <w:rStyle w:val="Corpsdutexte57ptNonItalique"/>
          <w:i w:val="0"/>
          <w:iCs w:val="0"/>
        </w:rPr>
        <w:t xml:space="preserve"> </w:t>
      </w:r>
      <w:r w:rsidRPr="00601E6E">
        <w:t xml:space="preserve">M. (1989). </w:t>
      </w:r>
      <w:r w:rsidRPr="00FB080F">
        <w:rPr>
          <w:i/>
          <w:lang w:eastAsia="fr-FR" w:bidi="fr-FR"/>
        </w:rPr>
        <w:t>Marianne au pouvoir. L’imagerie et la symbol</w:t>
      </w:r>
      <w:r w:rsidRPr="00FB080F">
        <w:rPr>
          <w:i/>
          <w:lang w:eastAsia="fr-FR" w:bidi="fr-FR"/>
        </w:rPr>
        <w:t>i</w:t>
      </w:r>
      <w:r w:rsidRPr="00FB080F">
        <w:rPr>
          <w:i/>
          <w:lang w:eastAsia="fr-FR" w:bidi="fr-FR"/>
        </w:rPr>
        <w:t>que républicaines de 1880 à 1914</w:t>
      </w:r>
      <w:r w:rsidRPr="00601E6E">
        <w:t>, Paris, Flammarion.</w:t>
      </w:r>
    </w:p>
    <w:p w14:paraId="4E70F462" w14:textId="77777777" w:rsidR="009A4910" w:rsidRDefault="009A4910" w:rsidP="009A4910">
      <w:pPr>
        <w:spacing w:before="120" w:after="120"/>
        <w:jc w:val="both"/>
      </w:pPr>
      <w:r w:rsidRPr="00601E6E">
        <w:t xml:space="preserve">BÉLAND, </w:t>
      </w:r>
      <w:r w:rsidRPr="00601E6E">
        <w:rPr>
          <w:lang w:eastAsia="fr-FR" w:bidi="fr-FR"/>
        </w:rPr>
        <w:t xml:space="preserve">Paul (1999). </w:t>
      </w:r>
      <w:r w:rsidRPr="00FB080F">
        <w:rPr>
          <w:i/>
        </w:rPr>
        <w:t>Le français, langue d’usage public au Québec en 1997</w:t>
      </w:r>
      <w:r w:rsidRPr="00601E6E">
        <w:rPr>
          <w:lang w:eastAsia="fr-FR" w:bidi="fr-FR"/>
        </w:rPr>
        <w:t>, Québec, Conseil de la langue française.</w:t>
      </w:r>
    </w:p>
    <w:p w14:paraId="5E5C39F4" w14:textId="77777777" w:rsidR="009A4910" w:rsidRDefault="009A4910" w:rsidP="009A4910">
      <w:pPr>
        <w:spacing w:before="120" w:after="120"/>
        <w:jc w:val="both"/>
      </w:pPr>
      <w:r w:rsidRPr="00A25C5C">
        <w:rPr>
          <w:caps/>
        </w:rPr>
        <w:t>Berlin</w:t>
      </w:r>
      <w:r w:rsidRPr="00A25C5C">
        <w:rPr>
          <w:smallCaps/>
        </w:rPr>
        <w:t>,</w:t>
      </w:r>
      <w:r w:rsidRPr="00601E6E">
        <w:rPr>
          <w:rStyle w:val="Corpsdutexte37ptPetitesmajuscules"/>
        </w:rPr>
        <w:t xml:space="preserve"> </w:t>
      </w:r>
      <w:r w:rsidRPr="00601E6E">
        <w:rPr>
          <w:lang w:eastAsia="fr-FR" w:bidi="fr-FR"/>
        </w:rPr>
        <w:t xml:space="preserve">Isaïah (1959/1992). </w:t>
      </w:r>
      <w:r w:rsidRPr="00FB080F">
        <w:rPr>
          <w:i/>
        </w:rPr>
        <w:t>Le Bois tordu de l’humanité</w:t>
      </w:r>
      <w:r w:rsidRPr="00601E6E">
        <w:rPr>
          <w:lang w:eastAsia="fr-FR" w:bidi="fr-FR"/>
        </w:rPr>
        <w:t>, Paris, Albin Michel.</w:t>
      </w:r>
    </w:p>
    <w:p w14:paraId="13282421" w14:textId="77777777" w:rsidR="009A4910" w:rsidRDefault="009A4910" w:rsidP="009A4910">
      <w:pPr>
        <w:spacing w:before="120" w:after="120"/>
        <w:jc w:val="both"/>
      </w:pPr>
      <w:r>
        <w:t>BI</w:t>
      </w:r>
      <w:r w:rsidRPr="00601E6E">
        <w:t xml:space="preserve">RNBAUM, </w:t>
      </w:r>
      <w:r w:rsidRPr="00601E6E">
        <w:rPr>
          <w:lang w:eastAsia="fr-FR" w:bidi="fr-FR"/>
        </w:rPr>
        <w:t xml:space="preserve">Pierre (1997). </w:t>
      </w:r>
      <w:r>
        <w:rPr>
          <w:lang w:eastAsia="fr-FR" w:bidi="fr-FR"/>
        </w:rPr>
        <w:t>« </w:t>
      </w:r>
      <w:r w:rsidRPr="00601E6E">
        <w:rPr>
          <w:lang w:eastAsia="fr-FR" w:bidi="fr-FR"/>
        </w:rPr>
        <w:t>Introduction</w:t>
      </w:r>
      <w:r>
        <w:rPr>
          <w:lang w:eastAsia="fr-FR" w:bidi="fr-FR"/>
        </w:rPr>
        <w:t> :</w:t>
      </w:r>
      <w:r w:rsidRPr="00601E6E">
        <w:rPr>
          <w:lang w:eastAsia="fr-FR" w:bidi="fr-FR"/>
        </w:rPr>
        <w:t xml:space="preserve"> Dimensions du nati</w:t>
      </w:r>
      <w:r w:rsidRPr="00601E6E">
        <w:rPr>
          <w:lang w:eastAsia="fr-FR" w:bidi="fr-FR"/>
        </w:rPr>
        <w:t>o</w:t>
      </w:r>
      <w:r w:rsidRPr="00601E6E">
        <w:rPr>
          <w:lang w:eastAsia="fr-FR" w:bidi="fr-FR"/>
        </w:rPr>
        <w:t>nalisme</w:t>
      </w:r>
      <w:r>
        <w:rPr>
          <w:lang w:eastAsia="fr-FR" w:bidi="fr-FR"/>
        </w:rPr>
        <w:t> »</w:t>
      </w:r>
      <w:r w:rsidRPr="00601E6E">
        <w:rPr>
          <w:lang w:eastAsia="fr-FR" w:bidi="fr-FR"/>
        </w:rPr>
        <w:t>, dans</w:t>
      </w:r>
      <w:r>
        <w:rPr>
          <w:lang w:eastAsia="fr-FR" w:bidi="fr-FR"/>
        </w:rPr>
        <w:t> :</w:t>
      </w:r>
      <w:r w:rsidRPr="00601E6E">
        <w:rPr>
          <w:lang w:eastAsia="fr-FR" w:bidi="fr-FR"/>
        </w:rPr>
        <w:t xml:space="preserve"> P. Birnbaum (dir). </w:t>
      </w:r>
      <w:r w:rsidRPr="00FB080F">
        <w:rPr>
          <w:i/>
        </w:rPr>
        <w:t>Sociologie des nationalismes</w:t>
      </w:r>
      <w:r w:rsidRPr="00601E6E">
        <w:rPr>
          <w:lang w:eastAsia="fr-FR" w:bidi="fr-FR"/>
        </w:rPr>
        <w:t>, P</w:t>
      </w:r>
      <w:r w:rsidRPr="00601E6E">
        <w:rPr>
          <w:lang w:eastAsia="fr-FR" w:bidi="fr-FR"/>
        </w:rPr>
        <w:t>a</w:t>
      </w:r>
      <w:r w:rsidRPr="00601E6E">
        <w:rPr>
          <w:lang w:eastAsia="fr-FR" w:bidi="fr-FR"/>
        </w:rPr>
        <w:t xml:space="preserve">ris, </w:t>
      </w:r>
      <w:r w:rsidRPr="00601E6E">
        <w:t xml:space="preserve">PUF, </w:t>
      </w:r>
      <w:r w:rsidRPr="00601E6E">
        <w:rPr>
          <w:lang w:eastAsia="fr-FR" w:bidi="fr-FR"/>
        </w:rPr>
        <w:t>p. 37-54.</w:t>
      </w:r>
    </w:p>
    <w:p w14:paraId="05FEBB57" w14:textId="77777777" w:rsidR="009A4910" w:rsidRDefault="009A4910" w:rsidP="009A4910">
      <w:pPr>
        <w:spacing w:before="120" w:after="120"/>
        <w:jc w:val="both"/>
      </w:pPr>
      <w:r w:rsidRPr="00A25C5C">
        <w:rPr>
          <w:caps/>
        </w:rPr>
        <w:t>Bourque</w:t>
      </w:r>
      <w:r w:rsidRPr="00A25C5C">
        <w:t>,</w:t>
      </w:r>
      <w:r w:rsidRPr="00601E6E">
        <w:rPr>
          <w:rStyle w:val="Corpsdutexte37ptPetitesmajuscules"/>
        </w:rPr>
        <w:t xml:space="preserve"> </w:t>
      </w:r>
      <w:r w:rsidRPr="00601E6E">
        <w:rPr>
          <w:lang w:eastAsia="fr-FR" w:bidi="fr-FR"/>
        </w:rPr>
        <w:t xml:space="preserve">Gilles, Jules </w:t>
      </w:r>
      <w:r w:rsidRPr="00601E6E">
        <w:t xml:space="preserve">DUCHASTEL </w:t>
      </w:r>
      <w:r w:rsidRPr="00601E6E">
        <w:rPr>
          <w:lang w:eastAsia="fr-FR" w:bidi="fr-FR"/>
        </w:rPr>
        <w:t xml:space="preserve">et Éric </w:t>
      </w:r>
      <w:r>
        <w:t>PI</w:t>
      </w:r>
      <w:r w:rsidRPr="00601E6E">
        <w:t xml:space="preserve">NEAULT </w:t>
      </w:r>
      <w:r w:rsidRPr="00601E6E">
        <w:rPr>
          <w:lang w:eastAsia="fr-FR" w:bidi="fr-FR"/>
        </w:rPr>
        <w:t xml:space="preserve">(1999). </w:t>
      </w:r>
      <w:r>
        <w:rPr>
          <w:lang w:eastAsia="fr-FR" w:bidi="fr-FR"/>
        </w:rPr>
        <w:t>« </w:t>
      </w:r>
      <w:hyperlink r:id="rId18" w:history="1">
        <w:r w:rsidRPr="00EE40AC">
          <w:rPr>
            <w:rStyle w:val="Hyperlien"/>
            <w:lang w:eastAsia="fr-FR" w:bidi="fr-FR"/>
          </w:rPr>
          <w:t>L’incorporation de la citoyenneté </w:t>
        </w:r>
      </w:hyperlink>
      <w:r>
        <w:rPr>
          <w:lang w:eastAsia="fr-FR" w:bidi="fr-FR"/>
        </w:rPr>
        <w:t>»</w:t>
      </w:r>
      <w:r w:rsidRPr="00601E6E">
        <w:rPr>
          <w:lang w:eastAsia="fr-FR" w:bidi="fr-FR"/>
        </w:rPr>
        <w:t>, dans</w:t>
      </w:r>
      <w:r>
        <w:rPr>
          <w:lang w:eastAsia="fr-FR" w:bidi="fr-FR"/>
        </w:rPr>
        <w:t> :</w:t>
      </w:r>
      <w:r w:rsidRPr="00601E6E">
        <w:rPr>
          <w:lang w:eastAsia="fr-FR" w:bidi="fr-FR"/>
        </w:rPr>
        <w:t xml:space="preserve"> </w:t>
      </w:r>
      <w:r w:rsidRPr="009436CF">
        <w:rPr>
          <w:i/>
        </w:rPr>
        <w:t>Sociologie et S</w:t>
      </w:r>
      <w:r w:rsidRPr="009436CF">
        <w:rPr>
          <w:i/>
        </w:rPr>
        <w:t>o</w:t>
      </w:r>
      <w:r w:rsidRPr="009436CF">
        <w:rPr>
          <w:i/>
        </w:rPr>
        <w:t>ciétés</w:t>
      </w:r>
      <w:r w:rsidRPr="00601E6E">
        <w:t>,</w:t>
      </w:r>
      <w:r w:rsidRPr="00601E6E">
        <w:rPr>
          <w:lang w:eastAsia="fr-FR" w:bidi="fr-FR"/>
        </w:rPr>
        <w:t xml:space="preserve"> vol. </w:t>
      </w:r>
      <w:r w:rsidRPr="00601E6E">
        <w:t xml:space="preserve">XXXI, </w:t>
      </w:r>
      <w:r w:rsidRPr="00601E6E">
        <w:rPr>
          <w:lang w:eastAsia="fr-FR" w:bidi="fr-FR"/>
        </w:rPr>
        <w:t>n°</w:t>
      </w:r>
      <w:r>
        <w:rPr>
          <w:lang w:eastAsia="fr-FR" w:bidi="fr-FR"/>
        </w:rPr>
        <w:t> </w:t>
      </w:r>
      <w:r w:rsidRPr="00601E6E">
        <w:rPr>
          <w:lang w:eastAsia="fr-FR" w:bidi="fr-FR"/>
        </w:rPr>
        <w:t>2, p. 41-64.</w:t>
      </w:r>
    </w:p>
    <w:p w14:paraId="1865B8AC" w14:textId="77777777" w:rsidR="009A4910" w:rsidRDefault="009A4910" w:rsidP="009A4910">
      <w:pPr>
        <w:spacing w:before="120" w:after="120"/>
        <w:jc w:val="both"/>
      </w:pPr>
      <w:r w:rsidRPr="00A25C5C">
        <w:rPr>
          <w:smallCaps/>
        </w:rPr>
        <w:t xml:space="preserve">BRÉCHON, </w:t>
      </w:r>
      <w:r w:rsidRPr="00601E6E">
        <w:t>Pierre</w:t>
      </w:r>
      <w:r w:rsidRPr="00601E6E">
        <w:rPr>
          <w:lang w:eastAsia="fr-FR" w:bidi="fr-FR"/>
        </w:rPr>
        <w:t xml:space="preserve">, Annie </w:t>
      </w:r>
      <w:r w:rsidRPr="00601E6E">
        <w:t xml:space="preserve">LAURENT </w:t>
      </w:r>
      <w:r w:rsidRPr="00601E6E">
        <w:rPr>
          <w:lang w:eastAsia="fr-FR" w:bidi="fr-FR"/>
        </w:rPr>
        <w:t xml:space="preserve">et Pascal </w:t>
      </w:r>
      <w:r w:rsidRPr="00601E6E">
        <w:t xml:space="preserve">PERRINEAU </w:t>
      </w:r>
      <w:r w:rsidRPr="00601E6E">
        <w:rPr>
          <w:lang w:eastAsia="fr-FR" w:bidi="fr-FR"/>
        </w:rPr>
        <w:t xml:space="preserve">(2000) (dirs). </w:t>
      </w:r>
      <w:r w:rsidRPr="009436CF">
        <w:rPr>
          <w:i/>
        </w:rPr>
        <w:t>Les cultures politiques des Français</w:t>
      </w:r>
      <w:r w:rsidRPr="00601E6E">
        <w:rPr>
          <w:lang w:eastAsia="fr-FR" w:bidi="fr-FR"/>
        </w:rPr>
        <w:t xml:space="preserve">, Paris, Presses de Science </w:t>
      </w:r>
      <w:r w:rsidRPr="00601E6E">
        <w:t>Po.</w:t>
      </w:r>
    </w:p>
    <w:p w14:paraId="116A5D94" w14:textId="77777777" w:rsidR="009A4910" w:rsidRDefault="009A4910" w:rsidP="009A4910">
      <w:pPr>
        <w:spacing w:before="120" w:after="120"/>
        <w:jc w:val="both"/>
      </w:pPr>
      <w:r>
        <w:t>[48]</w:t>
      </w:r>
    </w:p>
    <w:p w14:paraId="3894A7FF" w14:textId="77777777" w:rsidR="009A4910" w:rsidRDefault="009A4910" w:rsidP="009A4910">
      <w:pPr>
        <w:spacing w:before="120" w:after="120"/>
        <w:jc w:val="both"/>
      </w:pPr>
      <w:r w:rsidRPr="00601E6E">
        <w:t xml:space="preserve">BRUBAKER, </w:t>
      </w:r>
      <w:r w:rsidRPr="00601E6E">
        <w:rPr>
          <w:lang w:eastAsia="fr-FR" w:bidi="fr-FR"/>
        </w:rPr>
        <w:t xml:space="preserve">W.R. (1989) (dir.). </w:t>
      </w:r>
      <w:r w:rsidRPr="009436CF">
        <w:rPr>
          <w:i/>
        </w:rPr>
        <w:t>Immigration and the Politics of Citizenship in Europe and North America</w:t>
      </w:r>
      <w:r w:rsidRPr="00601E6E">
        <w:t>,</w:t>
      </w:r>
      <w:r w:rsidRPr="00601E6E">
        <w:rPr>
          <w:lang w:eastAsia="fr-FR" w:bidi="fr-FR"/>
        </w:rPr>
        <w:t xml:space="preserve"> Lanham, German Marshall Fund of the United States and the University Press of America.</w:t>
      </w:r>
    </w:p>
    <w:p w14:paraId="39FDA213" w14:textId="77777777" w:rsidR="009A4910" w:rsidRDefault="009A4910" w:rsidP="009A4910">
      <w:pPr>
        <w:spacing w:before="120" w:after="120"/>
        <w:jc w:val="both"/>
      </w:pPr>
      <w:r w:rsidRPr="00601E6E">
        <w:t xml:space="preserve">CARR, </w:t>
      </w:r>
      <w:r w:rsidRPr="00601E6E">
        <w:rPr>
          <w:lang w:eastAsia="fr-FR" w:bidi="fr-FR"/>
        </w:rPr>
        <w:t xml:space="preserve">Edward Hallett (1945). </w:t>
      </w:r>
      <w:r w:rsidRPr="009436CF">
        <w:rPr>
          <w:i/>
        </w:rPr>
        <w:t>Nationalism and After</w:t>
      </w:r>
      <w:r w:rsidRPr="00601E6E">
        <w:rPr>
          <w:lang w:eastAsia="fr-FR" w:bidi="fr-FR"/>
        </w:rPr>
        <w:t>, Londres, MacMillan.</w:t>
      </w:r>
    </w:p>
    <w:p w14:paraId="523F94D5" w14:textId="77777777" w:rsidR="009A4910" w:rsidRDefault="009A4910" w:rsidP="009A4910">
      <w:pPr>
        <w:spacing w:before="120" w:after="120"/>
        <w:jc w:val="both"/>
        <w:rPr>
          <w:lang w:eastAsia="fr-FR" w:bidi="fr-FR"/>
        </w:rPr>
      </w:pPr>
      <w:r w:rsidRPr="00601E6E">
        <w:t xml:space="preserve">COLLEY, </w:t>
      </w:r>
      <w:r w:rsidRPr="00601E6E">
        <w:rPr>
          <w:lang w:eastAsia="fr-FR" w:bidi="fr-FR"/>
        </w:rPr>
        <w:t xml:space="preserve">Linda (1992). </w:t>
      </w:r>
      <w:r w:rsidRPr="00601E6E">
        <w:t>Britons</w:t>
      </w:r>
      <w:r>
        <w:t> :</w:t>
      </w:r>
      <w:r w:rsidRPr="00601E6E">
        <w:t xml:space="preserve"> </w:t>
      </w:r>
      <w:r w:rsidRPr="009436CF">
        <w:rPr>
          <w:i/>
        </w:rPr>
        <w:t>Forging the Nation, 1707-1837</w:t>
      </w:r>
      <w:r w:rsidRPr="00601E6E">
        <w:rPr>
          <w:lang w:eastAsia="fr-FR" w:bidi="fr-FR"/>
        </w:rPr>
        <w:t>, New Haven</w:t>
      </w:r>
      <w:r>
        <w:rPr>
          <w:lang w:eastAsia="fr-FR" w:bidi="fr-FR"/>
        </w:rPr>
        <w:t>, Conn., Yale University Press.</w:t>
      </w:r>
    </w:p>
    <w:p w14:paraId="6C3D98BA" w14:textId="77777777" w:rsidR="009A4910" w:rsidRDefault="009A4910" w:rsidP="009A4910">
      <w:pPr>
        <w:spacing w:before="120" w:after="120"/>
        <w:jc w:val="both"/>
      </w:pPr>
      <w:r w:rsidRPr="00601E6E">
        <w:t xml:space="preserve">DUCHESNE, </w:t>
      </w:r>
      <w:r w:rsidRPr="00601E6E">
        <w:rPr>
          <w:lang w:eastAsia="fr-FR" w:bidi="fr-FR"/>
        </w:rPr>
        <w:t xml:space="preserve">Sophie (1997). </w:t>
      </w:r>
      <w:r w:rsidRPr="009436CF">
        <w:rPr>
          <w:i/>
        </w:rPr>
        <w:t>Citoyenneté à la française</w:t>
      </w:r>
      <w:r w:rsidRPr="00601E6E">
        <w:rPr>
          <w:lang w:eastAsia="fr-FR" w:bidi="fr-FR"/>
        </w:rPr>
        <w:t>, Paris, Presses de Scie</w:t>
      </w:r>
      <w:r w:rsidRPr="00601E6E">
        <w:rPr>
          <w:lang w:eastAsia="fr-FR" w:bidi="fr-FR"/>
        </w:rPr>
        <w:t>n</w:t>
      </w:r>
      <w:r w:rsidRPr="00601E6E">
        <w:rPr>
          <w:lang w:eastAsia="fr-FR" w:bidi="fr-FR"/>
        </w:rPr>
        <w:t>ces Po.</w:t>
      </w:r>
    </w:p>
    <w:p w14:paraId="12190040" w14:textId="77777777" w:rsidR="009A4910" w:rsidRDefault="009A4910" w:rsidP="009A4910">
      <w:pPr>
        <w:spacing w:before="120" w:after="120"/>
        <w:jc w:val="both"/>
      </w:pPr>
      <w:r w:rsidRPr="00A25C5C">
        <w:rPr>
          <w:smallCaps/>
        </w:rPr>
        <w:t>FREITAG,</w:t>
      </w:r>
      <w:r w:rsidRPr="00601E6E">
        <w:rPr>
          <w:rStyle w:val="Corpsdutexte37ptPetitesmajuscules"/>
        </w:rPr>
        <w:t xml:space="preserve"> </w:t>
      </w:r>
      <w:r w:rsidRPr="00601E6E">
        <w:rPr>
          <w:lang w:eastAsia="fr-FR" w:bidi="fr-FR"/>
        </w:rPr>
        <w:t xml:space="preserve">Michel (1981). </w:t>
      </w:r>
      <w:r>
        <w:rPr>
          <w:lang w:eastAsia="fr-FR" w:bidi="fr-FR"/>
        </w:rPr>
        <w:t>« </w:t>
      </w:r>
      <w:r w:rsidRPr="00601E6E">
        <w:rPr>
          <w:lang w:eastAsia="fr-FR" w:bidi="fr-FR"/>
        </w:rPr>
        <w:t>Théorie marxiste et réalité nationale. A</w:t>
      </w:r>
      <w:r w:rsidRPr="00601E6E">
        <w:rPr>
          <w:lang w:eastAsia="fr-FR" w:bidi="fr-FR"/>
        </w:rPr>
        <w:t>u</w:t>
      </w:r>
      <w:r w:rsidRPr="00601E6E">
        <w:rPr>
          <w:lang w:eastAsia="fr-FR" w:bidi="fr-FR"/>
        </w:rPr>
        <w:t>topsie d’un malentendu</w:t>
      </w:r>
      <w:r>
        <w:rPr>
          <w:lang w:eastAsia="fr-FR" w:bidi="fr-FR"/>
        </w:rPr>
        <w:t> »</w:t>
      </w:r>
      <w:r w:rsidRPr="00601E6E">
        <w:rPr>
          <w:lang w:eastAsia="fr-FR" w:bidi="fr-FR"/>
        </w:rPr>
        <w:t>, dans</w:t>
      </w:r>
      <w:r>
        <w:rPr>
          <w:lang w:eastAsia="fr-FR" w:bidi="fr-FR"/>
        </w:rPr>
        <w:t> :</w:t>
      </w:r>
      <w:r w:rsidRPr="00601E6E">
        <w:rPr>
          <w:lang w:eastAsia="fr-FR" w:bidi="fr-FR"/>
        </w:rPr>
        <w:t xml:space="preserve"> </w:t>
      </w:r>
      <w:r w:rsidRPr="009436CF">
        <w:rPr>
          <w:i/>
        </w:rPr>
        <w:t>Pluriel</w:t>
      </w:r>
      <w:r>
        <w:t>,</w:t>
      </w:r>
      <w:r w:rsidRPr="00601E6E">
        <w:rPr>
          <w:lang w:eastAsia="fr-FR" w:bidi="fr-FR"/>
        </w:rPr>
        <w:t xml:space="preserve"> n°</w:t>
      </w:r>
      <w:r>
        <w:rPr>
          <w:lang w:eastAsia="fr-FR" w:bidi="fr-FR"/>
        </w:rPr>
        <w:t> </w:t>
      </w:r>
      <w:r w:rsidRPr="00601E6E">
        <w:rPr>
          <w:lang w:eastAsia="fr-FR" w:bidi="fr-FR"/>
        </w:rPr>
        <w:t>26.</w:t>
      </w:r>
    </w:p>
    <w:p w14:paraId="642B4148" w14:textId="77777777" w:rsidR="009A4910" w:rsidRDefault="009A4910" w:rsidP="009A4910">
      <w:pPr>
        <w:spacing w:before="120" w:after="120"/>
        <w:jc w:val="both"/>
      </w:pPr>
      <w:r w:rsidRPr="00601E6E">
        <w:t xml:space="preserve">GELLNER, </w:t>
      </w:r>
      <w:r w:rsidRPr="00601E6E">
        <w:rPr>
          <w:lang w:eastAsia="fr-FR" w:bidi="fr-FR"/>
        </w:rPr>
        <w:t xml:space="preserve">Ernest (1983). </w:t>
      </w:r>
      <w:r w:rsidRPr="009436CF">
        <w:rPr>
          <w:i/>
        </w:rPr>
        <w:t>Nations and Nationalism</w:t>
      </w:r>
      <w:r w:rsidRPr="00601E6E">
        <w:t>,</w:t>
      </w:r>
      <w:r w:rsidRPr="00601E6E">
        <w:rPr>
          <w:lang w:eastAsia="fr-FR" w:bidi="fr-FR"/>
        </w:rPr>
        <w:t xml:space="preserve"> Oxford, Blackwell.</w:t>
      </w:r>
    </w:p>
    <w:p w14:paraId="6A746389" w14:textId="77777777" w:rsidR="009A4910" w:rsidRDefault="009A4910" w:rsidP="009A4910">
      <w:pPr>
        <w:spacing w:before="120" w:after="120"/>
        <w:jc w:val="both"/>
      </w:pPr>
      <w:r w:rsidRPr="00A25C5C">
        <w:rPr>
          <w:caps/>
        </w:rPr>
        <w:t>Green,</w:t>
      </w:r>
      <w:r w:rsidRPr="00601E6E">
        <w:rPr>
          <w:rStyle w:val="Corpsdutexte57ptNonItaliquePetitesmajuscules"/>
          <w:i w:val="0"/>
          <w:iCs w:val="0"/>
        </w:rPr>
        <w:t xml:space="preserve"> </w:t>
      </w:r>
      <w:r w:rsidRPr="00601E6E">
        <w:t xml:space="preserve">Andy (1990). </w:t>
      </w:r>
      <w:r w:rsidRPr="009436CF">
        <w:rPr>
          <w:i/>
          <w:lang w:eastAsia="fr-FR" w:bidi="fr-FR"/>
        </w:rPr>
        <w:t>Education and State Formation. The Rise of Education Systems in England, France and the U.S.A.,</w:t>
      </w:r>
      <w:r w:rsidRPr="00601E6E">
        <w:t xml:space="preserve"> Londres, St Martin’s Press.</w:t>
      </w:r>
    </w:p>
    <w:p w14:paraId="0E1B6CB1" w14:textId="77777777" w:rsidR="009A4910" w:rsidRDefault="009A4910" w:rsidP="009A4910">
      <w:pPr>
        <w:spacing w:before="120" w:after="120"/>
        <w:jc w:val="both"/>
      </w:pPr>
      <w:r w:rsidRPr="00A25C5C">
        <w:rPr>
          <w:caps/>
        </w:rPr>
        <w:t>Harp,</w:t>
      </w:r>
      <w:r w:rsidRPr="00601E6E">
        <w:rPr>
          <w:rStyle w:val="Corpsdutexte57ptNonItaliquePetitesmajuscules"/>
          <w:i w:val="0"/>
          <w:iCs w:val="0"/>
        </w:rPr>
        <w:t xml:space="preserve"> </w:t>
      </w:r>
      <w:r w:rsidRPr="00601E6E">
        <w:t>Stephen L. (1998</w:t>
      </w:r>
      <w:r>
        <w:t>)</w:t>
      </w:r>
      <w:r w:rsidRPr="00601E6E">
        <w:t xml:space="preserve">. </w:t>
      </w:r>
      <w:r w:rsidRPr="009436CF">
        <w:rPr>
          <w:i/>
          <w:lang w:eastAsia="fr-FR" w:bidi="fr-FR"/>
        </w:rPr>
        <w:t>Learning to be Loyal : Primary Scho</w:t>
      </w:r>
      <w:r w:rsidRPr="009436CF">
        <w:rPr>
          <w:i/>
          <w:lang w:eastAsia="fr-FR" w:bidi="fr-FR"/>
        </w:rPr>
        <w:t>o</w:t>
      </w:r>
      <w:r w:rsidRPr="009436CF">
        <w:rPr>
          <w:i/>
          <w:lang w:eastAsia="fr-FR" w:bidi="fr-FR"/>
        </w:rPr>
        <w:t>ling as Nation Building in Alsace and Lorraine</w:t>
      </w:r>
      <w:r w:rsidRPr="00601E6E">
        <w:rPr>
          <w:lang w:eastAsia="fr-FR" w:bidi="fr-FR"/>
        </w:rPr>
        <w:t>, 1850-1940,</w:t>
      </w:r>
      <w:r w:rsidRPr="00601E6E">
        <w:t xml:space="preserve"> DeKalb, No</w:t>
      </w:r>
      <w:r w:rsidRPr="00601E6E">
        <w:t>r</w:t>
      </w:r>
      <w:r w:rsidRPr="00601E6E">
        <w:t>thern Illinois University Press.</w:t>
      </w:r>
    </w:p>
    <w:p w14:paraId="4D2587AF" w14:textId="77777777" w:rsidR="009A4910" w:rsidRDefault="009A4910" w:rsidP="009A4910">
      <w:pPr>
        <w:spacing w:before="120" w:after="120"/>
        <w:jc w:val="both"/>
      </w:pPr>
      <w:r w:rsidRPr="00A25C5C">
        <w:rPr>
          <w:caps/>
        </w:rPr>
        <w:t>HEATHORN,</w:t>
      </w:r>
      <w:r w:rsidRPr="00601E6E">
        <w:rPr>
          <w:rStyle w:val="Corpsdutexte57ptNonItalique"/>
          <w:i w:val="0"/>
          <w:iCs w:val="0"/>
        </w:rPr>
        <w:t xml:space="preserve"> </w:t>
      </w:r>
      <w:r w:rsidRPr="00601E6E">
        <w:t xml:space="preserve">Stephen (2000). </w:t>
      </w:r>
      <w:r w:rsidRPr="009436CF">
        <w:rPr>
          <w:i/>
          <w:lang w:eastAsia="fr-FR" w:bidi="fr-FR"/>
        </w:rPr>
        <w:t>For Home, Country, and Race. Constru</w:t>
      </w:r>
      <w:r w:rsidRPr="009436CF">
        <w:rPr>
          <w:i/>
          <w:lang w:eastAsia="fr-FR" w:bidi="fr-FR"/>
        </w:rPr>
        <w:t>c</w:t>
      </w:r>
      <w:r w:rsidRPr="009436CF">
        <w:rPr>
          <w:i/>
          <w:lang w:eastAsia="fr-FR" w:bidi="fr-FR"/>
        </w:rPr>
        <w:t>ting Gender, Class, and Englishness in the Elementary School, 1880-1914</w:t>
      </w:r>
      <w:r w:rsidRPr="00601E6E">
        <w:rPr>
          <w:lang w:eastAsia="fr-FR" w:bidi="fr-FR"/>
        </w:rPr>
        <w:t>,</w:t>
      </w:r>
      <w:r w:rsidRPr="00601E6E">
        <w:t xml:space="preserve"> Toronto, University of Toronto Press.</w:t>
      </w:r>
    </w:p>
    <w:p w14:paraId="33D3260F" w14:textId="77777777" w:rsidR="009A4910" w:rsidRDefault="009A4910" w:rsidP="009A4910">
      <w:pPr>
        <w:spacing w:before="120" w:after="120"/>
        <w:jc w:val="both"/>
      </w:pPr>
      <w:r w:rsidRPr="00A25C5C">
        <w:t>Helly</w:t>
      </w:r>
      <w:r w:rsidRPr="00A25C5C">
        <w:rPr>
          <w:caps/>
          <w:smallCaps/>
        </w:rPr>
        <w:t>,</w:t>
      </w:r>
      <w:r w:rsidRPr="00601E6E">
        <w:rPr>
          <w:rStyle w:val="Corpsdutexte37ptPetitesmajuscules"/>
        </w:rPr>
        <w:t xml:space="preserve"> </w:t>
      </w:r>
      <w:r w:rsidRPr="00601E6E">
        <w:rPr>
          <w:lang w:eastAsia="fr-FR" w:bidi="fr-FR"/>
        </w:rPr>
        <w:t xml:space="preserve">Denise (1997). </w:t>
      </w:r>
      <w:r>
        <w:rPr>
          <w:lang w:eastAsia="fr-FR" w:bidi="fr-FR"/>
        </w:rPr>
        <w:t>« </w:t>
      </w:r>
      <w:r w:rsidRPr="00601E6E">
        <w:rPr>
          <w:lang w:eastAsia="fr-FR" w:bidi="fr-FR"/>
        </w:rPr>
        <w:t>Les transformations de l’idée de n</w:t>
      </w:r>
      <w:r w:rsidRPr="00601E6E">
        <w:rPr>
          <w:lang w:eastAsia="fr-FR" w:bidi="fr-FR"/>
        </w:rPr>
        <w:t>a</w:t>
      </w:r>
      <w:r w:rsidRPr="00601E6E">
        <w:rPr>
          <w:lang w:eastAsia="fr-FR" w:bidi="fr-FR"/>
        </w:rPr>
        <w:t>tion</w:t>
      </w:r>
      <w:r>
        <w:rPr>
          <w:lang w:eastAsia="fr-FR" w:bidi="fr-FR"/>
        </w:rPr>
        <w:t> »</w:t>
      </w:r>
      <w:r w:rsidRPr="00601E6E">
        <w:rPr>
          <w:lang w:eastAsia="fr-FR" w:bidi="fr-FR"/>
        </w:rPr>
        <w:t>, dans</w:t>
      </w:r>
      <w:r>
        <w:rPr>
          <w:lang w:eastAsia="fr-FR" w:bidi="fr-FR"/>
        </w:rPr>
        <w:t> :</w:t>
      </w:r>
      <w:r w:rsidRPr="00601E6E">
        <w:rPr>
          <w:lang w:eastAsia="fr-FR" w:bidi="fr-FR"/>
        </w:rPr>
        <w:t xml:space="preserve"> Gérard Bouchard et Yvan Lamonde (dirs), </w:t>
      </w:r>
      <w:r w:rsidRPr="009436CF">
        <w:rPr>
          <w:i/>
        </w:rPr>
        <w:t>La nation dans tous ses états</w:t>
      </w:r>
      <w:r w:rsidRPr="00601E6E">
        <w:t>,</w:t>
      </w:r>
      <w:r w:rsidRPr="00601E6E">
        <w:rPr>
          <w:lang w:eastAsia="fr-FR" w:bidi="fr-FR"/>
        </w:rPr>
        <w:t xml:space="preserve"> Paris, L’Harmattan, p. 311-336.</w:t>
      </w:r>
    </w:p>
    <w:p w14:paraId="4667CCFD" w14:textId="77777777" w:rsidR="009A4910" w:rsidRDefault="009A4910" w:rsidP="009A4910">
      <w:pPr>
        <w:spacing w:before="120" w:after="120"/>
        <w:jc w:val="both"/>
      </w:pPr>
      <w:r w:rsidRPr="00601E6E">
        <w:t xml:space="preserve">HELLY, </w:t>
      </w:r>
      <w:r w:rsidRPr="00601E6E">
        <w:rPr>
          <w:lang w:eastAsia="fr-FR" w:bidi="fr-FR"/>
        </w:rPr>
        <w:t xml:space="preserve">Denise (1999). </w:t>
      </w:r>
      <w:r>
        <w:rPr>
          <w:lang w:eastAsia="fr-FR" w:bidi="fr-FR"/>
        </w:rPr>
        <w:t>« </w:t>
      </w:r>
      <w:r w:rsidRPr="00601E6E">
        <w:rPr>
          <w:lang w:eastAsia="fr-FR" w:bidi="fr-FR"/>
        </w:rPr>
        <w:t>Une injonction</w:t>
      </w:r>
      <w:r>
        <w:rPr>
          <w:lang w:eastAsia="fr-FR" w:bidi="fr-FR"/>
        </w:rPr>
        <w:t> :</w:t>
      </w:r>
      <w:r w:rsidRPr="00601E6E">
        <w:rPr>
          <w:lang w:eastAsia="fr-FR" w:bidi="fr-FR"/>
        </w:rPr>
        <w:t xml:space="preserve"> Appartenir, partic</w:t>
      </w:r>
      <w:r w:rsidRPr="00601E6E">
        <w:rPr>
          <w:lang w:eastAsia="fr-FR" w:bidi="fr-FR"/>
        </w:rPr>
        <w:t>i</w:t>
      </w:r>
      <w:r w:rsidRPr="00601E6E">
        <w:rPr>
          <w:lang w:eastAsia="fr-FR" w:bidi="fr-FR"/>
        </w:rPr>
        <w:t>per. Le retour de la cohésion sociale et du citoyen</w:t>
      </w:r>
      <w:r>
        <w:rPr>
          <w:lang w:eastAsia="fr-FR" w:bidi="fr-FR"/>
        </w:rPr>
        <w:t> »</w:t>
      </w:r>
      <w:r w:rsidRPr="00601E6E">
        <w:rPr>
          <w:lang w:eastAsia="fr-FR" w:bidi="fr-FR"/>
        </w:rPr>
        <w:t>, dans</w:t>
      </w:r>
      <w:r>
        <w:rPr>
          <w:lang w:eastAsia="fr-FR" w:bidi="fr-FR"/>
        </w:rPr>
        <w:t> :</w:t>
      </w:r>
      <w:r w:rsidRPr="00601E6E">
        <w:rPr>
          <w:lang w:eastAsia="fr-FR" w:bidi="fr-FR"/>
        </w:rPr>
        <w:t xml:space="preserve"> </w:t>
      </w:r>
      <w:r w:rsidRPr="009436CF">
        <w:rPr>
          <w:i/>
        </w:rPr>
        <w:t>Lien social et politiques</w:t>
      </w:r>
      <w:r w:rsidRPr="00601E6E">
        <w:t>,</w:t>
      </w:r>
      <w:r w:rsidRPr="00601E6E">
        <w:rPr>
          <w:lang w:eastAsia="fr-FR" w:bidi="fr-FR"/>
        </w:rPr>
        <w:t xml:space="preserve"> n°</w:t>
      </w:r>
      <w:r>
        <w:rPr>
          <w:lang w:eastAsia="fr-FR" w:bidi="fr-FR"/>
        </w:rPr>
        <w:t> </w:t>
      </w:r>
      <w:r w:rsidRPr="00601E6E">
        <w:rPr>
          <w:lang w:eastAsia="fr-FR" w:bidi="fr-FR"/>
        </w:rPr>
        <w:t>41, p. 35-46.</w:t>
      </w:r>
    </w:p>
    <w:p w14:paraId="172FE0F3" w14:textId="77777777" w:rsidR="009A4910" w:rsidRDefault="009A4910" w:rsidP="009A4910">
      <w:pPr>
        <w:spacing w:before="120" w:after="120"/>
        <w:jc w:val="both"/>
      </w:pPr>
      <w:r w:rsidRPr="00601E6E">
        <w:t>HELLY</w:t>
      </w:r>
      <w:r w:rsidRPr="00601E6E">
        <w:rPr>
          <w:rStyle w:val="Corpsdutexte37ptPetitesmajuscules"/>
        </w:rPr>
        <w:t xml:space="preserve">, </w:t>
      </w:r>
      <w:r w:rsidRPr="00601E6E">
        <w:rPr>
          <w:lang w:eastAsia="fr-FR" w:bidi="fr-FR"/>
        </w:rPr>
        <w:t xml:space="preserve">Denise (2000). </w:t>
      </w:r>
      <w:r>
        <w:rPr>
          <w:lang w:eastAsia="fr-FR" w:bidi="fr-FR"/>
        </w:rPr>
        <w:t>« </w:t>
      </w:r>
      <w:r w:rsidRPr="00601E6E">
        <w:rPr>
          <w:lang w:eastAsia="fr-FR" w:bidi="fr-FR"/>
        </w:rPr>
        <w:t>La nouvelle citoyenneté, active et re</w:t>
      </w:r>
      <w:r w:rsidRPr="00601E6E">
        <w:rPr>
          <w:lang w:eastAsia="fr-FR" w:bidi="fr-FR"/>
        </w:rPr>
        <w:t>s</w:t>
      </w:r>
      <w:r w:rsidRPr="00601E6E">
        <w:rPr>
          <w:lang w:eastAsia="fr-FR" w:bidi="fr-FR"/>
        </w:rPr>
        <w:t>ponsable</w:t>
      </w:r>
      <w:r>
        <w:rPr>
          <w:lang w:eastAsia="fr-FR" w:bidi="fr-FR"/>
        </w:rPr>
        <w:t> »</w:t>
      </w:r>
      <w:r w:rsidRPr="00601E6E">
        <w:rPr>
          <w:lang w:eastAsia="fr-FR" w:bidi="fr-FR"/>
        </w:rPr>
        <w:t>, dans</w:t>
      </w:r>
      <w:r>
        <w:rPr>
          <w:lang w:eastAsia="fr-FR" w:bidi="fr-FR"/>
        </w:rPr>
        <w:t> :</w:t>
      </w:r>
      <w:r w:rsidRPr="00601E6E">
        <w:rPr>
          <w:lang w:eastAsia="fr-FR" w:bidi="fr-FR"/>
        </w:rPr>
        <w:t xml:space="preserve"> Yves Boisvert, Jacques Hamel et Marc Molgat (dirs). </w:t>
      </w:r>
      <w:r w:rsidRPr="009436CF">
        <w:rPr>
          <w:i/>
        </w:rPr>
        <w:t>Vivre la citoyenneté. Identité, appartenance et participation</w:t>
      </w:r>
      <w:r w:rsidRPr="00601E6E">
        <w:t>,</w:t>
      </w:r>
      <w:r w:rsidRPr="00601E6E">
        <w:rPr>
          <w:lang w:eastAsia="fr-FR" w:bidi="fr-FR"/>
        </w:rPr>
        <w:t xml:space="preserve"> Montréal, Liber, p. 119-134.</w:t>
      </w:r>
    </w:p>
    <w:p w14:paraId="22D5985B" w14:textId="77777777" w:rsidR="009A4910" w:rsidRDefault="009A4910" w:rsidP="009A4910">
      <w:pPr>
        <w:spacing w:before="120" w:after="120"/>
        <w:jc w:val="both"/>
      </w:pPr>
      <w:r w:rsidRPr="00601E6E">
        <w:t xml:space="preserve">HELLY, </w:t>
      </w:r>
      <w:r w:rsidRPr="00601E6E">
        <w:rPr>
          <w:lang w:eastAsia="fr-FR" w:bidi="fr-FR"/>
        </w:rPr>
        <w:t xml:space="preserve">Denise (2002). </w:t>
      </w:r>
      <w:r>
        <w:rPr>
          <w:lang w:eastAsia="fr-FR" w:bidi="fr-FR"/>
        </w:rPr>
        <w:t>« </w:t>
      </w:r>
      <w:r w:rsidRPr="00601E6E">
        <w:rPr>
          <w:lang w:eastAsia="fr-FR" w:bidi="fr-FR"/>
        </w:rPr>
        <w:t>Minorités ethniques et nationales</w:t>
      </w:r>
      <w:r>
        <w:rPr>
          <w:lang w:eastAsia="fr-FR" w:bidi="fr-FR"/>
        </w:rPr>
        <w:t> :</w:t>
      </w:r>
      <w:r w:rsidRPr="00601E6E">
        <w:rPr>
          <w:lang w:eastAsia="fr-FR" w:bidi="fr-FR"/>
        </w:rPr>
        <w:t xml:space="preserve"> les débats sur le pluralisme culturel</w:t>
      </w:r>
      <w:r>
        <w:rPr>
          <w:lang w:eastAsia="fr-FR" w:bidi="fr-FR"/>
        </w:rPr>
        <w:t> »</w:t>
      </w:r>
      <w:r w:rsidRPr="00601E6E">
        <w:rPr>
          <w:lang w:eastAsia="fr-FR" w:bidi="fr-FR"/>
        </w:rPr>
        <w:t>, dans</w:t>
      </w:r>
      <w:r>
        <w:rPr>
          <w:lang w:eastAsia="fr-FR" w:bidi="fr-FR"/>
        </w:rPr>
        <w:t> :</w:t>
      </w:r>
      <w:r w:rsidRPr="00601E6E">
        <w:rPr>
          <w:lang w:eastAsia="fr-FR" w:bidi="fr-FR"/>
        </w:rPr>
        <w:t xml:space="preserve"> </w:t>
      </w:r>
      <w:r w:rsidRPr="009436CF">
        <w:rPr>
          <w:i/>
        </w:rPr>
        <w:t>L’Année sociologique</w:t>
      </w:r>
      <w:r w:rsidRPr="00601E6E">
        <w:t>,</w:t>
      </w:r>
      <w:r w:rsidRPr="00601E6E">
        <w:rPr>
          <w:lang w:eastAsia="fr-FR" w:bidi="fr-FR"/>
        </w:rPr>
        <w:t xml:space="preserve"> vol.</w:t>
      </w:r>
      <w:r>
        <w:rPr>
          <w:lang w:eastAsia="fr-FR" w:bidi="fr-FR"/>
        </w:rPr>
        <w:t> </w:t>
      </w:r>
      <w:r w:rsidRPr="00601E6E">
        <w:rPr>
          <w:lang w:eastAsia="fr-FR" w:bidi="fr-FR"/>
        </w:rPr>
        <w:t>52, n°</w:t>
      </w:r>
      <w:r>
        <w:rPr>
          <w:lang w:eastAsia="fr-FR" w:bidi="fr-FR"/>
        </w:rPr>
        <w:t> </w:t>
      </w:r>
      <w:r w:rsidRPr="00601E6E">
        <w:rPr>
          <w:lang w:eastAsia="fr-FR" w:bidi="fr-FR"/>
        </w:rPr>
        <w:t>1, p. 147-181.</w:t>
      </w:r>
    </w:p>
    <w:p w14:paraId="774298DF" w14:textId="77777777" w:rsidR="009A4910" w:rsidRDefault="009A4910" w:rsidP="009A4910">
      <w:pPr>
        <w:spacing w:before="120" w:after="120"/>
        <w:jc w:val="both"/>
      </w:pPr>
      <w:r w:rsidRPr="00A25C5C">
        <w:rPr>
          <w:caps/>
        </w:rPr>
        <w:t>Helly,</w:t>
      </w:r>
      <w:r w:rsidRPr="00601E6E">
        <w:rPr>
          <w:rStyle w:val="Corpsdutexte37ptPetitesmajuscules"/>
        </w:rPr>
        <w:t xml:space="preserve"> </w:t>
      </w:r>
      <w:r w:rsidRPr="00601E6E">
        <w:rPr>
          <w:lang w:eastAsia="fr-FR" w:bidi="fr-FR"/>
        </w:rPr>
        <w:t>Denise et Nicolas</w:t>
      </w:r>
      <w:r w:rsidRPr="00A25C5C">
        <w:rPr>
          <w:caps/>
        </w:rPr>
        <w:t xml:space="preserve"> </w:t>
      </w:r>
      <w:r w:rsidRPr="00A25C5C">
        <w:rPr>
          <w:caps/>
          <w:smallCaps/>
        </w:rPr>
        <w:t xml:space="preserve">VAN </w:t>
      </w:r>
      <w:r w:rsidRPr="00A25C5C">
        <w:rPr>
          <w:caps/>
        </w:rPr>
        <w:t>Schendel</w:t>
      </w:r>
      <w:r w:rsidRPr="00601E6E">
        <w:rPr>
          <w:rStyle w:val="Corpsdutexte37ptPetitesmajuscules"/>
        </w:rPr>
        <w:t xml:space="preserve"> </w:t>
      </w:r>
      <w:r w:rsidRPr="00601E6E">
        <w:rPr>
          <w:lang w:eastAsia="fr-FR" w:bidi="fr-FR"/>
        </w:rPr>
        <w:t>(2001</w:t>
      </w:r>
      <w:r w:rsidRPr="00601E6E">
        <w:t xml:space="preserve">). </w:t>
      </w:r>
      <w:r w:rsidRPr="009436CF">
        <w:rPr>
          <w:i/>
        </w:rPr>
        <w:t>Appartenir au Québec. Citoyenneté, nation et société civile</w:t>
      </w:r>
      <w:r w:rsidRPr="00601E6E">
        <w:t>. Enquête à Mo</w:t>
      </w:r>
      <w:r w:rsidRPr="00601E6E">
        <w:t>n</w:t>
      </w:r>
      <w:r w:rsidRPr="00601E6E">
        <w:t>tréal, 1995,</w:t>
      </w:r>
      <w:r w:rsidRPr="00601E6E">
        <w:rPr>
          <w:lang w:eastAsia="fr-FR" w:bidi="fr-FR"/>
        </w:rPr>
        <w:t xml:space="preserve"> Sainte-Foy, Les Presses de l’Université Laval/Les éd</w:t>
      </w:r>
      <w:r w:rsidRPr="00601E6E">
        <w:rPr>
          <w:lang w:eastAsia="fr-FR" w:bidi="fr-FR"/>
        </w:rPr>
        <w:t>i</w:t>
      </w:r>
      <w:r w:rsidRPr="00601E6E">
        <w:rPr>
          <w:lang w:eastAsia="fr-FR" w:bidi="fr-FR"/>
        </w:rPr>
        <w:t xml:space="preserve">tions de </w:t>
      </w:r>
      <w:r w:rsidRPr="00601E6E">
        <w:t>l’</w:t>
      </w:r>
      <w:r>
        <w:t>I</w:t>
      </w:r>
      <w:r w:rsidRPr="00601E6E">
        <w:t xml:space="preserve">QRC, </w:t>
      </w:r>
      <w:r w:rsidRPr="00601E6E">
        <w:rPr>
          <w:lang w:eastAsia="fr-FR" w:bidi="fr-FR"/>
        </w:rPr>
        <w:t xml:space="preserve">coll. </w:t>
      </w:r>
      <w:r>
        <w:rPr>
          <w:lang w:eastAsia="fr-FR" w:bidi="fr-FR"/>
        </w:rPr>
        <w:t>« </w:t>
      </w:r>
      <w:r w:rsidRPr="00601E6E">
        <w:rPr>
          <w:lang w:eastAsia="fr-FR" w:bidi="fr-FR"/>
        </w:rPr>
        <w:t>Culture et société</w:t>
      </w:r>
      <w:r>
        <w:rPr>
          <w:lang w:eastAsia="fr-FR" w:bidi="fr-FR"/>
        </w:rPr>
        <w:t> »</w:t>
      </w:r>
      <w:r w:rsidRPr="00601E6E">
        <w:rPr>
          <w:lang w:eastAsia="fr-FR" w:bidi="fr-FR"/>
        </w:rPr>
        <w:t>.</w:t>
      </w:r>
    </w:p>
    <w:p w14:paraId="50EF9D98" w14:textId="77777777" w:rsidR="009A4910" w:rsidRDefault="009A4910" w:rsidP="009A4910">
      <w:pPr>
        <w:spacing w:before="120" w:after="120"/>
        <w:jc w:val="both"/>
      </w:pPr>
      <w:r w:rsidRPr="00601E6E">
        <w:t xml:space="preserve">HOBSBAWM, </w:t>
      </w:r>
      <w:r w:rsidRPr="00601E6E">
        <w:rPr>
          <w:lang w:eastAsia="fr-FR" w:bidi="fr-FR"/>
        </w:rPr>
        <w:t xml:space="preserve">Eric J. (1983). </w:t>
      </w:r>
      <w:r>
        <w:rPr>
          <w:lang w:eastAsia="fr-FR" w:bidi="fr-FR"/>
        </w:rPr>
        <w:t>« </w:t>
      </w:r>
      <w:r w:rsidRPr="00601E6E">
        <w:rPr>
          <w:lang w:eastAsia="fr-FR" w:bidi="fr-FR"/>
        </w:rPr>
        <w:t>Mass producing traditions</w:t>
      </w:r>
      <w:r>
        <w:rPr>
          <w:lang w:eastAsia="fr-FR" w:bidi="fr-FR"/>
        </w:rPr>
        <w:t> :</w:t>
      </w:r>
      <w:r w:rsidRPr="00601E6E">
        <w:rPr>
          <w:lang w:eastAsia="fr-FR" w:bidi="fr-FR"/>
        </w:rPr>
        <w:t xml:space="preserve"> Eur</w:t>
      </w:r>
      <w:r w:rsidRPr="00601E6E">
        <w:rPr>
          <w:lang w:eastAsia="fr-FR" w:bidi="fr-FR"/>
        </w:rPr>
        <w:t>o</w:t>
      </w:r>
      <w:r w:rsidRPr="00601E6E">
        <w:rPr>
          <w:lang w:eastAsia="fr-FR" w:bidi="fr-FR"/>
        </w:rPr>
        <w:t>pe, 1870-1914</w:t>
      </w:r>
      <w:r>
        <w:rPr>
          <w:lang w:eastAsia="fr-FR" w:bidi="fr-FR"/>
        </w:rPr>
        <w:t> »</w:t>
      </w:r>
      <w:r w:rsidRPr="00601E6E">
        <w:rPr>
          <w:lang w:eastAsia="fr-FR" w:bidi="fr-FR"/>
        </w:rPr>
        <w:t>, dans</w:t>
      </w:r>
      <w:r>
        <w:rPr>
          <w:lang w:eastAsia="fr-FR" w:bidi="fr-FR"/>
        </w:rPr>
        <w:t> :</w:t>
      </w:r>
      <w:r w:rsidRPr="00601E6E">
        <w:rPr>
          <w:lang w:eastAsia="fr-FR" w:bidi="fr-FR"/>
        </w:rPr>
        <w:t xml:space="preserve"> Eric Hobsbawm et Terence Ranger (dirs). </w:t>
      </w:r>
      <w:r w:rsidRPr="009436CF">
        <w:rPr>
          <w:i/>
        </w:rPr>
        <w:t>I</w:t>
      </w:r>
      <w:r w:rsidRPr="009436CF">
        <w:rPr>
          <w:i/>
        </w:rPr>
        <w:t>n</w:t>
      </w:r>
      <w:r w:rsidRPr="009436CF">
        <w:rPr>
          <w:i/>
        </w:rPr>
        <w:t>vention of Tradition</w:t>
      </w:r>
      <w:r w:rsidRPr="00601E6E">
        <w:t>,</w:t>
      </w:r>
      <w:r w:rsidRPr="00601E6E">
        <w:rPr>
          <w:lang w:eastAsia="fr-FR" w:bidi="fr-FR"/>
        </w:rPr>
        <w:t xml:space="preserve"> Cambridge, Cambridge University Press, p. 263-307.</w:t>
      </w:r>
    </w:p>
    <w:p w14:paraId="137DB05B" w14:textId="77777777" w:rsidR="009A4910" w:rsidRDefault="009A4910" w:rsidP="009A4910">
      <w:pPr>
        <w:spacing w:before="120" w:after="120"/>
        <w:jc w:val="both"/>
      </w:pPr>
      <w:r w:rsidRPr="00A25C5C">
        <w:t>HOBSBAWM,</w:t>
      </w:r>
      <w:r w:rsidRPr="00601E6E">
        <w:rPr>
          <w:rStyle w:val="Corpsdutexte57ptNonItalique"/>
          <w:i w:val="0"/>
          <w:iCs w:val="0"/>
        </w:rPr>
        <w:t xml:space="preserve"> </w:t>
      </w:r>
      <w:r w:rsidRPr="00601E6E">
        <w:t xml:space="preserve">Eric J. (1990). </w:t>
      </w:r>
      <w:r w:rsidRPr="009436CF">
        <w:rPr>
          <w:i/>
          <w:lang w:eastAsia="fr-FR" w:bidi="fr-FR"/>
        </w:rPr>
        <w:t>Nations and Nationalism Since 1780. Pr</w:t>
      </w:r>
      <w:r w:rsidRPr="009436CF">
        <w:rPr>
          <w:i/>
          <w:lang w:eastAsia="fr-FR" w:bidi="fr-FR"/>
        </w:rPr>
        <w:t>o</w:t>
      </w:r>
      <w:r w:rsidRPr="009436CF">
        <w:rPr>
          <w:i/>
          <w:lang w:eastAsia="fr-FR" w:bidi="fr-FR"/>
        </w:rPr>
        <w:t xml:space="preserve">gram, Myth, </w:t>
      </w:r>
      <w:r>
        <w:rPr>
          <w:i/>
          <w:lang w:eastAsia="fr-FR" w:bidi="fr-FR"/>
        </w:rPr>
        <w:t>R</w:t>
      </w:r>
      <w:r w:rsidRPr="009436CF">
        <w:rPr>
          <w:i/>
          <w:lang w:eastAsia="fr-FR" w:bidi="fr-FR"/>
        </w:rPr>
        <w:t>eality</w:t>
      </w:r>
      <w:r w:rsidRPr="00601E6E">
        <w:rPr>
          <w:lang w:eastAsia="fr-FR" w:bidi="fr-FR"/>
        </w:rPr>
        <w:t>,</w:t>
      </w:r>
      <w:r w:rsidRPr="00601E6E">
        <w:t xml:space="preserve"> Cambridge, Cambridge University Press.</w:t>
      </w:r>
    </w:p>
    <w:p w14:paraId="57E34842" w14:textId="77777777" w:rsidR="009A4910" w:rsidRDefault="009A4910" w:rsidP="009A4910">
      <w:pPr>
        <w:spacing w:before="120" w:after="120"/>
        <w:jc w:val="both"/>
      </w:pPr>
      <w:r w:rsidRPr="00A25C5C">
        <w:rPr>
          <w:caps/>
        </w:rPr>
        <w:t>Hroch,</w:t>
      </w:r>
      <w:r w:rsidRPr="00601E6E">
        <w:rPr>
          <w:rStyle w:val="Corpsdutexte57ptNonItaliquePetitesmajuscules"/>
          <w:i w:val="0"/>
          <w:iCs w:val="0"/>
        </w:rPr>
        <w:t xml:space="preserve"> </w:t>
      </w:r>
      <w:r w:rsidRPr="00601E6E">
        <w:t xml:space="preserve">Miroslav (1985). </w:t>
      </w:r>
      <w:r w:rsidRPr="009436CF">
        <w:rPr>
          <w:i/>
          <w:lang w:eastAsia="fr-FR" w:bidi="fr-FR"/>
        </w:rPr>
        <w:t>The Social Preconditions of National Ravivai in Europe : A Comparative Analysis of the Social Compos</w:t>
      </w:r>
      <w:r w:rsidRPr="009436CF">
        <w:rPr>
          <w:i/>
          <w:lang w:eastAsia="fr-FR" w:bidi="fr-FR"/>
        </w:rPr>
        <w:t>i</w:t>
      </w:r>
      <w:r w:rsidRPr="009436CF">
        <w:rPr>
          <w:i/>
          <w:lang w:eastAsia="fr-FR" w:bidi="fr-FR"/>
        </w:rPr>
        <w:t>tion of Patriotic Groups Among the Smaller European Nations</w:t>
      </w:r>
      <w:r w:rsidRPr="00601E6E">
        <w:rPr>
          <w:lang w:eastAsia="fr-FR" w:bidi="fr-FR"/>
        </w:rPr>
        <w:t>,</w:t>
      </w:r>
      <w:r w:rsidRPr="00601E6E">
        <w:t xml:space="preserve"> New York, Cambridge University Press.</w:t>
      </w:r>
    </w:p>
    <w:p w14:paraId="4557E478" w14:textId="77777777" w:rsidR="009A4910" w:rsidRDefault="009A4910" w:rsidP="009A4910">
      <w:pPr>
        <w:spacing w:before="120" w:after="120"/>
        <w:jc w:val="both"/>
      </w:pPr>
      <w:r w:rsidRPr="00601E6E">
        <w:t xml:space="preserve">HROCH, </w:t>
      </w:r>
      <w:r w:rsidRPr="00601E6E">
        <w:rPr>
          <w:lang w:eastAsia="fr-FR" w:bidi="fr-FR"/>
        </w:rPr>
        <w:t xml:space="preserve">Miroslav (1995). </w:t>
      </w:r>
      <w:r>
        <w:rPr>
          <w:lang w:eastAsia="fr-FR" w:bidi="fr-FR"/>
        </w:rPr>
        <w:t>« </w:t>
      </w:r>
      <w:r w:rsidRPr="00601E6E">
        <w:rPr>
          <w:lang w:eastAsia="fr-FR" w:bidi="fr-FR"/>
        </w:rPr>
        <w:t xml:space="preserve">De l’ethnicité </w:t>
      </w:r>
      <w:r w:rsidRPr="00601E6E">
        <w:t xml:space="preserve">à </w:t>
      </w:r>
      <w:r w:rsidRPr="00601E6E">
        <w:rPr>
          <w:lang w:eastAsia="fr-FR" w:bidi="fr-FR"/>
        </w:rPr>
        <w:t>la nation. Un ch</w:t>
      </w:r>
      <w:r w:rsidRPr="00601E6E">
        <w:rPr>
          <w:lang w:eastAsia="fr-FR" w:bidi="fr-FR"/>
        </w:rPr>
        <w:t>e</w:t>
      </w:r>
      <w:r w:rsidRPr="00601E6E">
        <w:rPr>
          <w:lang w:eastAsia="fr-FR" w:bidi="fr-FR"/>
        </w:rPr>
        <w:t>min oublié vers la modernité</w:t>
      </w:r>
      <w:r>
        <w:rPr>
          <w:lang w:eastAsia="fr-FR" w:bidi="fr-FR"/>
        </w:rPr>
        <w:t> »</w:t>
      </w:r>
      <w:r w:rsidRPr="00601E6E">
        <w:rPr>
          <w:lang w:eastAsia="fr-FR" w:bidi="fr-FR"/>
        </w:rPr>
        <w:t>, dans</w:t>
      </w:r>
      <w:r>
        <w:rPr>
          <w:lang w:eastAsia="fr-FR" w:bidi="fr-FR"/>
        </w:rPr>
        <w:t> :</w:t>
      </w:r>
      <w:r w:rsidRPr="00601E6E">
        <w:rPr>
          <w:lang w:eastAsia="fr-FR" w:bidi="fr-FR"/>
        </w:rPr>
        <w:t xml:space="preserve"> </w:t>
      </w:r>
      <w:r w:rsidRPr="009436CF">
        <w:rPr>
          <w:i/>
        </w:rPr>
        <w:t>Anthropologie et sociétés</w:t>
      </w:r>
      <w:r w:rsidRPr="00601E6E">
        <w:t>,</w:t>
      </w:r>
      <w:r w:rsidRPr="00601E6E">
        <w:rPr>
          <w:lang w:eastAsia="fr-FR" w:bidi="fr-FR"/>
        </w:rPr>
        <w:t xml:space="preserve"> vol.</w:t>
      </w:r>
      <w:r>
        <w:rPr>
          <w:lang w:eastAsia="fr-FR" w:bidi="fr-FR"/>
        </w:rPr>
        <w:t> </w:t>
      </w:r>
      <w:r w:rsidRPr="00601E6E">
        <w:rPr>
          <w:lang w:eastAsia="fr-FR" w:bidi="fr-FR"/>
        </w:rPr>
        <w:t>19, n°</w:t>
      </w:r>
      <w:r>
        <w:rPr>
          <w:lang w:eastAsia="fr-FR" w:bidi="fr-FR"/>
        </w:rPr>
        <w:t> </w:t>
      </w:r>
      <w:r w:rsidRPr="00601E6E">
        <w:rPr>
          <w:lang w:eastAsia="fr-FR" w:bidi="fr-FR"/>
        </w:rPr>
        <w:t>3, p. 71-86.</w:t>
      </w:r>
    </w:p>
    <w:p w14:paraId="57E496ED" w14:textId="77777777" w:rsidR="009A4910" w:rsidRDefault="009A4910" w:rsidP="009A4910">
      <w:pPr>
        <w:spacing w:before="120" w:after="120"/>
        <w:jc w:val="both"/>
      </w:pPr>
      <w:r w:rsidRPr="00A25C5C">
        <w:rPr>
          <w:caps/>
        </w:rPr>
        <w:t>IGNATIEFF,</w:t>
      </w:r>
      <w:r w:rsidRPr="00601E6E">
        <w:rPr>
          <w:rStyle w:val="Corpsdutexte57ptNonItalique"/>
          <w:i w:val="0"/>
          <w:iCs w:val="0"/>
        </w:rPr>
        <w:t xml:space="preserve"> </w:t>
      </w:r>
      <w:r w:rsidRPr="00601E6E">
        <w:t xml:space="preserve">Michael (1994). </w:t>
      </w:r>
      <w:r w:rsidRPr="009436CF">
        <w:rPr>
          <w:i/>
          <w:lang w:eastAsia="fr-FR" w:bidi="fr-FR"/>
        </w:rPr>
        <w:t>Blood and Belonging. Journeys into the New Nationalism</w:t>
      </w:r>
      <w:r w:rsidRPr="00601E6E">
        <w:rPr>
          <w:lang w:eastAsia="fr-FR" w:bidi="fr-FR"/>
        </w:rPr>
        <w:t>,</w:t>
      </w:r>
      <w:r w:rsidRPr="00601E6E">
        <w:t xml:space="preserve"> Londres, Vintage.</w:t>
      </w:r>
    </w:p>
    <w:p w14:paraId="777ED8F0" w14:textId="77777777" w:rsidR="009A4910" w:rsidRDefault="009A4910" w:rsidP="009A4910">
      <w:pPr>
        <w:spacing w:before="120" w:after="120"/>
        <w:jc w:val="both"/>
      </w:pPr>
      <w:r w:rsidRPr="00601E6E">
        <w:t xml:space="preserve">Kohn, Hans (1945/1967), </w:t>
      </w:r>
      <w:r w:rsidRPr="009436CF">
        <w:rPr>
          <w:i/>
          <w:lang w:eastAsia="fr-FR" w:bidi="fr-FR"/>
        </w:rPr>
        <w:t>The Idea of Nationalism. A Study in its Origins and Background</w:t>
      </w:r>
      <w:r w:rsidRPr="00601E6E">
        <w:rPr>
          <w:lang w:eastAsia="fr-FR" w:bidi="fr-FR"/>
        </w:rPr>
        <w:t>,</w:t>
      </w:r>
      <w:r w:rsidRPr="00601E6E">
        <w:t xml:space="preserve"> New York, Macmillan Co., 735 p.</w:t>
      </w:r>
    </w:p>
    <w:p w14:paraId="58555D08" w14:textId="77777777" w:rsidR="009A4910" w:rsidRDefault="009A4910" w:rsidP="009A4910">
      <w:pPr>
        <w:spacing w:before="120" w:after="120"/>
        <w:jc w:val="both"/>
      </w:pPr>
      <w:r w:rsidRPr="00A25C5C">
        <w:rPr>
          <w:caps/>
          <w:smallCaps/>
        </w:rPr>
        <w:t>Kymlicka,</w:t>
      </w:r>
      <w:r w:rsidRPr="00601E6E">
        <w:rPr>
          <w:rStyle w:val="Corpsdutexte57ptNonItaliquePetitesmajuscules"/>
          <w:i w:val="0"/>
          <w:iCs w:val="0"/>
        </w:rPr>
        <w:t xml:space="preserve"> </w:t>
      </w:r>
      <w:r w:rsidRPr="00601E6E">
        <w:t xml:space="preserve">Will (1995). </w:t>
      </w:r>
      <w:r w:rsidRPr="009436CF">
        <w:rPr>
          <w:i/>
          <w:lang w:eastAsia="fr-FR" w:bidi="fr-FR"/>
        </w:rPr>
        <w:t>Multicultural Citiqenship : A Lib</w:t>
      </w:r>
      <w:r>
        <w:rPr>
          <w:i/>
          <w:lang w:eastAsia="fr-FR" w:bidi="fr-FR"/>
        </w:rPr>
        <w:t>e</w:t>
      </w:r>
      <w:r w:rsidRPr="009436CF">
        <w:rPr>
          <w:i/>
          <w:lang w:eastAsia="fr-FR" w:bidi="fr-FR"/>
        </w:rPr>
        <w:t>ral Theory of Mino</w:t>
      </w:r>
      <w:r>
        <w:rPr>
          <w:i/>
          <w:lang w:eastAsia="fr-FR" w:bidi="fr-FR"/>
        </w:rPr>
        <w:t>ri</w:t>
      </w:r>
      <w:r w:rsidRPr="009436CF">
        <w:rPr>
          <w:i/>
          <w:lang w:eastAsia="fr-FR" w:bidi="fr-FR"/>
        </w:rPr>
        <w:t>ty Groups</w:t>
      </w:r>
      <w:r w:rsidRPr="00601E6E">
        <w:rPr>
          <w:lang w:eastAsia="fr-FR" w:bidi="fr-FR"/>
        </w:rPr>
        <w:t>,</w:t>
      </w:r>
      <w:r w:rsidRPr="00601E6E">
        <w:t xml:space="preserve"> Oxford, Clarendon Press.</w:t>
      </w:r>
    </w:p>
    <w:p w14:paraId="5DDEE0D5" w14:textId="77777777" w:rsidR="009A4910" w:rsidRDefault="009A4910" w:rsidP="009A4910">
      <w:pPr>
        <w:spacing w:before="120" w:after="120"/>
        <w:jc w:val="both"/>
        <w:rPr>
          <w:lang w:eastAsia="fr-FR" w:bidi="fr-FR"/>
        </w:rPr>
      </w:pPr>
      <w:r w:rsidRPr="00A25C5C">
        <w:rPr>
          <w:caps/>
        </w:rPr>
        <w:t>Mayer,</w:t>
      </w:r>
      <w:r w:rsidRPr="00601E6E">
        <w:rPr>
          <w:rStyle w:val="Corpsdutexte37ptPetitesmajuscules"/>
        </w:rPr>
        <w:t xml:space="preserve"> </w:t>
      </w:r>
      <w:r w:rsidRPr="00601E6E">
        <w:rPr>
          <w:lang w:eastAsia="fr-FR" w:bidi="fr-FR"/>
        </w:rPr>
        <w:t xml:space="preserve">Nonna (1997). </w:t>
      </w:r>
      <w:r>
        <w:rPr>
          <w:lang w:eastAsia="fr-FR" w:bidi="fr-FR"/>
        </w:rPr>
        <w:t>« </w:t>
      </w:r>
      <w:r w:rsidRPr="00601E6E">
        <w:rPr>
          <w:lang w:eastAsia="fr-FR" w:bidi="fr-FR"/>
        </w:rPr>
        <w:t>Le sentiment national en France</w:t>
      </w:r>
      <w:r>
        <w:rPr>
          <w:lang w:eastAsia="fr-FR" w:bidi="fr-FR"/>
        </w:rPr>
        <w:t> »</w:t>
      </w:r>
      <w:r w:rsidRPr="00601E6E">
        <w:rPr>
          <w:lang w:eastAsia="fr-FR" w:bidi="fr-FR"/>
        </w:rPr>
        <w:t>, dans</w:t>
      </w:r>
      <w:r>
        <w:rPr>
          <w:lang w:eastAsia="fr-FR" w:bidi="fr-FR"/>
        </w:rPr>
        <w:t> :</w:t>
      </w:r>
      <w:r w:rsidRPr="00601E6E">
        <w:rPr>
          <w:lang w:eastAsia="fr-FR" w:bidi="fr-FR"/>
        </w:rPr>
        <w:t xml:space="preserve"> Pierre Birnbaum (dir.). </w:t>
      </w:r>
      <w:r w:rsidRPr="009436CF">
        <w:rPr>
          <w:i/>
        </w:rPr>
        <w:t>Sociologie des nationalismes</w:t>
      </w:r>
      <w:r w:rsidRPr="00601E6E">
        <w:t>,</w:t>
      </w:r>
      <w:r w:rsidRPr="00601E6E">
        <w:rPr>
          <w:lang w:eastAsia="fr-FR" w:bidi="fr-FR"/>
        </w:rPr>
        <w:t xml:space="preserve"> Paris, </w:t>
      </w:r>
      <w:r w:rsidRPr="00601E6E">
        <w:t xml:space="preserve">PUF, </w:t>
      </w:r>
      <w:r w:rsidRPr="00601E6E">
        <w:rPr>
          <w:lang w:eastAsia="fr-FR" w:bidi="fr-FR"/>
        </w:rPr>
        <w:t>p. 273-294.</w:t>
      </w:r>
    </w:p>
    <w:p w14:paraId="4A643EEB" w14:textId="77777777" w:rsidR="009A4910" w:rsidRDefault="009A4910" w:rsidP="009A4910">
      <w:pPr>
        <w:spacing w:before="120" w:after="120"/>
        <w:jc w:val="both"/>
      </w:pPr>
      <w:r>
        <w:br w:type="page"/>
        <w:t>[49]</w:t>
      </w:r>
    </w:p>
    <w:p w14:paraId="02CE9AA9" w14:textId="77777777" w:rsidR="009A4910" w:rsidRDefault="009A4910" w:rsidP="009A4910">
      <w:pPr>
        <w:spacing w:before="120" w:after="120"/>
        <w:jc w:val="both"/>
      </w:pPr>
      <w:r w:rsidRPr="00A25C5C">
        <w:rPr>
          <w:caps/>
          <w:smallCaps/>
        </w:rPr>
        <w:t>Nora,</w:t>
      </w:r>
      <w:r w:rsidRPr="00601E6E">
        <w:rPr>
          <w:rStyle w:val="Corpsdutexte37ptPetitesmajuscules"/>
        </w:rPr>
        <w:t xml:space="preserve"> </w:t>
      </w:r>
      <w:r w:rsidRPr="00601E6E">
        <w:rPr>
          <w:lang w:eastAsia="fr-FR" w:bidi="fr-FR"/>
        </w:rPr>
        <w:t xml:space="preserve">Pierre (1992) (dir.). </w:t>
      </w:r>
      <w:r w:rsidRPr="009436CF">
        <w:rPr>
          <w:i/>
        </w:rPr>
        <w:t>Les Lieux de mémoire. Les Frances</w:t>
      </w:r>
      <w:r w:rsidRPr="00601E6E">
        <w:rPr>
          <w:lang w:eastAsia="fr-FR" w:bidi="fr-FR"/>
        </w:rPr>
        <w:t xml:space="preserve"> (3 t</w:t>
      </w:r>
      <w:r w:rsidRPr="00601E6E">
        <w:rPr>
          <w:lang w:eastAsia="fr-FR" w:bidi="fr-FR"/>
        </w:rPr>
        <w:t>o</w:t>
      </w:r>
      <w:r w:rsidRPr="00601E6E">
        <w:rPr>
          <w:lang w:eastAsia="fr-FR" w:bidi="fr-FR"/>
        </w:rPr>
        <w:t>mes), Paris, Gallimard, tome 3.</w:t>
      </w:r>
    </w:p>
    <w:p w14:paraId="4B0FFE57" w14:textId="77777777" w:rsidR="009A4910" w:rsidRDefault="009A4910" w:rsidP="009A4910">
      <w:pPr>
        <w:spacing w:before="120" w:after="120"/>
        <w:jc w:val="both"/>
        <w:rPr>
          <w:lang w:eastAsia="fr-FR" w:bidi="fr-FR"/>
        </w:rPr>
      </w:pPr>
      <w:r w:rsidRPr="00A25C5C">
        <w:rPr>
          <w:caps/>
          <w:lang w:eastAsia="fr-FR" w:bidi="fr-FR"/>
        </w:rPr>
        <w:t>Okin</w:t>
      </w:r>
      <w:r w:rsidRPr="00601E6E">
        <w:rPr>
          <w:lang w:eastAsia="fr-FR" w:bidi="fr-FR"/>
        </w:rPr>
        <w:t xml:space="preserve">, Susan (1979). </w:t>
      </w:r>
      <w:r w:rsidRPr="009436CF">
        <w:rPr>
          <w:i/>
        </w:rPr>
        <w:t>Women in Western Political Thought</w:t>
      </w:r>
      <w:r w:rsidRPr="00601E6E">
        <w:t>,</w:t>
      </w:r>
      <w:r w:rsidRPr="00601E6E">
        <w:rPr>
          <w:lang w:eastAsia="fr-FR" w:bidi="fr-FR"/>
        </w:rPr>
        <w:t xml:space="preserve"> Pri</w:t>
      </w:r>
      <w:r w:rsidRPr="00601E6E">
        <w:rPr>
          <w:lang w:eastAsia="fr-FR" w:bidi="fr-FR"/>
        </w:rPr>
        <w:t>n</w:t>
      </w:r>
      <w:r w:rsidRPr="00601E6E">
        <w:rPr>
          <w:lang w:eastAsia="fr-FR" w:bidi="fr-FR"/>
        </w:rPr>
        <w:t xml:space="preserve">ceton, N. </w:t>
      </w:r>
      <w:r>
        <w:rPr>
          <w:lang w:eastAsia="fr-FR" w:bidi="fr-FR"/>
        </w:rPr>
        <w:t>J., Princeton University Press.</w:t>
      </w:r>
    </w:p>
    <w:p w14:paraId="3F9D2B3F" w14:textId="77777777" w:rsidR="009A4910" w:rsidRDefault="009A4910" w:rsidP="009A4910">
      <w:pPr>
        <w:spacing w:before="120" w:after="120"/>
        <w:jc w:val="both"/>
      </w:pPr>
      <w:r w:rsidRPr="00601E6E">
        <w:t xml:space="preserve">PATEMAN, </w:t>
      </w:r>
      <w:r w:rsidRPr="00601E6E">
        <w:rPr>
          <w:lang w:eastAsia="fr-FR" w:bidi="fr-FR"/>
        </w:rPr>
        <w:t xml:space="preserve">Carole (1988). </w:t>
      </w:r>
      <w:r w:rsidRPr="009436CF">
        <w:rPr>
          <w:i/>
        </w:rPr>
        <w:t>The Sexual Contract</w:t>
      </w:r>
      <w:r>
        <w:t>.</w:t>
      </w:r>
      <w:r w:rsidRPr="00601E6E">
        <w:rPr>
          <w:lang w:eastAsia="fr-FR" w:bidi="fr-FR"/>
        </w:rPr>
        <w:t xml:space="preserve"> Stanford, Un</w:t>
      </w:r>
      <w:r w:rsidRPr="00601E6E">
        <w:rPr>
          <w:lang w:eastAsia="fr-FR" w:bidi="fr-FR"/>
        </w:rPr>
        <w:t>i</w:t>
      </w:r>
      <w:r w:rsidRPr="00601E6E">
        <w:rPr>
          <w:lang w:eastAsia="fr-FR" w:bidi="fr-FR"/>
        </w:rPr>
        <w:t>versity of California Press.</w:t>
      </w:r>
    </w:p>
    <w:p w14:paraId="0B90DFFD" w14:textId="77777777" w:rsidR="009A4910" w:rsidRDefault="009A4910" w:rsidP="009A4910">
      <w:pPr>
        <w:spacing w:before="120" w:after="120"/>
        <w:jc w:val="both"/>
        <w:rPr>
          <w:lang w:eastAsia="fr-FR" w:bidi="fr-FR"/>
        </w:rPr>
      </w:pPr>
      <w:r w:rsidRPr="00601E6E">
        <w:t xml:space="preserve">PERRINEAU, </w:t>
      </w:r>
      <w:r w:rsidRPr="00601E6E">
        <w:rPr>
          <w:lang w:eastAsia="fr-FR" w:bidi="fr-FR"/>
        </w:rPr>
        <w:t xml:space="preserve">Pascal (1994) (dir.). </w:t>
      </w:r>
      <w:r w:rsidRPr="009436CF">
        <w:rPr>
          <w:i/>
        </w:rPr>
        <w:t>L'engagement politique : d</w:t>
      </w:r>
      <w:r w:rsidRPr="009436CF">
        <w:rPr>
          <w:i/>
        </w:rPr>
        <w:t>é</w:t>
      </w:r>
      <w:r w:rsidRPr="009436CF">
        <w:rPr>
          <w:i/>
        </w:rPr>
        <w:t>clin ou mutation ?,</w:t>
      </w:r>
      <w:r w:rsidRPr="00601E6E">
        <w:rPr>
          <w:lang w:eastAsia="fr-FR" w:bidi="fr-FR"/>
        </w:rPr>
        <w:t xml:space="preserve"> Paris, Presses de </w:t>
      </w:r>
      <w:r>
        <w:rPr>
          <w:lang w:eastAsia="fr-FR" w:bidi="fr-FR"/>
        </w:rPr>
        <w:t>Sciences Po.</w:t>
      </w:r>
    </w:p>
    <w:p w14:paraId="4FEDA70E" w14:textId="77777777" w:rsidR="009A4910" w:rsidRDefault="009A4910" w:rsidP="009A4910">
      <w:pPr>
        <w:spacing w:before="120" w:after="120"/>
        <w:jc w:val="both"/>
      </w:pPr>
      <w:r w:rsidRPr="00601E6E">
        <w:t xml:space="preserve">RANCIÈRE, </w:t>
      </w:r>
      <w:r w:rsidRPr="00601E6E">
        <w:rPr>
          <w:lang w:eastAsia="fr-FR" w:bidi="fr-FR"/>
        </w:rPr>
        <w:t>Ja</w:t>
      </w:r>
      <w:r w:rsidRPr="00601E6E">
        <w:rPr>
          <w:lang w:eastAsia="fr-FR" w:bidi="fr-FR"/>
        </w:rPr>
        <w:t>c</w:t>
      </w:r>
      <w:r w:rsidRPr="00601E6E">
        <w:rPr>
          <w:lang w:eastAsia="fr-FR" w:bidi="fr-FR"/>
        </w:rPr>
        <w:t xml:space="preserve">ques (1981). </w:t>
      </w:r>
      <w:r w:rsidRPr="009436CF">
        <w:rPr>
          <w:i/>
        </w:rPr>
        <w:t>La Nuit des prolétaires</w:t>
      </w:r>
      <w:r w:rsidRPr="00601E6E">
        <w:t>,</w:t>
      </w:r>
      <w:r w:rsidRPr="00601E6E">
        <w:rPr>
          <w:lang w:eastAsia="fr-FR" w:bidi="fr-FR"/>
        </w:rPr>
        <w:t xml:space="preserve"> Paris, Fayard.</w:t>
      </w:r>
    </w:p>
    <w:p w14:paraId="6B2E9C20" w14:textId="77777777" w:rsidR="009A4910" w:rsidRDefault="009A4910" w:rsidP="009A4910">
      <w:pPr>
        <w:spacing w:before="120" w:after="120"/>
        <w:jc w:val="both"/>
      </w:pPr>
      <w:r w:rsidRPr="00A25C5C">
        <w:rPr>
          <w:caps/>
        </w:rPr>
        <w:t>RANCIÈRE,</w:t>
      </w:r>
      <w:r w:rsidRPr="00601E6E">
        <w:rPr>
          <w:rStyle w:val="Corpsdutexte57ptNonItaliquePetitesmajuscules"/>
          <w:i w:val="0"/>
          <w:iCs w:val="0"/>
        </w:rPr>
        <w:t xml:space="preserve"> </w:t>
      </w:r>
      <w:r w:rsidRPr="00601E6E">
        <w:t xml:space="preserve">Jacques (1995J. </w:t>
      </w:r>
      <w:r w:rsidRPr="009436CF">
        <w:rPr>
          <w:i/>
          <w:lang w:eastAsia="fr-FR" w:bidi="fr-FR"/>
        </w:rPr>
        <w:t>La Mésentente. Philosophie et polit</w:t>
      </w:r>
      <w:r w:rsidRPr="009436CF">
        <w:rPr>
          <w:i/>
          <w:lang w:eastAsia="fr-FR" w:bidi="fr-FR"/>
        </w:rPr>
        <w:t>i</w:t>
      </w:r>
      <w:r w:rsidRPr="009436CF">
        <w:rPr>
          <w:i/>
          <w:lang w:eastAsia="fr-FR" w:bidi="fr-FR"/>
        </w:rPr>
        <w:t>que</w:t>
      </w:r>
      <w:r w:rsidRPr="00601E6E">
        <w:rPr>
          <w:lang w:eastAsia="fr-FR" w:bidi="fr-FR"/>
        </w:rPr>
        <w:t>,</w:t>
      </w:r>
      <w:r w:rsidRPr="00601E6E">
        <w:t xml:space="preserve"> Paris, Galilée.</w:t>
      </w:r>
    </w:p>
    <w:p w14:paraId="762861DF" w14:textId="77777777" w:rsidR="009A4910" w:rsidRDefault="009A4910" w:rsidP="009A4910">
      <w:pPr>
        <w:spacing w:before="120" w:after="120"/>
        <w:jc w:val="both"/>
      </w:pPr>
      <w:r w:rsidRPr="00A25C5C">
        <w:rPr>
          <w:caps/>
        </w:rPr>
        <w:t>ROSEBERRY,</w:t>
      </w:r>
      <w:r w:rsidRPr="00601E6E">
        <w:rPr>
          <w:rStyle w:val="Corpsdutexte57ptNonItalique"/>
          <w:i w:val="0"/>
          <w:iCs w:val="0"/>
        </w:rPr>
        <w:t xml:space="preserve"> </w:t>
      </w:r>
      <w:r w:rsidRPr="00601E6E">
        <w:t xml:space="preserve">William (1989). </w:t>
      </w:r>
      <w:r w:rsidRPr="009436CF">
        <w:rPr>
          <w:i/>
          <w:lang w:eastAsia="fr-FR" w:bidi="fr-FR"/>
        </w:rPr>
        <w:t>Anthropologies and Histories. E</w:t>
      </w:r>
      <w:r w:rsidRPr="009436CF">
        <w:rPr>
          <w:i/>
          <w:lang w:eastAsia="fr-FR" w:bidi="fr-FR"/>
        </w:rPr>
        <w:t>s</w:t>
      </w:r>
      <w:r w:rsidRPr="009436CF">
        <w:rPr>
          <w:i/>
          <w:lang w:eastAsia="fr-FR" w:bidi="fr-FR"/>
        </w:rPr>
        <w:t>says in Culture, History and Political Economy</w:t>
      </w:r>
      <w:r w:rsidRPr="00601E6E">
        <w:t>, New Brunswick, N. J., Ru</w:t>
      </w:r>
      <w:r w:rsidRPr="00601E6E">
        <w:t>t</w:t>
      </w:r>
      <w:r w:rsidRPr="00601E6E">
        <w:t>gers University Press.</w:t>
      </w:r>
    </w:p>
    <w:p w14:paraId="063F97BC" w14:textId="77777777" w:rsidR="009A4910" w:rsidRDefault="009A4910" w:rsidP="009A4910">
      <w:pPr>
        <w:spacing w:before="120" w:after="120"/>
        <w:jc w:val="both"/>
      </w:pPr>
      <w:r w:rsidRPr="00A25C5C">
        <w:rPr>
          <w:caps/>
          <w:smallCaps/>
        </w:rPr>
        <w:t>SAÏD,</w:t>
      </w:r>
      <w:r w:rsidRPr="00601E6E">
        <w:rPr>
          <w:rStyle w:val="Corpsdutexte37ptPetitesmajuscules"/>
        </w:rPr>
        <w:t xml:space="preserve"> </w:t>
      </w:r>
      <w:r w:rsidRPr="00601E6E">
        <w:rPr>
          <w:lang w:eastAsia="fr-FR" w:bidi="fr-FR"/>
        </w:rPr>
        <w:t>Edward (1978</w:t>
      </w:r>
      <w:r>
        <w:rPr>
          <w:lang w:eastAsia="fr-FR" w:bidi="fr-FR"/>
        </w:rPr>
        <w:t>)</w:t>
      </w:r>
      <w:r w:rsidRPr="00601E6E">
        <w:rPr>
          <w:lang w:eastAsia="fr-FR" w:bidi="fr-FR"/>
        </w:rPr>
        <w:t xml:space="preserve">. </w:t>
      </w:r>
      <w:r w:rsidRPr="009436CF">
        <w:rPr>
          <w:i/>
        </w:rPr>
        <w:t>Orientalism</w:t>
      </w:r>
      <w:r w:rsidRPr="00601E6E">
        <w:rPr>
          <w:lang w:eastAsia="fr-FR" w:bidi="fr-FR"/>
        </w:rPr>
        <w:t>, New York, Panthéon.</w:t>
      </w:r>
    </w:p>
    <w:p w14:paraId="50ACB42E" w14:textId="77777777" w:rsidR="009A4910" w:rsidRDefault="009A4910" w:rsidP="009A4910">
      <w:pPr>
        <w:spacing w:before="120" w:after="120"/>
        <w:jc w:val="both"/>
      </w:pPr>
      <w:r w:rsidRPr="00601E6E">
        <w:t xml:space="preserve">SCHNAPPER, </w:t>
      </w:r>
      <w:r w:rsidRPr="00601E6E">
        <w:rPr>
          <w:lang w:eastAsia="fr-FR" w:bidi="fr-FR"/>
        </w:rPr>
        <w:t xml:space="preserve">Dominique (1994). </w:t>
      </w:r>
      <w:r w:rsidRPr="009436CF">
        <w:rPr>
          <w:i/>
        </w:rPr>
        <w:t>La communauté des c</w:t>
      </w:r>
      <w:r w:rsidRPr="009436CF">
        <w:rPr>
          <w:i/>
        </w:rPr>
        <w:t>i</w:t>
      </w:r>
      <w:r w:rsidRPr="009436CF">
        <w:rPr>
          <w:i/>
        </w:rPr>
        <w:t>toyens</w:t>
      </w:r>
      <w:r w:rsidRPr="00601E6E">
        <w:t>,</w:t>
      </w:r>
      <w:r w:rsidRPr="00601E6E">
        <w:rPr>
          <w:lang w:eastAsia="fr-FR" w:bidi="fr-FR"/>
        </w:rPr>
        <w:t xml:space="preserve"> Paris, Gallimard.</w:t>
      </w:r>
    </w:p>
    <w:p w14:paraId="0C891AFC" w14:textId="77777777" w:rsidR="009A4910" w:rsidRDefault="009A4910" w:rsidP="009A4910">
      <w:pPr>
        <w:spacing w:before="120" w:after="120"/>
        <w:jc w:val="both"/>
      </w:pPr>
      <w:r w:rsidRPr="00A25C5C">
        <w:rPr>
          <w:caps/>
          <w:smallCaps/>
        </w:rPr>
        <w:t>SCOTT,</w:t>
      </w:r>
      <w:r w:rsidRPr="00601E6E">
        <w:rPr>
          <w:rStyle w:val="Corpsdutexte57ptNonItalique"/>
          <w:i w:val="0"/>
          <w:iCs w:val="0"/>
        </w:rPr>
        <w:t xml:space="preserve"> </w:t>
      </w:r>
      <w:r w:rsidRPr="00601E6E">
        <w:t xml:space="preserve">James C. (1985). </w:t>
      </w:r>
      <w:r w:rsidRPr="009436CF">
        <w:rPr>
          <w:i/>
          <w:lang w:eastAsia="fr-FR" w:bidi="fr-FR"/>
        </w:rPr>
        <w:t>Weapons of the Weak : Everyday Forms of Peasant Resistance</w:t>
      </w:r>
      <w:r w:rsidRPr="00601E6E">
        <w:t>, New Haven, Yale University Press.</w:t>
      </w:r>
    </w:p>
    <w:p w14:paraId="02DCF9F6" w14:textId="77777777" w:rsidR="009A4910" w:rsidRDefault="009A4910" w:rsidP="009A4910">
      <w:pPr>
        <w:spacing w:before="120" w:after="120"/>
        <w:jc w:val="both"/>
      </w:pPr>
      <w:r w:rsidRPr="00601E6E">
        <w:t xml:space="preserve">SETON-WATSON, </w:t>
      </w:r>
      <w:r w:rsidRPr="00601E6E">
        <w:rPr>
          <w:lang w:eastAsia="fr-FR" w:bidi="fr-FR"/>
        </w:rPr>
        <w:t xml:space="preserve">Hugh (1965). </w:t>
      </w:r>
      <w:r w:rsidRPr="009436CF">
        <w:rPr>
          <w:i/>
        </w:rPr>
        <w:t>Nationalism : Old and New</w:t>
      </w:r>
      <w:r w:rsidRPr="00601E6E">
        <w:t>,</w:t>
      </w:r>
      <w:r w:rsidRPr="00601E6E">
        <w:rPr>
          <w:lang w:eastAsia="fr-FR" w:bidi="fr-FR"/>
        </w:rPr>
        <w:t xml:space="preserve"> Sydney, Sydney University Press.</w:t>
      </w:r>
    </w:p>
    <w:p w14:paraId="726DFF9F" w14:textId="77777777" w:rsidR="009A4910" w:rsidRDefault="009A4910" w:rsidP="009A4910">
      <w:pPr>
        <w:spacing w:before="120" w:after="120"/>
        <w:jc w:val="both"/>
      </w:pPr>
      <w:r w:rsidRPr="00A25C5C">
        <w:rPr>
          <w:caps/>
          <w:smallCaps/>
        </w:rPr>
        <w:t>THIESSE,</w:t>
      </w:r>
      <w:r w:rsidRPr="00601E6E">
        <w:rPr>
          <w:rStyle w:val="Corpsdutexte57ptNonItalique"/>
          <w:i w:val="0"/>
          <w:iCs w:val="0"/>
        </w:rPr>
        <w:t xml:space="preserve"> </w:t>
      </w:r>
      <w:r w:rsidRPr="00601E6E">
        <w:t xml:space="preserve">Anne-Marie (1999J. </w:t>
      </w:r>
      <w:r w:rsidRPr="009436CF">
        <w:rPr>
          <w:i/>
          <w:lang w:eastAsia="fr-FR" w:bidi="fr-FR"/>
        </w:rPr>
        <w:t>La Création des identités nation</w:t>
      </w:r>
      <w:r w:rsidRPr="009436CF">
        <w:rPr>
          <w:i/>
          <w:lang w:eastAsia="fr-FR" w:bidi="fr-FR"/>
        </w:rPr>
        <w:t>a</w:t>
      </w:r>
      <w:r w:rsidRPr="009436CF">
        <w:rPr>
          <w:i/>
          <w:lang w:eastAsia="fr-FR" w:bidi="fr-FR"/>
        </w:rPr>
        <w:t xml:space="preserve">les. Europe </w:t>
      </w:r>
      <w:r w:rsidRPr="009436CF">
        <w:rPr>
          <w:i/>
          <w:iCs/>
        </w:rPr>
        <w:t>XVIII-XX</w:t>
      </w:r>
      <w:r w:rsidRPr="009436CF">
        <w:rPr>
          <w:i/>
          <w:iCs/>
          <w:vertAlign w:val="superscript"/>
        </w:rPr>
        <w:t>e</w:t>
      </w:r>
      <w:r w:rsidRPr="009436CF">
        <w:rPr>
          <w:i/>
          <w:iCs/>
        </w:rPr>
        <w:t xml:space="preserve"> </w:t>
      </w:r>
      <w:r w:rsidRPr="009436CF">
        <w:rPr>
          <w:i/>
          <w:lang w:eastAsia="fr-FR" w:bidi="fr-FR"/>
        </w:rPr>
        <w:t>siècle</w:t>
      </w:r>
      <w:r w:rsidRPr="00601E6E">
        <w:rPr>
          <w:lang w:eastAsia="fr-FR" w:bidi="fr-FR"/>
        </w:rPr>
        <w:t>,</w:t>
      </w:r>
      <w:r w:rsidRPr="00601E6E">
        <w:t xml:space="preserve"> Paris, Le Seuil.</w:t>
      </w:r>
    </w:p>
    <w:p w14:paraId="00F46BE2" w14:textId="77777777" w:rsidR="009A4910" w:rsidRDefault="009A4910" w:rsidP="009A4910">
      <w:pPr>
        <w:spacing w:before="120" w:after="120"/>
        <w:jc w:val="both"/>
      </w:pPr>
      <w:r w:rsidRPr="00A25C5C">
        <w:rPr>
          <w:caps/>
          <w:smallCaps/>
        </w:rPr>
        <w:t>THOMAS,</w:t>
      </w:r>
      <w:r w:rsidRPr="00601E6E">
        <w:rPr>
          <w:rStyle w:val="Corpsdutexte57ptNonItalique"/>
          <w:i w:val="0"/>
          <w:iCs w:val="0"/>
        </w:rPr>
        <w:t xml:space="preserve"> </w:t>
      </w:r>
      <w:r w:rsidRPr="00601E6E">
        <w:t xml:space="preserve">Nicholas (1994). </w:t>
      </w:r>
      <w:r w:rsidRPr="009436CF">
        <w:rPr>
          <w:i/>
          <w:lang w:eastAsia="fr-FR" w:bidi="fr-FR"/>
        </w:rPr>
        <w:t>Colonialism’s Culture : Anthropol</w:t>
      </w:r>
      <w:r w:rsidRPr="009436CF">
        <w:rPr>
          <w:i/>
          <w:lang w:eastAsia="fr-FR" w:bidi="fr-FR"/>
        </w:rPr>
        <w:t>o</w:t>
      </w:r>
      <w:r w:rsidRPr="009436CF">
        <w:rPr>
          <w:i/>
          <w:lang w:eastAsia="fr-FR" w:bidi="fr-FR"/>
        </w:rPr>
        <w:t>gy, Tr</w:t>
      </w:r>
      <w:r w:rsidRPr="009436CF">
        <w:rPr>
          <w:i/>
          <w:lang w:eastAsia="fr-FR" w:bidi="fr-FR"/>
        </w:rPr>
        <w:t>a</w:t>
      </w:r>
      <w:r w:rsidRPr="009436CF">
        <w:rPr>
          <w:i/>
          <w:lang w:eastAsia="fr-FR" w:bidi="fr-FR"/>
        </w:rPr>
        <w:t>vel, and Government</w:t>
      </w:r>
      <w:r w:rsidRPr="00601E6E">
        <w:rPr>
          <w:lang w:eastAsia="fr-FR" w:bidi="fr-FR"/>
        </w:rPr>
        <w:t>,</w:t>
      </w:r>
      <w:r w:rsidRPr="00601E6E">
        <w:t xml:space="preserve"> Princeton, Princeton University Press.</w:t>
      </w:r>
    </w:p>
    <w:p w14:paraId="3BDB5D8C" w14:textId="77777777" w:rsidR="009A4910" w:rsidRDefault="009A4910" w:rsidP="009A4910">
      <w:pPr>
        <w:spacing w:before="120" w:after="120"/>
        <w:jc w:val="both"/>
      </w:pPr>
      <w:r w:rsidRPr="00601E6E">
        <w:t xml:space="preserve">WILLIAMS, </w:t>
      </w:r>
      <w:r w:rsidRPr="00601E6E">
        <w:rPr>
          <w:lang w:eastAsia="fr-FR" w:bidi="fr-FR"/>
        </w:rPr>
        <w:t xml:space="preserve">Raymond (1961). </w:t>
      </w:r>
      <w:r w:rsidRPr="009436CF">
        <w:rPr>
          <w:i/>
        </w:rPr>
        <w:t>The Long Revolution</w:t>
      </w:r>
      <w:r w:rsidRPr="00601E6E">
        <w:t>,</w:t>
      </w:r>
      <w:r w:rsidRPr="00601E6E">
        <w:rPr>
          <w:lang w:eastAsia="fr-FR" w:bidi="fr-FR"/>
        </w:rPr>
        <w:t xml:space="preserve"> New York, Columbia University Press.</w:t>
      </w:r>
    </w:p>
    <w:p w14:paraId="69A09049" w14:textId="77777777" w:rsidR="009A4910" w:rsidRDefault="009A4910" w:rsidP="009A4910">
      <w:pPr>
        <w:spacing w:before="120" w:after="120"/>
        <w:jc w:val="both"/>
      </w:pPr>
      <w:r w:rsidRPr="00601E6E">
        <w:t xml:space="preserve">WILLIAMS, </w:t>
      </w:r>
      <w:r w:rsidRPr="00601E6E">
        <w:rPr>
          <w:lang w:eastAsia="fr-FR" w:bidi="fr-FR"/>
        </w:rPr>
        <w:t xml:space="preserve">Raymond (1973). </w:t>
      </w:r>
      <w:r w:rsidRPr="009436CF">
        <w:rPr>
          <w:i/>
        </w:rPr>
        <w:t>The Country and the City</w:t>
      </w:r>
      <w:r w:rsidRPr="00601E6E">
        <w:t>,</w:t>
      </w:r>
      <w:r w:rsidRPr="00601E6E">
        <w:rPr>
          <w:lang w:eastAsia="fr-FR" w:bidi="fr-FR"/>
        </w:rPr>
        <w:t xml:space="preserve"> Lo</w:t>
      </w:r>
      <w:r w:rsidRPr="00601E6E">
        <w:rPr>
          <w:lang w:eastAsia="fr-FR" w:bidi="fr-FR"/>
        </w:rPr>
        <w:t>n</w:t>
      </w:r>
      <w:r w:rsidRPr="00601E6E">
        <w:rPr>
          <w:lang w:eastAsia="fr-FR" w:bidi="fr-FR"/>
        </w:rPr>
        <w:t>dres, Chatto and Windus.</w:t>
      </w:r>
    </w:p>
    <w:p w14:paraId="4FCC3050" w14:textId="77777777" w:rsidR="009A4910" w:rsidRDefault="009A4910" w:rsidP="009A4910">
      <w:pPr>
        <w:spacing w:before="120" w:after="120"/>
        <w:jc w:val="both"/>
      </w:pPr>
      <w:r w:rsidRPr="00A25C5C">
        <w:rPr>
          <w:caps/>
          <w:smallCaps/>
        </w:rPr>
        <w:t>WILLIAMS,</w:t>
      </w:r>
      <w:r w:rsidRPr="00601E6E">
        <w:rPr>
          <w:rStyle w:val="Corpsdutexte57ptNonItalique"/>
          <w:i w:val="0"/>
          <w:iCs w:val="0"/>
        </w:rPr>
        <w:t xml:space="preserve"> </w:t>
      </w:r>
      <w:r w:rsidRPr="00601E6E">
        <w:t xml:space="preserve">Raymond (1980). </w:t>
      </w:r>
      <w:r w:rsidRPr="009436CF">
        <w:rPr>
          <w:i/>
          <w:lang w:eastAsia="fr-FR" w:bidi="fr-FR"/>
        </w:rPr>
        <w:t>Problems in Materialism and Culture : Selected Essays</w:t>
      </w:r>
      <w:r w:rsidRPr="00601E6E">
        <w:rPr>
          <w:lang w:eastAsia="fr-FR" w:bidi="fr-FR"/>
        </w:rPr>
        <w:t>,</w:t>
      </w:r>
      <w:r w:rsidRPr="00601E6E">
        <w:t xml:space="preserve"> Londres, Verso.</w:t>
      </w:r>
    </w:p>
    <w:p w14:paraId="67664733" w14:textId="77777777" w:rsidR="009A4910" w:rsidRDefault="009A4910" w:rsidP="009A4910">
      <w:pPr>
        <w:spacing w:before="120" w:after="120"/>
        <w:jc w:val="both"/>
      </w:pPr>
      <w:r w:rsidRPr="00601E6E">
        <w:t xml:space="preserve">YOUNG, </w:t>
      </w:r>
      <w:r w:rsidRPr="00601E6E">
        <w:rPr>
          <w:lang w:eastAsia="fr-FR" w:bidi="fr-FR"/>
        </w:rPr>
        <w:t xml:space="preserve">Marion Iris (1989). </w:t>
      </w:r>
      <w:r>
        <w:rPr>
          <w:lang w:eastAsia="fr-FR" w:bidi="fr-FR"/>
        </w:rPr>
        <w:t>« </w:t>
      </w:r>
      <w:r w:rsidRPr="00601E6E">
        <w:rPr>
          <w:lang w:eastAsia="fr-FR" w:bidi="fr-FR"/>
        </w:rPr>
        <w:t>Polity and Group Différence</w:t>
      </w:r>
      <w:r>
        <w:rPr>
          <w:lang w:eastAsia="fr-FR" w:bidi="fr-FR"/>
        </w:rPr>
        <w:t> :</w:t>
      </w:r>
      <w:r w:rsidRPr="00601E6E">
        <w:rPr>
          <w:lang w:eastAsia="fr-FR" w:bidi="fr-FR"/>
        </w:rPr>
        <w:t xml:space="preserve"> A Critique of the Id</w:t>
      </w:r>
      <w:r>
        <w:rPr>
          <w:lang w:eastAsia="fr-FR" w:bidi="fr-FR"/>
        </w:rPr>
        <w:t>e</w:t>
      </w:r>
      <w:r w:rsidRPr="00601E6E">
        <w:rPr>
          <w:lang w:eastAsia="fr-FR" w:bidi="fr-FR"/>
        </w:rPr>
        <w:t>al of Universal Citizenship</w:t>
      </w:r>
      <w:r>
        <w:rPr>
          <w:lang w:eastAsia="fr-FR" w:bidi="fr-FR"/>
        </w:rPr>
        <w:t> »</w:t>
      </w:r>
      <w:r w:rsidRPr="00601E6E">
        <w:rPr>
          <w:lang w:eastAsia="fr-FR" w:bidi="fr-FR"/>
        </w:rPr>
        <w:t>, dans</w:t>
      </w:r>
      <w:r>
        <w:rPr>
          <w:lang w:eastAsia="fr-FR" w:bidi="fr-FR"/>
        </w:rPr>
        <w:t> :</w:t>
      </w:r>
      <w:r w:rsidRPr="00601E6E">
        <w:rPr>
          <w:lang w:eastAsia="fr-FR" w:bidi="fr-FR"/>
        </w:rPr>
        <w:t xml:space="preserve"> </w:t>
      </w:r>
      <w:r w:rsidRPr="009436CF">
        <w:rPr>
          <w:i/>
        </w:rPr>
        <w:t>Ethics</w:t>
      </w:r>
      <w:r w:rsidRPr="00601E6E">
        <w:t>,</w:t>
      </w:r>
      <w:r w:rsidRPr="00601E6E">
        <w:rPr>
          <w:lang w:eastAsia="fr-FR" w:bidi="fr-FR"/>
        </w:rPr>
        <w:t xml:space="preserve"> ja</w:t>
      </w:r>
      <w:r w:rsidRPr="00601E6E">
        <w:rPr>
          <w:lang w:eastAsia="fr-FR" w:bidi="fr-FR"/>
        </w:rPr>
        <w:t>n</w:t>
      </w:r>
      <w:r w:rsidRPr="00601E6E">
        <w:rPr>
          <w:lang w:eastAsia="fr-FR" w:bidi="fr-FR"/>
        </w:rPr>
        <w:t>vier, p. 250-274.</w:t>
      </w:r>
    </w:p>
    <w:p w14:paraId="59C65D12" w14:textId="77777777" w:rsidR="009A4910" w:rsidRDefault="009A4910" w:rsidP="009A4910">
      <w:pPr>
        <w:spacing w:before="120" w:after="120"/>
        <w:jc w:val="both"/>
        <w:rPr>
          <w:lang w:eastAsia="fr-FR" w:bidi="fr-FR"/>
        </w:rPr>
      </w:pPr>
      <w:r w:rsidRPr="00601E6E">
        <w:t xml:space="preserve">YOUNG, </w:t>
      </w:r>
      <w:r w:rsidRPr="00601E6E">
        <w:rPr>
          <w:lang w:eastAsia="fr-FR" w:bidi="fr-FR"/>
        </w:rPr>
        <w:t xml:space="preserve">Marion Iris </w:t>
      </w:r>
      <w:r w:rsidRPr="00601E6E">
        <w:t xml:space="preserve">(1990). </w:t>
      </w:r>
      <w:r w:rsidRPr="009436CF">
        <w:rPr>
          <w:i/>
        </w:rPr>
        <w:t>Justice and the Politics of Differe</w:t>
      </w:r>
      <w:r w:rsidRPr="009436CF">
        <w:rPr>
          <w:i/>
        </w:rPr>
        <w:t>n</w:t>
      </w:r>
      <w:r w:rsidRPr="009436CF">
        <w:rPr>
          <w:i/>
        </w:rPr>
        <w:t>ce</w:t>
      </w:r>
      <w:r w:rsidRPr="00601E6E">
        <w:t>,</w:t>
      </w:r>
      <w:r w:rsidRPr="00601E6E">
        <w:rPr>
          <w:lang w:eastAsia="fr-FR" w:bidi="fr-FR"/>
        </w:rPr>
        <w:t xml:space="preserve"> Princeton, </w:t>
      </w:r>
      <w:r w:rsidRPr="00601E6E">
        <w:t xml:space="preserve">N. </w:t>
      </w:r>
      <w:r>
        <w:rPr>
          <w:lang w:eastAsia="fr-FR" w:bidi="fr-FR"/>
        </w:rPr>
        <w:t>J., Princeton University Press.</w:t>
      </w:r>
    </w:p>
    <w:p w14:paraId="29ED6ACF" w14:textId="77777777" w:rsidR="009A4910" w:rsidRDefault="009A4910" w:rsidP="009A4910">
      <w:pPr>
        <w:spacing w:before="120" w:after="120"/>
        <w:jc w:val="both"/>
      </w:pPr>
      <w:r w:rsidRPr="00601E6E">
        <w:t xml:space="preserve">YOUNG, </w:t>
      </w:r>
      <w:r w:rsidRPr="00601E6E">
        <w:rPr>
          <w:lang w:eastAsia="fr-FR" w:bidi="fr-FR"/>
        </w:rPr>
        <w:t>M</w:t>
      </w:r>
      <w:r w:rsidRPr="00601E6E">
        <w:rPr>
          <w:lang w:eastAsia="fr-FR" w:bidi="fr-FR"/>
        </w:rPr>
        <w:t>a</w:t>
      </w:r>
      <w:r w:rsidRPr="00601E6E">
        <w:rPr>
          <w:lang w:eastAsia="fr-FR" w:bidi="fr-FR"/>
        </w:rPr>
        <w:t xml:space="preserve">rion Iris </w:t>
      </w:r>
      <w:r w:rsidRPr="00601E6E">
        <w:t xml:space="preserve">(2000). </w:t>
      </w:r>
      <w:r w:rsidRPr="009436CF">
        <w:rPr>
          <w:i/>
        </w:rPr>
        <w:t>Inclusion and Democracy</w:t>
      </w:r>
      <w:r w:rsidRPr="00601E6E">
        <w:t>,</w:t>
      </w:r>
      <w:r w:rsidRPr="00601E6E">
        <w:rPr>
          <w:lang w:eastAsia="fr-FR" w:bidi="fr-FR"/>
        </w:rPr>
        <w:t xml:space="preserve"> Oxford, Oxford Unive</w:t>
      </w:r>
      <w:r w:rsidRPr="00601E6E">
        <w:rPr>
          <w:lang w:eastAsia="fr-FR" w:bidi="fr-FR"/>
        </w:rPr>
        <w:t>r</w:t>
      </w:r>
      <w:r w:rsidRPr="00601E6E">
        <w:rPr>
          <w:lang w:eastAsia="fr-FR" w:bidi="fr-FR"/>
        </w:rPr>
        <w:t>sity Press.</w:t>
      </w:r>
    </w:p>
    <w:p w14:paraId="142756ED" w14:textId="77777777" w:rsidR="009A4910" w:rsidRPr="00601E6E" w:rsidRDefault="009A4910" w:rsidP="009A4910">
      <w:pPr>
        <w:spacing w:before="120" w:after="120"/>
        <w:jc w:val="both"/>
      </w:pPr>
    </w:p>
    <w:p w14:paraId="443E7FC4" w14:textId="77777777" w:rsidR="009A4910" w:rsidRDefault="009A4910">
      <w:pPr>
        <w:jc w:val="both"/>
      </w:pPr>
    </w:p>
    <w:p w14:paraId="2CB8487D" w14:textId="77777777" w:rsidR="009A4910" w:rsidRDefault="009A4910">
      <w:pPr>
        <w:jc w:val="both"/>
      </w:pPr>
    </w:p>
    <w:p w14:paraId="34C1A56C" w14:textId="77777777" w:rsidR="009A4910" w:rsidRPr="00E07116" w:rsidRDefault="009A4910">
      <w:pPr>
        <w:jc w:val="both"/>
      </w:pPr>
    </w:p>
    <w:p w14:paraId="03F3FB0D" w14:textId="77777777" w:rsidR="009A4910" w:rsidRPr="00E07116" w:rsidRDefault="009A4910">
      <w:pPr>
        <w:pStyle w:val="suite"/>
      </w:pPr>
      <w:r w:rsidRPr="00E07116">
        <w:t>Fin du texte</w:t>
      </w:r>
    </w:p>
    <w:p w14:paraId="41F2DAE5" w14:textId="77777777" w:rsidR="009A4910" w:rsidRPr="00E07116" w:rsidRDefault="009A4910">
      <w:pPr>
        <w:jc w:val="both"/>
      </w:pPr>
    </w:p>
    <w:p w14:paraId="1CC44D5F" w14:textId="77777777" w:rsidR="009A4910" w:rsidRPr="00E07116" w:rsidRDefault="009A4910">
      <w:pPr>
        <w:jc w:val="both"/>
      </w:pPr>
    </w:p>
    <w:sectPr w:rsidR="009A4910" w:rsidRPr="00E07116" w:rsidSect="009A4910">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79EB" w14:textId="77777777" w:rsidR="006B67B9" w:rsidRDefault="006B67B9">
      <w:r>
        <w:separator/>
      </w:r>
    </w:p>
  </w:endnote>
  <w:endnote w:type="continuationSeparator" w:id="0">
    <w:p w14:paraId="3E7499D2" w14:textId="77777777" w:rsidR="006B67B9" w:rsidRDefault="006B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75B6" w14:textId="77777777" w:rsidR="006B67B9" w:rsidRDefault="006B67B9">
      <w:pPr>
        <w:ind w:firstLine="0"/>
      </w:pPr>
      <w:r>
        <w:separator/>
      </w:r>
    </w:p>
  </w:footnote>
  <w:footnote w:type="continuationSeparator" w:id="0">
    <w:p w14:paraId="44584A78" w14:textId="77777777" w:rsidR="006B67B9" w:rsidRDefault="006B67B9">
      <w:pPr>
        <w:ind w:firstLine="0"/>
      </w:pPr>
      <w:r>
        <w:separator/>
      </w:r>
    </w:p>
  </w:footnote>
  <w:footnote w:id="1">
    <w:p w14:paraId="7BF35CEB" w14:textId="77777777" w:rsidR="009A4910" w:rsidRDefault="009A4910">
      <w:pPr>
        <w:pStyle w:val="Notedebasdepage"/>
      </w:pPr>
      <w:r>
        <w:rPr>
          <w:rStyle w:val="Appelnotedebasdep"/>
        </w:rPr>
        <w:t>*</w:t>
      </w:r>
      <w:r>
        <w:t xml:space="preserve"> </w:t>
      </w:r>
      <w:r>
        <w:tab/>
      </w:r>
      <w:r w:rsidRPr="002A59B5">
        <w:t>Denise Helly est professeure titulaire à l’Institut national de recherche scient</w:t>
      </w:r>
      <w:r w:rsidRPr="002A59B5">
        <w:t>i</w:t>
      </w:r>
      <w:r w:rsidRPr="002A59B5">
        <w:t>fique. Centre Urbanisation, culture et société, à Mo</w:t>
      </w:r>
      <w:r w:rsidRPr="002A59B5">
        <w:t>n</w:t>
      </w:r>
      <w:r w:rsidRPr="002A59B5">
        <w:t>tréal.</w:t>
      </w:r>
    </w:p>
  </w:footnote>
  <w:footnote w:id="2">
    <w:p w14:paraId="42409064" w14:textId="77777777" w:rsidR="009A4910" w:rsidRDefault="009A4910" w:rsidP="009A4910">
      <w:pPr>
        <w:pStyle w:val="Notedebasdepage"/>
      </w:pPr>
      <w:r>
        <w:rPr>
          <w:rStyle w:val="Appelnotedebasdep"/>
        </w:rPr>
        <w:footnoteRef/>
      </w:r>
      <w:r>
        <w:t xml:space="preserve"> </w:t>
      </w:r>
      <w:r>
        <w:tab/>
      </w:r>
      <w:r w:rsidRPr="005A66F8">
        <w:t>Au recensement de 1996, environ 50% des immigrés parlaient leur langue maternelle à la maison.</w:t>
      </w:r>
    </w:p>
  </w:footnote>
  <w:footnote w:id="3">
    <w:p w14:paraId="41F03142" w14:textId="77777777" w:rsidR="009A4910" w:rsidRDefault="009A4910" w:rsidP="009A4910">
      <w:pPr>
        <w:pStyle w:val="Notedebasdepage"/>
      </w:pPr>
      <w:r>
        <w:rPr>
          <w:rStyle w:val="Appelnotedebasdep"/>
        </w:rPr>
        <w:footnoteRef/>
      </w:r>
      <w:r>
        <w:t xml:space="preserve"> </w:t>
      </w:r>
      <w:r>
        <w:tab/>
      </w:r>
      <w:r w:rsidRPr="005A66F8">
        <w:t>Ce fondement du lien collectif n’est guère abordé par les sociologues ou pol</w:t>
      </w:r>
      <w:r w:rsidRPr="005A66F8">
        <w:t>i</w:t>
      </w:r>
      <w:r w:rsidRPr="005A66F8">
        <w:t>tologues, alors qu’il est de plus en plus déterminant vu l’importance accordée par les personnes au mode de vie, aux relations sociales, aux processus ident</w:t>
      </w:r>
      <w:r w:rsidRPr="005A66F8">
        <w:t>i</w:t>
      </w:r>
      <w:r w:rsidRPr="005A66F8">
        <w:t>taires et à la qualité de vie.</w:t>
      </w:r>
    </w:p>
  </w:footnote>
  <w:footnote w:id="4">
    <w:p w14:paraId="369E7E27" w14:textId="77777777" w:rsidR="009A4910" w:rsidRDefault="009A4910" w:rsidP="009A4910">
      <w:pPr>
        <w:pStyle w:val="Notedebasdepage"/>
      </w:pPr>
      <w:r>
        <w:rPr>
          <w:rStyle w:val="Appelnotedebasdep"/>
        </w:rPr>
        <w:footnoteRef/>
      </w:r>
      <w:r>
        <w:t xml:space="preserve"> </w:t>
      </w:r>
      <w:r>
        <w:tab/>
      </w:r>
      <w:r w:rsidRPr="005A66F8">
        <w:t>Exemples de traits composant le lien civil au sein de la société montréalaise d’après des personnes d’origine canadienne-française et immigrées (Helly et van Schendel, 2001)</w:t>
      </w:r>
      <w:r>
        <w:t> </w:t>
      </w:r>
      <w:r w:rsidRPr="005A66F8">
        <w:t>: faible fréquence d’actes discriminatoires ou offensants à l’égard des minorités (femmes, immigrés, minorités culturelles et religie</w:t>
      </w:r>
      <w:r w:rsidRPr="005A66F8">
        <w:t>u</w:t>
      </w:r>
      <w:r w:rsidRPr="005A66F8">
        <w:t>ses), respect réel de la liberté d’action individuelle et des droits de chacun, inégalités sociales point trop accentuées bien qu’en croissance, faible ségrég</w:t>
      </w:r>
      <w:r w:rsidRPr="005A66F8">
        <w:t>a</w:t>
      </w:r>
      <w:r w:rsidRPr="005A66F8">
        <w:t>tion sociorésidentielle et absence de ghettos économiques ou ethniques, bili</w:t>
      </w:r>
      <w:r w:rsidRPr="005A66F8">
        <w:t>n</w:t>
      </w:r>
      <w:r w:rsidRPr="005A66F8">
        <w:t>guisme, présence de multiples cultures et de produits culturels étrangers, lib</w:t>
      </w:r>
      <w:r w:rsidRPr="005A66F8">
        <w:t>é</w:t>
      </w:r>
      <w:r w:rsidRPr="005A66F8">
        <w:t>ralisme des mœurs, qualité de vie matérielle (environnement peu pollué, vert, et coût raisonnable de rimmobilier), tissu urbain unique en Amérique du Nord juxtaposant à une distance proche un centre-ville dynamique et des quartiers résidentiels.</w:t>
      </w:r>
    </w:p>
  </w:footnote>
  <w:footnote w:id="5">
    <w:p w14:paraId="795A7B73" w14:textId="77777777" w:rsidR="009A4910" w:rsidRDefault="009A4910" w:rsidP="009A4910">
      <w:pPr>
        <w:pStyle w:val="Notedebasdepage"/>
      </w:pPr>
      <w:r>
        <w:rPr>
          <w:rStyle w:val="Appelnotedebasdep"/>
        </w:rPr>
        <w:footnoteRef/>
      </w:r>
      <w:r>
        <w:t xml:space="preserve"> </w:t>
      </w:r>
      <w:r>
        <w:tab/>
      </w:r>
      <w:r>
        <w:rPr>
          <w:lang w:val="fr-FR" w:eastAsia="fr-FR" w:bidi="fr-FR"/>
        </w:rPr>
        <w:t>Nombre de nations sont dispersées territorialement.</w:t>
      </w:r>
    </w:p>
  </w:footnote>
  <w:footnote w:id="6">
    <w:p w14:paraId="1F3EF074" w14:textId="77777777" w:rsidR="009A4910" w:rsidRDefault="009A4910" w:rsidP="009A4910">
      <w:pPr>
        <w:pStyle w:val="Notedebasdepage"/>
      </w:pPr>
      <w:r>
        <w:rPr>
          <w:rStyle w:val="Appelnotedebasdep"/>
        </w:rPr>
        <w:footnoteRef/>
      </w:r>
      <w:r>
        <w:t xml:space="preserve"> </w:t>
      </w:r>
      <w:r>
        <w:tab/>
      </w:r>
      <w:r w:rsidRPr="00121611">
        <w:rPr>
          <w:lang w:val="fr-FR" w:eastAsia="fr-FR" w:bidi="fr-FR"/>
        </w:rPr>
        <w:t>Plusieurs facteurs jouèrent leur rôle dans cette idéologie des qualités partic</w:t>
      </w:r>
      <w:r w:rsidRPr="00121611">
        <w:rPr>
          <w:lang w:val="fr-FR" w:eastAsia="fr-FR" w:bidi="fr-FR"/>
        </w:rPr>
        <w:t>u</w:t>
      </w:r>
      <w:r w:rsidRPr="00121611">
        <w:rPr>
          <w:lang w:val="fr-FR" w:eastAsia="fr-FR" w:bidi="fr-FR"/>
        </w:rPr>
        <w:t>lières nationales :</w:t>
      </w:r>
      <w:r>
        <w:rPr>
          <w:lang w:val="fr-FR" w:eastAsia="fr-FR" w:bidi="fr-FR"/>
        </w:rPr>
        <w:t xml:space="preserve"> l’</w:t>
      </w:r>
      <w:r w:rsidRPr="00121611">
        <w:rPr>
          <w:lang w:val="fr-FR" w:eastAsia="fr-FR" w:bidi="fr-FR"/>
        </w:rPr>
        <w:t>urbanisation et l’industrialisation qui s’accéléraient et pr</w:t>
      </w:r>
      <w:r w:rsidRPr="00121611">
        <w:rPr>
          <w:lang w:val="fr-FR" w:eastAsia="fr-FR" w:bidi="fr-FR"/>
        </w:rPr>
        <w:t>o</w:t>
      </w:r>
      <w:r w:rsidRPr="00121611">
        <w:rPr>
          <w:lang w:val="fr-FR" w:eastAsia="fr-FR" w:bidi="fr-FR"/>
        </w:rPr>
        <w:t>voquaient des craintes de désordres sociaux et de « dégénération soci</w:t>
      </w:r>
      <w:r w:rsidRPr="00121611">
        <w:rPr>
          <w:lang w:val="fr-FR" w:eastAsia="fr-FR" w:bidi="fr-FR"/>
        </w:rPr>
        <w:t>a</w:t>
      </w:r>
      <w:r w:rsidRPr="00121611">
        <w:rPr>
          <w:lang w:val="fr-FR" w:eastAsia="fr-FR" w:bidi="fr-FR"/>
        </w:rPr>
        <w:t xml:space="preserve">le », idée centrale au </w:t>
      </w:r>
      <w:r w:rsidRPr="00121611">
        <w:rPr>
          <w:rStyle w:val="Notedebasdepage7pt"/>
        </w:rPr>
        <w:t>XIX</w:t>
      </w:r>
      <w:r w:rsidRPr="00121611">
        <w:rPr>
          <w:rStyle w:val="Notedebasdepage7pt"/>
          <w:vertAlign w:val="superscript"/>
        </w:rPr>
        <w:t>e</w:t>
      </w:r>
      <w:r w:rsidRPr="00121611">
        <w:rPr>
          <w:rStyle w:val="Notedebasdepage7pt"/>
        </w:rPr>
        <w:t xml:space="preserve"> </w:t>
      </w:r>
      <w:r w:rsidRPr="00121611">
        <w:rPr>
          <w:lang w:val="fr-FR" w:eastAsia="fr-FR" w:bidi="fr-FR"/>
        </w:rPr>
        <w:t>siècle ; la divulgation du darwinisme social qui prése</w:t>
      </w:r>
      <w:r w:rsidRPr="00121611">
        <w:rPr>
          <w:lang w:val="fr-FR" w:eastAsia="fr-FR" w:bidi="fr-FR"/>
        </w:rPr>
        <w:t>n</w:t>
      </w:r>
      <w:r w:rsidRPr="00121611">
        <w:rPr>
          <w:lang w:val="fr-FR" w:eastAsia="fr-FR" w:bidi="fr-FR"/>
        </w:rPr>
        <w:t>tait la supériorité de certains individus et groupes comme la raison de leur perm</w:t>
      </w:r>
      <w:r w:rsidRPr="00121611">
        <w:rPr>
          <w:lang w:val="fr-FR" w:eastAsia="fr-FR" w:bidi="fr-FR"/>
        </w:rPr>
        <w:t>a</w:t>
      </w:r>
      <w:r w:rsidRPr="00121611">
        <w:rPr>
          <w:lang w:val="fr-FR" w:eastAsia="fr-FR" w:bidi="fr-FR"/>
        </w:rPr>
        <w:t>nence et de leur influence ; la supériorité économique et milita</w:t>
      </w:r>
      <w:r w:rsidRPr="00121611">
        <w:rPr>
          <w:lang w:val="fr-FR" w:eastAsia="fr-FR" w:bidi="fr-FR"/>
        </w:rPr>
        <w:t>i</w:t>
      </w:r>
      <w:r w:rsidRPr="00121611">
        <w:rPr>
          <w:lang w:val="fr-FR" w:eastAsia="fr-FR" w:bidi="fr-FR"/>
        </w:rPr>
        <w:t>re de l’Allemagne expliquée à l’époque par deux faits : des traits propres aux All</w:t>
      </w:r>
      <w:r w:rsidRPr="00121611">
        <w:rPr>
          <w:lang w:val="fr-FR" w:eastAsia="fr-FR" w:bidi="fr-FR"/>
        </w:rPr>
        <w:t>e</w:t>
      </w:r>
      <w:r w:rsidRPr="00121611">
        <w:rPr>
          <w:lang w:val="fr-FR" w:eastAsia="fr-FR" w:bidi="fr-FR"/>
        </w:rPr>
        <w:t>mands et la scolarisation des classes laborieuses.</w:t>
      </w:r>
    </w:p>
  </w:footnote>
  <w:footnote w:id="7">
    <w:p w14:paraId="4C9B476A" w14:textId="77777777" w:rsidR="009A4910" w:rsidRDefault="009A4910" w:rsidP="009A4910">
      <w:pPr>
        <w:pStyle w:val="Notedebasdepage"/>
      </w:pPr>
      <w:r>
        <w:rPr>
          <w:rStyle w:val="Appelnotedebasdep"/>
        </w:rPr>
        <w:footnoteRef/>
      </w:r>
      <w:r>
        <w:t xml:space="preserve"> </w:t>
      </w:r>
      <w:r>
        <w:tab/>
      </w:r>
      <w:r w:rsidRPr="00121611">
        <w:rPr>
          <w:lang w:val="fr-FR" w:eastAsia="fr-FR" w:bidi="fr-FR"/>
        </w:rPr>
        <w:t>Résumé de cette évolution et des évolutions ultérieures (Helly, 1997). La n</w:t>
      </w:r>
      <w:r w:rsidRPr="00121611">
        <w:rPr>
          <w:lang w:val="fr-FR" w:eastAsia="fr-FR" w:bidi="fr-FR"/>
        </w:rPr>
        <w:t>o</w:t>
      </w:r>
      <w:r w:rsidRPr="00121611">
        <w:rPr>
          <w:lang w:val="fr-FR" w:eastAsia="fr-FR" w:bidi="fr-FR"/>
        </w:rPr>
        <w:t xml:space="preserve">tion moderne de nation est inventée au </w:t>
      </w:r>
      <w:r w:rsidRPr="00121611">
        <w:rPr>
          <w:rStyle w:val="Notedebasdepage7pt"/>
        </w:rPr>
        <w:t>XVII</w:t>
      </w:r>
      <w:r w:rsidRPr="00121611">
        <w:rPr>
          <w:rStyle w:val="Notedebasdepage7pt"/>
          <w:vertAlign w:val="superscript"/>
        </w:rPr>
        <w:t>e</w:t>
      </w:r>
      <w:r w:rsidRPr="00121611">
        <w:rPr>
          <w:rStyle w:val="Notedebasdepage7pt"/>
        </w:rPr>
        <w:t xml:space="preserve"> </w:t>
      </w:r>
      <w:r w:rsidRPr="00121611">
        <w:rPr>
          <w:lang w:val="fr-FR" w:eastAsia="fr-FR" w:bidi="fr-FR"/>
        </w:rPr>
        <w:t>siècle par les partisans d’une d</w:t>
      </w:r>
      <w:r w:rsidRPr="00121611">
        <w:rPr>
          <w:lang w:val="fr-FR" w:eastAsia="fr-FR" w:bidi="fr-FR"/>
        </w:rPr>
        <w:t>é</w:t>
      </w:r>
      <w:r w:rsidRPr="00121611">
        <w:rPr>
          <w:lang w:val="fr-FR" w:eastAsia="fr-FR" w:bidi="fr-FR"/>
        </w:rPr>
        <w:t>mocratisation du système monarchique britannique. Elle s</w:t>
      </w:r>
      <w:r w:rsidRPr="00121611">
        <w:rPr>
          <w:lang w:val="fr-FR" w:eastAsia="fr-FR" w:bidi="fr-FR"/>
        </w:rPr>
        <w:t>i</w:t>
      </w:r>
      <w:r w:rsidRPr="00121611">
        <w:rPr>
          <w:lang w:val="fr-FR" w:eastAsia="fr-FR" w:bidi="fr-FR"/>
        </w:rPr>
        <w:t>gnifie l’ensemble des personnes tout autant aptes à une décision politique que le roi, en fait, à l’époque, les aristocrates anglais. Par la suite, la Révolution française parle de nation universelle au sens de peuple souv</w:t>
      </w:r>
      <w:r w:rsidRPr="00121611">
        <w:rPr>
          <w:lang w:val="fr-FR" w:eastAsia="fr-FR" w:bidi="fr-FR"/>
        </w:rPr>
        <w:t>e</w:t>
      </w:r>
      <w:r w:rsidRPr="00121611">
        <w:rPr>
          <w:lang w:val="fr-FR" w:eastAsia="fr-FR" w:bidi="fr-FR"/>
        </w:rPr>
        <w:t>rain et jamais de nation culturelle. Puis, selon les intérêts des grandes puissances de l’heure et leurs opp</w:t>
      </w:r>
      <w:r w:rsidRPr="00121611">
        <w:rPr>
          <w:lang w:val="fr-FR" w:eastAsia="fr-FR" w:bidi="fr-FR"/>
        </w:rPr>
        <w:t>o</w:t>
      </w:r>
      <w:r w:rsidRPr="00121611">
        <w:rPr>
          <w:lang w:val="fr-FR" w:eastAsia="fr-FR" w:bidi="fr-FR"/>
        </w:rPr>
        <w:t xml:space="preserve">sants et alliés, le terme de </w:t>
      </w:r>
      <w:r w:rsidRPr="00121611">
        <w:rPr>
          <w:rStyle w:val="NotedebasdepageItalique"/>
        </w:rPr>
        <w:t>nation</w:t>
      </w:r>
      <w:r w:rsidRPr="00121611">
        <w:rPr>
          <w:lang w:val="fr-FR" w:eastAsia="fr-FR" w:bidi="fr-FR"/>
        </w:rPr>
        <w:t xml:space="preserve"> prend une coloration linguistique (Principe des Nati</w:t>
      </w:r>
      <w:r w:rsidRPr="00121611">
        <w:rPr>
          <w:lang w:val="fr-FR" w:eastAsia="fr-FR" w:bidi="fr-FR"/>
        </w:rPr>
        <w:t>o</w:t>
      </w:r>
      <w:r w:rsidRPr="00121611">
        <w:rPr>
          <w:lang w:val="fr-FR" w:eastAsia="fr-FR" w:bidi="fr-FR"/>
        </w:rPr>
        <w:t>nalités, 1830), éc</w:t>
      </w:r>
      <w:r w:rsidRPr="00121611">
        <w:rPr>
          <w:lang w:val="fr-FR" w:eastAsia="fr-FR" w:bidi="fr-FR"/>
        </w:rPr>
        <w:t>o</w:t>
      </w:r>
      <w:r w:rsidRPr="00121611">
        <w:rPr>
          <w:lang w:val="fr-FR" w:eastAsia="fr-FR" w:bidi="fr-FR"/>
        </w:rPr>
        <w:t>nomiste (A. Smith et ses suivants) et historico-culturelle (Empires russe, austro-hongrois, japonais), pour perdre son aura et son attrait à la suite de la Deuxième Guerre mondiale.</w:t>
      </w:r>
    </w:p>
  </w:footnote>
  <w:footnote w:id="8">
    <w:p w14:paraId="7C0F8CF7" w14:textId="77777777" w:rsidR="009A4910" w:rsidRDefault="009A4910" w:rsidP="009A4910">
      <w:pPr>
        <w:pStyle w:val="Notedebasdepage"/>
      </w:pPr>
      <w:r>
        <w:rPr>
          <w:rStyle w:val="Appelnotedebasdep"/>
        </w:rPr>
        <w:footnoteRef/>
      </w:r>
      <w:r>
        <w:t xml:space="preserve"> </w:t>
      </w:r>
      <w:r>
        <w:tab/>
      </w:r>
      <w:r>
        <w:rPr>
          <w:lang w:val="fr-FR" w:eastAsia="fr-FR" w:bidi="fr-FR"/>
        </w:rPr>
        <w:t>Expression créée pour les opposer aux nationalismes minoritaires, objets de débats actuels sur la valeur du nati</w:t>
      </w:r>
      <w:r>
        <w:rPr>
          <w:lang w:val="fr-FR" w:eastAsia="fr-FR" w:bidi="fr-FR"/>
        </w:rPr>
        <w:t>o</w:t>
      </w:r>
      <w:r>
        <w:rPr>
          <w:lang w:val="fr-FR" w:eastAsia="fr-FR" w:bidi="fr-FR"/>
        </w:rPr>
        <w:t>nalisme (Helly, 2002).</w:t>
      </w:r>
    </w:p>
  </w:footnote>
  <w:footnote w:id="9">
    <w:p w14:paraId="7B9FC94D" w14:textId="77777777" w:rsidR="009A4910" w:rsidRDefault="009A4910" w:rsidP="009A4910">
      <w:pPr>
        <w:pStyle w:val="Notedebasdepage"/>
      </w:pPr>
      <w:r>
        <w:rPr>
          <w:rStyle w:val="Appelnotedebasdep"/>
        </w:rPr>
        <w:footnoteRef/>
      </w:r>
      <w:r>
        <w:t xml:space="preserve"> </w:t>
      </w:r>
      <w:r>
        <w:tab/>
      </w:r>
      <w:r>
        <w:rPr>
          <w:lang w:val="fr-FR" w:eastAsia="fr-FR" w:bidi="fr-FR"/>
        </w:rPr>
        <w:t>Said (1978) fait la même démonstration à propos des idéologies coloniales occidentales.</w:t>
      </w:r>
    </w:p>
  </w:footnote>
  <w:footnote w:id="10">
    <w:p w14:paraId="3BFA8CA1" w14:textId="77777777" w:rsidR="009A4910" w:rsidRDefault="009A4910" w:rsidP="009A4910">
      <w:pPr>
        <w:pStyle w:val="Notedebasdepage"/>
      </w:pPr>
      <w:r>
        <w:rPr>
          <w:rStyle w:val="Appelnotedebasdep"/>
        </w:rPr>
        <w:footnoteRef/>
      </w:r>
      <w:r>
        <w:t xml:space="preserve"> </w:t>
      </w:r>
      <w:r>
        <w:tab/>
      </w:r>
      <w:r>
        <w:rPr>
          <w:lang w:val="fr-FR" w:eastAsia="fr-FR" w:bidi="fr-FR"/>
        </w:rPr>
        <w:t xml:space="preserve">Le </w:t>
      </w:r>
      <w:r w:rsidRPr="00FB080F">
        <w:t xml:space="preserve">terme </w:t>
      </w:r>
      <w:r w:rsidRPr="00FB080F">
        <w:rPr>
          <w:i/>
          <w:iCs/>
        </w:rPr>
        <w:t>majorité culturelle</w:t>
      </w:r>
      <w:r w:rsidRPr="00FB080F">
        <w:t xml:space="preserve"> ou </w:t>
      </w:r>
      <w:r w:rsidRPr="00FB080F">
        <w:rPr>
          <w:i/>
          <w:iCs/>
        </w:rPr>
        <w:t>charter group</w:t>
      </w:r>
      <w:r w:rsidRPr="00FB080F">
        <w:t xml:space="preserve"> est plus souvent utilisé que </w:t>
      </w:r>
      <w:r w:rsidRPr="00FB080F">
        <w:rPr>
          <w:i/>
          <w:iCs/>
        </w:rPr>
        <w:t>culture dominante</w:t>
      </w:r>
      <w:r w:rsidRPr="00FB080F">
        <w:t xml:space="preserve"> pour rendre évidente l’existence de plusieurs formes de domination culturelle</w:t>
      </w:r>
      <w:r>
        <w:rPr>
          <w:lang w:val="fr-FR" w:eastAsia="fr-FR" w:bidi="fr-FR"/>
        </w:rPr>
        <w:t xml:space="preserve"> au sein d’une société.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4EF9" w14:textId="77777777" w:rsidR="009A4910" w:rsidRDefault="009A4910" w:rsidP="009A4910">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7317AC">
      <w:rPr>
        <w:rFonts w:ascii="Times New Roman" w:hAnsi="Times New Roman"/>
      </w:rPr>
      <w:t>“</w:t>
    </w:r>
    <w:r>
      <w:rPr>
        <w:rFonts w:ascii="Times New Roman" w:hAnsi="Times New Roman"/>
      </w:rPr>
      <w:t>La question linguistique et le statut des allophones et des anglophones au Québec.</w:t>
    </w:r>
    <w:r w:rsidRPr="007317AC">
      <w:rPr>
        <w:rFonts w:ascii="Times New Roman" w:hAnsi="Times New Roman"/>
      </w:rPr>
      <w:t>”</w:t>
    </w:r>
    <w:r>
      <w:rPr>
        <w:rFonts w:ascii="Times New Roman" w:hAnsi="Times New Roman"/>
      </w:rPr>
      <w:t xml:space="preserve"> (2002)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B67B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672B4B05" w14:textId="77777777" w:rsidR="009A4910" w:rsidRDefault="009A491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4D8C"/>
    <w:multiLevelType w:val="multilevel"/>
    <w:tmpl w:val="844CB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B67B9"/>
    <w:rsid w:val="009A4910"/>
    <w:rsid w:val="00F80C0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27F279"/>
  <w15:chartTrackingRefBased/>
  <w15:docId w15:val="{D15AB781-5799-0A41-935B-56A259E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317AC"/>
    <w:rPr>
      <w:rFonts w:eastAsia="Times New Roman"/>
      <w:noProof/>
      <w:lang w:val="fr-CA" w:eastAsia="en-US" w:bidi="ar-SA"/>
    </w:rPr>
  </w:style>
  <w:style w:type="character" w:customStyle="1" w:styleId="Titre3Car">
    <w:name w:val="Titre 3 Car"/>
    <w:basedOn w:val="Policepardfaut"/>
    <w:link w:val="Titre3"/>
    <w:rsid w:val="007317AC"/>
    <w:rPr>
      <w:rFonts w:eastAsia="Times New Roman"/>
      <w:noProof/>
      <w:lang w:val="fr-CA" w:eastAsia="en-US" w:bidi="ar-SA"/>
    </w:rPr>
  </w:style>
  <w:style w:type="character" w:customStyle="1" w:styleId="Titre6Car">
    <w:name w:val="Titre 6 Car"/>
    <w:basedOn w:val="Policepardfaut"/>
    <w:link w:val="Titre6"/>
    <w:rsid w:val="007317AC"/>
    <w:rPr>
      <w:rFonts w:eastAsia="Times New Roman"/>
      <w:noProof/>
      <w:lang w:val="fr-CA" w:eastAsia="en-US" w:bidi="ar-SA"/>
    </w:rPr>
  </w:style>
  <w:style w:type="character" w:customStyle="1" w:styleId="Titre7Car">
    <w:name w:val="Titre 7 Car"/>
    <w:basedOn w:val="Policepardfaut"/>
    <w:link w:val="Titre7"/>
    <w:rsid w:val="007317AC"/>
    <w:rPr>
      <w:rFonts w:eastAsia="Times New Roman"/>
      <w:noProof/>
      <w:lang w:val="fr-CA" w:eastAsia="en-US" w:bidi="ar-SA"/>
    </w:rPr>
  </w:style>
  <w:style w:type="character" w:customStyle="1" w:styleId="Titre8Car">
    <w:name w:val="Titre 8 Car"/>
    <w:basedOn w:val="Policepardfaut"/>
    <w:link w:val="Titre8"/>
    <w:rsid w:val="007317AC"/>
    <w:rPr>
      <w:rFonts w:eastAsia="Times New Roman"/>
      <w:noProof/>
      <w:lang w:val="fr-CA" w:eastAsia="en-US" w:bidi="ar-SA"/>
    </w:rPr>
  </w:style>
  <w:style w:type="character" w:customStyle="1" w:styleId="Titre9Car">
    <w:name w:val="Titre 9 Car"/>
    <w:basedOn w:val="Policepardfaut"/>
    <w:link w:val="Titre9"/>
    <w:rsid w:val="007317A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7317AC"/>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E7B20"/>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317A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317A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317A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317A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317A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317AC"/>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317A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317AC"/>
    <w:rPr>
      <w:rFonts w:ascii="Arial" w:eastAsia="Times New Roman" w:hAnsi="Arial"/>
      <w:bCs/>
      <w:sz w:val="28"/>
      <w:lang w:val="fr-CA" w:eastAsia="en-US"/>
    </w:rPr>
  </w:style>
  <w:style w:type="paragraph" w:styleId="Corpsdetexte2">
    <w:name w:val="Body Text 2"/>
    <w:basedOn w:val="Normal"/>
    <w:link w:val="Corpsdetexte2Car"/>
    <w:rsid w:val="007317AC"/>
    <w:pPr>
      <w:jc w:val="both"/>
    </w:pPr>
    <w:rPr>
      <w:rFonts w:ascii="Arial" w:hAnsi="Arial"/>
      <w:bCs/>
    </w:rPr>
  </w:style>
  <w:style w:type="character" w:customStyle="1" w:styleId="Corpsdetexte3Car">
    <w:name w:val="Corps de texte 3 Car"/>
    <w:basedOn w:val="Policepardfaut"/>
    <w:link w:val="Corpsdetexte3"/>
    <w:rsid w:val="007317AC"/>
    <w:rPr>
      <w:rFonts w:ascii="Arial" w:eastAsia="Times New Roman" w:hAnsi="Arial"/>
      <w:bCs/>
      <w:lang w:val="fr-CA" w:eastAsia="en-US"/>
    </w:rPr>
  </w:style>
  <w:style w:type="paragraph" w:styleId="Corpsdetexte3">
    <w:name w:val="Body Text 3"/>
    <w:basedOn w:val="Normal"/>
    <w:link w:val="Corpsdetexte3Car"/>
    <w:rsid w:val="007317AC"/>
    <w:pPr>
      <w:tabs>
        <w:tab w:val="left" w:pos="510"/>
        <w:tab w:val="left" w:pos="510"/>
      </w:tabs>
      <w:jc w:val="both"/>
    </w:pPr>
    <w:rPr>
      <w:rFonts w:ascii="Arial" w:hAnsi="Arial"/>
      <w:bCs/>
      <w:sz w:val="20"/>
    </w:rPr>
  </w:style>
  <w:style w:type="character" w:customStyle="1" w:styleId="Notedebasdepage0">
    <w:name w:val="Note de bas de page_"/>
    <w:basedOn w:val="Policepardfaut"/>
    <w:link w:val="Notedebasdepage1"/>
    <w:rsid w:val="00A25C5C"/>
    <w:rPr>
      <w:rFonts w:ascii="Times New Roman" w:eastAsia="Times New Roman" w:hAnsi="Times New Roman"/>
      <w:sz w:val="17"/>
      <w:szCs w:val="17"/>
      <w:shd w:val="clear" w:color="auto" w:fill="FFFFFF"/>
    </w:rPr>
  </w:style>
  <w:style w:type="character" w:customStyle="1" w:styleId="Notedebasdepage7pt">
    <w:name w:val="Note de bas de page + 7 pt"/>
    <w:basedOn w:val="Notedebasdepage0"/>
    <w:rsid w:val="00A25C5C"/>
    <w:rPr>
      <w:rFonts w:ascii="Times New Roman" w:eastAsia="Times New Roman" w:hAnsi="Times New Roman"/>
      <w:color w:val="000000"/>
      <w:spacing w:val="0"/>
      <w:w w:val="100"/>
      <w:position w:val="0"/>
      <w:sz w:val="14"/>
      <w:szCs w:val="14"/>
      <w:shd w:val="clear" w:color="auto" w:fill="FFFFFF"/>
      <w:lang w:val="fr-FR" w:eastAsia="fr-FR" w:bidi="fr-FR"/>
    </w:rPr>
  </w:style>
  <w:style w:type="character" w:customStyle="1" w:styleId="NotedebasdepageItalique">
    <w:name w:val="Note de bas de page + Italique"/>
    <w:basedOn w:val="Notedebasdepage0"/>
    <w:rsid w:val="00A25C5C"/>
    <w:rPr>
      <w:rFonts w:ascii="Times New Roman" w:eastAsia="Times New Roman" w:hAnsi="Times New Roman"/>
      <w:i/>
      <w:iCs/>
      <w:color w:val="000000"/>
      <w:spacing w:val="0"/>
      <w:w w:val="100"/>
      <w:position w:val="0"/>
      <w:sz w:val="17"/>
      <w:szCs w:val="17"/>
      <w:shd w:val="clear" w:color="auto" w:fill="FFFFFF"/>
      <w:lang w:val="fr-FR" w:eastAsia="fr-FR" w:bidi="fr-FR"/>
    </w:rPr>
  </w:style>
  <w:style w:type="paragraph" w:customStyle="1" w:styleId="aa">
    <w:name w:val="aa"/>
    <w:basedOn w:val="Normal"/>
    <w:autoRedefine/>
    <w:rsid w:val="00A25C5C"/>
    <w:pPr>
      <w:spacing w:before="120" w:after="120"/>
      <w:jc w:val="both"/>
    </w:pPr>
    <w:rPr>
      <w:b/>
      <w:i/>
      <w:color w:val="FF0000"/>
      <w:sz w:val="32"/>
    </w:rPr>
  </w:style>
  <w:style w:type="paragraph" w:customStyle="1" w:styleId="b">
    <w:name w:val="b"/>
    <w:basedOn w:val="Normal"/>
    <w:autoRedefine/>
    <w:rsid w:val="00A25C5C"/>
    <w:pPr>
      <w:spacing w:before="120" w:after="120"/>
      <w:ind w:left="720"/>
    </w:pPr>
    <w:rPr>
      <w:i/>
      <w:color w:val="0000FF"/>
    </w:rPr>
  </w:style>
  <w:style w:type="paragraph" w:customStyle="1" w:styleId="bb">
    <w:name w:val="bb"/>
    <w:basedOn w:val="Normal"/>
    <w:rsid w:val="00A25C5C"/>
    <w:pPr>
      <w:spacing w:before="120" w:after="120"/>
      <w:ind w:left="540"/>
    </w:pPr>
    <w:rPr>
      <w:i/>
      <w:color w:val="0000FF"/>
    </w:rPr>
  </w:style>
  <w:style w:type="character" w:customStyle="1" w:styleId="Corpsdutexte57ptNonItalique">
    <w:name w:val="Corps du texte (5) + 7 pt;Non Italique"/>
    <w:basedOn w:val="Policepardfaut"/>
    <w:rsid w:val="00A25C5C"/>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etexteCar">
    <w:name w:val="Corps de texte Car"/>
    <w:basedOn w:val="Policepardfaut"/>
    <w:link w:val="Corpsdetexte"/>
    <w:rsid w:val="00A25C5C"/>
    <w:rPr>
      <w:rFonts w:ascii="Times New Roman" w:eastAsia="Times New Roman" w:hAnsi="Times New Roman"/>
      <w:sz w:val="72"/>
      <w:lang w:val="fr-CA" w:eastAsia="en-US"/>
    </w:rPr>
  </w:style>
  <w:style w:type="character" w:customStyle="1" w:styleId="Corpsdutexte37ptPetitesmajuscules">
    <w:name w:val="Corps du texte (3) + 7 pt;Petites majuscules"/>
    <w:basedOn w:val="Policepardfaut"/>
    <w:rsid w:val="00A25C5C"/>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57ptNonItaliquePetitesmajuscules">
    <w:name w:val="Corps du texte (5) + 7 pt;Non Italique;Petites majuscules"/>
    <w:basedOn w:val="Policepardfaut"/>
    <w:rsid w:val="00A25C5C"/>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paragraph" w:customStyle="1" w:styleId="Notedebasdepage1">
    <w:name w:val="Note de bas de page1"/>
    <w:basedOn w:val="Normal"/>
    <w:link w:val="Notedebasdepage0"/>
    <w:rsid w:val="00A25C5C"/>
    <w:pPr>
      <w:widowControl w:val="0"/>
      <w:shd w:val="clear" w:color="auto" w:fill="FFFFFF"/>
      <w:spacing w:line="202" w:lineRule="exact"/>
      <w:ind w:hanging="126"/>
      <w:jc w:val="both"/>
    </w:pPr>
    <w:rPr>
      <w:sz w:val="17"/>
      <w:szCs w:val="17"/>
      <w:lang w:val="fr-FR" w:eastAsia="fr-FR"/>
    </w:rPr>
  </w:style>
  <w:style w:type="paragraph" w:customStyle="1" w:styleId="dd">
    <w:name w:val="dd"/>
    <w:basedOn w:val="Normal"/>
    <w:autoRedefine/>
    <w:rsid w:val="00A25C5C"/>
    <w:pPr>
      <w:spacing w:before="120" w:after="120"/>
      <w:ind w:left="1080"/>
    </w:pPr>
    <w:rPr>
      <w:i/>
      <w:color w:val="008000"/>
    </w:rPr>
  </w:style>
  <w:style w:type="character" w:customStyle="1" w:styleId="En-tteCar">
    <w:name w:val="En-tête Car"/>
    <w:basedOn w:val="Policepardfaut"/>
    <w:link w:val="En-tte"/>
    <w:uiPriority w:val="99"/>
    <w:rsid w:val="00A25C5C"/>
    <w:rPr>
      <w:rFonts w:ascii="GillSans" w:eastAsia="Times New Roman" w:hAnsi="GillSans"/>
      <w:lang w:val="fr-CA" w:eastAsia="en-US"/>
    </w:rPr>
  </w:style>
  <w:style w:type="paragraph" w:customStyle="1" w:styleId="figlgende">
    <w:name w:val="fig légende"/>
    <w:basedOn w:val="Normal0"/>
    <w:rsid w:val="00A25C5C"/>
    <w:rPr>
      <w:color w:val="000090"/>
      <w:sz w:val="24"/>
      <w:szCs w:val="16"/>
      <w:lang w:eastAsia="fr-FR"/>
    </w:rPr>
  </w:style>
  <w:style w:type="paragraph" w:customStyle="1" w:styleId="figst">
    <w:name w:val="fig st"/>
    <w:basedOn w:val="Normal"/>
    <w:autoRedefine/>
    <w:rsid w:val="00A25C5C"/>
    <w:pPr>
      <w:spacing w:before="120" w:after="120"/>
      <w:jc w:val="center"/>
    </w:pPr>
    <w:rPr>
      <w:rFonts w:cs="Arial"/>
      <w:color w:val="000090"/>
      <w:szCs w:val="16"/>
    </w:rPr>
  </w:style>
  <w:style w:type="paragraph" w:customStyle="1" w:styleId="figtitre">
    <w:name w:val="fig titre"/>
    <w:basedOn w:val="Normal"/>
    <w:autoRedefine/>
    <w:rsid w:val="00A25C5C"/>
    <w:pPr>
      <w:spacing w:before="120" w:after="120"/>
      <w:jc w:val="center"/>
    </w:pPr>
    <w:rPr>
      <w:rFonts w:cs="Arial"/>
      <w:b/>
      <w:bCs/>
      <w:szCs w:val="12"/>
    </w:rPr>
  </w:style>
  <w:style w:type="character" w:customStyle="1" w:styleId="NotedebasdepageCar">
    <w:name w:val="Note de bas de page Car"/>
    <w:basedOn w:val="Policepardfaut"/>
    <w:link w:val="Notedebasdepage"/>
    <w:rsid w:val="00A25C5C"/>
    <w:rPr>
      <w:rFonts w:ascii="Times New Roman" w:eastAsia="Times New Roman" w:hAnsi="Times New Roman"/>
      <w:color w:val="000000"/>
      <w:sz w:val="24"/>
      <w:lang w:val="fr-CA" w:eastAsia="en-US"/>
    </w:rPr>
  </w:style>
  <w:style w:type="character" w:customStyle="1" w:styleId="Titre2Car">
    <w:name w:val="Titre 2 Car"/>
    <w:basedOn w:val="Policepardfaut"/>
    <w:link w:val="Titre2"/>
    <w:rsid w:val="00A25C5C"/>
    <w:rPr>
      <w:rFonts w:eastAsia="Times New Roman"/>
      <w:noProof/>
      <w:lang w:val="fr-CA" w:eastAsia="en-US" w:bidi="ar-SA"/>
    </w:rPr>
  </w:style>
  <w:style w:type="character" w:customStyle="1" w:styleId="Titre4Car">
    <w:name w:val="Titre 4 Car"/>
    <w:basedOn w:val="Policepardfaut"/>
    <w:link w:val="Titre4"/>
    <w:rsid w:val="00A25C5C"/>
    <w:rPr>
      <w:rFonts w:eastAsia="Times New Roman"/>
      <w:noProof/>
      <w:lang w:val="fr-CA" w:eastAsia="en-US" w:bidi="ar-SA"/>
    </w:rPr>
  </w:style>
  <w:style w:type="character" w:customStyle="1" w:styleId="Titre5Car">
    <w:name w:val="Titre 5 Car"/>
    <w:basedOn w:val="Policepardfaut"/>
    <w:link w:val="Titre5"/>
    <w:rsid w:val="00A25C5C"/>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0303736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e_Helly@UCS.INRS.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6710</Words>
  <Characters>36907</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“Le statut linguistique des allophones et des anglophones au Québec.”</vt:lpstr>
    </vt:vector>
  </TitlesOfParts>
  <Manager>par jean-marie tremblay, sociologue, bénévole, 2022.</Manager>
  <Company>Les Classiques des sciences sociales</Company>
  <LinksUpToDate>false</LinksUpToDate>
  <CharactersWithSpaces>43530</CharactersWithSpaces>
  <SharedDoc>false</SharedDoc>
  <HyperlinkBase/>
  <HLinks>
    <vt:vector size="72" baseType="variant">
      <vt:variant>
        <vt:i4>3407959</vt:i4>
      </vt:variant>
      <vt:variant>
        <vt:i4>18</vt:i4>
      </vt:variant>
      <vt:variant>
        <vt:i4>0</vt:i4>
      </vt:variant>
      <vt:variant>
        <vt:i4>5</vt:i4>
      </vt:variant>
      <vt:variant>
        <vt:lpwstr>http://dx.doi.org/doi:10.1522/030373637</vt:lpwstr>
      </vt:variant>
      <vt:variant>
        <vt:lpwstr/>
      </vt:variant>
      <vt:variant>
        <vt:i4>4063244</vt:i4>
      </vt:variant>
      <vt:variant>
        <vt:i4>15</vt:i4>
      </vt:variant>
      <vt:variant>
        <vt:i4>0</vt:i4>
      </vt:variant>
      <vt:variant>
        <vt:i4>5</vt:i4>
      </vt:variant>
      <vt:variant>
        <vt:lpwstr>mailto:Denise_Helly@UCS.INRS.Ca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2432</vt:i4>
      </vt:variant>
      <vt:variant>
        <vt:i4>1025</vt:i4>
      </vt:variant>
      <vt:variant>
        <vt:i4>1</vt:i4>
      </vt:variant>
      <vt:variant>
        <vt:lpwstr>css_logo_gris</vt:lpwstr>
      </vt:variant>
      <vt:variant>
        <vt:lpwstr/>
      </vt:variant>
      <vt:variant>
        <vt:i4>5111880</vt:i4>
      </vt:variant>
      <vt:variant>
        <vt:i4>2720</vt:i4>
      </vt:variant>
      <vt:variant>
        <vt:i4>1026</vt:i4>
      </vt:variant>
      <vt:variant>
        <vt:i4>1</vt:i4>
      </vt:variant>
      <vt:variant>
        <vt:lpwstr>UQAC_logo_2018</vt:lpwstr>
      </vt:variant>
      <vt:variant>
        <vt:lpwstr/>
      </vt:variant>
      <vt:variant>
        <vt:i4>4194334</vt:i4>
      </vt:variant>
      <vt:variant>
        <vt:i4>4923</vt:i4>
      </vt:variant>
      <vt:variant>
        <vt:i4>1027</vt:i4>
      </vt:variant>
      <vt:variant>
        <vt:i4>1</vt:i4>
      </vt:variant>
      <vt:variant>
        <vt:lpwstr>Boite_aux_lettres_clair</vt:lpwstr>
      </vt:variant>
      <vt:variant>
        <vt:lpwstr/>
      </vt:variant>
      <vt:variant>
        <vt:i4>1703963</vt:i4>
      </vt:variant>
      <vt:variant>
        <vt:i4>5374</vt:i4>
      </vt:variant>
      <vt:variant>
        <vt:i4>1028</vt:i4>
      </vt:variant>
      <vt:variant>
        <vt:i4>1</vt:i4>
      </vt:variant>
      <vt:variant>
        <vt:lpwstr>fait_sur_mac</vt:lpwstr>
      </vt:variant>
      <vt:variant>
        <vt:lpwstr/>
      </vt:variant>
      <vt:variant>
        <vt:i4>5111916</vt:i4>
      </vt:variant>
      <vt:variant>
        <vt:i4>5615</vt:i4>
      </vt:variant>
      <vt:variant>
        <vt:i4>1029</vt:i4>
      </vt:variant>
      <vt:variant>
        <vt:i4>1</vt:i4>
      </vt:variant>
      <vt:variant>
        <vt:lpwstr>RAL_automne_2002_L25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statut linguistique des allophones et des anglophones au Québec.”</dc:title>
  <dc:subject/>
  <dc:creator>Denise Helly, 2002</dc:creator>
  <cp:keywords>classiques.sc.soc@gmail.com</cp:keywords>
  <dc:description>http://classiques.uqac.ca/</dc:description>
  <cp:lastModifiedBy>Jean-Marie Tremblay</cp:lastModifiedBy>
  <cp:revision>2</cp:revision>
  <cp:lastPrinted>2001-08-26T19:33:00Z</cp:lastPrinted>
  <dcterms:created xsi:type="dcterms:W3CDTF">2022-01-21T14:31:00Z</dcterms:created>
  <dcterms:modified xsi:type="dcterms:W3CDTF">2022-01-21T14:31:00Z</dcterms:modified>
  <cp:category>jean-marie tremblay, sociologue, fondateur, 1993.</cp:category>
</cp:coreProperties>
</file>