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5F113F" w:rsidRPr="00E07116">
        <w:tblPrEx>
          <w:tblCellMar>
            <w:top w:w="0" w:type="dxa"/>
            <w:bottom w:w="0" w:type="dxa"/>
          </w:tblCellMar>
        </w:tblPrEx>
        <w:tc>
          <w:tcPr>
            <w:tcW w:w="9160" w:type="dxa"/>
            <w:shd w:val="clear" w:color="auto" w:fill="DDD9C3"/>
          </w:tcPr>
          <w:p w:rsidR="005F113F" w:rsidRPr="00E07116" w:rsidRDefault="005F113F" w:rsidP="005F113F">
            <w:pPr>
              <w:pStyle w:val="En-tte"/>
              <w:tabs>
                <w:tab w:val="clear" w:pos="4320"/>
                <w:tab w:val="clear" w:pos="8640"/>
              </w:tabs>
              <w:rPr>
                <w:rFonts w:ascii="Times New Roman" w:hAnsi="Times New Roman"/>
                <w:sz w:val="28"/>
                <w:lang w:val="en-CA" w:bidi="ar-SA"/>
              </w:rPr>
            </w:pPr>
            <w:bookmarkStart w:id="0" w:name="_GoBack"/>
            <w:bookmarkEnd w:id="0"/>
          </w:p>
          <w:p w:rsidR="005F113F" w:rsidRPr="00E07116" w:rsidRDefault="005F113F">
            <w:pPr>
              <w:ind w:firstLine="0"/>
              <w:jc w:val="center"/>
              <w:rPr>
                <w:b/>
                <w:lang w:bidi="ar-SA"/>
              </w:rPr>
            </w:pPr>
          </w:p>
          <w:p w:rsidR="005F113F" w:rsidRDefault="005F113F" w:rsidP="005F113F">
            <w:pPr>
              <w:ind w:firstLine="0"/>
              <w:jc w:val="center"/>
              <w:rPr>
                <w:b/>
                <w:sz w:val="20"/>
                <w:lang w:bidi="ar-SA"/>
              </w:rPr>
            </w:pPr>
          </w:p>
          <w:p w:rsidR="005F113F" w:rsidRDefault="005F113F" w:rsidP="005F113F">
            <w:pPr>
              <w:ind w:firstLine="0"/>
              <w:jc w:val="center"/>
              <w:rPr>
                <w:b/>
                <w:sz w:val="20"/>
                <w:lang w:bidi="ar-SA"/>
              </w:rPr>
            </w:pPr>
          </w:p>
          <w:p w:rsidR="005F113F" w:rsidRPr="00BF2B3D" w:rsidRDefault="005F113F" w:rsidP="005F113F">
            <w:pPr>
              <w:ind w:firstLine="0"/>
              <w:jc w:val="center"/>
              <w:rPr>
                <w:b/>
                <w:sz w:val="36"/>
                <w:lang w:val="en-US"/>
              </w:rPr>
            </w:pPr>
            <w:r w:rsidRPr="00BF2B3D">
              <w:rPr>
                <w:sz w:val="36"/>
                <w:lang w:val="en-US"/>
              </w:rPr>
              <w:t>Denise Helly, Ahmed-Mahdi BENMOUSSA</w:t>
            </w:r>
            <w:r w:rsidRPr="00BF2B3D">
              <w:rPr>
                <w:sz w:val="36"/>
                <w:lang w:val="en-US"/>
              </w:rPr>
              <w:br/>
              <w:t>et Samuel Bachand</w:t>
            </w:r>
          </w:p>
          <w:p w:rsidR="005F113F" w:rsidRPr="00BF2B3D" w:rsidRDefault="005F113F" w:rsidP="005F113F">
            <w:pPr>
              <w:ind w:firstLine="0"/>
              <w:jc w:val="center"/>
              <w:rPr>
                <w:sz w:val="20"/>
                <w:lang w:val="en-US" w:bidi="ar-SA"/>
              </w:rPr>
            </w:pPr>
          </w:p>
          <w:p w:rsidR="005F113F" w:rsidRPr="00AA0F60" w:rsidRDefault="005F113F" w:rsidP="005F113F">
            <w:pPr>
              <w:pStyle w:val="Corpsdetexte"/>
              <w:widowControl w:val="0"/>
              <w:spacing w:before="0" w:after="0"/>
              <w:rPr>
                <w:sz w:val="44"/>
                <w:lang w:bidi="ar-SA"/>
              </w:rPr>
            </w:pPr>
            <w:r w:rsidRPr="00AA0F60">
              <w:rPr>
                <w:sz w:val="44"/>
                <w:lang w:bidi="ar-SA"/>
              </w:rPr>
              <w:t>(</w:t>
            </w:r>
            <w:r>
              <w:rPr>
                <w:sz w:val="44"/>
                <w:lang w:bidi="ar-SA"/>
              </w:rPr>
              <w:t>2018</w:t>
            </w:r>
            <w:r w:rsidRPr="00AA0F60">
              <w:rPr>
                <w:sz w:val="44"/>
                <w:lang w:bidi="ar-SA"/>
              </w:rPr>
              <w:t>)</w:t>
            </w:r>
          </w:p>
          <w:p w:rsidR="005F113F" w:rsidRDefault="005F113F" w:rsidP="005F113F">
            <w:pPr>
              <w:pStyle w:val="Corpsdetexte"/>
              <w:widowControl w:val="0"/>
              <w:spacing w:before="0" w:after="0"/>
              <w:rPr>
                <w:color w:val="FF0000"/>
                <w:sz w:val="24"/>
                <w:lang w:bidi="ar-SA"/>
              </w:rPr>
            </w:pPr>
          </w:p>
          <w:p w:rsidR="005F113F" w:rsidRDefault="005F113F" w:rsidP="005F113F">
            <w:pPr>
              <w:pStyle w:val="Corpsdetexte"/>
              <w:widowControl w:val="0"/>
              <w:spacing w:before="0" w:after="0"/>
              <w:rPr>
                <w:color w:val="FF0000"/>
                <w:sz w:val="24"/>
                <w:lang w:bidi="ar-SA"/>
              </w:rPr>
            </w:pPr>
          </w:p>
          <w:p w:rsidR="005F113F" w:rsidRDefault="005F113F" w:rsidP="005F113F">
            <w:pPr>
              <w:pStyle w:val="Corpsdetexte"/>
              <w:widowControl w:val="0"/>
              <w:spacing w:before="0" w:after="0"/>
              <w:rPr>
                <w:color w:val="FF0000"/>
                <w:sz w:val="24"/>
                <w:lang w:bidi="ar-SA"/>
              </w:rPr>
            </w:pPr>
          </w:p>
          <w:p w:rsidR="005F113F" w:rsidRPr="001530D5" w:rsidRDefault="005F113F" w:rsidP="005F113F">
            <w:pPr>
              <w:pStyle w:val="Titlest"/>
            </w:pPr>
            <w:r w:rsidRPr="001530D5">
              <w:t>“À la recherche</w:t>
            </w:r>
            <w:r w:rsidRPr="001530D5">
              <w:br/>
              <w:t>d’une définition pragmatique</w:t>
            </w:r>
            <w:r w:rsidRPr="001530D5">
              <w:br/>
              <w:t>de la haine.”</w:t>
            </w:r>
          </w:p>
          <w:p w:rsidR="005F113F" w:rsidRDefault="005F113F" w:rsidP="005F113F">
            <w:pPr>
              <w:widowControl w:val="0"/>
              <w:ind w:firstLine="0"/>
              <w:jc w:val="center"/>
              <w:rPr>
                <w:lang w:bidi="ar-SA"/>
              </w:rPr>
            </w:pPr>
          </w:p>
          <w:p w:rsidR="005F113F" w:rsidRDefault="005F113F" w:rsidP="005F113F">
            <w:pPr>
              <w:widowControl w:val="0"/>
              <w:ind w:firstLine="0"/>
              <w:jc w:val="center"/>
              <w:rPr>
                <w:lang w:bidi="ar-SA"/>
              </w:rPr>
            </w:pPr>
          </w:p>
          <w:p w:rsidR="005F113F" w:rsidRDefault="005F113F" w:rsidP="005F113F">
            <w:pPr>
              <w:widowControl w:val="0"/>
              <w:ind w:firstLine="0"/>
              <w:jc w:val="center"/>
              <w:rPr>
                <w:lang w:bidi="ar-SA"/>
              </w:rPr>
            </w:pPr>
          </w:p>
          <w:p w:rsidR="005F113F" w:rsidRDefault="005F113F" w:rsidP="005F113F">
            <w:pPr>
              <w:widowControl w:val="0"/>
              <w:ind w:firstLine="0"/>
              <w:jc w:val="center"/>
              <w:rPr>
                <w:sz w:val="20"/>
                <w:lang w:bidi="ar-SA"/>
              </w:rPr>
            </w:pPr>
          </w:p>
          <w:p w:rsidR="005F113F" w:rsidRPr="00384B20" w:rsidRDefault="005F113F">
            <w:pPr>
              <w:widowControl w:val="0"/>
              <w:ind w:firstLine="0"/>
              <w:jc w:val="center"/>
              <w:rPr>
                <w:sz w:val="20"/>
                <w:lang w:bidi="ar-SA"/>
              </w:rPr>
            </w:pPr>
          </w:p>
          <w:p w:rsidR="005F113F" w:rsidRPr="00384B20" w:rsidRDefault="005F113F">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5F113F" w:rsidRPr="00E07116" w:rsidRDefault="005F113F">
            <w:pPr>
              <w:widowControl w:val="0"/>
              <w:ind w:firstLine="0"/>
              <w:jc w:val="both"/>
              <w:rPr>
                <w:lang w:bidi="ar-SA"/>
              </w:rPr>
            </w:pPr>
          </w:p>
          <w:p w:rsidR="005F113F" w:rsidRPr="00E07116" w:rsidRDefault="005F113F">
            <w:pPr>
              <w:widowControl w:val="0"/>
              <w:ind w:firstLine="0"/>
              <w:jc w:val="both"/>
              <w:rPr>
                <w:lang w:bidi="ar-SA"/>
              </w:rPr>
            </w:pPr>
          </w:p>
          <w:p w:rsidR="005F113F" w:rsidRPr="00E07116" w:rsidRDefault="005F113F">
            <w:pPr>
              <w:widowControl w:val="0"/>
              <w:ind w:firstLine="0"/>
              <w:jc w:val="both"/>
              <w:rPr>
                <w:lang w:bidi="ar-SA"/>
              </w:rPr>
            </w:pPr>
          </w:p>
          <w:p w:rsidR="005F113F" w:rsidRDefault="005F113F">
            <w:pPr>
              <w:widowControl w:val="0"/>
              <w:ind w:firstLine="0"/>
              <w:jc w:val="both"/>
              <w:rPr>
                <w:lang w:bidi="ar-SA"/>
              </w:rPr>
            </w:pPr>
          </w:p>
          <w:p w:rsidR="005F113F" w:rsidRDefault="005F113F">
            <w:pPr>
              <w:widowControl w:val="0"/>
              <w:ind w:firstLine="0"/>
              <w:jc w:val="both"/>
              <w:rPr>
                <w:lang w:bidi="ar-SA"/>
              </w:rPr>
            </w:pPr>
          </w:p>
          <w:p w:rsidR="005F113F" w:rsidRPr="00E07116" w:rsidRDefault="005F113F">
            <w:pPr>
              <w:widowControl w:val="0"/>
              <w:ind w:firstLine="0"/>
              <w:jc w:val="both"/>
              <w:rPr>
                <w:lang w:bidi="ar-SA"/>
              </w:rPr>
            </w:pPr>
          </w:p>
          <w:p w:rsidR="005F113F" w:rsidRDefault="005F113F">
            <w:pPr>
              <w:widowControl w:val="0"/>
              <w:ind w:firstLine="0"/>
              <w:jc w:val="both"/>
              <w:rPr>
                <w:lang w:bidi="ar-SA"/>
              </w:rPr>
            </w:pPr>
          </w:p>
          <w:p w:rsidR="005F113F" w:rsidRPr="00E07116" w:rsidRDefault="005F113F">
            <w:pPr>
              <w:widowControl w:val="0"/>
              <w:ind w:firstLine="0"/>
              <w:jc w:val="both"/>
              <w:rPr>
                <w:lang w:bidi="ar-SA"/>
              </w:rPr>
            </w:pPr>
          </w:p>
          <w:p w:rsidR="005F113F" w:rsidRPr="00E07116" w:rsidRDefault="005F113F">
            <w:pPr>
              <w:ind w:firstLine="0"/>
              <w:jc w:val="both"/>
              <w:rPr>
                <w:lang w:bidi="ar-SA"/>
              </w:rPr>
            </w:pPr>
          </w:p>
        </w:tc>
      </w:tr>
    </w:tbl>
    <w:p w:rsidR="005F113F" w:rsidRDefault="005F113F" w:rsidP="005F113F">
      <w:pPr>
        <w:ind w:firstLine="0"/>
        <w:jc w:val="both"/>
      </w:pPr>
      <w:r w:rsidRPr="00E07116">
        <w:br w:type="page"/>
      </w:r>
    </w:p>
    <w:p w:rsidR="005F113F" w:rsidRDefault="005F113F" w:rsidP="005F113F">
      <w:pPr>
        <w:ind w:firstLine="0"/>
        <w:jc w:val="both"/>
      </w:pPr>
    </w:p>
    <w:p w:rsidR="005F113F" w:rsidRDefault="005F113F" w:rsidP="005F113F">
      <w:pPr>
        <w:ind w:firstLine="0"/>
        <w:jc w:val="both"/>
      </w:pPr>
    </w:p>
    <w:p w:rsidR="005F113F" w:rsidRDefault="00BF2B3D" w:rsidP="005F113F">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5F113F" w:rsidRDefault="005F113F" w:rsidP="005F113F">
      <w:pPr>
        <w:ind w:firstLine="0"/>
        <w:jc w:val="right"/>
      </w:pPr>
      <w:hyperlink r:id="rId9" w:history="1">
        <w:r w:rsidRPr="00302466">
          <w:rPr>
            <w:rStyle w:val="Lienhypertexte"/>
          </w:rPr>
          <w:t>http://classiques.uqac.ca/</w:t>
        </w:r>
      </w:hyperlink>
      <w:r>
        <w:t xml:space="preserve"> </w:t>
      </w:r>
    </w:p>
    <w:p w:rsidR="005F113F" w:rsidRDefault="005F113F" w:rsidP="005F113F">
      <w:pPr>
        <w:ind w:firstLine="0"/>
        <w:jc w:val="both"/>
      </w:pPr>
    </w:p>
    <w:p w:rsidR="005F113F" w:rsidRDefault="005F113F" w:rsidP="005F113F">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5F113F" w:rsidRDefault="005F113F" w:rsidP="005F113F">
      <w:pPr>
        <w:ind w:firstLine="0"/>
        <w:jc w:val="both"/>
      </w:pPr>
    </w:p>
    <w:p w:rsidR="005F113F" w:rsidRDefault="00BF2B3D" w:rsidP="005F113F">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5F113F" w:rsidRDefault="005F113F" w:rsidP="005F113F">
      <w:pPr>
        <w:ind w:firstLine="0"/>
        <w:jc w:val="both"/>
      </w:pPr>
      <w:hyperlink r:id="rId11" w:history="1">
        <w:r w:rsidRPr="00302466">
          <w:rPr>
            <w:rStyle w:val="Lienhypertexte"/>
          </w:rPr>
          <w:t>http://bibliotheque.uqac.ca/</w:t>
        </w:r>
      </w:hyperlink>
      <w:r>
        <w:t xml:space="preserve"> </w:t>
      </w:r>
    </w:p>
    <w:p w:rsidR="005F113F" w:rsidRDefault="005F113F" w:rsidP="005F113F">
      <w:pPr>
        <w:ind w:firstLine="0"/>
        <w:jc w:val="both"/>
      </w:pPr>
    </w:p>
    <w:p w:rsidR="005F113F" w:rsidRDefault="005F113F" w:rsidP="005F113F">
      <w:pPr>
        <w:ind w:firstLine="0"/>
        <w:jc w:val="both"/>
      </w:pPr>
    </w:p>
    <w:p w:rsidR="005F113F" w:rsidRDefault="005F113F" w:rsidP="005F113F">
      <w:pPr>
        <w:ind w:firstLine="0"/>
        <w:jc w:val="both"/>
      </w:pPr>
      <w:r>
        <w:t>En 2018, Les Classiques des sciences sociales fêteront leur 25</w:t>
      </w:r>
      <w:r w:rsidRPr="00622FDA">
        <w:rPr>
          <w:vertAlign w:val="superscript"/>
        </w:rPr>
        <w:t>e</w:t>
      </w:r>
      <w:r>
        <w:t xml:space="preserve"> ann</w:t>
      </w:r>
      <w:r>
        <w:t>i</w:t>
      </w:r>
      <w:r>
        <w:t>versaire de fo</w:t>
      </w:r>
      <w:r>
        <w:t>n</w:t>
      </w:r>
      <w:r>
        <w:t>dation. Une belle initiative citoyenne.</w:t>
      </w:r>
    </w:p>
    <w:p w:rsidR="005F113F" w:rsidRPr="00E07116" w:rsidRDefault="005F113F" w:rsidP="005F113F">
      <w:pPr>
        <w:widowControl w:val="0"/>
        <w:autoSpaceDE w:val="0"/>
        <w:autoSpaceDN w:val="0"/>
        <w:adjustRightInd w:val="0"/>
        <w:rPr>
          <w:szCs w:val="32"/>
        </w:rPr>
      </w:pPr>
      <w:r w:rsidRPr="00E07116">
        <w:br w:type="page"/>
      </w:r>
    </w:p>
    <w:p w:rsidR="005F113F" w:rsidRPr="00412C2C" w:rsidRDefault="005F113F">
      <w:pPr>
        <w:widowControl w:val="0"/>
        <w:autoSpaceDE w:val="0"/>
        <w:autoSpaceDN w:val="0"/>
        <w:adjustRightInd w:val="0"/>
        <w:jc w:val="center"/>
        <w:rPr>
          <w:color w:val="008B00"/>
          <w:sz w:val="48"/>
          <w:szCs w:val="36"/>
        </w:rPr>
      </w:pPr>
      <w:r w:rsidRPr="00412C2C">
        <w:rPr>
          <w:color w:val="008B00"/>
          <w:sz w:val="48"/>
          <w:szCs w:val="36"/>
        </w:rPr>
        <w:t>Politique d'utilisation</w:t>
      </w:r>
      <w:r w:rsidRPr="00412C2C">
        <w:rPr>
          <w:color w:val="008B00"/>
          <w:sz w:val="48"/>
          <w:szCs w:val="36"/>
        </w:rPr>
        <w:br/>
        <w:t>de la bibliothèque des Classiques</w:t>
      </w:r>
    </w:p>
    <w:p w:rsidR="005F113F" w:rsidRPr="00E07116" w:rsidRDefault="005F113F">
      <w:pPr>
        <w:widowControl w:val="0"/>
        <w:autoSpaceDE w:val="0"/>
        <w:autoSpaceDN w:val="0"/>
        <w:adjustRightInd w:val="0"/>
        <w:rPr>
          <w:szCs w:val="32"/>
        </w:rPr>
      </w:pPr>
    </w:p>
    <w:p w:rsidR="005F113F" w:rsidRPr="00E07116" w:rsidRDefault="005F113F">
      <w:pPr>
        <w:widowControl w:val="0"/>
        <w:autoSpaceDE w:val="0"/>
        <w:autoSpaceDN w:val="0"/>
        <w:adjustRightInd w:val="0"/>
        <w:jc w:val="both"/>
        <w:rPr>
          <w:color w:val="1C1C1C"/>
          <w:szCs w:val="26"/>
        </w:rPr>
      </w:pPr>
    </w:p>
    <w:p w:rsidR="005F113F" w:rsidRPr="00E07116" w:rsidRDefault="005F113F">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5F113F" w:rsidRPr="00E07116" w:rsidRDefault="005F113F">
      <w:pPr>
        <w:widowControl w:val="0"/>
        <w:autoSpaceDE w:val="0"/>
        <w:autoSpaceDN w:val="0"/>
        <w:adjustRightInd w:val="0"/>
        <w:jc w:val="both"/>
        <w:rPr>
          <w:color w:val="1C1C1C"/>
          <w:szCs w:val="26"/>
        </w:rPr>
      </w:pPr>
    </w:p>
    <w:p w:rsidR="005F113F" w:rsidRPr="00E07116" w:rsidRDefault="005F113F" w:rsidP="005F113F">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5F113F" w:rsidRPr="00E07116" w:rsidRDefault="005F113F" w:rsidP="005F113F">
      <w:pPr>
        <w:widowControl w:val="0"/>
        <w:autoSpaceDE w:val="0"/>
        <w:autoSpaceDN w:val="0"/>
        <w:adjustRightInd w:val="0"/>
        <w:jc w:val="both"/>
        <w:rPr>
          <w:color w:val="1C1C1C"/>
          <w:szCs w:val="26"/>
        </w:rPr>
      </w:pPr>
    </w:p>
    <w:p w:rsidR="005F113F" w:rsidRPr="00E07116" w:rsidRDefault="005F113F" w:rsidP="005F113F">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5F113F" w:rsidRPr="00E07116" w:rsidRDefault="005F113F" w:rsidP="005F113F">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5F113F" w:rsidRPr="00E07116" w:rsidRDefault="005F113F" w:rsidP="005F113F">
      <w:pPr>
        <w:widowControl w:val="0"/>
        <w:autoSpaceDE w:val="0"/>
        <w:autoSpaceDN w:val="0"/>
        <w:adjustRightInd w:val="0"/>
        <w:jc w:val="both"/>
        <w:rPr>
          <w:color w:val="1C1C1C"/>
          <w:szCs w:val="26"/>
        </w:rPr>
      </w:pPr>
    </w:p>
    <w:p w:rsidR="005F113F" w:rsidRPr="00E07116" w:rsidRDefault="005F113F">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5F113F" w:rsidRPr="00E07116" w:rsidRDefault="005F113F">
      <w:pPr>
        <w:widowControl w:val="0"/>
        <w:autoSpaceDE w:val="0"/>
        <w:autoSpaceDN w:val="0"/>
        <w:adjustRightInd w:val="0"/>
        <w:jc w:val="both"/>
        <w:rPr>
          <w:color w:val="1C1C1C"/>
          <w:szCs w:val="26"/>
        </w:rPr>
      </w:pPr>
    </w:p>
    <w:p w:rsidR="005F113F" w:rsidRPr="00E07116" w:rsidRDefault="005F113F">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5F113F" w:rsidRPr="00E07116" w:rsidRDefault="005F113F">
      <w:pPr>
        <w:rPr>
          <w:b/>
          <w:color w:val="1C1C1C"/>
          <w:szCs w:val="26"/>
        </w:rPr>
      </w:pPr>
    </w:p>
    <w:p w:rsidR="005F113F" w:rsidRPr="00E07116" w:rsidRDefault="005F113F">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5F113F" w:rsidRPr="00E07116" w:rsidRDefault="005F113F">
      <w:pPr>
        <w:rPr>
          <w:b/>
          <w:color w:val="1C1C1C"/>
          <w:szCs w:val="26"/>
        </w:rPr>
      </w:pPr>
    </w:p>
    <w:p w:rsidR="005F113F" w:rsidRPr="00E07116" w:rsidRDefault="005F113F">
      <w:pPr>
        <w:rPr>
          <w:color w:val="1C1C1C"/>
          <w:szCs w:val="26"/>
        </w:rPr>
      </w:pPr>
      <w:r w:rsidRPr="00E07116">
        <w:rPr>
          <w:color w:val="1C1C1C"/>
          <w:szCs w:val="26"/>
        </w:rPr>
        <w:t>Jean-Marie Tremblay, sociologue</w:t>
      </w:r>
    </w:p>
    <w:p w:rsidR="005F113F" w:rsidRPr="00E07116" w:rsidRDefault="005F113F">
      <w:pPr>
        <w:rPr>
          <w:color w:val="1C1C1C"/>
          <w:szCs w:val="26"/>
        </w:rPr>
      </w:pPr>
      <w:r w:rsidRPr="00E07116">
        <w:rPr>
          <w:color w:val="1C1C1C"/>
          <w:szCs w:val="26"/>
        </w:rPr>
        <w:t>Fondateur et Président-directeur général,</w:t>
      </w:r>
    </w:p>
    <w:p w:rsidR="005F113F" w:rsidRPr="00E07116" w:rsidRDefault="005F113F">
      <w:pPr>
        <w:rPr>
          <w:color w:val="000080"/>
        </w:rPr>
      </w:pPr>
      <w:r w:rsidRPr="00E07116">
        <w:rPr>
          <w:color w:val="000080"/>
          <w:szCs w:val="26"/>
        </w:rPr>
        <w:t>LES CLASSIQUES DES SCIENCES SOCIALES.</w:t>
      </w:r>
    </w:p>
    <w:p w:rsidR="005F113F" w:rsidRPr="00CF4C8E" w:rsidRDefault="005F113F" w:rsidP="005F113F">
      <w:pPr>
        <w:ind w:firstLine="0"/>
        <w:jc w:val="both"/>
        <w:rPr>
          <w:sz w:val="24"/>
          <w:lang w:bidi="ar-SA"/>
        </w:rPr>
      </w:pPr>
      <w:r w:rsidRPr="00E07116">
        <w:br w:type="page"/>
      </w:r>
      <w:r w:rsidRPr="00CF4C8E">
        <w:rPr>
          <w:sz w:val="24"/>
          <w:lang w:bidi="ar-SA"/>
        </w:rPr>
        <w:lastRenderedPageBreak/>
        <w:t>Un document produit en version numérique par Jean-Marie Tremblay, bénévole, professeur ass</w:t>
      </w:r>
      <w:r w:rsidRPr="00CF4C8E">
        <w:rPr>
          <w:sz w:val="24"/>
          <w:lang w:bidi="ar-SA"/>
        </w:rPr>
        <w:t>o</w:t>
      </w:r>
      <w:r w:rsidRPr="00CF4C8E">
        <w:rPr>
          <w:sz w:val="24"/>
          <w:lang w:bidi="ar-SA"/>
        </w:rPr>
        <w:t>cié, Université du Québec à Chicoutimi</w:t>
      </w:r>
    </w:p>
    <w:p w:rsidR="005F113F" w:rsidRPr="00CF4C8E" w:rsidRDefault="005F113F" w:rsidP="005F113F">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p>
    <w:p w:rsidR="005F113F" w:rsidRPr="00CF4C8E" w:rsidRDefault="005F113F" w:rsidP="005F113F">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5F113F" w:rsidRPr="00CF4C8E" w:rsidRDefault="005F113F" w:rsidP="005F113F">
      <w:pPr>
        <w:ind w:left="20" w:hanging="20"/>
        <w:jc w:val="both"/>
        <w:rPr>
          <w:sz w:val="24"/>
        </w:rPr>
      </w:pPr>
      <w:r w:rsidRPr="00CF4C8E">
        <w:rPr>
          <w:sz w:val="24"/>
        </w:rPr>
        <w:t>à partir du texte de :</w:t>
      </w:r>
    </w:p>
    <w:p w:rsidR="005F113F" w:rsidRPr="00384B20" w:rsidRDefault="005F113F" w:rsidP="005F113F">
      <w:pPr>
        <w:ind w:firstLine="0"/>
        <w:jc w:val="both"/>
        <w:rPr>
          <w:sz w:val="24"/>
        </w:rPr>
      </w:pPr>
    </w:p>
    <w:p w:rsidR="005F113F" w:rsidRDefault="005F113F" w:rsidP="005F113F">
      <w:pPr>
        <w:ind w:left="20" w:firstLine="340"/>
        <w:jc w:val="both"/>
      </w:pPr>
      <w:r>
        <w:t>Denise HELLY, Ahmed-Mahdi BENMOUSSA et Samuel B</w:t>
      </w:r>
      <w:r>
        <w:t>A</w:t>
      </w:r>
      <w:r>
        <w:t>CHAND</w:t>
      </w:r>
    </w:p>
    <w:p w:rsidR="005F113F" w:rsidRPr="00E07116" w:rsidRDefault="005F113F" w:rsidP="005F113F">
      <w:pPr>
        <w:ind w:left="20" w:firstLine="340"/>
        <w:jc w:val="both"/>
      </w:pPr>
    </w:p>
    <w:p w:rsidR="005F113F" w:rsidRPr="007317AC" w:rsidRDefault="005F113F" w:rsidP="005F113F">
      <w:pPr>
        <w:jc w:val="both"/>
        <w:rPr>
          <w:b/>
          <w:color w:val="000080"/>
        </w:rPr>
      </w:pPr>
      <w:r w:rsidRPr="004B7FCF">
        <w:rPr>
          <w:b/>
          <w:color w:val="000080"/>
        </w:rPr>
        <w:t>“À la recherche d’une définition pragmatique de la haine.”</w:t>
      </w:r>
    </w:p>
    <w:p w:rsidR="005F113F" w:rsidRPr="00E07116" w:rsidRDefault="005F113F" w:rsidP="005F113F">
      <w:pPr>
        <w:jc w:val="both"/>
      </w:pPr>
    </w:p>
    <w:p w:rsidR="005F113F" w:rsidRPr="00E07116" w:rsidRDefault="005F113F" w:rsidP="005F113F">
      <w:pPr>
        <w:jc w:val="both"/>
      </w:pPr>
    </w:p>
    <w:p w:rsidR="005F113F" w:rsidRPr="004B7FCF" w:rsidRDefault="005F113F" w:rsidP="005F113F">
      <w:pPr>
        <w:jc w:val="both"/>
      </w:pPr>
      <w:r w:rsidRPr="007317AC">
        <w:t xml:space="preserve">In </w:t>
      </w:r>
      <w:r>
        <w:rPr>
          <w:b/>
          <w:i/>
        </w:rPr>
        <w:t>La revue du Barreau du Québec</w:t>
      </w:r>
      <w:r>
        <w:t>, automne 2018, tome 77, pp. 427-467.</w:t>
      </w:r>
    </w:p>
    <w:p w:rsidR="005F113F" w:rsidRPr="00384B20" w:rsidRDefault="005F113F" w:rsidP="005F113F">
      <w:pPr>
        <w:jc w:val="both"/>
        <w:rPr>
          <w:sz w:val="24"/>
        </w:rPr>
      </w:pPr>
    </w:p>
    <w:p w:rsidR="005F113F" w:rsidRPr="00384B20" w:rsidRDefault="005F113F" w:rsidP="005F113F">
      <w:pPr>
        <w:jc w:val="both"/>
        <w:rPr>
          <w:sz w:val="24"/>
        </w:rPr>
      </w:pPr>
    </w:p>
    <w:p w:rsidR="005F113F" w:rsidRPr="00EE56A6" w:rsidRDefault="005F113F" w:rsidP="005F113F">
      <w:pPr>
        <w:rPr>
          <w:sz w:val="24"/>
        </w:rPr>
      </w:pPr>
      <w:r w:rsidRPr="00EE56A6">
        <w:rPr>
          <w:sz w:val="24"/>
        </w:rPr>
        <w:t xml:space="preserve">[Autorisation formelle accordée le </w:t>
      </w:r>
      <w:r>
        <w:rPr>
          <w:sz w:val="24"/>
        </w:rPr>
        <w:t>19 novembre 2019</w:t>
      </w:r>
      <w:r w:rsidRPr="00EE56A6">
        <w:rPr>
          <w:sz w:val="24"/>
        </w:rPr>
        <w:t xml:space="preserve"> par l’auteure de diffuser ce </w:t>
      </w:r>
      <w:r>
        <w:rPr>
          <w:sz w:val="24"/>
        </w:rPr>
        <w:t>texte en libre a</w:t>
      </w:r>
      <w:r>
        <w:rPr>
          <w:sz w:val="24"/>
        </w:rPr>
        <w:t>c</w:t>
      </w:r>
      <w:r>
        <w:rPr>
          <w:sz w:val="24"/>
        </w:rPr>
        <w:t>cès à tous</w:t>
      </w:r>
      <w:r w:rsidRPr="00EE56A6">
        <w:rPr>
          <w:sz w:val="24"/>
        </w:rPr>
        <w:t xml:space="preserve"> dans Les Classiques des sciences sociales.]</w:t>
      </w:r>
    </w:p>
    <w:p w:rsidR="005F113F" w:rsidRPr="00384B20" w:rsidRDefault="005F113F" w:rsidP="005F113F">
      <w:pPr>
        <w:jc w:val="both"/>
        <w:rPr>
          <w:sz w:val="24"/>
        </w:rPr>
      </w:pPr>
    </w:p>
    <w:p w:rsidR="005F113F" w:rsidRPr="00EE56A6" w:rsidRDefault="00BF2B3D" w:rsidP="005F113F">
      <w:pPr>
        <w:ind w:firstLine="0"/>
        <w:jc w:val="both"/>
        <w:rPr>
          <w:sz w:val="24"/>
        </w:rPr>
      </w:pPr>
      <w:r w:rsidRPr="00EE56A6">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5F113F" w:rsidRPr="00EE56A6">
        <w:rPr>
          <w:sz w:val="24"/>
        </w:rPr>
        <w:t xml:space="preserve">  Courriel : </w:t>
      </w:r>
      <w:hyperlink r:id="rId15" w:history="1">
        <w:r w:rsidR="005F113F" w:rsidRPr="00EE56A6">
          <w:rPr>
            <w:rStyle w:val="Lienhypertexte"/>
            <w:sz w:val="24"/>
          </w:rPr>
          <w:t>Denise_Helly@UCS.INRS.Ca</w:t>
        </w:r>
      </w:hyperlink>
      <w:r w:rsidR="005F113F" w:rsidRPr="00EE56A6">
        <w:rPr>
          <w:sz w:val="24"/>
        </w:rPr>
        <w:t xml:space="preserve"> </w:t>
      </w:r>
    </w:p>
    <w:p w:rsidR="005F113F" w:rsidRPr="00384B20" w:rsidRDefault="005F113F" w:rsidP="005F113F">
      <w:pPr>
        <w:ind w:left="20"/>
        <w:jc w:val="both"/>
        <w:rPr>
          <w:sz w:val="24"/>
        </w:rPr>
      </w:pPr>
    </w:p>
    <w:p w:rsidR="005F113F" w:rsidRPr="00384B20" w:rsidRDefault="005F113F">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5F113F" w:rsidRPr="00384B20" w:rsidRDefault="005F113F">
      <w:pPr>
        <w:ind w:right="1800" w:firstLine="0"/>
        <w:jc w:val="both"/>
        <w:rPr>
          <w:sz w:val="24"/>
        </w:rPr>
      </w:pPr>
    </w:p>
    <w:p w:rsidR="005F113F" w:rsidRPr="00384B20" w:rsidRDefault="005F113F" w:rsidP="005F113F">
      <w:pPr>
        <w:ind w:left="360" w:right="360" w:firstLine="0"/>
        <w:jc w:val="both"/>
        <w:rPr>
          <w:sz w:val="24"/>
        </w:rPr>
      </w:pPr>
      <w:r w:rsidRPr="00384B20">
        <w:rPr>
          <w:sz w:val="24"/>
        </w:rPr>
        <w:t>Pour le texte: Times New Roman, 14 points.</w:t>
      </w:r>
    </w:p>
    <w:p w:rsidR="005F113F" w:rsidRPr="00384B20" w:rsidRDefault="005F113F" w:rsidP="005F113F">
      <w:pPr>
        <w:ind w:left="360" w:right="360" w:firstLine="0"/>
        <w:jc w:val="both"/>
        <w:rPr>
          <w:sz w:val="24"/>
        </w:rPr>
      </w:pPr>
      <w:r w:rsidRPr="00384B20">
        <w:rPr>
          <w:sz w:val="24"/>
        </w:rPr>
        <w:t>Pour les notes de bas de page : Times New Roman, 12 points.</w:t>
      </w:r>
    </w:p>
    <w:p w:rsidR="005F113F" w:rsidRPr="00384B20" w:rsidRDefault="005F113F">
      <w:pPr>
        <w:ind w:left="360" w:right="1800" w:firstLine="0"/>
        <w:jc w:val="both"/>
        <w:rPr>
          <w:sz w:val="24"/>
        </w:rPr>
      </w:pPr>
    </w:p>
    <w:p w:rsidR="005F113F" w:rsidRPr="00384B20" w:rsidRDefault="005F113F">
      <w:pPr>
        <w:ind w:right="360" w:firstLine="0"/>
        <w:jc w:val="both"/>
        <w:rPr>
          <w:sz w:val="24"/>
        </w:rPr>
      </w:pPr>
      <w:r w:rsidRPr="00384B20">
        <w:rPr>
          <w:sz w:val="24"/>
        </w:rPr>
        <w:t>Édition électronique réalisée avec le traitement de textes Microsoft Word 2008 pour Maci</w:t>
      </w:r>
      <w:r w:rsidRPr="00384B20">
        <w:rPr>
          <w:sz w:val="24"/>
        </w:rPr>
        <w:t>n</w:t>
      </w:r>
      <w:r w:rsidRPr="00384B20">
        <w:rPr>
          <w:sz w:val="24"/>
        </w:rPr>
        <w:t>tosh.</w:t>
      </w:r>
    </w:p>
    <w:p w:rsidR="005F113F" w:rsidRPr="00384B20" w:rsidRDefault="005F113F">
      <w:pPr>
        <w:ind w:right="1800" w:firstLine="0"/>
        <w:jc w:val="both"/>
        <w:rPr>
          <w:sz w:val="24"/>
        </w:rPr>
      </w:pPr>
    </w:p>
    <w:p w:rsidR="005F113F" w:rsidRPr="00384B20" w:rsidRDefault="005F113F" w:rsidP="005F113F">
      <w:pPr>
        <w:ind w:right="540" w:firstLine="0"/>
        <w:jc w:val="both"/>
        <w:rPr>
          <w:sz w:val="24"/>
        </w:rPr>
      </w:pPr>
      <w:r w:rsidRPr="00384B20">
        <w:rPr>
          <w:sz w:val="24"/>
        </w:rPr>
        <w:t>Mise en page sur papier format : LETTRE US, 8.5’’ x 11’’.</w:t>
      </w:r>
    </w:p>
    <w:p w:rsidR="005F113F" w:rsidRPr="00384B20" w:rsidRDefault="005F113F">
      <w:pPr>
        <w:ind w:right="1800" w:firstLine="0"/>
        <w:jc w:val="both"/>
        <w:rPr>
          <w:sz w:val="24"/>
        </w:rPr>
      </w:pPr>
    </w:p>
    <w:p w:rsidR="005F113F" w:rsidRPr="00384B20" w:rsidRDefault="005F113F" w:rsidP="005F113F">
      <w:pPr>
        <w:ind w:firstLine="0"/>
        <w:jc w:val="both"/>
        <w:rPr>
          <w:sz w:val="24"/>
        </w:rPr>
      </w:pPr>
      <w:r w:rsidRPr="00384B20">
        <w:rPr>
          <w:sz w:val="24"/>
        </w:rPr>
        <w:t>Édition numérique réalisée le</w:t>
      </w:r>
      <w:r>
        <w:rPr>
          <w:sz w:val="24"/>
        </w:rPr>
        <w:t xml:space="preserve"> 3 septembre 2020 à Chicoutimi</w:t>
      </w:r>
      <w:r w:rsidRPr="00384B20">
        <w:rPr>
          <w:sz w:val="24"/>
        </w:rPr>
        <w:t>, Québec.</w:t>
      </w:r>
    </w:p>
    <w:p w:rsidR="005F113F" w:rsidRPr="00384B20" w:rsidRDefault="005F113F">
      <w:pPr>
        <w:ind w:right="1800" w:firstLine="0"/>
        <w:jc w:val="both"/>
        <w:rPr>
          <w:sz w:val="24"/>
        </w:rPr>
      </w:pPr>
    </w:p>
    <w:p w:rsidR="005F113F" w:rsidRPr="00E07116" w:rsidRDefault="00BF2B3D">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5F113F" w:rsidRDefault="005F113F" w:rsidP="005F113F">
      <w:pPr>
        <w:ind w:left="20"/>
        <w:jc w:val="both"/>
      </w:pPr>
      <w:r w:rsidRPr="00E07116">
        <w:br w:type="page"/>
      </w:r>
    </w:p>
    <w:p w:rsidR="005F113F" w:rsidRPr="00E07116" w:rsidRDefault="005F113F" w:rsidP="005F113F">
      <w:pPr>
        <w:ind w:left="20"/>
        <w:jc w:val="both"/>
      </w:pPr>
    </w:p>
    <w:p w:rsidR="005F113F" w:rsidRPr="004B7FCF" w:rsidRDefault="005F113F" w:rsidP="005F113F">
      <w:pPr>
        <w:ind w:firstLine="0"/>
        <w:jc w:val="center"/>
        <w:rPr>
          <w:b/>
        </w:rPr>
      </w:pPr>
      <w:r w:rsidRPr="004B7FCF">
        <w:t>Denise HELLY, Ahm</w:t>
      </w:r>
      <w:r>
        <w:t>ed-Mahdi BENMOUSSA</w:t>
      </w:r>
      <w:r>
        <w:br/>
      </w:r>
      <w:r w:rsidRPr="004B7FCF">
        <w:t>et Samuel B</w:t>
      </w:r>
      <w:r w:rsidRPr="004B7FCF">
        <w:t>A</w:t>
      </w:r>
      <w:r w:rsidRPr="004B7FCF">
        <w:t>CHAND</w:t>
      </w:r>
    </w:p>
    <w:p w:rsidR="005F113F" w:rsidRPr="00E07116" w:rsidRDefault="005F113F" w:rsidP="005F113F">
      <w:pPr>
        <w:ind w:firstLine="0"/>
        <w:jc w:val="center"/>
      </w:pPr>
    </w:p>
    <w:p w:rsidR="005F113F" w:rsidRPr="00412C2C" w:rsidRDefault="005F113F" w:rsidP="005F113F">
      <w:pPr>
        <w:ind w:firstLine="0"/>
        <w:jc w:val="center"/>
        <w:rPr>
          <w:color w:val="000080"/>
          <w:sz w:val="36"/>
        </w:rPr>
      </w:pPr>
      <w:r w:rsidRPr="004B7FCF">
        <w:rPr>
          <w:color w:val="000080"/>
          <w:sz w:val="36"/>
        </w:rPr>
        <w:t>“À la recherche d’une définition pragmatique</w:t>
      </w:r>
      <w:r>
        <w:rPr>
          <w:color w:val="000080"/>
          <w:sz w:val="36"/>
        </w:rPr>
        <w:br/>
      </w:r>
      <w:r w:rsidRPr="004B7FCF">
        <w:rPr>
          <w:color w:val="000080"/>
          <w:sz w:val="36"/>
        </w:rPr>
        <w:t>de la haine.”</w:t>
      </w:r>
    </w:p>
    <w:p w:rsidR="005F113F" w:rsidRPr="00E07116" w:rsidRDefault="005F113F" w:rsidP="005F113F">
      <w:pPr>
        <w:ind w:firstLine="0"/>
        <w:jc w:val="center"/>
      </w:pPr>
    </w:p>
    <w:p w:rsidR="005F113F" w:rsidRPr="00E07116" w:rsidRDefault="00BF2B3D" w:rsidP="005F113F">
      <w:pPr>
        <w:ind w:firstLine="0"/>
        <w:jc w:val="center"/>
      </w:pPr>
      <w:r>
        <w:rPr>
          <w:noProof/>
        </w:rPr>
        <w:drawing>
          <wp:inline distT="0" distB="0" distL="0" distR="0">
            <wp:extent cx="3340100" cy="4978400"/>
            <wp:effectExtent l="25400" t="25400" r="12700" b="12700"/>
            <wp:docPr id="5" name="Image 5" descr="Revue_du_Barreau_du_Qc_tome_77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vue_du_Barreau_du_Qc_tome_77_L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0100" cy="4978400"/>
                    </a:xfrm>
                    <a:prstGeom prst="rect">
                      <a:avLst/>
                    </a:prstGeom>
                    <a:noFill/>
                    <a:ln w="19050" cmpd="sng">
                      <a:solidFill>
                        <a:srgbClr val="000000"/>
                      </a:solidFill>
                      <a:miter lim="800000"/>
                      <a:headEnd/>
                      <a:tailEnd/>
                    </a:ln>
                    <a:effectLst/>
                  </pic:spPr>
                </pic:pic>
              </a:graphicData>
            </a:graphic>
          </wp:inline>
        </w:drawing>
      </w:r>
    </w:p>
    <w:p w:rsidR="005F113F" w:rsidRPr="00E07116" w:rsidRDefault="005F113F" w:rsidP="005F113F">
      <w:pPr>
        <w:jc w:val="both"/>
      </w:pPr>
    </w:p>
    <w:p w:rsidR="005F113F" w:rsidRDefault="005F113F">
      <w:pPr>
        <w:jc w:val="both"/>
        <w:rPr>
          <w:sz w:val="24"/>
        </w:rPr>
      </w:pPr>
      <w:r w:rsidRPr="007317AC">
        <w:t xml:space="preserve">In </w:t>
      </w:r>
      <w:r>
        <w:rPr>
          <w:b/>
          <w:i/>
        </w:rPr>
        <w:t>La revue du Barreau du Québec</w:t>
      </w:r>
      <w:r>
        <w:t>, automne 2018, tome 77, pp. 427-467.</w:t>
      </w:r>
    </w:p>
    <w:p w:rsidR="005F113F" w:rsidRPr="00E07116" w:rsidRDefault="005F113F" w:rsidP="005F113F">
      <w:pPr>
        <w:pStyle w:val="p"/>
      </w:pPr>
      <w:r w:rsidRPr="00E07116">
        <w:br w:type="page"/>
      </w:r>
      <w:r w:rsidRPr="00E07116">
        <w:lastRenderedPageBreak/>
        <w:t>[</w:t>
      </w:r>
      <w:r>
        <w:t>427</w:t>
      </w:r>
      <w:r w:rsidRPr="00E07116">
        <w:t>]</w:t>
      </w:r>
    </w:p>
    <w:p w:rsidR="005F113F" w:rsidRPr="00E07116" w:rsidRDefault="005F113F" w:rsidP="005F113F">
      <w:pPr>
        <w:jc w:val="both"/>
      </w:pPr>
    </w:p>
    <w:p w:rsidR="005F113F" w:rsidRPr="00E07116" w:rsidRDefault="005F113F" w:rsidP="005F113F">
      <w:pPr>
        <w:ind w:left="20"/>
        <w:jc w:val="both"/>
      </w:pPr>
    </w:p>
    <w:p w:rsidR="005F113F" w:rsidRDefault="005F113F" w:rsidP="005F113F">
      <w:pPr>
        <w:ind w:firstLine="0"/>
        <w:jc w:val="center"/>
      </w:pPr>
      <w:r w:rsidRPr="004B7FCF">
        <w:t>Denise HELLY</w:t>
      </w:r>
      <w:r>
        <w:t> </w:t>
      </w:r>
      <w:r>
        <w:rPr>
          <w:rStyle w:val="Appelnotedebasdep"/>
        </w:rPr>
        <w:footnoteReference w:customMarkFollows="1" w:id="1"/>
        <w:t>*</w:t>
      </w:r>
      <w:r w:rsidRPr="004B7FCF">
        <w:t>, Ahm</w:t>
      </w:r>
      <w:r>
        <w:t>ed-Mahdi BENMOUSSA </w:t>
      </w:r>
      <w:r>
        <w:rPr>
          <w:rStyle w:val="Appelnotedebasdep"/>
        </w:rPr>
        <w:footnoteReference w:customMarkFollows="1" w:id="2"/>
        <w:t>**</w:t>
      </w:r>
      <w:r>
        <w:br/>
      </w:r>
      <w:r w:rsidRPr="004B7FCF">
        <w:t>et Samuel B</w:t>
      </w:r>
      <w:r w:rsidRPr="004B7FCF">
        <w:t>A</w:t>
      </w:r>
      <w:r w:rsidRPr="004B7FCF">
        <w:t>CHAND</w:t>
      </w:r>
      <w:r>
        <w:t> </w:t>
      </w:r>
      <w:r>
        <w:rPr>
          <w:rStyle w:val="Appelnotedebasdep"/>
        </w:rPr>
        <w:footnoteReference w:customMarkFollows="1" w:id="3"/>
        <w:t>***</w:t>
      </w:r>
    </w:p>
    <w:p w:rsidR="005F113F" w:rsidRPr="00E07116" w:rsidRDefault="005F113F" w:rsidP="005F113F">
      <w:pPr>
        <w:ind w:firstLine="0"/>
        <w:jc w:val="center"/>
      </w:pPr>
    </w:p>
    <w:p w:rsidR="005F113F" w:rsidRPr="00412C2C" w:rsidRDefault="005F113F" w:rsidP="005F113F">
      <w:pPr>
        <w:ind w:firstLine="0"/>
        <w:jc w:val="center"/>
        <w:rPr>
          <w:color w:val="000080"/>
          <w:sz w:val="36"/>
        </w:rPr>
      </w:pPr>
      <w:r w:rsidRPr="004B7FCF">
        <w:rPr>
          <w:color w:val="000080"/>
          <w:sz w:val="36"/>
        </w:rPr>
        <w:t>“À la recherche d’une définition pragmatique</w:t>
      </w:r>
      <w:r>
        <w:rPr>
          <w:color w:val="000080"/>
          <w:sz w:val="36"/>
        </w:rPr>
        <w:br/>
      </w:r>
      <w:r w:rsidRPr="004B7FCF">
        <w:rPr>
          <w:color w:val="000080"/>
          <w:sz w:val="36"/>
        </w:rPr>
        <w:t>de la haine.”</w:t>
      </w:r>
    </w:p>
    <w:p w:rsidR="005F113F" w:rsidRPr="00E07116" w:rsidRDefault="005F113F" w:rsidP="005F113F">
      <w:pPr>
        <w:ind w:firstLine="0"/>
        <w:jc w:val="center"/>
      </w:pPr>
    </w:p>
    <w:p w:rsidR="005F113F" w:rsidRPr="00E07116" w:rsidRDefault="005F113F" w:rsidP="005F113F">
      <w:pPr>
        <w:jc w:val="both"/>
      </w:pPr>
    </w:p>
    <w:p w:rsidR="005F113F" w:rsidRPr="00E07116" w:rsidRDefault="005F113F">
      <w:pPr>
        <w:jc w:val="both"/>
      </w:pPr>
      <w:r w:rsidRPr="007317AC">
        <w:t xml:space="preserve">In </w:t>
      </w:r>
      <w:r>
        <w:rPr>
          <w:b/>
          <w:i/>
        </w:rPr>
        <w:t>La revue du Barreau du Québec</w:t>
      </w:r>
      <w:r>
        <w:t>, automne 2018, tome 77, pp. 427-467.</w:t>
      </w:r>
    </w:p>
    <w:p w:rsidR="005F113F" w:rsidRDefault="005F113F">
      <w:pPr>
        <w:jc w:val="both"/>
      </w:pPr>
    </w:p>
    <w:p w:rsidR="005F113F" w:rsidRDefault="005F113F" w:rsidP="005F113F">
      <w:pPr>
        <w:spacing w:before="120" w:after="120"/>
        <w:jc w:val="both"/>
      </w:pPr>
    </w:p>
    <w:p w:rsidR="005F113F" w:rsidRDefault="005F113F" w:rsidP="005F113F">
      <w:pPr>
        <w:pStyle w:val="planche"/>
      </w:pPr>
      <w:bookmarkStart w:id="1" w:name="Definition_haine_resume"/>
      <w:r>
        <w:t>Résumé</w:t>
      </w:r>
    </w:p>
    <w:bookmarkEnd w:id="1"/>
    <w:p w:rsidR="005F113F" w:rsidRDefault="005F113F" w:rsidP="005F113F">
      <w:pPr>
        <w:spacing w:before="120" w:after="120"/>
        <w:jc w:val="both"/>
      </w:pPr>
    </w:p>
    <w:p w:rsidR="005F113F" w:rsidRPr="00384B20" w:rsidRDefault="005F113F" w:rsidP="005F113F">
      <w:pPr>
        <w:ind w:right="90" w:firstLine="0"/>
        <w:jc w:val="both"/>
        <w:rPr>
          <w:sz w:val="20"/>
        </w:rPr>
      </w:pPr>
      <w:hyperlink w:anchor="tdm" w:history="1">
        <w:r w:rsidRPr="00384B20">
          <w:rPr>
            <w:rStyle w:val="Lienhypertexte"/>
            <w:sz w:val="20"/>
          </w:rPr>
          <w:t>Retour à la table des matières</w:t>
        </w:r>
      </w:hyperlink>
    </w:p>
    <w:p w:rsidR="005F113F" w:rsidRPr="006B209B" w:rsidRDefault="005F113F" w:rsidP="005F113F">
      <w:pPr>
        <w:spacing w:before="120" w:after="120"/>
        <w:jc w:val="both"/>
      </w:pPr>
      <w:r w:rsidRPr="006B209B">
        <w:rPr>
          <w:szCs w:val="22"/>
        </w:rPr>
        <w:t>Dans ce texte, les auteurs se proposent de pallier le silence des te</w:t>
      </w:r>
      <w:r w:rsidRPr="006B209B">
        <w:rPr>
          <w:szCs w:val="22"/>
        </w:rPr>
        <w:t>x</w:t>
      </w:r>
      <w:r w:rsidRPr="006B209B">
        <w:rPr>
          <w:szCs w:val="22"/>
        </w:rPr>
        <w:t>tes législatifs en établissant une d</w:t>
      </w:r>
      <w:r w:rsidRPr="006B209B">
        <w:rPr>
          <w:szCs w:val="22"/>
        </w:rPr>
        <w:t>é</w:t>
      </w:r>
      <w:r w:rsidRPr="006B209B">
        <w:rPr>
          <w:szCs w:val="22"/>
        </w:rPr>
        <w:t>finition de la haine qui est à la fois simple et co</w:t>
      </w:r>
      <w:r w:rsidRPr="006B209B">
        <w:rPr>
          <w:szCs w:val="22"/>
        </w:rPr>
        <w:t>m</w:t>
      </w:r>
      <w:r w:rsidRPr="006B209B">
        <w:rPr>
          <w:szCs w:val="22"/>
        </w:rPr>
        <w:t>mode, notamment afin d'en permettre une répression mieux ciblée. Dans cette optique, ils abordent certa</w:t>
      </w:r>
      <w:r w:rsidRPr="006B209B">
        <w:rPr>
          <w:szCs w:val="22"/>
        </w:rPr>
        <w:t>i</w:t>
      </w:r>
      <w:r w:rsidRPr="006B209B">
        <w:rPr>
          <w:szCs w:val="22"/>
        </w:rPr>
        <w:t>nes statistiques avant de procéder à l'analyse des diverses sanctions civiles, régleme</w:t>
      </w:r>
      <w:r w:rsidRPr="006B209B">
        <w:rPr>
          <w:szCs w:val="22"/>
        </w:rPr>
        <w:t>n</w:t>
      </w:r>
      <w:r w:rsidRPr="006B209B">
        <w:rPr>
          <w:szCs w:val="22"/>
        </w:rPr>
        <w:t>taires, pénales et criminelles applicables ainsi que leurs limites. Les auteurs tiennent également compte d'arrêts de la Cour suprême rendus en la matière. Ils en viennent à conclure que le critère du préjudice devrait être priv</w:t>
      </w:r>
      <w:r w:rsidRPr="006B209B">
        <w:rPr>
          <w:szCs w:val="22"/>
        </w:rPr>
        <w:t>i</w:t>
      </w:r>
      <w:r w:rsidRPr="006B209B">
        <w:rPr>
          <w:szCs w:val="22"/>
        </w:rPr>
        <w:t>légié pour définir les actes haineux en général.</w:t>
      </w:r>
    </w:p>
    <w:p w:rsidR="005F113F" w:rsidRDefault="005F113F" w:rsidP="005F113F">
      <w:pPr>
        <w:spacing w:before="120" w:after="120"/>
        <w:jc w:val="both"/>
        <w:rPr>
          <w:szCs w:val="2"/>
        </w:rPr>
      </w:pPr>
    </w:p>
    <w:p w:rsidR="005F113F" w:rsidRPr="006B209B" w:rsidRDefault="005F113F" w:rsidP="005F113F">
      <w:pPr>
        <w:spacing w:before="120" w:after="120"/>
        <w:jc w:val="both"/>
        <w:rPr>
          <w:szCs w:val="2"/>
        </w:rPr>
      </w:pPr>
      <w:r>
        <w:rPr>
          <w:szCs w:val="2"/>
        </w:rPr>
        <w:t>[428]</w:t>
      </w:r>
    </w:p>
    <w:p w:rsidR="005F113F" w:rsidRPr="00E07116" w:rsidRDefault="005F113F" w:rsidP="005F113F">
      <w:pPr>
        <w:pStyle w:val="p"/>
      </w:pPr>
      <w:r>
        <w:br w:type="page"/>
      </w:r>
      <w:r>
        <w:lastRenderedPageBreak/>
        <w:t>[429]</w:t>
      </w:r>
    </w:p>
    <w:p w:rsidR="005F113F" w:rsidRPr="00E07116" w:rsidRDefault="005F113F" w:rsidP="005F113F">
      <w:pPr>
        <w:jc w:val="both"/>
      </w:pPr>
    </w:p>
    <w:p w:rsidR="005F113F" w:rsidRPr="00E07116" w:rsidRDefault="005F113F" w:rsidP="005F113F">
      <w:pPr>
        <w:jc w:val="both"/>
      </w:pPr>
    </w:p>
    <w:p w:rsidR="005F113F" w:rsidRPr="00384B20" w:rsidRDefault="005F113F" w:rsidP="005F113F">
      <w:pPr>
        <w:pStyle w:val="planchest"/>
      </w:pPr>
      <w:bookmarkStart w:id="2" w:name="tdm"/>
      <w:r w:rsidRPr="00384B20">
        <w:t>Table des matières</w:t>
      </w:r>
      <w:bookmarkEnd w:id="2"/>
    </w:p>
    <w:p w:rsidR="005F113F" w:rsidRPr="00E07116" w:rsidRDefault="005F113F" w:rsidP="005F113F">
      <w:pPr>
        <w:ind w:firstLine="0"/>
      </w:pPr>
    </w:p>
    <w:p w:rsidR="005F113F" w:rsidRDefault="005F113F" w:rsidP="005F113F">
      <w:pPr>
        <w:ind w:firstLine="0"/>
      </w:pPr>
    </w:p>
    <w:p w:rsidR="005F113F" w:rsidRPr="004B7FCF" w:rsidRDefault="005F113F" w:rsidP="005F113F">
      <w:pPr>
        <w:ind w:firstLine="0"/>
        <w:rPr>
          <w:sz w:val="24"/>
        </w:rPr>
      </w:pPr>
      <w:hyperlink w:anchor="Definition_haine_resume" w:history="1">
        <w:r w:rsidRPr="00816A48">
          <w:rPr>
            <w:rStyle w:val="Lienhypertexte"/>
            <w:sz w:val="24"/>
          </w:rPr>
          <w:t>Résumé</w:t>
        </w:r>
      </w:hyperlink>
      <w:r w:rsidRPr="004B7FCF">
        <w:rPr>
          <w:sz w:val="24"/>
        </w:rPr>
        <w:t xml:space="preserve"> [427]</w:t>
      </w:r>
    </w:p>
    <w:p w:rsidR="005F113F" w:rsidRDefault="005F113F" w:rsidP="005F113F">
      <w:pPr>
        <w:spacing w:before="60" w:after="60"/>
        <w:ind w:left="360" w:hanging="360"/>
        <w:rPr>
          <w:sz w:val="24"/>
          <w:szCs w:val="22"/>
        </w:rPr>
      </w:pPr>
    </w:p>
    <w:p w:rsidR="005F113F" w:rsidRPr="008845F2" w:rsidRDefault="005F113F" w:rsidP="005F113F">
      <w:pPr>
        <w:spacing w:before="60" w:after="60"/>
        <w:ind w:left="360" w:hanging="360"/>
        <w:rPr>
          <w:sz w:val="24"/>
          <w:szCs w:val="22"/>
        </w:rPr>
      </w:pPr>
      <w:r w:rsidRPr="008845F2">
        <w:rPr>
          <w:sz w:val="24"/>
          <w:szCs w:val="22"/>
        </w:rPr>
        <w:t>1.</w:t>
      </w:r>
      <w:r w:rsidRPr="008845F2">
        <w:rPr>
          <w:sz w:val="24"/>
          <w:szCs w:val="22"/>
        </w:rPr>
        <w:tab/>
      </w:r>
      <w:hyperlink w:anchor="Definition_haine_1" w:history="1">
        <w:r w:rsidRPr="00816A48">
          <w:rPr>
            <w:rStyle w:val="Lienhypertexte"/>
            <w:sz w:val="24"/>
            <w:szCs w:val="22"/>
          </w:rPr>
          <w:t>Introduction</w:t>
        </w:r>
      </w:hyperlink>
      <w:r w:rsidRPr="008845F2">
        <w:rPr>
          <w:sz w:val="24"/>
          <w:szCs w:val="22"/>
        </w:rPr>
        <w:t xml:space="preserve"> [431]</w:t>
      </w:r>
    </w:p>
    <w:p w:rsidR="005F113F" w:rsidRPr="008845F2" w:rsidRDefault="005F113F" w:rsidP="005F113F">
      <w:pPr>
        <w:spacing w:before="60" w:after="60"/>
        <w:ind w:left="360" w:hanging="360"/>
        <w:rPr>
          <w:sz w:val="24"/>
          <w:szCs w:val="22"/>
        </w:rPr>
      </w:pPr>
      <w:r w:rsidRPr="008845F2">
        <w:rPr>
          <w:sz w:val="24"/>
          <w:szCs w:val="22"/>
        </w:rPr>
        <w:t>2.</w:t>
      </w:r>
      <w:r w:rsidRPr="008845F2">
        <w:rPr>
          <w:sz w:val="24"/>
          <w:szCs w:val="22"/>
        </w:rPr>
        <w:tab/>
      </w:r>
      <w:hyperlink w:anchor="Definition_haine_2" w:history="1">
        <w:r w:rsidRPr="00816A48">
          <w:rPr>
            <w:rStyle w:val="Lienhypertexte"/>
            <w:sz w:val="24"/>
            <w:szCs w:val="22"/>
          </w:rPr>
          <w:t>Statistiques</w:t>
        </w:r>
      </w:hyperlink>
      <w:r w:rsidRPr="008845F2">
        <w:rPr>
          <w:sz w:val="24"/>
          <w:szCs w:val="22"/>
        </w:rPr>
        <w:t xml:space="preserve"> [432]</w:t>
      </w:r>
    </w:p>
    <w:p w:rsidR="005F113F" w:rsidRPr="008845F2" w:rsidRDefault="005F113F" w:rsidP="005F113F">
      <w:pPr>
        <w:spacing w:before="60" w:after="60"/>
        <w:ind w:left="360" w:hanging="360"/>
        <w:rPr>
          <w:sz w:val="24"/>
          <w:szCs w:val="22"/>
        </w:rPr>
      </w:pPr>
      <w:r w:rsidRPr="008845F2">
        <w:rPr>
          <w:sz w:val="24"/>
          <w:szCs w:val="22"/>
        </w:rPr>
        <w:t>3.</w:t>
      </w:r>
      <w:r w:rsidRPr="008845F2">
        <w:rPr>
          <w:sz w:val="24"/>
          <w:szCs w:val="22"/>
        </w:rPr>
        <w:tab/>
      </w:r>
      <w:hyperlink w:anchor="Definition_haine_3" w:history="1">
        <w:r w:rsidRPr="00816A48">
          <w:rPr>
            <w:rStyle w:val="Lienhypertexte"/>
            <w:sz w:val="24"/>
            <w:szCs w:val="22"/>
          </w:rPr>
          <w:t>Régimes juridiques applicables</w:t>
        </w:r>
      </w:hyperlink>
      <w:r w:rsidRPr="008845F2">
        <w:rPr>
          <w:sz w:val="24"/>
          <w:szCs w:val="22"/>
        </w:rPr>
        <w:t xml:space="preserve"> [440]</w:t>
      </w:r>
    </w:p>
    <w:p w:rsidR="005F113F" w:rsidRPr="008845F2" w:rsidRDefault="005F113F" w:rsidP="005F113F">
      <w:pPr>
        <w:spacing w:before="60" w:after="60"/>
        <w:ind w:left="360" w:hanging="360"/>
        <w:rPr>
          <w:sz w:val="24"/>
          <w:szCs w:val="2"/>
        </w:rPr>
      </w:pPr>
    </w:p>
    <w:p w:rsidR="005F113F" w:rsidRPr="008845F2" w:rsidRDefault="005F113F" w:rsidP="005F113F">
      <w:pPr>
        <w:ind w:left="720" w:hanging="360"/>
        <w:rPr>
          <w:sz w:val="24"/>
          <w:szCs w:val="22"/>
        </w:rPr>
      </w:pPr>
      <w:r w:rsidRPr="008845F2">
        <w:rPr>
          <w:sz w:val="24"/>
          <w:szCs w:val="22"/>
        </w:rPr>
        <w:t>A.</w:t>
      </w:r>
      <w:r w:rsidRPr="008845F2">
        <w:rPr>
          <w:sz w:val="24"/>
          <w:szCs w:val="22"/>
        </w:rPr>
        <w:tab/>
      </w:r>
      <w:hyperlink w:anchor="Definition_haine_3_A" w:history="1">
        <w:r w:rsidRPr="00816A48">
          <w:rPr>
            <w:rStyle w:val="Lienhypertexte"/>
            <w:sz w:val="24"/>
            <w:szCs w:val="22"/>
          </w:rPr>
          <w:t>Sanctions civiles</w:t>
        </w:r>
      </w:hyperlink>
      <w:r w:rsidRPr="008845F2">
        <w:rPr>
          <w:sz w:val="24"/>
          <w:szCs w:val="22"/>
        </w:rPr>
        <w:t xml:space="preserve"> [442]</w:t>
      </w:r>
    </w:p>
    <w:p w:rsidR="005F113F" w:rsidRPr="008845F2" w:rsidRDefault="005F113F" w:rsidP="005F113F">
      <w:pPr>
        <w:ind w:left="720" w:hanging="360"/>
        <w:rPr>
          <w:sz w:val="24"/>
          <w:szCs w:val="22"/>
        </w:rPr>
      </w:pPr>
      <w:r w:rsidRPr="008845F2">
        <w:rPr>
          <w:sz w:val="24"/>
          <w:szCs w:val="22"/>
        </w:rPr>
        <w:t>B.</w:t>
      </w:r>
      <w:r w:rsidRPr="008845F2">
        <w:rPr>
          <w:sz w:val="24"/>
          <w:szCs w:val="22"/>
        </w:rPr>
        <w:tab/>
      </w:r>
      <w:hyperlink w:anchor="Definition_haine_3_B" w:history="1">
        <w:r w:rsidRPr="00816A48">
          <w:rPr>
            <w:rStyle w:val="Lienhypertexte"/>
            <w:sz w:val="24"/>
            <w:szCs w:val="22"/>
          </w:rPr>
          <w:t>Sanctions pénales et réglementaires</w:t>
        </w:r>
      </w:hyperlink>
      <w:r w:rsidRPr="008845F2">
        <w:rPr>
          <w:sz w:val="24"/>
          <w:szCs w:val="22"/>
        </w:rPr>
        <w:t xml:space="preserve"> [444]</w:t>
      </w:r>
    </w:p>
    <w:p w:rsidR="005F113F" w:rsidRPr="008845F2" w:rsidRDefault="005F113F" w:rsidP="005F113F">
      <w:pPr>
        <w:ind w:left="720" w:hanging="360"/>
        <w:rPr>
          <w:sz w:val="24"/>
          <w:szCs w:val="22"/>
        </w:rPr>
      </w:pPr>
      <w:r w:rsidRPr="008845F2">
        <w:rPr>
          <w:sz w:val="24"/>
          <w:szCs w:val="22"/>
        </w:rPr>
        <w:t>C.</w:t>
      </w:r>
      <w:r w:rsidRPr="008845F2">
        <w:rPr>
          <w:sz w:val="24"/>
          <w:szCs w:val="22"/>
        </w:rPr>
        <w:tab/>
      </w:r>
      <w:hyperlink w:anchor="Definition_haine_3_C" w:history="1">
        <w:r w:rsidRPr="00816A48">
          <w:rPr>
            <w:rStyle w:val="Lienhypertexte"/>
            <w:sz w:val="24"/>
            <w:szCs w:val="22"/>
          </w:rPr>
          <w:t>Sanctions criminelles</w:t>
        </w:r>
      </w:hyperlink>
      <w:r w:rsidRPr="008845F2">
        <w:rPr>
          <w:sz w:val="24"/>
          <w:szCs w:val="22"/>
        </w:rPr>
        <w:t xml:space="preserve"> [444]</w:t>
      </w:r>
    </w:p>
    <w:p w:rsidR="005F113F" w:rsidRPr="008845F2" w:rsidRDefault="005F113F" w:rsidP="005F113F">
      <w:pPr>
        <w:spacing w:before="60" w:after="60"/>
        <w:ind w:left="360" w:hanging="360"/>
        <w:rPr>
          <w:sz w:val="24"/>
          <w:szCs w:val="2"/>
        </w:rPr>
      </w:pPr>
    </w:p>
    <w:p w:rsidR="005F113F" w:rsidRPr="008845F2" w:rsidRDefault="005F113F" w:rsidP="005F113F">
      <w:pPr>
        <w:spacing w:before="60" w:after="60"/>
        <w:ind w:left="360" w:hanging="360"/>
        <w:rPr>
          <w:sz w:val="24"/>
          <w:szCs w:val="22"/>
        </w:rPr>
      </w:pPr>
      <w:r w:rsidRPr="008845F2">
        <w:rPr>
          <w:sz w:val="24"/>
          <w:szCs w:val="22"/>
        </w:rPr>
        <w:t>4.</w:t>
      </w:r>
      <w:r w:rsidRPr="008845F2">
        <w:rPr>
          <w:sz w:val="24"/>
          <w:szCs w:val="22"/>
        </w:rPr>
        <w:tab/>
      </w:r>
      <w:hyperlink w:anchor="Definition_haine_4" w:history="1">
        <w:r w:rsidRPr="00816A48">
          <w:rPr>
            <w:rStyle w:val="Lienhypertexte"/>
            <w:sz w:val="24"/>
            <w:szCs w:val="22"/>
          </w:rPr>
          <w:t>Cour suprême : la répression de la haine à l'épreuve des libertés fondament</w:t>
        </w:r>
        <w:r w:rsidRPr="00816A48">
          <w:rPr>
            <w:rStyle w:val="Lienhypertexte"/>
            <w:sz w:val="24"/>
            <w:szCs w:val="22"/>
          </w:rPr>
          <w:t>a</w:t>
        </w:r>
        <w:r w:rsidRPr="00816A48">
          <w:rPr>
            <w:rStyle w:val="Lienhypertexte"/>
            <w:sz w:val="24"/>
            <w:szCs w:val="22"/>
          </w:rPr>
          <w:t>les</w:t>
        </w:r>
      </w:hyperlink>
      <w:r>
        <w:rPr>
          <w:sz w:val="24"/>
          <w:szCs w:val="22"/>
        </w:rPr>
        <w:t xml:space="preserve"> [</w:t>
      </w:r>
      <w:r w:rsidRPr="008845F2">
        <w:rPr>
          <w:sz w:val="24"/>
          <w:szCs w:val="22"/>
        </w:rPr>
        <w:t>445</w:t>
      </w:r>
      <w:r>
        <w:rPr>
          <w:sz w:val="24"/>
          <w:szCs w:val="22"/>
        </w:rPr>
        <w:t>]</w:t>
      </w:r>
    </w:p>
    <w:p w:rsidR="005F113F" w:rsidRPr="008845F2" w:rsidRDefault="005F113F" w:rsidP="005F113F">
      <w:pPr>
        <w:spacing w:before="60" w:after="60"/>
        <w:ind w:left="360" w:hanging="360"/>
        <w:rPr>
          <w:sz w:val="24"/>
          <w:szCs w:val="22"/>
        </w:rPr>
      </w:pPr>
      <w:r w:rsidRPr="008845F2">
        <w:rPr>
          <w:sz w:val="24"/>
          <w:szCs w:val="22"/>
        </w:rPr>
        <w:t>5.</w:t>
      </w:r>
      <w:r w:rsidRPr="008845F2">
        <w:rPr>
          <w:sz w:val="24"/>
          <w:szCs w:val="22"/>
        </w:rPr>
        <w:tab/>
      </w:r>
      <w:hyperlink w:anchor="Definition_haine_5" w:history="1">
        <w:r w:rsidRPr="00816A48">
          <w:rPr>
            <w:rStyle w:val="Lienhypertexte"/>
            <w:sz w:val="24"/>
            <w:szCs w:val="22"/>
          </w:rPr>
          <w:t>Sommaire quant au droit applicable</w:t>
        </w:r>
      </w:hyperlink>
      <w:r>
        <w:rPr>
          <w:sz w:val="24"/>
          <w:szCs w:val="22"/>
        </w:rPr>
        <w:t xml:space="preserve"> [</w:t>
      </w:r>
      <w:r w:rsidRPr="008845F2">
        <w:rPr>
          <w:sz w:val="24"/>
          <w:szCs w:val="22"/>
        </w:rPr>
        <w:t>455</w:t>
      </w:r>
      <w:r>
        <w:rPr>
          <w:sz w:val="24"/>
          <w:szCs w:val="22"/>
        </w:rPr>
        <w:t>]</w:t>
      </w:r>
    </w:p>
    <w:p w:rsidR="005F113F" w:rsidRPr="008845F2" w:rsidRDefault="005F113F" w:rsidP="005F113F">
      <w:pPr>
        <w:spacing w:before="60" w:after="60"/>
        <w:ind w:left="360" w:hanging="360"/>
        <w:rPr>
          <w:sz w:val="24"/>
          <w:szCs w:val="22"/>
        </w:rPr>
      </w:pPr>
      <w:r w:rsidRPr="008845F2">
        <w:rPr>
          <w:sz w:val="24"/>
          <w:szCs w:val="22"/>
        </w:rPr>
        <w:t>6.</w:t>
      </w:r>
      <w:r w:rsidRPr="008845F2">
        <w:rPr>
          <w:sz w:val="24"/>
          <w:szCs w:val="22"/>
        </w:rPr>
        <w:tab/>
      </w:r>
      <w:hyperlink w:anchor="Definition_haine_6" w:history="1">
        <w:r w:rsidRPr="00816A48">
          <w:rPr>
            <w:rStyle w:val="Lienhypertexte"/>
            <w:sz w:val="24"/>
            <w:szCs w:val="22"/>
          </w:rPr>
          <w:t>Synthèse : une définition utile</w:t>
        </w:r>
      </w:hyperlink>
      <w:r>
        <w:rPr>
          <w:sz w:val="24"/>
          <w:szCs w:val="22"/>
        </w:rPr>
        <w:t xml:space="preserve"> [</w:t>
      </w:r>
      <w:r w:rsidRPr="008845F2">
        <w:rPr>
          <w:sz w:val="24"/>
          <w:szCs w:val="22"/>
        </w:rPr>
        <w:t>456</w:t>
      </w:r>
      <w:r>
        <w:rPr>
          <w:sz w:val="24"/>
          <w:szCs w:val="22"/>
        </w:rPr>
        <w:t>]</w:t>
      </w:r>
    </w:p>
    <w:p w:rsidR="005F113F" w:rsidRPr="008845F2" w:rsidRDefault="005F113F" w:rsidP="005F113F">
      <w:pPr>
        <w:spacing w:before="60" w:after="60"/>
        <w:ind w:left="360" w:hanging="360"/>
        <w:rPr>
          <w:sz w:val="24"/>
          <w:szCs w:val="22"/>
        </w:rPr>
      </w:pPr>
      <w:r w:rsidRPr="008845F2">
        <w:rPr>
          <w:sz w:val="24"/>
          <w:szCs w:val="22"/>
        </w:rPr>
        <w:t>7.</w:t>
      </w:r>
      <w:r w:rsidRPr="008845F2">
        <w:rPr>
          <w:sz w:val="24"/>
          <w:szCs w:val="22"/>
        </w:rPr>
        <w:tab/>
      </w:r>
      <w:hyperlink w:anchor="Definition_haine_7" w:history="1">
        <w:r w:rsidRPr="00816A48">
          <w:rPr>
            <w:rStyle w:val="Lienhypertexte"/>
            <w:sz w:val="24"/>
            <w:szCs w:val="22"/>
          </w:rPr>
          <w:t>Conclusion : les limites du droit</w:t>
        </w:r>
      </w:hyperlink>
      <w:r>
        <w:rPr>
          <w:sz w:val="24"/>
          <w:szCs w:val="22"/>
        </w:rPr>
        <w:t xml:space="preserve"> [</w:t>
      </w:r>
      <w:r w:rsidRPr="008845F2">
        <w:rPr>
          <w:sz w:val="24"/>
          <w:szCs w:val="22"/>
        </w:rPr>
        <w:t>458</w:t>
      </w:r>
      <w:r>
        <w:rPr>
          <w:sz w:val="24"/>
          <w:szCs w:val="22"/>
        </w:rPr>
        <w:t>]</w:t>
      </w:r>
    </w:p>
    <w:p w:rsidR="005F113F" w:rsidRPr="008845F2" w:rsidRDefault="005F113F" w:rsidP="005F113F">
      <w:pPr>
        <w:spacing w:before="60" w:after="60"/>
        <w:ind w:left="360" w:hanging="360"/>
        <w:rPr>
          <w:sz w:val="24"/>
        </w:rPr>
      </w:pPr>
      <w:r w:rsidRPr="008845F2">
        <w:rPr>
          <w:sz w:val="24"/>
          <w:szCs w:val="22"/>
        </w:rPr>
        <w:t>8.</w:t>
      </w:r>
      <w:r w:rsidRPr="008845F2">
        <w:rPr>
          <w:sz w:val="24"/>
          <w:szCs w:val="22"/>
        </w:rPr>
        <w:tab/>
      </w:r>
      <w:hyperlink w:anchor="Definition_haine_8" w:history="1">
        <w:r w:rsidRPr="00816A48">
          <w:rPr>
            <w:rStyle w:val="Lienhypertexte"/>
            <w:sz w:val="24"/>
            <w:szCs w:val="22"/>
          </w:rPr>
          <w:t>Références</w:t>
        </w:r>
      </w:hyperlink>
      <w:r>
        <w:rPr>
          <w:sz w:val="24"/>
          <w:szCs w:val="22"/>
        </w:rPr>
        <w:t xml:space="preserve"> [</w:t>
      </w:r>
      <w:r w:rsidRPr="008845F2">
        <w:rPr>
          <w:sz w:val="24"/>
          <w:szCs w:val="22"/>
        </w:rPr>
        <w:t>460</w:t>
      </w:r>
      <w:r>
        <w:rPr>
          <w:sz w:val="24"/>
          <w:szCs w:val="22"/>
        </w:rPr>
        <w:t>]</w:t>
      </w:r>
    </w:p>
    <w:p w:rsidR="005F113F" w:rsidRPr="008845F2" w:rsidRDefault="005F113F" w:rsidP="005F113F">
      <w:pPr>
        <w:spacing w:before="60" w:after="60"/>
        <w:ind w:firstLine="0"/>
        <w:rPr>
          <w:sz w:val="24"/>
        </w:rPr>
      </w:pPr>
      <w:hyperlink w:anchor="Definition_haine_annexe" w:history="1">
        <w:r w:rsidRPr="00816A48">
          <w:rPr>
            <w:rStyle w:val="Lienhypertexte"/>
            <w:sz w:val="24"/>
            <w:szCs w:val="22"/>
          </w:rPr>
          <w:t>A</w:t>
        </w:r>
        <w:r w:rsidRPr="00816A48">
          <w:rPr>
            <w:rStyle w:val="Lienhypertexte"/>
            <w:sz w:val="24"/>
            <w:szCs w:val="22"/>
          </w:rPr>
          <w:t>n</w:t>
        </w:r>
        <w:r w:rsidRPr="00816A48">
          <w:rPr>
            <w:rStyle w:val="Lienhypertexte"/>
            <w:sz w:val="24"/>
            <w:szCs w:val="22"/>
          </w:rPr>
          <w:t>nexe</w:t>
        </w:r>
      </w:hyperlink>
      <w:r>
        <w:rPr>
          <w:sz w:val="24"/>
          <w:szCs w:val="22"/>
        </w:rPr>
        <w:t xml:space="preserve"> [</w:t>
      </w:r>
      <w:r w:rsidRPr="008845F2">
        <w:rPr>
          <w:sz w:val="24"/>
          <w:szCs w:val="22"/>
        </w:rPr>
        <w:t>461</w:t>
      </w:r>
      <w:r>
        <w:rPr>
          <w:sz w:val="24"/>
          <w:szCs w:val="22"/>
        </w:rPr>
        <w:t>]</w:t>
      </w:r>
    </w:p>
    <w:p w:rsidR="005F113F" w:rsidRPr="008845F2" w:rsidRDefault="005F113F" w:rsidP="005F113F">
      <w:pPr>
        <w:spacing w:before="60" w:after="60"/>
        <w:ind w:firstLine="0"/>
        <w:jc w:val="both"/>
        <w:rPr>
          <w:sz w:val="24"/>
          <w:szCs w:val="16"/>
        </w:rPr>
      </w:pPr>
    </w:p>
    <w:p w:rsidR="005F113F" w:rsidRDefault="005F113F" w:rsidP="005F113F">
      <w:pPr>
        <w:pStyle w:val="p"/>
      </w:pPr>
    </w:p>
    <w:p w:rsidR="005F113F" w:rsidRDefault="005F113F" w:rsidP="005F113F">
      <w:pPr>
        <w:pStyle w:val="p"/>
      </w:pPr>
      <w:r>
        <w:t>[430]</w:t>
      </w:r>
    </w:p>
    <w:p w:rsidR="005F113F" w:rsidRDefault="005F113F" w:rsidP="005F113F">
      <w:pPr>
        <w:ind w:firstLine="0"/>
      </w:pPr>
    </w:p>
    <w:p w:rsidR="005F113F" w:rsidRDefault="005F113F" w:rsidP="005F113F">
      <w:pPr>
        <w:pStyle w:val="p"/>
      </w:pPr>
      <w:r w:rsidRPr="00E07116">
        <w:br w:type="page"/>
      </w:r>
      <w:r>
        <w:lastRenderedPageBreak/>
        <w:t>[431]</w:t>
      </w:r>
    </w:p>
    <w:p w:rsidR="005F113F" w:rsidRDefault="005F113F" w:rsidP="005F113F">
      <w:pPr>
        <w:spacing w:before="120" w:after="120"/>
        <w:jc w:val="both"/>
      </w:pPr>
    </w:p>
    <w:p w:rsidR="005F113F" w:rsidRPr="006B209B" w:rsidRDefault="005F113F" w:rsidP="005F113F">
      <w:pPr>
        <w:pStyle w:val="planche"/>
      </w:pPr>
      <w:bookmarkStart w:id="3" w:name="Definition_haine_1"/>
      <w:r>
        <w:t>1.</w:t>
      </w:r>
      <w:r w:rsidRPr="006B209B">
        <w:t xml:space="preserve"> INTRODUCTION</w:t>
      </w:r>
    </w:p>
    <w:bookmarkEnd w:id="3"/>
    <w:p w:rsidR="005F113F" w:rsidRDefault="005F113F" w:rsidP="005F113F">
      <w:pPr>
        <w:spacing w:before="120" w:after="120"/>
        <w:jc w:val="both"/>
        <w:rPr>
          <w:szCs w:val="22"/>
        </w:rPr>
      </w:pPr>
    </w:p>
    <w:p w:rsidR="005F113F" w:rsidRPr="00384B20" w:rsidRDefault="005F113F" w:rsidP="005F113F">
      <w:pPr>
        <w:ind w:right="90" w:firstLine="0"/>
        <w:jc w:val="both"/>
        <w:rPr>
          <w:sz w:val="20"/>
        </w:rPr>
      </w:pPr>
      <w:hyperlink w:anchor="tdm" w:history="1">
        <w:r w:rsidRPr="00384B20">
          <w:rPr>
            <w:rStyle w:val="Lienhypertexte"/>
            <w:sz w:val="20"/>
          </w:rPr>
          <w:t>Retour à la table des matières</w:t>
        </w:r>
      </w:hyperlink>
    </w:p>
    <w:p w:rsidR="005F113F" w:rsidRPr="006B209B" w:rsidRDefault="005F113F" w:rsidP="005F113F">
      <w:pPr>
        <w:spacing w:before="120" w:after="120"/>
        <w:jc w:val="both"/>
      </w:pPr>
      <w:r w:rsidRPr="006B209B">
        <w:rPr>
          <w:szCs w:val="22"/>
        </w:rPr>
        <w:t xml:space="preserve">Au Canada, au moins sept dispositions du </w:t>
      </w:r>
      <w:r w:rsidRPr="006B209B">
        <w:rPr>
          <w:i/>
          <w:iCs/>
          <w:szCs w:val="22"/>
        </w:rPr>
        <w:t xml:space="preserve">Code criminel </w:t>
      </w:r>
      <w:r w:rsidRPr="006B209B">
        <w:rPr>
          <w:szCs w:val="22"/>
        </w:rPr>
        <w:t>sont liées à des manifestations visibles de haine fondée sur des motifs illicites de discrimination tels que la race, le genre, etc. S'y ajoutent de nombre</w:t>
      </w:r>
      <w:r w:rsidRPr="006B209B">
        <w:rPr>
          <w:szCs w:val="22"/>
        </w:rPr>
        <w:t>u</w:t>
      </w:r>
      <w:r w:rsidRPr="006B209B">
        <w:rPr>
          <w:szCs w:val="22"/>
        </w:rPr>
        <w:t>ses dispositions comprises dans les lois provi</w:t>
      </w:r>
      <w:r w:rsidRPr="006B209B">
        <w:rPr>
          <w:szCs w:val="22"/>
        </w:rPr>
        <w:t>n</w:t>
      </w:r>
      <w:r w:rsidRPr="006B209B">
        <w:rPr>
          <w:szCs w:val="22"/>
        </w:rPr>
        <w:t>ciales et fédérales des droits de la personne. Aucun texte législatif ne définit la haine pour autant. En termes de droit positif, on ne dispose que de la déf</w:t>
      </w:r>
      <w:r w:rsidRPr="006B209B">
        <w:rPr>
          <w:szCs w:val="22"/>
        </w:rPr>
        <w:t>i</w:t>
      </w:r>
      <w:r w:rsidRPr="006B209B">
        <w:rPr>
          <w:szCs w:val="22"/>
        </w:rPr>
        <w:t>nition quelque peu équivoque de récents arrêts de la Cour suprême du Can</w:t>
      </w:r>
      <w:r w:rsidRPr="006B209B">
        <w:rPr>
          <w:szCs w:val="22"/>
        </w:rPr>
        <w:t>a</w:t>
      </w:r>
      <w:r w:rsidRPr="006B209B">
        <w:rPr>
          <w:szCs w:val="22"/>
        </w:rPr>
        <w:t xml:space="preserve">da (ci-après </w:t>
      </w:r>
      <w:r>
        <w:rPr>
          <w:szCs w:val="22"/>
        </w:rPr>
        <w:t>« </w:t>
      </w:r>
      <w:r w:rsidRPr="006B209B">
        <w:rPr>
          <w:b/>
          <w:bCs/>
          <w:szCs w:val="22"/>
        </w:rPr>
        <w:t>Cour supr</w:t>
      </w:r>
      <w:r w:rsidRPr="006B209B">
        <w:rPr>
          <w:b/>
          <w:bCs/>
          <w:szCs w:val="22"/>
        </w:rPr>
        <w:t>ê</w:t>
      </w:r>
      <w:r w:rsidRPr="006B209B">
        <w:rPr>
          <w:b/>
          <w:bCs/>
          <w:szCs w:val="22"/>
        </w:rPr>
        <w:t>me</w:t>
      </w:r>
      <w:r>
        <w:rPr>
          <w:b/>
          <w:bCs/>
          <w:szCs w:val="22"/>
        </w:rPr>
        <w:t> »</w:t>
      </w:r>
      <w:r w:rsidRPr="006B209B">
        <w:rPr>
          <w:szCs w:val="22"/>
        </w:rPr>
        <w:t>).</w:t>
      </w:r>
    </w:p>
    <w:p w:rsidR="005F113F" w:rsidRPr="006B209B" w:rsidRDefault="005F113F" w:rsidP="005F113F">
      <w:pPr>
        <w:spacing w:before="120" w:after="120"/>
        <w:jc w:val="both"/>
      </w:pPr>
      <w:r w:rsidRPr="006B209B">
        <w:rPr>
          <w:szCs w:val="22"/>
        </w:rPr>
        <w:t>Cette situation pourrait être un facteur important du sous-signalement de la victimisation violente de certains groupes minorita</w:t>
      </w:r>
      <w:r w:rsidRPr="006B209B">
        <w:rPr>
          <w:szCs w:val="22"/>
        </w:rPr>
        <w:t>i</w:t>
      </w:r>
      <w:r w:rsidRPr="006B209B">
        <w:rPr>
          <w:szCs w:val="22"/>
        </w:rPr>
        <w:t>res. En effet, faute de consensus sur une définition de la haine, le s</w:t>
      </w:r>
      <w:r w:rsidRPr="006B209B">
        <w:rPr>
          <w:szCs w:val="22"/>
        </w:rPr>
        <w:t>i</w:t>
      </w:r>
      <w:r w:rsidRPr="006B209B">
        <w:rPr>
          <w:szCs w:val="22"/>
        </w:rPr>
        <w:t>gnal</w:t>
      </w:r>
      <w:r w:rsidRPr="006B209B">
        <w:rPr>
          <w:szCs w:val="22"/>
        </w:rPr>
        <w:t>e</w:t>
      </w:r>
      <w:r w:rsidRPr="006B209B">
        <w:rPr>
          <w:szCs w:val="22"/>
        </w:rPr>
        <w:t>ment par les victimes s'en trouve compliqué et les agents de la paix ne disposent pas d'outils précis et uniformes à l'échelle du pays pour reconnaître et e</w:t>
      </w:r>
      <w:r w:rsidRPr="006B209B">
        <w:rPr>
          <w:szCs w:val="22"/>
        </w:rPr>
        <w:t>n</w:t>
      </w:r>
      <w:r w:rsidRPr="006B209B">
        <w:rPr>
          <w:szCs w:val="22"/>
        </w:rPr>
        <w:t>registrer les comportements haineux - qu'ils prennent la forme d'un propos, d'un discours ou d'un geste. Sans l</w:t>
      </w:r>
      <w:r w:rsidRPr="006B209B">
        <w:rPr>
          <w:szCs w:val="22"/>
        </w:rPr>
        <w:t>i</w:t>
      </w:r>
      <w:r w:rsidRPr="006B209B">
        <w:rPr>
          <w:szCs w:val="22"/>
        </w:rPr>
        <w:t>gnes directrices communes et claires, les fo</w:t>
      </w:r>
      <w:r w:rsidRPr="006B209B">
        <w:rPr>
          <w:szCs w:val="22"/>
        </w:rPr>
        <w:t>r</w:t>
      </w:r>
      <w:r w:rsidRPr="006B209B">
        <w:rPr>
          <w:szCs w:val="22"/>
        </w:rPr>
        <w:t>ces policières doivent agir de manière discrétionnaire et s'exposent à des pressions politiques ou médiat</w:t>
      </w:r>
      <w:r w:rsidRPr="006B209B">
        <w:rPr>
          <w:szCs w:val="22"/>
        </w:rPr>
        <w:t>i</w:t>
      </w:r>
      <w:r w:rsidRPr="006B209B">
        <w:rPr>
          <w:szCs w:val="22"/>
        </w:rPr>
        <w:t>ques.</w:t>
      </w:r>
    </w:p>
    <w:p w:rsidR="005F113F" w:rsidRPr="006B209B" w:rsidRDefault="005F113F" w:rsidP="005F113F">
      <w:pPr>
        <w:spacing w:before="120" w:after="120"/>
        <w:jc w:val="both"/>
      </w:pPr>
      <w:r w:rsidRPr="006B209B">
        <w:rPr>
          <w:szCs w:val="22"/>
        </w:rPr>
        <w:t>L'identification, l'étude et la répression adéquates des infractions haineuses nécessitent une définition à la fois commode sur le terrain et compatible avec les normes juridiques applicables. Au nombre des difficultés actuelles, citons i) le fait que les corps pol</w:t>
      </w:r>
      <w:r w:rsidRPr="006B209B">
        <w:rPr>
          <w:szCs w:val="22"/>
        </w:rPr>
        <w:t>i</w:t>
      </w:r>
      <w:r w:rsidRPr="006B209B">
        <w:rPr>
          <w:szCs w:val="22"/>
        </w:rPr>
        <w:t>ciers puissent ne pas reconnaître les crimes haineux comme tels et en fassent un trait</w:t>
      </w:r>
      <w:r w:rsidRPr="006B209B">
        <w:rPr>
          <w:szCs w:val="22"/>
        </w:rPr>
        <w:t>e</w:t>
      </w:r>
      <w:r w:rsidRPr="006B209B">
        <w:rPr>
          <w:szCs w:val="22"/>
        </w:rPr>
        <w:t>ment disparate, ii) la variété des régimes juridiques applicables, qui rend ardu le processus de plainte par les victimes et, iii) dans la soci</w:t>
      </w:r>
      <w:r w:rsidRPr="006B209B">
        <w:rPr>
          <w:szCs w:val="22"/>
        </w:rPr>
        <w:t>é</w:t>
      </w:r>
      <w:r w:rsidRPr="006B209B">
        <w:rPr>
          <w:szCs w:val="22"/>
        </w:rPr>
        <w:t xml:space="preserve">té civile, la polarisation des opinions concernant la limitation de la liberté d'expression garantie par la </w:t>
      </w:r>
      <w:r w:rsidRPr="006B209B">
        <w:rPr>
          <w:i/>
          <w:iCs/>
          <w:szCs w:val="22"/>
        </w:rPr>
        <w:t>Charte canadienne des droits et libe</w:t>
      </w:r>
      <w:r w:rsidRPr="006B209B">
        <w:rPr>
          <w:i/>
          <w:iCs/>
          <w:szCs w:val="22"/>
        </w:rPr>
        <w:t>r</w:t>
      </w:r>
      <w:r w:rsidRPr="006B209B">
        <w:rPr>
          <w:i/>
          <w:iCs/>
          <w:szCs w:val="22"/>
        </w:rPr>
        <w:t xml:space="preserve">tés </w:t>
      </w:r>
      <w:r w:rsidRPr="006B209B">
        <w:rPr>
          <w:szCs w:val="22"/>
        </w:rPr>
        <w:t>(</w:t>
      </w:r>
      <w:r>
        <w:rPr>
          <w:szCs w:val="22"/>
        </w:rPr>
        <w:t>« </w:t>
      </w:r>
      <w:r w:rsidRPr="006B209B">
        <w:rPr>
          <w:b/>
          <w:bCs/>
          <w:szCs w:val="22"/>
        </w:rPr>
        <w:t>CCDL</w:t>
      </w:r>
      <w:r>
        <w:rPr>
          <w:b/>
          <w:bCs/>
          <w:szCs w:val="22"/>
        </w:rPr>
        <w:t> »</w:t>
      </w:r>
      <w:r w:rsidRPr="006B209B">
        <w:rPr>
          <w:b/>
          <w:bCs/>
          <w:szCs w:val="22"/>
        </w:rPr>
        <w:t>).</w:t>
      </w:r>
    </w:p>
    <w:p w:rsidR="005F113F" w:rsidRPr="006B209B" w:rsidRDefault="005F113F" w:rsidP="005F113F">
      <w:pPr>
        <w:spacing w:before="120" w:after="120"/>
        <w:jc w:val="both"/>
      </w:pPr>
      <w:r w:rsidRPr="006B209B">
        <w:rPr>
          <w:szCs w:val="22"/>
        </w:rPr>
        <w:t>L'enjeu est d'élaborer une définition uniforme de la haine, utilis</w:t>
      </w:r>
      <w:r w:rsidRPr="006B209B">
        <w:rPr>
          <w:szCs w:val="22"/>
        </w:rPr>
        <w:t>a</w:t>
      </w:r>
      <w:r w:rsidRPr="006B209B">
        <w:rPr>
          <w:szCs w:val="22"/>
        </w:rPr>
        <w:t>ble dans les sphères juridique, polici</w:t>
      </w:r>
      <w:r w:rsidRPr="006B209B">
        <w:rPr>
          <w:szCs w:val="22"/>
        </w:rPr>
        <w:t>è</w:t>
      </w:r>
      <w:r w:rsidRPr="006B209B">
        <w:rPr>
          <w:szCs w:val="22"/>
        </w:rPr>
        <w:t xml:space="preserve">re, politique et académique, </w:t>
      </w:r>
      <w:r w:rsidRPr="006B209B">
        <w:rPr>
          <w:szCs w:val="22"/>
        </w:rPr>
        <w:lastRenderedPageBreak/>
        <w:t>afin de préciser le phénomène de la haine des minorités</w:t>
      </w:r>
      <w:r>
        <w:rPr>
          <w:szCs w:val="22"/>
        </w:rPr>
        <w:t> </w:t>
      </w:r>
      <w:r>
        <w:rPr>
          <w:rStyle w:val="Appelnotedebasdep"/>
          <w:szCs w:val="22"/>
        </w:rPr>
        <w:footnoteReference w:id="4"/>
      </w:r>
      <w:r w:rsidRPr="006B209B">
        <w:rPr>
          <w:szCs w:val="22"/>
        </w:rPr>
        <w:t>,</w:t>
      </w:r>
      <w:r>
        <w:rPr>
          <w:szCs w:val="22"/>
        </w:rPr>
        <w:t xml:space="preserve"> </w:t>
      </w:r>
      <w:r>
        <w:t xml:space="preserve">[432] </w:t>
      </w:r>
      <w:r w:rsidRPr="006B209B">
        <w:rPr>
          <w:szCs w:val="22"/>
        </w:rPr>
        <w:t>de perme</w:t>
      </w:r>
      <w:r w:rsidRPr="006B209B">
        <w:rPr>
          <w:szCs w:val="22"/>
        </w:rPr>
        <w:t>t</w:t>
      </w:r>
      <w:r w:rsidRPr="006B209B">
        <w:rPr>
          <w:szCs w:val="22"/>
        </w:rPr>
        <w:t>tre une répression mieux ciblée et, éventuellement, une meilleure co</w:t>
      </w:r>
      <w:r w:rsidRPr="006B209B">
        <w:rPr>
          <w:szCs w:val="22"/>
        </w:rPr>
        <w:t>l</w:t>
      </w:r>
      <w:r w:rsidRPr="006B209B">
        <w:rPr>
          <w:szCs w:val="22"/>
        </w:rPr>
        <w:t>laboration entre juristes et non-juristes.</w:t>
      </w:r>
    </w:p>
    <w:p w:rsidR="005F113F" w:rsidRPr="006B209B" w:rsidRDefault="005F113F" w:rsidP="005F113F">
      <w:pPr>
        <w:spacing w:before="120" w:after="120"/>
        <w:jc w:val="both"/>
      </w:pPr>
      <w:r w:rsidRPr="006B209B">
        <w:rPr>
          <w:szCs w:val="22"/>
        </w:rPr>
        <w:t>Afin d'élaborer la définition recherchée, ce texte répond à deux questions</w:t>
      </w:r>
      <w:r>
        <w:rPr>
          <w:szCs w:val="22"/>
        </w:rPr>
        <w:t> :</w:t>
      </w:r>
      <w:r w:rsidRPr="006B209B">
        <w:rPr>
          <w:szCs w:val="22"/>
        </w:rPr>
        <w:t xml:space="preserve"> i) comment le droit canadien définit-il la haine</w:t>
      </w:r>
      <w:r>
        <w:rPr>
          <w:szCs w:val="22"/>
        </w:rPr>
        <w:t> ?</w:t>
      </w:r>
      <w:r w:rsidRPr="006B209B">
        <w:rPr>
          <w:szCs w:val="22"/>
        </w:rPr>
        <w:t xml:space="preserve"> ii) co</w:t>
      </w:r>
      <w:r w:rsidRPr="006B209B">
        <w:rPr>
          <w:szCs w:val="22"/>
        </w:rPr>
        <w:t>m</w:t>
      </w:r>
      <w:r w:rsidRPr="006B209B">
        <w:rPr>
          <w:szCs w:val="22"/>
        </w:rPr>
        <w:t>ment le droit canadien régit-il les actes haineux</w:t>
      </w:r>
      <w:r>
        <w:rPr>
          <w:szCs w:val="22"/>
        </w:rPr>
        <w:t> ?</w:t>
      </w:r>
      <w:r w:rsidRPr="006B209B">
        <w:rPr>
          <w:szCs w:val="22"/>
        </w:rPr>
        <w:t xml:space="preserve"> Répondre à ces questions permettra de mieux qualifier certains actes ou propos po</w:t>
      </w:r>
      <w:r w:rsidRPr="006B209B">
        <w:rPr>
          <w:szCs w:val="22"/>
        </w:rPr>
        <w:t>u</w:t>
      </w:r>
      <w:r w:rsidRPr="006B209B">
        <w:rPr>
          <w:szCs w:val="22"/>
        </w:rPr>
        <w:t>vant être qualifiés d'hostiles, humiliants ou dévalorisants.</w:t>
      </w:r>
    </w:p>
    <w:p w:rsidR="005F113F" w:rsidRDefault="005F113F" w:rsidP="005F113F">
      <w:pPr>
        <w:spacing w:before="120" w:after="120"/>
        <w:jc w:val="both"/>
        <w:rPr>
          <w:szCs w:val="22"/>
        </w:rPr>
      </w:pPr>
      <w:r w:rsidRPr="006B209B">
        <w:rPr>
          <w:szCs w:val="22"/>
        </w:rPr>
        <w:t>Prenons cette manchette, par exemple</w:t>
      </w:r>
      <w:r>
        <w:rPr>
          <w:szCs w:val="22"/>
        </w:rPr>
        <w:t> :</w:t>
      </w:r>
      <w:r w:rsidRPr="006B209B">
        <w:rPr>
          <w:szCs w:val="22"/>
        </w:rPr>
        <w:t xml:space="preserve"> en juin 2016, une tête de porc dans laquelle on a planté le message </w:t>
      </w:r>
      <w:r>
        <w:rPr>
          <w:szCs w:val="22"/>
        </w:rPr>
        <w:t>« </w:t>
      </w:r>
      <w:r w:rsidRPr="006B209B">
        <w:rPr>
          <w:szCs w:val="22"/>
        </w:rPr>
        <w:t xml:space="preserve">Bonne appétit </w:t>
      </w:r>
      <w:r w:rsidRPr="006B209B">
        <w:rPr>
          <w:i/>
          <w:iCs/>
          <w:szCs w:val="22"/>
        </w:rPr>
        <w:t>[sic]</w:t>
      </w:r>
      <w:r>
        <w:rPr>
          <w:i/>
          <w:iCs/>
          <w:szCs w:val="22"/>
        </w:rPr>
        <w:t> »</w:t>
      </w:r>
      <w:r w:rsidRPr="006B209B">
        <w:rPr>
          <w:szCs w:val="22"/>
        </w:rPr>
        <w:t>, s</w:t>
      </w:r>
      <w:r w:rsidRPr="006B209B">
        <w:rPr>
          <w:szCs w:val="22"/>
        </w:rPr>
        <w:t>i</w:t>
      </w:r>
      <w:r w:rsidRPr="006B209B">
        <w:rPr>
          <w:szCs w:val="22"/>
        </w:rPr>
        <w:t>gné par Québec identitaire, est laissée devant la porte de la Grande Mosquée de Québec</w:t>
      </w:r>
      <w:r>
        <w:rPr>
          <w:szCs w:val="22"/>
        </w:rPr>
        <w:t> </w:t>
      </w:r>
      <w:r>
        <w:rPr>
          <w:rStyle w:val="Appelnotedebasdep"/>
          <w:szCs w:val="22"/>
        </w:rPr>
        <w:footnoteReference w:id="5"/>
      </w:r>
      <w:r w:rsidRPr="006B209B">
        <w:rPr>
          <w:szCs w:val="22"/>
        </w:rPr>
        <w:t>. Selon quels critères qualifier un tel comport</w:t>
      </w:r>
      <w:r w:rsidRPr="006B209B">
        <w:rPr>
          <w:szCs w:val="22"/>
        </w:rPr>
        <w:t>e</w:t>
      </w:r>
      <w:r w:rsidRPr="006B209B">
        <w:rPr>
          <w:szCs w:val="22"/>
        </w:rPr>
        <w:t>ment</w:t>
      </w:r>
      <w:r>
        <w:rPr>
          <w:szCs w:val="22"/>
        </w:rPr>
        <w:t> ?</w:t>
      </w:r>
      <w:r w:rsidRPr="006B209B">
        <w:rPr>
          <w:szCs w:val="22"/>
        </w:rPr>
        <w:t xml:space="preserve"> Est-ce un méfait sur un établissement religieux</w:t>
      </w:r>
      <w:r>
        <w:rPr>
          <w:szCs w:val="22"/>
        </w:rPr>
        <w:t> ?</w:t>
      </w:r>
      <w:r w:rsidRPr="006B209B">
        <w:rPr>
          <w:szCs w:val="22"/>
        </w:rPr>
        <w:t xml:space="preserve"> De l'intimid</w:t>
      </w:r>
      <w:r w:rsidRPr="006B209B">
        <w:rPr>
          <w:szCs w:val="22"/>
        </w:rPr>
        <w:t>a</w:t>
      </w:r>
      <w:r w:rsidRPr="006B209B">
        <w:rPr>
          <w:szCs w:val="22"/>
        </w:rPr>
        <w:t>tion</w:t>
      </w:r>
      <w:r>
        <w:rPr>
          <w:szCs w:val="22"/>
        </w:rPr>
        <w:t> ?</w:t>
      </w:r>
      <w:r w:rsidRPr="006B209B">
        <w:rPr>
          <w:szCs w:val="22"/>
        </w:rPr>
        <w:t xml:space="preserve"> Une menace</w:t>
      </w:r>
      <w:r>
        <w:rPr>
          <w:szCs w:val="22"/>
        </w:rPr>
        <w:t> ?</w:t>
      </w:r>
      <w:r w:rsidRPr="006B209B">
        <w:rPr>
          <w:szCs w:val="22"/>
        </w:rPr>
        <w:t xml:space="preserve"> Un </w:t>
      </w:r>
      <w:r>
        <w:rPr>
          <w:szCs w:val="22"/>
        </w:rPr>
        <w:t>« </w:t>
      </w:r>
      <w:r w:rsidRPr="006B209B">
        <w:rPr>
          <w:szCs w:val="22"/>
        </w:rPr>
        <w:t>crime haineux</w:t>
      </w:r>
      <w:r>
        <w:rPr>
          <w:szCs w:val="22"/>
        </w:rPr>
        <w:t> » ?</w:t>
      </w:r>
      <w:r w:rsidRPr="006B209B">
        <w:rPr>
          <w:szCs w:val="22"/>
        </w:rPr>
        <w:t xml:space="preserve"> Une forme d'incit</w:t>
      </w:r>
      <w:r w:rsidRPr="006B209B">
        <w:rPr>
          <w:szCs w:val="22"/>
        </w:rPr>
        <w:t>a</w:t>
      </w:r>
      <w:r w:rsidRPr="006B209B">
        <w:rPr>
          <w:szCs w:val="22"/>
        </w:rPr>
        <w:t>tion à la haine</w:t>
      </w:r>
      <w:r>
        <w:rPr>
          <w:szCs w:val="22"/>
        </w:rPr>
        <w:t> ?</w:t>
      </w:r>
      <w:r w:rsidRPr="006B209B">
        <w:rPr>
          <w:szCs w:val="22"/>
        </w:rPr>
        <w:t xml:space="preserve"> Une mauvaise plaisanterie</w:t>
      </w:r>
      <w:r>
        <w:rPr>
          <w:szCs w:val="22"/>
        </w:rPr>
        <w:t> ?</w:t>
      </w:r>
      <w:r w:rsidRPr="006B209B">
        <w:rPr>
          <w:szCs w:val="22"/>
        </w:rPr>
        <w:t xml:space="preserve"> Selon le Se</w:t>
      </w:r>
      <w:r w:rsidRPr="006B209B">
        <w:rPr>
          <w:szCs w:val="22"/>
        </w:rPr>
        <w:t>r</w:t>
      </w:r>
      <w:r w:rsidRPr="006B209B">
        <w:rPr>
          <w:szCs w:val="22"/>
        </w:rPr>
        <w:t xml:space="preserve">vice de police de la Ville de Québec, il ne s'agissait pas d'un crime haineux, mais d'un </w:t>
      </w:r>
      <w:r>
        <w:rPr>
          <w:szCs w:val="22"/>
        </w:rPr>
        <w:t>« </w:t>
      </w:r>
      <w:r w:rsidRPr="006B209B">
        <w:rPr>
          <w:szCs w:val="22"/>
        </w:rPr>
        <w:t>incident à cara</w:t>
      </w:r>
      <w:r w:rsidRPr="006B209B">
        <w:rPr>
          <w:szCs w:val="22"/>
        </w:rPr>
        <w:t>c</w:t>
      </w:r>
      <w:r w:rsidRPr="006B209B">
        <w:rPr>
          <w:szCs w:val="22"/>
        </w:rPr>
        <w:t>tère haineux</w:t>
      </w:r>
      <w:r>
        <w:rPr>
          <w:szCs w:val="22"/>
        </w:rPr>
        <w:t> »</w:t>
      </w:r>
      <w:r w:rsidRPr="006B209B">
        <w:rPr>
          <w:szCs w:val="22"/>
        </w:rPr>
        <w:t>. Comment le Service est-il arrivé à cette conclusion</w:t>
      </w:r>
      <w:r>
        <w:rPr>
          <w:szCs w:val="22"/>
        </w:rPr>
        <w:t> ?</w:t>
      </w:r>
      <w:r w:rsidRPr="006B209B">
        <w:rPr>
          <w:szCs w:val="22"/>
        </w:rPr>
        <w:t xml:space="preserve"> Les réponses seront d'autant plus utiles, voire u</w:t>
      </w:r>
      <w:r w:rsidRPr="006B209B">
        <w:rPr>
          <w:szCs w:val="22"/>
        </w:rPr>
        <w:t>r</w:t>
      </w:r>
      <w:r w:rsidRPr="006B209B">
        <w:rPr>
          <w:szCs w:val="22"/>
        </w:rPr>
        <w:t>gentes, que les propos violents et humiliants se propagent dans Inte</w:t>
      </w:r>
      <w:r w:rsidRPr="006B209B">
        <w:rPr>
          <w:szCs w:val="22"/>
        </w:rPr>
        <w:t>r</w:t>
      </w:r>
      <w:r w:rsidRPr="006B209B">
        <w:rPr>
          <w:szCs w:val="22"/>
        </w:rPr>
        <w:t>net, au Canada co</w:t>
      </w:r>
      <w:r w:rsidRPr="006B209B">
        <w:rPr>
          <w:szCs w:val="22"/>
        </w:rPr>
        <w:t>m</w:t>
      </w:r>
      <w:r w:rsidRPr="006B209B">
        <w:rPr>
          <w:szCs w:val="22"/>
        </w:rPr>
        <w:t>me ailleurs, selon les services de police.</w:t>
      </w:r>
    </w:p>
    <w:p w:rsidR="005F113F" w:rsidRPr="006B209B" w:rsidRDefault="005F113F" w:rsidP="005F113F">
      <w:pPr>
        <w:spacing w:before="120" w:after="120"/>
        <w:jc w:val="both"/>
      </w:pPr>
    </w:p>
    <w:p w:rsidR="005F113F" w:rsidRPr="006B209B" w:rsidRDefault="005F113F" w:rsidP="005F113F">
      <w:pPr>
        <w:pStyle w:val="planche"/>
      </w:pPr>
      <w:bookmarkStart w:id="4" w:name="Definition_haine_2"/>
      <w:r>
        <w:t xml:space="preserve">2.  </w:t>
      </w:r>
      <w:r w:rsidRPr="006B209B">
        <w:t>STATISTIQUES</w:t>
      </w:r>
    </w:p>
    <w:bookmarkEnd w:id="4"/>
    <w:p w:rsidR="005F113F" w:rsidRDefault="005F113F" w:rsidP="005F113F">
      <w:pPr>
        <w:spacing w:before="120" w:after="120"/>
        <w:jc w:val="both"/>
        <w:rPr>
          <w:szCs w:val="22"/>
        </w:rPr>
      </w:pPr>
    </w:p>
    <w:p w:rsidR="005F113F" w:rsidRPr="00384B20" w:rsidRDefault="005F113F" w:rsidP="005F113F">
      <w:pPr>
        <w:ind w:right="90" w:firstLine="0"/>
        <w:jc w:val="both"/>
        <w:rPr>
          <w:sz w:val="20"/>
        </w:rPr>
      </w:pPr>
      <w:hyperlink w:anchor="tdm" w:history="1">
        <w:r w:rsidRPr="00384B20">
          <w:rPr>
            <w:rStyle w:val="Lienhypertexte"/>
            <w:sz w:val="20"/>
          </w:rPr>
          <w:t>Retour à la table des matières</w:t>
        </w:r>
      </w:hyperlink>
    </w:p>
    <w:p w:rsidR="005F113F" w:rsidRPr="006B209B" w:rsidRDefault="005F113F" w:rsidP="005F113F">
      <w:pPr>
        <w:spacing w:before="120" w:after="120"/>
        <w:jc w:val="both"/>
      </w:pPr>
      <w:r w:rsidRPr="006B209B">
        <w:rPr>
          <w:szCs w:val="22"/>
        </w:rPr>
        <w:t>Deux programmes fédéraux, supervisés par St</w:t>
      </w:r>
      <w:r w:rsidRPr="006B209B">
        <w:rPr>
          <w:szCs w:val="22"/>
        </w:rPr>
        <w:t>a</w:t>
      </w:r>
      <w:r w:rsidRPr="006B209B">
        <w:rPr>
          <w:szCs w:val="22"/>
        </w:rPr>
        <w:t>tistique Canada, publient des données sur la victim</w:t>
      </w:r>
      <w:r w:rsidRPr="006B209B">
        <w:rPr>
          <w:szCs w:val="22"/>
        </w:rPr>
        <w:t>i</w:t>
      </w:r>
      <w:r w:rsidRPr="006B209B">
        <w:rPr>
          <w:szCs w:val="22"/>
        </w:rPr>
        <w:t>sation avec violence au Canada</w:t>
      </w:r>
      <w:r>
        <w:rPr>
          <w:szCs w:val="22"/>
        </w:rPr>
        <w:t> :</w:t>
      </w:r>
      <w:r w:rsidRPr="006B209B">
        <w:rPr>
          <w:szCs w:val="22"/>
        </w:rPr>
        <w:t xml:space="preserve"> la Déclaration Un</w:t>
      </w:r>
      <w:r w:rsidRPr="006B209B">
        <w:rPr>
          <w:szCs w:val="22"/>
        </w:rPr>
        <w:t>i</w:t>
      </w:r>
      <w:r w:rsidRPr="006B209B">
        <w:rPr>
          <w:szCs w:val="22"/>
        </w:rPr>
        <w:t xml:space="preserve">forme de Criminalité (ci-après </w:t>
      </w:r>
      <w:r>
        <w:rPr>
          <w:szCs w:val="22"/>
        </w:rPr>
        <w:t>« </w:t>
      </w:r>
      <w:r w:rsidRPr="006B209B">
        <w:rPr>
          <w:b/>
          <w:bCs/>
          <w:szCs w:val="22"/>
        </w:rPr>
        <w:t>DUC</w:t>
      </w:r>
      <w:r>
        <w:rPr>
          <w:b/>
          <w:bCs/>
          <w:szCs w:val="22"/>
        </w:rPr>
        <w:t> »</w:t>
      </w:r>
      <w:r w:rsidRPr="006B209B">
        <w:rPr>
          <w:szCs w:val="22"/>
        </w:rPr>
        <w:t>) et l'Enquête Sociale Générale - Victimisation (Sécurité des Can</w:t>
      </w:r>
      <w:r w:rsidRPr="006B209B">
        <w:rPr>
          <w:szCs w:val="22"/>
        </w:rPr>
        <w:t>a</w:t>
      </w:r>
      <w:r w:rsidRPr="006B209B">
        <w:rPr>
          <w:szCs w:val="22"/>
        </w:rPr>
        <w:t xml:space="preserve">diens) (ci-après </w:t>
      </w:r>
      <w:r>
        <w:rPr>
          <w:szCs w:val="22"/>
        </w:rPr>
        <w:t>« </w:t>
      </w:r>
      <w:r w:rsidRPr="006B209B">
        <w:rPr>
          <w:b/>
          <w:bCs/>
          <w:szCs w:val="22"/>
        </w:rPr>
        <w:t>ESG</w:t>
      </w:r>
      <w:r>
        <w:rPr>
          <w:b/>
          <w:bCs/>
          <w:szCs w:val="22"/>
        </w:rPr>
        <w:t> »</w:t>
      </w:r>
      <w:r w:rsidRPr="006B209B">
        <w:rPr>
          <w:szCs w:val="22"/>
        </w:rPr>
        <w:t>). La DUC recueille des données sur les crimes haineux d</w:t>
      </w:r>
      <w:r w:rsidRPr="006B209B">
        <w:rPr>
          <w:szCs w:val="22"/>
        </w:rPr>
        <w:t>é</w:t>
      </w:r>
      <w:r w:rsidRPr="006B209B">
        <w:rPr>
          <w:szCs w:val="22"/>
        </w:rPr>
        <w:t>clarés par la police après enquête</w:t>
      </w:r>
      <w:r>
        <w:rPr>
          <w:szCs w:val="22"/>
        </w:rPr>
        <w:t> ;</w:t>
      </w:r>
      <w:r w:rsidRPr="006B209B">
        <w:rPr>
          <w:szCs w:val="22"/>
        </w:rPr>
        <w:t xml:space="preserve"> il peut s'agir d'un crime haineux pr</w:t>
      </w:r>
      <w:r w:rsidRPr="006B209B">
        <w:rPr>
          <w:szCs w:val="22"/>
        </w:rPr>
        <w:t>é</w:t>
      </w:r>
      <w:r w:rsidRPr="006B209B">
        <w:rPr>
          <w:szCs w:val="22"/>
        </w:rPr>
        <w:t xml:space="preserve">vu au </w:t>
      </w:r>
      <w:r w:rsidRPr="006B209B">
        <w:rPr>
          <w:i/>
          <w:iCs/>
          <w:szCs w:val="22"/>
        </w:rPr>
        <w:t xml:space="preserve">Code criminel </w:t>
      </w:r>
      <w:r w:rsidRPr="006B209B">
        <w:rPr>
          <w:szCs w:val="22"/>
        </w:rPr>
        <w:t xml:space="preserve">ou d'une infraction criminelle (violente ou non </w:t>
      </w:r>
      <w:r w:rsidRPr="006B209B">
        <w:rPr>
          <w:szCs w:val="22"/>
        </w:rPr>
        <w:lastRenderedPageBreak/>
        <w:t>violente) motivée par la haine selon la police</w:t>
      </w:r>
      <w:r>
        <w:rPr>
          <w:szCs w:val="22"/>
        </w:rPr>
        <w:t> </w:t>
      </w:r>
      <w:r>
        <w:rPr>
          <w:rStyle w:val="Appelnotedebasdep"/>
          <w:szCs w:val="22"/>
        </w:rPr>
        <w:footnoteReference w:id="6"/>
      </w:r>
      <w:r w:rsidRPr="006B209B">
        <w:rPr>
          <w:szCs w:val="22"/>
        </w:rPr>
        <w:t>. L'ESG recueille des données autodécl</w:t>
      </w:r>
      <w:r w:rsidRPr="006B209B">
        <w:rPr>
          <w:szCs w:val="22"/>
        </w:rPr>
        <w:t>a</w:t>
      </w:r>
      <w:r w:rsidRPr="006B209B">
        <w:rPr>
          <w:szCs w:val="22"/>
        </w:rPr>
        <w:t>rées par des</w:t>
      </w:r>
      <w:r>
        <w:rPr>
          <w:szCs w:val="22"/>
        </w:rPr>
        <w:t xml:space="preserve"> </w:t>
      </w:r>
      <w:r>
        <w:t xml:space="preserve">[433] </w:t>
      </w:r>
      <w:r w:rsidRPr="006B209B">
        <w:rPr>
          <w:szCs w:val="22"/>
        </w:rPr>
        <w:t>Canadiens de 15 ans et plus quant à savoir s'ils ont été victimes de l'un de huit types d'infraction criminelle</w:t>
      </w:r>
      <w:r>
        <w:rPr>
          <w:szCs w:val="22"/>
        </w:rPr>
        <w:t> </w:t>
      </w:r>
      <w:r>
        <w:rPr>
          <w:rStyle w:val="Appelnotedebasdep"/>
          <w:szCs w:val="22"/>
        </w:rPr>
        <w:footnoteReference w:id="7"/>
      </w:r>
      <w:r w:rsidRPr="006B209B">
        <w:rPr>
          <w:szCs w:val="22"/>
        </w:rPr>
        <w:t>, violente ou non, et s'ils estimaient leur victimisation m</w:t>
      </w:r>
      <w:r w:rsidRPr="006B209B">
        <w:rPr>
          <w:szCs w:val="22"/>
        </w:rPr>
        <w:t>o</w:t>
      </w:r>
      <w:r w:rsidRPr="006B209B">
        <w:rPr>
          <w:szCs w:val="22"/>
        </w:rPr>
        <w:t>tivée par la haine. L'ESG la plus récente date de 2014. Aussi, quand on parle de vi</w:t>
      </w:r>
      <w:r w:rsidRPr="006B209B">
        <w:rPr>
          <w:szCs w:val="22"/>
        </w:rPr>
        <w:t>c</w:t>
      </w:r>
      <w:r w:rsidRPr="006B209B">
        <w:rPr>
          <w:szCs w:val="22"/>
        </w:rPr>
        <w:t>timisation avec violence au Canada, faut-il clarifier l'origine des données et distinguer des autres les cas ayant fait l'objet d'une enquête policière et qualifiés de crimes haineux par la police.</w:t>
      </w:r>
    </w:p>
    <w:p w:rsidR="005F113F" w:rsidRPr="006B209B" w:rsidRDefault="005F113F" w:rsidP="005F113F">
      <w:pPr>
        <w:spacing w:before="120" w:after="120"/>
        <w:jc w:val="both"/>
      </w:pPr>
      <w:r w:rsidRPr="006B209B">
        <w:rPr>
          <w:szCs w:val="22"/>
        </w:rPr>
        <w:t>En 2014, les données de la DUC et de l'ESG montraient que la vi</w:t>
      </w:r>
      <w:r w:rsidRPr="006B209B">
        <w:rPr>
          <w:szCs w:val="22"/>
        </w:rPr>
        <w:t>c</w:t>
      </w:r>
      <w:r w:rsidRPr="006B209B">
        <w:rPr>
          <w:szCs w:val="22"/>
        </w:rPr>
        <w:t>timisation avec violence visait le plus souvent des groupes minorita</w:t>
      </w:r>
      <w:r w:rsidRPr="006B209B">
        <w:rPr>
          <w:szCs w:val="22"/>
        </w:rPr>
        <w:t>i</w:t>
      </w:r>
      <w:r w:rsidRPr="006B209B">
        <w:rPr>
          <w:szCs w:val="22"/>
        </w:rPr>
        <w:t>res. Selon l'ESG</w:t>
      </w:r>
      <w:r>
        <w:rPr>
          <w:szCs w:val="22"/>
        </w:rPr>
        <w:t> </w:t>
      </w:r>
      <w:r>
        <w:rPr>
          <w:rStyle w:val="Appelnotedebasdep"/>
          <w:szCs w:val="22"/>
        </w:rPr>
        <w:footnoteReference w:id="8"/>
      </w:r>
      <w:r w:rsidRPr="006B209B">
        <w:rPr>
          <w:szCs w:val="22"/>
        </w:rPr>
        <w:t>, les personnes se déclarant homosexuelles ou b</w:t>
      </w:r>
      <w:r w:rsidRPr="006B209B">
        <w:rPr>
          <w:szCs w:val="22"/>
        </w:rPr>
        <w:t>i</w:t>
      </w:r>
      <w:r w:rsidRPr="006B209B">
        <w:rPr>
          <w:szCs w:val="22"/>
        </w:rPr>
        <w:t>sexuelles subissaient le taux de victimisation avec violence le plus élevé, soit 207 incidents pour 1</w:t>
      </w:r>
      <w:r>
        <w:rPr>
          <w:szCs w:val="22"/>
        </w:rPr>
        <w:t> </w:t>
      </w:r>
      <w:r w:rsidRPr="006B209B">
        <w:rPr>
          <w:szCs w:val="22"/>
        </w:rPr>
        <w:t>000 personnes comparativement à 69 incidents pour 1</w:t>
      </w:r>
      <w:r>
        <w:rPr>
          <w:szCs w:val="22"/>
        </w:rPr>
        <w:t> </w:t>
      </w:r>
      <w:r w:rsidRPr="006B209B">
        <w:rPr>
          <w:szCs w:val="22"/>
        </w:rPr>
        <w:t>000 personnes hétérosexuelles. Les immigrants, les membres de minorités visibles, les personnes faisant partie d'une m</w:t>
      </w:r>
      <w:r w:rsidRPr="006B209B">
        <w:rPr>
          <w:szCs w:val="22"/>
        </w:rPr>
        <w:t>i</w:t>
      </w:r>
      <w:r w:rsidRPr="006B209B">
        <w:rPr>
          <w:szCs w:val="22"/>
        </w:rPr>
        <w:t>norité religieuse et celles dont la la</w:t>
      </w:r>
      <w:r w:rsidRPr="006B209B">
        <w:rPr>
          <w:szCs w:val="22"/>
        </w:rPr>
        <w:t>n</w:t>
      </w:r>
      <w:r w:rsidRPr="006B209B">
        <w:rPr>
          <w:szCs w:val="22"/>
        </w:rPr>
        <w:t>gue la plus souvent parlée à la maison différait de celle de la majorité de la population de leur pr</w:t>
      </w:r>
      <w:r w:rsidRPr="006B209B">
        <w:rPr>
          <w:szCs w:val="22"/>
        </w:rPr>
        <w:t>o</w:t>
      </w:r>
      <w:r w:rsidRPr="006B209B">
        <w:rPr>
          <w:szCs w:val="22"/>
        </w:rPr>
        <w:t>vince affichaient pour leur part des taux de victimisation semblables ou inférieurs à la moyenne (Graphique</w:t>
      </w:r>
      <w:r>
        <w:rPr>
          <w:szCs w:val="22"/>
        </w:rPr>
        <w:t> </w:t>
      </w:r>
      <w:r w:rsidRPr="006B209B">
        <w:rPr>
          <w:szCs w:val="22"/>
        </w:rPr>
        <w:t>1).</w:t>
      </w:r>
    </w:p>
    <w:p w:rsidR="005F113F" w:rsidRDefault="005F113F" w:rsidP="005F113F">
      <w:pPr>
        <w:pStyle w:val="p"/>
      </w:pPr>
      <w:r>
        <w:br w:type="page"/>
      </w:r>
      <w:r>
        <w:lastRenderedPageBreak/>
        <w:t>[434]</w:t>
      </w:r>
    </w:p>
    <w:p w:rsidR="005F113F" w:rsidRPr="0061142A" w:rsidRDefault="005F113F" w:rsidP="005F113F">
      <w:pPr>
        <w:spacing w:before="120" w:after="120"/>
        <w:jc w:val="center"/>
        <w:rPr>
          <w:bCs/>
          <w:sz w:val="24"/>
          <w:szCs w:val="22"/>
        </w:rPr>
      </w:pPr>
      <w:r w:rsidRPr="0061142A">
        <w:rPr>
          <w:bCs/>
          <w:sz w:val="24"/>
          <w:szCs w:val="22"/>
        </w:rPr>
        <w:t>Graphique 1</w:t>
      </w:r>
      <w:r>
        <w:rPr>
          <w:bCs/>
          <w:sz w:val="24"/>
          <w:szCs w:val="22"/>
        </w:rPr>
        <w:br/>
      </w:r>
      <w:r w:rsidRPr="0061142A">
        <w:rPr>
          <w:bCs/>
          <w:sz w:val="24"/>
          <w:szCs w:val="22"/>
        </w:rPr>
        <w:t>Incidents de victimisation avec violence déclarés par les Cana</w:t>
      </w:r>
      <w:r>
        <w:rPr>
          <w:bCs/>
          <w:sz w:val="24"/>
          <w:szCs w:val="22"/>
        </w:rPr>
        <w:t>diens,</w:t>
      </w:r>
      <w:r>
        <w:rPr>
          <w:bCs/>
          <w:sz w:val="24"/>
          <w:szCs w:val="22"/>
        </w:rPr>
        <w:br/>
      </w:r>
      <w:r w:rsidRPr="0061142A">
        <w:rPr>
          <w:bCs/>
          <w:sz w:val="24"/>
          <w:szCs w:val="22"/>
        </w:rPr>
        <w:t>selon ce</w:t>
      </w:r>
      <w:r w:rsidRPr="0061142A">
        <w:rPr>
          <w:bCs/>
          <w:sz w:val="24"/>
          <w:szCs w:val="22"/>
        </w:rPr>
        <w:t>r</w:t>
      </w:r>
      <w:r w:rsidRPr="0061142A">
        <w:rPr>
          <w:bCs/>
          <w:sz w:val="24"/>
          <w:szCs w:val="22"/>
        </w:rPr>
        <w:t>tains groupes de population, 2014</w:t>
      </w:r>
    </w:p>
    <w:p w:rsidR="005F113F" w:rsidRPr="0061142A" w:rsidRDefault="005F113F" w:rsidP="005F113F">
      <w:pPr>
        <w:spacing w:before="120" w:after="120"/>
        <w:ind w:firstLine="0"/>
        <w:rPr>
          <w:sz w:val="24"/>
        </w:rPr>
      </w:pPr>
      <w:r w:rsidRPr="0061142A">
        <w:rPr>
          <w:bCs/>
          <w:sz w:val="24"/>
          <w:szCs w:val="22"/>
        </w:rPr>
        <w:t>Taux pour 1000 personnes</w:t>
      </w:r>
      <w:r w:rsidRPr="0061142A">
        <w:rPr>
          <w:bCs/>
          <w:sz w:val="24"/>
          <w:szCs w:val="22"/>
        </w:rPr>
        <w:br/>
        <w:t>de 15 ans et +</w:t>
      </w:r>
    </w:p>
    <w:p w:rsidR="005F113F" w:rsidRDefault="00BF2B3D" w:rsidP="005F113F">
      <w:pPr>
        <w:spacing w:before="120" w:after="120"/>
        <w:ind w:firstLine="0"/>
        <w:jc w:val="both"/>
        <w:rPr>
          <w:rFonts w:cs="Arial"/>
          <w:szCs w:val="12"/>
        </w:rPr>
      </w:pPr>
      <w:r>
        <w:rPr>
          <w:noProof/>
        </w:rPr>
        <w:drawing>
          <wp:inline distT="0" distB="0" distL="0" distR="0">
            <wp:extent cx="5041900" cy="21971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1900" cy="2197100"/>
                    </a:xfrm>
                    <a:prstGeom prst="rect">
                      <a:avLst/>
                    </a:prstGeom>
                    <a:noFill/>
                    <a:ln>
                      <a:noFill/>
                    </a:ln>
                  </pic:spPr>
                </pic:pic>
              </a:graphicData>
            </a:graphic>
          </wp:inline>
        </w:drawing>
      </w:r>
    </w:p>
    <w:tbl>
      <w:tblPr>
        <w:tblW w:w="0" w:type="auto"/>
        <w:tblInd w:w="405" w:type="dxa"/>
        <w:tblLook w:val="00BF" w:firstRow="1" w:lastRow="0" w:firstColumn="1" w:lastColumn="0" w:noHBand="0" w:noVBand="0"/>
      </w:tblPr>
      <w:tblGrid>
        <w:gridCol w:w="850"/>
        <w:gridCol w:w="850"/>
        <w:gridCol w:w="850"/>
        <w:gridCol w:w="850"/>
        <w:gridCol w:w="851"/>
        <w:gridCol w:w="851"/>
        <w:gridCol w:w="851"/>
        <w:gridCol w:w="851"/>
        <w:gridCol w:w="756"/>
      </w:tblGrid>
      <w:tr w:rsidR="005F113F" w:rsidRPr="00910BE0">
        <w:trPr>
          <w:cantSplit/>
          <w:trHeight w:val="2484"/>
        </w:trPr>
        <w:tc>
          <w:tcPr>
            <w:tcW w:w="850" w:type="dxa"/>
            <w:textDirection w:val="btLr"/>
            <w:vAlign w:val="center"/>
          </w:tcPr>
          <w:p w:rsidR="005F113F" w:rsidRPr="00910BE0" w:rsidRDefault="005F113F" w:rsidP="005F113F">
            <w:pPr>
              <w:spacing w:before="120" w:after="120"/>
              <w:ind w:left="113" w:right="113" w:firstLine="0"/>
              <w:rPr>
                <w:rFonts w:eastAsia="Times" w:hAnsi="Times" w:cs="Arial"/>
                <w:sz w:val="18"/>
                <w:szCs w:val="12"/>
              </w:rPr>
            </w:pPr>
            <w:r w:rsidRPr="00910BE0">
              <w:rPr>
                <w:rFonts w:eastAsia="Times" w:hAnsi="Times" w:cs="Arial"/>
                <w:sz w:val="18"/>
                <w:szCs w:val="12"/>
              </w:rPr>
              <w:t>H</w:t>
            </w:r>
            <w:r w:rsidRPr="00910BE0">
              <w:rPr>
                <w:rFonts w:eastAsia="Times" w:hAnsi="Times" w:cs="Arial"/>
                <w:sz w:val="18"/>
                <w:szCs w:val="12"/>
              </w:rPr>
              <w:t>o</w:t>
            </w:r>
            <w:r w:rsidRPr="00910BE0">
              <w:rPr>
                <w:rFonts w:eastAsia="Times" w:hAnsi="Times" w:cs="Arial"/>
                <w:sz w:val="18"/>
                <w:szCs w:val="12"/>
              </w:rPr>
              <w:t>m</w:t>
            </w:r>
            <w:r w:rsidRPr="00910BE0">
              <w:rPr>
                <w:rFonts w:eastAsia="Times" w:hAnsi="Times" w:cs="Arial"/>
                <w:sz w:val="18"/>
                <w:szCs w:val="12"/>
              </w:rPr>
              <w:t>o</w:t>
            </w:r>
            <w:r w:rsidRPr="00910BE0">
              <w:rPr>
                <w:rFonts w:eastAsia="Times" w:hAnsi="Times" w:cs="Arial"/>
                <w:sz w:val="18"/>
                <w:szCs w:val="12"/>
              </w:rPr>
              <w:t>sexuels ou b</w:t>
            </w:r>
            <w:r w:rsidRPr="00910BE0">
              <w:rPr>
                <w:rFonts w:eastAsia="Times" w:hAnsi="Times" w:cs="Arial"/>
                <w:sz w:val="18"/>
                <w:szCs w:val="12"/>
              </w:rPr>
              <w:t>i</w:t>
            </w:r>
            <w:r w:rsidRPr="00910BE0">
              <w:rPr>
                <w:rFonts w:eastAsia="Times" w:hAnsi="Times" w:cs="Arial"/>
                <w:sz w:val="18"/>
                <w:szCs w:val="12"/>
              </w:rPr>
              <w:t>sexuels</w:t>
            </w:r>
          </w:p>
        </w:tc>
        <w:tc>
          <w:tcPr>
            <w:tcW w:w="850" w:type="dxa"/>
            <w:textDirection w:val="btLr"/>
            <w:vAlign w:val="center"/>
          </w:tcPr>
          <w:p w:rsidR="005F113F" w:rsidRPr="00910BE0" w:rsidRDefault="005F113F" w:rsidP="005F113F">
            <w:pPr>
              <w:spacing w:before="120" w:after="120"/>
              <w:ind w:left="113" w:right="113" w:firstLine="0"/>
              <w:rPr>
                <w:rFonts w:eastAsia="Times" w:hAnsi="Times" w:cs="Arial"/>
                <w:sz w:val="18"/>
                <w:szCs w:val="12"/>
              </w:rPr>
            </w:pPr>
            <w:r w:rsidRPr="00910BE0">
              <w:rPr>
                <w:rFonts w:eastAsia="Times" w:hAnsi="Times" w:cs="Arial"/>
                <w:sz w:val="18"/>
                <w:szCs w:val="12"/>
              </w:rPr>
              <w:t>Pe</w:t>
            </w:r>
            <w:r w:rsidRPr="00910BE0">
              <w:rPr>
                <w:rFonts w:eastAsia="Times" w:hAnsi="Times" w:cs="Arial"/>
                <w:sz w:val="18"/>
                <w:szCs w:val="12"/>
              </w:rPr>
              <w:t>r</w:t>
            </w:r>
            <w:r w:rsidRPr="00910BE0">
              <w:rPr>
                <w:rFonts w:eastAsia="Times" w:hAnsi="Times" w:cs="Arial"/>
                <w:sz w:val="18"/>
                <w:szCs w:val="12"/>
              </w:rPr>
              <w:t>so</w:t>
            </w:r>
            <w:r w:rsidRPr="00910BE0">
              <w:rPr>
                <w:rFonts w:eastAsia="Times" w:hAnsi="Times" w:cs="Arial"/>
                <w:sz w:val="18"/>
                <w:szCs w:val="12"/>
              </w:rPr>
              <w:t>n</w:t>
            </w:r>
            <w:r w:rsidRPr="00910BE0">
              <w:rPr>
                <w:rFonts w:eastAsia="Times" w:hAnsi="Times" w:cs="Arial"/>
                <w:sz w:val="18"/>
                <w:szCs w:val="12"/>
              </w:rPr>
              <w:t>nes ayant une inc</w:t>
            </w:r>
            <w:r w:rsidRPr="00910BE0">
              <w:rPr>
                <w:rFonts w:eastAsia="Times" w:hAnsi="Times" w:cs="Arial"/>
                <w:sz w:val="18"/>
                <w:szCs w:val="12"/>
              </w:rPr>
              <w:t>a</w:t>
            </w:r>
            <w:r w:rsidRPr="00910BE0">
              <w:rPr>
                <w:rFonts w:eastAsia="Times" w:hAnsi="Times" w:cs="Arial"/>
                <w:sz w:val="18"/>
                <w:szCs w:val="12"/>
              </w:rPr>
              <w:t>pac</w:t>
            </w:r>
            <w:r w:rsidRPr="00910BE0">
              <w:rPr>
                <w:rFonts w:eastAsia="Times" w:hAnsi="Times" w:cs="Arial"/>
                <w:sz w:val="18"/>
                <w:szCs w:val="12"/>
              </w:rPr>
              <w:t>i</w:t>
            </w:r>
            <w:r w:rsidRPr="00910BE0">
              <w:rPr>
                <w:rFonts w:eastAsia="Times" w:hAnsi="Times" w:cs="Arial"/>
                <w:sz w:val="18"/>
                <w:szCs w:val="12"/>
              </w:rPr>
              <w:t>t</w:t>
            </w:r>
            <w:r w:rsidRPr="00910BE0">
              <w:rPr>
                <w:rFonts w:eastAsia="Times" w:hAnsi="Times" w:cs="Arial"/>
                <w:sz w:val="18"/>
                <w:szCs w:val="12"/>
              </w:rPr>
              <w:t>é</w:t>
            </w:r>
            <w:r w:rsidRPr="00910BE0">
              <w:rPr>
                <w:rFonts w:eastAsia="Times" w:hAnsi="Times" w:cs="Arial"/>
                <w:sz w:val="18"/>
                <w:szCs w:val="12"/>
              </w:rPr>
              <w:t xml:space="preserve"> </w:t>
            </w:r>
            <w:r w:rsidRPr="00910BE0">
              <w:rPr>
                <w:rFonts w:eastAsia="Times" w:hAnsi="Times" w:cs="Arial"/>
                <w:color w:val="FF0000"/>
                <w:sz w:val="18"/>
                <w:szCs w:val="12"/>
              </w:rPr>
              <w:t>1</w:t>
            </w:r>
          </w:p>
        </w:tc>
        <w:tc>
          <w:tcPr>
            <w:tcW w:w="850" w:type="dxa"/>
            <w:textDirection w:val="btLr"/>
            <w:vAlign w:val="center"/>
          </w:tcPr>
          <w:p w:rsidR="005F113F" w:rsidRPr="00910BE0" w:rsidRDefault="005F113F" w:rsidP="005F113F">
            <w:pPr>
              <w:spacing w:before="120" w:after="120"/>
              <w:ind w:left="113" w:right="113" w:firstLine="0"/>
              <w:rPr>
                <w:rFonts w:eastAsia="Times" w:hAnsi="Times" w:cs="Arial"/>
                <w:sz w:val="18"/>
                <w:szCs w:val="12"/>
              </w:rPr>
            </w:pPr>
            <w:r w:rsidRPr="00910BE0">
              <w:rPr>
                <w:rFonts w:eastAsia="Times" w:hAnsi="Times" w:cs="Arial"/>
                <w:sz w:val="18"/>
                <w:szCs w:val="12"/>
              </w:rPr>
              <w:t>Pe</w:t>
            </w:r>
            <w:r w:rsidRPr="00910BE0">
              <w:rPr>
                <w:rFonts w:eastAsia="Times" w:hAnsi="Times" w:cs="Arial"/>
                <w:sz w:val="18"/>
                <w:szCs w:val="12"/>
              </w:rPr>
              <w:t>r</w:t>
            </w:r>
            <w:r w:rsidRPr="00910BE0">
              <w:rPr>
                <w:rFonts w:eastAsia="Times" w:hAnsi="Times" w:cs="Arial"/>
                <w:sz w:val="18"/>
                <w:szCs w:val="12"/>
              </w:rPr>
              <w:t>so</w:t>
            </w:r>
            <w:r w:rsidRPr="00910BE0">
              <w:rPr>
                <w:rFonts w:eastAsia="Times" w:hAnsi="Times" w:cs="Arial"/>
                <w:sz w:val="18"/>
                <w:szCs w:val="12"/>
              </w:rPr>
              <w:t>n</w:t>
            </w:r>
            <w:r w:rsidRPr="00910BE0">
              <w:rPr>
                <w:rFonts w:eastAsia="Times" w:hAnsi="Times" w:cs="Arial"/>
                <w:sz w:val="18"/>
                <w:szCs w:val="12"/>
              </w:rPr>
              <w:t>ne dont la la</w:t>
            </w:r>
            <w:r w:rsidRPr="00910BE0">
              <w:rPr>
                <w:rFonts w:eastAsia="Times" w:hAnsi="Times" w:cs="Arial"/>
                <w:sz w:val="18"/>
                <w:szCs w:val="12"/>
              </w:rPr>
              <w:t>n</w:t>
            </w:r>
            <w:r w:rsidRPr="00910BE0">
              <w:rPr>
                <w:rFonts w:eastAsia="Times" w:hAnsi="Times" w:cs="Arial"/>
                <w:sz w:val="18"/>
                <w:szCs w:val="12"/>
              </w:rPr>
              <w:t>gue so</w:t>
            </w:r>
            <w:r w:rsidRPr="00910BE0">
              <w:rPr>
                <w:rFonts w:eastAsia="Times" w:hAnsi="Times" w:cs="Arial"/>
                <w:sz w:val="18"/>
                <w:szCs w:val="12"/>
              </w:rPr>
              <w:t>u</w:t>
            </w:r>
            <w:r w:rsidRPr="00910BE0">
              <w:rPr>
                <w:rFonts w:eastAsia="Times" w:hAnsi="Times" w:cs="Arial"/>
                <w:sz w:val="18"/>
                <w:szCs w:val="12"/>
              </w:rPr>
              <w:t>vent pa</w:t>
            </w:r>
            <w:r w:rsidRPr="00910BE0">
              <w:rPr>
                <w:rFonts w:eastAsia="Times" w:hAnsi="Times" w:cs="Arial"/>
                <w:sz w:val="18"/>
                <w:szCs w:val="12"/>
              </w:rPr>
              <w:t>r</w:t>
            </w:r>
            <w:r w:rsidRPr="00910BE0">
              <w:rPr>
                <w:rFonts w:eastAsia="Times" w:hAnsi="Times" w:cs="Arial"/>
                <w:sz w:val="18"/>
                <w:szCs w:val="12"/>
              </w:rPr>
              <w:t>l</w:t>
            </w:r>
            <w:r w:rsidRPr="00910BE0">
              <w:rPr>
                <w:rFonts w:eastAsia="Times" w:hAnsi="Times" w:cs="Arial"/>
                <w:sz w:val="18"/>
                <w:szCs w:val="12"/>
              </w:rPr>
              <w:t>é</w:t>
            </w:r>
            <w:r w:rsidRPr="00910BE0">
              <w:rPr>
                <w:rFonts w:eastAsia="Times" w:hAnsi="Times" w:cs="Arial"/>
                <w:sz w:val="18"/>
                <w:szCs w:val="12"/>
              </w:rPr>
              <w:t xml:space="preserve">e </w:t>
            </w:r>
            <w:r w:rsidRPr="00910BE0">
              <w:rPr>
                <w:rFonts w:eastAsia="Times" w:hAnsi="Times" w:cs="Arial"/>
                <w:sz w:val="18"/>
                <w:szCs w:val="12"/>
              </w:rPr>
              <w:t>à</w:t>
            </w:r>
            <w:r w:rsidRPr="00910BE0">
              <w:rPr>
                <w:rFonts w:eastAsia="Times" w:hAnsi="Times" w:cs="Arial"/>
                <w:sz w:val="18"/>
                <w:szCs w:val="12"/>
              </w:rPr>
              <w:t xml:space="preserve"> la ma</w:t>
            </w:r>
            <w:r w:rsidRPr="00910BE0">
              <w:rPr>
                <w:rFonts w:eastAsia="Times" w:hAnsi="Times" w:cs="Arial"/>
                <w:sz w:val="18"/>
                <w:szCs w:val="12"/>
              </w:rPr>
              <w:t>i</w:t>
            </w:r>
            <w:r w:rsidRPr="00910BE0">
              <w:rPr>
                <w:rFonts w:eastAsia="Times" w:hAnsi="Times" w:cs="Arial"/>
                <w:sz w:val="18"/>
                <w:szCs w:val="12"/>
              </w:rPr>
              <w:t>son n</w:t>
            </w:r>
            <w:r w:rsidRPr="00910BE0">
              <w:rPr>
                <w:rFonts w:eastAsia="Times" w:hAnsi="Times" w:cs="Arial"/>
                <w:sz w:val="18"/>
                <w:szCs w:val="12"/>
              </w:rPr>
              <w:t>’</w:t>
            </w:r>
            <w:r w:rsidRPr="00910BE0">
              <w:rPr>
                <w:rFonts w:eastAsia="Times" w:hAnsi="Times" w:cs="Arial"/>
                <w:sz w:val="18"/>
                <w:szCs w:val="12"/>
              </w:rPr>
              <w:t>est pas la la</w:t>
            </w:r>
            <w:r w:rsidRPr="00910BE0">
              <w:rPr>
                <w:rFonts w:eastAsia="Times" w:hAnsi="Times" w:cs="Arial"/>
                <w:sz w:val="18"/>
                <w:szCs w:val="12"/>
              </w:rPr>
              <w:t>n</w:t>
            </w:r>
            <w:r w:rsidRPr="00910BE0">
              <w:rPr>
                <w:rFonts w:eastAsia="Times" w:hAnsi="Times" w:cs="Arial"/>
                <w:sz w:val="18"/>
                <w:szCs w:val="12"/>
              </w:rPr>
              <w:t>gue off</w:t>
            </w:r>
            <w:r w:rsidRPr="00910BE0">
              <w:rPr>
                <w:rFonts w:eastAsia="Times" w:hAnsi="Times" w:cs="Arial"/>
                <w:sz w:val="18"/>
                <w:szCs w:val="12"/>
              </w:rPr>
              <w:t>i</w:t>
            </w:r>
            <w:r w:rsidRPr="00910BE0">
              <w:rPr>
                <w:rFonts w:eastAsia="Times" w:hAnsi="Times" w:cs="Arial"/>
                <w:sz w:val="18"/>
                <w:szCs w:val="12"/>
              </w:rPr>
              <w:t>cielle pa</w:t>
            </w:r>
            <w:r w:rsidRPr="00910BE0">
              <w:rPr>
                <w:rFonts w:eastAsia="Times" w:hAnsi="Times" w:cs="Arial"/>
                <w:sz w:val="18"/>
                <w:szCs w:val="12"/>
              </w:rPr>
              <w:t>r</w:t>
            </w:r>
            <w:r w:rsidRPr="00910BE0">
              <w:rPr>
                <w:rFonts w:eastAsia="Times" w:hAnsi="Times" w:cs="Arial"/>
                <w:sz w:val="18"/>
                <w:szCs w:val="12"/>
              </w:rPr>
              <w:t>l</w:t>
            </w:r>
            <w:r w:rsidRPr="00910BE0">
              <w:rPr>
                <w:rFonts w:eastAsia="Times" w:hAnsi="Times" w:cs="Arial"/>
                <w:sz w:val="18"/>
                <w:szCs w:val="12"/>
              </w:rPr>
              <w:t>é</w:t>
            </w:r>
            <w:r w:rsidRPr="00910BE0">
              <w:rPr>
                <w:rFonts w:eastAsia="Times" w:hAnsi="Times" w:cs="Arial"/>
                <w:sz w:val="18"/>
                <w:szCs w:val="12"/>
              </w:rPr>
              <w:t>e par la m</w:t>
            </w:r>
            <w:r w:rsidRPr="00910BE0">
              <w:rPr>
                <w:rFonts w:eastAsia="Times" w:hAnsi="Times" w:cs="Arial"/>
                <w:sz w:val="18"/>
                <w:szCs w:val="12"/>
              </w:rPr>
              <w:t>a</w:t>
            </w:r>
            <w:r w:rsidRPr="00910BE0">
              <w:rPr>
                <w:rFonts w:eastAsia="Times" w:hAnsi="Times" w:cs="Arial"/>
                <w:sz w:val="18"/>
                <w:szCs w:val="12"/>
              </w:rPr>
              <w:t>jorit</w:t>
            </w:r>
            <w:r w:rsidRPr="00910BE0">
              <w:rPr>
                <w:rFonts w:eastAsia="Times" w:hAnsi="Times" w:cs="Arial"/>
                <w:sz w:val="18"/>
                <w:szCs w:val="12"/>
              </w:rPr>
              <w:t>é</w:t>
            </w:r>
            <w:r w:rsidRPr="00910BE0">
              <w:rPr>
                <w:rFonts w:eastAsia="Times" w:hAnsi="Times" w:cs="Arial"/>
                <w:sz w:val="18"/>
                <w:szCs w:val="12"/>
              </w:rPr>
              <w:t xml:space="preserve"> </w:t>
            </w:r>
            <w:r w:rsidRPr="00910BE0">
              <w:rPr>
                <w:rFonts w:eastAsia="Times" w:hAnsi="Times" w:cs="Arial"/>
                <w:color w:val="FF0000"/>
                <w:sz w:val="18"/>
                <w:szCs w:val="12"/>
              </w:rPr>
              <w:t>2</w:t>
            </w:r>
          </w:p>
        </w:tc>
        <w:tc>
          <w:tcPr>
            <w:tcW w:w="850" w:type="dxa"/>
            <w:textDirection w:val="btLr"/>
            <w:vAlign w:val="center"/>
          </w:tcPr>
          <w:p w:rsidR="005F113F" w:rsidRPr="00910BE0" w:rsidRDefault="005F113F" w:rsidP="005F113F">
            <w:pPr>
              <w:spacing w:before="120" w:after="120"/>
              <w:ind w:left="113" w:right="113" w:firstLine="0"/>
              <w:rPr>
                <w:rFonts w:eastAsia="Times" w:hAnsi="Times" w:cs="Arial"/>
                <w:sz w:val="18"/>
                <w:szCs w:val="12"/>
              </w:rPr>
            </w:pPr>
            <w:r w:rsidRPr="00910BE0">
              <w:rPr>
                <w:rFonts w:eastAsia="Times" w:hAnsi="Times" w:cs="Arial"/>
                <w:sz w:val="18"/>
                <w:szCs w:val="12"/>
              </w:rPr>
              <w:t>M</w:t>
            </w:r>
            <w:r w:rsidRPr="00910BE0">
              <w:rPr>
                <w:rFonts w:eastAsia="Times" w:hAnsi="Times" w:cs="Arial"/>
                <w:sz w:val="18"/>
                <w:szCs w:val="12"/>
              </w:rPr>
              <w:t>i</w:t>
            </w:r>
            <w:r w:rsidRPr="00910BE0">
              <w:rPr>
                <w:rFonts w:eastAsia="Times" w:hAnsi="Times" w:cs="Arial"/>
                <w:sz w:val="18"/>
                <w:szCs w:val="12"/>
              </w:rPr>
              <w:t>nor</w:t>
            </w:r>
            <w:r w:rsidRPr="00910BE0">
              <w:rPr>
                <w:rFonts w:eastAsia="Times" w:hAnsi="Times" w:cs="Arial"/>
                <w:sz w:val="18"/>
                <w:szCs w:val="12"/>
              </w:rPr>
              <w:t>i</w:t>
            </w:r>
            <w:r w:rsidRPr="00910BE0">
              <w:rPr>
                <w:rFonts w:eastAsia="Times" w:hAnsi="Times" w:cs="Arial"/>
                <w:sz w:val="18"/>
                <w:szCs w:val="12"/>
              </w:rPr>
              <w:t>t</w:t>
            </w:r>
            <w:r w:rsidRPr="00910BE0">
              <w:rPr>
                <w:rFonts w:eastAsia="Times" w:hAnsi="Times" w:cs="Arial"/>
                <w:sz w:val="18"/>
                <w:szCs w:val="12"/>
              </w:rPr>
              <w:t>é</w:t>
            </w:r>
            <w:r w:rsidRPr="00910BE0">
              <w:rPr>
                <w:rFonts w:eastAsia="Times" w:hAnsi="Times" w:cs="Arial"/>
                <w:sz w:val="18"/>
                <w:szCs w:val="12"/>
              </w:rPr>
              <w:t>s rel</w:t>
            </w:r>
            <w:r w:rsidRPr="00910BE0">
              <w:rPr>
                <w:rFonts w:eastAsia="Times" w:hAnsi="Times" w:cs="Arial"/>
                <w:sz w:val="18"/>
                <w:szCs w:val="12"/>
              </w:rPr>
              <w:t>i</w:t>
            </w:r>
            <w:r w:rsidRPr="00910BE0">
              <w:rPr>
                <w:rFonts w:eastAsia="Times" w:hAnsi="Times" w:cs="Arial"/>
                <w:sz w:val="18"/>
                <w:szCs w:val="12"/>
              </w:rPr>
              <w:t>gie</w:t>
            </w:r>
            <w:r w:rsidRPr="00910BE0">
              <w:rPr>
                <w:rFonts w:eastAsia="Times" w:hAnsi="Times" w:cs="Arial"/>
                <w:sz w:val="18"/>
                <w:szCs w:val="12"/>
              </w:rPr>
              <w:t>u</w:t>
            </w:r>
            <w:r w:rsidRPr="00910BE0">
              <w:rPr>
                <w:rFonts w:eastAsia="Times" w:hAnsi="Times" w:cs="Arial"/>
                <w:sz w:val="18"/>
                <w:szCs w:val="12"/>
              </w:rPr>
              <w:t>ses</w:t>
            </w:r>
          </w:p>
        </w:tc>
        <w:tc>
          <w:tcPr>
            <w:tcW w:w="851" w:type="dxa"/>
            <w:textDirection w:val="btLr"/>
            <w:vAlign w:val="center"/>
          </w:tcPr>
          <w:p w:rsidR="005F113F" w:rsidRPr="00910BE0" w:rsidRDefault="005F113F" w:rsidP="005F113F">
            <w:pPr>
              <w:spacing w:before="120" w:after="120"/>
              <w:ind w:left="113" w:right="113" w:firstLine="0"/>
              <w:rPr>
                <w:rFonts w:eastAsia="Times" w:hAnsi="Times" w:cs="Arial"/>
                <w:sz w:val="18"/>
                <w:szCs w:val="12"/>
              </w:rPr>
            </w:pPr>
            <w:r w:rsidRPr="00910BE0">
              <w:rPr>
                <w:rFonts w:eastAsia="Times" w:hAnsi="Times" w:cs="Arial"/>
                <w:sz w:val="18"/>
                <w:szCs w:val="12"/>
              </w:rPr>
              <w:t>M</w:t>
            </w:r>
            <w:r w:rsidRPr="00910BE0">
              <w:rPr>
                <w:rFonts w:eastAsia="Times" w:hAnsi="Times" w:cs="Arial"/>
                <w:sz w:val="18"/>
                <w:szCs w:val="12"/>
              </w:rPr>
              <w:t>i</w:t>
            </w:r>
            <w:r w:rsidRPr="00910BE0">
              <w:rPr>
                <w:rFonts w:eastAsia="Times" w:hAnsi="Times" w:cs="Arial"/>
                <w:sz w:val="18"/>
                <w:szCs w:val="12"/>
              </w:rPr>
              <w:t>nor</w:t>
            </w:r>
            <w:r w:rsidRPr="00910BE0">
              <w:rPr>
                <w:rFonts w:eastAsia="Times" w:hAnsi="Times" w:cs="Arial"/>
                <w:sz w:val="18"/>
                <w:szCs w:val="12"/>
              </w:rPr>
              <w:t>i</w:t>
            </w:r>
            <w:r w:rsidRPr="00910BE0">
              <w:rPr>
                <w:rFonts w:eastAsia="Times" w:hAnsi="Times" w:cs="Arial"/>
                <w:sz w:val="18"/>
                <w:szCs w:val="12"/>
              </w:rPr>
              <w:t>t</w:t>
            </w:r>
            <w:r w:rsidRPr="00910BE0">
              <w:rPr>
                <w:rFonts w:eastAsia="Times" w:hAnsi="Times" w:cs="Arial"/>
                <w:sz w:val="18"/>
                <w:szCs w:val="12"/>
              </w:rPr>
              <w:t>é</w:t>
            </w:r>
            <w:r w:rsidRPr="00910BE0">
              <w:rPr>
                <w:rFonts w:eastAsia="Times" w:hAnsi="Times" w:cs="Arial"/>
                <w:sz w:val="18"/>
                <w:szCs w:val="12"/>
              </w:rPr>
              <w:t>s vis</w:t>
            </w:r>
            <w:r w:rsidRPr="00910BE0">
              <w:rPr>
                <w:rFonts w:eastAsia="Times" w:hAnsi="Times" w:cs="Arial"/>
                <w:sz w:val="18"/>
                <w:szCs w:val="12"/>
              </w:rPr>
              <w:t>i</w:t>
            </w:r>
            <w:r w:rsidRPr="00910BE0">
              <w:rPr>
                <w:rFonts w:eastAsia="Times" w:hAnsi="Times" w:cs="Arial"/>
                <w:sz w:val="18"/>
                <w:szCs w:val="12"/>
              </w:rPr>
              <w:t>bles</w:t>
            </w:r>
          </w:p>
        </w:tc>
        <w:tc>
          <w:tcPr>
            <w:tcW w:w="851" w:type="dxa"/>
            <w:textDirection w:val="btLr"/>
            <w:vAlign w:val="center"/>
          </w:tcPr>
          <w:p w:rsidR="005F113F" w:rsidRPr="00910BE0" w:rsidRDefault="005F113F" w:rsidP="005F113F">
            <w:pPr>
              <w:spacing w:before="120" w:after="120"/>
              <w:ind w:left="113" w:right="113" w:firstLine="0"/>
              <w:rPr>
                <w:rFonts w:eastAsia="Times" w:hAnsi="Times" w:cs="Arial"/>
                <w:sz w:val="18"/>
                <w:szCs w:val="12"/>
              </w:rPr>
            </w:pPr>
            <w:r w:rsidRPr="00910BE0">
              <w:rPr>
                <w:rFonts w:eastAsia="Times" w:hAnsi="Times" w:cs="Arial"/>
                <w:sz w:val="18"/>
                <w:szCs w:val="12"/>
              </w:rPr>
              <w:t>I</w:t>
            </w:r>
            <w:r w:rsidRPr="00910BE0">
              <w:rPr>
                <w:rFonts w:eastAsia="Times" w:hAnsi="Times" w:cs="Arial"/>
                <w:sz w:val="18"/>
                <w:szCs w:val="12"/>
              </w:rPr>
              <w:t>m</w:t>
            </w:r>
            <w:r w:rsidRPr="00910BE0">
              <w:rPr>
                <w:rFonts w:eastAsia="Times" w:hAnsi="Times" w:cs="Arial"/>
                <w:sz w:val="18"/>
                <w:szCs w:val="12"/>
              </w:rPr>
              <w:t>m</w:t>
            </w:r>
            <w:r w:rsidRPr="00910BE0">
              <w:rPr>
                <w:rFonts w:eastAsia="Times" w:hAnsi="Times" w:cs="Arial"/>
                <w:sz w:val="18"/>
                <w:szCs w:val="12"/>
              </w:rPr>
              <w:t>i</w:t>
            </w:r>
            <w:r w:rsidRPr="00910BE0">
              <w:rPr>
                <w:rFonts w:eastAsia="Times" w:hAnsi="Times" w:cs="Arial"/>
                <w:sz w:val="18"/>
                <w:szCs w:val="12"/>
              </w:rPr>
              <w:t>grants</w:t>
            </w:r>
          </w:p>
        </w:tc>
        <w:tc>
          <w:tcPr>
            <w:tcW w:w="851" w:type="dxa"/>
            <w:textDirection w:val="btLr"/>
            <w:vAlign w:val="center"/>
          </w:tcPr>
          <w:p w:rsidR="005F113F" w:rsidRPr="00910BE0" w:rsidRDefault="005F113F" w:rsidP="005F113F">
            <w:pPr>
              <w:spacing w:before="120" w:after="120"/>
              <w:ind w:left="113" w:right="113" w:firstLine="0"/>
              <w:rPr>
                <w:rFonts w:eastAsia="Times" w:hAnsi="Times" w:cs="Arial"/>
                <w:sz w:val="18"/>
                <w:szCs w:val="12"/>
              </w:rPr>
            </w:pPr>
            <w:r w:rsidRPr="00910BE0">
              <w:rPr>
                <w:rFonts w:eastAsia="Times" w:hAnsi="Times" w:cs="Arial"/>
                <w:sz w:val="18"/>
                <w:szCs w:val="12"/>
              </w:rPr>
              <w:t>Pe</w:t>
            </w:r>
            <w:r w:rsidRPr="00910BE0">
              <w:rPr>
                <w:rFonts w:eastAsia="Times" w:hAnsi="Times" w:cs="Arial"/>
                <w:sz w:val="18"/>
                <w:szCs w:val="12"/>
              </w:rPr>
              <w:t>r</w:t>
            </w:r>
            <w:r w:rsidRPr="00910BE0">
              <w:rPr>
                <w:rFonts w:eastAsia="Times" w:hAnsi="Times" w:cs="Arial"/>
                <w:sz w:val="18"/>
                <w:szCs w:val="12"/>
              </w:rPr>
              <w:t>so</w:t>
            </w:r>
            <w:r w:rsidRPr="00910BE0">
              <w:rPr>
                <w:rFonts w:eastAsia="Times" w:hAnsi="Times" w:cs="Arial"/>
                <w:sz w:val="18"/>
                <w:szCs w:val="12"/>
              </w:rPr>
              <w:t>n</w:t>
            </w:r>
            <w:r w:rsidRPr="00910BE0">
              <w:rPr>
                <w:rFonts w:eastAsia="Times" w:hAnsi="Times" w:cs="Arial"/>
                <w:sz w:val="18"/>
                <w:szCs w:val="12"/>
              </w:rPr>
              <w:t xml:space="preserve">nes </w:t>
            </w:r>
            <w:r w:rsidRPr="00910BE0">
              <w:rPr>
                <w:rFonts w:eastAsia="Times" w:hAnsi="Times" w:cs="Arial"/>
                <w:sz w:val="18"/>
                <w:szCs w:val="12"/>
              </w:rPr>
              <w:t>â</w:t>
            </w:r>
            <w:r w:rsidRPr="00910BE0">
              <w:rPr>
                <w:rFonts w:eastAsia="Times" w:hAnsi="Times" w:cs="Arial"/>
                <w:sz w:val="18"/>
                <w:szCs w:val="12"/>
              </w:rPr>
              <w:t>g</w:t>
            </w:r>
            <w:r w:rsidRPr="00910BE0">
              <w:rPr>
                <w:rFonts w:eastAsia="Times" w:hAnsi="Times" w:cs="Arial"/>
                <w:sz w:val="18"/>
                <w:szCs w:val="12"/>
              </w:rPr>
              <w:t>é</w:t>
            </w:r>
            <w:r w:rsidRPr="00910BE0">
              <w:rPr>
                <w:rFonts w:eastAsia="Times" w:hAnsi="Times" w:cs="Arial"/>
                <w:sz w:val="18"/>
                <w:szCs w:val="12"/>
              </w:rPr>
              <w:t>es (65 ans et +)</w:t>
            </w:r>
          </w:p>
        </w:tc>
        <w:tc>
          <w:tcPr>
            <w:tcW w:w="851" w:type="dxa"/>
            <w:textDirection w:val="btLr"/>
            <w:vAlign w:val="center"/>
          </w:tcPr>
          <w:p w:rsidR="005F113F" w:rsidRPr="00910BE0" w:rsidRDefault="005F113F" w:rsidP="005F113F">
            <w:pPr>
              <w:spacing w:before="120" w:after="120"/>
              <w:ind w:left="113" w:right="113" w:firstLine="0"/>
              <w:rPr>
                <w:rFonts w:eastAsia="Times" w:hAnsi="Times" w:cs="Arial"/>
                <w:sz w:val="18"/>
                <w:szCs w:val="12"/>
              </w:rPr>
            </w:pPr>
            <w:r w:rsidRPr="00910BE0">
              <w:rPr>
                <w:rFonts w:eastAsia="Times" w:hAnsi="Times" w:cs="Arial"/>
                <w:sz w:val="18"/>
                <w:szCs w:val="12"/>
              </w:rPr>
              <w:t>Femmes</w:t>
            </w:r>
          </w:p>
        </w:tc>
        <w:tc>
          <w:tcPr>
            <w:tcW w:w="756" w:type="dxa"/>
            <w:textDirection w:val="btLr"/>
            <w:vAlign w:val="center"/>
          </w:tcPr>
          <w:p w:rsidR="005F113F" w:rsidRPr="00910BE0" w:rsidRDefault="005F113F" w:rsidP="005F113F">
            <w:pPr>
              <w:spacing w:before="120" w:after="120"/>
              <w:ind w:left="113" w:right="113" w:firstLine="0"/>
              <w:rPr>
                <w:rFonts w:eastAsia="Times" w:hAnsi="Times" w:cs="Arial"/>
                <w:sz w:val="18"/>
                <w:szCs w:val="12"/>
              </w:rPr>
            </w:pPr>
            <w:r w:rsidRPr="00910BE0">
              <w:rPr>
                <w:rFonts w:eastAsia="Times" w:hAnsi="Times" w:cs="Arial"/>
                <w:sz w:val="18"/>
                <w:szCs w:val="12"/>
              </w:rPr>
              <w:t>E</w:t>
            </w:r>
            <w:r w:rsidRPr="00910BE0">
              <w:rPr>
                <w:rFonts w:eastAsia="Times" w:hAnsi="Times" w:cs="Arial"/>
                <w:sz w:val="18"/>
                <w:szCs w:val="12"/>
              </w:rPr>
              <w:t>n</w:t>
            </w:r>
            <w:r w:rsidRPr="00910BE0">
              <w:rPr>
                <w:rFonts w:eastAsia="Times" w:hAnsi="Times" w:cs="Arial"/>
                <w:sz w:val="18"/>
                <w:szCs w:val="12"/>
              </w:rPr>
              <w:t>semble de la p</w:t>
            </w:r>
            <w:r w:rsidRPr="00910BE0">
              <w:rPr>
                <w:rFonts w:eastAsia="Times" w:hAnsi="Times" w:cs="Arial"/>
                <w:sz w:val="18"/>
                <w:szCs w:val="12"/>
              </w:rPr>
              <w:t>o</w:t>
            </w:r>
            <w:r w:rsidRPr="00910BE0">
              <w:rPr>
                <w:rFonts w:eastAsia="Times" w:hAnsi="Times" w:cs="Arial"/>
                <w:sz w:val="18"/>
                <w:szCs w:val="12"/>
              </w:rPr>
              <w:t>p</w:t>
            </w:r>
            <w:r w:rsidRPr="00910BE0">
              <w:rPr>
                <w:rFonts w:eastAsia="Times" w:hAnsi="Times" w:cs="Arial"/>
                <w:sz w:val="18"/>
                <w:szCs w:val="12"/>
              </w:rPr>
              <w:t>u</w:t>
            </w:r>
            <w:r w:rsidRPr="00910BE0">
              <w:rPr>
                <w:rFonts w:eastAsia="Times" w:hAnsi="Times" w:cs="Arial"/>
                <w:sz w:val="18"/>
                <w:szCs w:val="12"/>
              </w:rPr>
              <w:t>l</w:t>
            </w:r>
            <w:r w:rsidRPr="00910BE0">
              <w:rPr>
                <w:rFonts w:eastAsia="Times" w:hAnsi="Times" w:cs="Arial"/>
                <w:sz w:val="18"/>
                <w:szCs w:val="12"/>
              </w:rPr>
              <w:t>a</w:t>
            </w:r>
            <w:r w:rsidRPr="00910BE0">
              <w:rPr>
                <w:rFonts w:eastAsia="Times" w:hAnsi="Times" w:cs="Arial"/>
                <w:sz w:val="18"/>
                <w:szCs w:val="12"/>
              </w:rPr>
              <w:t xml:space="preserve">tion </w:t>
            </w:r>
            <w:r w:rsidRPr="00910BE0">
              <w:rPr>
                <w:rFonts w:eastAsia="Times" w:hAnsi="Times" w:cs="Arial"/>
                <w:color w:val="FF0000"/>
                <w:sz w:val="24"/>
                <w:szCs w:val="12"/>
              </w:rPr>
              <w:t>†</w:t>
            </w:r>
          </w:p>
        </w:tc>
      </w:tr>
    </w:tbl>
    <w:p w:rsidR="005F113F" w:rsidRDefault="005F113F" w:rsidP="005F113F">
      <w:pPr>
        <w:spacing w:before="120" w:after="120"/>
        <w:jc w:val="both"/>
        <w:rPr>
          <w:rFonts w:cs="Arial"/>
          <w:szCs w:val="12"/>
        </w:rPr>
      </w:pPr>
    </w:p>
    <w:p w:rsidR="005F113F" w:rsidRPr="00D12E49" w:rsidRDefault="005F113F" w:rsidP="005F113F">
      <w:pPr>
        <w:spacing w:before="120" w:after="120"/>
        <w:jc w:val="both"/>
        <w:rPr>
          <w:rFonts w:cs="Arial"/>
          <w:sz w:val="24"/>
          <w:szCs w:val="12"/>
        </w:rPr>
      </w:pPr>
      <w:r w:rsidRPr="00D12E49">
        <w:rPr>
          <w:rFonts w:cs="Arial"/>
          <w:sz w:val="24"/>
          <w:szCs w:val="12"/>
        </w:rPr>
        <w:t>†</w:t>
      </w:r>
      <w:r w:rsidRPr="00D12E49">
        <w:rPr>
          <w:rFonts w:cs="Arial"/>
          <w:sz w:val="24"/>
          <w:szCs w:val="12"/>
        </w:rPr>
        <w:tab/>
        <w:t>catégorie de référence</w:t>
      </w:r>
    </w:p>
    <w:p w:rsidR="005F113F" w:rsidRDefault="005F113F" w:rsidP="005F113F">
      <w:pPr>
        <w:spacing w:before="120" w:after="120"/>
        <w:jc w:val="both"/>
        <w:rPr>
          <w:rFonts w:cs="Arial"/>
          <w:sz w:val="24"/>
          <w:szCs w:val="12"/>
        </w:rPr>
      </w:pPr>
      <w:r w:rsidRPr="00D12E49">
        <w:rPr>
          <w:rFonts w:cs="Arial"/>
          <w:sz w:val="24"/>
          <w:szCs w:val="12"/>
        </w:rPr>
        <w:t>*</w:t>
      </w:r>
      <w:r w:rsidRPr="00D12E49">
        <w:rPr>
          <w:rFonts w:cs="Arial"/>
          <w:sz w:val="24"/>
          <w:szCs w:val="12"/>
        </w:rPr>
        <w:tab/>
        <w:t>valeur</w:t>
      </w:r>
      <w:r>
        <w:rPr>
          <w:rFonts w:cs="Arial"/>
          <w:sz w:val="24"/>
          <w:szCs w:val="12"/>
        </w:rPr>
        <w:t xml:space="preserve"> significativement différente de l’estimation pour la catégorie de r</w:t>
      </w:r>
      <w:r>
        <w:rPr>
          <w:rFonts w:cs="Arial"/>
          <w:sz w:val="24"/>
          <w:szCs w:val="12"/>
        </w:rPr>
        <w:t>é</w:t>
      </w:r>
      <w:r>
        <w:rPr>
          <w:rFonts w:cs="Arial"/>
          <w:sz w:val="24"/>
          <w:szCs w:val="12"/>
        </w:rPr>
        <w:t>férence (p&lt;0,05)</w:t>
      </w:r>
    </w:p>
    <w:p w:rsidR="005F113F" w:rsidRDefault="005F113F" w:rsidP="005F113F">
      <w:pPr>
        <w:spacing w:before="120" w:after="120"/>
        <w:jc w:val="both"/>
        <w:rPr>
          <w:rFonts w:cs="Arial"/>
          <w:sz w:val="24"/>
          <w:szCs w:val="12"/>
        </w:rPr>
      </w:pPr>
      <w:r>
        <w:rPr>
          <w:rFonts w:cs="Arial"/>
          <w:sz w:val="24"/>
          <w:szCs w:val="12"/>
        </w:rPr>
        <w:t>1.</w:t>
      </w:r>
      <w:r>
        <w:rPr>
          <w:rFonts w:cs="Arial"/>
          <w:sz w:val="24"/>
          <w:szCs w:val="12"/>
        </w:rPr>
        <w:tab/>
        <w:t>Exclut les personnes de moins de 18 ans.</w:t>
      </w:r>
    </w:p>
    <w:p w:rsidR="005F113F" w:rsidRDefault="005F113F" w:rsidP="005F113F">
      <w:pPr>
        <w:spacing w:before="120" w:after="120"/>
        <w:jc w:val="both"/>
        <w:rPr>
          <w:rFonts w:cs="Arial"/>
          <w:sz w:val="24"/>
          <w:szCs w:val="12"/>
        </w:rPr>
      </w:pPr>
      <w:r>
        <w:rPr>
          <w:rFonts w:cs="Arial"/>
          <w:sz w:val="24"/>
          <w:szCs w:val="12"/>
        </w:rPr>
        <w:t>2.</w:t>
      </w:r>
      <w:r>
        <w:rPr>
          <w:rFonts w:cs="Arial"/>
          <w:sz w:val="24"/>
          <w:szCs w:val="12"/>
        </w:rPr>
        <w:tab/>
        <w:t>Comprend les personnes ayant une incapacité liée à la mobilité, à la v</w:t>
      </w:r>
      <w:r>
        <w:rPr>
          <w:rFonts w:cs="Arial"/>
          <w:sz w:val="24"/>
          <w:szCs w:val="12"/>
        </w:rPr>
        <w:t>i</w:t>
      </w:r>
      <w:r>
        <w:rPr>
          <w:rFonts w:cs="Arial"/>
          <w:sz w:val="24"/>
          <w:szCs w:val="12"/>
        </w:rPr>
        <w:t>sion, à l’ouïe, à l’apprentissage, à des troubles mentaux ou psychologiques, à des tro</w:t>
      </w:r>
      <w:r>
        <w:rPr>
          <w:rFonts w:cs="Arial"/>
          <w:sz w:val="24"/>
          <w:szCs w:val="12"/>
        </w:rPr>
        <w:t>u</w:t>
      </w:r>
      <w:r>
        <w:rPr>
          <w:rFonts w:cs="Arial"/>
          <w:sz w:val="24"/>
          <w:szCs w:val="12"/>
        </w:rPr>
        <w:t>bles physiques ou toute autre condition chronique limitant les activités</w:t>
      </w:r>
    </w:p>
    <w:p w:rsidR="005F113F" w:rsidRDefault="005F113F" w:rsidP="005F113F">
      <w:pPr>
        <w:spacing w:before="120" w:after="120"/>
        <w:jc w:val="both"/>
        <w:rPr>
          <w:rFonts w:cs="Arial"/>
          <w:sz w:val="24"/>
          <w:szCs w:val="12"/>
        </w:rPr>
      </w:pPr>
      <w:r>
        <w:rPr>
          <w:rFonts w:cs="Arial"/>
          <w:sz w:val="24"/>
          <w:szCs w:val="12"/>
        </w:rPr>
        <w:t>3.</w:t>
      </w:r>
      <w:r>
        <w:rPr>
          <w:rFonts w:cs="Arial"/>
          <w:sz w:val="24"/>
          <w:szCs w:val="12"/>
        </w:rPr>
        <w:tab/>
        <w:t>Comprend les personnes vivant à l’extérieur du Québec dont la langue le plus souvent parlée à la maison est autre que l’anglais et les personnes habitant au Québec dont la langue le plus souvent parlée à la maison est autre que le français.</w:t>
      </w:r>
    </w:p>
    <w:p w:rsidR="005F113F" w:rsidRPr="00D12E49" w:rsidRDefault="005F113F" w:rsidP="005F113F">
      <w:pPr>
        <w:spacing w:before="120" w:after="120"/>
        <w:jc w:val="both"/>
        <w:rPr>
          <w:rFonts w:cs="Arial"/>
          <w:sz w:val="24"/>
          <w:szCs w:val="12"/>
        </w:rPr>
      </w:pPr>
      <w:r>
        <w:rPr>
          <w:rFonts w:cs="Arial"/>
          <w:sz w:val="24"/>
          <w:szCs w:val="12"/>
        </w:rPr>
        <w:t>4.</w:t>
      </w:r>
      <w:r>
        <w:rPr>
          <w:rFonts w:cs="Arial"/>
          <w:sz w:val="24"/>
          <w:szCs w:val="12"/>
        </w:rPr>
        <w:tab/>
        <w:t>Comprend les personnes qui ont déclaré appartenir à une religion non chrétienne.</w:t>
      </w:r>
    </w:p>
    <w:p w:rsidR="005F113F" w:rsidRDefault="005F113F" w:rsidP="005F113F">
      <w:pPr>
        <w:spacing w:before="120" w:after="120"/>
        <w:jc w:val="both"/>
        <w:rPr>
          <w:rFonts w:cs="Arial"/>
          <w:bCs/>
          <w:sz w:val="24"/>
          <w:szCs w:val="10"/>
        </w:rPr>
      </w:pPr>
      <w:r w:rsidRPr="0061142A">
        <w:rPr>
          <w:rFonts w:cs="Arial"/>
          <w:bCs/>
          <w:sz w:val="24"/>
          <w:szCs w:val="10"/>
        </w:rPr>
        <w:lastRenderedPageBreak/>
        <w:t>Source : Statistique Canada, Enqu</w:t>
      </w:r>
      <w:r w:rsidRPr="0061142A">
        <w:rPr>
          <w:bCs/>
          <w:sz w:val="24"/>
          <w:szCs w:val="10"/>
        </w:rPr>
        <w:t>ê</w:t>
      </w:r>
      <w:r w:rsidRPr="0061142A">
        <w:rPr>
          <w:rFonts w:cs="Arial"/>
          <w:bCs/>
          <w:sz w:val="24"/>
          <w:szCs w:val="10"/>
        </w:rPr>
        <w:t>te sociale g</w:t>
      </w:r>
      <w:r w:rsidRPr="0061142A">
        <w:rPr>
          <w:bCs/>
          <w:sz w:val="24"/>
          <w:szCs w:val="10"/>
        </w:rPr>
        <w:t>é</w:t>
      </w:r>
      <w:r w:rsidRPr="0061142A">
        <w:rPr>
          <w:rFonts w:cs="Arial"/>
          <w:bCs/>
          <w:sz w:val="24"/>
          <w:szCs w:val="10"/>
        </w:rPr>
        <w:t>n</w:t>
      </w:r>
      <w:r w:rsidRPr="0061142A">
        <w:rPr>
          <w:bCs/>
          <w:sz w:val="24"/>
          <w:szCs w:val="10"/>
        </w:rPr>
        <w:t>é</w:t>
      </w:r>
      <w:r w:rsidRPr="0061142A">
        <w:rPr>
          <w:rFonts w:cs="Arial"/>
          <w:bCs/>
          <w:sz w:val="24"/>
          <w:szCs w:val="10"/>
        </w:rPr>
        <w:t>rale de 2014.</w:t>
      </w:r>
    </w:p>
    <w:p w:rsidR="005F113F" w:rsidRPr="0061142A" w:rsidRDefault="005F113F" w:rsidP="005F113F">
      <w:pPr>
        <w:spacing w:before="120" w:after="120"/>
        <w:jc w:val="both"/>
        <w:rPr>
          <w:sz w:val="24"/>
        </w:rPr>
      </w:pPr>
    </w:p>
    <w:p w:rsidR="005F113F" w:rsidRDefault="005F113F" w:rsidP="005F113F">
      <w:pPr>
        <w:pBdr>
          <w:top w:val="single" w:sz="24" w:space="1" w:color="auto"/>
        </w:pBdr>
        <w:spacing w:before="120" w:after="120"/>
        <w:ind w:left="1440" w:right="810" w:firstLine="0"/>
        <w:jc w:val="both"/>
        <w:rPr>
          <w:szCs w:val="22"/>
        </w:rPr>
      </w:pPr>
    </w:p>
    <w:p w:rsidR="005F113F" w:rsidRDefault="005F113F" w:rsidP="005F113F">
      <w:pPr>
        <w:spacing w:before="120" w:after="120"/>
        <w:jc w:val="both"/>
        <w:rPr>
          <w:szCs w:val="22"/>
        </w:rPr>
      </w:pPr>
    </w:p>
    <w:p w:rsidR="005F113F" w:rsidRPr="006B209B" w:rsidRDefault="005F113F" w:rsidP="005F113F">
      <w:pPr>
        <w:spacing w:before="120" w:after="120"/>
        <w:jc w:val="both"/>
      </w:pPr>
      <w:r w:rsidRPr="006B209B">
        <w:rPr>
          <w:szCs w:val="22"/>
        </w:rPr>
        <w:t>Selon les données de la DUC qui réfèrent aux actes de victimis</w:t>
      </w:r>
      <w:r w:rsidRPr="006B209B">
        <w:rPr>
          <w:szCs w:val="22"/>
        </w:rPr>
        <w:t>a</w:t>
      </w:r>
      <w:r w:rsidRPr="006B209B">
        <w:rPr>
          <w:szCs w:val="22"/>
        </w:rPr>
        <w:t>tion rapportés à la police entre 2009 et 2016</w:t>
      </w:r>
      <w:r>
        <w:rPr>
          <w:szCs w:val="22"/>
        </w:rPr>
        <w:t>  </w:t>
      </w:r>
      <w:r>
        <w:rPr>
          <w:rStyle w:val="Appelnotedebasdep"/>
          <w:szCs w:val="22"/>
        </w:rPr>
        <w:footnoteReference w:id="9"/>
      </w:r>
      <w:r w:rsidRPr="006B209B">
        <w:rPr>
          <w:szCs w:val="22"/>
        </w:rPr>
        <w:t>, et qualifiés de</w:t>
      </w:r>
      <w:r>
        <w:rPr>
          <w:szCs w:val="22"/>
        </w:rPr>
        <w:t xml:space="preserve"> </w:t>
      </w:r>
      <w:r>
        <w:rPr>
          <w:rFonts w:cs="Arial"/>
          <w:szCs w:val="18"/>
        </w:rPr>
        <w:t xml:space="preserve">[435] </w:t>
      </w:r>
      <w:r w:rsidRPr="006B209B">
        <w:rPr>
          <w:szCs w:val="22"/>
        </w:rPr>
        <w:t>crimes haineux par elle, de 1</w:t>
      </w:r>
      <w:r>
        <w:rPr>
          <w:szCs w:val="22"/>
        </w:rPr>
        <w:t> </w:t>
      </w:r>
      <w:r w:rsidRPr="006B209B">
        <w:rPr>
          <w:szCs w:val="22"/>
        </w:rPr>
        <w:t>100 à 1</w:t>
      </w:r>
      <w:r>
        <w:rPr>
          <w:szCs w:val="22"/>
        </w:rPr>
        <w:t> </w:t>
      </w:r>
      <w:r w:rsidRPr="006B209B">
        <w:rPr>
          <w:szCs w:val="22"/>
        </w:rPr>
        <w:t xml:space="preserve">500 </w:t>
      </w:r>
      <w:r>
        <w:rPr>
          <w:szCs w:val="22"/>
        </w:rPr>
        <w:t>« </w:t>
      </w:r>
      <w:r w:rsidRPr="006B209B">
        <w:rPr>
          <w:szCs w:val="22"/>
        </w:rPr>
        <w:t>crimes haineux</w:t>
      </w:r>
      <w:r>
        <w:rPr>
          <w:szCs w:val="22"/>
        </w:rPr>
        <w:t> »</w:t>
      </w:r>
      <w:r w:rsidRPr="006B209B">
        <w:rPr>
          <w:szCs w:val="22"/>
        </w:rPr>
        <w:t xml:space="preserve"> ont été enregistrés chaque année</w:t>
      </w:r>
      <w:r>
        <w:rPr>
          <w:szCs w:val="22"/>
        </w:rPr>
        <w:t> </w:t>
      </w:r>
      <w:r>
        <w:rPr>
          <w:rStyle w:val="Appelnotedebasdep"/>
          <w:szCs w:val="22"/>
        </w:rPr>
        <w:footnoteReference w:id="10"/>
      </w:r>
      <w:r w:rsidRPr="006B209B">
        <w:rPr>
          <w:szCs w:val="22"/>
        </w:rPr>
        <w:t xml:space="preserve"> (Tableau</w:t>
      </w:r>
      <w:r>
        <w:rPr>
          <w:szCs w:val="22"/>
        </w:rPr>
        <w:t> </w:t>
      </w:r>
      <w:r w:rsidRPr="006B209B">
        <w:rPr>
          <w:szCs w:val="22"/>
        </w:rPr>
        <w:t>1). En 2014,</w:t>
      </w:r>
      <w:r>
        <w:rPr>
          <w:szCs w:val="22"/>
        </w:rPr>
        <w:t xml:space="preserve"> </w:t>
      </w:r>
      <w:r w:rsidRPr="006B209B">
        <w:rPr>
          <w:szCs w:val="22"/>
        </w:rPr>
        <w:t>1,9 million d'inc</w:t>
      </w:r>
      <w:r w:rsidRPr="006B209B">
        <w:rPr>
          <w:szCs w:val="22"/>
        </w:rPr>
        <w:t>i</w:t>
      </w:r>
      <w:r w:rsidRPr="006B209B">
        <w:rPr>
          <w:szCs w:val="22"/>
        </w:rPr>
        <w:t>dents criminels ont été enreg</w:t>
      </w:r>
      <w:r>
        <w:rPr>
          <w:szCs w:val="22"/>
        </w:rPr>
        <w:t>istrés par la police, dont 0,07</w:t>
      </w:r>
      <w:r w:rsidRPr="006B209B">
        <w:rPr>
          <w:szCs w:val="22"/>
        </w:rPr>
        <w:t>% (1295) ont été qualifiés de crimes haineux</w:t>
      </w:r>
      <w:r>
        <w:rPr>
          <w:szCs w:val="22"/>
        </w:rPr>
        <w:t> </w:t>
      </w:r>
      <w:r>
        <w:rPr>
          <w:rStyle w:val="Appelnotedebasdep"/>
          <w:szCs w:val="22"/>
        </w:rPr>
        <w:footnoteReference w:id="11"/>
      </w:r>
      <w:r w:rsidRPr="006B209B">
        <w:rPr>
          <w:szCs w:val="22"/>
        </w:rPr>
        <w:t xml:space="preserve"> (Tableau</w:t>
      </w:r>
      <w:r>
        <w:rPr>
          <w:szCs w:val="22"/>
        </w:rPr>
        <w:t> </w:t>
      </w:r>
      <w:r w:rsidRPr="006B209B">
        <w:rPr>
          <w:szCs w:val="22"/>
        </w:rPr>
        <w:t>1). Par contraste, selon les répondants de l'ESG la même année, 330</w:t>
      </w:r>
      <w:r>
        <w:rPr>
          <w:szCs w:val="22"/>
        </w:rPr>
        <w:t> </w:t>
      </w:r>
      <w:r w:rsidRPr="006B209B">
        <w:rPr>
          <w:szCs w:val="22"/>
        </w:rPr>
        <w:t>000 incidents criminels auraient été mot</w:t>
      </w:r>
      <w:r w:rsidRPr="006B209B">
        <w:rPr>
          <w:szCs w:val="22"/>
        </w:rPr>
        <w:t>i</w:t>
      </w:r>
      <w:r>
        <w:rPr>
          <w:szCs w:val="22"/>
        </w:rPr>
        <w:t>vés par la haine, soit 5</w:t>
      </w:r>
      <w:r w:rsidRPr="006B209B">
        <w:rPr>
          <w:szCs w:val="22"/>
        </w:rPr>
        <w:t>% des 6,5 millions d'incidents criminels mentionnés par les répondants</w:t>
      </w:r>
      <w:r>
        <w:rPr>
          <w:szCs w:val="22"/>
        </w:rPr>
        <w:t> </w:t>
      </w:r>
      <w:r>
        <w:rPr>
          <w:rStyle w:val="Appelnotedebasdep"/>
          <w:szCs w:val="22"/>
        </w:rPr>
        <w:footnoteReference w:id="12"/>
      </w:r>
      <w:r w:rsidRPr="006B209B">
        <w:rPr>
          <w:szCs w:val="22"/>
        </w:rPr>
        <w:t>. De ces 330</w:t>
      </w:r>
      <w:r>
        <w:rPr>
          <w:szCs w:val="22"/>
        </w:rPr>
        <w:t> </w:t>
      </w:r>
      <w:r w:rsidRPr="006B209B">
        <w:rPr>
          <w:szCs w:val="22"/>
        </w:rPr>
        <w:t xml:space="preserve">000 personnes </w:t>
      </w:r>
      <w:r w:rsidRPr="006B209B">
        <w:rPr>
          <w:szCs w:val="22"/>
        </w:rPr>
        <w:lastRenderedPageBreak/>
        <w:t>s'étant déclarées victimes d'un acte motivé par la haine, les deux tiers, 220</w:t>
      </w:r>
      <w:r>
        <w:rPr>
          <w:szCs w:val="22"/>
        </w:rPr>
        <w:t> </w:t>
      </w:r>
      <w:r w:rsidRPr="006B209B">
        <w:rPr>
          <w:szCs w:val="22"/>
        </w:rPr>
        <w:t>000, ne l'ont pas rapporté à la police. Un écart significatif apparaît entre le phénomène vécu par la population et l'action policière dest</w:t>
      </w:r>
      <w:r w:rsidRPr="006B209B">
        <w:rPr>
          <w:szCs w:val="22"/>
        </w:rPr>
        <w:t>i</w:t>
      </w:r>
      <w:r w:rsidRPr="006B209B">
        <w:rPr>
          <w:szCs w:val="22"/>
        </w:rPr>
        <w:t>née à l'endiguer.</w:t>
      </w:r>
    </w:p>
    <w:p w:rsidR="005F113F" w:rsidRPr="006B209B" w:rsidRDefault="005F113F" w:rsidP="005F113F">
      <w:pPr>
        <w:spacing w:before="120" w:after="120"/>
        <w:jc w:val="both"/>
      </w:pPr>
      <w:r w:rsidRPr="006B209B">
        <w:rPr>
          <w:szCs w:val="22"/>
        </w:rPr>
        <w:t>On peut avancer trois explications</w:t>
      </w:r>
      <w:r>
        <w:rPr>
          <w:szCs w:val="22"/>
        </w:rPr>
        <w:t> :</w:t>
      </w:r>
      <w:r w:rsidRPr="006B209B">
        <w:rPr>
          <w:szCs w:val="22"/>
        </w:rPr>
        <w:t xml:space="preserve"> les répo</w:t>
      </w:r>
      <w:r w:rsidRPr="006B209B">
        <w:rPr>
          <w:szCs w:val="22"/>
        </w:rPr>
        <w:t>n</w:t>
      </w:r>
      <w:r w:rsidRPr="006B209B">
        <w:rPr>
          <w:szCs w:val="22"/>
        </w:rPr>
        <w:t>dants ne connaissent pas ou n'acceptent pas les déf</w:t>
      </w:r>
      <w:r w:rsidRPr="006B209B">
        <w:rPr>
          <w:szCs w:val="22"/>
        </w:rPr>
        <w:t>i</w:t>
      </w:r>
      <w:r w:rsidRPr="006B209B">
        <w:rPr>
          <w:szCs w:val="22"/>
        </w:rPr>
        <w:t>nitions administratives ou juridiques d'un crime haineux</w:t>
      </w:r>
      <w:r>
        <w:rPr>
          <w:szCs w:val="22"/>
        </w:rPr>
        <w:t> ;</w:t>
      </w:r>
      <w:r w:rsidRPr="006B209B">
        <w:rPr>
          <w:szCs w:val="22"/>
        </w:rPr>
        <w:t xml:space="preserve"> les services de police n'appliquent pas ces défin</w:t>
      </w:r>
      <w:r w:rsidRPr="006B209B">
        <w:rPr>
          <w:szCs w:val="22"/>
        </w:rPr>
        <w:t>i</w:t>
      </w:r>
      <w:r w:rsidRPr="006B209B">
        <w:rPr>
          <w:szCs w:val="22"/>
        </w:rPr>
        <w:t>tions de manière systématique</w:t>
      </w:r>
      <w:r>
        <w:rPr>
          <w:szCs w:val="22"/>
        </w:rPr>
        <w:t> ;</w:t>
      </w:r>
      <w:r w:rsidRPr="006B209B">
        <w:rPr>
          <w:szCs w:val="22"/>
        </w:rPr>
        <w:t xml:space="preserve"> les victimes ne rapportent pas les faits par crainte ou par manque de confiance envers les services de police.</w:t>
      </w:r>
    </w:p>
    <w:p w:rsidR="005F113F" w:rsidRPr="006B209B" w:rsidRDefault="005F113F" w:rsidP="005F113F">
      <w:pPr>
        <w:spacing w:before="120" w:after="120"/>
        <w:jc w:val="both"/>
      </w:pPr>
      <w:r w:rsidRPr="006B209B">
        <w:rPr>
          <w:szCs w:val="22"/>
        </w:rPr>
        <w:t>La sous-déclaration est souvent invoquée par les responsables d'ONG et de services policiers. Shalini Konanur, directrice ex</w:t>
      </w:r>
      <w:r>
        <w:rPr>
          <w:szCs w:val="22"/>
        </w:rPr>
        <w:t>é</w:t>
      </w:r>
      <w:r w:rsidRPr="006B209B">
        <w:rPr>
          <w:szCs w:val="22"/>
        </w:rPr>
        <w:t xml:space="preserve">cutive et avocate à la </w:t>
      </w:r>
      <w:r w:rsidRPr="006B209B">
        <w:rPr>
          <w:i/>
          <w:iCs/>
          <w:szCs w:val="22"/>
        </w:rPr>
        <w:t>South Asian L</w:t>
      </w:r>
      <w:r>
        <w:rPr>
          <w:i/>
          <w:iCs/>
          <w:szCs w:val="22"/>
        </w:rPr>
        <w:t>e</w:t>
      </w:r>
      <w:r w:rsidRPr="006B209B">
        <w:rPr>
          <w:i/>
          <w:iCs/>
          <w:szCs w:val="22"/>
        </w:rPr>
        <w:t xml:space="preserve">gal Clinic of Ontario, </w:t>
      </w:r>
      <w:r w:rsidRPr="006B209B">
        <w:rPr>
          <w:szCs w:val="22"/>
        </w:rPr>
        <w:t>a témoigné devant le Comité permanent du patrimoine canadien enquêtant sur le racisme systémique, la discrimination religie</w:t>
      </w:r>
      <w:r w:rsidRPr="006B209B">
        <w:rPr>
          <w:szCs w:val="22"/>
        </w:rPr>
        <w:t>u</w:t>
      </w:r>
      <w:r w:rsidRPr="006B209B">
        <w:rPr>
          <w:szCs w:val="22"/>
        </w:rPr>
        <w:t>se et l'islamophobie</w:t>
      </w:r>
      <w:r>
        <w:rPr>
          <w:szCs w:val="22"/>
        </w:rPr>
        <w:t> </w:t>
      </w:r>
      <w:r>
        <w:rPr>
          <w:rStyle w:val="Appelnotedebasdep"/>
          <w:szCs w:val="22"/>
        </w:rPr>
        <w:footnoteReference w:id="13"/>
      </w:r>
      <w:r>
        <w:rPr>
          <w:szCs w:val="22"/>
        </w:rPr>
        <w:t> :</w:t>
      </w:r>
    </w:p>
    <w:p w:rsidR="005F113F" w:rsidRDefault="005F113F" w:rsidP="005F113F">
      <w:pPr>
        <w:spacing w:before="120" w:after="120"/>
        <w:jc w:val="both"/>
      </w:pPr>
      <w:r>
        <w:t>[436]</w:t>
      </w:r>
    </w:p>
    <w:p w:rsidR="005F113F" w:rsidRDefault="005F113F" w:rsidP="005F113F">
      <w:pPr>
        <w:pStyle w:val="Grillecouleur-Accent1"/>
      </w:pPr>
    </w:p>
    <w:p w:rsidR="005F113F" w:rsidRDefault="005F113F" w:rsidP="005F113F">
      <w:pPr>
        <w:pStyle w:val="Grillecouleur-Accent1"/>
      </w:pPr>
      <w:r w:rsidRPr="006B209B">
        <w:t>Nous parlons à des clients tous les jours qui relatent des incidents ha</w:t>
      </w:r>
      <w:r w:rsidRPr="006B209B">
        <w:t>i</w:t>
      </w:r>
      <w:r w:rsidRPr="006B209B">
        <w:t>neux, violents ou islamophobes et qui nous disent de façon répétée qu'ils ne porteront pas plainte, qu'ils ne se sentent pas en sécurité de le faire, qu'ils ne sentent pas qu'on les appuierait s'ils le faisaient et qu'ils ne croient pas que cela changerait quoi que ce soit.</w:t>
      </w:r>
    </w:p>
    <w:p w:rsidR="005F113F" w:rsidRPr="006B209B" w:rsidRDefault="005F113F" w:rsidP="005F113F">
      <w:pPr>
        <w:pStyle w:val="Grillecouleur-Accent1"/>
      </w:pPr>
    </w:p>
    <w:p w:rsidR="005F113F" w:rsidRPr="006B209B" w:rsidRDefault="005F113F" w:rsidP="005F113F">
      <w:pPr>
        <w:spacing w:before="120" w:after="120"/>
        <w:jc w:val="both"/>
      </w:pPr>
      <w:r w:rsidRPr="006B209B">
        <w:rPr>
          <w:szCs w:val="22"/>
        </w:rPr>
        <w:t>Devant le même Comité, Gilles Michaud, sous-commissaire de la Police fédérale au sein de la Ge</w:t>
      </w:r>
      <w:r w:rsidRPr="006B209B">
        <w:rPr>
          <w:szCs w:val="22"/>
        </w:rPr>
        <w:t>n</w:t>
      </w:r>
      <w:r w:rsidRPr="006B209B">
        <w:rPr>
          <w:szCs w:val="22"/>
        </w:rPr>
        <w:t xml:space="preserve">darmerie royale du Canada, a insisté sur la nécessité de signaler les crimes haineux afin de saisir </w:t>
      </w:r>
      <w:r>
        <w:rPr>
          <w:szCs w:val="22"/>
        </w:rPr>
        <w:t>« </w:t>
      </w:r>
      <w:r w:rsidRPr="006B209B">
        <w:rPr>
          <w:szCs w:val="22"/>
        </w:rPr>
        <w:t>l'ampleur du problème dans nos collectivités</w:t>
      </w:r>
      <w:r>
        <w:rPr>
          <w:szCs w:val="22"/>
        </w:rPr>
        <w:t> »</w:t>
      </w:r>
      <w:r w:rsidRPr="006B209B">
        <w:rPr>
          <w:szCs w:val="22"/>
        </w:rPr>
        <w:t xml:space="preserve"> et expl</w:t>
      </w:r>
      <w:r w:rsidRPr="006B209B">
        <w:rPr>
          <w:szCs w:val="22"/>
        </w:rPr>
        <w:t>i</w:t>
      </w:r>
      <w:r w:rsidRPr="006B209B">
        <w:rPr>
          <w:szCs w:val="22"/>
        </w:rPr>
        <w:t xml:space="preserve">qué que les </w:t>
      </w:r>
      <w:r>
        <w:rPr>
          <w:szCs w:val="22"/>
        </w:rPr>
        <w:t>« </w:t>
      </w:r>
      <w:r w:rsidRPr="006B209B">
        <w:rPr>
          <w:szCs w:val="22"/>
        </w:rPr>
        <w:t>programmes pédagogiques [...] sont essentiels à la lutte contre les crimes haineux puisqu'ils encouragent les victimes à signaler les inc</w:t>
      </w:r>
      <w:r w:rsidRPr="006B209B">
        <w:rPr>
          <w:szCs w:val="22"/>
        </w:rPr>
        <w:t>i</w:t>
      </w:r>
      <w:r w:rsidRPr="006B209B">
        <w:rPr>
          <w:szCs w:val="22"/>
        </w:rPr>
        <w:lastRenderedPageBreak/>
        <w:t>dents de manière à ce que les forces de l'ordre puissent faire enqu</w:t>
      </w:r>
      <w:r w:rsidRPr="006B209B">
        <w:rPr>
          <w:szCs w:val="22"/>
        </w:rPr>
        <w:t>ê</w:t>
      </w:r>
      <w:r w:rsidRPr="006B209B">
        <w:rPr>
          <w:szCs w:val="22"/>
        </w:rPr>
        <w:t>te</w:t>
      </w:r>
      <w:r>
        <w:rPr>
          <w:szCs w:val="22"/>
        </w:rPr>
        <w:t> » </w:t>
      </w:r>
      <w:r>
        <w:rPr>
          <w:rStyle w:val="Appelnotedebasdep"/>
          <w:szCs w:val="22"/>
        </w:rPr>
        <w:footnoteReference w:id="14"/>
      </w:r>
      <w:r w:rsidRPr="006B209B">
        <w:rPr>
          <w:szCs w:val="22"/>
        </w:rPr>
        <w:t>.</w:t>
      </w:r>
    </w:p>
    <w:p w:rsidR="005F113F" w:rsidRPr="006B209B" w:rsidRDefault="005F113F" w:rsidP="005F113F">
      <w:pPr>
        <w:spacing w:before="120" w:after="120"/>
        <w:jc w:val="both"/>
      </w:pPr>
      <w:r w:rsidRPr="006B209B">
        <w:rPr>
          <w:szCs w:val="22"/>
        </w:rPr>
        <w:t>Dans son rapport sur les crimes haineux déclarés par la police en 2015, Statistique Canada a énuméré divers facteurs susceptibles d'i</w:t>
      </w:r>
      <w:r w:rsidRPr="006B209B">
        <w:rPr>
          <w:szCs w:val="22"/>
        </w:rPr>
        <w:t>n</w:t>
      </w:r>
      <w:r w:rsidRPr="006B209B">
        <w:rPr>
          <w:szCs w:val="22"/>
        </w:rPr>
        <w:t>fluencer le signal</w:t>
      </w:r>
      <w:r w:rsidRPr="006B209B">
        <w:rPr>
          <w:szCs w:val="22"/>
        </w:rPr>
        <w:t>e</w:t>
      </w:r>
      <w:r w:rsidRPr="006B209B">
        <w:rPr>
          <w:szCs w:val="22"/>
        </w:rPr>
        <w:t>ment des crimes haineux</w:t>
      </w:r>
      <w:r>
        <w:rPr>
          <w:szCs w:val="22"/>
        </w:rPr>
        <w:t> :</w:t>
      </w:r>
    </w:p>
    <w:p w:rsidR="005F113F" w:rsidRDefault="005F113F" w:rsidP="005F113F">
      <w:pPr>
        <w:pStyle w:val="Grillecouleur-Accent1"/>
      </w:pPr>
    </w:p>
    <w:p w:rsidR="005F113F" w:rsidRDefault="005F113F" w:rsidP="005F113F">
      <w:pPr>
        <w:pStyle w:val="Grillecouleur-Accent1"/>
      </w:pPr>
      <w:r w:rsidRPr="006B209B">
        <w:t>[L]a présence (ou l'absence) d'une brigade spéci</w:t>
      </w:r>
      <w:r w:rsidRPr="006B209B">
        <w:t>a</w:t>
      </w:r>
      <w:r w:rsidRPr="006B209B">
        <w:t>le de lutte contre les crimes haineux ou d'un programme de formation au sein d'un se</w:t>
      </w:r>
      <w:r w:rsidRPr="006B209B">
        <w:t>r</w:t>
      </w:r>
      <w:r w:rsidRPr="006B209B">
        <w:t>vice de police donné peut influer sur le fait qu'un crime soit considéré comme ha</w:t>
      </w:r>
      <w:r w:rsidRPr="006B209B">
        <w:t>i</w:t>
      </w:r>
      <w:r w:rsidRPr="006B209B">
        <w:t>neux ou non. L'existence (ou l'inexistence) de programmes de sensibilis</w:t>
      </w:r>
      <w:r w:rsidRPr="006B209B">
        <w:t>a</w:t>
      </w:r>
      <w:r w:rsidRPr="006B209B">
        <w:t>tion communautaire, de campagnes de sensibilisation du public, de polit</w:t>
      </w:r>
      <w:r w:rsidRPr="006B209B">
        <w:t>i</w:t>
      </w:r>
      <w:r w:rsidRPr="006B209B">
        <w:t>ques de tolérance zéro et de programmes d'aide aux victimes peut influer sur la volonté ou la capacité des membres de la collectivité de signaler les incidents à la police ou de divulguer à la police leur n</w:t>
      </w:r>
      <w:r w:rsidRPr="006B209B">
        <w:t>a</w:t>
      </w:r>
      <w:r w:rsidRPr="006B209B">
        <w:t>ture haineuse.</w:t>
      </w:r>
      <w:r>
        <w:t> </w:t>
      </w:r>
      <w:r>
        <w:rPr>
          <w:rStyle w:val="Appelnotedebasdep"/>
          <w:szCs w:val="18"/>
        </w:rPr>
        <w:footnoteReference w:id="15"/>
      </w:r>
    </w:p>
    <w:p w:rsidR="005F113F" w:rsidRPr="006B209B" w:rsidRDefault="005F113F" w:rsidP="005F113F">
      <w:pPr>
        <w:pStyle w:val="Grillecouleur-Accent1"/>
      </w:pPr>
    </w:p>
    <w:p w:rsidR="005F113F" w:rsidRPr="006B209B" w:rsidRDefault="005F113F" w:rsidP="005F113F">
      <w:pPr>
        <w:spacing w:before="120" w:after="120"/>
        <w:jc w:val="both"/>
      </w:pPr>
      <w:r w:rsidRPr="006B209B">
        <w:rPr>
          <w:szCs w:val="22"/>
        </w:rPr>
        <w:t>L'avocate Konanur a aussi invoqué ce motif, e</w:t>
      </w:r>
      <w:r w:rsidRPr="006B209B">
        <w:rPr>
          <w:szCs w:val="22"/>
        </w:rPr>
        <w:t>x</w:t>
      </w:r>
      <w:r w:rsidRPr="006B209B">
        <w:rPr>
          <w:szCs w:val="22"/>
        </w:rPr>
        <w:t xml:space="preserve">pliquant qu'au sein de la communauté, la </w:t>
      </w:r>
      <w:r>
        <w:rPr>
          <w:szCs w:val="22"/>
        </w:rPr>
        <w:t>« </w:t>
      </w:r>
      <w:r w:rsidRPr="006B209B">
        <w:rPr>
          <w:szCs w:val="22"/>
        </w:rPr>
        <w:t>peur de parler aux policiers</w:t>
      </w:r>
      <w:r>
        <w:rPr>
          <w:szCs w:val="22"/>
        </w:rPr>
        <w:t> » </w:t>
      </w:r>
      <w:r>
        <w:rPr>
          <w:rStyle w:val="Appelnotedebasdep"/>
          <w:szCs w:val="22"/>
        </w:rPr>
        <w:footnoteReference w:id="16"/>
      </w:r>
      <w:r w:rsidRPr="006B209B">
        <w:rPr>
          <w:szCs w:val="22"/>
        </w:rPr>
        <w:t xml:space="preserve"> empêche ce</w:t>
      </w:r>
      <w:r w:rsidRPr="006B209B">
        <w:rPr>
          <w:szCs w:val="22"/>
        </w:rPr>
        <w:t>r</w:t>
      </w:r>
      <w:r w:rsidRPr="006B209B">
        <w:rPr>
          <w:szCs w:val="22"/>
        </w:rPr>
        <w:t>tains de ses clients de signaler un incident.</w:t>
      </w:r>
    </w:p>
    <w:p w:rsidR="005F113F" w:rsidRDefault="005F113F" w:rsidP="005F113F">
      <w:pPr>
        <w:spacing w:before="120" w:after="120"/>
        <w:jc w:val="both"/>
      </w:pPr>
      <w:r>
        <w:t>[437]</w:t>
      </w:r>
    </w:p>
    <w:p w:rsidR="005F113F" w:rsidRPr="006B209B" w:rsidRDefault="005F113F" w:rsidP="005F113F">
      <w:pPr>
        <w:spacing w:before="120" w:after="120"/>
        <w:jc w:val="both"/>
      </w:pPr>
      <w:r w:rsidRPr="006B209B">
        <w:rPr>
          <w:szCs w:val="22"/>
        </w:rPr>
        <w:t>On constate des tendances marquées, cependant. Durant les dix dernières années, les crimes haineux déclarés par la police se sont multipliés</w:t>
      </w:r>
      <w:r>
        <w:rPr>
          <w:szCs w:val="22"/>
        </w:rPr>
        <w:t> :</w:t>
      </w:r>
      <w:r w:rsidRPr="006B209B">
        <w:rPr>
          <w:szCs w:val="22"/>
        </w:rPr>
        <w:t xml:space="preserve"> 765 en 2007</w:t>
      </w:r>
      <w:r>
        <w:rPr>
          <w:szCs w:val="22"/>
        </w:rPr>
        <w:t>  </w:t>
      </w:r>
      <w:r>
        <w:rPr>
          <w:rStyle w:val="Appelnotedebasdep"/>
          <w:szCs w:val="22"/>
        </w:rPr>
        <w:footnoteReference w:id="17"/>
      </w:r>
      <w:r w:rsidRPr="006B209B">
        <w:rPr>
          <w:szCs w:val="22"/>
        </w:rPr>
        <w:t>, 1409 en 2016 avec un maximum de 1</w:t>
      </w:r>
      <w:r>
        <w:rPr>
          <w:szCs w:val="22"/>
        </w:rPr>
        <w:t> </w:t>
      </w:r>
      <w:r w:rsidRPr="006B209B">
        <w:rPr>
          <w:szCs w:val="22"/>
        </w:rPr>
        <w:t>473 en 2009 (Tableau 1), et ont ciblé des populations particulières. La p</w:t>
      </w:r>
      <w:r w:rsidRPr="006B209B">
        <w:rPr>
          <w:szCs w:val="22"/>
        </w:rPr>
        <w:t>o</w:t>
      </w:r>
      <w:r w:rsidRPr="006B209B">
        <w:rPr>
          <w:szCs w:val="22"/>
        </w:rPr>
        <w:t>pulation d'origine juive est la plus fréquemment ciblée lorsque l'incit</w:t>
      </w:r>
      <w:r w:rsidRPr="006B209B">
        <w:rPr>
          <w:szCs w:val="22"/>
        </w:rPr>
        <w:t>a</w:t>
      </w:r>
      <w:r w:rsidRPr="006B209B">
        <w:rPr>
          <w:szCs w:val="22"/>
        </w:rPr>
        <w:t>tion à la haine est fondée sur la religion</w:t>
      </w:r>
      <w:r>
        <w:rPr>
          <w:szCs w:val="22"/>
        </w:rPr>
        <w:t> ;</w:t>
      </w:r>
      <w:r w:rsidRPr="006B209B">
        <w:rPr>
          <w:szCs w:val="22"/>
        </w:rPr>
        <w:t xml:space="preserve"> celle d'ascendance noire, </w:t>
      </w:r>
      <w:r w:rsidRPr="006B209B">
        <w:rPr>
          <w:szCs w:val="22"/>
        </w:rPr>
        <w:lastRenderedPageBreak/>
        <w:t>lorsque l'incitation à la haine est fondée sur la race ou l'origine ethn</w:t>
      </w:r>
      <w:r w:rsidRPr="006B209B">
        <w:rPr>
          <w:szCs w:val="22"/>
        </w:rPr>
        <w:t>i</w:t>
      </w:r>
      <w:r w:rsidRPr="006B209B">
        <w:rPr>
          <w:szCs w:val="22"/>
        </w:rPr>
        <w:t>que</w:t>
      </w:r>
      <w:r>
        <w:rPr>
          <w:szCs w:val="22"/>
        </w:rPr>
        <w:t> ;</w:t>
      </w:r>
      <w:r w:rsidRPr="006B209B">
        <w:rPr>
          <w:szCs w:val="22"/>
        </w:rPr>
        <w:t xml:space="preserve"> la population LGBT subit les incidents les plus violents. Par ai</w:t>
      </w:r>
      <w:r w:rsidRPr="006B209B">
        <w:rPr>
          <w:szCs w:val="22"/>
        </w:rPr>
        <w:t>l</w:t>
      </w:r>
      <w:r w:rsidRPr="006B209B">
        <w:rPr>
          <w:szCs w:val="22"/>
        </w:rPr>
        <w:t>leurs, les crimes haineux envers les musulmans se sont multipliés d</w:t>
      </w:r>
      <w:r w:rsidRPr="006B209B">
        <w:rPr>
          <w:szCs w:val="22"/>
        </w:rPr>
        <w:t>e</w:t>
      </w:r>
      <w:r w:rsidRPr="006B209B">
        <w:rPr>
          <w:szCs w:val="22"/>
        </w:rPr>
        <w:t>puis 2008</w:t>
      </w:r>
      <w:r>
        <w:rPr>
          <w:szCs w:val="22"/>
        </w:rPr>
        <w:t xml:space="preserve"> : </w:t>
      </w:r>
      <w:r w:rsidRPr="006B209B">
        <w:rPr>
          <w:szCs w:val="22"/>
        </w:rPr>
        <w:t>26 en 2008, 36 en 2009, 99 en 2014,</w:t>
      </w:r>
      <w:r>
        <w:rPr>
          <w:szCs w:val="22"/>
        </w:rPr>
        <w:t xml:space="preserve"> </w:t>
      </w:r>
      <w:r w:rsidRPr="006B209B">
        <w:rPr>
          <w:szCs w:val="22"/>
        </w:rPr>
        <w:t>159 en 2015 et 139 en 2016 (Tableau 1). Il s'agit de la plus forte augmentation obse</w:t>
      </w:r>
      <w:r w:rsidRPr="006B209B">
        <w:rPr>
          <w:szCs w:val="22"/>
        </w:rPr>
        <w:t>r</w:t>
      </w:r>
      <w:r w:rsidRPr="006B209B">
        <w:rPr>
          <w:szCs w:val="22"/>
        </w:rPr>
        <w:t>vée</w:t>
      </w:r>
      <w:r>
        <w:rPr>
          <w:szCs w:val="22"/>
        </w:rPr>
        <w:t> </w:t>
      </w:r>
      <w:r>
        <w:rPr>
          <w:rStyle w:val="Appelnotedebasdep"/>
          <w:szCs w:val="22"/>
        </w:rPr>
        <w:footnoteReference w:id="18"/>
      </w:r>
      <w:r w:rsidRPr="006B209B">
        <w:rPr>
          <w:szCs w:val="22"/>
        </w:rPr>
        <w:t>. Ce fait est encore plus marquant si l'on tient compte de l'au</w:t>
      </w:r>
      <w:r w:rsidRPr="006B209B">
        <w:rPr>
          <w:szCs w:val="22"/>
        </w:rPr>
        <w:t>g</w:t>
      </w:r>
      <w:r w:rsidRPr="006B209B">
        <w:rPr>
          <w:szCs w:val="22"/>
        </w:rPr>
        <w:t>mentation des crimes haineux ciblant des groupes ethniques ou r</w:t>
      </w:r>
      <w:r w:rsidRPr="006B209B">
        <w:rPr>
          <w:szCs w:val="22"/>
        </w:rPr>
        <w:t>a</w:t>
      </w:r>
      <w:r w:rsidRPr="006B209B">
        <w:rPr>
          <w:szCs w:val="22"/>
        </w:rPr>
        <w:t>ciaux facil</w:t>
      </w:r>
      <w:r w:rsidRPr="006B209B">
        <w:rPr>
          <w:szCs w:val="22"/>
        </w:rPr>
        <w:t>e</w:t>
      </w:r>
      <w:r w:rsidRPr="006B209B">
        <w:rPr>
          <w:szCs w:val="22"/>
        </w:rPr>
        <w:t>ment assimilables par le grand public à des musulmans (asiatiques occidentaux, arabes). En combinant les trois catégories, arabes, m</w:t>
      </w:r>
      <w:r w:rsidRPr="006B209B">
        <w:rPr>
          <w:szCs w:val="22"/>
        </w:rPr>
        <w:t>u</w:t>
      </w:r>
      <w:r w:rsidRPr="006B209B">
        <w:rPr>
          <w:szCs w:val="22"/>
        </w:rPr>
        <w:t>sulmans, asiatiques occidentaux, ces populations ont été, en valeur absolue, le groupe le plus atteint par le ph</w:t>
      </w:r>
      <w:r w:rsidRPr="006B209B">
        <w:rPr>
          <w:szCs w:val="22"/>
        </w:rPr>
        <w:t>é</w:t>
      </w:r>
      <w:r w:rsidRPr="006B209B">
        <w:rPr>
          <w:szCs w:val="22"/>
        </w:rPr>
        <w:t>nomène des crimes haineux au Canada durant les huit dernières années. Elles ont subi près d'un crime haineux sur cinq ces deux dernières années (19 % en 2015 et 18% en 2016).</w:t>
      </w:r>
    </w:p>
    <w:p w:rsidR="005F113F" w:rsidRDefault="005F113F" w:rsidP="005F113F">
      <w:pPr>
        <w:spacing w:before="120" w:after="120"/>
        <w:jc w:val="both"/>
        <w:rPr>
          <w:szCs w:val="22"/>
        </w:rPr>
      </w:pPr>
      <w:r w:rsidRPr="006B209B">
        <w:rPr>
          <w:szCs w:val="22"/>
        </w:rPr>
        <w:t>Deux autres constats sont marquants. La religion est souvent un motif de crime haineux (Tableau 1) et ces actes semblent viser plus souvent des personnes que des biens religieux (temple, église, syn</w:t>
      </w:r>
      <w:r w:rsidRPr="006B209B">
        <w:rPr>
          <w:szCs w:val="22"/>
        </w:rPr>
        <w:t>a</w:t>
      </w:r>
      <w:r w:rsidRPr="006B209B">
        <w:rPr>
          <w:szCs w:val="22"/>
        </w:rPr>
        <w:t>gogue, mosquée) (Tableau 2). Par ailleurs, les incitations à la haine sont fréquentes surtout en Colombie-Britannique, en Ontario et au Québec, mais ne se concentrent pas dans les trois métropoles de ces pr</w:t>
      </w:r>
      <w:r w:rsidRPr="006B209B">
        <w:rPr>
          <w:szCs w:val="22"/>
        </w:rPr>
        <w:t>o</w:t>
      </w:r>
      <w:r w:rsidRPr="006B209B">
        <w:rPr>
          <w:szCs w:val="22"/>
        </w:rPr>
        <w:t>vinces (Tableau 3)</w:t>
      </w:r>
      <w:r>
        <w:rPr>
          <w:szCs w:val="22"/>
        </w:rPr>
        <w:t> </w:t>
      </w:r>
      <w:r>
        <w:rPr>
          <w:rStyle w:val="Appelnotedebasdep"/>
          <w:szCs w:val="22"/>
        </w:rPr>
        <w:footnoteReference w:id="19"/>
      </w:r>
      <w:r w:rsidRPr="006B209B">
        <w:rPr>
          <w:szCs w:val="22"/>
        </w:rPr>
        <w:t>.</w:t>
      </w:r>
    </w:p>
    <w:p w:rsidR="005F113F" w:rsidRDefault="005F113F" w:rsidP="005F113F">
      <w:pPr>
        <w:spacing w:before="120" w:after="120"/>
        <w:jc w:val="both"/>
        <w:rPr>
          <w:szCs w:val="22"/>
        </w:rPr>
      </w:pPr>
    </w:p>
    <w:p w:rsidR="005F113F" w:rsidRDefault="005F113F" w:rsidP="005F113F">
      <w:pPr>
        <w:spacing w:before="120" w:after="120"/>
        <w:jc w:val="both"/>
        <w:sectPr w:rsidR="005F113F">
          <w:headerReference w:type="default" r:id="rId19"/>
          <w:pgSz w:w="12240" w:h="15840"/>
          <w:pgMar w:top="1800" w:right="1440" w:bottom="1440" w:left="2160" w:header="720" w:footer="720" w:gutter="720"/>
          <w:cols w:space="720"/>
          <w:titlePg/>
        </w:sectPr>
      </w:pPr>
    </w:p>
    <w:p w:rsidR="005F113F" w:rsidRDefault="005F113F" w:rsidP="005F113F">
      <w:pPr>
        <w:pStyle w:val="p"/>
      </w:pPr>
      <w:r>
        <w:t>[438]</w:t>
      </w:r>
    </w:p>
    <w:p w:rsidR="005F113F" w:rsidRDefault="005F113F" w:rsidP="005F113F">
      <w:pPr>
        <w:pStyle w:val="p"/>
      </w:pPr>
    </w:p>
    <w:p w:rsidR="005F113F" w:rsidRPr="006B209B" w:rsidRDefault="005F113F" w:rsidP="005F113F">
      <w:pPr>
        <w:pStyle w:val="figtitre"/>
        <w:rPr>
          <w:szCs w:val="16"/>
        </w:rPr>
      </w:pPr>
      <w:r w:rsidRPr="00003D5B">
        <w:t>Tableau 1. Crimes haineux rapportés par la police selon la motivation, Canada, 2009 - 2016</w:t>
      </w:r>
    </w:p>
    <w:tbl>
      <w:tblPr>
        <w:tblW w:w="0" w:type="auto"/>
        <w:tblInd w:w="40" w:type="dxa"/>
        <w:tblLayout w:type="fixed"/>
        <w:tblCellMar>
          <w:left w:w="40" w:type="dxa"/>
          <w:right w:w="40" w:type="dxa"/>
        </w:tblCellMar>
        <w:tblLook w:val="0000" w:firstRow="0" w:lastRow="0" w:firstColumn="0" w:lastColumn="0" w:noHBand="0" w:noVBand="0"/>
      </w:tblPr>
      <w:tblGrid>
        <w:gridCol w:w="2525"/>
        <w:gridCol w:w="907"/>
        <w:gridCol w:w="907"/>
        <w:gridCol w:w="907"/>
        <w:gridCol w:w="893"/>
        <w:gridCol w:w="14"/>
        <w:gridCol w:w="907"/>
        <w:gridCol w:w="897"/>
        <w:gridCol w:w="10"/>
        <w:gridCol w:w="907"/>
        <w:gridCol w:w="883"/>
        <w:gridCol w:w="24"/>
        <w:gridCol w:w="907"/>
        <w:gridCol w:w="907"/>
        <w:gridCol w:w="7"/>
        <w:gridCol w:w="900"/>
        <w:gridCol w:w="900"/>
        <w:gridCol w:w="7"/>
        <w:gridCol w:w="907"/>
        <w:gridCol w:w="895"/>
        <w:gridCol w:w="12"/>
        <w:gridCol w:w="907"/>
        <w:gridCol w:w="908"/>
      </w:tblGrid>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0"/>
              </w:rPr>
            </w:pPr>
          </w:p>
        </w:tc>
        <w:tc>
          <w:tcPr>
            <w:tcW w:w="1813" w:type="dxa"/>
            <w:gridSpan w:val="2"/>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0"/>
              </w:rPr>
            </w:pPr>
            <w:r w:rsidRPr="00003D5B">
              <w:rPr>
                <w:bCs/>
                <w:sz w:val="20"/>
                <w:szCs w:val="14"/>
              </w:rPr>
              <w:t>2009</w:t>
            </w:r>
          </w:p>
        </w:tc>
        <w:tc>
          <w:tcPr>
            <w:tcW w:w="1800" w:type="dxa"/>
            <w:gridSpan w:val="2"/>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0"/>
              </w:rPr>
            </w:pPr>
            <w:r w:rsidRPr="00003D5B">
              <w:rPr>
                <w:bCs/>
                <w:sz w:val="20"/>
                <w:szCs w:val="14"/>
              </w:rPr>
              <w:t>2010</w:t>
            </w:r>
          </w:p>
        </w:tc>
        <w:tc>
          <w:tcPr>
            <w:tcW w:w="1818" w:type="dxa"/>
            <w:gridSpan w:val="3"/>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0"/>
              </w:rPr>
            </w:pPr>
            <w:r w:rsidRPr="00003D5B">
              <w:rPr>
                <w:bCs/>
                <w:sz w:val="20"/>
                <w:szCs w:val="14"/>
              </w:rPr>
              <w:t>2011</w:t>
            </w:r>
          </w:p>
        </w:tc>
        <w:tc>
          <w:tcPr>
            <w:tcW w:w="1800" w:type="dxa"/>
            <w:gridSpan w:val="3"/>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0"/>
              </w:rPr>
            </w:pPr>
            <w:r w:rsidRPr="00003D5B">
              <w:rPr>
                <w:bCs/>
                <w:sz w:val="20"/>
                <w:szCs w:val="14"/>
              </w:rPr>
              <w:t>2012</w:t>
            </w:r>
          </w:p>
        </w:tc>
        <w:tc>
          <w:tcPr>
            <w:tcW w:w="1845" w:type="dxa"/>
            <w:gridSpan w:val="4"/>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0"/>
              </w:rPr>
            </w:pPr>
            <w:r w:rsidRPr="00003D5B">
              <w:rPr>
                <w:bCs/>
                <w:sz w:val="20"/>
                <w:szCs w:val="14"/>
              </w:rPr>
              <w:t>2013</w:t>
            </w:r>
          </w:p>
        </w:tc>
        <w:tc>
          <w:tcPr>
            <w:tcW w:w="1800" w:type="dxa"/>
            <w:gridSpan w:val="2"/>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0"/>
              </w:rPr>
            </w:pPr>
            <w:r w:rsidRPr="00003D5B">
              <w:rPr>
                <w:bCs/>
                <w:sz w:val="20"/>
                <w:szCs w:val="14"/>
              </w:rPr>
              <w:t>2014</w:t>
            </w:r>
          </w:p>
        </w:tc>
        <w:tc>
          <w:tcPr>
            <w:tcW w:w="1809" w:type="dxa"/>
            <w:gridSpan w:val="3"/>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0"/>
              </w:rPr>
            </w:pPr>
            <w:r w:rsidRPr="00003D5B">
              <w:rPr>
                <w:bCs/>
                <w:sz w:val="20"/>
                <w:szCs w:val="14"/>
              </w:rPr>
              <w:t>2015</w:t>
            </w:r>
          </w:p>
        </w:tc>
        <w:tc>
          <w:tcPr>
            <w:tcW w:w="1827" w:type="dxa"/>
            <w:gridSpan w:val="3"/>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0"/>
              </w:rPr>
            </w:pPr>
            <w:r w:rsidRPr="00003D5B">
              <w:rPr>
                <w:bCs/>
                <w:sz w:val="20"/>
                <w:szCs w:val="14"/>
              </w:rPr>
              <w:t>2016</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bCs/>
                <w:sz w:val="20"/>
                <w:szCs w:val="14"/>
              </w:rPr>
              <w:t>Motivation</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i/>
                <w:iCs/>
                <w:sz w:val="20"/>
                <w:szCs w:val="14"/>
              </w:rPr>
              <w:t>N</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rPr>
              <w:t>%</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i/>
                <w:iCs/>
                <w:sz w:val="20"/>
                <w:szCs w:val="14"/>
              </w:rPr>
              <w:t>N</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rPr>
              <w:t>%</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i/>
                <w:iCs/>
                <w:sz w:val="20"/>
                <w:szCs w:val="14"/>
              </w:rPr>
              <w:t>N</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rPr>
              <w:t>%</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i/>
                <w:iCs/>
                <w:sz w:val="20"/>
                <w:szCs w:val="14"/>
              </w:rPr>
              <w:t>N</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rPr>
              <w:t>%</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i/>
                <w:iCs/>
                <w:sz w:val="20"/>
                <w:szCs w:val="14"/>
              </w:rPr>
              <w:t>N</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rPr>
              <w:t>%</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i/>
                <w:iCs/>
                <w:sz w:val="20"/>
                <w:szCs w:val="14"/>
              </w:rPr>
              <w:t>N</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rPr>
              <w:t>%</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i/>
                <w:iCs/>
                <w:sz w:val="20"/>
                <w:szCs w:val="14"/>
              </w:rPr>
              <w:t>N</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rPr>
              <w:t>%</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i/>
                <w:iCs/>
                <w:sz w:val="20"/>
                <w:szCs w:val="14"/>
              </w:rPr>
              <w:t>N</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rPr>
              <w:t>%</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bCs/>
                <w:sz w:val="20"/>
                <w:szCs w:val="14"/>
              </w:rPr>
              <w:t>Race/ethnicité</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765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707</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679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704</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585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50</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611</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641</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666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47</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Noir Black</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275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271</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268</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295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255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238</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224</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17</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214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15</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Asiatique (Asie Est et S. Est)</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71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41</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50</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52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Asiatique (Asie Sud)</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92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67</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55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52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48</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72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Arabe</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75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75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50</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64</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48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92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7</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112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8</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Autochtone</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17</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27</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33</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37</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Blanc</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36</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30</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20</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38</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Autre</w:t>
            </w:r>
            <w:r w:rsidRPr="00003D5B">
              <w:rPr>
                <w:sz w:val="20"/>
                <w:szCs w:val="14"/>
                <w:vertAlign w:val="superscript"/>
              </w:rPr>
              <w:t>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96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182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152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156</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93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8</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106</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130</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125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9</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Race non précisée</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41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18</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31</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31</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11</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bCs/>
                <w:sz w:val="20"/>
                <w:szCs w:val="14"/>
              </w:rPr>
              <w:t>Religion</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415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395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326</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419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326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28</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429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469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460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33</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Juif</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288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204</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188</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242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181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16</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213</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17</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178</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221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16</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Musulman</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52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45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99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159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139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10</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Catholique</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50</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37</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55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27</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Autre</w:t>
            </w:r>
            <w:r w:rsidRPr="00003D5B">
              <w:rPr>
                <w:sz w:val="20"/>
                <w:szCs w:val="14"/>
                <w:vertAlign w:val="superscript"/>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44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36</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54</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41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41</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37</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Religion non pr</w:t>
            </w:r>
            <w:r w:rsidRPr="00003D5B">
              <w:rPr>
                <w:sz w:val="20"/>
                <w:szCs w:val="14"/>
              </w:rPr>
              <w:t>é</w:t>
            </w:r>
            <w:r w:rsidRPr="00003D5B">
              <w:rPr>
                <w:sz w:val="20"/>
                <w:szCs w:val="14"/>
              </w:rPr>
              <w:t>cisée</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27</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24</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41</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33</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36</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Orientation sexuelle</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189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218</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240</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185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186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16</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155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141</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176</w:t>
            </w:r>
          </w:p>
        </w:tc>
        <w:tc>
          <w:tcPr>
            <w:tcW w:w="907" w:type="dxa"/>
            <w:tcBorders>
              <w:top w:val="single" w:sz="6" w:space="0" w:color="auto"/>
              <w:left w:val="single" w:sz="6" w:space="0" w:color="auto"/>
              <w:bottom w:val="single" w:sz="6" w:space="0" w:color="auto"/>
              <w:right w:val="nil"/>
            </w:tcBorders>
            <w:shd w:val="clear" w:color="auto" w:fill="FFFFFF"/>
          </w:tcPr>
          <w:p w:rsidR="005F113F" w:rsidRPr="00003D5B" w:rsidRDefault="005F113F" w:rsidP="005F113F">
            <w:pPr>
              <w:ind w:firstLine="0"/>
              <w:jc w:val="center"/>
              <w:rPr>
                <w:sz w:val="20"/>
              </w:rPr>
            </w:pPr>
            <w:r w:rsidRPr="00003D5B">
              <w:rPr>
                <w:bCs/>
                <w:sz w:val="20"/>
                <w:szCs w:val="14"/>
              </w:rPr>
              <w:t>13</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Autre</w:t>
            </w:r>
            <w:r w:rsidRPr="00003D5B">
              <w:rPr>
                <w:sz w:val="20"/>
                <w:szCs w:val="14"/>
                <w:vertAlign w:val="superscript"/>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40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48</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68</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82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77</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86</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88</w:t>
            </w:r>
          </w:p>
        </w:tc>
        <w:tc>
          <w:tcPr>
            <w:tcW w:w="907" w:type="dxa"/>
            <w:tcBorders>
              <w:top w:val="single" w:sz="6" w:space="0" w:color="auto"/>
              <w:left w:val="single" w:sz="6" w:space="0" w:color="auto"/>
              <w:bottom w:val="single" w:sz="6" w:space="0" w:color="auto"/>
              <w:right w:val="nil"/>
            </w:tcBorders>
            <w:shd w:val="clear" w:color="auto" w:fill="FFFFFF"/>
          </w:tcPr>
          <w:p w:rsidR="005F113F" w:rsidRPr="00003D5B" w:rsidRDefault="005F113F" w:rsidP="005F113F">
            <w:pPr>
              <w:ind w:firstLine="0"/>
              <w:jc w:val="center"/>
              <w:rPr>
                <w:sz w:val="20"/>
              </w:rPr>
            </w:pPr>
            <w:r w:rsidRPr="00003D5B">
              <w:rPr>
                <w:bCs/>
                <w:sz w:val="20"/>
                <w:szCs w:val="14"/>
              </w:rPr>
              <w:t>6</w:t>
            </w: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sz w:val="20"/>
                <w:szCs w:val="14"/>
              </w:rPr>
              <w:t>Inconnu</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73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33</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19</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24</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10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23</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sz w:val="20"/>
                <w:szCs w:val="14"/>
              </w:rPr>
              <w:t>25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p>
        </w:tc>
      </w:tr>
      <w:tr w:rsidR="005F113F" w:rsidRPr="00003D5B">
        <w:tblPrEx>
          <w:tblCellMar>
            <w:top w:w="0" w:type="dxa"/>
            <w:bottom w:w="0" w:type="dxa"/>
          </w:tblCellMar>
        </w:tblPrEx>
        <w:tc>
          <w:tcPr>
            <w:tcW w:w="2525"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both"/>
              <w:rPr>
                <w:sz w:val="20"/>
              </w:rPr>
            </w:pPr>
            <w:r w:rsidRPr="00003D5B">
              <w:rPr>
                <w:bCs/>
                <w:sz w:val="20"/>
                <w:szCs w:val="14"/>
              </w:rPr>
              <w:t>Total</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1482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1401</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1332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1295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1 167</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100</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1295</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1362</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1409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ind w:firstLine="0"/>
              <w:jc w:val="center"/>
              <w:rPr>
                <w:sz w:val="20"/>
              </w:rPr>
            </w:pPr>
            <w:r w:rsidRPr="00003D5B">
              <w:rPr>
                <w:bCs/>
                <w:sz w:val="20"/>
                <w:szCs w:val="14"/>
              </w:rPr>
              <w:t>100</w:t>
            </w:r>
          </w:p>
        </w:tc>
      </w:tr>
    </w:tbl>
    <w:p w:rsidR="005F113F" w:rsidRDefault="005F113F" w:rsidP="005F113F"/>
    <w:p w:rsidR="005F113F" w:rsidRDefault="005F113F" w:rsidP="005F113F">
      <w:r w:rsidRPr="00003D5B">
        <w:rPr>
          <w:sz w:val="20"/>
          <w:szCs w:val="14"/>
        </w:rPr>
        <w:t>1. Motivations basées sur la race ou l'ethnicité et crimes haineux ciblant plus d'un groupe racial ou ethnique.</w:t>
      </w:r>
    </w:p>
    <w:p w:rsidR="005F113F" w:rsidRDefault="005F113F" w:rsidP="005F113F">
      <w:pPr>
        <w:rPr>
          <w:sz w:val="20"/>
          <w:szCs w:val="14"/>
        </w:rPr>
      </w:pPr>
      <w:r w:rsidRPr="00003D5B">
        <w:rPr>
          <w:sz w:val="20"/>
          <w:szCs w:val="14"/>
        </w:rPr>
        <w:t>2. Par ex. Sikh, Hindou, Bouddhiste.</w:t>
      </w:r>
    </w:p>
    <w:p w:rsidR="005F113F" w:rsidRDefault="005F113F" w:rsidP="005F113F">
      <w:pPr>
        <w:rPr>
          <w:sz w:val="20"/>
          <w:szCs w:val="14"/>
        </w:rPr>
      </w:pPr>
      <w:r w:rsidRPr="00301658">
        <w:rPr>
          <w:sz w:val="20"/>
        </w:rPr>
        <w:t>3. Handicap physique ou mental, langue, genre, et facteurs similaires (ex. occupation ou opinion politique).</w:t>
      </w:r>
    </w:p>
    <w:p w:rsidR="005F113F" w:rsidRDefault="005F113F" w:rsidP="005F113F">
      <w:pPr>
        <w:rPr>
          <w:sz w:val="20"/>
          <w:szCs w:val="14"/>
        </w:rPr>
      </w:pPr>
    </w:p>
    <w:p w:rsidR="005F113F" w:rsidRDefault="005F113F" w:rsidP="005F113F">
      <w:pPr>
        <w:rPr>
          <w:sz w:val="20"/>
          <w:szCs w:val="14"/>
        </w:rPr>
      </w:pPr>
      <w:r w:rsidRPr="00003D5B">
        <w:rPr>
          <w:bCs/>
          <w:sz w:val="20"/>
          <w:szCs w:val="14"/>
        </w:rPr>
        <w:t>Sources :</w:t>
      </w:r>
      <w:r w:rsidRPr="00003D5B">
        <w:rPr>
          <w:sz w:val="20"/>
          <w:szCs w:val="14"/>
        </w:rPr>
        <w:t xml:space="preserve"> Phil Walsh et Mia Dauvergne, </w:t>
      </w:r>
      <w:r w:rsidRPr="00003D5B">
        <w:rPr>
          <w:i/>
          <w:iCs/>
          <w:sz w:val="20"/>
          <w:szCs w:val="14"/>
        </w:rPr>
        <w:t xml:space="preserve">Police-reported hate-crimes in Canada, </w:t>
      </w:r>
      <w:r w:rsidRPr="00003D5B">
        <w:rPr>
          <w:sz w:val="20"/>
          <w:szCs w:val="14"/>
        </w:rPr>
        <w:t>2007, vol. 29, n° 2, mai 2009, Catal</w:t>
      </w:r>
      <w:r w:rsidRPr="00003D5B">
        <w:rPr>
          <w:sz w:val="20"/>
          <w:szCs w:val="14"/>
        </w:rPr>
        <w:t>o</w:t>
      </w:r>
      <w:r w:rsidRPr="00003D5B">
        <w:rPr>
          <w:sz w:val="20"/>
          <w:szCs w:val="14"/>
        </w:rPr>
        <w:t xml:space="preserve">gue n° 85-002-X, Ottawa, Statistique Canada, p. 12. Statistique Canada. 2008-2017. </w:t>
      </w:r>
      <w:r w:rsidRPr="00003D5B">
        <w:rPr>
          <w:i/>
          <w:iCs/>
          <w:sz w:val="20"/>
          <w:szCs w:val="14"/>
        </w:rPr>
        <w:t xml:space="preserve">Les crimes haineux au Canada, rapports annuels, </w:t>
      </w:r>
      <w:r w:rsidRPr="00003D5B">
        <w:rPr>
          <w:sz w:val="20"/>
          <w:szCs w:val="14"/>
        </w:rPr>
        <w:t>Ott</w:t>
      </w:r>
      <w:r w:rsidRPr="00003D5B">
        <w:rPr>
          <w:sz w:val="20"/>
          <w:szCs w:val="14"/>
        </w:rPr>
        <w:t>a</w:t>
      </w:r>
      <w:r w:rsidRPr="00003D5B">
        <w:rPr>
          <w:sz w:val="20"/>
          <w:szCs w:val="14"/>
        </w:rPr>
        <w:t>wa, Statistique Canada. On ne dispose pas d'un rapport complet sur les données de 2014 mais seulement de trois tableaux.</w:t>
      </w:r>
    </w:p>
    <w:p w:rsidR="005F113F" w:rsidRDefault="005F113F" w:rsidP="005F113F">
      <w:pPr>
        <w:spacing w:before="120" w:after="120"/>
        <w:jc w:val="both"/>
      </w:pPr>
    </w:p>
    <w:p w:rsidR="005F113F" w:rsidRDefault="005F113F" w:rsidP="005F113F">
      <w:pPr>
        <w:spacing w:before="120" w:after="120"/>
        <w:jc w:val="both"/>
        <w:sectPr w:rsidR="005F113F" w:rsidSect="005F113F">
          <w:pgSz w:w="20160" w:h="12240" w:orient="landscape"/>
          <w:pgMar w:top="1440" w:right="1440" w:bottom="720" w:left="1440" w:header="720" w:footer="720" w:gutter="0"/>
          <w:cols w:space="720"/>
        </w:sectPr>
      </w:pPr>
    </w:p>
    <w:p w:rsidR="005F113F" w:rsidRDefault="005F113F" w:rsidP="005F113F">
      <w:pPr>
        <w:pStyle w:val="p"/>
      </w:pPr>
      <w:r>
        <w:t>[439]</w:t>
      </w:r>
    </w:p>
    <w:p w:rsidR="005F113F" w:rsidRDefault="005F113F" w:rsidP="005F113F">
      <w:pPr>
        <w:pStyle w:val="figtitre"/>
      </w:pPr>
      <w:r w:rsidRPr="00003D5B">
        <w:t>TABLEAU 2 - Méfaits envers des biens rel</w:t>
      </w:r>
      <w:r w:rsidRPr="00003D5B">
        <w:t>i</w:t>
      </w:r>
      <w:r w:rsidRPr="00003D5B">
        <w:t>gieux</w:t>
      </w:r>
      <w:r>
        <w:br/>
      </w:r>
      <w:r w:rsidRPr="00003D5B">
        <w:t>dans certaines grandes villes canadiennes, annuel 2007-2016 (54)</w:t>
      </w:r>
    </w:p>
    <w:tbl>
      <w:tblPr>
        <w:tblW w:w="0" w:type="auto"/>
        <w:tblInd w:w="-860" w:type="dxa"/>
        <w:tblLayout w:type="fixed"/>
        <w:tblCellMar>
          <w:left w:w="40" w:type="dxa"/>
          <w:right w:w="40" w:type="dxa"/>
        </w:tblCellMar>
        <w:tblLook w:val="0000" w:firstRow="0" w:lastRow="0" w:firstColumn="0" w:lastColumn="0" w:noHBand="0" w:noVBand="0"/>
      </w:tblPr>
      <w:tblGrid>
        <w:gridCol w:w="2081"/>
        <w:gridCol w:w="673"/>
        <w:gridCol w:w="674"/>
        <w:gridCol w:w="674"/>
        <w:gridCol w:w="674"/>
        <w:gridCol w:w="674"/>
        <w:gridCol w:w="674"/>
        <w:gridCol w:w="674"/>
        <w:gridCol w:w="674"/>
        <w:gridCol w:w="674"/>
        <w:gridCol w:w="674"/>
      </w:tblGrid>
      <w:tr w:rsidR="005F113F" w:rsidRPr="006B209B">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Géographie/ A</w:t>
            </w:r>
            <w:r w:rsidRPr="00003D5B">
              <w:rPr>
                <w:sz w:val="24"/>
                <w:szCs w:val="14"/>
              </w:rPr>
              <w:t>n</w:t>
            </w:r>
            <w:r w:rsidRPr="00003D5B">
              <w:rPr>
                <w:sz w:val="24"/>
                <w:szCs w:val="14"/>
              </w:rPr>
              <w:t>née</w:t>
            </w:r>
          </w:p>
        </w:tc>
        <w:tc>
          <w:tcPr>
            <w:tcW w:w="673"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2007</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2008</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2009</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2010</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2011</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2012</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2013</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2014</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2015</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2016</w:t>
            </w:r>
          </w:p>
        </w:tc>
      </w:tr>
      <w:tr w:rsidR="005F113F" w:rsidRPr="006B209B">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Can</w:t>
            </w:r>
            <w:r w:rsidRPr="00003D5B">
              <w:rPr>
                <w:sz w:val="24"/>
                <w:szCs w:val="14"/>
              </w:rPr>
              <w:t>a</w:t>
            </w:r>
            <w:r w:rsidRPr="00003D5B">
              <w:rPr>
                <w:sz w:val="24"/>
                <w:szCs w:val="14"/>
              </w:rPr>
              <w:t>da (total)</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22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82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144</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132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72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78</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55</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96</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66</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72</w:t>
            </w:r>
          </w:p>
        </w:tc>
      </w:tr>
      <w:tr w:rsidR="005F113F" w:rsidRPr="006B209B">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T.-N.-et-L.</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r>
      <w:tr w:rsidR="005F113F" w:rsidRPr="006B209B">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I.-du-P.-E.</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r>
      <w:tr w:rsidR="005F113F" w:rsidRPr="006B209B">
        <w:tblPrEx>
          <w:tblCellMar>
            <w:top w:w="0" w:type="dxa"/>
            <w:bottom w:w="0" w:type="dxa"/>
          </w:tblCellMar>
        </w:tblPrEx>
        <w:tc>
          <w:tcPr>
            <w:tcW w:w="2081" w:type="dxa"/>
            <w:tcBorders>
              <w:top w:val="single" w:sz="6" w:space="0" w:color="auto"/>
              <w:left w:val="single" w:sz="12"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N.-É.</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3</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r>
      <w:tr w:rsidR="005F113F" w:rsidRPr="006B209B">
        <w:tblPrEx>
          <w:tblCellMar>
            <w:top w:w="0" w:type="dxa"/>
            <w:bottom w:w="0" w:type="dxa"/>
          </w:tblCellMar>
        </w:tblPrEx>
        <w:tc>
          <w:tcPr>
            <w:tcW w:w="2081" w:type="dxa"/>
            <w:tcBorders>
              <w:top w:val="single" w:sz="6" w:space="0" w:color="auto"/>
              <w:left w:val="single" w:sz="12"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N.-B.</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r>
      <w:tr w:rsidR="005F113F" w:rsidRPr="006B209B">
        <w:tblPrEx>
          <w:tblCellMar>
            <w:top w:w="0" w:type="dxa"/>
            <w:bottom w:w="0" w:type="dxa"/>
          </w:tblCellMar>
        </w:tblPrEx>
        <w:tc>
          <w:tcPr>
            <w:tcW w:w="2081" w:type="dxa"/>
            <w:tcBorders>
              <w:top w:val="single" w:sz="6" w:space="0" w:color="auto"/>
              <w:left w:val="single" w:sz="12"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Qu</w:t>
            </w:r>
            <w:r w:rsidRPr="00003D5B">
              <w:rPr>
                <w:sz w:val="24"/>
                <w:szCs w:val="14"/>
              </w:rPr>
              <w:t>é</w:t>
            </w:r>
            <w:r w:rsidRPr="00003D5B">
              <w:rPr>
                <w:sz w:val="24"/>
                <w:szCs w:val="14"/>
              </w:rPr>
              <w:t>bec (Prov.)</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7</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44</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42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27</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38</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14</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31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31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28</w:t>
            </w:r>
          </w:p>
        </w:tc>
      </w:tr>
      <w:tr w:rsidR="005F113F" w:rsidRPr="006B209B">
        <w:tblPrEx>
          <w:tblCellMar>
            <w:top w:w="0" w:type="dxa"/>
            <w:bottom w:w="0" w:type="dxa"/>
          </w:tblCellMar>
        </w:tblPrEx>
        <w:tc>
          <w:tcPr>
            <w:tcW w:w="2081" w:type="dxa"/>
            <w:tcBorders>
              <w:top w:val="single" w:sz="6" w:space="0" w:color="auto"/>
              <w:left w:val="single" w:sz="12"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Mo</w:t>
            </w:r>
            <w:r w:rsidRPr="00003D5B">
              <w:rPr>
                <w:sz w:val="24"/>
                <w:szCs w:val="14"/>
              </w:rPr>
              <w:t>n</w:t>
            </w:r>
            <w:r w:rsidRPr="00003D5B">
              <w:rPr>
                <w:sz w:val="24"/>
                <w:szCs w:val="14"/>
              </w:rPr>
              <w:t>tréal (38)</w:t>
            </w:r>
          </w:p>
        </w:tc>
        <w:tc>
          <w:tcPr>
            <w:tcW w:w="673"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11</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7</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7</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11</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4</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7</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10</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12</w:t>
            </w:r>
          </w:p>
        </w:tc>
      </w:tr>
      <w:tr w:rsidR="005F113F" w:rsidRPr="006B209B">
        <w:tblPrEx>
          <w:tblCellMar>
            <w:top w:w="0" w:type="dxa"/>
            <w:bottom w:w="0" w:type="dxa"/>
          </w:tblCellMar>
        </w:tblPrEx>
        <w:tc>
          <w:tcPr>
            <w:tcW w:w="2081" w:type="dxa"/>
            <w:tcBorders>
              <w:top w:val="single" w:sz="6" w:space="0" w:color="auto"/>
              <w:left w:val="single" w:sz="12"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Ont</w:t>
            </w:r>
            <w:r w:rsidRPr="00003D5B">
              <w:rPr>
                <w:sz w:val="24"/>
                <w:szCs w:val="14"/>
              </w:rPr>
              <w:t>a</w:t>
            </w:r>
            <w:r w:rsidRPr="00003D5B">
              <w:rPr>
                <w:sz w:val="24"/>
                <w:szCs w:val="14"/>
              </w:rPr>
              <w:t>rio</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44</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72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60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32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26</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30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45</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13</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23</w:t>
            </w:r>
          </w:p>
        </w:tc>
      </w:tr>
      <w:tr w:rsidR="005F113F" w:rsidRPr="006B209B">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Ott</w:t>
            </w:r>
            <w:r w:rsidRPr="00003D5B">
              <w:rPr>
                <w:sz w:val="24"/>
                <w:szCs w:val="14"/>
              </w:rPr>
              <w:t>a</w:t>
            </w:r>
            <w:r w:rsidRPr="00003D5B">
              <w:rPr>
                <w:sz w:val="24"/>
                <w:szCs w:val="14"/>
              </w:rPr>
              <w:t>wa (Ont.)</w:t>
            </w:r>
          </w:p>
        </w:tc>
        <w:tc>
          <w:tcPr>
            <w:tcW w:w="673"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16</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39</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15</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5</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4</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4</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3</w:t>
            </w:r>
          </w:p>
        </w:tc>
      </w:tr>
      <w:tr w:rsidR="005F113F" w:rsidRPr="006B209B">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T</w:t>
            </w:r>
            <w:r w:rsidRPr="00003D5B">
              <w:rPr>
                <w:sz w:val="24"/>
                <w:szCs w:val="14"/>
              </w:rPr>
              <w:t>o</w:t>
            </w:r>
            <w:r w:rsidRPr="00003D5B">
              <w:rPr>
                <w:sz w:val="24"/>
                <w:szCs w:val="14"/>
              </w:rPr>
              <w:t>ronto</w:t>
            </w:r>
          </w:p>
        </w:tc>
        <w:tc>
          <w:tcPr>
            <w:tcW w:w="673"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18</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22</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29</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14</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8</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14</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31</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5</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9</w:t>
            </w:r>
          </w:p>
        </w:tc>
      </w:tr>
      <w:tr w:rsidR="005F113F" w:rsidRPr="006B209B">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Man</w:t>
            </w:r>
            <w:r w:rsidRPr="00003D5B">
              <w:rPr>
                <w:sz w:val="24"/>
                <w:szCs w:val="14"/>
              </w:rPr>
              <w:t>i</w:t>
            </w:r>
            <w:r w:rsidRPr="00003D5B">
              <w:rPr>
                <w:sz w:val="24"/>
                <w:szCs w:val="14"/>
              </w:rPr>
              <w:t>toba</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4</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r>
      <w:tr w:rsidR="005F113F" w:rsidRPr="006B209B">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Saska</w:t>
            </w:r>
            <w:r w:rsidRPr="00003D5B">
              <w:rPr>
                <w:sz w:val="24"/>
                <w:szCs w:val="14"/>
              </w:rPr>
              <w:t>t</w:t>
            </w:r>
            <w:r w:rsidRPr="00003D5B">
              <w:rPr>
                <w:sz w:val="24"/>
                <w:szCs w:val="14"/>
              </w:rPr>
              <w:t>chewan</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3</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3</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5</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3</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3</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r>
      <w:tr w:rsidR="005F113F" w:rsidRPr="006B209B">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Albe</w:t>
            </w:r>
            <w:r w:rsidRPr="00003D5B">
              <w:rPr>
                <w:sz w:val="24"/>
                <w:szCs w:val="14"/>
              </w:rPr>
              <w:t>r</w:t>
            </w:r>
            <w:r w:rsidRPr="00003D5B">
              <w:rPr>
                <w:sz w:val="24"/>
                <w:szCs w:val="14"/>
              </w:rPr>
              <w:t>ta</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8</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6</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4</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4</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10</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4</w:t>
            </w:r>
          </w:p>
        </w:tc>
      </w:tr>
      <w:tr w:rsidR="005F113F" w:rsidRPr="006B209B">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Ca</w:t>
            </w:r>
            <w:r w:rsidRPr="00003D5B">
              <w:rPr>
                <w:sz w:val="24"/>
                <w:szCs w:val="14"/>
              </w:rPr>
              <w:t>l</w:t>
            </w:r>
            <w:r w:rsidRPr="00003D5B">
              <w:rPr>
                <w:sz w:val="24"/>
                <w:szCs w:val="14"/>
              </w:rPr>
              <w:t>gary</w:t>
            </w:r>
          </w:p>
        </w:tc>
        <w:tc>
          <w:tcPr>
            <w:tcW w:w="673"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3</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3</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3</w:t>
            </w:r>
          </w:p>
        </w:tc>
      </w:tr>
      <w:tr w:rsidR="005F113F" w:rsidRPr="006B209B">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C.-B. (28)</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22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27</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15</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12</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3</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6</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5</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7</w:t>
            </w:r>
          </w:p>
        </w:tc>
        <w:tc>
          <w:tcPr>
            <w:tcW w:w="674"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12</w:t>
            </w:r>
          </w:p>
        </w:tc>
      </w:tr>
      <w:tr w:rsidR="005F113F" w:rsidRPr="006B209B">
        <w:tblPrEx>
          <w:tblCellMar>
            <w:top w:w="0" w:type="dxa"/>
            <w:bottom w:w="0" w:type="dxa"/>
          </w:tblCellMar>
        </w:tblPrEx>
        <w:tc>
          <w:tcPr>
            <w:tcW w:w="2081"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Va</w:t>
            </w:r>
            <w:r w:rsidRPr="00003D5B">
              <w:rPr>
                <w:sz w:val="24"/>
                <w:szCs w:val="14"/>
              </w:rPr>
              <w:t>n</w:t>
            </w:r>
            <w:r w:rsidRPr="00003D5B">
              <w:rPr>
                <w:sz w:val="24"/>
                <w:szCs w:val="14"/>
              </w:rPr>
              <w:t>couver (28)</w:t>
            </w:r>
          </w:p>
        </w:tc>
        <w:tc>
          <w:tcPr>
            <w:tcW w:w="673"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12</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6</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3</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0</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3</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2</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1</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3</w:t>
            </w:r>
          </w:p>
        </w:tc>
        <w:tc>
          <w:tcPr>
            <w:tcW w:w="674"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4</w:t>
            </w:r>
          </w:p>
        </w:tc>
      </w:tr>
    </w:tbl>
    <w:p w:rsidR="005F113F" w:rsidRDefault="005F113F" w:rsidP="005F113F"/>
    <w:p w:rsidR="005F113F" w:rsidRDefault="005F113F" w:rsidP="005F113F">
      <w:pPr>
        <w:ind w:left="-900"/>
      </w:pPr>
      <w:r w:rsidRPr="00003D5B">
        <w:rPr>
          <w:sz w:val="24"/>
          <w:szCs w:val="14"/>
        </w:rPr>
        <w:t>28. Les crimes commis par les jeunes en Colombie-Britannique peuvent être légèr</w:t>
      </w:r>
      <w:r w:rsidRPr="00003D5B">
        <w:rPr>
          <w:sz w:val="24"/>
          <w:szCs w:val="14"/>
        </w:rPr>
        <w:t>e</w:t>
      </w:r>
      <w:r w:rsidRPr="00003D5B">
        <w:rPr>
          <w:sz w:val="24"/>
          <w:szCs w:val="14"/>
        </w:rPr>
        <w:t>ment eous-dénombrés en ra</w:t>
      </w:r>
      <w:r w:rsidRPr="00003D5B">
        <w:rPr>
          <w:sz w:val="24"/>
          <w:szCs w:val="14"/>
        </w:rPr>
        <w:t>i</w:t>
      </w:r>
      <w:r w:rsidRPr="00003D5B">
        <w:rPr>
          <w:sz w:val="24"/>
          <w:szCs w:val="14"/>
        </w:rPr>
        <w:t>son du système d'approbation des accusations de la Couronne au moyen duquel, même dans le cas des infractions mineures, il doit y avoir approbation par la Couronne avant que des accusations ne soient d</w:t>
      </w:r>
      <w:r w:rsidRPr="00003D5B">
        <w:rPr>
          <w:sz w:val="24"/>
          <w:szCs w:val="14"/>
        </w:rPr>
        <w:t>é</w:t>
      </w:r>
      <w:r w:rsidRPr="00003D5B">
        <w:rPr>
          <w:sz w:val="24"/>
          <w:szCs w:val="14"/>
        </w:rPr>
        <w:t>posées à la suite d'une arrestation par la police. Cette approbation repose sur la prob</w:t>
      </w:r>
      <w:r w:rsidRPr="00003D5B">
        <w:rPr>
          <w:sz w:val="24"/>
          <w:szCs w:val="14"/>
        </w:rPr>
        <w:t>a</w:t>
      </w:r>
      <w:r w:rsidRPr="00003D5B">
        <w:rPr>
          <w:sz w:val="24"/>
          <w:szCs w:val="14"/>
        </w:rPr>
        <w:t>bilité élevée d'obtenir une déclaration de culpabilité.</w:t>
      </w:r>
    </w:p>
    <w:p w:rsidR="005F113F" w:rsidRDefault="005F113F" w:rsidP="005F113F">
      <w:pPr>
        <w:ind w:left="-900"/>
      </w:pPr>
      <w:r w:rsidRPr="00003D5B">
        <w:rPr>
          <w:sz w:val="24"/>
          <w:szCs w:val="14"/>
        </w:rPr>
        <w:t>38. Les données sur le classement des affaires par la ville de Montréal n'étaient pas disponibles pour 2010. Par conséquent, elles ont été estimées d'après les données sur le cla</w:t>
      </w:r>
      <w:r w:rsidRPr="00003D5B">
        <w:rPr>
          <w:sz w:val="24"/>
          <w:szCs w:val="14"/>
        </w:rPr>
        <w:t>s</w:t>
      </w:r>
      <w:r w:rsidRPr="00003D5B">
        <w:rPr>
          <w:sz w:val="24"/>
          <w:szCs w:val="14"/>
        </w:rPr>
        <w:t>sement des affaires des années précédentes.</w:t>
      </w:r>
    </w:p>
    <w:p w:rsidR="005F113F" w:rsidRDefault="005F113F" w:rsidP="005F113F">
      <w:pPr>
        <w:ind w:left="-900"/>
      </w:pPr>
      <w:r w:rsidRPr="00003D5B">
        <w:rPr>
          <w:sz w:val="24"/>
          <w:szCs w:val="14"/>
        </w:rPr>
        <w:t>54. Les différentes façons dont les services de police traitent les délits mineurs peuvent avoir une incidence sur les statistiques déclarées par la police. Dans ce</w:t>
      </w:r>
      <w:r w:rsidRPr="00003D5B">
        <w:rPr>
          <w:sz w:val="24"/>
          <w:szCs w:val="14"/>
        </w:rPr>
        <w:t>r</w:t>
      </w:r>
      <w:r w:rsidRPr="00003D5B">
        <w:rPr>
          <w:sz w:val="24"/>
          <w:szCs w:val="14"/>
        </w:rPr>
        <w:t>tains cas, il arrive que la police ou les municipalités choisissent de traiter certains délits m</w:t>
      </w:r>
      <w:r w:rsidRPr="00003D5B">
        <w:rPr>
          <w:sz w:val="24"/>
          <w:szCs w:val="14"/>
        </w:rPr>
        <w:t>i</w:t>
      </w:r>
      <w:r w:rsidRPr="00003D5B">
        <w:rPr>
          <w:sz w:val="24"/>
          <w:szCs w:val="14"/>
        </w:rPr>
        <w:t xml:space="preserve">neurs en vertu de règlements municipaux ou de lois provinciales plutôt qu'en vertu du </w:t>
      </w:r>
      <w:r w:rsidRPr="00003D5B">
        <w:rPr>
          <w:i/>
          <w:iCs/>
          <w:sz w:val="24"/>
          <w:szCs w:val="14"/>
        </w:rPr>
        <w:t xml:space="preserve">Code criminel. </w:t>
      </w:r>
      <w:r w:rsidRPr="00003D5B">
        <w:rPr>
          <w:sz w:val="24"/>
          <w:szCs w:val="14"/>
        </w:rPr>
        <w:t>Les chiffres sont fondés sur l'infraction la plus gr</w:t>
      </w:r>
      <w:r w:rsidRPr="00003D5B">
        <w:rPr>
          <w:sz w:val="24"/>
          <w:szCs w:val="14"/>
        </w:rPr>
        <w:t>a</w:t>
      </w:r>
      <w:r w:rsidRPr="00003D5B">
        <w:rPr>
          <w:sz w:val="24"/>
          <w:szCs w:val="14"/>
        </w:rPr>
        <w:t>ve dans l'affaire.</w:t>
      </w:r>
    </w:p>
    <w:p w:rsidR="005F113F" w:rsidRDefault="005F113F" w:rsidP="005F113F">
      <w:pPr>
        <w:ind w:left="-900"/>
      </w:pPr>
      <w:r w:rsidRPr="00003D5B">
        <w:rPr>
          <w:sz w:val="24"/>
          <w:szCs w:val="14"/>
        </w:rPr>
        <w:t xml:space="preserve">Source : Statistique Canada. </w:t>
      </w:r>
      <w:r w:rsidRPr="00003D5B">
        <w:rPr>
          <w:i/>
          <w:iCs/>
          <w:sz w:val="24"/>
          <w:szCs w:val="14"/>
        </w:rPr>
        <w:t xml:space="preserve">Statistiques des crimes fondés sur l'affaire, par infractions détaillées, rapport annuel. </w:t>
      </w:r>
      <w:r w:rsidRPr="00003D5B">
        <w:rPr>
          <w:sz w:val="24"/>
          <w:szCs w:val="14"/>
        </w:rPr>
        <w:t>O</w:t>
      </w:r>
      <w:r w:rsidRPr="00003D5B">
        <w:rPr>
          <w:sz w:val="24"/>
          <w:szCs w:val="14"/>
        </w:rPr>
        <w:t>t</w:t>
      </w:r>
      <w:r w:rsidRPr="00003D5B">
        <w:rPr>
          <w:sz w:val="24"/>
          <w:szCs w:val="14"/>
        </w:rPr>
        <w:t xml:space="preserve">tawa, Statistique Canada. </w:t>
      </w:r>
      <w:hyperlink r:id="rId20" w:history="1">
        <w:r>
          <w:rPr>
            <w:sz w:val="24"/>
            <w:szCs w:val="14"/>
          </w:rPr>
          <w:t>https</w:t>
        </w:r>
        <w:r w:rsidRPr="00003D5B">
          <w:rPr>
            <w:sz w:val="24"/>
            <w:szCs w:val="14"/>
          </w:rPr>
          <w:t>://wwwl50.statcan.gc.ca/tl/tbll/fr/tv.action?pid=3510017701</w:t>
        </w:r>
      </w:hyperlink>
    </w:p>
    <w:p w:rsidR="005F113F" w:rsidRDefault="005F113F" w:rsidP="005F113F"/>
    <w:p w:rsidR="005F113F" w:rsidRDefault="005F113F" w:rsidP="005F113F">
      <w:pPr>
        <w:pBdr>
          <w:top w:val="single" w:sz="24" w:space="1" w:color="auto"/>
        </w:pBdr>
      </w:pPr>
    </w:p>
    <w:p w:rsidR="005F113F" w:rsidRDefault="005F113F" w:rsidP="005F113F">
      <w:pPr>
        <w:pStyle w:val="p"/>
      </w:pPr>
      <w:r>
        <w:t>[440]</w:t>
      </w:r>
    </w:p>
    <w:p w:rsidR="005F113F" w:rsidRDefault="005F113F" w:rsidP="005F113F">
      <w:pPr>
        <w:pStyle w:val="p"/>
      </w:pPr>
    </w:p>
    <w:p w:rsidR="005F113F" w:rsidRDefault="005F113F" w:rsidP="005F113F">
      <w:pPr>
        <w:pStyle w:val="figtitre"/>
      </w:pPr>
      <w:r w:rsidRPr="00003D5B">
        <w:t>TABLEAU 3 - Incitations publiques à la haine dans les pr</w:t>
      </w:r>
      <w:r w:rsidRPr="00003D5B">
        <w:t>o</w:t>
      </w:r>
      <w:r w:rsidRPr="00003D5B">
        <w:t>vinces,</w:t>
      </w:r>
      <w:r>
        <w:br/>
      </w:r>
      <w:r w:rsidRPr="00003D5B">
        <w:t>terr</w:t>
      </w:r>
      <w:r w:rsidRPr="00003D5B">
        <w:t>i</w:t>
      </w:r>
      <w:r w:rsidRPr="00003D5B">
        <w:t>toires et grandes villes canadiennes, 2006-2016</w:t>
      </w:r>
    </w:p>
    <w:tbl>
      <w:tblPr>
        <w:tblW w:w="0" w:type="auto"/>
        <w:tblInd w:w="-860" w:type="dxa"/>
        <w:tblLayout w:type="fixed"/>
        <w:tblCellMar>
          <w:left w:w="40" w:type="dxa"/>
          <w:right w:w="40" w:type="dxa"/>
        </w:tblCellMar>
        <w:tblLook w:val="0000" w:firstRow="0" w:lastRow="0" w:firstColumn="0" w:lastColumn="0" w:noHBand="0" w:noVBand="0"/>
      </w:tblPr>
      <w:tblGrid>
        <w:gridCol w:w="1946"/>
        <w:gridCol w:w="626"/>
        <w:gridCol w:w="627"/>
        <w:gridCol w:w="626"/>
        <w:gridCol w:w="627"/>
        <w:gridCol w:w="626"/>
        <w:gridCol w:w="627"/>
        <w:gridCol w:w="626"/>
        <w:gridCol w:w="627"/>
        <w:gridCol w:w="626"/>
        <w:gridCol w:w="627"/>
        <w:gridCol w:w="627"/>
      </w:tblGrid>
      <w:tr w:rsidR="005F113F" w:rsidRPr="006B209B">
        <w:tblPrEx>
          <w:tblCellMar>
            <w:top w:w="0" w:type="dxa"/>
            <w:bottom w:w="0" w:type="dxa"/>
          </w:tblCellMar>
        </w:tblPrEx>
        <w:tc>
          <w:tcPr>
            <w:tcW w:w="1946" w:type="dxa"/>
            <w:tcBorders>
              <w:top w:val="single" w:sz="6" w:space="0" w:color="auto"/>
              <w:left w:val="single" w:sz="12"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both"/>
              <w:rPr>
                <w:sz w:val="24"/>
              </w:rPr>
            </w:pPr>
            <w:r w:rsidRPr="00003D5B">
              <w:rPr>
                <w:sz w:val="24"/>
                <w:szCs w:val="14"/>
              </w:rPr>
              <w:t>Géogr</w:t>
            </w:r>
            <w:r w:rsidRPr="00003D5B">
              <w:rPr>
                <w:sz w:val="24"/>
                <w:szCs w:val="14"/>
              </w:rPr>
              <w:t>a</w:t>
            </w:r>
            <w:r w:rsidRPr="00003D5B">
              <w:rPr>
                <w:sz w:val="24"/>
                <w:szCs w:val="14"/>
              </w:rPr>
              <w:t>phie</w:t>
            </w:r>
          </w:p>
        </w:tc>
        <w:tc>
          <w:tcPr>
            <w:tcW w:w="626"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4"/>
              </w:rPr>
            </w:pPr>
            <w:r w:rsidRPr="00003D5B">
              <w:rPr>
                <w:sz w:val="24"/>
                <w:szCs w:val="14"/>
              </w:rPr>
              <w:t>2006</w:t>
            </w:r>
          </w:p>
        </w:tc>
        <w:tc>
          <w:tcPr>
            <w:tcW w:w="627"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4"/>
              </w:rPr>
            </w:pPr>
            <w:r w:rsidRPr="00003D5B">
              <w:rPr>
                <w:sz w:val="24"/>
                <w:szCs w:val="14"/>
              </w:rPr>
              <w:t>2007</w:t>
            </w:r>
          </w:p>
        </w:tc>
        <w:tc>
          <w:tcPr>
            <w:tcW w:w="626"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4"/>
              </w:rPr>
            </w:pPr>
            <w:r w:rsidRPr="00003D5B">
              <w:rPr>
                <w:sz w:val="24"/>
                <w:szCs w:val="14"/>
              </w:rPr>
              <w:t>2008</w:t>
            </w:r>
          </w:p>
        </w:tc>
        <w:tc>
          <w:tcPr>
            <w:tcW w:w="627"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4"/>
              </w:rPr>
            </w:pPr>
            <w:r w:rsidRPr="00003D5B">
              <w:rPr>
                <w:sz w:val="24"/>
                <w:szCs w:val="14"/>
              </w:rPr>
              <w:t>2009</w:t>
            </w:r>
          </w:p>
        </w:tc>
        <w:tc>
          <w:tcPr>
            <w:tcW w:w="626"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4"/>
              </w:rPr>
            </w:pPr>
            <w:r w:rsidRPr="00003D5B">
              <w:rPr>
                <w:sz w:val="24"/>
                <w:szCs w:val="14"/>
              </w:rPr>
              <w:t>2010</w:t>
            </w:r>
          </w:p>
        </w:tc>
        <w:tc>
          <w:tcPr>
            <w:tcW w:w="627"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4"/>
              </w:rPr>
            </w:pPr>
            <w:r w:rsidRPr="00003D5B">
              <w:rPr>
                <w:sz w:val="24"/>
                <w:szCs w:val="14"/>
              </w:rPr>
              <w:t>2011</w:t>
            </w:r>
          </w:p>
        </w:tc>
        <w:tc>
          <w:tcPr>
            <w:tcW w:w="626"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4"/>
              </w:rPr>
            </w:pPr>
            <w:r w:rsidRPr="00003D5B">
              <w:rPr>
                <w:sz w:val="24"/>
                <w:szCs w:val="14"/>
              </w:rPr>
              <w:t>2012</w:t>
            </w:r>
          </w:p>
        </w:tc>
        <w:tc>
          <w:tcPr>
            <w:tcW w:w="627"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4"/>
              </w:rPr>
            </w:pPr>
            <w:r w:rsidRPr="00003D5B">
              <w:rPr>
                <w:sz w:val="24"/>
                <w:szCs w:val="14"/>
              </w:rPr>
              <w:t>2013</w:t>
            </w:r>
          </w:p>
        </w:tc>
        <w:tc>
          <w:tcPr>
            <w:tcW w:w="626"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4"/>
              </w:rPr>
            </w:pPr>
            <w:r w:rsidRPr="00003D5B">
              <w:rPr>
                <w:sz w:val="24"/>
                <w:szCs w:val="14"/>
              </w:rPr>
              <w:t>2014</w:t>
            </w:r>
          </w:p>
        </w:tc>
        <w:tc>
          <w:tcPr>
            <w:tcW w:w="627"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4"/>
              </w:rPr>
            </w:pPr>
            <w:r w:rsidRPr="00003D5B">
              <w:rPr>
                <w:sz w:val="24"/>
                <w:szCs w:val="14"/>
              </w:rPr>
              <w:t>2015</w:t>
            </w:r>
          </w:p>
        </w:tc>
        <w:tc>
          <w:tcPr>
            <w:tcW w:w="627" w:type="dxa"/>
            <w:tcBorders>
              <w:top w:val="single" w:sz="6" w:space="0" w:color="auto"/>
              <w:left w:val="single" w:sz="6" w:space="0" w:color="auto"/>
              <w:bottom w:val="single" w:sz="6" w:space="0" w:color="auto"/>
              <w:right w:val="single" w:sz="6" w:space="0" w:color="auto"/>
            </w:tcBorders>
            <w:shd w:val="clear" w:color="auto" w:fill="EEECE1"/>
          </w:tcPr>
          <w:p w:rsidR="005F113F" w:rsidRPr="00003D5B" w:rsidRDefault="005F113F" w:rsidP="005F113F">
            <w:pPr>
              <w:spacing w:before="60" w:after="60"/>
              <w:ind w:firstLine="0"/>
              <w:jc w:val="center"/>
              <w:rPr>
                <w:sz w:val="24"/>
              </w:rPr>
            </w:pPr>
            <w:r w:rsidRPr="00003D5B">
              <w:rPr>
                <w:sz w:val="24"/>
                <w:szCs w:val="14"/>
              </w:rPr>
              <w:t>2016</w:t>
            </w:r>
          </w:p>
        </w:tc>
      </w:tr>
      <w:tr w:rsidR="005F113F" w:rsidRPr="006B209B">
        <w:tblPrEx>
          <w:tblCellMar>
            <w:top w:w="0" w:type="dxa"/>
            <w:bottom w:w="0" w:type="dxa"/>
          </w:tblCellMar>
        </w:tblPrEx>
        <w:tc>
          <w:tcPr>
            <w:tcW w:w="1946" w:type="dxa"/>
            <w:tcBorders>
              <w:top w:val="single" w:sz="6" w:space="0" w:color="auto"/>
              <w:left w:val="single" w:sz="12"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C</w:t>
            </w:r>
            <w:r w:rsidRPr="00003D5B">
              <w:rPr>
                <w:sz w:val="24"/>
                <w:szCs w:val="14"/>
              </w:rPr>
              <w:t>a</w:t>
            </w:r>
            <w:r w:rsidRPr="00003D5B">
              <w:rPr>
                <w:sz w:val="24"/>
                <w:szCs w:val="14"/>
              </w:rPr>
              <w:t>nada (total)</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7</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16</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23</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43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16</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36</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40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50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51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67</w:t>
            </w:r>
          </w:p>
        </w:tc>
      </w:tr>
      <w:tr w:rsidR="005F113F" w:rsidRPr="006B209B">
        <w:tblPrEx>
          <w:tblCellMar>
            <w:top w:w="0" w:type="dxa"/>
            <w:bottom w:w="0" w:type="dxa"/>
          </w:tblCellMar>
        </w:tblPrEx>
        <w:tc>
          <w:tcPr>
            <w:tcW w:w="1946" w:type="dxa"/>
            <w:tcBorders>
              <w:top w:val="single" w:sz="6" w:space="0" w:color="auto"/>
              <w:left w:val="single" w:sz="12"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T.-N.-et-L.</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r>
      <w:tr w:rsidR="005F113F" w:rsidRPr="006B209B">
        <w:tblPrEx>
          <w:tblCellMar>
            <w:top w:w="0" w:type="dxa"/>
            <w:bottom w:w="0" w:type="dxa"/>
          </w:tblCellMar>
        </w:tblPrEx>
        <w:tc>
          <w:tcPr>
            <w:tcW w:w="1946" w:type="dxa"/>
            <w:tcBorders>
              <w:top w:val="single" w:sz="6" w:space="0" w:color="auto"/>
              <w:left w:val="single" w:sz="12"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I.-du-P.-E.</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r>
      <w:tr w:rsidR="005F113F" w:rsidRPr="006B209B">
        <w:tblPrEx>
          <w:tblCellMar>
            <w:top w:w="0" w:type="dxa"/>
            <w:bottom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N.-E.</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4</w:t>
            </w:r>
          </w:p>
        </w:tc>
      </w:tr>
      <w:tr w:rsidR="005F113F" w:rsidRPr="006B209B">
        <w:tblPrEx>
          <w:tblCellMar>
            <w:top w:w="0" w:type="dxa"/>
            <w:bottom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N.-B.</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8</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r>
      <w:tr w:rsidR="005F113F" w:rsidRPr="006B209B">
        <w:tblPrEx>
          <w:tblCellMar>
            <w:top w:w="0" w:type="dxa"/>
            <w:bottom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Québec (Prov.)</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4</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18</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6</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29</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28</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26</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23</w:t>
            </w:r>
          </w:p>
        </w:tc>
      </w:tr>
      <w:tr w:rsidR="005F113F" w:rsidRPr="006B209B">
        <w:tblPrEx>
          <w:tblCellMar>
            <w:top w:w="0" w:type="dxa"/>
            <w:bottom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Montréal</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3</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17</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6</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7</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22</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16</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11</w:t>
            </w:r>
          </w:p>
        </w:tc>
      </w:tr>
      <w:tr w:rsidR="005F113F" w:rsidRPr="006B209B">
        <w:tblPrEx>
          <w:tblCellMar>
            <w:top w:w="0" w:type="dxa"/>
            <w:bottom w:w="0" w:type="dxa"/>
          </w:tblCellMar>
        </w:tblPrEx>
        <w:tc>
          <w:tcPr>
            <w:tcW w:w="1946" w:type="dxa"/>
            <w:tcBorders>
              <w:top w:val="single" w:sz="6" w:space="0" w:color="auto"/>
              <w:left w:val="single" w:sz="12"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O</w:t>
            </w:r>
            <w:r w:rsidRPr="00003D5B">
              <w:rPr>
                <w:sz w:val="24"/>
                <w:szCs w:val="14"/>
              </w:rPr>
              <w:t>n</w:t>
            </w:r>
            <w:r w:rsidRPr="00003D5B">
              <w:rPr>
                <w:sz w:val="24"/>
                <w:szCs w:val="14"/>
              </w:rPr>
              <w:t>tario</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5</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8</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6</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3</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4</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10</w:t>
            </w:r>
          </w:p>
        </w:tc>
      </w:tr>
      <w:tr w:rsidR="005F113F" w:rsidRPr="006B209B">
        <w:tblPrEx>
          <w:tblCellMar>
            <w:top w:w="0" w:type="dxa"/>
            <w:bottom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O</w:t>
            </w:r>
            <w:r w:rsidRPr="00003D5B">
              <w:rPr>
                <w:sz w:val="24"/>
                <w:szCs w:val="14"/>
              </w:rPr>
              <w:t>t</w:t>
            </w:r>
            <w:r w:rsidRPr="00003D5B">
              <w:rPr>
                <w:sz w:val="24"/>
                <w:szCs w:val="14"/>
              </w:rPr>
              <w:t>tawa (Ont.)</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r>
      <w:tr w:rsidR="005F113F" w:rsidRPr="006B209B">
        <w:tblPrEx>
          <w:tblCellMar>
            <w:top w:w="0" w:type="dxa"/>
            <w:bottom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T</w:t>
            </w:r>
            <w:r w:rsidRPr="00003D5B">
              <w:rPr>
                <w:sz w:val="24"/>
                <w:szCs w:val="14"/>
              </w:rPr>
              <w:t>o</w:t>
            </w:r>
            <w:r w:rsidRPr="00003D5B">
              <w:rPr>
                <w:sz w:val="24"/>
                <w:szCs w:val="14"/>
              </w:rPr>
              <w:t>ronto</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5</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6</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5</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4</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4</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5</w:t>
            </w:r>
          </w:p>
        </w:tc>
      </w:tr>
      <w:tr w:rsidR="005F113F" w:rsidRPr="006B209B">
        <w:tblPrEx>
          <w:tblCellMar>
            <w:top w:w="0" w:type="dxa"/>
            <w:bottom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Manit</w:t>
            </w:r>
            <w:r w:rsidRPr="00003D5B">
              <w:rPr>
                <w:sz w:val="24"/>
                <w:szCs w:val="14"/>
              </w:rPr>
              <w:t>o</w:t>
            </w:r>
            <w:r w:rsidRPr="00003D5B">
              <w:rPr>
                <w:sz w:val="24"/>
                <w:szCs w:val="14"/>
              </w:rPr>
              <w:t>ba</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r>
      <w:tr w:rsidR="005F113F" w:rsidRPr="006B209B">
        <w:tblPrEx>
          <w:tblCellMar>
            <w:top w:w="0" w:type="dxa"/>
            <w:bottom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Saska</w:t>
            </w:r>
            <w:r w:rsidRPr="00003D5B">
              <w:rPr>
                <w:sz w:val="24"/>
                <w:szCs w:val="14"/>
              </w:rPr>
              <w:t>t</w:t>
            </w:r>
            <w:r w:rsidRPr="00003D5B">
              <w:rPr>
                <w:sz w:val="24"/>
                <w:szCs w:val="14"/>
              </w:rPr>
              <w:t>chewan</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5</w:t>
            </w:r>
          </w:p>
        </w:tc>
      </w:tr>
      <w:tr w:rsidR="005F113F" w:rsidRPr="006B209B">
        <w:tblPrEx>
          <w:tblCellMar>
            <w:top w:w="0" w:type="dxa"/>
            <w:bottom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A</w:t>
            </w:r>
            <w:r w:rsidRPr="00003D5B">
              <w:rPr>
                <w:sz w:val="24"/>
                <w:szCs w:val="14"/>
              </w:rPr>
              <w:t>l</w:t>
            </w:r>
            <w:r w:rsidRPr="00003D5B">
              <w:rPr>
                <w:sz w:val="24"/>
                <w:szCs w:val="14"/>
              </w:rPr>
              <w:t>berta</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3</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4</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7</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7</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6</w:t>
            </w:r>
          </w:p>
        </w:tc>
      </w:tr>
      <w:tr w:rsidR="005F113F" w:rsidRPr="006B209B">
        <w:tblPrEx>
          <w:tblCellMar>
            <w:top w:w="0" w:type="dxa"/>
            <w:bottom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Ca</w:t>
            </w:r>
            <w:r w:rsidRPr="00003D5B">
              <w:rPr>
                <w:sz w:val="24"/>
                <w:szCs w:val="14"/>
              </w:rPr>
              <w:t>l</w:t>
            </w:r>
            <w:r w:rsidRPr="00003D5B">
              <w:rPr>
                <w:sz w:val="24"/>
                <w:szCs w:val="14"/>
              </w:rPr>
              <w:t>gary</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6</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r>
      <w:tr w:rsidR="005F113F" w:rsidRPr="006B209B">
        <w:tblPrEx>
          <w:tblCellMar>
            <w:top w:w="0" w:type="dxa"/>
            <w:bottom w:w="0" w:type="dxa"/>
          </w:tblCellMar>
        </w:tblPrEx>
        <w:tc>
          <w:tcPr>
            <w:tcW w:w="1946" w:type="dxa"/>
            <w:tcBorders>
              <w:top w:val="single" w:sz="6" w:space="0" w:color="auto"/>
              <w:left w:val="nil"/>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C.-B.</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8</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9</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3</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3</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4</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7</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14</w:t>
            </w:r>
          </w:p>
        </w:tc>
      </w:tr>
      <w:tr w:rsidR="005F113F" w:rsidRPr="006B209B">
        <w:tblPrEx>
          <w:tblCellMar>
            <w:top w:w="0" w:type="dxa"/>
            <w:bottom w:w="0" w:type="dxa"/>
          </w:tblCellMar>
        </w:tblPrEx>
        <w:tc>
          <w:tcPr>
            <w:tcW w:w="1946" w:type="dxa"/>
            <w:tcBorders>
              <w:top w:val="single" w:sz="6" w:space="0" w:color="auto"/>
              <w:left w:val="single" w:sz="12"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both"/>
              <w:rPr>
                <w:sz w:val="24"/>
              </w:rPr>
            </w:pPr>
            <w:r w:rsidRPr="00003D5B">
              <w:rPr>
                <w:sz w:val="24"/>
                <w:szCs w:val="14"/>
              </w:rPr>
              <w:t>Vanco</w:t>
            </w:r>
            <w:r w:rsidRPr="00003D5B">
              <w:rPr>
                <w:sz w:val="24"/>
                <w:szCs w:val="14"/>
              </w:rPr>
              <w:t>u</w:t>
            </w:r>
            <w:r w:rsidRPr="00003D5B">
              <w:rPr>
                <w:sz w:val="24"/>
                <w:szCs w:val="14"/>
              </w:rPr>
              <w:t>ver</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0</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4</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2</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5F113F" w:rsidRPr="00003D5B" w:rsidRDefault="005F113F" w:rsidP="005F113F">
            <w:pPr>
              <w:spacing w:before="60" w:after="60"/>
              <w:ind w:firstLine="0"/>
              <w:jc w:val="center"/>
              <w:rPr>
                <w:sz w:val="24"/>
              </w:rPr>
            </w:pPr>
            <w:r w:rsidRPr="00003D5B">
              <w:rPr>
                <w:sz w:val="24"/>
                <w:szCs w:val="14"/>
              </w:rPr>
              <w:t>9</w:t>
            </w:r>
          </w:p>
        </w:tc>
      </w:tr>
    </w:tbl>
    <w:p w:rsidR="005F113F" w:rsidRDefault="005F113F" w:rsidP="005F113F"/>
    <w:p w:rsidR="005F113F" w:rsidRDefault="005F113F" w:rsidP="005F113F">
      <w:r w:rsidRPr="00003D5B">
        <w:rPr>
          <w:sz w:val="24"/>
          <w:szCs w:val="14"/>
        </w:rPr>
        <w:t xml:space="preserve">Source : Statistique Canada. 2006-2016. </w:t>
      </w:r>
      <w:r w:rsidRPr="00003D5B">
        <w:rPr>
          <w:i/>
          <w:iCs/>
          <w:sz w:val="24"/>
          <w:szCs w:val="14"/>
        </w:rPr>
        <w:t>Statist</w:t>
      </w:r>
      <w:r w:rsidRPr="00003D5B">
        <w:rPr>
          <w:i/>
          <w:iCs/>
          <w:sz w:val="24"/>
          <w:szCs w:val="14"/>
        </w:rPr>
        <w:t>i</w:t>
      </w:r>
      <w:r w:rsidRPr="00003D5B">
        <w:rPr>
          <w:i/>
          <w:iCs/>
          <w:sz w:val="24"/>
          <w:szCs w:val="14"/>
        </w:rPr>
        <w:t>ques des crimes fondés sur</w:t>
      </w:r>
      <w:r>
        <w:rPr>
          <w:i/>
          <w:iCs/>
          <w:sz w:val="24"/>
          <w:szCs w:val="14"/>
        </w:rPr>
        <w:t xml:space="preserve"> </w:t>
      </w:r>
      <w:r w:rsidRPr="00003D5B">
        <w:rPr>
          <w:i/>
          <w:iCs/>
          <w:sz w:val="24"/>
          <w:szCs w:val="14"/>
        </w:rPr>
        <w:t>l'affaire, par infra</w:t>
      </w:r>
      <w:r w:rsidRPr="00003D5B">
        <w:rPr>
          <w:i/>
          <w:iCs/>
          <w:sz w:val="24"/>
          <w:szCs w:val="14"/>
        </w:rPr>
        <w:t>c</w:t>
      </w:r>
      <w:r w:rsidRPr="00003D5B">
        <w:rPr>
          <w:i/>
          <w:iCs/>
          <w:sz w:val="24"/>
          <w:szCs w:val="14"/>
        </w:rPr>
        <w:t xml:space="preserve">tions détaillées, rapports annuels, </w:t>
      </w:r>
      <w:r w:rsidRPr="00003D5B">
        <w:rPr>
          <w:sz w:val="24"/>
          <w:szCs w:val="14"/>
        </w:rPr>
        <w:t>Ottawa, Statistique Canada.</w:t>
      </w:r>
    </w:p>
    <w:p w:rsidR="005F113F" w:rsidRDefault="005F113F" w:rsidP="005F113F">
      <w:pPr>
        <w:spacing w:before="120" w:after="120"/>
        <w:jc w:val="both"/>
        <w:rPr>
          <w:b/>
          <w:bCs/>
          <w:szCs w:val="22"/>
        </w:rPr>
      </w:pPr>
      <w:r>
        <w:rPr>
          <w:b/>
          <w:bCs/>
          <w:szCs w:val="22"/>
        </w:rPr>
        <w:br w:type="page"/>
      </w:r>
    </w:p>
    <w:p w:rsidR="005F113F" w:rsidRPr="006B209B" w:rsidRDefault="005F113F" w:rsidP="005F113F">
      <w:pPr>
        <w:pStyle w:val="planche"/>
      </w:pPr>
      <w:bookmarkStart w:id="5" w:name="Definition_haine_3"/>
      <w:r>
        <w:t>3.  RÉ</w:t>
      </w:r>
      <w:r w:rsidRPr="006B209B">
        <w:t>GIMES JURIDIQUES A</w:t>
      </w:r>
      <w:r w:rsidRPr="006B209B">
        <w:t>P</w:t>
      </w:r>
      <w:r w:rsidRPr="006B209B">
        <w:t>PLICABLES</w:t>
      </w:r>
    </w:p>
    <w:bookmarkEnd w:id="5"/>
    <w:p w:rsidR="005F113F" w:rsidRDefault="005F113F" w:rsidP="005F113F">
      <w:pPr>
        <w:spacing w:before="120" w:after="120"/>
        <w:jc w:val="both"/>
        <w:rPr>
          <w:szCs w:val="22"/>
        </w:rPr>
      </w:pPr>
    </w:p>
    <w:p w:rsidR="005F113F" w:rsidRPr="00384B20" w:rsidRDefault="005F113F" w:rsidP="005F113F">
      <w:pPr>
        <w:ind w:right="90" w:firstLine="0"/>
        <w:jc w:val="both"/>
        <w:rPr>
          <w:sz w:val="20"/>
        </w:rPr>
      </w:pPr>
      <w:hyperlink w:anchor="tdm" w:history="1">
        <w:r w:rsidRPr="00384B20">
          <w:rPr>
            <w:rStyle w:val="Lienhypertexte"/>
            <w:sz w:val="20"/>
          </w:rPr>
          <w:t>Retour à la table des matières</w:t>
        </w:r>
      </w:hyperlink>
    </w:p>
    <w:p w:rsidR="005F113F" w:rsidRPr="006B209B" w:rsidRDefault="005F113F" w:rsidP="005F113F">
      <w:pPr>
        <w:spacing w:before="120" w:after="120"/>
        <w:jc w:val="both"/>
      </w:pPr>
      <w:r w:rsidRPr="006B209B">
        <w:rPr>
          <w:szCs w:val="22"/>
        </w:rPr>
        <w:t>Pour les besoins du présent texte, nous faisons abstraction de l'h</w:t>
      </w:r>
      <w:r w:rsidRPr="006B209B">
        <w:rPr>
          <w:szCs w:val="22"/>
        </w:rPr>
        <w:t>y</w:t>
      </w:r>
      <w:r w:rsidRPr="006B209B">
        <w:rPr>
          <w:szCs w:val="22"/>
        </w:rPr>
        <w:t xml:space="preserve">pothèse de comportements haineux </w:t>
      </w:r>
      <w:r w:rsidRPr="006B209B">
        <w:rPr>
          <w:i/>
          <w:iCs/>
          <w:szCs w:val="22"/>
        </w:rPr>
        <w:t>institutio</w:t>
      </w:r>
      <w:r w:rsidRPr="006B209B">
        <w:rPr>
          <w:i/>
          <w:iCs/>
          <w:szCs w:val="22"/>
        </w:rPr>
        <w:t>n</w:t>
      </w:r>
      <w:r w:rsidRPr="006B209B">
        <w:rPr>
          <w:i/>
          <w:iCs/>
          <w:szCs w:val="22"/>
        </w:rPr>
        <w:t xml:space="preserve">nels </w:t>
      </w:r>
      <w:r w:rsidRPr="006B209B">
        <w:rPr>
          <w:szCs w:val="22"/>
        </w:rPr>
        <w:t>de l'État ou de ses agents, qui seraient susceptibles de sanctions constit</w:t>
      </w:r>
      <w:r w:rsidRPr="006B209B">
        <w:rPr>
          <w:szCs w:val="22"/>
        </w:rPr>
        <w:t>u</w:t>
      </w:r>
      <w:r w:rsidRPr="006B209B">
        <w:rPr>
          <w:szCs w:val="22"/>
        </w:rPr>
        <w:t>tionnelles en vertu de la CCDL au pr</w:t>
      </w:r>
      <w:r w:rsidRPr="006B209B">
        <w:rPr>
          <w:szCs w:val="22"/>
        </w:rPr>
        <w:t>e</w:t>
      </w:r>
      <w:r w:rsidRPr="006B209B">
        <w:rPr>
          <w:szCs w:val="22"/>
        </w:rPr>
        <w:t>mier chef</w:t>
      </w:r>
      <w:r>
        <w:rPr>
          <w:szCs w:val="22"/>
        </w:rPr>
        <w:t> </w:t>
      </w:r>
      <w:r>
        <w:rPr>
          <w:rStyle w:val="Appelnotedebasdep"/>
          <w:szCs w:val="22"/>
        </w:rPr>
        <w:footnoteReference w:id="20"/>
      </w:r>
      <w:r w:rsidRPr="006B209B">
        <w:rPr>
          <w:szCs w:val="22"/>
        </w:rPr>
        <w:t>. Nous nous intéresserons plutôt à la haine qui se manifeste par l'acte d'un individu hors de la fonction étatique.</w:t>
      </w:r>
    </w:p>
    <w:p w:rsidR="005F113F" w:rsidRPr="006B209B" w:rsidRDefault="005F113F" w:rsidP="005F113F">
      <w:pPr>
        <w:spacing w:before="120" w:after="120"/>
        <w:jc w:val="both"/>
      </w:pPr>
      <w:r w:rsidRPr="006B209B">
        <w:rPr>
          <w:szCs w:val="22"/>
        </w:rPr>
        <w:t>Ceci en surprendra certains</w:t>
      </w:r>
      <w:r>
        <w:rPr>
          <w:szCs w:val="22"/>
        </w:rPr>
        <w:t> :</w:t>
      </w:r>
      <w:r w:rsidRPr="006B209B">
        <w:rPr>
          <w:szCs w:val="22"/>
        </w:rPr>
        <w:t xml:space="preserve"> au C</w:t>
      </w:r>
      <w:r w:rsidRPr="006B209B">
        <w:rPr>
          <w:szCs w:val="22"/>
        </w:rPr>
        <w:t>a</w:t>
      </w:r>
      <w:r w:rsidRPr="006B209B">
        <w:rPr>
          <w:szCs w:val="22"/>
        </w:rPr>
        <w:t xml:space="preserve">nada, l'individu jouit </w:t>
      </w:r>
      <w:r w:rsidRPr="006B209B">
        <w:rPr>
          <w:i/>
          <w:iCs/>
          <w:szCs w:val="22"/>
        </w:rPr>
        <w:t xml:space="preserve">a priori </w:t>
      </w:r>
      <w:r w:rsidRPr="006B209B">
        <w:rPr>
          <w:szCs w:val="22"/>
        </w:rPr>
        <w:t xml:space="preserve">d'un </w:t>
      </w:r>
      <w:r>
        <w:rPr>
          <w:szCs w:val="22"/>
        </w:rPr>
        <w:t>« </w:t>
      </w:r>
      <w:r w:rsidRPr="006B209B">
        <w:rPr>
          <w:szCs w:val="22"/>
        </w:rPr>
        <w:t>droit de haïr</w:t>
      </w:r>
      <w:r>
        <w:rPr>
          <w:szCs w:val="22"/>
        </w:rPr>
        <w:t> »</w:t>
      </w:r>
      <w:r w:rsidRPr="006B209B">
        <w:rPr>
          <w:szCs w:val="22"/>
        </w:rPr>
        <w:t xml:space="preserve"> les minorités et d'e</w:t>
      </w:r>
      <w:r w:rsidRPr="006B209B">
        <w:rPr>
          <w:szCs w:val="22"/>
        </w:rPr>
        <w:t>x</w:t>
      </w:r>
      <w:r w:rsidRPr="006B209B">
        <w:rPr>
          <w:szCs w:val="22"/>
        </w:rPr>
        <w:t xml:space="preserve">primer cette haine, sauf par la violence physique. Ce </w:t>
      </w:r>
      <w:r>
        <w:rPr>
          <w:szCs w:val="22"/>
        </w:rPr>
        <w:t>« </w:t>
      </w:r>
      <w:r w:rsidRPr="006B209B">
        <w:rPr>
          <w:szCs w:val="22"/>
        </w:rPr>
        <w:t>droit de haïr</w:t>
      </w:r>
      <w:r>
        <w:rPr>
          <w:szCs w:val="22"/>
        </w:rPr>
        <w:t> »</w:t>
      </w:r>
      <w:r w:rsidRPr="006B209B">
        <w:rPr>
          <w:szCs w:val="22"/>
        </w:rPr>
        <w:t xml:space="preserve"> découle des libertés gara</w:t>
      </w:r>
      <w:r w:rsidRPr="006B209B">
        <w:rPr>
          <w:szCs w:val="22"/>
        </w:rPr>
        <w:t>n</w:t>
      </w:r>
      <w:r w:rsidRPr="006B209B">
        <w:rPr>
          <w:szCs w:val="22"/>
        </w:rPr>
        <w:t>ties par l'article 2 de la CCDL. Il ne peut être restreint que par une r</w:t>
      </w:r>
      <w:r w:rsidRPr="006B209B">
        <w:rPr>
          <w:szCs w:val="22"/>
        </w:rPr>
        <w:t>è</w:t>
      </w:r>
      <w:r w:rsidRPr="006B209B">
        <w:rPr>
          <w:szCs w:val="22"/>
        </w:rPr>
        <w:t>gle de droit, dans des limites raisonnables dont la justification soit démontrable dans le cadre d'une société libre et démocratique</w:t>
      </w:r>
      <w:r>
        <w:rPr>
          <w:szCs w:val="22"/>
        </w:rPr>
        <w:t> </w:t>
      </w:r>
      <w:r>
        <w:rPr>
          <w:rStyle w:val="Appelnotedebasdep"/>
          <w:szCs w:val="22"/>
        </w:rPr>
        <w:footnoteReference w:id="21"/>
      </w:r>
      <w:r w:rsidRPr="006B209B">
        <w:rPr>
          <w:szCs w:val="22"/>
        </w:rPr>
        <w:t>.</w:t>
      </w:r>
    </w:p>
    <w:p w:rsidR="005F113F" w:rsidRPr="006B209B" w:rsidRDefault="005F113F" w:rsidP="005F113F">
      <w:pPr>
        <w:spacing w:before="120" w:after="120"/>
        <w:jc w:val="both"/>
      </w:pPr>
      <w:r w:rsidRPr="006B209B">
        <w:rPr>
          <w:szCs w:val="22"/>
        </w:rPr>
        <w:t xml:space="preserve">On trouve de telles limitations au </w:t>
      </w:r>
      <w:r>
        <w:rPr>
          <w:szCs w:val="22"/>
        </w:rPr>
        <w:t>« </w:t>
      </w:r>
      <w:r w:rsidRPr="006B209B">
        <w:rPr>
          <w:szCs w:val="22"/>
        </w:rPr>
        <w:t>droit de haïr</w:t>
      </w:r>
      <w:r>
        <w:rPr>
          <w:szCs w:val="22"/>
        </w:rPr>
        <w:t> »</w:t>
      </w:r>
      <w:r w:rsidRPr="006B209B">
        <w:rPr>
          <w:szCs w:val="22"/>
        </w:rPr>
        <w:t xml:space="preserve"> dans plusieurs lois comme les chartes des droits et libertés </w:t>
      </w:r>
      <w:r w:rsidRPr="006B209B">
        <w:rPr>
          <w:i/>
          <w:iCs/>
          <w:szCs w:val="22"/>
        </w:rPr>
        <w:t xml:space="preserve">(human rights codes) </w:t>
      </w:r>
      <w:r w:rsidRPr="006B209B">
        <w:rPr>
          <w:szCs w:val="22"/>
        </w:rPr>
        <w:t>f</w:t>
      </w:r>
      <w:r w:rsidRPr="006B209B">
        <w:rPr>
          <w:szCs w:val="22"/>
        </w:rPr>
        <w:t>é</w:t>
      </w:r>
      <w:r w:rsidRPr="006B209B">
        <w:rPr>
          <w:szCs w:val="22"/>
        </w:rPr>
        <w:t>dérale et provinciales, qui protègent la sécurité, la dignité</w:t>
      </w:r>
      <w:r>
        <w:rPr>
          <w:szCs w:val="22"/>
        </w:rPr>
        <w:t xml:space="preserve"> </w:t>
      </w:r>
      <w:r>
        <w:rPr>
          <w:szCs w:val="16"/>
        </w:rPr>
        <w:t xml:space="preserve">[441] </w:t>
      </w:r>
      <w:r w:rsidRPr="006B209B">
        <w:rPr>
          <w:szCs w:val="22"/>
        </w:rPr>
        <w:t>et l'i</w:t>
      </w:r>
      <w:r w:rsidRPr="006B209B">
        <w:rPr>
          <w:szCs w:val="22"/>
        </w:rPr>
        <w:t>n</w:t>
      </w:r>
      <w:r w:rsidRPr="006B209B">
        <w:rPr>
          <w:szCs w:val="22"/>
        </w:rPr>
        <w:t>tégrité des individus, et interdisent la discrimination dans ce</w:t>
      </w:r>
      <w:r w:rsidRPr="006B209B">
        <w:rPr>
          <w:szCs w:val="22"/>
        </w:rPr>
        <w:t>r</w:t>
      </w:r>
      <w:r w:rsidRPr="006B209B">
        <w:rPr>
          <w:szCs w:val="22"/>
        </w:rPr>
        <w:t>tains contextes. Pour les fins du présent texte, on peut considérer que la CCDL, qui fait partie intégrante de la Constitution, a conduit à l'ha</w:t>
      </w:r>
      <w:r w:rsidRPr="006B209B">
        <w:rPr>
          <w:szCs w:val="22"/>
        </w:rPr>
        <w:t>r</w:t>
      </w:r>
      <w:r w:rsidRPr="006B209B">
        <w:rPr>
          <w:szCs w:val="22"/>
        </w:rPr>
        <w:t>monisation des motifs interdits de discrimination dans l'e</w:t>
      </w:r>
      <w:r w:rsidRPr="006B209B">
        <w:rPr>
          <w:szCs w:val="22"/>
        </w:rPr>
        <w:t>n</w:t>
      </w:r>
      <w:r w:rsidRPr="006B209B">
        <w:rPr>
          <w:szCs w:val="22"/>
        </w:rPr>
        <w:t>semble du pays</w:t>
      </w:r>
      <w:r>
        <w:rPr>
          <w:szCs w:val="22"/>
        </w:rPr>
        <w:t> :</w:t>
      </w:r>
      <w:r w:rsidRPr="006B209B">
        <w:rPr>
          <w:szCs w:val="22"/>
        </w:rPr>
        <w:t xml:space="preserve"> race, origine nationale ou ethnique, couleur, religion, sexe, âge, déficiences mentale ou physique, motifs analogues</w:t>
      </w:r>
      <w:r>
        <w:rPr>
          <w:szCs w:val="22"/>
        </w:rPr>
        <w:t> </w:t>
      </w:r>
      <w:r>
        <w:rPr>
          <w:rStyle w:val="Appelnotedebasdep"/>
          <w:szCs w:val="22"/>
        </w:rPr>
        <w:footnoteReference w:id="22"/>
      </w:r>
      <w:r w:rsidRPr="006B209B">
        <w:rPr>
          <w:szCs w:val="22"/>
        </w:rPr>
        <w:t>.</w:t>
      </w:r>
    </w:p>
    <w:p w:rsidR="005F113F" w:rsidRPr="006B209B" w:rsidRDefault="005F113F" w:rsidP="005F113F">
      <w:pPr>
        <w:spacing w:before="120" w:after="120"/>
        <w:jc w:val="both"/>
      </w:pPr>
      <w:r w:rsidRPr="006B209B">
        <w:rPr>
          <w:szCs w:val="22"/>
        </w:rPr>
        <w:t xml:space="preserve">Les actes haineux sont susceptibles d'attenter au droit à l'égalité. Prenons, par exemple, la </w:t>
      </w:r>
      <w:r w:rsidRPr="006B209B">
        <w:rPr>
          <w:i/>
          <w:iCs/>
          <w:szCs w:val="22"/>
        </w:rPr>
        <w:t xml:space="preserve">Charte des droits et libertés de la </w:t>
      </w:r>
      <w:r w:rsidRPr="00EE3062">
        <w:rPr>
          <w:i/>
          <w:iCs/>
          <w:szCs w:val="22"/>
        </w:rPr>
        <w:t>perso</w:t>
      </w:r>
      <w:r w:rsidRPr="00EE3062">
        <w:rPr>
          <w:i/>
          <w:iCs/>
          <w:szCs w:val="22"/>
        </w:rPr>
        <w:t>n</w:t>
      </w:r>
      <w:r w:rsidRPr="00EE3062">
        <w:rPr>
          <w:i/>
          <w:iCs/>
          <w:szCs w:val="22"/>
        </w:rPr>
        <w:t>ne </w:t>
      </w:r>
      <w:r>
        <w:rPr>
          <w:rStyle w:val="Appelnotedebasdep"/>
          <w:iCs/>
          <w:szCs w:val="22"/>
        </w:rPr>
        <w:footnoteReference w:id="23"/>
      </w:r>
      <w:r w:rsidRPr="006B209B">
        <w:rPr>
          <w:i/>
          <w:iCs/>
          <w:szCs w:val="22"/>
        </w:rPr>
        <w:t xml:space="preserve"> </w:t>
      </w:r>
      <w:r w:rsidRPr="006B209B">
        <w:rPr>
          <w:szCs w:val="22"/>
        </w:rPr>
        <w:t xml:space="preserve">(ci-après </w:t>
      </w:r>
      <w:r>
        <w:rPr>
          <w:szCs w:val="22"/>
        </w:rPr>
        <w:t>« </w:t>
      </w:r>
      <w:r w:rsidRPr="006B209B">
        <w:rPr>
          <w:b/>
          <w:bCs/>
          <w:szCs w:val="22"/>
        </w:rPr>
        <w:t>Charte québécoise</w:t>
      </w:r>
      <w:r>
        <w:rPr>
          <w:b/>
          <w:bCs/>
          <w:szCs w:val="22"/>
        </w:rPr>
        <w:t> »</w:t>
      </w:r>
      <w:r w:rsidRPr="006B209B">
        <w:rPr>
          <w:szCs w:val="22"/>
        </w:rPr>
        <w:t>)</w:t>
      </w:r>
      <w:r>
        <w:rPr>
          <w:szCs w:val="22"/>
        </w:rPr>
        <w:t> :</w:t>
      </w:r>
      <w:r w:rsidRPr="006B209B">
        <w:rPr>
          <w:szCs w:val="22"/>
        </w:rPr>
        <w:t xml:space="preserve"> harceler une personne en ra</w:t>
      </w:r>
      <w:r w:rsidRPr="006B209B">
        <w:rPr>
          <w:szCs w:val="22"/>
        </w:rPr>
        <w:t>i</w:t>
      </w:r>
      <w:r w:rsidRPr="006B209B">
        <w:rPr>
          <w:szCs w:val="22"/>
        </w:rPr>
        <w:t>son d'un motif interdit de discrimination (prévu à l'article 10) contr</w:t>
      </w:r>
      <w:r w:rsidRPr="006B209B">
        <w:rPr>
          <w:szCs w:val="22"/>
        </w:rPr>
        <w:t>e</w:t>
      </w:r>
      <w:r w:rsidRPr="006B209B">
        <w:rPr>
          <w:szCs w:val="22"/>
        </w:rPr>
        <w:t>vient à l'article 10.1 de la Charte québécoise. Ainsi en serait-il de que</w:t>
      </w:r>
      <w:r w:rsidRPr="006B209B">
        <w:rPr>
          <w:szCs w:val="22"/>
        </w:rPr>
        <w:t>l</w:t>
      </w:r>
      <w:r w:rsidRPr="006B209B">
        <w:rPr>
          <w:szCs w:val="22"/>
        </w:rPr>
        <w:t>qu'un qui adresserait à un voisin de palier, de façon répétée, des insultes à caractère racial. Par contre, tenir un discours raciste conce</w:t>
      </w:r>
      <w:r w:rsidRPr="006B209B">
        <w:rPr>
          <w:szCs w:val="22"/>
        </w:rPr>
        <w:t>r</w:t>
      </w:r>
      <w:r w:rsidRPr="006B209B">
        <w:rPr>
          <w:szCs w:val="22"/>
        </w:rPr>
        <w:t>nant un tiers, mais en conversation privée avec un ami, ne tomberait vraise</w:t>
      </w:r>
      <w:r w:rsidRPr="006B209B">
        <w:rPr>
          <w:szCs w:val="22"/>
        </w:rPr>
        <w:t>m</w:t>
      </w:r>
      <w:r w:rsidRPr="006B209B">
        <w:rPr>
          <w:szCs w:val="22"/>
        </w:rPr>
        <w:t>blablement pas sous le coup de ce type d'interdiction.</w:t>
      </w:r>
    </w:p>
    <w:p w:rsidR="005F113F" w:rsidRPr="006B209B" w:rsidRDefault="005F113F" w:rsidP="005F113F">
      <w:pPr>
        <w:spacing w:before="120" w:after="120"/>
        <w:jc w:val="both"/>
      </w:pPr>
      <w:r w:rsidRPr="006B209B">
        <w:rPr>
          <w:szCs w:val="22"/>
        </w:rPr>
        <w:t>L'encadrement juridique de ces manifestations d'une haine des m</w:t>
      </w:r>
      <w:r w:rsidRPr="006B209B">
        <w:rPr>
          <w:szCs w:val="22"/>
        </w:rPr>
        <w:t>i</w:t>
      </w:r>
      <w:r w:rsidRPr="006B209B">
        <w:rPr>
          <w:szCs w:val="22"/>
        </w:rPr>
        <w:t>norités est complexe et ses sources, nombre</w:t>
      </w:r>
      <w:r w:rsidRPr="006B209B">
        <w:rPr>
          <w:szCs w:val="22"/>
        </w:rPr>
        <w:t>u</w:t>
      </w:r>
      <w:r w:rsidRPr="006B209B">
        <w:rPr>
          <w:szCs w:val="22"/>
        </w:rPr>
        <w:t>ses. Recenser toutes les dispositions applicables en droit fédéral et dans les provinces et terr</w:t>
      </w:r>
      <w:r w:rsidRPr="006B209B">
        <w:rPr>
          <w:szCs w:val="22"/>
        </w:rPr>
        <w:t>i</w:t>
      </w:r>
      <w:r w:rsidRPr="006B209B">
        <w:rPr>
          <w:szCs w:val="22"/>
        </w:rPr>
        <w:t>toires canadiens serait fastidieux</w:t>
      </w:r>
      <w:r>
        <w:rPr>
          <w:szCs w:val="22"/>
        </w:rPr>
        <w:t> ;</w:t>
      </w:r>
      <w:r w:rsidRPr="006B209B">
        <w:rPr>
          <w:szCs w:val="22"/>
        </w:rPr>
        <w:t xml:space="preserve"> nous nous en tiendrons à quelques exemples représentatifs. Nous présenterons plus bas les quatre catég</w:t>
      </w:r>
      <w:r w:rsidRPr="006B209B">
        <w:rPr>
          <w:szCs w:val="22"/>
        </w:rPr>
        <w:t>o</w:t>
      </w:r>
      <w:r w:rsidRPr="006B209B">
        <w:rPr>
          <w:szCs w:val="22"/>
        </w:rPr>
        <w:t>ries de sanction possible</w:t>
      </w:r>
      <w:r>
        <w:rPr>
          <w:szCs w:val="22"/>
        </w:rPr>
        <w:t> :</w:t>
      </w:r>
      <w:r w:rsidRPr="006B209B">
        <w:rPr>
          <w:szCs w:val="22"/>
        </w:rPr>
        <w:t xml:space="preserve"> civiles, réglementaires, pénales et crimine</w:t>
      </w:r>
      <w:r w:rsidRPr="006B209B">
        <w:rPr>
          <w:szCs w:val="22"/>
        </w:rPr>
        <w:t>l</w:t>
      </w:r>
      <w:r w:rsidRPr="006B209B">
        <w:rPr>
          <w:szCs w:val="22"/>
        </w:rPr>
        <w:t>les.</w:t>
      </w:r>
    </w:p>
    <w:p w:rsidR="005F113F" w:rsidRPr="006B209B" w:rsidRDefault="005F113F" w:rsidP="005F113F">
      <w:pPr>
        <w:spacing w:before="120" w:after="120"/>
        <w:jc w:val="both"/>
      </w:pPr>
      <w:r w:rsidRPr="006B209B">
        <w:rPr>
          <w:szCs w:val="22"/>
        </w:rPr>
        <w:t>Les actes haineux ciblent le plus fr</w:t>
      </w:r>
      <w:r w:rsidRPr="006B209B">
        <w:rPr>
          <w:szCs w:val="22"/>
        </w:rPr>
        <w:t>é</w:t>
      </w:r>
      <w:r w:rsidRPr="006B209B">
        <w:rPr>
          <w:szCs w:val="22"/>
        </w:rPr>
        <w:t>quemment des membres de minorités religieuses, raciales, sexuelles ou ethn</w:t>
      </w:r>
      <w:r w:rsidRPr="006B209B">
        <w:rPr>
          <w:szCs w:val="22"/>
        </w:rPr>
        <w:t>i</w:t>
      </w:r>
      <w:r w:rsidRPr="006B209B">
        <w:rPr>
          <w:szCs w:val="22"/>
        </w:rPr>
        <w:t>ques. Cependant, la discrimination peut se manifester de diverses manières</w:t>
      </w:r>
      <w:r>
        <w:rPr>
          <w:szCs w:val="22"/>
        </w:rPr>
        <w:t> ;</w:t>
      </w:r>
      <w:r w:rsidRPr="006B209B">
        <w:rPr>
          <w:szCs w:val="22"/>
        </w:rPr>
        <w:t xml:space="preserve"> ce sont sa forme concrète et son contexte qui déterminent la sanction juridique. On distinguera ici ses formes violentes, qui relèvent avant tout du droit criminel (sans pour autant écarter les sanctions civiles ou pén</w:t>
      </w:r>
      <w:r w:rsidRPr="006B209B">
        <w:rPr>
          <w:szCs w:val="22"/>
        </w:rPr>
        <w:t>a</w:t>
      </w:r>
      <w:r w:rsidRPr="006B209B">
        <w:rPr>
          <w:szCs w:val="22"/>
        </w:rPr>
        <w:t>les) et ses formes non violentes (diffamation, harcèlement, déni d'e</w:t>
      </w:r>
      <w:r w:rsidRPr="006B209B">
        <w:rPr>
          <w:szCs w:val="22"/>
        </w:rPr>
        <w:t>m</w:t>
      </w:r>
      <w:r w:rsidRPr="006B209B">
        <w:rPr>
          <w:szCs w:val="22"/>
        </w:rPr>
        <w:t>ploi, déni de logement), qui relèvent généralement du droit civil ou du droit pénal ou réglementaire.</w:t>
      </w:r>
    </w:p>
    <w:p w:rsidR="005F113F" w:rsidRDefault="005F113F" w:rsidP="005F113F">
      <w:pPr>
        <w:spacing w:before="120" w:after="120"/>
        <w:jc w:val="both"/>
      </w:pPr>
      <w:r>
        <w:t>[442]</w:t>
      </w:r>
    </w:p>
    <w:p w:rsidR="005F113F" w:rsidRDefault="005F113F" w:rsidP="005F113F">
      <w:pPr>
        <w:spacing w:before="120" w:after="120"/>
        <w:jc w:val="both"/>
        <w:rPr>
          <w:szCs w:val="22"/>
        </w:rPr>
      </w:pPr>
      <w:r w:rsidRPr="006B209B">
        <w:rPr>
          <w:szCs w:val="22"/>
        </w:rPr>
        <w:t>Le cumul des recours est souvent possible. Supposons qu'un ind</w:t>
      </w:r>
      <w:r w:rsidRPr="006B209B">
        <w:rPr>
          <w:szCs w:val="22"/>
        </w:rPr>
        <w:t>i</w:t>
      </w:r>
      <w:r w:rsidRPr="006B209B">
        <w:rPr>
          <w:szCs w:val="22"/>
        </w:rPr>
        <w:t>vidu X s'introduise nuitamment dans l'église Saint-Joseph-de-Mont-Royal, qu'il y détruise des objets sacrés et écrive à l'aérosol sur un mur</w:t>
      </w:r>
      <w:r>
        <w:rPr>
          <w:szCs w:val="22"/>
        </w:rPr>
        <w:t> :</w:t>
      </w:r>
      <w:r w:rsidRPr="006B209B">
        <w:rPr>
          <w:szCs w:val="22"/>
        </w:rPr>
        <w:t xml:space="preserve"> </w:t>
      </w:r>
      <w:r>
        <w:rPr>
          <w:szCs w:val="22"/>
        </w:rPr>
        <w:t>« </w:t>
      </w:r>
      <w:r w:rsidRPr="006B209B">
        <w:rPr>
          <w:szCs w:val="22"/>
        </w:rPr>
        <w:t>Mort aux adorateurs de Jésus</w:t>
      </w:r>
      <w:r>
        <w:rPr>
          <w:szCs w:val="22"/>
        </w:rPr>
        <w:t> »</w:t>
      </w:r>
      <w:r w:rsidRPr="006B209B">
        <w:rPr>
          <w:szCs w:val="22"/>
        </w:rPr>
        <w:t>. Il s'expose non seul</w:t>
      </w:r>
      <w:r w:rsidRPr="006B209B">
        <w:rPr>
          <w:szCs w:val="22"/>
        </w:rPr>
        <w:t>e</w:t>
      </w:r>
      <w:r w:rsidRPr="006B209B">
        <w:rPr>
          <w:szCs w:val="22"/>
        </w:rPr>
        <w:t>ment à des accusations criminelles pour méfait à l'égard de biens religieux, mais aussi à une poursuite civile en domm</w:t>
      </w:r>
      <w:r w:rsidRPr="006B209B">
        <w:rPr>
          <w:szCs w:val="22"/>
        </w:rPr>
        <w:t>a</w:t>
      </w:r>
      <w:r w:rsidRPr="006B209B">
        <w:rPr>
          <w:szCs w:val="22"/>
        </w:rPr>
        <w:t>ges-intérêts et dommages punitifs. Dans le premier cas, la Couronne portera les accusations</w:t>
      </w:r>
      <w:r>
        <w:rPr>
          <w:szCs w:val="22"/>
        </w:rPr>
        <w:t> ;</w:t>
      </w:r>
      <w:r w:rsidRPr="006B209B">
        <w:rPr>
          <w:szCs w:val="22"/>
        </w:rPr>
        <w:t xml:space="preserve"> dans le second, la paroisse introduira une demande en justice.</w:t>
      </w:r>
    </w:p>
    <w:p w:rsidR="005F113F" w:rsidRPr="006B209B" w:rsidRDefault="005F113F" w:rsidP="005F113F">
      <w:pPr>
        <w:spacing w:before="120" w:after="120"/>
        <w:jc w:val="both"/>
      </w:pPr>
      <w:r>
        <w:br w:type="page"/>
      </w:r>
    </w:p>
    <w:p w:rsidR="005F113F" w:rsidRPr="006B209B" w:rsidRDefault="005F113F" w:rsidP="005F113F">
      <w:pPr>
        <w:pStyle w:val="a"/>
      </w:pPr>
      <w:bookmarkStart w:id="6" w:name="Definition_haine_3_A"/>
      <w:r>
        <w:t xml:space="preserve">A) </w:t>
      </w:r>
      <w:r w:rsidRPr="006B209B">
        <w:t>Sanctions civiles</w:t>
      </w:r>
    </w:p>
    <w:bookmarkEnd w:id="6"/>
    <w:p w:rsidR="005F113F" w:rsidRDefault="005F113F" w:rsidP="005F113F">
      <w:pPr>
        <w:spacing w:before="120" w:after="120"/>
        <w:jc w:val="both"/>
        <w:rPr>
          <w:szCs w:val="22"/>
        </w:rPr>
      </w:pPr>
    </w:p>
    <w:p w:rsidR="005F113F" w:rsidRPr="00384B20" w:rsidRDefault="005F113F" w:rsidP="005F113F">
      <w:pPr>
        <w:ind w:right="90" w:firstLine="0"/>
        <w:jc w:val="both"/>
        <w:rPr>
          <w:sz w:val="20"/>
        </w:rPr>
      </w:pPr>
      <w:hyperlink w:anchor="tdm" w:history="1">
        <w:r w:rsidRPr="00384B20">
          <w:rPr>
            <w:rStyle w:val="Lienhypertexte"/>
            <w:sz w:val="20"/>
          </w:rPr>
          <w:t>Retour à la table des matières</w:t>
        </w:r>
      </w:hyperlink>
    </w:p>
    <w:p w:rsidR="005F113F" w:rsidRPr="006B209B" w:rsidRDefault="005F113F" w:rsidP="005F113F">
      <w:pPr>
        <w:spacing w:before="120" w:after="120"/>
        <w:jc w:val="both"/>
      </w:pPr>
      <w:r w:rsidRPr="006B209B">
        <w:rPr>
          <w:szCs w:val="22"/>
        </w:rPr>
        <w:t>Les sanctions civiles visent à co</w:t>
      </w:r>
      <w:r w:rsidRPr="006B209B">
        <w:rPr>
          <w:szCs w:val="22"/>
        </w:rPr>
        <w:t>m</w:t>
      </w:r>
      <w:r w:rsidRPr="006B209B">
        <w:rPr>
          <w:szCs w:val="22"/>
        </w:rPr>
        <w:t>penser un préjudice subi par la victime ou à mettre fin à une atteinte. Quand un comportement ha</w:t>
      </w:r>
      <w:r w:rsidRPr="006B209B">
        <w:rPr>
          <w:szCs w:val="22"/>
        </w:rPr>
        <w:t>i</w:t>
      </w:r>
      <w:r w:rsidRPr="006B209B">
        <w:rPr>
          <w:szCs w:val="22"/>
        </w:rPr>
        <w:t xml:space="preserve">neux est judiciairement qualifié de faute ou de délit civil </w:t>
      </w:r>
      <w:r w:rsidRPr="006B209B">
        <w:rPr>
          <w:i/>
          <w:iCs/>
          <w:szCs w:val="22"/>
        </w:rPr>
        <w:t xml:space="preserve">(tort </w:t>
      </w:r>
      <w:r w:rsidRPr="006B209B">
        <w:rPr>
          <w:szCs w:val="22"/>
        </w:rPr>
        <w:t>en a</w:t>
      </w:r>
      <w:r w:rsidRPr="006B209B">
        <w:rPr>
          <w:szCs w:val="22"/>
        </w:rPr>
        <w:t>n</w:t>
      </w:r>
      <w:r w:rsidRPr="006B209B">
        <w:rPr>
          <w:szCs w:val="22"/>
        </w:rPr>
        <w:t>glais) et cause un préjudice, le droit donne ouverture à une réparation pécuniaire (dommages-intérêts), à des ordonnances mandatoires ou prohibitives (injonctions), voire à des domm</w:t>
      </w:r>
      <w:r w:rsidRPr="006B209B">
        <w:rPr>
          <w:szCs w:val="22"/>
        </w:rPr>
        <w:t>a</w:t>
      </w:r>
      <w:r w:rsidRPr="006B209B">
        <w:rPr>
          <w:szCs w:val="22"/>
        </w:rPr>
        <w:t>ges-intérêts punitifs</w:t>
      </w:r>
      <w:r>
        <w:rPr>
          <w:szCs w:val="22"/>
        </w:rPr>
        <w:t> </w:t>
      </w:r>
      <w:r>
        <w:rPr>
          <w:rStyle w:val="Appelnotedebasdep"/>
          <w:szCs w:val="22"/>
        </w:rPr>
        <w:footnoteReference w:id="24"/>
      </w:r>
      <w:r w:rsidRPr="006B209B">
        <w:rPr>
          <w:szCs w:val="22"/>
        </w:rPr>
        <w:t>. La demande en justice est instituée soit par la victime elle-même, soit par une entité aux droits de celle-ci (par exemple la Commission des droits de la personne devant le tr</w:t>
      </w:r>
      <w:r w:rsidRPr="006B209B">
        <w:rPr>
          <w:szCs w:val="22"/>
        </w:rPr>
        <w:t>i</w:t>
      </w:r>
      <w:r w:rsidRPr="006B209B">
        <w:rPr>
          <w:szCs w:val="22"/>
        </w:rPr>
        <w:t>bunal éponyme).</w:t>
      </w:r>
    </w:p>
    <w:p w:rsidR="005F113F" w:rsidRPr="006B209B" w:rsidRDefault="005F113F" w:rsidP="005F113F">
      <w:pPr>
        <w:spacing w:before="120" w:after="120"/>
        <w:jc w:val="both"/>
      </w:pPr>
      <w:r w:rsidRPr="006B209B">
        <w:rPr>
          <w:szCs w:val="22"/>
        </w:rPr>
        <w:t xml:space="preserve">Le droit commun (le </w:t>
      </w:r>
      <w:r w:rsidRPr="006B209B">
        <w:rPr>
          <w:i/>
          <w:iCs/>
          <w:szCs w:val="22"/>
        </w:rPr>
        <w:t xml:space="preserve">Code civil du Québec </w:t>
      </w:r>
      <w:r w:rsidRPr="006B209B">
        <w:rPr>
          <w:szCs w:val="22"/>
        </w:rPr>
        <w:t>ou, dans les autres pr</w:t>
      </w:r>
      <w:r w:rsidRPr="006B209B">
        <w:rPr>
          <w:szCs w:val="22"/>
        </w:rPr>
        <w:t>o</w:t>
      </w:r>
      <w:r w:rsidRPr="006B209B">
        <w:rPr>
          <w:szCs w:val="22"/>
        </w:rPr>
        <w:t xml:space="preserve">vinces, la </w:t>
      </w:r>
      <w:r w:rsidRPr="006B209B">
        <w:rPr>
          <w:i/>
          <w:iCs/>
          <w:szCs w:val="22"/>
        </w:rPr>
        <w:t xml:space="preserve">common law) </w:t>
      </w:r>
      <w:r w:rsidRPr="006B209B">
        <w:rPr>
          <w:szCs w:val="22"/>
        </w:rPr>
        <w:t xml:space="preserve">ne reconnaît pas de </w:t>
      </w:r>
      <w:r>
        <w:rPr>
          <w:szCs w:val="22"/>
        </w:rPr>
        <w:t>« </w:t>
      </w:r>
      <w:r w:rsidRPr="006B209B">
        <w:rPr>
          <w:szCs w:val="22"/>
        </w:rPr>
        <w:t>délit de discrimin</w:t>
      </w:r>
      <w:r w:rsidRPr="006B209B">
        <w:rPr>
          <w:szCs w:val="22"/>
        </w:rPr>
        <w:t>a</w:t>
      </w:r>
      <w:r w:rsidRPr="006B209B">
        <w:rPr>
          <w:szCs w:val="22"/>
        </w:rPr>
        <w:t>tion</w:t>
      </w:r>
      <w:r>
        <w:rPr>
          <w:szCs w:val="22"/>
        </w:rPr>
        <w:t> » </w:t>
      </w:r>
      <w:r>
        <w:rPr>
          <w:rStyle w:val="Appelnotedebasdep"/>
          <w:szCs w:val="22"/>
        </w:rPr>
        <w:footnoteReference w:id="25"/>
      </w:r>
      <w:r w:rsidRPr="006B209B">
        <w:rPr>
          <w:szCs w:val="22"/>
        </w:rPr>
        <w:t>. La responsabilité civile et, plus largement, le droit d'a</w:t>
      </w:r>
      <w:r w:rsidRPr="006B209B">
        <w:rPr>
          <w:szCs w:val="22"/>
        </w:rPr>
        <w:t>c</w:t>
      </w:r>
      <w:r w:rsidRPr="006B209B">
        <w:rPr>
          <w:szCs w:val="22"/>
        </w:rPr>
        <w:t xml:space="preserve">tion privée (saisine des tribunaux par la victime) pour discrimination n'existent qu'en vertu de dispositions législatives idoines. Le </w:t>
      </w:r>
      <w:r w:rsidRPr="006B209B">
        <w:rPr>
          <w:i/>
          <w:iCs/>
          <w:szCs w:val="22"/>
        </w:rPr>
        <w:t xml:space="preserve">Defa-mation </w:t>
      </w:r>
      <w:r w:rsidRPr="00EE3062">
        <w:rPr>
          <w:i/>
          <w:iCs/>
          <w:szCs w:val="22"/>
        </w:rPr>
        <w:t>Act </w:t>
      </w:r>
      <w:r>
        <w:rPr>
          <w:rStyle w:val="Appelnotedebasdep"/>
          <w:iCs/>
          <w:szCs w:val="22"/>
        </w:rPr>
        <w:footnoteReference w:id="26"/>
      </w:r>
      <w:r w:rsidRPr="006B209B">
        <w:rPr>
          <w:i/>
          <w:iCs/>
          <w:szCs w:val="22"/>
        </w:rPr>
        <w:t xml:space="preserve"> </w:t>
      </w:r>
      <w:r w:rsidRPr="006B209B">
        <w:rPr>
          <w:szCs w:val="22"/>
        </w:rPr>
        <w:t>du Manitoba, par exemple, reconnaît un droit privé à l'injonction en cas de diffam</w:t>
      </w:r>
      <w:r w:rsidRPr="006B209B">
        <w:rPr>
          <w:szCs w:val="22"/>
        </w:rPr>
        <w:t>a</w:t>
      </w:r>
      <w:r w:rsidRPr="006B209B">
        <w:rPr>
          <w:szCs w:val="22"/>
        </w:rPr>
        <w:t>tion écrite à caractère haineux</w:t>
      </w:r>
      <w:r>
        <w:rPr>
          <w:szCs w:val="22"/>
        </w:rPr>
        <w:t> :</w:t>
      </w:r>
    </w:p>
    <w:p w:rsidR="005F113F" w:rsidRDefault="005F113F" w:rsidP="005F113F">
      <w:pPr>
        <w:pStyle w:val="Citation0"/>
      </w:pPr>
    </w:p>
    <w:p w:rsidR="005F113F" w:rsidRDefault="005F113F" w:rsidP="005F113F">
      <w:pPr>
        <w:pStyle w:val="Citation0"/>
      </w:pPr>
      <w:r w:rsidRPr="006B209B">
        <w:t>[TRADUCTION] 19(1) La publication d'une diffamation écrite portant a</w:t>
      </w:r>
      <w:r w:rsidRPr="006B209B">
        <w:t>t</w:t>
      </w:r>
      <w:r w:rsidRPr="006B209B">
        <w:t>teinte à une race, à une croyance religieuse ou à une orient</w:t>
      </w:r>
      <w:r w:rsidRPr="006B209B">
        <w:t>a</w:t>
      </w:r>
      <w:r w:rsidRPr="006B209B">
        <w:t>tion sexuelle de nature à exposer à la haine, à l'outrage ou au ridicule les personnes a</w:t>
      </w:r>
      <w:r w:rsidRPr="006B209B">
        <w:t>p</w:t>
      </w:r>
      <w:r w:rsidRPr="006B209B">
        <w:t>partenant à cette race, professant cette croyance ou ayant cette orientation, et susceptible de provoquer</w:t>
      </w:r>
      <w:r>
        <w:t xml:space="preserve"> [443] </w:t>
      </w:r>
      <w:r w:rsidRPr="006B209B">
        <w:t>l'inquiétude ou le désordre parmi la p</w:t>
      </w:r>
      <w:r w:rsidRPr="006B209B">
        <w:t>o</w:t>
      </w:r>
      <w:r w:rsidRPr="006B209B">
        <w:t>pulation, donne droit à une personne de ce</w:t>
      </w:r>
      <w:r w:rsidRPr="006B209B">
        <w:t>t</w:t>
      </w:r>
      <w:r w:rsidRPr="006B209B">
        <w:t>te race, de cette croyance ou de cette orientation de demander une injonction afin d'empêcher la continu</w:t>
      </w:r>
      <w:r w:rsidRPr="006B209B">
        <w:t>a</w:t>
      </w:r>
      <w:r w:rsidRPr="006B209B">
        <w:t>tion et la diffusion de cette diff</w:t>
      </w:r>
      <w:r w:rsidRPr="006B209B">
        <w:t>a</w:t>
      </w:r>
      <w:r w:rsidRPr="006B209B">
        <w:t>mation</w:t>
      </w:r>
      <w:r>
        <w:t> ;</w:t>
      </w:r>
      <w:r w:rsidRPr="006B209B">
        <w:t xml:space="preserve"> la Cour du Banc de la Reine peut rec</w:t>
      </w:r>
      <w:r w:rsidRPr="006B209B">
        <w:t>e</w:t>
      </w:r>
      <w:r w:rsidRPr="006B209B">
        <w:t>voir l'action.</w:t>
      </w:r>
    </w:p>
    <w:p w:rsidR="005F113F" w:rsidRPr="006B209B" w:rsidRDefault="005F113F" w:rsidP="005F113F">
      <w:pPr>
        <w:pStyle w:val="Citation0"/>
      </w:pPr>
    </w:p>
    <w:p w:rsidR="005F113F" w:rsidRPr="006B209B" w:rsidRDefault="005F113F" w:rsidP="005F113F">
      <w:pPr>
        <w:spacing w:before="120" w:after="120"/>
        <w:jc w:val="both"/>
      </w:pPr>
      <w:r w:rsidRPr="006B209B">
        <w:rPr>
          <w:szCs w:val="22"/>
        </w:rPr>
        <w:t>La Charte québécoise, qui s'applique dans la province de Québec dans les rapports de droit privé (entre personnes) et de droit public (impliquant l'État qu</w:t>
      </w:r>
      <w:r w:rsidRPr="006B209B">
        <w:rPr>
          <w:szCs w:val="22"/>
        </w:rPr>
        <w:t>é</w:t>
      </w:r>
      <w:r w:rsidRPr="006B209B">
        <w:rPr>
          <w:szCs w:val="22"/>
        </w:rPr>
        <w:t>bécois), interdit la discrimination dans l'emploi, l'affichage, l'offre de biens et services, etc.</w:t>
      </w:r>
      <w:r>
        <w:rPr>
          <w:szCs w:val="22"/>
        </w:rPr>
        <w:t> </w:t>
      </w:r>
      <w:r>
        <w:rPr>
          <w:rStyle w:val="Appelnotedebasdep"/>
          <w:szCs w:val="22"/>
        </w:rPr>
        <w:footnoteReference w:id="27"/>
      </w:r>
      <w:r w:rsidRPr="006B209B">
        <w:rPr>
          <w:szCs w:val="22"/>
        </w:rPr>
        <w:t>. Une atteinte illicite à un droit ou à une liberté reconnue par la Charte québécoise confère à la victime le droit d'obtenir la cessation de cette atteinte et la réparation du préjudice moral ou matériel qui en résulte. En cas d'atteinte inte</w:t>
      </w:r>
      <w:r w:rsidRPr="006B209B">
        <w:rPr>
          <w:szCs w:val="22"/>
        </w:rPr>
        <w:t>n</w:t>
      </w:r>
      <w:r w:rsidRPr="006B209B">
        <w:rPr>
          <w:szCs w:val="22"/>
        </w:rPr>
        <w:t>tionnelle, le tribunal peut en outre condamner son auteur à des do</w:t>
      </w:r>
      <w:r w:rsidRPr="006B209B">
        <w:rPr>
          <w:szCs w:val="22"/>
        </w:rPr>
        <w:t>m</w:t>
      </w:r>
      <w:r w:rsidRPr="006B209B">
        <w:rPr>
          <w:szCs w:val="22"/>
        </w:rPr>
        <w:t>mages-intérêts punitifs</w:t>
      </w:r>
      <w:r>
        <w:rPr>
          <w:szCs w:val="22"/>
        </w:rPr>
        <w:t> </w:t>
      </w:r>
      <w:r>
        <w:rPr>
          <w:rStyle w:val="Appelnotedebasdep"/>
          <w:szCs w:val="22"/>
        </w:rPr>
        <w:footnoteReference w:id="28"/>
      </w:r>
      <w:r w:rsidRPr="006B209B">
        <w:rPr>
          <w:szCs w:val="22"/>
        </w:rPr>
        <w:t>. Dans le cas d'actes haineux, on peut raisonn</w:t>
      </w:r>
      <w:r w:rsidRPr="006B209B">
        <w:rPr>
          <w:szCs w:val="22"/>
        </w:rPr>
        <w:t>a</w:t>
      </w:r>
      <w:r w:rsidRPr="006B209B">
        <w:rPr>
          <w:szCs w:val="22"/>
        </w:rPr>
        <w:t>blement croire que cette intention sera souvent présente.</w:t>
      </w:r>
    </w:p>
    <w:p w:rsidR="005F113F" w:rsidRPr="006B209B" w:rsidRDefault="005F113F" w:rsidP="005F113F">
      <w:pPr>
        <w:spacing w:before="120" w:after="120"/>
        <w:jc w:val="both"/>
      </w:pPr>
      <w:r w:rsidRPr="006B209B">
        <w:rPr>
          <w:szCs w:val="22"/>
        </w:rPr>
        <w:t xml:space="preserve">La </w:t>
      </w:r>
      <w:r w:rsidRPr="006B209B">
        <w:rPr>
          <w:i/>
          <w:iCs/>
          <w:szCs w:val="22"/>
        </w:rPr>
        <w:t xml:space="preserve">Loi canadienne sur les droits de la </w:t>
      </w:r>
      <w:r w:rsidRPr="00EE3062">
        <w:rPr>
          <w:i/>
          <w:iCs/>
          <w:szCs w:val="22"/>
        </w:rPr>
        <w:t>personne </w:t>
      </w:r>
      <w:r>
        <w:rPr>
          <w:rStyle w:val="Appelnotedebasdep"/>
          <w:iCs/>
          <w:szCs w:val="22"/>
        </w:rPr>
        <w:footnoteReference w:id="29"/>
      </w:r>
      <w:r w:rsidRPr="006B209B">
        <w:rPr>
          <w:i/>
          <w:iCs/>
          <w:szCs w:val="22"/>
        </w:rPr>
        <w:t xml:space="preserve"> </w:t>
      </w:r>
      <w:r w:rsidRPr="006B209B">
        <w:rPr>
          <w:szCs w:val="22"/>
        </w:rPr>
        <w:t xml:space="preserve">(ci-après </w:t>
      </w:r>
      <w:r>
        <w:rPr>
          <w:szCs w:val="22"/>
        </w:rPr>
        <w:t>« </w:t>
      </w:r>
      <w:r w:rsidRPr="006B209B">
        <w:rPr>
          <w:b/>
          <w:bCs/>
          <w:szCs w:val="22"/>
        </w:rPr>
        <w:t>LCDP</w:t>
      </w:r>
      <w:r>
        <w:rPr>
          <w:b/>
          <w:bCs/>
          <w:szCs w:val="22"/>
        </w:rPr>
        <w:t> »</w:t>
      </w:r>
      <w:r w:rsidRPr="006B209B">
        <w:rPr>
          <w:szCs w:val="22"/>
        </w:rPr>
        <w:t>), qui s'applique dans les champs de comp</w:t>
      </w:r>
      <w:r w:rsidRPr="006B209B">
        <w:rPr>
          <w:szCs w:val="22"/>
        </w:rPr>
        <w:t>é</w:t>
      </w:r>
      <w:r w:rsidRPr="006B209B">
        <w:rPr>
          <w:szCs w:val="22"/>
        </w:rPr>
        <w:t>tence fédéraux (gouvernement fédéral, banques, entreprises de transport interprovi</w:t>
      </w:r>
      <w:r w:rsidRPr="006B209B">
        <w:rPr>
          <w:szCs w:val="22"/>
        </w:rPr>
        <w:t>n</w:t>
      </w:r>
      <w:r w:rsidRPr="006B209B">
        <w:rPr>
          <w:szCs w:val="22"/>
        </w:rPr>
        <w:t>cial, télécommunications, aéronautique, etc.)</w:t>
      </w:r>
      <w:r>
        <w:rPr>
          <w:szCs w:val="22"/>
        </w:rPr>
        <w:t> </w:t>
      </w:r>
      <w:r>
        <w:rPr>
          <w:rStyle w:val="Appelnotedebasdep"/>
          <w:szCs w:val="22"/>
        </w:rPr>
        <w:footnoteReference w:id="30"/>
      </w:r>
      <w:r w:rsidRPr="006B209B">
        <w:rPr>
          <w:szCs w:val="22"/>
        </w:rPr>
        <w:t xml:space="preserve"> interdit un éventail d'a</w:t>
      </w:r>
      <w:r w:rsidRPr="006B209B">
        <w:rPr>
          <w:szCs w:val="22"/>
        </w:rPr>
        <w:t>c</w:t>
      </w:r>
      <w:r w:rsidRPr="006B209B">
        <w:rPr>
          <w:szCs w:val="22"/>
        </w:rPr>
        <w:t>tes discriminatoires, notamment en matière d'emploi et d'offre de biens ou de services</w:t>
      </w:r>
      <w:r>
        <w:rPr>
          <w:szCs w:val="22"/>
        </w:rPr>
        <w:t> </w:t>
      </w:r>
      <w:r>
        <w:rPr>
          <w:rStyle w:val="Appelnotedebasdep"/>
          <w:szCs w:val="22"/>
        </w:rPr>
        <w:footnoteReference w:id="31"/>
      </w:r>
      <w:r w:rsidRPr="006B209B">
        <w:rPr>
          <w:szCs w:val="22"/>
        </w:rPr>
        <w:t>. En règle générale, la victime présente sa plai</w:t>
      </w:r>
      <w:r w:rsidRPr="006B209B">
        <w:rPr>
          <w:szCs w:val="22"/>
        </w:rPr>
        <w:t>n</w:t>
      </w:r>
      <w:r w:rsidRPr="006B209B">
        <w:rPr>
          <w:szCs w:val="22"/>
        </w:rPr>
        <w:t>te à la Commission canadienne des droits de la perso</w:t>
      </w:r>
      <w:r w:rsidRPr="006B209B">
        <w:rPr>
          <w:szCs w:val="22"/>
        </w:rPr>
        <w:t>n</w:t>
      </w:r>
      <w:r w:rsidRPr="006B209B">
        <w:rPr>
          <w:szCs w:val="22"/>
        </w:rPr>
        <w:t>ne, qui statue sur sa recevabilité et, le cas échéant, la réfère au Tribunal can</w:t>
      </w:r>
      <w:r w:rsidRPr="006B209B">
        <w:rPr>
          <w:szCs w:val="22"/>
        </w:rPr>
        <w:t>a</w:t>
      </w:r>
      <w:r w:rsidRPr="006B209B">
        <w:rPr>
          <w:szCs w:val="22"/>
        </w:rPr>
        <w:t>dien des droits de la personne pour instruction</w:t>
      </w:r>
      <w:r>
        <w:rPr>
          <w:szCs w:val="22"/>
        </w:rPr>
        <w:t> </w:t>
      </w:r>
      <w:r>
        <w:rPr>
          <w:rStyle w:val="Appelnotedebasdep"/>
          <w:szCs w:val="22"/>
        </w:rPr>
        <w:footnoteReference w:id="32"/>
      </w:r>
      <w:r w:rsidRPr="006B209B">
        <w:rPr>
          <w:szCs w:val="22"/>
        </w:rPr>
        <w:t>. La personne reconnue coup</w:t>
      </w:r>
      <w:r w:rsidRPr="006B209B">
        <w:rPr>
          <w:szCs w:val="22"/>
        </w:rPr>
        <w:t>a</w:t>
      </w:r>
      <w:r w:rsidRPr="006B209B">
        <w:rPr>
          <w:szCs w:val="22"/>
        </w:rPr>
        <w:t>ble peut se voir ordonner de mettre fin à l'atteinte et être condamnée à indemn</w:t>
      </w:r>
      <w:r w:rsidRPr="006B209B">
        <w:rPr>
          <w:szCs w:val="22"/>
        </w:rPr>
        <w:t>i</w:t>
      </w:r>
      <w:r w:rsidRPr="006B209B">
        <w:rPr>
          <w:szCs w:val="22"/>
        </w:rPr>
        <w:t>ser la victime</w:t>
      </w:r>
      <w:r>
        <w:rPr>
          <w:szCs w:val="22"/>
        </w:rPr>
        <w:t> </w:t>
      </w:r>
      <w:r>
        <w:rPr>
          <w:rStyle w:val="Appelnotedebasdep"/>
          <w:szCs w:val="22"/>
        </w:rPr>
        <w:footnoteReference w:id="33"/>
      </w:r>
      <w:r w:rsidRPr="006B209B">
        <w:rPr>
          <w:szCs w:val="22"/>
        </w:rPr>
        <w:t>, entre autres choses.</w:t>
      </w:r>
    </w:p>
    <w:p w:rsidR="005F113F" w:rsidRPr="006B209B" w:rsidRDefault="005F113F" w:rsidP="005F113F">
      <w:pPr>
        <w:spacing w:before="120" w:after="120"/>
        <w:jc w:val="both"/>
      </w:pPr>
      <w:r w:rsidRPr="006B209B">
        <w:rPr>
          <w:szCs w:val="22"/>
        </w:rPr>
        <w:t>Notons que la LCDP et la Charte québécoise interdisent express</w:t>
      </w:r>
      <w:r w:rsidRPr="006B209B">
        <w:rPr>
          <w:szCs w:val="22"/>
        </w:rPr>
        <w:t>é</w:t>
      </w:r>
      <w:r w:rsidRPr="006B209B">
        <w:rPr>
          <w:szCs w:val="22"/>
        </w:rPr>
        <w:t>ment le harcèlement</w:t>
      </w:r>
      <w:r>
        <w:rPr>
          <w:szCs w:val="22"/>
        </w:rPr>
        <w:t> </w:t>
      </w:r>
      <w:r>
        <w:rPr>
          <w:rStyle w:val="Appelnotedebasdep"/>
          <w:szCs w:val="22"/>
        </w:rPr>
        <w:footnoteReference w:id="34"/>
      </w:r>
      <w:r w:rsidRPr="006B209B">
        <w:rPr>
          <w:szCs w:val="22"/>
        </w:rPr>
        <w:t xml:space="preserve"> et l'affichage</w:t>
      </w:r>
      <w:r>
        <w:rPr>
          <w:szCs w:val="22"/>
        </w:rPr>
        <w:t> </w:t>
      </w:r>
      <w:r>
        <w:rPr>
          <w:rStyle w:val="Appelnotedebasdep"/>
          <w:szCs w:val="22"/>
        </w:rPr>
        <w:footnoteReference w:id="35"/>
      </w:r>
      <w:r w:rsidRPr="006B209B">
        <w:rPr>
          <w:szCs w:val="22"/>
        </w:rPr>
        <w:t xml:space="preserve"> à caractère discriminatoire.</w:t>
      </w:r>
    </w:p>
    <w:p w:rsidR="005F113F" w:rsidRDefault="005F113F" w:rsidP="005F113F">
      <w:pPr>
        <w:pStyle w:val="p"/>
      </w:pPr>
      <w:r>
        <w:br w:type="page"/>
        <w:t>[444]</w:t>
      </w:r>
    </w:p>
    <w:p w:rsidR="005F113F" w:rsidRDefault="005F113F" w:rsidP="005F113F">
      <w:pPr>
        <w:spacing w:before="120" w:after="120"/>
        <w:jc w:val="both"/>
      </w:pPr>
    </w:p>
    <w:p w:rsidR="005F113F" w:rsidRPr="006B209B" w:rsidRDefault="005F113F" w:rsidP="005F113F">
      <w:pPr>
        <w:pStyle w:val="a"/>
      </w:pPr>
      <w:bookmarkStart w:id="7" w:name="Definition_haine_3_B"/>
      <w:r w:rsidRPr="006B209B">
        <w:t>B)</w:t>
      </w:r>
      <w:r>
        <w:t xml:space="preserve"> </w:t>
      </w:r>
      <w:r w:rsidRPr="006B209B">
        <w:t>Sanctions pénales et régleme</w:t>
      </w:r>
      <w:r w:rsidRPr="006B209B">
        <w:t>n</w:t>
      </w:r>
      <w:r w:rsidRPr="006B209B">
        <w:t>taires</w:t>
      </w:r>
    </w:p>
    <w:bookmarkEnd w:id="7"/>
    <w:p w:rsidR="005F113F" w:rsidRDefault="005F113F" w:rsidP="005F113F">
      <w:pPr>
        <w:spacing w:before="120" w:after="120"/>
        <w:jc w:val="both"/>
        <w:rPr>
          <w:szCs w:val="22"/>
        </w:rPr>
      </w:pPr>
    </w:p>
    <w:p w:rsidR="005F113F" w:rsidRPr="00384B20" w:rsidRDefault="005F113F" w:rsidP="005F113F">
      <w:pPr>
        <w:ind w:right="90" w:firstLine="0"/>
        <w:jc w:val="both"/>
        <w:rPr>
          <w:sz w:val="20"/>
        </w:rPr>
      </w:pPr>
      <w:hyperlink w:anchor="tdm" w:history="1">
        <w:r w:rsidRPr="00384B20">
          <w:rPr>
            <w:rStyle w:val="Lienhypertexte"/>
            <w:sz w:val="20"/>
          </w:rPr>
          <w:t>Retour à la table des matières</w:t>
        </w:r>
      </w:hyperlink>
    </w:p>
    <w:p w:rsidR="005F113F" w:rsidRPr="006B209B" w:rsidRDefault="005F113F" w:rsidP="005F113F">
      <w:pPr>
        <w:spacing w:before="120" w:after="120"/>
        <w:jc w:val="both"/>
      </w:pPr>
      <w:r w:rsidRPr="006B209B">
        <w:rPr>
          <w:szCs w:val="22"/>
        </w:rPr>
        <w:t>Les sanctions pénales et réglementa</w:t>
      </w:r>
      <w:r w:rsidRPr="006B209B">
        <w:rPr>
          <w:szCs w:val="22"/>
        </w:rPr>
        <w:t>i</w:t>
      </w:r>
      <w:r w:rsidRPr="006B209B">
        <w:rPr>
          <w:szCs w:val="22"/>
        </w:rPr>
        <w:t>res visent des comportements que le législateur juge indésirables, mais qui ne présentent pas néce</w:t>
      </w:r>
      <w:r w:rsidRPr="006B209B">
        <w:rPr>
          <w:szCs w:val="22"/>
        </w:rPr>
        <w:t>s</w:t>
      </w:r>
      <w:r w:rsidRPr="006B209B">
        <w:rPr>
          <w:szCs w:val="22"/>
        </w:rPr>
        <w:t xml:space="preserve">sairement la gravité de ceux punis par le </w:t>
      </w:r>
      <w:r w:rsidRPr="006B209B">
        <w:rPr>
          <w:i/>
          <w:iCs/>
          <w:szCs w:val="22"/>
        </w:rPr>
        <w:t xml:space="preserve">Code criminel. </w:t>
      </w:r>
      <w:r w:rsidRPr="006B209B">
        <w:rPr>
          <w:szCs w:val="22"/>
        </w:rPr>
        <w:t>L'incitation au génocide est plus affaire de droit criminel que, par exemple, le ha</w:t>
      </w:r>
      <w:r w:rsidRPr="006B209B">
        <w:rPr>
          <w:szCs w:val="22"/>
        </w:rPr>
        <w:t>r</w:t>
      </w:r>
      <w:r w:rsidRPr="006B209B">
        <w:rPr>
          <w:szCs w:val="22"/>
        </w:rPr>
        <w:t>cèlement fondé sur la haine religie</w:t>
      </w:r>
      <w:r w:rsidRPr="006B209B">
        <w:rPr>
          <w:szCs w:val="22"/>
        </w:rPr>
        <w:t>u</w:t>
      </w:r>
      <w:r w:rsidRPr="006B209B">
        <w:rPr>
          <w:szCs w:val="22"/>
        </w:rPr>
        <w:t>se, lequel se conçoit d'abord en termes de droit pénal ou réglementaire.</w:t>
      </w:r>
    </w:p>
    <w:p w:rsidR="005F113F" w:rsidRPr="006B209B" w:rsidRDefault="005F113F" w:rsidP="005F113F">
      <w:pPr>
        <w:spacing w:before="120" w:after="120"/>
        <w:jc w:val="both"/>
      </w:pPr>
      <w:r w:rsidRPr="006B209B">
        <w:rPr>
          <w:szCs w:val="22"/>
        </w:rPr>
        <w:t xml:space="preserve">En d'autres termes, la haine ici visée correspond généralement aux fautes qui donnent aussi ouverture à des sanctions civiles </w:t>
      </w:r>
      <w:r w:rsidRPr="006B209B">
        <w:rPr>
          <w:i/>
          <w:iCs/>
          <w:szCs w:val="22"/>
        </w:rPr>
        <w:t>(supra)</w:t>
      </w:r>
      <w:r>
        <w:rPr>
          <w:i/>
          <w:iCs/>
          <w:szCs w:val="22"/>
        </w:rPr>
        <w:t> :</w:t>
      </w:r>
      <w:r w:rsidRPr="006B209B">
        <w:rPr>
          <w:i/>
          <w:iCs/>
          <w:szCs w:val="22"/>
        </w:rPr>
        <w:t xml:space="preserve"> </w:t>
      </w:r>
      <w:r w:rsidRPr="006B209B">
        <w:rPr>
          <w:szCs w:val="22"/>
        </w:rPr>
        <w:t>affichage, commerce, logement, travail, harcèlement, etc.</w:t>
      </w:r>
    </w:p>
    <w:p w:rsidR="005F113F" w:rsidRDefault="005F113F" w:rsidP="005F113F">
      <w:pPr>
        <w:spacing w:before="120" w:after="120"/>
        <w:jc w:val="both"/>
        <w:rPr>
          <w:szCs w:val="22"/>
        </w:rPr>
      </w:pPr>
      <w:r w:rsidRPr="006B209B">
        <w:rPr>
          <w:szCs w:val="22"/>
        </w:rPr>
        <w:t xml:space="preserve">Sur le plan formel, la </w:t>
      </w:r>
      <w:r w:rsidRPr="006B209B">
        <w:rPr>
          <w:i/>
          <w:iCs/>
          <w:szCs w:val="22"/>
        </w:rPr>
        <w:t xml:space="preserve">procédure </w:t>
      </w:r>
      <w:r w:rsidRPr="006B209B">
        <w:rPr>
          <w:szCs w:val="22"/>
        </w:rPr>
        <w:t>a</w:t>
      </w:r>
      <w:r w:rsidRPr="006B209B">
        <w:rPr>
          <w:szCs w:val="22"/>
        </w:rPr>
        <w:t>p</w:t>
      </w:r>
      <w:r w:rsidRPr="006B209B">
        <w:rPr>
          <w:szCs w:val="22"/>
        </w:rPr>
        <w:t>plicable s'apparente toutefois à celle du droit criminel</w:t>
      </w:r>
      <w:r>
        <w:rPr>
          <w:szCs w:val="22"/>
        </w:rPr>
        <w:t> :</w:t>
      </w:r>
      <w:r w:rsidRPr="006B209B">
        <w:rPr>
          <w:szCs w:val="22"/>
        </w:rPr>
        <w:t xml:space="preserve"> à la suite d'une plainte déposée par une pe</w:t>
      </w:r>
      <w:r w:rsidRPr="006B209B">
        <w:rPr>
          <w:szCs w:val="22"/>
        </w:rPr>
        <w:t>r</w:t>
      </w:r>
      <w:r w:rsidRPr="006B209B">
        <w:rPr>
          <w:szCs w:val="22"/>
        </w:rPr>
        <w:t>sonne ou par l'État, le ministère public porte des accusations. S'il pla</w:t>
      </w:r>
      <w:r w:rsidRPr="006B209B">
        <w:rPr>
          <w:szCs w:val="22"/>
        </w:rPr>
        <w:t>i</w:t>
      </w:r>
      <w:r w:rsidRPr="006B209B">
        <w:rPr>
          <w:szCs w:val="22"/>
        </w:rPr>
        <w:t>de coupable ou est reco</w:t>
      </w:r>
      <w:r w:rsidRPr="006B209B">
        <w:rPr>
          <w:szCs w:val="22"/>
        </w:rPr>
        <w:t>n</w:t>
      </w:r>
      <w:r w:rsidRPr="006B209B">
        <w:rPr>
          <w:szCs w:val="22"/>
        </w:rPr>
        <w:t>nu tel, l'accusé sera condamné à une amende (payable à l'État) et s'exposera à des ordonnances mandatoires ou proh</w:t>
      </w:r>
      <w:r w:rsidRPr="006B209B">
        <w:rPr>
          <w:szCs w:val="22"/>
        </w:rPr>
        <w:t>i</w:t>
      </w:r>
      <w:r w:rsidRPr="006B209B">
        <w:rPr>
          <w:szCs w:val="22"/>
        </w:rPr>
        <w:t xml:space="preserve">bitives (injonctions), variables selon les juridictions. On trouvera un exemple de ce mécanisme dans le </w:t>
      </w:r>
      <w:r w:rsidRPr="006B209B">
        <w:rPr>
          <w:i/>
          <w:iCs/>
          <w:szCs w:val="22"/>
        </w:rPr>
        <w:t xml:space="preserve">Saskatchewan Human Rights </w:t>
      </w:r>
      <w:r w:rsidRPr="00136482">
        <w:rPr>
          <w:i/>
          <w:iCs/>
          <w:szCs w:val="22"/>
        </w:rPr>
        <w:t>C</w:t>
      </w:r>
      <w:r w:rsidRPr="00136482">
        <w:rPr>
          <w:i/>
          <w:iCs/>
          <w:szCs w:val="22"/>
        </w:rPr>
        <w:t>o</w:t>
      </w:r>
      <w:r w:rsidRPr="00136482">
        <w:rPr>
          <w:i/>
          <w:iCs/>
          <w:szCs w:val="22"/>
        </w:rPr>
        <w:t>de </w:t>
      </w:r>
      <w:r>
        <w:rPr>
          <w:rStyle w:val="Appelnotedebasdep"/>
          <w:iCs/>
          <w:szCs w:val="22"/>
        </w:rPr>
        <w:footnoteReference w:id="36"/>
      </w:r>
      <w:r w:rsidRPr="006B209B">
        <w:rPr>
          <w:i/>
          <w:iCs/>
          <w:szCs w:val="22"/>
        </w:rPr>
        <w:t xml:space="preserve"> </w:t>
      </w:r>
      <w:r w:rsidRPr="006B209B">
        <w:rPr>
          <w:szCs w:val="22"/>
        </w:rPr>
        <w:t xml:space="preserve">(ci-après </w:t>
      </w:r>
      <w:r>
        <w:rPr>
          <w:szCs w:val="22"/>
        </w:rPr>
        <w:t>« </w:t>
      </w:r>
      <w:r w:rsidRPr="006B209B">
        <w:rPr>
          <w:b/>
          <w:bCs/>
          <w:szCs w:val="22"/>
        </w:rPr>
        <w:t>SHRC</w:t>
      </w:r>
      <w:r>
        <w:rPr>
          <w:b/>
          <w:bCs/>
          <w:szCs w:val="22"/>
        </w:rPr>
        <w:t> »</w:t>
      </w:r>
      <w:r w:rsidRPr="006B209B">
        <w:rPr>
          <w:b/>
          <w:bCs/>
          <w:szCs w:val="22"/>
        </w:rPr>
        <w:t xml:space="preserve">), </w:t>
      </w:r>
      <w:r w:rsidRPr="006B209B">
        <w:rPr>
          <w:szCs w:val="22"/>
        </w:rPr>
        <w:t>qui p</w:t>
      </w:r>
      <w:r>
        <w:rPr>
          <w:szCs w:val="22"/>
        </w:rPr>
        <w:t>révoit des amendes d'au plus 25 </w:t>
      </w:r>
      <w:r w:rsidRPr="006B209B">
        <w:rPr>
          <w:szCs w:val="22"/>
        </w:rPr>
        <w:t>000 $ par infraction</w:t>
      </w:r>
      <w:r>
        <w:rPr>
          <w:szCs w:val="22"/>
        </w:rPr>
        <w:t> </w:t>
      </w:r>
      <w:r>
        <w:rPr>
          <w:rStyle w:val="Appelnotedebasdep"/>
          <w:szCs w:val="22"/>
        </w:rPr>
        <w:footnoteReference w:id="37"/>
      </w:r>
      <w:r w:rsidRPr="006B209B">
        <w:rPr>
          <w:szCs w:val="22"/>
        </w:rPr>
        <w:t xml:space="preserve"> et la possibilité d'injonctions</w:t>
      </w:r>
      <w:r>
        <w:rPr>
          <w:szCs w:val="22"/>
        </w:rPr>
        <w:t> </w:t>
      </w:r>
      <w:r>
        <w:rPr>
          <w:rStyle w:val="Appelnotedebasdep"/>
          <w:szCs w:val="22"/>
        </w:rPr>
        <w:footnoteReference w:id="38"/>
      </w:r>
      <w:r w:rsidRPr="006B209B">
        <w:rPr>
          <w:szCs w:val="22"/>
        </w:rPr>
        <w:t>.</w:t>
      </w:r>
    </w:p>
    <w:p w:rsidR="005F113F" w:rsidRPr="006B209B" w:rsidRDefault="005F113F" w:rsidP="005F113F">
      <w:pPr>
        <w:spacing w:before="120" w:after="120"/>
        <w:jc w:val="both"/>
      </w:pPr>
    </w:p>
    <w:p w:rsidR="005F113F" w:rsidRPr="006B209B" w:rsidRDefault="005F113F" w:rsidP="005F113F">
      <w:pPr>
        <w:pStyle w:val="a"/>
      </w:pPr>
      <w:bookmarkStart w:id="8" w:name="Definition_haine_3_C"/>
      <w:r>
        <w:t xml:space="preserve">C) </w:t>
      </w:r>
      <w:r w:rsidRPr="006B209B">
        <w:t>Sanctions criminelles</w:t>
      </w:r>
    </w:p>
    <w:bookmarkEnd w:id="8"/>
    <w:p w:rsidR="005F113F" w:rsidRDefault="005F113F" w:rsidP="005F113F">
      <w:pPr>
        <w:spacing w:before="120" w:after="120"/>
        <w:jc w:val="both"/>
        <w:rPr>
          <w:szCs w:val="22"/>
        </w:rPr>
      </w:pPr>
    </w:p>
    <w:p w:rsidR="005F113F" w:rsidRPr="006B209B" w:rsidRDefault="005F113F" w:rsidP="005F113F">
      <w:pPr>
        <w:spacing w:before="120" w:after="120"/>
        <w:jc w:val="both"/>
      </w:pPr>
      <w:r w:rsidRPr="006B209B">
        <w:rPr>
          <w:szCs w:val="22"/>
        </w:rPr>
        <w:t xml:space="preserve">Les crimes haineux sont prévus au </w:t>
      </w:r>
      <w:r w:rsidRPr="006B209B">
        <w:rPr>
          <w:i/>
          <w:iCs/>
          <w:szCs w:val="22"/>
        </w:rPr>
        <w:t xml:space="preserve">Code criminel. </w:t>
      </w:r>
      <w:r w:rsidRPr="006B209B">
        <w:rPr>
          <w:szCs w:val="22"/>
        </w:rPr>
        <w:t>Ils concernent les actes violents et les actes qui exposent à la violence une personne ou un groupe dit identifiable. Les sanctions disponibles comprennent l'emprisonnement.</w:t>
      </w:r>
    </w:p>
    <w:p w:rsidR="005F113F" w:rsidRPr="006B209B" w:rsidRDefault="005F113F" w:rsidP="005F113F">
      <w:pPr>
        <w:spacing w:before="120" w:after="120"/>
        <w:jc w:val="both"/>
      </w:pPr>
      <w:r w:rsidRPr="006B209B">
        <w:rPr>
          <w:szCs w:val="22"/>
        </w:rPr>
        <w:t xml:space="preserve">Les articles 297 et suivants du </w:t>
      </w:r>
      <w:r w:rsidRPr="006B209B">
        <w:rPr>
          <w:i/>
          <w:iCs/>
          <w:szCs w:val="22"/>
        </w:rPr>
        <w:t xml:space="preserve">Code criminel </w:t>
      </w:r>
      <w:r w:rsidRPr="006B209B">
        <w:rPr>
          <w:szCs w:val="22"/>
        </w:rPr>
        <w:t>criminalisent le libe</w:t>
      </w:r>
      <w:r w:rsidRPr="006B209B">
        <w:rPr>
          <w:szCs w:val="22"/>
        </w:rPr>
        <w:t>l</w:t>
      </w:r>
      <w:r w:rsidRPr="006B209B">
        <w:rPr>
          <w:szCs w:val="22"/>
        </w:rPr>
        <w:t>le diffamatoire, soit une matière publiée sans just</w:t>
      </w:r>
      <w:r w:rsidRPr="006B209B">
        <w:rPr>
          <w:szCs w:val="22"/>
        </w:rPr>
        <w:t>i</w:t>
      </w:r>
      <w:r w:rsidRPr="006B209B">
        <w:rPr>
          <w:szCs w:val="22"/>
        </w:rPr>
        <w:t>fication et de nature à nuire à la réputation de quelqu'un en l'exposant à la ha</w:t>
      </w:r>
      <w:r w:rsidRPr="006B209B">
        <w:rPr>
          <w:szCs w:val="22"/>
        </w:rPr>
        <w:t>i</w:t>
      </w:r>
      <w:r w:rsidRPr="006B209B">
        <w:rPr>
          <w:szCs w:val="22"/>
        </w:rPr>
        <w:t xml:space="preserve">ne, au mépris ou au ridicule, ou destinée à outrager la victime. La </w:t>
      </w:r>
      <w:r>
        <w:rPr>
          <w:szCs w:val="22"/>
        </w:rPr>
        <w:t>« </w:t>
      </w:r>
      <w:r w:rsidRPr="006B209B">
        <w:rPr>
          <w:szCs w:val="22"/>
        </w:rPr>
        <w:t>haine</w:t>
      </w:r>
      <w:r>
        <w:rPr>
          <w:szCs w:val="22"/>
        </w:rPr>
        <w:t> »</w:t>
      </w:r>
      <w:r w:rsidRPr="006B209B">
        <w:rPr>
          <w:szCs w:val="22"/>
        </w:rPr>
        <w:t xml:space="preserve"> dont il est question ne se borne vraisembl</w:t>
      </w:r>
      <w:r w:rsidRPr="006B209B">
        <w:rPr>
          <w:szCs w:val="22"/>
        </w:rPr>
        <w:t>a</w:t>
      </w:r>
      <w:r w:rsidRPr="006B209B">
        <w:rPr>
          <w:szCs w:val="22"/>
        </w:rPr>
        <w:t>blement pas aux minorités et doit être entendue dans son sens courant. Le libelle diffamatoire est un d</w:t>
      </w:r>
      <w:r w:rsidRPr="006B209B">
        <w:rPr>
          <w:szCs w:val="22"/>
        </w:rPr>
        <w:t>é</w:t>
      </w:r>
      <w:r w:rsidRPr="006B209B">
        <w:rPr>
          <w:szCs w:val="22"/>
        </w:rPr>
        <w:t>lit hérité du vieux droit anglais, et</w:t>
      </w:r>
      <w:r>
        <w:rPr>
          <w:szCs w:val="22"/>
        </w:rPr>
        <w:t xml:space="preserve"> </w:t>
      </w:r>
      <w:r>
        <w:t xml:space="preserve">[445] </w:t>
      </w:r>
      <w:r w:rsidRPr="006B209B">
        <w:rPr>
          <w:szCs w:val="22"/>
        </w:rPr>
        <w:t>n'est guère utilisé par les pr</w:t>
      </w:r>
      <w:r w:rsidRPr="006B209B">
        <w:rPr>
          <w:szCs w:val="22"/>
        </w:rPr>
        <w:t>o</w:t>
      </w:r>
      <w:r w:rsidRPr="006B209B">
        <w:rPr>
          <w:szCs w:val="22"/>
        </w:rPr>
        <w:t>cureurs de la Couronne de nos jours. Il ne fait plus l'objet d'un trait</w:t>
      </w:r>
      <w:r w:rsidRPr="006B209B">
        <w:rPr>
          <w:szCs w:val="22"/>
        </w:rPr>
        <w:t>e</w:t>
      </w:r>
      <w:r w:rsidRPr="006B209B">
        <w:rPr>
          <w:szCs w:val="22"/>
        </w:rPr>
        <w:t>ment jurisprude</w:t>
      </w:r>
      <w:r w:rsidRPr="006B209B">
        <w:rPr>
          <w:szCs w:val="22"/>
        </w:rPr>
        <w:t>n</w:t>
      </w:r>
      <w:r w:rsidRPr="006B209B">
        <w:rPr>
          <w:szCs w:val="22"/>
        </w:rPr>
        <w:t>tiel abondant</w:t>
      </w:r>
      <w:r>
        <w:rPr>
          <w:szCs w:val="22"/>
        </w:rPr>
        <w:t> </w:t>
      </w:r>
      <w:r>
        <w:rPr>
          <w:rStyle w:val="Appelnotedebasdep"/>
          <w:szCs w:val="22"/>
        </w:rPr>
        <w:footnoteReference w:id="39"/>
      </w:r>
      <w:r w:rsidRPr="006B209B">
        <w:rPr>
          <w:szCs w:val="22"/>
        </w:rPr>
        <w:t>.</w:t>
      </w:r>
    </w:p>
    <w:p w:rsidR="005F113F" w:rsidRPr="006B209B" w:rsidRDefault="005F113F" w:rsidP="005F113F">
      <w:pPr>
        <w:spacing w:before="120" w:after="120"/>
        <w:jc w:val="both"/>
      </w:pPr>
      <w:r w:rsidRPr="006B209B">
        <w:rPr>
          <w:szCs w:val="22"/>
        </w:rPr>
        <w:t xml:space="preserve">Les articles 318 et suivants du </w:t>
      </w:r>
      <w:r w:rsidRPr="006B209B">
        <w:rPr>
          <w:i/>
          <w:iCs/>
          <w:szCs w:val="22"/>
        </w:rPr>
        <w:t xml:space="preserve">Code criminel </w:t>
      </w:r>
      <w:r w:rsidRPr="006B209B">
        <w:rPr>
          <w:szCs w:val="22"/>
        </w:rPr>
        <w:t>visent précisément la haine des minorités, mais dans un contexte donné</w:t>
      </w:r>
      <w:r>
        <w:rPr>
          <w:szCs w:val="22"/>
        </w:rPr>
        <w:t> :</w:t>
      </w:r>
      <w:r w:rsidRPr="006B209B">
        <w:rPr>
          <w:szCs w:val="22"/>
        </w:rPr>
        <w:t xml:space="preserve"> l'incitation publ</w:t>
      </w:r>
      <w:r w:rsidRPr="006B209B">
        <w:rPr>
          <w:szCs w:val="22"/>
        </w:rPr>
        <w:t>i</w:t>
      </w:r>
      <w:r w:rsidRPr="006B209B">
        <w:rPr>
          <w:szCs w:val="22"/>
        </w:rPr>
        <w:t>que au génocide et aux formes de haine susceptibles d'e</w:t>
      </w:r>
      <w:r w:rsidRPr="006B209B">
        <w:rPr>
          <w:szCs w:val="22"/>
        </w:rPr>
        <w:t>n</w:t>
      </w:r>
      <w:r w:rsidRPr="006B209B">
        <w:rPr>
          <w:szCs w:val="22"/>
        </w:rPr>
        <w:t xml:space="preserve">traîner une violation de la paix. Le sujet de la haine doit être un </w:t>
      </w:r>
      <w:r>
        <w:rPr>
          <w:szCs w:val="22"/>
        </w:rPr>
        <w:t>« </w:t>
      </w:r>
      <w:r w:rsidRPr="006B209B">
        <w:rPr>
          <w:szCs w:val="22"/>
        </w:rPr>
        <w:t>groupe ident</w:t>
      </w:r>
      <w:r w:rsidRPr="006B209B">
        <w:rPr>
          <w:szCs w:val="22"/>
        </w:rPr>
        <w:t>i</w:t>
      </w:r>
      <w:r w:rsidRPr="006B209B">
        <w:rPr>
          <w:szCs w:val="22"/>
        </w:rPr>
        <w:t>fiable</w:t>
      </w:r>
      <w:r>
        <w:rPr>
          <w:szCs w:val="22"/>
        </w:rPr>
        <w:t> »</w:t>
      </w:r>
      <w:r w:rsidRPr="006B209B">
        <w:rPr>
          <w:szCs w:val="22"/>
        </w:rPr>
        <w:t>, soit toute section du public qui se di</w:t>
      </w:r>
      <w:r w:rsidRPr="006B209B">
        <w:rPr>
          <w:szCs w:val="22"/>
        </w:rPr>
        <w:t>f</w:t>
      </w:r>
      <w:r w:rsidRPr="006B209B">
        <w:rPr>
          <w:szCs w:val="22"/>
        </w:rPr>
        <w:t>férencie des autres par la couleur, la r</w:t>
      </w:r>
      <w:r w:rsidRPr="006B209B">
        <w:rPr>
          <w:szCs w:val="22"/>
        </w:rPr>
        <w:t>a</w:t>
      </w:r>
      <w:r w:rsidRPr="006B209B">
        <w:rPr>
          <w:szCs w:val="22"/>
        </w:rPr>
        <w:t>ce, la religion, l'origine nationale ou ethnique, l'âge, le sexe, l'orientation sexuelle, l'identité ou l'expression de genre, la déf</w:t>
      </w:r>
      <w:r w:rsidRPr="006B209B">
        <w:rPr>
          <w:szCs w:val="22"/>
        </w:rPr>
        <w:t>i</w:t>
      </w:r>
      <w:r w:rsidRPr="006B209B">
        <w:rPr>
          <w:szCs w:val="22"/>
        </w:rPr>
        <w:t>cience mentale ou phys</w:t>
      </w:r>
      <w:r w:rsidRPr="006B209B">
        <w:rPr>
          <w:szCs w:val="22"/>
        </w:rPr>
        <w:t>i</w:t>
      </w:r>
      <w:r w:rsidRPr="006B209B">
        <w:rPr>
          <w:szCs w:val="22"/>
        </w:rPr>
        <w:t>que ou des motifs analogues</w:t>
      </w:r>
      <w:r>
        <w:rPr>
          <w:szCs w:val="22"/>
        </w:rPr>
        <w:t> </w:t>
      </w:r>
      <w:r>
        <w:rPr>
          <w:rStyle w:val="Appelnotedebasdep"/>
          <w:szCs w:val="22"/>
        </w:rPr>
        <w:footnoteReference w:id="40"/>
      </w:r>
      <w:r w:rsidRPr="006B209B">
        <w:rPr>
          <w:szCs w:val="22"/>
        </w:rPr>
        <w:t>.</w:t>
      </w:r>
    </w:p>
    <w:p w:rsidR="005F113F" w:rsidRPr="006B209B" w:rsidRDefault="005F113F" w:rsidP="005F113F">
      <w:pPr>
        <w:spacing w:before="120" w:after="120"/>
        <w:jc w:val="both"/>
      </w:pPr>
      <w:r w:rsidRPr="006B209B">
        <w:rPr>
          <w:szCs w:val="22"/>
        </w:rPr>
        <w:t xml:space="preserve">La prohibition des méfaits concerne les actes de destruction ou d'entrave à la jouissance de biens. Les méfaits haineux font l'objet de dispositions expresses au </w:t>
      </w:r>
      <w:r w:rsidRPr="006B209B">
        <w:rPr>
          <w:i/>
          <w:iCs/>
          <w:szCs w:val="22"/>
        </w:rPr>
        <w:t xml:space="preserve">Code criminel. </w:t>
      </w:r>
      <w:r w:rsidRPr="006B209B">
        <w:rPr>
          <w:szCs w:val="22"/>
        </w:rPr>
        <w:t>La motivation -</w:t>
      </w:r>
      <w:r>
        <w:rPr>
          <w:szCs w:val="22"/>
        </w:rPr>
        <w:t xml:space="preserve"> </w:t>
      </w:r>
      <w:r w:rsidRPr="006B209B">
        <w:rPr>
          <w:szCs w:val="22"/>
        </w:rPr>
        <w:t>élément su</w:t>
      </w:r>
      <w:r w:rsidRPr="006B209B">
        <w:rPr>
          <w:szCs w:val="22"/>
        </w:rPr>
        <w:t>b</w:t>
      </w:r>
      <w:r w:rsidRPr="006B209B">
        <w:rPr>
          <w:szCs w:val="22"/>
        </w:rPr>
        <w:t>jectif</w:t>
      </w:r>
      <w:r>
        <w:rPr>
          <w:szCs w:val="22"/>
        </w:rPr>
        <w:t xml:space="preserve"> </w:t>
      </w:r>
      <w:r w:rsidRPr="006B209B">
        <w:rPr>
          <w:szCs w:val="22"/>
        </w:rPr>
        <w:t>- liée à des motifs illicites de discrimination fait partie intégrante de l'infraction</w:t>
      </w:r>
      <w:r>
        <w:rPr>
          <w:szCs w:val="22"/>
        </w:rPr>
        <w:t> </w:t>
      </w:r>
      <w:r>
        <w:rPr>
          <w:rStyle w:val="Appelnotedebasdep"/>
          <w:szCs w:val="22"/>
        </w:rPr>
        <w:footnoteReference w:id="41"/>
      </w:r>
      <w:r w:rsidRPr="006B209B">
        <w:rPr>
          <w:szCs w:val="22"/>
        </w:rPr>
        <w:t>.</w:t>
      </w:r>
    </w:p>
    <w:p w:rsidR="005F113F" w:rsidRDefault="005F113F" w:rsidP="005F113F">
      <w:pPr>
        <w:spacing w:before="120" w:after="120"/>
        <w:jc w:val="both"/>
        <w:rPr>
          <w:szCs w:val="22"/>
        </w:rPr>
      </w:pPr>
      <w:r w:rsidRPr="006B209B">
        <w:rPr>
          <w:szCs w:val="22"/>
        </w:rPr>
        <w:t>La haine fondée sur des motifs illic</w:t>
      </w:r>
      <w:r w:rsidRPr="006B209B">
        <w:rPr>
          <w:szCs w:val="22"/>
        </w:rPr>
        <w:t>i</w:t>
      </w:r>
      <w:r w:rsidRPr="006B209B">
        <w:rPr>
          <w:szCs w:val="22"/>
        </w:rPr>
        <w:t xml:space="preserve">tes de discrimination est une circonstance aggravante en matière de détermination de la peine </w:t>
      </w:r>
      <w:r w:rsidRPr="006B209B">
        <w:rPr>
          <w:i/>
          <w:iCs/>
          <w:szCs w:val="22"/>
        </w:rPr>
        <w:t>(se</w:t>
      </w:r>
      <w:r w:rsidRPr="006B209B">
        <w:rPr>
          <w:i/>
          <w:iCs/>
          <w:szCs w:val="22"/>
        </w:rPr>
        <w:t>n</w:t>
      </w:r>
      <w:r w:rsidRPr="006B209B">
        <w:rPr>
          <w:i/>
          <w:iCs/>
          <w:szCs w:val="22"/>
        </w:rPr>
        <w:t xml:space="preserve">tencing), </w:t>
      </w:r>
      <w:r w:rsidRPr="006B209B">
        <w:rPr>
          <w:szCs w:val="22"/>
        </w:rPr>
        <w:t>quel que soit le crime reproché</w:t>
      </w:r>
      <w:r>
        <w:rPr>
          <w:szCs w:val="22"/>
        </w:rPr>
        <w:t> </w:t>
      </w:r>
      <w:r>
        <w:rPr>
          <w:rStyle w:val="Appelnotedebasdep"/>
          <w:szCs w:val="22"/>
        </w:rPr>
        <w:footnoteReference w:id="42"/>
      </w:r>
      <w:r w:rsidRPr="006B209B">
        <w:rPr>
          <w:szCs w:val="22"/>
        </w:rPr>
        <w:t>.</w:t>
      </w:r>
    </w:p>
    <w:p w:rsidR="005F113F" w:rsidRPr="006B209B" w:rsidRDefault="005F113F" w:rsidP="005F113F">
      <w:pPr>
        <w:spacing w:before="120" w:after="120"/>
        <w:jc w:val="both"/>
      </w:pPr>
      <w:r>
        <w:br w:type="page"/>
      </w:r>
    </w:p>
    <w:p w:rsidR="005F113F" w:rsidRPr="006B209B" w:rsidRDefault="005F113F" w:rsidP="005F113F">
      <w:pPr>
        <w:pStyle w:val="planche"/>
      </w:pPr>
      <w:bookmarkStart w:id="9" w:name="Definition_haine_4"/>
      <w:r>
        <w:t xml:space="preserve">4. </w:t>
      </w:r>
      <w:r w:rsidRPr="006B209B">
        <w:t>COUR SUPRÊME</w:t>
      </w:r>
      <w:r>
        <w:t> :</w:t>
      </w:r>
      <w:r>
        <w:br/>
      </w:r>
      <w:r w:rsidRPr="006B209B">
        <w:t>LA R</w:t>
      </w:r>
      <w:r w:rsidRPr="006B209B">
        <w:t>É</w:t>
      </w:r>
      <w:r w:rsidRPr="006B209B">
        <w:t>PRESSION DE LA HAINE À L'ÉPREUVE</w:t>
      </w:r>
      <w:r>
        <w:br/>
      </w:r>
      <w:r w:rsidRPr="006B209B">
        <w:t>DES LIBERTÉS FOND</w:t>
      </w:r>
      <w:r w:rsidRPr="006B209B">
        <w:t>A</w:t>
      </w:r>
      <w:r w:rsidRPr="006B209B">
        <w:t>MENTALES</w:t>
      </w:r>
    </w:p>
    <w:bookmarkEnd w:id="9"/>
    <w:p w:rsidR="005F113F" w:rsidRDefault="005F113F" w:rsidP="005F113F">
      <w:pPr>
        <w:spacing w:before="120" w:after="120"/>
        <w:jc w:val="both"/>
        <w:rPr>
          <w:szCs w:val="22"/>
        </w:rPr>
      </w:pPr>
    </w:p>
    <w:p w:rsidR="005F113F" w:rsidRPr="00384B20" w:rsidRDefault="005F113F" w:rsidP="005F113F">
      <w:pPr>
        <w:ind w:right="90" w:firstLine="0"/>
        <w:jc w:val="both"/>
        <w:rPr>
          <w:sz w:val="20"/>
        </w:rPr>
      </w:pPr>
      <w:hyperlink w:anchor="tdm" w:history="1">
        <w:r w:rsidRPr="00384B20">
          <w:rPr>
            <w:rStyle w:val="Lienhypertexte"/>
            <w:sz w:val="20"/>
          </w:rPr>
          <w:t>Retour à la table des matières</w:t>
        </w:r>
      </w:hyperlink>
    </w:p>
    <w:p w:rsidR="005F113F" w:rsidRPr="006B209B" w:rsidRDefault="005F113F" w:rsidP="005F113F">
      <w:pPr>
        <w:spacing w:before="120" w:after="120"/>
        <w:jc w:val="both"/>
      </w:pPr>
      <w:r w:rsidRPr="006B209B">
        <w:rPr>
          <w:szCs w:val="22"/>
        </w:rPr>
        <w:t>Toute activité qui tente de transmettre une signification sans reco</w:t>
      </w:r>
      <w:r w:rsidRPr="006B209B">
        <w:rPr>
          <w:szCs w:val="22"/>
        </w:rPr>
        <w:t>u</w:t>
      </w:r>
      <w:r w:rsidRPr="006B209B">
        <w:rPr>
          <w:szCs w:val="22"/>
        </w:rPr>
        <w:t>rir dire</w:t>
      </w:r>
      <w:r w:rsidRPr="006B209B">
        <w:rPr>
          <w:szCs w:val="22"/>
        </w:rPr>
        <w:t>c</w:t>
      </w:r>
      <w:r w:rsidRPr="006B209B">
        <w:rPr>
          <w:szCs w:val="22"/>
        </w:rPr>
        <w:t>tement à la violence physique relève de la liberté d'expression constitutionne</w:t>
      </w:r>
      <w:r w:rsidRPr="006B209B">
        <w:rPr>
          <w:szCs w:val="22"/>
        </w:rPr>
        <w:t>l</w:t>
      </w:r>
      <w:r w:rsidRPr="006B209B">
        <w:rPr>
          <w:szCs w:val="22"/>
        </w:rPr>
        <w:t xml:space="preserve">lement enchâssée à l'article 2(b) CCDL. Au premier stade de l'analyse, le contenu expressif, même s'il </w:t>
      </w:r>
      <w:r w:rsidRPr="006B209B">
        <w:rPr>
          <w:i/>
          <w:iCs/>
          <w:szCs w:val="22"/>
        </w:rPr>
        <w:t xml:space="preserve">encourage </w:t>
      </w:r>
      <w:r w:rsidRPr="006B209B">
        <w:rPr>
          <w:szCs w:val="22"/>
        </w:rPr>
        <w:t>les co</w:t>
      </w:r>
      <w:r w:rsidRPr="006B209B">
        <w:rPr>
          <w:szCs w:val="22"/>
        </w:rPr>
        <w:t>m</w:t>
      </w:r>
      <w:r w:rsidRPr="006B209B">
        <w:rPr>
          <w:szCs w:val="22"/>
        </w:rPr>
        <w:t>portements haineux ou les violences, bénéficie d'une protection con</w:t>
      </w:r>
      <w:r w:rsidRPr="006B209B">
        <w:rPr>
          <w:szCs w:val="22"/>
        </w:rPr>
        <w:t>s</w:t>
      </w:r>
      <w:r w:rsidRPr="006B209B">
        <w:rPr>
          <w:szCs w:val="22"/>
        </w:rPr>
        <w:t>tit</w:t>
      </w:r>
      <w:r w:rsidRPr="006B209B">
        <w:rPr>
          <w:szCs w:val="22"/>
        </w:rPr>
        <w:t>u</w:t>
      </w:r>
      <w:r w:rsidRPr="006B209B">
        <w:rPr>
          <w:szCs w:val="22"/>
        </w:rPr>
        <w:t>tionnelle</w:t>
      </w:r>
      <w:r>
        <w:rPr>
          <w:szCs w:val="22"/>
        </w:rPr>
        <w:t> </w:t>
      </w:r>
      <w:r>
        <w:rPr>
          <w:rStyle w:val="Appelnotedebasdep"/>
          <w:szCs w:val="22"/>
        </w:rPr>
        <w:footnoteReference w:id="43"/>
      </w:r>
      <w:r w:rsidRPr="006B209B">
        <w:rPr>
          <w:szCs w:val="22"/>
        </w:rPr>
        <w:t>.</w:t>
      </w:r>
    </w:p>
    <w:p w:rsidR="005F113F" w:rsidRPr="006B209B" w:rsidRDefault="005F113F" w:rsidP="005F113F">
      <w:pPr>
        <w:spacing w:before="120" w:after="120"/>
        <w:jc w:val="both"/>
      </w:pPr>
      <w:r w:rsidRPr="006B209B">
        <w:rPr>
          <w:szCs w:val="22"/>
        </w:rPr>
        <w:t>Comme mentionné plus haut, la pr</w:t>
      </w:r>
      <w:r w:rsidRPr="006B209B">
        <w:rPr>
          <w:szCs w:val="22"/>
        </w:rPr>
        <w:t>o</w:t>
      </w:r>
      <w:r w:rsidRPr="006B209B">
        <w:rPr>
          <w:szCs w:val="22"/>
        </w:rPr>
        <w:t xml:space="preserve">tection de l'article 2(b) CCDL peut être limitée </w:t>
      </w:r>
      <w:r>
        <w:rPr>
          <w:szCs w:val="22"/>
        </w:rPr>
        <w:t>« </w:t>
      </w:r>
      <w:r w:rsidRPr="006B209B">
        <w:rPr>
          <w:szCs w:val="22"/>
        </w:rPr>
        <w:t>par une règle de droit, dans des limites</w:t>
      </w:r>
      <w:r>
        <w:rPr>
          <w:szCs w:val="22"/>
        </w:rPr>
        <w:t xml:space="preserve"> </w:t>
      </w:r>
      <w:r>
        <w:t xml:space="preserve">[446] </w:t>
      </w:r>
      <w:r w:rsidRPr="006B209B">
        <w:rPr>
          <w:szCs w:val="22"/>
        </w:rPr>
        <w:t>qui soient raisonnables et dont la justification puisse se d</w:t>
      </w:r>
      <w:r w:rsidRPr="006B209B">
        <w:rPr>
          <w:szCs w:val="22"/>
        </w:rPr>
        <w:t>é</w:t>
      </w:r>
      <w:r w:rsidRPr="006B209B">
        <w:rPr>
          <w:szCs w:val="22"/>
        </w:rPr>
        <w:t>montrer dans le cadre d'une société libre et démocratique</w:t>
      </w:r>
      <w:r>
        <w:rPr>
          <w:szCs w:val="22"/>
        </w:rPr>
        <w:t> » </w:t>
      </w:r>
      <w:r>
        <w:rPr>
          <w:rStyle w:val="Appelnotedebasdep"/>
          <w:szCs w:val="22"/>
        </w:rPr>
        <w:footnoteReference w:id="44"/>
      </w:r>
      <w:r w:rsidRPr="006B209B">
        <w:rPr>
          <w:szCs w:val="22"/>
        </w:rPr>
        <w:t>. Les tr</w:t>
      </w:r>
      <w:r w:rsidRPr="006B209B">
        <w:rPr>
          <w:szCs w:val="22"/>
        </w:rPr>
        <w:t>i</w:t>
      </w:r>
      <w:r w:rsidRPr="006B209B">
        <w:rPr>
          <w:szCs w:val="22"/>
        </w:rPr>
        <w:t>bunaux - la Cour suprême en dernier ressort - sont les arbitres</w:t>
      </w:r>
      <w:r>
        <w:rPr>
          <w:szCs w:val="22"/>
        </w:rPr>
        <w:t> </w:t>
      </w:r>
      <w:r>
        <w:rPr>
          <w:rStyle w:val="Appelnotedebasdep"/>
          <w:szCs w:val="22"/>
        </w:rPr>
        <w:footnoteReference w:id="45"/>
      </w:r>
      <w:r w:rsidRPr="006B209B">
        <w:rPr>
          <w:szCs w:val="22"/>
        </w:rPr>
        <w:t xml:space="preserve"> de la justific</w:t>
      </w:r>
      <w:r w:rsidRPr="006B209B">
        <w:rPr>
          <w:szCs w:val="22"/>
        </w:rPr>
        <w:t>a</w:t>
      </w:r>
      <w:r w:rsidRPr="006B209B">
        <w:rPr>
          <w:szCs w:val="22"/>
        </w:rPr>
        <w:t>tion d'une limite imposée à cette liberté fondamentale, au r</w:t>
      </w:r>
      <w:r w:rsidRPr="006B209B">
        <w:rPr>
          <w:szCs w:val="22"/>
        </w:rPr>
        <w:t>e</w:t>
      </w:r>
      <w:r w:rsidRPr="006B209B">
        <w:rPr>
          <w:szCs w:val="22"/>
        </w:rPr>
        <w:t>gard des intérêts mis de l'avant par l'État, et des effets ou des bénéfices attendus de la mes</w:t>
      </w:r>
      <w:r w:rsidRPr="006B209B">
        <w:rPr>
          <w:szCs w:val="22"/>
        </w:rPr>
        <w:t>u</w:t>
      </w:r>
      <w:r w:rsidRPr="006B209B">
        <w:rPr>
          <w:szCs w:val="22"/>
        </w:rPr>
        <w:t>re législative ou réglementaire</w:t>
      </w:r>
      <w:r>
        <w:rPr>
          <w:szCs w:val="22"/>
        </w:rPr>
        <w:t> </w:t>
      </w:r>
      <w:r>
        <w:rPr>
          <w:rStyle w:val="Appelnotedebasdep"/>
          <w:szCs w:val="22"/>
        </w:rPr>
        <w:footnoteReference w:id="46"/>
      </w:r>
      <w:r w:rsidRPr="006B209B">
        <w:rPr>
          <w:szCs w:val="22"/>
        </w:rPr>
        <w:t>.</w:t>
      </w:r>
    </w:p>
    <w:p w:rsidR="005F113F" w:rsidRPr="006B209B" w:rsidRDefault="005F113F" w:rsidP="005F113F">
      <w:pPr>
        <w:spacing w:before="120" w:after="120"/>
        <w:jc w:val="both"/>
      </w:pPr>
      <w:r w:rsidRPr="006B209B">
        <w:rPr>
          <w:szCs w:val="22"/>
        </w:rPr>
        <w:t xml:space="preserve">La </w:t>
      </w:r>
      <w:r>
        <w:rPr>
          <w:szCs w:val="22"/>
        </w:rPr>
        <w:t>« </w:t>
      </w:r>
      <w:r w:rsidRPr="006B209B">
        <w:rPr>
          <w:szCs w:val="22"/>
        </w:rPr>
        <w:t>propagande haineuse</w:t>
      </w:r>
      <w:r>
        <w:rPr>
          <w:szCs w:val="22"/>
        </w:rPr>
        <w:t> »</w:t>
      </w:r>
      <w:r w:rsidRPr="006B209B">
        <w:rPr>
          <w:szCs w:val="22"/>
        </w:rPr>
        <w:t xml:space="preserve"> est le premier objet de droit express</w:t>
      </w:r>
      <w:r w:rsidRPr="006B209B">
        <w:rPr>
          <w:szCs w:val="22"/>
        </w:rPr>
        <w:t>é</w:t>
      </w:r>
      <w:r w:rsidRPr="006B209B">
        <w:rPr>
          <w:szCs w:val="22"/>
        </w:rPr>
        <w:t>ment l</w:t>
      </w:r>
      <w:r w:rsidRPr="006B209B">
        <w:rPr>
          <w:szCs w:val="22"/>
        </w:rPr>
        <w:t>é</w:t>
      </w:r>
      <w:r w:rsidRPr="006B209B">
        <w:rPr>
          <w:szCs w:val="22"/>
        </w:rPr>
        <w:t>giféré en rapport avec la notion de haine au Canada. La Cour suprême a associé la prohibition de ce type de comportement à la pr</w:t>
      </w:r>
      <w:r w:rsidRPr="006B209B">
        <w:rPr>
          <w:szCs w:val="22"/>
        </w:rPr>
        <w:t>o</w:t>
      </w:r>
      <w:r w:rsidRPr="006B209B">
        <w:rPr>
          <w:szCs w:val="22"/>
        </w:rPr>
        <w:t>tection de la dignité humaine</w:t>
      </w:r>
      <w:r>
        <w:rPr>
          <w:szCs w:val="22"/>
        </w:rPr>
        <w:t> </w:t>
      </w:r>
      <w:r>
        <w:rPr>
          <w:rStyle w:val="Appelnotedebasdep"/>
          <w:szCs w:val="22"/>
        </w:rPr>
        <w:footnoteReference w:id="47"/>
      </w:r>
      <w:r w:rsidRPr="006B209B">
        <w:rPr>
          <w:szCs w:val="22"/>
        </w:rPr>
        <w:t>. En 1990, elle a rendu trois d</w:t>
      </w:r>
      <w:r w:rsidRPr="006B209B">
        <w:rPr>
          <w:szCs w:val="22"/>
        </w:rPr>
        <w:t>é</w:t>
      </w:r>
      <w:r w:rsidRPr="006B209B">
        <w:rPr>
          <w:szCs w:val="22"/>
        </w:rPr>
        <w:t>cisions clés statuant sur des propos haineux</w:t>
      </w:r>
      <w:r>
        <w:rPr>
          <w:szCs w:val="22"/>
        </w:rPr>
        <w:t> :</w:t>
      </w:r>
      <w:r w:rsidRPr="006B209B">
        <w:rPr>
          <w:szCs w:val="22"/>
        </w:rPr>
        <w:t xml:space="preserve"> </w:t>
      </w:r>
      <w:r w:rsidRPr="00136482">
        <w:rPr>
          <w:i/>
          <w:iCs/>
          <w:szCs w:val="22"/>
        </w:rPr>
        <w:t>Keegstra </w:t>
      </w:r>
      <w:r>
        <w:rPr>
          <w:rStyle w:val="Appelnotedebasdep"/>
          <w:iCs/>
          <w:szCs w:val="22"/>
        </w:rPr>
        <w:footnoteReference w:id="48"/>
      </w:r>
      <w:r w:rsidRPr="006B209B">
        <w:rPr>
          <w:i/>
          <w:iCs/>
          <w:szCs w:val="22"/>
        </w:rPr>
        <w:t xml:space="preserve">, </w:t>
      </w:r>
      <w:r w:rsidRPr="00136482">
        <w:rPr>
          <w:i/>
          <w:iCs/>
          <w:szCs w:val="22"/>
        </w:rPr>
        <w:t>Taylor </w:t>
      </w:r>
      <w:r>
        <w:rPr>
          <w:rStyle w:val="Appelnotedebasdep"/>
          <w:iCs/>
          <w:szCs w:val="22"/>
        </w:rPr>
        <w:footnoteReference w:id="49"/>
      </w:r>
      <w:r w:rsidRPr="006B209B">
        <w:rPr>
          <w:i/>
          <w:iCs/>
          <w:szCs w:val="22"/>
        </w:rPr>
        <w:t>, A</w:t>
      </w:r>
      <w:r w:rsidRPr="006B209B">
        <w:rPr>
          <w:i/>
          <w:iCs/>
          <w:szCs w:val="22"/>
        </w:rPr>
        <w:t>n</w:t>
      </w:r>
      <w:r w:rsidRPr="006B209B">
        <w:rPr>
          <w:i/>
          <w:iCs/>
          <w:szCs w:val="22"/>
        </w:rPr>
        <w:t>drew</w:t>
      </w:r>
      <w:r w:rsidRPr="00136482">
        <w:rPr>
          <w:iCs/>
          <w:szCs w:val="22"/>
        </w:rPr>
        <w:t>s</w:t>
      </w:r>
      <w:r>
        <w:rPr>
          <w:iCs/>
          <w:szCs w:val="22"/>
        </w:rPr>
        <w:t> </w:t>
      </w:r>
      <w:r>
        <w:rPr>
          <w:rStyle w:val="Appelnotedebasdep"/>
          <w:iCs/>
          <w:szCs w:val="22"/>
        </w:rPr>
        <w:footnoteReference w:id="50"/>
      </w:r>
      <w:r w:rsidRPr="006B209B">
        <w:rPr>
          <w:i/>
          <w:iCs/>
          <w:szCs w:val="22"/>
        </w:rPr>
        <w:t xml:space="preserve">. </w:t>
      </w:r>
      <w:r w:rsidRPr="006B209B">
        <w:rPr>
          <w:szCs w:val="22"/>
        </w:rPr>
        <w:t xml:space="preserve">Elle a validé l'article 319 du </w:t>
      </w:r>
      <w:r w:rsidRPr="006B209B">
        <w:rPr>
          <w:i/>
          <w:iCs/>
          <w:szCs w:val="22"/>
        </w:rPr>
        <w:t xml:space="preserve">Code criminel </w:t>
      </w:r>
      <w:r w:rsidRPr="006B209B">
        <w:rPr>
          <w:szCs w:val="22"/>
        </w:rPr>
        <w:t xml:space="preserve">dans les arrêts </w:t>
      </w:r>
      <w:r w:rsidRPr="006B209B">
        <w:rPr>
          <w:i/>
          <w:iCs/>
          <w:szCs w:val="22"/>
        </w:rPr>
        <w:t>Keegstra et A</w:t>
      </w:r>
      <w:r w:rsidRPr="006B209B">
        <w:rPr>
          <w:i/>
          <w:iCs/>
          <w:szCs w:val="22"/>
        </w:rPr>
        <w:t>n</w:t>
      </w:r>
      <w:r w:rsidRPr="006B209B">
        <w:rPr>
          <w:i/>
          <w:iCs/>
          <w:szCs w:val="22"/>
        </w:rPr>
        <w:t xml:space="preserve">drews et </w:t>
      </w:r>
      <w:r w:rsidRPr="006B209B">
        <w:rPr>
          <w:szCs w:val="22"/>
        </w:rPr>
        <w:t xml:space="preserve">l'article 13 LCDP dans l'arrêt </w:t>
      </w:r>
      <w:r w:rsidRPr="006B209B">
        <w:rPr>
          <w:i/>
          <w:iCs/>
          <w:szCs w:val="22"/>
        </w:rPr>
        <w:t xml:space="preserve">Taylor. </w:t>
      </w:r>
      <w:r w:rsidRPr="006B209B">
        <w:rPr>
          <w:szCs w:val="22"/>
        </w:rPr>
        <w:t xml:space="preserve">Par la suite, de l'arrêt </w:t>
      </w:r>
      <w:r w:rsidRPr="00136482">
        <w:rPr>
          <w:i/>
          <w:iCs/>
          <w:szCs w:val="22"/>
        </w:rPr>
        <w:t>Zundel </w:t>
      </w:r>
      <w:r>
        <w:rPr>
          <w:rStyle w:val="Appelnotedebasdep"/>
          <w:iCs/>
          <w:szCs w:val="22"/>
        </w:rPr>
        <w:footnoteReference w:id="51"/>
      </w:r>
      <w:r w:rsidRPr="006B209B">
        <w:rPr>
          <w:i/>
          <w:iCs/>
          <w:szCs w:val="22"/>
        </w:rPr>
        <w:t xml:space="preserve"> </w:t>
      </w:r>
      <w:r w:rsidRPr="006B209B">
        <w:rPr>
          <w:szCs w:val="22"/>
        </w:rPr>
        <w:t xml:space="preserve">en 1992 à l'arrêt </w:t>
      </w:r>
      <w:r w:rsidRPr="00136482">
        <w:rPr>
          <w:i/>
          <w:iCs/>
          <w:szCs w:val="22"/>
        </w:rPr>
        <w:t>Whatcott </w:t>
      </w:r>
      <w:r>
        <w:rPr>
          <w:rStyle w:val="Appelnotedebasdep"/>
          <w:iCs/>
          <w:szCs w:val="22"/>
        </w:rPr>
        <w:footnoteReference w:id="52"/>
      </w:r>
      <w:r w:rsidRPr="006B209B">
        <w:rPr>
          <w:i/>
          <w:iCs/>
          <w:szCs w:val="22"/>
        </w:rPr>
        <w:t xml:space="preserve"> </w:t>
      </w:r>
      <w:r w:rsidRPr="006B209B">
        <w:rPr>
          <w:szCs w:val="22"/>
        </w:rPr>
        <w:t>en 2013, la Cour a clarifié l'interprétation de dispositions législatives prohibant certa</w:t>
      </w:r>
      <w:r w:rsidRPr="006B209B">
        <w:rPr>
          <w:szCs w:val="22"/>
        </w:rPr>
        <w:t>i</w:t>
      </w:r>
      <w:r w:rsidRPr="006B209B">
        <w:rPr>
          <w:szCs w:val="22"/>
        </w:rPr>
        <w:t>nes manifestations de haine</w:t>
      </w:r>
      <w:r>
        <w:rPr>
          <w:szCs w:val="22"/>
        </w:rPr>
        <w:t> </w:t>
      </w:r>
      <w:r>
        <w:rPr>
          <w:rStyle w:val="Appelnotedebasdep"/>
          <w:szCs w:val="22"/>
        </w:rPr>
        <w:footnoteReference w:id="53"/>
      </w:r>
      <w:r w:rsidRPr="006B209B">
        <w:rPr>
          <w:szCs w:val="22"/>
        </w:rPr>
        <w:t>. Elle a inval</w:t>
      </w:r>
      <w:r w:rsidRPr="006B209B">
        <w:rPr>
          <w:szCs w:val="22"/>
        </w:rPr>
        <w:t>i</w:t>
      </w:r>
      <w:r w:rsidRPr="006B209B">
        <w:rPr>
          <w:szCs w:val="22"/>
        </w:rPr>
        <w:t xml:space="preserve">dé l'article 181 du </w:t>
      </w:r>
      <w:r w:rsidRPr="006B209B">
        <w:rPr>
          <w:i/>
          <w:iCs/>
          <w:szCs w:val="22"/>
        </w:rPr>
        <w:t xml:space="preserve">Code criminel </w:t>
      </w:r>
      <w:r w:rsidRPr="006B209B">
        <w:rPr>
          <w:szCs w:val="22"/>
        </w:rPr>
        <w:t>(publ</w:t>
      </w:r>
      <w:r w:rsidRPr="006B209B">
        <w:rPr>
          <w:szCs w:val="22"/>
        </w:rPr>
        <w:t>i</w:t>
      </w:r>
      <w:r w:rsidRPr="006B209B">
        <w:rPr>
          <w:szCs w:val="22"/>
        </w:rPr>
        <w:t xml:space="preserve">cation de fausses nouvelles) dans l'arrêt </w:t>
      </w:r>
      <w:r w:rsidRPr="00136482">
        <w:rPr>
          <w:i/>
          <w:iCs/>
          <w:szCs w:val="22"/>
        </w:rPr>
        <w:t>Zundel </w:t>
      </w:r>
      <w:r>
        <w:rPr>
          <w:rStyle w:val="Appelnotedebasdep"/>
          <w:iCs/>
          <w:szCs w:val="22"/>
        </w:rPr>
        <w:footnoteReference w:id="54"/>
      </w:r>
      <w:r w:rsidRPr="006B209B">
        <w:rPr>
          <w:i/>
          <w:iCs/>
          <w:szCs w:val="22"/>
        </w:rPr>
        <w:t xml:space="preserve"> </w:t>
      </w:r>
      <w:r w:rsidRPr="006B209B">
        <w:rPr>
          <w:szCs w:val="22"/>
        </w:rPr>
        <w:t>en 1992.</w:t>
      </w:r>
    </w:p>
    <w:p w:rsidR="005F113F" w:rsidRPr="006B209B" w:rsidRDefault="005F113F" w:rsidP="005F113F">
      <w:pPr>
        <w:spacing w:before="120" w:after="120"/>
        <w:jc w:val="both"/>
      </w:pPr>
      <w:r w:rsidRPr="006B209B">
        <w:rPr>
          <w:szCs w:val="22"/>
        </w:rPr>
        <w:t>La Cour suprême a pour une premi</w:t>
      </w:r>
      <w:r w:rsidRPr="006B209B">
        <w:rPr>
          <w:szCs w:val="22"/>
        </w:rPr>
        <w:t>è</w:t>
      </w:r>
      <w:r w:rsidRPr="006B209B">
        <w:rPr>
          <w:szCs w:val="22"/>
        </w:rPr>
        <w:t xml:space="preserve">re fois interprété le mot </w:t>
      </w:r>
      <w:r>
        <w:rPr>
          <w:szCs w:val="22"/>
        </w:rPr>
        <w:t>« </w:t>
      </w:r>
      <w:r w:rsidRPr="006B209B">
        <w:rPr>
          <w:szCs w:val="22"/>
        </w:rPr>
        <w:t>haine</w:t>
      </w:r>
      <w:r>
        <w:rPr>
          <w:szCs w:val="22"/>
        </w:rPr>
        <w:t> »</w:t>
      </w:r>
      <w:r w:rsidRPr="006B209B">
        <w:rPr>
          <w:szCs w:val="22"/>
        </w:rPr>
        <w:t xml:space="preserve"> dans son arrêt </w:t>
      </w:r>
      <w:r w:rsidRPr="006B209B">
        <w:rPr>
          <w:i/>
          <w:iCs/>
          <w:szCs w:val="22"/>
        </w:rPr>
        <w:t xml:space="preserve">Taylor, </w:t>
      </w:r>
      <w:r w:rsidRPr="006B209B">
        <w:rPr>
          <w:szCs w:val="22"/>
        </w:rPr>
        <w:t xml:space="preserve">en se prononçant sur l'article 13(1) LCDP. La Cour a alors défini la haine comme </w:t>
      </w:r>
      <w:r>
        <w:rPr>
          <w:szCs w:val="22"/>
        </w:rPr>
        <w:t>« </w:t>
      </w:r>
      <w:r w:rsidRPr="006B209B">
        <w:rPr>
          <w:szCs w:val="22"/>
        </w:rPr>
        <w:t>ne vis[a]nt que des émotions exceptionnellement fortes et profondes de détestation se tr</w:t>
      </w:r>
      <w:r w:rsidRPr="006B209B">
        <w:rPr>
          <w:szCs w:val="22"/>
        </w:rPr>
        <w:t>a</w:t>
      </w:r>
      <w:r w:rsidRPr="006B209B">
        <w:rPr>
          <w:szCs w:val="22"/>
        </w:rPr>
        <w:t>duisant par des calomnies et la diffamation</w:t>
      </w:r>
      <w:r>
        <w:rPr>
          <w:szCs w:val="22"/>
        </w:rPr>
        <w:t> »</w:t>
      </w:r>
      <w:r w:rsidRPr="006B209B">
        <w:rPr>
          <w:szCs w:val="22"/>
        </w:rPr>
        <w:t>, précisant que les trib</w:t>
      </w:r>
      <w:r w:rsidRPr="006B209B">
        <w:rPr>
          <w:szCs w:val="22"/>
        </w:rPr>
        <w:t>u</w:t>
      </w:r>
      <w:r w:rsidRPr="006B209B">
        <w:rPr>
          <w:szCs w:val="22"/>
        </w:rPr>
        <w:t xml:space="preserve">naux devaient tenir compte </w:t>
      </w:r>
      <w:r>
        <w:rPr>
          <w:szCs w:val="22"/>
        </w:rPr>
        <w:t>« </w:t>
      </w:r>
      <w:r w:rsidRPr="006B209B">
        <w:rPr>
          <w:szCs w:val="22"/>
        </w:rPr>
        <w:t>de la nature à la fois vir</w:t>
      </w:r>
      <w:r w:rsidRPr="006B209B">
        <w:rPr>
          <w:szCs w:val="22"/>
        </w:rPr>
        <w:t>u</w:t>
      </w:r>
      <w:r w:rsidRPr="006B209B">
        <w:rPr>
          <w:szCs w:val="22"/>
        </w:rPr>
        <w:t>lente et extrême des sentiments évoqués par ces termes</w:t>
      </w:r>
      <w:r>
        <w:rPr>
          <w:szCs w:val="22"/>
        </w:rPr>
        <w:t> » </w:t>
      </w:r>
      <w:r>
        <w:rPr>
          <w:rStyle w:val="Appelnotedebasdep"/>
          <w:szCs w:val="22"/>
        </w:rPr>
        <w:footnoteReference w:id="55"/>
      </w:r>
      <w:r w:rsidRPr="006B209B">
        <w:rPr>
          <w:szCs w:val="22"/>
        </w:rPr>
        <w:t>. L'article 13 se lisait co</w:t>
      </w:r>
      <w:r w:rsidRPr="006B209B">
        <w:rPr>
          <w:szCs w:val="22"/>
        </w:rPr>
        <w:t>m</w:t>
      </w:r>
      <w:r w:rsidRPr="006B209B">
        <w:rPr>
          <w:szCs w:val="22"/>
        </w:rPr>
        <w:t>me suit à la fin des années 1980</w:t>
      </w:r>
      <w:r>
        <w:rPr>
          <w:szCs w:val="22"/>
        </w:rPr>
        <w:t> :</w:t>
      </w:r>
    </w:p>
    <w:p w:rsidR="005F113F" w:rsidRDefault="005F113F" w:rsidP="005F113F">
      <w:pPr>
        <w:pStyle w:val="p"/>
      </w:pPr>
      <w:r>
        <w:br w:type="page"/>
        <w:t>[447]</w:t>
      </w:r>
    </w:p>
    <w:p w:rsidR="005F113F" w:rsidRDefault="005F113F" w:rsidP="005F113F">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5F113F">
        <w:tc>
          <w:tcPr>
            <w:tcW w:w="8060" w:type="dxa"/>
            <w:shd w:val="clear" w:color="auto" w:fill="EEECE1"/>
          </w:tcPr>
          <w:p w:rsidR="005F113F" w:rsidRPr="00337051" w:rsidRDefault="005F113F" w:rsidP="005F113F">
            <w:pPr>
              <w:spacing w:before="120" w:after="120"/>
              <w:jc w:val="both"/>
              <w:rPr>
                <w:sz w:val="24"/>
              </w:rPr>
            </w:pPr>
          </w:p>
          <w:p w:rsidR="005F113F" w:rsidRPr="00337051" w:rsidRDefault="005F113F" w:rsidP="005F113F">
            <w:pPr>
              <w:spacing w:before="120" w:after="120"/>
              <w:jc w:val="both"/>
              <w:rPr>
                <w:sz w:val="24"/>
              </w:rPr>
            </w:pPr>
            <w:r w:rsidRPr="00337051">
              <w:rPr>
                <w:b/>
                <w:bCs/>
                <w:sz w:val="24"/>
                <w:szCs w:val="22"/>
              </w:rPr>
              <w:t>Propagande haineuse</w:t>
            </w:r>
          </w:p>
          <w:p w:rsidR="005F113F" w:rsidRPr="00337051" w:rsidRDefault="005F113F" w:rsidP="005F113F">
            <w:pPr>
              <w:spacing w:before="120" w:after="120"/>
              <w:jc w:val="both"/>
              <w:rPr>
                <w:sz w:val="24"/>
              </w:rPr>
            </w:pPr>
            <w:r w:rsidRPr="00337051">
              <w:rPr>
                <w:sz w:val="24"/>
                <w:szCs w:val="18"/>
              </w:rPr>
              <w:t>13. (1) Constitue un acte discrimin</w:t>
            </w:r>
            <w:r w:rsidRPr="00337051">
              <w:rPr>
                <w:sz w:val="24"/>
                <w:szCs w:val="18"/>
              </w:rPr>
              <w:t>a</w:t>
            </w:r>
            <w:r w:rsidRPr="00337051">
              <w:rPr>
                <w:sz w:val="24"/>
                <w:szCs w:val="18"/>
              </w:rPr>
              <w:t>toire le fait, pour une personne ou un groupe de personnes agissant d'un commun accord, d'utiliser ou de faire utiliser un téléphone de façon répétée en recourant ou en fa</w:t>
            </w:r>
            <w:r w:rsidRPr="00337051">
              <w:rPr>
                <w:sz w:val="24"/>
                <w:szCs w:val="18"/>
              </w:rPr>
              <w:t>i</w:t>
            </w:r>
            <w:r w:rsidRPr="00337051">
              <w:rPr>
                <w:sz w:val="24"/>
                <w:szCs w:val="18"/>
              </w:rPr>
              <w:t>sant recourir aux services d'une entreprise de télécommunication relevant de la compétence du Pa</w:t>
            </w:r>
            <w:r w:rsidRPr="00337051">
              <w:rPr>
                <w:sz w:val="24"/>
                <w:szCs w:val="18"/>
              </w:rPr>
              <w:t>r</w:t>
            </w:r>
            <w:r w:rsidRPr="00337051">
              <w:rPr>
                <w:sz w:val="24"/>
                <w:szCs w:val="18"/>
              </w:rPr>
              <w:t>lement pour aborder ou faire aborder des questions susceptibles d'exposer à la haine ou au mépris des personnes appartenant à un groupe identifiable sur la base des cr</w:t>
            </w:r>
            <w:r w:rsidRPr="00337051">
              <w:rPr>
                <w:sz w:val="24"/>
                <w:szCs w:val="18"/>
              </w:rPr>
              <w:t>i</w:t>
            </w:r>
            <w:r w:rsidRPr="00337051">
              <w:rPr>
                <w:sz w:val="24"/>
                <w:szCs w:val="18"/>
              </w:rPr>
              <w:t>tères énoncés à l'article 3.</w:t>
            </w:r>
          </w:p>
          <w:p w:rsidR="005F113F" w:rsidRPr="00337051" w:rsidRDefault="005F113F" w:rsidP="005F113F">
            <w:pPr>
              <w:spacing w:before="120" w:after="120"/>
              <w:jc w:val="both"/>
              <w:rPr>
                <w:sz w:val="24"/>
              </w:rPr>
            </w:pPr>
            <w:r w:rsidRPr="00337051">
              <w:rPr>
                <w:b/>
                <w:bCs/>
                <w:sz w:val="24"/>
                <w:szCs w:val="18"/>
              </w:rPr>
              <w:t>Interprétation</w:t>
            </w:r>
          </w:p>
          <w:p w:rsidR="005F113F" w:rsidRPr="00337051" w:rsidRDefault="005F113F" w:rsidP="005F113F">
            <w:pPr>
              <w:spacing w:before="120" w:after="120"/>
              <w:jc w:val="both"/>
              <w:rPr>
                <w:sz w:val="24"/>
              </w:rPr>
            </w:pPr>
            <w:r w:rsidRPr="00337051">
              <w:rPr>
                <w:sz w:val="24"/>
                <w:szCs w:val="18"/>
              </w:rPr>
              <w:t>(2)</w:t>
            </w:r>
            <w:r w:rsidRPr="00337051">
              <w:rPr>
                <w:sz w:val="24"/>
                <w:szCs w:val="18"/>
              </w:rPr>
              <w:tab/>
              <w:t>Il demeure entendu que le paragraphe (1) s'applique à l'utilisation d'un o</w:t>
            </w:r>
            <w:r w:rsidRPr="00337051">
              <w:rPr>
                <w:sz w:val="24"/>
                <w:szCs w:val="18"/>
              </w:rPr>
              <w:t>r</w:t>
            </w:r>
            <w:r w:rsidRPr="00337051">
              <w:rPr>
                <w:sz w:val="24"/>
                <w:szCs w:val="18"/>
              </w:rPr>
              <w:t>dinateur, d'un ensemble d'ordinateurs connectés ou reliés les uns aux autres, n</w:t>
            </w:r>
            <w:r w:rsidRPr="00337051">
              <w:rPr>
                <w:sz w:val="24"/>
                <w:szCs w:val="18"/>
              </w:rPr>
              <w:t>o</w:t>
            </w:r>
            <w:r w:rsidRPr="00337051">
              <w:rPr>
                <w:sz w:val="24"/>
                <w:szCs w:val="18"/>
              </w:rPr>
              <w:t>tamment d'Internet, ou de tout autre moyen de communication semblable mais qu'il ne s'applique pas dans les cas où les services d'une entreprise de radiodiff</w:t>
            </w:r>
            <w:r w:rsidRPr="00337051">
              <w:rPr>
                <w:sz w:val="24"/>
                <w:szCs w:val="18"/>
              </w:rPr>
              <w:t>u</w:t>
            </w:r>
            <w:r w:rsidRPr="00337051">
              <w:rPr>
                <w:sz w:val="24"/>
                <w:szCs w:val="18"/>
              </w:rPr>
              <w:t>sion sont utilisés.</w:t>
            </w:r>
          </w:p>
          <w:p w:rsidR="005F113F" w:rsidRPr="00337051" w:rsidRDefault="005F113F" w:rsidP="005F113F">
            <w:pPr>
              <w:spacing w:before="120" w:after="120"/>
              <w:jc w:val="both"/>
              <w:rPr>
                <w:sz w:val="24"/>
              </w:rPr>
            </w:pPr>
            <w:r w:rsidRPr="00337051">
              <w:rPr>
                <w:b/>
                <w:bCs/>
                <w:sz w:val="24"/>
                <w:szCs w:val="18"/>
              </w:rPr>
              <w:t>Interprétation</w:t>
            </w:r>
          </w:p>
          <w:p w:rsidR="005F113F" w:rsidRPr="00337051" w:rsidRDefault="005F113F" w:rsidP="005F113F">
            <w:pPr>
              <w:spacing w:before="120" w:after="120"/>
              <w:jc w:val="both"/>
              <w:rPr>
                <w:sz w:val="24"/>
              </w:rPr>
            </w:pPr>
            <w:r w:rsidRPr="00337051">
              <w:rPr>
                <w:sz w:val="24"/>
                <w:szCs w:val="18"/>
              </w:rPr>
              <w:t>(3)</w:t>
            </w:r>
            <w:r w:rsidRPr="00337051">
              <w:rPr>
                <w:sz w:val="24"/>
                <w:szCs w:val="18"/>
              </w:rPr>
              <w:tab/>
              <w:t>Pour l'application du présent article, le propriétaire ou exploitant d'une e</w:t>
            </w:r>
            <w:r w:rsidRPr="00337051">
              <w:rPr>
                <w:sz w:val="24"/>
                <w:szCs w:val="18"/>
              </w:rPr>
              <w:t>n</w:t>
            </w:r>
            <w:r w:rsidRPr="00337051">
              <w:rPr>
                <w:sz w:val="24"/>
                <w:szCs w:val="18"/>
              </w:rPr>
              <w:t>treprise de télécommunic</w:t>
            </w:r>
            <w:r w:rsidRPr="00337051">
              <w:rPr>
                <w:sz w:val="24"/>
                <w:szCs w:val="18"/>
              </w:rPr>
              <w:t>a</w:t>
            </w:r>
            <w:r w:rsidRPr="00337051">
              <w:rPr>
                <w:sz w:val="24"/>
                <w:szCs w:val="18"/>
              </w:rPr>
              <w:t>tion ne commet pas un acte discriminatoire du seul fait que des tiers ont utilisé ses install</w:t>
            </w:r>
            <w:r w:rsidRPr="00337051">
              <w:rPr>
                <w:sz w:val="24"/>
                <w:szCs w:val="18"/>
              </w:rPr>
              <w:t>a</w:t>
            </w:r>
            <w:r w:rsidRPr="00337051">
              <w:rPr>
                <w:sz w:val="24"/>
                <w:szCs w:val="18"/>
              </w:rPr>
              <w:t>tions pour aborder des questions visées au paragraphe (1).</w:t>
            </w:r>
          </w:p>
          <w:p w:rsidR="005F113F" w:rsidRDefault="005F113F" w:rsidP="005F113F">
            <w:pPr>
              <w:spacing w:before="120" w:after="120"/>
              <w:ind w:firstLine="0"/>
              <w:jc w:val="both"/>
            </w:pPr>
          </w:p>
        </w:tc>
      </w:tr>
    </w:tbl>
    <w:p w:rsidR="005F113F" w:rsidRDefault="005F113F" w:rsidP="005F113F">
      <w:pPr>
        <w:spacing w:before="120" w:after="120"/>
        <w:jc w:val="both"/>
        <w:rPr>
          <w:szCs w:val="22"/>
        </w:rPr>
      </w:pPr>
    </w:p>
    <w:p w:rsidR="005F113F" w:rsidRPr="006B209B" w:rsidRDefault="005F113F" w:rsidP="005F113F">
      <w:pPr>
        <w:spacing w:before="120" w:after="120"/>
        <w:jc w:val="both"/>
      </w:pPr>
      <w:r w:rsidRPr="006B209B">
        <w:rPr>
          <w:szCs w:val="22"/>
        </w:rPr>
        <w:t>L'article 13 a été abrogé en 2013, mettant un terme - provisoir</w:t>
      </w:r>
      <w:r w:rsidRPr="006B209B">
        <w:rPr>
          <w:szCs w:val="22"/>
        </w:rPr>
        <w:t>e</w:t>
      </w:r>
      <w:r w:rsidRPr="006B209B">
        <w:rPr>
          <w:szCs w:val="22"/>
        </w:rPr>
        <w:t>ment, du moins - à des années d'âpres débats jur</w:t>
      </w:r>
      <w:r w:rsidRPr="006B209B">
        <w:rPr>
          <w:szCs w:val="22"/>
        </w:rPr>
        <w:t>i</w:t>
      </w:r>
      <w:r w:rsidRPr="006B209B">
        <w:rPr>
          <w:szCs w:val="22"/>
        </w:rPr>
        <w:t xml:space="preserve">diques, académiques et politiques concernant sa justification. Le sommaire de la </w:t>
      </w:r>
      <w:r w:rsidRPr="006B209B">
        <w:rPr>
          <w:i/>
          <w:iCs/>
          <w:szCs w:val="22"/>
        </w:rPr>
        <w:t>Loi mod</w:t>
      </w:r>
      <w:r w:rsidRPr="006B209B">
        <w:rPr>
          <w:i/>
          <w:iCs/>
          <w:szCs w:val="22"/>
        </w:rPr>
        <w:t>i</w:t>
      </w:r>
      <w:r w:rsidRPr="006B209B">
        <w:rPr>
          <w:i/>
          <w:iCs/>
          <w:szCs w:val="22"/>
        </w:rPr>
        <w:t>fiant la Loi canadienne sur les droits de la personne (protection des libertés)</w:t>
      </w:r>
      <w:r>
        <w:rPr>
          <w:iCs/>
          <w:szCs w:val="22"/>
        </w:rPr>
        <w:t> </w:t>
      </w:r>
      <w:r>
        <w:rPr>
          <w:rStyle w:val="Appelnotedebasdep"/>
          <w:iCs/>
          <w:szCs w:val="22"/>
        </w:rPr>
        <w:footnoteReference w:id="56"/>
      </w:r>
      <w:r w:rsidRPr="006B209B">
        <w:rPr>
          <w:i/>
          <w:iCs/>
          <w:szCs w:val="22"/>
        </w:rPr>
        <w:t xml:space="preserve"> </w:t>
      </w:r>
      <w:r w:rsidRPr="006B209B">
        <w:rPr>
          <w:szCs w:val="22"/>
        </w:rPr>
        <w:t>mentionne à ce propos</w:t>
      </w:r>
      <w:r>
        <w:rPr>
          <w:szCs w:val="22"/>
        </w:rPr>
        <w:t> :</w:t>
      </w:r>
    </w:p>
    <w:p w:rsidR="005F113F" w:rsidRDefault="005F113F" w:rsidP="005F113F">
      <w:pPr>
        <w:pStyle w:val="Grillecouleur-Accent1"/>
        <w:rPr>
          <w:iCs/>
        </w:rPr>
      </w:pPr>
      <w:r>
        <w:br w:type="page"/>
      </w:r>
      <w:r w:rsidRPr="006B209B">
        <w:t xml:space="preserve">Le texte modifie la </w:t>
      </w:r>
      <w:r w:rsidRPr="006B209B">
        <w:rPr>
          <w:i/>
          <w:iCs/>
        </w:rPr>
        <w:t xml:space="preserve">Loi canadienne sur les droits de la personne </w:t>
      </w:r>
      <w:r w:rsidRPr="006B209B">
        <w:t>en abrogeant l'article 13 afin d'assurer qu'il ne soit pas porté atteinte à la l</w:t>
      </w:r>
      <w:r w:rsidRPr="006B209B">
        <w:t>i</w:t>
      </w:r>
      <w:r w:rsidRPr="006B209B">
        <w:t xml:space="preserve">berté d'expression protégée par la </w:t>
      </w:r>
      <w:r w:rsidRPr="006B209B">
        <w:rPr>
          <w:i/>
          <w:iCs/>
        </w:rPr>
        <w:t>Charte canadienne des droits et libe</w:t>
      </w:r>
      <w:r w:rsidRPr="006B209B">
        <w:rPr>
          <w:i/>
          <w:iCs/>
        </w:rPr>
        <w:t>r</w:t>
      </w:r>
      <w:r w:rsidRPr="006B209B">
        <w:rPr>
          <w:i/>
          <w:iCs/>
        </w:rPr>
        <w:t>tés.</w:t>
      </w:r>
      <w:r>
        <w:rPr>
          <w:iCs/>
        </w:rPr>
        <w:t> </w:t>
      </w:r>
      <w:r>
        <w:rPr>
          <w:rStyle w:val="Appelnotedebasdep"/>
          <w:iCs/>
          <w:szCs w:val="18"/>
        </w:rPr>
        <w:footnoteReference w:id="57"/>
      </w:r>
    </w:p>
    <w:p w:rsidR="005F113F" w:rsidRPr="006B209B" w:rsidRDefault="005F113F" w:rsidP="005F113F">
      <w:pPr>
        <w:pStyle w:val="Grillecouleur-Accent1"/>
      </w:pPr>
    </w:p>
    <w:p w:rsidR="005F113F" w:rsidRPr="006B209B" w:rsidRDefault="005F113F" w:rsidP="005F113F">
      <w:pPr>
        <w:spacing w:before="120" w:after="120"/>
        <w:jc w:val="both"/>
      </w:pPr>
      <w:r w:rsidRPr="006B209B">
        <w:rPr>
          <w:szCs w:val="22"/>
        </w:rPr>
        <w:t>Adopté en 1977, l'article 13 LCDP visait à contrôler l'usage de messages téléphoniques divulguant une propaga</w:t>
      </w:r>
      <w:r w:rsidRPr="006B209B">
        <w:rPr>
          <w:szCs w:val="22"/>
        </w:rPr>
        <w:t>n</w:t>
      </w:r>
      <w:r w:rsidRPr="006B209B">
        <w:rPr>
          <w:szCs w:val="22"/>
        </w:rPr>
        <w:t>de haineuse</w:t>
      </w:r>
      <w:r>
        <w:rPr>
          <w:szCs w:val="22"/>
        </w:rPr>
        <w:t xml:space="preserve"> </w:t>
      </w:r>
      <w:r>
        <w:t xml:space="preserve">[448] </w:t>
      </w:r>
      <w:r w:rsidRPr="006B209B">
        <w:rPr>
          <w:szCs w:val="22"/>
        </w:rPr>
        <w:t xml:space="preserve">contre les Juifs et les Noirs. Contrairement aux dispositions du </w:t>
      </w:r>
      <w:r w:rsidRPr="006B209B">
        <w:rPr>
          <w:i/>
          <w:iCs/>
          <w:szCs w:val="22"/>
        </w:rPr>
        <w:t>C</w:t>
      </w:r>
      <w:r w:rsidRPr="006B209B">
        <w:rPr>
          <w:i/>
          <w:iCs/>
          <w:szCs w:val="22"/>
        </w:rPr>
        <w:t>o</w:t>
      </w:r>
      <w:r w:rsidRPr="006B209B">
        <w:rPr>
          <w:i/>
          <w:iCs/>
          <w:szCs w:val="22"/>
        </w:rPr>
        <w:t>de crim</w:t>
      </w:r>
      <w:r w:rsidRPr="006B209B">
        <w:rPr>
          <w:i/>
          <w:iCs/>
          <w:szCs w:val="22"/>
        </w:rPr>
        <w:t>i</w:t>
      </w:r>
      <w:r w:rsidRPr="006B209B">
        <w:rPr>
          <w:i/>
          <w:iCs/>
          <w:szCs w:val="22"/>
        </w:rPr>
        <w:t xml:space="preserve">nel, </w:t>
      </w:r>
      <w:r w:rsidRPr="006B209B">
        <w:rPr>
          <w:szCs w:val="22"/>
        </w:rPr>
        <w:t xml:space="preserve">l'article 13 LCDP n'exigeait pas la preuve de l'intention </w:t>
      </w:r>
      <w:r w:rsidRPr="006B209B">
        <w:rPr>
          <w:i/>
          <w:iCs/>
          <w:szCs w:val="22"/>
        </w:rPr>
        <w:t xml:space="preserve">(mens rea) </w:t>
      </w:r>
      <w:r w:rsidRPr="006B209B">
        <w:rPr>
          <w:szCs w:val="22"/>
        </w:rPr>
        <w:t>pour démontrer qu'il y avait eu discrimination et l'intimé ne bénéficiait d'aucun moyen de défense spécial (Rosen, 2000).</w:t>
      </w:r>
    </w:p>
    <w:p w:rsidR="005F113F" w:rsidRPr="006B209B" w:rsidRDefault="005F113F" w:rsidP="005F113F">
      <w:pPr>
        <w:spacing w:before="120" w:after="120"/>
        <w:jc w:val="both"/>
      </w:pPr>
      <w:r w:rsidRPr="006B209B">
        <w:rPr>
          <w:szCs w:val="22"/>
        </w:rPr>
        <w:t>En 2008, une offensive a été lancée par des partisans de la prote</w:t>
      </w:r>
      <w:r w:rsidRPr="006B209B">
        <w:rPr>
          <w:szCs w:val="22"/>
        </w:rPr>
        <w:t>c</w:t>
      </w:r>
      <w:r w:rsidRPr="006B209B">
        <w:rPr>
          <w:szCs w:val="22"/>
        </w:rPr>
        <w:t>tion stricte de la liberté d'expression et du droit au blasphème, au</w:t>
      </w:r>
      <w:r w:rsidRPr="006B209B">
        <w:rPr>
          <w:szCs w:val="22"/>
        </w:rPr>
        <w:t>x</w:t>
      </w:r>
      <w:r w:rsidRPr="006B209B">
        <w:rPr>
          <w:szCs w:val="22"/>
        </w:rPr>
        <w:t>quels se sont joints des groupes chrétiens fondamentalistes. La pol</w:t>
      </w:r>
      <w:r w:rsidRPr="006B209B">
        <w:rPr>
          <w:szCs w:val="22"/>
        </w:rPr>
        <w:t>é</w:t>
      </w:r>
      <w:r w:rsidRPr="006B209B">
        <w:rPr>
          <w:szCs w:val="22"/>
        </w:rPr>
        <w:t>mique est née de la publication, par Erza Levant (un chroniqueur c</w:t>
      </w:r>
      <w:r w:rsidRPr="006B209B">
        <w:rPr>
          <w:szCs w:val="22"/>
        </w:rPr>
        <w:t>a</w:t>
      </w:r>
      <w:r w:rsidRPr="006B209B">
        <w:rPr>
          <w:szCs w:val="22"/>
        </w:rPr>
        <w:t xml:space="preserve">nadien) et par </w:t>
      </w:r>
      <w:r w:rsidRPr="006B209B">
        <w:rPr>
          <w:i/>
          <w:iCs/>
          <w:szCs w:val="22"/>
        </w:rPr>
        <w:t xml:space="preserve">Maclean's, </w:t>
      </w:r>
      <w:r w:rsidRPr="006B209B">
        <w:rPr>
          <w:szCs w:val="22"/>
        </w:rPr>
        <w:t>de caricatures danoises représentant le pr</w:t>
      </w:r>
      <w:r w:rsidRPr="006B209B">
        <w:rPr>
          <w:szCs w:val="22"/>
        </w:rPr>
        <w:t>o</w:t>
      </w:r>
      <w:r w:rsidRPr="006B209B">
        <w:rPr>
          <w:szCs w:val="22"/>
        </w:rPr>
        <w:t>phète Mahomet comme un terroriste et par les plaintes déposées par des organisations musu</w:t>
      </w:r>
      <w:r w:rsidRPr="006B209B">
        <w:rPr>
          <w:szCs w:val="22"/>
        </w:rPr>
        <w:t>l</w:t>
      </w:r>
      <w:r w:rsidRPr="006B209B">
        <w:rPr>
          <w:szCs w:val="22"/>
        </w:rPr>
        <w:t>manes auprès des commissions des droits de la personne de Colombie-Britannique, d'Ontario et du Canada. Cette dernière a entrepris une revue de la législation et confié au professeur R</w:t>
      </w:r>
      <w:r w:rsidRPr="006B209B">
        <w:rPr>
          <w:szCs w:val="22"/>
        </w:rPr>
        <w:t>i</w:t>
      </w:r>
      <w:r w:rsidRPr="006B209B">
        <w:rPr>
          <w:szCs w:val="22"/>
        </w:rPr>
        <w:t>chard Moon le mandat d'examiner les dispositions interdisant les discours ha</w:t>
      </w:r>
      <w:r w:rsidRPr="006B209B">
        <w:rPr>
          <w:szCs w:val="22"/>
        </w:rPr>
        <w:t>i</w:t>
      </w:r>
      <w:r w:rsidRPr="006B209B">
        <w:rPr>
          <w:szCs w:val="22"/>
        </w:rPr>
        <w:t xml:space="preserve">neux sur la toile. Le professeur Moon a produit un rapport (R. Moon (2008)) recommandant l'abolition de l'article 13 LCDP et la criminalisation des propos haineux les plus sérieux, qualifiés par un autre auteur de </w:t>
      </w:r>
      <w:r>
        <w:rPr>
          <w:szCs w:val="22"/>
        </w:rPr>
        <w:t>« </w:t>
      </w:r>
      <w:r w:rsidRPr="006B209B">
        <w:rPr>
          <w:i/>
          <w:iCs/>
          <w:szCs w:val="22"/>
        </w:rPr>
        <w:t>shoutingfire in a crowded th</w:t>
      </w:r>
      <w:r>
        <w:rPr>
          <w:i/>
          <w:iCs/>
          <w:szCs w:val="22"/>
        </w:rPr>
        <w:t>ea</w:t>
      </w:r>
      <w:r w:rsidRPr="006B209B">
        <w:rPr>
          <w:i/>
          <w:iCs/>
          <w:szCs w:val="22"/>
        </w:rPr>
        <w:t>tre</w:t>
      </w:r>
      <w:r>
        <w:rPr>
          <w:i/>
          <w:iCs/>
          <w:szCs w:val="22"/>
        </w:rPr>
        <w:t> »</w:t>
      </w:r>
      <w:r w:rsidRPr="006B209B">
        <w:rPr>
          <w:szCs w:val="22"/>
        </w:rPr>
        <w:t xml:space="preserve"> (Mahoney, 2009</w:t>
      </w:r>
      <w:r>
        <w:rPr>
          <w:szCs w:val="22"/>
        </w:rPr>
        <w:t> :</w:t>
      </w:r>
      <w:r w:rsidRPr="006B209B">
        <w:rPr>
          <w:szCs w:val="22"/>
        </w:rPr>
        <w:t>331-338). La polémique a cont</w:t>
      </w:r>
      <w:r w:rsidRPr="006B209B">
        <w:rPr>
          <w:szCs w:val="22"/>
        </w:rPr>
        <w:t>i</w:t>
      </w:r>
      <w:r w:rsidRPr="006B209B">
        <w:rPr>
          <w:szCs w:val="22"/>
        </w:rPr>
        <w:t>nué et l'article 13 a été aboli le 27 juin 2013.</w:t>
      </w:r>
    </w:p>
    <w:p w:rsidR="005F113F" w:rsidRDefault="005F113F" w:rsidP="005F113F">
      <w:pPr>
        <w:spacing w:before="120" w:after="120"/>
        <w:jc w:val="both"/>
        <w:rPr>
          <w:szCs w:val="22"/>
        </w:rPr>
      </w:pPr>
    </w:p>
    <w:p w:rsidR="005F113F" w:rsidRDefault="005F113F" w:rsidP="005F113F">
      <w:pPr>
        <w:spacing w:before="120" w:after="120"/>
        <w:jc w:val="both"/>
        <w:rPr>
          <w:szCs w:val="22"/>
        </w:rPr>
      </w:pPr>
      <w:r w:rsidRPr="006B209B">
        <w:rPr>
          <w:szCs w:val="22"/>
        </w:rPr>
        <w:t>Au moment de son abrogation, en 2013, l'article 13 LCDP avait élargi l'i</w:t>
      </w:r>
      <w:r w:rsidRPr="006B209B">
        <w:rPr>
          <w:szCs w:val="22"/>
        </w:rPr>
        <w:t>n</w:t>
      </w:r>
      <w:r w:rsidRPr="006B209B">
        <w:rPr>
          <w:szCs w:val="22"/>
        </w:rPr>
        <w:t>terdiction de la propagande haineuse aux moyens modernes de communic</w:t>
      </w:r>
      <w:r w:rsidRPr="006B209B">
        <w:rPr>
          <w:szCs w:val="22"/>
        </w:rPr>
        <w:t>a</w:t>
      </w:r>
      <w:r w:rsidRPr="006B209B">
        <w:rPr>
          <w:szCs w:val="22"/>
        </w:rPr>
        <w:t>tion, notamment l'ordinateur et Internet</w:t>
      </w:r>
      <w:r>
        <w:rPr>
          <w:szCs w:val="22"/>
        </w:rPr>
        <w:t> :</w:t>
      </w:r>
    </w:p>
    <w:p w:rsidR="005F113F" w:rsidRDefault="005F113F" w:rsidP="005F113F">
      <w:pPr>
        <w:spacing w:before="120" w:after="120"/>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5F113F">
        <w:tc>
          <w:tcPr>
            <w:tcW w:w="8060" w:type="dxa"/>
            <w:shd w:val="clear" w:color="auto" w:fill="EEECE1"/>
          </w:tcPr>
          <w:p w:rsidR="005F113F" w:rsidRPr="00337051" w:rsidRDefault="005F113F" w:rsidP="005F113F">
            <w:pPr>
              <w:spacing w:before="120" w:after="120"/>
              <w:jc w:val="both"/>
              <w:rPr>
                <w:sz w:val="24"/>
              </w:rPr>
            </w:pPr>
          </w:p>
          <w:p w:rsidR="005F113F" w:rsidRPr="00337051" w:rsidRDefault="005F113F" w:rsidP="005F113F">
            <w:pPr>
              <w:spacing w:before="120" w:after="120"/>
              <w:jc w:val="both"/>
              <w:rPr>
                <w:sz w:val="24"/>
              </w:rPr>
            </w:pPr>
            <w:r w:rsidRPr="00337051">
              <w:rPr>
                <w:b/>
                <w:bCs/>
                <w:sz w:val="24"/>
                <w:szCs w:val="18"/>
              </w:rPr>
              <w:t>Propagande haineuse</w:t>
            </w:r>
          </w:p>
          <w:p w:rsidR="005F113F" w:rsidRPr="00337051" w:rsidRDefault="005F113F" w:rsidP="005F113F">
            <w:pPr>
              <w:spacing w:before="120" w:after="120"/>
              <w:jc w:val="both"/>
              <w:rPr>
                <w:sz w:val="24"/>
              </w:rPr>
            </w:pPr>
            <w:r w:rsidRPr="00337051">
              <w:rPr>
                <w:b/>
                <w:bCs/>
                <w:sz w:val="24"/>
                <w:szCs w:val="18"/>
              </w:rPr>
              <w:t xml:space="preserve">13. </w:t>
            </w:r>
            <w:r w:rsidRPr="00337051">
              <w:rPr>
                <w:sz w:val="24"/>
                <w:szCs w:val="18"/>
              </w:rPr>
              <w:t>(1) Constitue un acte discrimin</w:t>
            </w:r>
            <w:r w:rsidRPr="00337051">
              <w:rPr>
                <w:sz w:val="24"/>
                <w:szCs w:val="18"/>
              </w:rPr>
              <w:t>a</w:t>
            </w:r>
            <w:r w:rsidRPr="00337051">
              <w:rPr>
                <w:sz w:val="24"/>
                <w:szCs w:val="18"/>
              </w:rPr>
              <w:t>toire le fait, pour une personne ou un groupe de personnes agissant d'un commun accord, d'utiliser ou de faire utiliser un téléphone de façon répétée en recourant ou en fa</w:t>
            </w:r>
            <w:r w:rsidRPr="00337051">
              <w:rPr>
                <w:sz w:val="24"/>
                <w:szCs w:val="18"/>
              </w:rPr>
              <w:t>i</w:t>
            </w:r>
            <w:r w:rsidRPr="00337051">
              <w:rPr>
                <w:sz w:val="24"/>
                <w:szCs w:val="18"/>
              </w:rPr>
              <w:t>sant recourir aux services d'une entreprise de télécommunication relevant de la compétence du Pa</w:t>
            </w:r>
            <w:r w:rsidRPr="00337051">
              <w:rPr>
                <w:sz w:val="24"/>
                <w:szCs w:val="18"/>
              </w:rPr>
              <w:t>r</w:t>
            </w:r>
            <w:r w:rsidRPr="00337051">
              <w:rPr>
                <w:sz w:val="24"/>
                <w:szCs w:val="18"/>
              </w:rPr>
              <w:t>lement pour aborder ou faire aborder des questions susceptibles d'exposer à la haine ou au mépris des personnes appartenant à un groupe identifiable sur la base des cr</w:t>
            </w:r>
            <w:r w:rsidRPr="00337051">
              <w:rPr>
                <w:sz w:val="24"/>
                <w:szCs w:val="18"/>
              </w:rPr>
              <w:t>i</w:t>
            </w:r>
            <w:r w:rsidRPr="00337051">
              <w:rPr>
                <w:sz w:val="24"/>
                <w:szCs w:val="18"/>
              </w:rPr>
              <w:t>tères énoncés à l'article 3.</w:t>
            </w:r>
          </w:p>
          <w:p w:rsidR="005F113F" w:rsidRPr="00337051" w:rsidRDefault="005F113F" w:rsidP="005F113F">
            <w:pPr>
              <w:spacing w:before="120" w:after="120"/>
              <w:jc w:val="both"/>
              <w:rPr>
                <w:sz w:val="24"/>
              </w:rPr>
            </w:pPr>
            <w:r w:rsidRPr="00337051">
              <w:rPr>
                <w:b/>
                <w:bCs/>
                <w:sz w:val="24"/>
                <w:szCs w:val="18"/>
              </w:rPr>
              <w:t>Interprétation</w:t>
            </w:r>
          </w:p>
          <w:p w:rsidR="005F113F" w:rsidRPr="00337051" w:rsidRDefault="005F113F" w:rsidP="005F113F">
            <w:pPr>
              <w:spacing w:before="120" w:after="120"/>
              <w:jc w:val="both"/>
              <w:rPr>
                <w:sz w:val="24"/>
              </w:rPr>
            </w:pPr>
            <w:r w:rsidRPr="00337051">
              <w:rPr>
                <w:sz w:val="24"/>
                <w:szCs w:val="18"/>
              </w:rPr>
              <w:t>(2) Il demeure entendu que le paragraphe (1) s'applique à l'utilisation d'un o</w:t>
            </w:r>
            <w:r w:rsidRPr="00337051">
              <w:rPr>
                <w:sz w:val="24"/>
                <w:szCs w:val="18"/>
              </w:rPr>
              <w:t>r</w:t>
            </w:r>
            <w:r w:rsidRPr="00337051">
              <w:rPr>
                <w:sz w:val="24"/>
                <w:szCs w:val="18"/>
              </w:rPr>
              <w:t xml:space="preserve">dinateur, d'un ensemble d'ordinateurs connectés ou </w:t>
            </w:r>
            <w:r w:rsidRPr="00337051">
              <w:rPr>
                <w:sz w:val="24"/>
              </w:rPr>
              <w:t xml:space="preserve">[449] </w:t>
            </w:r>
            <w:r w:rsidRPr="00337051">
              <w:rPr>
                <w:sz w:val="24"/>
                <w:szCs w:val="18"/>
              </w:rPr>
              <w:t>reliés les uns aux a</w:t>
            </w:r>
            <w:r w:rsidRPr="00337051">
              <w:rPr>
                <w:sz w:val="24"/>
                <w:szCs w:val="18"/>
              </w:rPr>
              <w:t>u</w:t>
            </w:r>
            <w:r w:rsidRPr="00337051">
              <w:rPr>
                <w:sz w:val="24"/>
                <w:szCs w:val="18"/>
              </w:rPr>
              <w:t>tres, notamment d'Internet, ou de tout a</w:t>
            </w:r>
            <w:r w:rsidRPr="00337051">
              <w:rPr>
                <w:sz w:val="24"/>
                <w:szCs w:val="18"/>
              </w:rPr>
              <w:t>u</w:t>
            </w:r>
            <w:r w:rsidRPr="00337051">
              <w:rPr>
                <w:sz w:val="24"/>
                <w:szCs w:val="18"/>
              </w:rPr>
              <w:t>tre moyen de communication semblable mais qu'il ne s'applique pas dans les cas où les services d'une entreprise de radi</w:t>
            </w:r>
            <w:r w:rsidRPr="00337051">
              <w:rPr>
                <w:sz w:val="24"/>
                <w:szCs w:val="18"/>
              </w:rPr>
              <w:t>o</w:t>
            </w:r>
            <w:r w:rsidRPr="00337051">
              <w:rPr>
                <w:sz w:val="24"/>
                <w:szCs w:val="18"/>
              </w:rPr>
              <w:t>diffusion sont ut</w:t>
            </w:r>
            <w:r w:rsidRPr="00337051">
              <w:rPr>
                <w:sz w:val="24"/>
                <w:szCs w:val="18"/>
              </w:rPr>
              <w:t>i</w:t>
            </w:r>
            <w:r w:rsidRPr="00337051">
              <w:rPr>
                <w:sz w:val="24"/>
                <w:szCs w:val="18"/>
              </w:rPr>
              <w:t>lisés.</w:t>
            </w:r>
          </w:p>
          <w:p w:rsidR="005F113F" w:rsidRPr="00337051" w:rsidRDefault="005F113F" w:rsidP="005F113F">
            <w:pPr>
              <w:spacing w:before="120" w:after="120"/>
              <w:jc w:val="both"/>
              <w:rPr>
                <w:sz w:val="24"/>
              </w:rPr>
            </w:pPr>
            <w:r w:rsidRPr="00337051">
              <w:rPr>
                <w:b/>
                <w:bCs/>
                <w:sz w:val="24"/>
                <w:szCs w:val="18"/>
              </w:rPr>
              <w:t>Interprétation</w:t>
            </w:r>
          </w:p>
          <w:p w:rsidR="005F113F" w:rsidRPr="00337051" w:rsidRDefault="005F113F" w:rsidP="005F113F">
            <w:pPr>
              <w:spacing w:before="120" w:after="120"/>
              <w:jc w:val="both"/>
              <w:rPr>
                <w:sz w:val="24"/>
              </w:rPr>
            </w:pPr>
            <w:r w:rsidRPr="00337051">
              <w:rPr>
                <w:sz w:val="24"/>
                <w:szCs w:val="18"/>
              </w:rPr>
              <w:t>(3) Pour l'application du présent article, le propriétaire ou exploitant d'une e</w:t>
            </w:r>
            <w:r w:rsidRPr="00337051">
              <w:rPr>
                <w:sz w:val="24"/>
                <w:szCs w:val="18"/>
              </w:rPr>
              <w:t>n</w:t>
            </w:r>
            <w:r w:rsidRPr="00337051">
              <w:rPr>
                <w:sz w:val="24"/>
                <w:szCs w:val="18"/>
              </w:rPr>
              <w:t>treprise de télécommunication ne commet pas un acte discriminatoire du seul fait que des tiers ont utilisé ses in</w:t>
            </w:r>
            <w:r w:rsidRPr="00337051">
              <w:rPr>
                <w:sz w:val="24"/>
                <w:szCs w:val="18"/>
              </w:rPr>
              <w:t>s</w:t>
            </w:r>
            <w:r w:rsidRPr="00337051">
              <w:rPr>
                <w:sz w:val="24"/>
                <w:szCs w:val="18"/>
              </w:rPr>
              <w:t>tallations pour aborder des questions visées au paragraphe (1).</w:t>
            </w:r>
          </w:p>
          <w:p w:rsidR="005F113F" w:rsidRDefault="005F113F" w:rsidP="005F113F">
            <w:pPr>
              <w:spacing w:before="120" w:after="120"/>
              <w:ind w:firstLine="0"/>
              <w:jc w:val="both"/>
            </w:pPr>
          </w:p>
        </w:tc>
      </w:tr>
    </w:tbl>
    <w:p w:rsidR="005F113F" w:rsidRDefault="005F113F" w:rsidP="005F113F">
      <w:pPr>
        <w:spacing w:before="120" w:after="120"/>
        <w:jc w:val="both"/>
      </w:pPr>
    </w:p>
    <w:p w:rsidR="005F113F" w:rsidRDefault="005F113F" w:rsidP="005F113F">
      <w:pPr>
        <w:spacing w:before="120" w:after="120"/>
        <w:jc w:val="both"/>
        <w:rPr>
          <w:szCs w:val="22"/>
        </w:rPr>
      </w:pPr>
    </w:p>
    <w:p w:rsidR="005F113F" w:rsidRPr="006B209B" w:rsidRDefault="005F113F" w:rsidP="005F113F">
      <w:pPr>
        <w:spacing w:before="120" w:after="120"/>
        <w:jc w:val="both"/>
      </w:pPr>
      <w:r w:rsidRPr="006B209B">
        <w:rPr>
          <w:szCs w:val="22"/>
        </w:rPr>
        <w:t>La vaste portée de cet article quant aux discours comme aux moyens visés rendait son déclenchement relativement facile dans un contexte civil ou régl</w:t>
      </w:r>
      <w:r w:rsidRPr="006B209B">
        <w:rPr>
          <w:szCs w:val="22"/>
        </w:rPr>
        <w:t>e</w:t>
      </w:r>
      <w:r w:rsidRPr="006B209B">
        <w:rPr>
          <w:szCs w:val="22"/>
        </w:rPr>
        <w:t xml:space="preserve">mentaire. Par hypothèse, on pourrait avancer qu'il s'agissait d'une interdiction </w:t>
      </w:r>
      <w:r w:rsidRPr="006B209B">
        <w:rPr>
          <w:i/>
          <w:iCs/>
          <w:szCs w:val="22"/>
        </w:rPr>
        <w:t xml:space="preserve">générale </w:t>
      </w:r>
      <w:r w:rsidRPr="006B209B">
        <w:rPr>
          <w:szCs w:val="22"/>
        </w:rPr>
        <w:t>de l'expression de la haine des minorités dans l'univers communic</w:t>
      </w:r>
      <w:r w:rsidRPr="006B209B">
        <w:rPr>
          <w:szCs w:val="22"/>
        </w:rPr>
        <w:t>a</w:t>
      </w:r>
      <w:r w:rsidRPr="006B209B">
        <w:rPr>
          <w:szCs w:val="22"/>
        </w:rPr>
        <w:t xml:space="preserve">tionnel électronique, faisant contraste avec </w:t>
      </w:r>
      <w:r w:rsidRPr="006B209B">
        <w:rPr>
          <w:i/>
          <w:iCs/>
          <w:szCs w:val="22"/>
        </w:rPr>
        <w:t xml:space="preserve">le patchwork </w:t>
      </w:r>
      <w:r w:rsidRPr="006B209B">
        <w:rPr>
          <w:szCs w:val="22"/>
        </w:rPr>
        <w:t>des actuelles interdi</w:t>
      </w:r>
      <w:r w:rsidRPr="006B209B">
        <w:rPr>
          <w:szCs w:val="22"/>
        </w:rPr>
        <w:t>c</w:t>
      </w:r>
      <w:r w:rsidRPr="006B209B">
        <w:rPr>
          <w:szCs w:val="22"/>
        </w:rPr>
        <w:t>tions présentes dans le droit canadien. L'abrogation de l'article 13 LCDP se</w:t>
      </w:r>
      <w:r w:rsidRPr="006B209B">
        <w:rPr>
          <w:szCs w:val="22"/>
        </w:rPr>
        <w:t>m</w:t>
      </w:r>
      <w:r w:rsidRPr="006B209B">
        <w:rPr>
          <w:szCs w:val="22"/>
        </w:rPr>
        <w:t xml:space="preserve">ble donc avoir marqué un retour aux interdictions ciblées, prévues au </w:t>
      </w:r>
      <w:r w:rsidRPr="006B209B">
        <w:rPr>
          <w:i/>
          <w:iCs/>
          <w:szCs w:val="22"/>
        </w:rPr>
        <w:t xml:space="preserve">Code criminel </w:t>
      </w:r>
      <w:r w:rsidRPr="006B209B">
        <w:rPr>
          <w:szCs w:val="22"/>
        </w:rPr>
        <w:t xml:space="preserve">et dans les </w:t>
      </w:r>
      <w:r w:rsidRPr="006B209B">
        <w:rPr>
          <w:i/>
          <w:iCs/>
          <w:szCs w:val="22"/>
        </w:rPr>
        <w:t xml:space="preserve">human rights codes. </w:t>
      </w:r>
      <w:r w:rsidRPr="006B209B">
        <w:rPr>
          <w:szCs w:val="22"/>
        </w:rPr>
        <w:t>En 2013, alors que le Parlement s'appr</w:t>
      </w:r>
      <w:r w:rsidRPr="006B209B">
        <w:rPr>
          <w:szCs w:val="22"/>
        </w:rPr>
        <w:t>ê</w:t>
      </w:r>
      <w:r w:rsidRPr="006B209B">
        <w:rPr>
          <w:szCs w:val="22"/>
        </w:rPr>
        <w:t xml:space="preserve">tait à abroger l'article 13 LCDP, la Cour suprême a consolidé avec son arrêt </w:t>
      </w:r>
      <w:r w:rsidRPr="00886FF0">
        <w:rPr>
          <w:i/>
          <w:iCs/>
          <w:szCs w:val="22"/>
        </w:rPr>
        <w:t>Whatcott </w:t>
      </w:r>
      <w:r>
        <w:rPr>
          <w:rStyle w:val="Appelnotedebasdep"/>
          <w:iCs/>
          <w:szCs w:val="22"/>
        </w:rPr>
        <w:footnoteReference w:id="58"/>
      </w:r>
      <w:r w:rsidRPr="006B209B">
        <w:rPr>
          <w:i/>
          <w:iCs/>
          <w:szCs w:val="22"/>
        </w:rPr>
        <w:t xml:space="preserve"> </w:t>
      </w:r>
      <w:r w:rsidRPr="006B209B">
        <w:rPr>
          <w:szCs w:val="22"/>
        </w:rPr>
        <w:t>la constitutionnalité des di</w:t>
      </w:r>
      <w:r w:rsidRPr="006B209B">
        <w:rPr>
          <w:szCs w:val="22"/>
        </w:rPr>
        <w:t>s</w:t>
      </w:r>
      <w:r w:rsidRPr="006B209B">
        <w:rPr>
          <w:szCs w:val="22"/>
        </w:rPr>
        <w:t xml:space="preserve">positions visant la haine dans les </w:t>
      </w:r>
      <w:r w:rsidRPr="006B209B">
        <w:rPr>
          <w:i/>
          <w:iCs/>
          <w:szCs w:val="22"/>
        </w:rPr>
        <w:t xml:space="preserve">human rights codes </w:t>
      </w:r>
      <w:r w:rsidRPr="006B209B">
        <w:rPr>
          <w:szCs w:val="22"/>
        </w:rPr>
        <w:t>(porteurs de sanctions civiles, r</w:t>
      </w:r>
      <w:r w:rsidRPr="006B209B">
        <w:rPr>
          <w:szCs w:val="22"/>
        </w:rPr>
        <w:t>é</w:t>
      </w:r>
      <w:r w:rsidRPr="006B209B">
        <w:rPr>
          <w:szCs w:val="22"/>
        </w:rPr>
        <w:t>glementaires et pénales, faut-il le rappeler). La Cour semble être arr</w:t>
      </w:r>
      <w:r w:rsidRPr="006B209B">
        <w:rPr>
          <w:szCs w:val="22"/>
        </w:rPr>
        <w:t>i</w:t>
      </w:r>
      <w:r w:rsidRPr="006B209B">
        <w:rPr>
          <w:szCs w:val="22"/>
        </w:rPr>
        <w:t>vée à un consensus quant à la justification des dispositions existantes, ainsi qu'à une définition de la haine. Elle était appelée à se prononcer sur la constitutionnalité de l'article 14(l)(b) de la Saskatchewan (SHRC), qui se lisait comme suit (tr</w:t>
      </w:r>
      <w:r w:rsidRPr="006B209B">
        <w:rPr>
          <w:szCs w:val="22"/>
        </w:rPr>
        <w:t>a</w:t>
      </w:r>
      <w:r w:rsidRPr="006B209B">
        <w:rPr>
          <w:szCs w:val="22"/>
        </w:rPr>
        <w:t>duction)</w:t>
      </w:r>
      <w:r>
        <w:rPr>
          <w:szCs w:val="22"/>
        </w:rPr>
        <w:t> :</w:t>
      </w:r>
    </w:p>
    <w:p w:rsidR="005F113F" w:rsidRDefault="005F113F" w:rsidP="005F113F">
      <w:pPr>
        <w:pStyle w:val="Citation0"/>
      </w:pPr>
    </w:p>
    <w:p w:rsidR="005F113F" w:rsidRPr="006B209B" w:rsidRDefault="005F113F" w:rsidP="005F113F">
      <w:pPr>
        <w:pStyle w:val="Citation0"/>
      </w:pPr>
      <w:r w:rsidRPr="006B209B">
        <w:t>14. (1) Nul ne doit publier ou exp</w:t>
      </w:r>
      <w:r w:rsidRPr="006B209B">
        <w:t>o</w:t>
      </w:r>
      <w:r w:rsidRPr="006B209B">
        <w:t>ser, ni permettre ni faire en sorte que soit publié ou exposé, sur un terrain ou dans un bâtiment, ou dans un jou</w:t>
      </w:r>
      <w:r w:rsidRPr="006B209B">
        <w:t>r</w:t>
      </w:r>
      <w:r w:rsidRPr="006B209B">
        <w:t>nal, par une station de télévision ou de r</w:t>
      </w:r>
      <w:r w:rsidRPr="006B209B">
        <w:t>a</w:t>
      </w:r>
      <w:r w:rsidRPr="006B209B">
        <w:t>diodiffusion ou par tout moyen de diffusion, ou dans tout document imprimé ou public</w:t>
      </w:r>
      <w:r w:rsidRPr="006B209B">
        <w:t>a</w:t>
      </w:r>
      <w:r w:rsidRPr="006B209B">
        <w:t>tion ou par tout autre moyen que la personne possède, dirige, distribue ou vend, une repr</w:t>
      </w:r>
      <w:r w:rsidRPr="006B209B">
        <w:t>é</w:t>
      </w:r>
      <w:r w:rsidRPr="006B209B">
        <w:t>sentation, que ce soit un avis, une affiche, un symbole, un emblème, un a</w:t>
      </w:r>
      <w:r w:rsidRPr="006B209B">
        <w:t>r</w:t>
      </w:r>
      <w:r w:rsidRPr="006B209B">
        <w:t>ticle, une déclaration ou toute autre représe</w:t>
      </w:r>
      <w:r w:rsidRPr="006B209B">
        <w:t>n</w:t>
      </w:r>
      <w:r w:rsidRPr="006B209B">
        <w:t>tation, qui</w:t>
      </w:r>
      <w:r>
        <w:t> :</w:t>
      </w:r>
    </w:p>
    <w:p w:rsidR="005F113F" w:rsidRDefault="005F113F" w:rsidP="005F113F">
      <w:pPr>
        <w:pStyle w:val="Citation0"/>
      </w:pPr>
      <w:r>
        <w:t>[450]</w:t>
      </w:r>
    </w:p>
    <w:p w:rsidR="005F113F" w:rsidRPr="006B209B" w:rsidRDefault="005F113F" w:rsidP="005F113F">
      <w:pPr>
        <w:pStyle w:val="Citation0"/>
      </w:pPr>
      <w:r w:rsidRPr="006B209B">
        <w:t>pour un motif de distinction illicite, tend ou est susceptible de tendre à pr</w:t>
      </w:r>
      <w:r w:rsidRPr="006B209B">
        <w:t>i</w:t>
      </w:r>
      <w:r w:rsidRPr="006B209B">
        <w:t>ver, diminuer ou autrement restreindre, la jouissance, par to</w:t>
      </w:r>
      <w:r w:rsidRPr="006B209B">
        <w:t>u</w:t>
      </w:r>
      <w:r w:rsidRPr="006B209B">
        <w:t>te personne ou catégorie de personnes, des droits qui lui sont r</w:t>
      </w:r>
      <w:r w:rsidRPr="006B209B">
        <w:t>e</w:t>
      </w:r>
      <w:r w:rsidRPr="006B209B">
        <w:t>connus par la loi</w:t>
      </w:r>
      <w:r>
        <w:t> ;</w:t>
      </w:r>
    </w:p>
    <w:p w:rsidR="005F113F" w:rsidRPr="006B209B" w:rsidRDefault="005F113F" w:rsidP="005F113F">
      <w:pPr>
        <w:pStyle w:val="Citation0"/>
      </w:pPr>
      <w:r w:rsidRPr="006B209B">
        <w:rPr>
          <w:u w:val="single"/>
        </w:rPr>
        <w:t>pour un motif de distinction illicite, expose ou tend à exposer une perso</w:t>
      </w:r>
      <w:r w:rsidRPr="006B209B">
        <w:rPr>
          <w:u w:val="single"/>
        </w:rPr>
        <w:t>n</w:t>
      </w:r>
      <w:r w:rsidRPr="006B209B">
        <w:rPr>
          <w:u w:val="single"/>
        </w:rPr>
        <w:t>ne ou une catégorie de personnes à la ha</w:t>
      </w:r>
      <w:r w:rsidRPr="006B209B">
        <w:rPr>
          <w:u w:val="single"/>
        </w:rPr>
        <w:t>i</w:t>
      </w:r>
      <w:r w:rsidRPr="006B209B">
        <w:rPr>
          <w:u w:val="single"/>
        </w:rPr>
        <w:t>ne, les ridiculise, les rabaisse ou porte par ailleurs atteinte à leur dignité.</w:t>
      </w:r>
    </w:p>
    <w:p w:rsidR="005F113F" w:rsidRDefault="005F113F" w:rsidP="005F113F">
      <w:pPr>
        <w:pStyle w:val="Citation0"/>
      </w:pPr>
      <w:r w:rsidRPr="006B209B">
        <w:t>[...] (Nous soulignons)</w:t>
      </w:r>
    </w:p>
    <w:p w:rsidR="005F113F" w:rsidRPr="006B209B" w:rsidRDefault="005F113F" w:rsidP="005F113F">
      <w:pPr>
        <w:pStyle w:val="Citation0"/>
      </w:pPr>
    </w:p>
    <w:p w:rsidR="005F113F" w:rsidRPr="006B209B" w:rsidRDefault="005F113F" w:rsidP="005F113F">
      <w:pPr>
        <w:spacing w:before="120" w:after="120"/>
        <w:jc w:val="both"/>
      </w:pPr>
      <w:r w:rsidRPr="006B209B">
        <w:rPr>
          <w:szCs w:val="22"/>
        </w:rPr>
        <w:t>En première instance, monsieur Whatcott avait été reconnu coup</w:t>
      </w:r>
      <w:r w:rsidRPr="006B209B">
        <w:rPr>
          <w:szCs w:val="22"/>
        </w:rPr>
        <w:t>a</w:t>
      </w:r>
      <w:r w:rsidRPr="006B209B">
        <w:rPr>
          <w:szCs w:val="22"/>
        </w:rPr>
        <w:t>ble de l'infraction susdite en lien avec quatre tracts, dont la Cour s</w:t>
      </w:r>
      <w:r w:rsidRPr="006B209B">
        <w:rPr>
          <w:szCs w:val="22"/>
        </w:rPr>
        <w:t>u</w:t>
      </w:r>
      <w:r w:rsidRPr="006B209B">
        <w:rPr>
          <w:szCs w:val="22"/>
        </w:rPr>
        <w:t>prême a retenu les deux suivants</w:t>
      </w:r>
      <w:r>
        <w:rPr>
          <w:szCs w:val="22"/>
        </w:rPr>
        <w:t> :</w:t>
      </w:r>
    </w:p>
    <w:p w:rsidR="005F113F" w:rsidRPr="006B209B" w:rsidRDefault="005F113F" w:rsidP="005F113F">
      <w:pPr>
        <w:pStyle w:val="p"/>
      </w:pPr>
      <w:r>
        <w:br w:type="page"/>
        <w:t>[451]</w:t>
      </w:r>
    </w:p>
    <w:p w:rsidR="005F113F" w:rsidRPr="006B209B" w:rsidRDefault="00BF2B3D" w:rsidP="005F113F">
      <w:pPr>
        <w:pStyle w:val="fig"/>
      </w:pPr>
      <w:r>
        <w:rPr>
          <w:noProof/>
        </w:rPr>
        <w:drawing>
          <wp:inline distT="0" distB="0" distL="0" distR="0">
            <wp:extent cx="4406900" cy="7150100"/>
            <wp:effectExtent l="25400" t="25400" r="12700" b="12700"/>
            <wp:docPr id="7" name="Image 7" descr="fig_p_451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ig_p_451_low"/>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06900" cy="7150100"/>
                    </a:xfrm>
                    <a:prstGeom prst="rect">
                      <a:avLst/>
                    </a:prstGeom>
                    <a:noFill/>
                    <a:ln w="19050" cmpd="sng">
                      <a:solidFill>
                        <a:srgbClr val="000000"/>
                      </a:solidFill>
                      <a:miter lim="800000"/>
                      <a:headEnd/>
                      <a:tailEnd/>
                    </a:ln>
                    <a:effectLst/>
                  </pic:spPr>
                </pic:pic>
              </a:graphicData>
            </a:graphic>
          </wp:inline>
        </w:drawing>
      </w:r>
    </w:p>
    <w:p w:rsidR="005F113F" w:rsidRDefault="005F113F" w:rsidP="005F113F">
      <w:pPr>
        <w:pStyle w:val="p"/>
      </w:pPr>
      <w:r>
        <w:br w:type="page"/>
        <w:t>[452]</w:t>
      </w:r>
    </w:p>
    <w:p w:rsidR="005F113F" w:rsidRDefault="005F113F" w:rsidP="005F113F">
      <w:pPr>
        <w:pStyle w:val="p"/>
      </w:pPr>
    </w:p>
    <w:p w:rsidR="005F113F" w:rsidRDefault="00BF2B3D" w:rsidP="005F113F">
      <w:pPr>
        <w:pStyle w:val="fig"/>
      </w:pPr>
      <w:r>
        <w:rPr>
          <w:noProof/>
        </w:rPr>
        <w:drawing>
          <wp:inline distT="0" distB="0" distL="0" distR="0">
            <wp:extent cx="5003800" cy="6642100"/>
            <wp:effectExtent l="25400" t="25400" r="12700" b="12700"/>
            <wp:docPr id="8" name="Image 8" descr="fig_p_452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ig_p_452_low"/>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03800" cy="6642100"/>
                    </a:xfrm>
                    <a:prstGeom prst="rect">
                      <a:avLst/>
                    </a:prstGeom>
                    <a:noFill/>
                    <a:ln w="19050" cmpd="sng">
                      <a:solidFill>
                        <a:srgbClr val="000000"/>
                      </a:solidFill>
                      <a:miter lim="800000"/>
                      <a:headEnd/>
                      <a:tailEnd/>
                    </a:ln>
                    <a:effectLst/>
                  </pic:spPr>
                </pic:pic>
              </a:graphicData>
            </a:graphic>
          </wp:inline>
        </w:drawing>
      </w:r>
    </w:p>
    <w:p w:rsidR="005F113F" w:rsidRDefault="005F113F" w:rsidP="005F113F">
      <w:pPr>
        <w:spacing w:before="120" w:after="120"/>
        <w:jc w:val="both"/>
      </w:pPr>
      <w:r>
        <w:br w:type="page"/>
        <w:t>[453]</w:t>
      </w:r>
    </w:p>
    <w:p w:rsidR="005F113F" w:rsidRPr="006B209B" w:rsidRDefault="005F113F" w:rsidP="005F113F">
      <w:pPr>
        <w:spacing w:before="120" w:after="120"/>
        <w:jc w:val="both"/>
      </w:pPr>
      <w:r w:rsidRPr="006B209B">
        <w:rPr>
          <w:szCs w:val="22"/>
        </w:rPr>
        <w:t>Monsieur Whatcott plaidait l'incon</w:t>
      </w:r>
      <w:r w:rsidRPr="006B209B">
        <w:rPr>
          <w:szCs w:val="22"/>
        </w:rPr>
        <w:t>s</w:t>
      </w:r>
      <w:r w:rsidRPr="006B209B">
        <w:rPr>
          <w:szCs w:val="22"/>
        </w:rPr>
        <w:t>titutionnalité de l'article 14(l)(b) SHRC, invoquant à la fois la liberté de religion en vertu de l'article 2(a) CCDL et la l</w:t>
      </w:r>
      <w:r w:rsidRPr="006B209B">
        <w:rPr>
          <w:szCs w:val="22"/>
        </w:rPr>
        <w:t>i</w:t>
      </w:r>
      <w:r w:rsidRPr="006B209B">
        <w:rPr>
          <w:szCs w:val="22"/>
        </w:rPr>
        <w:t xml:space="preserve">berté d'expression en vertu de l'article 2(b) CCDL. Sous les deux articles de la CCDL, la Cour suprême a conclu à la justification de l'article 14(l)(b) SHRC quant à la </w:t>
      </w:r>
      <w:r>
        <w:rPr>
          <w:szCs w:val="22"/>
        </w:rPr>
        <w:t>« </w:t>
      </w:r>
      <w:r w:rsidRPr="006B209B">
        <w:rPr>
          <w:szCs w:val="22"/>
        </w:rPr>
        <w:t>haine</w:t>
      </w:r>
      <w:r>
        <w:rPr>
          <w:szCs w:val="22"/>
        </w:rPr>
        <w:t> »</w:t>
      </w:r>
      <w:r w:rsidRPr="006B209B">
        <w:rPr>
          <w:szCs w:val="22"/>
        </w:rPr>
        <w:t xml:space="preserve">, mais non en ce qui </w:t>
      </w:r>
      <w:r>
        <w:rPr>
          <w:szCs w:val="22"/>
        </w:rPr>
        <w:t>« </w:t>
      </w:r>
      <w:r w:rsidRPr="006B209B">
        <w:rPr>
          <w:szCs w:val="22"/>
        </w:rPr>
        <w:t>ridiculise</w:t>
      </w:r>
      <w:r>
        <w:rPr>
          <w:szCs w:val="22"/>
        </w:rPr>
        <w:t> »</w:t>
      </w:r>
      <w:r w:rsidRPr="006B209B">
        <w:rPr>
          <w:szCs w:val="22"/>
        </w:rPr>
        <w:t xml:space="preserve">, </w:t>
      </w:r>
      <w:r>
        <w:rPr>
          <w:szCs w:val="22"/>
        </w:rPr>
        <w:t>« </w:t>
      </w:r>
      <w:r w:rsidRPr="006B209B">
        <w:rPr>
          <w:szCs w:val="22"/>
        </w:rPr>
        <w:t>rabaisse ou porte par ailleurs atteinte à l[a] dignité</w:t>
      </w:r>
      <w:r>
        <w:rPr>
          <w:szCs w:val="22"/>
        </w:rPr>
        <w:t> »</w:t>
      </w:r>
      <w:r w:rsidRPr="006B209B">
        <w:rPr>
          <w:szCs w:val="22"/>
        </w:rPr>
        <w:t xml:space="preserve"> des pe</w:t>
      </w:r>
      <w:r w:rsidRPr="006B209B">
        <w:rPr>
          <w:szCs w:val="22"/>
        </w:rPr>
        <w:t>r</w:t>
      </w:r>
      <w:r w:rsidRPr="006B209B">
        <w:rPr>
          <w:szCs w:val="22"/>
        </w:rPr>
        <w:t>sonnes ou catégories visées.</w:t>
      </w:r>
    </w:p>
    <w:p w:rsidR="005F113F" w:rsidRPr="006B209B" w:rsidRDefault="005F113F" w:rsidP="005F113F">
      <w:pPr>
        <w:spacing w:before="120" w:after="120"/>
        <w:jc w:val="both"/>
      </w:pPr>
      <w:r w:rsidRPr="006B209B">
        <w:rPr>
          <w:szCs w:val="22"/>
        </w:rPr>
        <w:t xml:space="preserve">La Cour suprême a aussi précisé la définition de la </w:t>
      </w:r>
      <w:r>
        <w:rPr>
          <w:szCs w:val="22"/>
        </w:rPr>
        <w:t>« </w:t>
      </w:r>
      <w:r w:rsidRPr="006B209B">
        <w:rPr>
          <w:szCs w:val="22"/>
        </w:rPr>
        <w:t>haine</w:t>
      </w:r>
      <w:r>
        <w:rPr>
          <w:szCs w:val="22"/>
        </w:rPr>
        <w:t> »</w:t>
      </w:r>
      <w:r w:rsidRPr="006B209B">
        <w:rPr>
          <w:szCs w:val="22"/>
        </w:rPr>
        <w:t xml:space="preserve"> élab</w:t>
      </w:r>
      <w:r w:rsidRPr="006B209B">
        <w:rPr>
          <w:szCs w:val="22"/>
        </w:rPr>
        <w:t>o</w:t>
      </w:r>
      <w:r w:rsidRPr="006B209B">
        <w:rPr>
          <w:szCs w:val="22"/>
        </w:rPr>
        <w:t xml:space="preserve">rée dans </w:t>
      </w:r>
      <w:r w:rsidRPr="006B209B">
        <w:rPr>
          <w:i/>
          <w:iCs/>
          <w:szCs w:val="22"/>
        </w:rPr>
        <w:t xml:space="preserve">Taylor, </w:t>
      </w:r>
      <w:r w:rsidRPr="006B209B">
        <w:rPr>
          <w:szCs w:val="22"/>
        </w:rPr>
        <w:t xml:space="preserve">en y retranchant le </w:t>
      </w:r>
      <w:r>
        <w:rPr>
          <w:szCs w:val="22"/>
        </w:rPr>
        <w:t>« </w:t>
      </w:r>
      <w:r w:rsidRPr="006B209B">
        <w:rPr>
          <w:szCs w:val="22"/>
        </w:rPr>
        <w:t>mépris</w:t>
      </w:r>
      <w:r>
        <w:rPr>
          <w:szCs w:val="22"/>
        </w:rPr>
        <w:t> »</w:t>
      </w:r>
      <w:r w:rsidRPr="006B209B">
        <w:rPr>
          <w:szCs w:val="22"/>
        </w:rPr>
        <w:t xml:space="preserve"> et la </w:t>
      </w:r>
      <w:r>
        <w:rPr>
          <w:szCs w:val="22"/>
        </w:rPr>
        <w:t>« </w:t>
      </w:r>
      <w:r w:rsidRPr="006B209B">
        <w:rPr>
          <w:szCs w:val="22"/>
        </w:rPr>
        <w:t>calomnie</w:t>
      </w:r>
      <w:r>
        <w:rPr>
          <w:szCs w:val="22"/>
        </w:rPr>
        <w:t> » :</w:t>
      </w:r>
    </w:p>
    <w:p w:rsidR="005F113F" w:rsidRDefault="005F113F" w:rsidP="005F113F">
      <w:pPr>
        <w:pStyle w:val="Citation0"/>
      </w:pPr>
    </w:p>
    <w:p w:rsidR="005F113F" w:rsidRPr="006B209B" w:rsidRDefault="005F113F" w:rsidP="005F113F">
      <w:pPr>
        <w:pStyle w:val="Citation0"/>
      </w:pPr>
      <w:r w:rsidRPr="006B209B">
        <w:t xml:space="preserve">[40] Le juge en chef Dickson analyse le sens des mots </w:t>
      </w:r>
      <w:r>
        <w:t>« </w:t>
      </w:r>
      <w:r w:rsidRPr="006B209B">
        <w:t>haine</w:t>
      </w:r>
      <w:r>
        <w:t> »</w:t>
      </w:r>
      <w:r w:rsidRPr="006B209B">
        <w:t xml:space="preserve"> et </w:t>
      </w:r>
      <w:r>
        <w:t>« </w:t>
      </w:r>
      <w:r w:rsidRPr="006B209B">
        <w:t>mépris</w:t>
      </w:r>
      <w:r>
        <w:t> »</w:t>
      </w:r>
      <w:r w:rsidRPr="006B209B">
        <w:t xml:space="preserve"> employés au par. 13(1). [...] Le tribunal est arrivé à la concl</w:t>
      </w:r>
      <w:r w:rsidRPr="006B209B">
        <w:t>u</w:t>
      </w:r>
      <w:r w:rsidRPr="006B209B">
        <w:t xml:space="preserve">sion que la </w:t>
      </w:r>
      <w:r>
        <w:t>« </w:t>
      </w:r>
      <w:r w:rsidRPr="006B209B">
        <w:t>haine</w:t>
      </w:r>
      <w:r>
        <w:t> »</w:t>
      </w:r>
      <w:r w:rsidRPr="006B209B">
        <w:t xml:space="preserve"> correspond à un sentiment de détestation, de malice extrême qui n'admet chez la personne visée aucune qualité qui rachète ses défauts, tandis que le </w:t>
      </w:r>
      <w:r>
        <w:t>« </w:t>
      </w:r>
      <w:r w:rsidRPr="006B209B">
        <w:t>mépris</w:t>
      </w:r>
      <w:r>
        <w:t> »</w:t>
      </w:r>
      <w:r w:rsidRPr="006B209B">
        <w:t xml:space="preserve"> s'entend de la conde</w:t>
      </w:r>
      <w:r w:rsidRPr="006B209B">
        <w:t>s</w:t>
      </w:r>
      <w:r w:rsidRPr="006B209B">
        <w:t>cendance manifestée à l'égard d'une personne ou du traitement d'inf</w:t>
      </w:r>
      <w:r w:rsidRPr="006B209B">
        <w:t>é</w:t>
      </w:r>
      <w:r w:rsidRPr="006B209B">
        <w:t>riorité qu'on lui réserve. Le juge en chef Dic</w:t>
      </w:r>
      <w:r w:rsidRPr="006B209B">
        <w:t>k</w:t>
      </w:r>
      <w:r w:rsidRPr="006B209B">
        <w:t xml:space="preserve">son estime que, selon le tribunal, le par. 13(1) vise donc </w:t>
      </w:r>
      <w:r>
        <w:t>« </w:t>
      </w:r>
      <w:r w:rsidRPr="006B209B">
        <w:t>des émotions exceptionnellement fortes et profondes de d</w:t>
      </w:r>
      <w:r w:rsidRPr="006B209B">
        <w:t>é</w:t>
      </w:r>
      <w:r w:rsidRPr="006B209B">
        <w:t>testation se traduisant par des calomnies et la diffamation</w:t>
      </w:r>
      <w:r>
        <w:t> » :</w:t>
      </w:r>
      <w:r w:rsidRPr="006B209B">
        <w:t xml:space="preserve"> </w:t>
      </w:r>
      <w:r w:rsidRPr="006B209B">
        <w:rPr>
          <w:i/>
          <w:iCs/>
        </w:rPr>
        <w:t xml:space="preserve">Taylor, </w:t>
      </w:r>
      <w:r w:rsidRPr="006B209B">
        <w:t>p. 928. L'inte</w:t>
      </w:r>
      <w:r w:rsidRPr="006B209B">
        <w:t>r</w:t>
      </w:r>
      <w:r w:rsidRPr="006B209B">
        <w:t>diction légale ne devrait donc s'appliquer qu'à des propos de nature inus</w:t>
      </w:r>
      <w:r w:rsidRPr="006B209B">
        <w:t>i</w:t>
      </w:r>
      <w:r w:rsidRPr="006B209B">
        <w:t>tée et extrême.</w:t>
      </w:r>
    </w:p>
    <w:p w:rsidR="005F113F" w:rsidRPr="006B209B" w:rsidRDefault="005F113F" w:rsidP="005F113F">
      <w:pPr>
        <w:pStyle w:val="Citation0"/>
      </w:pPr>
      <w:r w:rsidRPr="006B209B">
        <w:t xml:space="preserve">[41] À mon avis, les mots </w:t>
      </w:r>
      <w:r>
        <w:t>« </w:t>
      </w:r>
      <w:r w:rsidRPr="006B209B">
        <w:t>détestation</w:t>
      </w:r>
      <w:r>
        <w:t> »</w:t>
      </w:r>
      <w:r w:rsidRPr="006B209B">
        <w:t xml:space="preserve"> et </w:t>
      </w:r>
      <w:r>
        <w:t>« </w:t>
      </w:r>
      <w:r w:rsidRPr="006B209B">
        <w:t>diffamation</w:t>
      </w:r>
      <w:r>
        <w:t> »</w:t>
      </w:r>
      <w:r w:rsidRPr="006B209B">
        <w:t xml:space="preserve"> décr</w:t>
      </w:r>
      <w:r w:rsidRPr="006B209B">
        <w:t>i</w:t>
      </w:r>
      <w:r w:rsidRPr="006B209B">
        <w:t>vent bien l'effet préjudiciable que le Code vise à éliminer. Les mots qui e</w:t>
      </w:r>
      <w:r w:rsidRPr="006B209B">
        <w:t>x</w:t>
      </w:r>
      <w:r w:rsidRPr="006B209B">
        <w:t>posent un groupe ciblé à la détestation tendent à inspirer, d'une manière qui excède le simple dédain ou l'aversion, l'inimitié et une malice extrême envers le groupe. Les messages diffamatoires che</w:t>
      </w:r>
      <w:r w:rsidRPr="006B209B">
        <w:t>r</w:t>
      </w:r>
      <w:r w:rsidRPr="006B209B">
        <w:t>chent à insulter, à déconsidérer ou à dénigrer la personne ou le groupe ciblé pour le rendre illégitime, dang</w:t>
      </w:r>
      <w:r w:rsidRPr="006B209B">
        <w:t>e</w:t>
      </w:r>
      <w:r w:rsidRPr="006B209B">
        <w:t>reux, ignoble ou inacceptable aux yeux du destinataire. Les messages qui exposent des groupes vulnér</w:t>
      </w:r>
      <w:r w:rsidRPr="006B209B">
        <w:t>a</w:t>
      </w:r>
      <w:r w:rsidRPr="006B209B">
        <w:t>bles à la détestation et la diffamation vont bien plus loin que simplement discréditer, humilier ou offenser les vict</w:t>
      </w:r>
      <w:r w:rsidRPr="006B209B">
        <w:t>i</w:t>
      </w:r>
      <w:r w:rsidRPr="006B209B">
        <w:t>mes.</w:t>
      </w:r>
    </w:p>
    <w:p w:rsidR="005F113F" w:rsidRPr="006B209B" w:rsidRDefault="005F113F" w:rsidP="005F113F">
      <w:pPr>
        <w:pStyle w:val="Citation0"/>
      </w:pPr>
      <w:r w:rsidRPr="006B209B">
        <w:t>[42] Par contre, l'allusion à la calomnie que l'on trouve dans la d</w:t>
      </w:r>
      <w:r w:rsidRPr="006B209B">
        <w:t>é</w:t>
      </w:r>
      <w:r w:rsidRPr="006B209B">
        <w:t xml:space="preserve">finition proposée dans l'arrêt </w:t>
      </w:r>
      <w:r w:rsidRPr="006B209B">
        <w:rPr>
          <w:i/>
          <w:iCs/>
        </w:rPr>
        <w:t xml:space="preserve">Taylor </w:t>
      </w:r>
      <w:r w:rsidRPr="006B209B">
        <w:t xml:space="preserve">est inutile. La </w:t>
      </w:r>
      <w:r>
        <w:t>« </w:t>
      </w:r>
      <w:r w:rsidRPr="006B209B">
        <w:t>calomnie</w:t>
      </w:r>
      <w:r>
        <w:t> »</w:t>
      </w:r>
      <w:r w:rsidRPr="006B209B">
        <w:t xml:space="preserve"> se définit comme une </w:t>
      </w:r>
      <w:r>
        <w:t>« </w:t>
      </w:r>
      <w:r w:rsidRPr="006B209B">
        <w:t>[i]mputation mensongère qui attente à la réput</w:t>
      </w:r>
      <w:r w:rsidRPr="006B209B">
        <w:t>a</w:t>
      </w:r>
      <w:r w:rsidRPr="006B209B">
        <w:t>tion, à l'honneur (de [quelqu'un])</w:t>
      </w:r>
      <w:r>
        <w:t> » :</w:t>
      </w:r>
      <w:r w:rsidRPr="006B209B">
        <w:t xml:space="preserve"> </w:t>
      </w:r>
      <w:r w:rsidRPr="006B209B">
        <w:rPr>
          <w:i/>
          <w:iCs/>
        </w:rPr>
        <w:t>Le Grand Robert de la la</w:t>
      </w:r>
      <w:r w:rsidRPr="006B209B">
        <w:rPr>
          <w:i/>
          <w:iCs/>
        </w:rPr>
        <w:t>n</w:t>
      </w:r>
      <w:r w:rsidRPr="006B209B">
        <w:rPr>
          <w:i/>
          <w:iCs/>
        </w:rPr>
        <w:t xml:space="preserve">gue française </w:t>
      </w:r>
      <w:r w:rsidRPr="006B209B">
        <w:t>(en ligne). Bien que les propos haineux reprennent souvent des déclarations mensongères et incendiaires et de fausses déclar</w:t>
      </w:r>
      <w:r w:rsidRPr="006B209B">
        <w:t>a</w:t>
      </w:r>
      <w:r w:rsidRPr="006B209B">
        <w:t>tions pour convaincre et galvaniser les personnes à qui ils</w:t>
      </w:r>
      <w:r>
        <w:t xml:space="preserve"> [454] </w:t>
      </w:r>
      <w:r w:rsidRPr="006B209B">
        <w:rPr>
          <w:szCs w:val="18"/>
        </w:rPr>
        <w:t>s'adressent, le recours à ces outils n'est pas néce</w:t>
      </w:r>
      <w:r w:rsidRPr="006B209B">
        <w:rPr>
          <w:szCs w:val="18"/>
        </w:rPr>
        <w:t>s</w:t>
      </w:r>
      <w:r w:rsidRPr="006B209B">
        <w:rPr>
          <w:szCs w:val="18"/>
        </w:rPr>
        <w:t>saire pour qu'on puisse conclure que les propos en cause exposent le gro</w:t>
      </w:r>
      <w:r w:rsidRPr="006B209B">
        <w:rPr>
          <w:szCs w:val="18"/>
        </w:rPr>
        <w:t>u</w:t>
      </w:r>
      <w:r w:rsidRPr="006B209B">
        <w:rPr>
          <w:szCs w:val="18"/>
        </w:rPr>
        <w:t>pe ciblé à la haine. Les fausses déclarations ne suffiraient pas non plus à elles seules à constituer des pr</w:t>
      </w:r>
      <w:r w:rsidRPr="006B209B">
        <w:rPr>
          <w:szCs w:val="18"/>
        </w:rPr>
        <w:t>o</w:t>
      </w:r>
      <w:r w:rsidRPr="006B209B">
        <w:rPr>
          <w:szCs w:val="18"/>
        </w:rPr>
        <w:t xml:space="preserve">pos haineux. Compte tenu du fait que le mot </w:t>
      </w:r>
      <w:r>
        <w:rPr>
          <w:szCs w:val="18"/>
        </w:rPr>
        <w:t>« </w:t>
      </w:r>
      <w:r w:rsidRPr="006B209B">
        <w:rPr>
          <w:szCs w:val="18"/>
        </w:rPr>
        <w:t>calomnie</w:t>
      </w:r>
      <w:r>
        <w:rPr>
          <w:szCs w:val="18"/>
        </w:rPr>
        <w:t> »</w:t>
      </w:r>
      <w:r w:rsidRPr="006B209B">
        <w:rPr>
          <w:szCs w:val="18"/>
        </w:rPr>
        <w:t xml:space="preserve"> n'est plus couramment employé dans le langage de tous les jours, j'estime qu'il n'est pas nécessaire de l'inclure dans la définition de la ha</w:t>
      </w:r>
      <w:r w:rsidRPr="006B209B">
        <w:rPr>
          <w:szCs w:val="18"/>
        </w:rPr>
        <w:t>i</w:t>
      </w:r>
      <w:r w:rsidRPr="006B209B">
        <w:rPr>
          <w:szCs w:val="18"/>
        </w:rPr>
        <w:t>ne.</w:t>
      </w:r>
    </w:p>
    <w:p w:rsidR="005F113F" w:rsidRPr="006B209B" w:rsidRDefault="005F113F" w:rsidP="005F113F">
      <w:pPr>
        <w:pStyle w:val="Citation0"/>
      </w:pPr>
      <w:r w:rsidRPr="006B209B">
        <w:rPr>
          <w:szCs w:val="18"/>
        </w:rPr>
        <w:t>[43] Ce ne sont pas toutes les disp</w:t>
      </w:r>
      <w:r w:rsidRPr="006B209B">
        <w:rPr>
          <w:szCs w:val="18"/>
        </w:rPr>
        <w:t>o</w:t>
      </w:r>
      <w:r w:rsidRPr="006B209B">
        <w:rPr>
          <w:szCs w:val="18"/>
        </w:rPr>
        <w:t xml:space="preserve">sitions interdisant les propos haineux qui emploient le mot </w:t>
      </w:r>
      <w:r>
        <w:rPr>
          <w:szCs w:val="18"/>
        </w:rPr>
        <w:t>« </w:t>
      </w:r>
      <w:r w:rsidRPr="006B209B">
        <w:rPr>
          <w:szCs w:val="18"/>
        </w:rPr>
        <w:t>mépris</w:t>
      </w:r>
      <w:r>
        <w:rPr>
          <w:szCs w:val="18"/>
        </w:rPr>
        <w:t> »</w:t>
      </w:r>
      <w:r w:rsidRPr="006B209B">
        <w:rPr>
          <w:szCs w:val="18"/>
        </w:rPr>
        <w:t xml:space="preserve">, et ce dernier ne figure pas à l'ai. 14(l)(b) du Code. Dans l'affaire </w:t>
      </w:r>
      <w:r w:rsidRPr="006B209B">
        <w:rPr>
          <w:i/>
          <w:iCs/>
          <w:szCs w:val="18"/>
        </w:rPr>
        <w:t xml:space="preserve">Nealy, </w:t>
      </w:r>
      <w:r w:rsidRPr="006B209B">
        <w:rPr>
          <w:szCs w:val="18"/>
        </w:rPr>
        <w:t xml:space="preserve">le tribunal a signalé que la notion de </w:t>
      </w:r>
      <w:r>
        <w:rPr>
          <w:szCs w:val="18"/>
        </w:rPr>
        <w:t>« </w:t>
      </w:r>
      <w:r w:rsidRPr="006B209B">
        <w:rPr>
          <w:szCs w:val="18"/>
        </w:rPr>
        <w:t>haine</w:t>
      </w:r>
      <w:r>
        <w:rPr>
          <w:szCs w:val="18"/>
        </w:rPr>
        <w:t> »</w:t>
      </w:r>
      <w:r w:rsidRPr="006B209B">
        <w:rPr>
          <w:szCs w:val="18"/>
        </w:rPr>
        <w:t xml:space="preserve"> n'exige pas un motif particulier justifiant ce</w:t>
      </w:r>
      <w:r w:rsidRPr="006B209B">
        <w:rPr>
          <w:szCs w:val="18"/>
        </w:rPr>
        <w:t>t</w:t>
      </w:r>
      <w:r w:rsidRPr="006B209B">
        <w:rPr>
          <w:szCs w:val="18"/>
        </w:rPr>
        <w:t xml:space="preserve">te émotion et que le mot </w:t>
      </w:r>
      <w:r>
        <w:rPr>
          <w:szCs w:val="18"/>
        </w:rPr>
        <w:t>« </w:t>
      </w:r>
      <w:r w:rsidRPr="006B209B">
        <w:rPr>
          <w:szCs w:val="18"/>
        </w:rPr>
        <w:t>mépris</w:t>
      </w:r>
      <w:r>
        <w:rPr>
          <w:szCs w:val="18"/>
        </w:rPr>
        <w:t> »</w:t>
      </w:r>
      <w:r w:rsidRPr="006B209B">
        <w:rPr>
          <w:szCs w:val="18"/>
        </w:rPr>
        <w:t xml:space="preserve"> ajoute un élément de condescenda</w:t>
      </w:r>
      <w:r w:rsidRPr="006B209B">
        <w:rPr>
          <w:szCs w:val="18"/>
        </w:rPr>
        <w:t>n</w:t>
      </w:r>
      <w:r w:rsidRPr="006B209B">
        <w:rPr>
          <w:szCs w:val="18"/>
        </w:rPr>
        <w:t>ce envers le sujet ou d'infériorité de ce dernier. Bien que je sois d'a</w:t>
      </w:r>
      <w:r w:rsidRPr="006B209B">
        <w:rPr>
          <w:szCs w:val="18"/>
        </w:rPr>
        <w:t>c</w:t>
      </w:r>
      <w:r w:rsidRPr="006B209B">
        <w:rPr>
          <w:szCs w:val="18"/>
        </w:rPr>
        <w:t xml:space="preserve">cord avec le tribunal pour dire que l'on peut haïr une personne que l'on considère </w:t>
      </w:r>
      <w:r>
        <w:rPr>
          <w:szCs w:val="18"/>
        </w:rPr>
        <w:t>« </w:t>
      </w:r>
      <w:r w:rsidRPr="006B209B">
        <w:rPr>
          <w:szCs w:val="18"/>
        </w:rPr>
        <w:t>supérieure</w:t>
      </w:r>
      <w:r>
        <w:rPr>
          <w:szCs w:val="18"/>
        </w:rPr>
        <w:t> »</w:t>
      </w:r>
      <w:r w:rsidRPr="006B209B">
        <w:rPr>
          <w:szCs w:val="18"/>
        </w:rPr>
        <w:t xml:space="preserve">, à mon avis, le mot </w:t>
      </w:r>
      <w:r>
        <w:rPr>
          <w:szCs w:val="18"/>
        </w:rPr>
        <w:t>« </w:t>
      </w:r>
      <w:r w:rsidRPr="006B209B">
        <w:rPr>
          <w:szCs w:val="18"/>
        </w:rPr>
        <w:t>haine</w:t>
      </w:r>
      <w:r>
        <w:rPr>
          <w:szCs w:val="18"/>
        </w:rPr>
        <w:t> »</w:t>
      </w:r>
      <w:r w:rsidRPr="006B209B">
        <w:rPr>
          <w:szCs w:val="18"/>
        </w:rPr>
        <w:t xml:space="preserve"> employé dans le contexte des droits de la pe</w:t>
      </w:r>
      <w:r w:rsidRPr="006B209B">
        <w:rPr>
          <w:szCs w:val="18"/>
        </w:rPr>
        <w:t>r</w:t>
      </w:r>
      <w:r w:rsidRPr="006B209B">
        <w:rPr>
          <w:szCs w:val="18"/>
        </w:rPr>
        <w:t>sonne connote notamment la condescendance ou le dénigrement. La di</w:t>
      </w:r>
      <w:r w:rsidRPr="006B209B">
        <w:rPr>
          <w:szCs w:val="18"/>
        </w:rPr>
        <w:t>f</w:t>
      </w:r>
      <w:r w:rsidRPr="006B209B">
        <w:rPr>
          <w:szCs w:val="18"/>
        </w:rPr>
        <w:t>famation d'une personne ou d'un groupe implique de lui prêter des caract</w:t>
      </w:r>
      <w:r w:rsidRPr="006B209B">
        <w:rPr>
          <w:szCs w:val="18"/>
        </w:rPr>
        <w:t>é</w:t>
      </w:r>
      <w:r w:rsidRPr="006B209B">
        <w:rPr>
          <w:szCs w:val="18"/>
        </w:rPr>
        <w:t>ristiques répugnantes, des lacunes intrinsèques ou des tendances immor</w:t>
      </w:r>
      <w:r w:rsidRPr="006B209B">
        <w:rPr>
          <w:szCs w:val="18"/>
        </w:rPr>
        <w:t>a</w:t>
      </w:r>
      <w:r w:rsidRPr="006B209B">
        <w:rPr>
          <w:szCs w:val="18"/>
        </w:rPr>
        <w:t xml:space="preserve">les d'une nature à ce point vile que le diffamateur ne saurait les partager. Même si le mot </w:t>
      </w:r>
      <w:r>
        <w:rPr>
          <w:szCs w:val="18"/>
        </w:rPr>
        <w:t>« </w:t>
      </w:r>
      <w:r w:rsidRPr="006B209B">
        <w:rPr>
          <w:szCs w:val="18"/>
        </w:rPr>
        <w:t>mépris</w:t>
      </w:r>
      <w:r>
        <w:rPr>
          <w:szCs w:val="18"/>
        </w:rPr>
        <w:t> »</w:t>
      </w:r>
      <w:r w:rsidRPr="006B209B">
        <w:rPr>
          <w:szCs w:val="18"/>
        </w:rPr>
        <w:t xml:space="preserve"> ne figure pas à la disposition prohibitive, le fait de dénigrer un groupe en le qualifiant d'i</w:t>
      </w:r>
      <w:r w:rsidRPr="006B209B">
        <w:rPr>
          <w:szCs w:val="18"/>
        </w:rPr>
        <w:t>n</w:t>
      </w:r>
      <w:r w:rsidRPr="006B209B">
        <w:rPr>
          <w:szCs w:val="18"/>
        </w:rPr>
        <w:t>digne, d'inutile ou d'inférieur peut contribuer à en exposer les membres à la haine. En dénigrant ainsi le groupe ciblé, on atténue sa crédibilité, sa situation sociale et son accept</w:t>
      </w:r>
      <w:r w:rsidRPr="006B209B">
        <w:rPr>
          <w:szCs w:val="18"/>
        </w:rPr>
        <w:t>a</w:t>
      </w:r>
      <w:r w:rsidRPr="006B209B">
        <w:rPr>
          <w:szCs w:val="18"/>
        </w:rPr>
        <w:t>tion au sein de la société. Il s'agit là de l'un des principaux aspects du pr</w:t>
      </w:r>
      <w:r w:rsidRPr="006B209B">
        <w:rPr>
          <w:szCs w:val="18"/>
        </w:rPr>
        <w:t>é</w:t>
      </w:r>
      <w:r w:rsidRPr="006B209B">
        <w:rPr>
          <w:szCs w:val="18"/>
        </w:rPr>
        <w:t>judice social que causent les propos haineux.</w:t>
      </w:r>
    </w:p>
    <w:p w:rsidR="005F113F" w:rsidRPr="006B209B" w:rsidRDefault="005F113F" w:rsidP="005F113F">
      <w:pPr>
        <w:pStyle w:val="Citation0"/>
      </w:pPr>
      <w:r w:rsidRPr="006B209B">
        <w:rPr>
          <w:szCs w:val="18"/>
        </w:rPr>
        <w:t xml:space="preserve">[44] Depuis l'arrêt </w:t>
      </w:r>
      <w:r w:rsidRPr="006B209B">
        <w:rPr>
          <w:i/>
          <w:iCs/>
          <w:szCs w:val="18"/>
        </w:rPr>
        <w:t xml:space="preserve">Taylor, </w:t>
      </w:r>
      <w:r w:rsidRPr="006B209B">
        <w:rPr>
          <w:szCs w:val="18"/>
        </w:rPr>
        <w:t>la défin</w:t>
      </w:r>
      <w:r w:rsidRPr="006B209B">
        <w:rPr>
          <w:szCs w:val="18"/>
        </w:rPr>
        <w:t>i</w:t>
      </w:r>
      <w:r w:rsidRPr="006B209B">
        <w:rPr>
          <w:szCs w:val="18"/>
        </w:rPr>
        <w:t xml:space="preserve">tion des propos haineux a fait l'objet d'une abondante. Le type de mots et les moyens employés pour exposer des groupes à la haine ont été résumés sous la rubrique des </w:t>
      </w:r>
      <w:r>
        <w:rPr>
          <w:szCs w:val="18"/>
        </w:rPr>
        <w:t>« </w:t>
      </w:r>
      <w:r w:rsidRPr="006B209B">
        <w:rPr>
          <w:szCs w:val="18"/>
        </w:rPr>
        <w:t>thèmes di</w:t>
      </w:r>
      <w:r w:rsidRPr="006B209B">
        <w:rPr>
          <w:szCs w:val="18"/>
        </w:rPr>
        <w:t>s</w:t>
      </w:r>
      <w:r w:rsidRPr="006B209B">
        <w:rPr>
          <w:szCs w:val="18"/>
        </w:rPr>
        <w:t>tinctifs des messages haineux</w:t>
      </w:r>
      <w:r>
        <w:rPr>
          <w:szCs w:val="18"/>
        </w:rPr>
        <w:t> »</w:t>
      </w:r>
      <w:r w:rsidRPr="006B209B">
        <w:rPr>
          <w:szCs w:val="18"/>
        </w:rPr>
        <w:t xml:space="preserve"> énumérés dans la décision </w:t>
      </w:r>
      <w:r w:rsidRPr="006B209B">
        <w:rPr>
          <w:i/>
          <w:iCs/>
          <w:szCs w:val="18"/>
        </w:rPr>
        <w:t xml:space="preserve">Warman </w:t>
      </w:r>
      <w:r w:rsidRPr="006B209B">
        <w:rPr>
          <w:szCs w:val="18"/>
        </w:rPr>
        <w:t xml:space="preserve">c. </w:t>
      </w:r>
      <w:r w:rsidRPr="006B209B">
        <w:rPr>
          <w:i/>
          <w:iCs/>
          <w:szCs w:val="18"/>
        </w:rPr>
        <w:t xml:space="preserve">Kouba, </w:t>
      </w:r>
      <w:r w:rsidRPr="006B209B">
        <w:rPr>
          <w:szCs w:val="18"/>
        </w:rPr>
        <w:t>2006 TCDP 50 (CanLII), par. 24-81. Les propos haineux diff</w:t>
      </w:r>
      <w:r w:rsidRPr="006B209B">
        <w:rPr>
          <w:szCs w:val="18"/>
        </w:rPr>
        <w:t>a</w:t>
      </w:r>
      <w:r w:rsidRPr="006B209B">
        <w:rPr>
          <w:szCs w:val="18"/>
        </w:rPr>
        <w:t>ment souvent le groupe visé en reprochant à ses me</w:t>
      </w:r>
      <w:r w:rsidRPr="006B209B">
        <w:rPr>
          <w:szCs w:val="18"/>
        </w:rPr>
        <w:t>m</w:t>
      </w:r>
      <w:r w:rsidRPr="006B209B">
        <w:rPr>
          <w:szCs w:val="18"/>
        </w:rPr>
        <w:t>bres d'être la cause des problèmes actuels de la s</w:t>
      </w:r>
      <w:r w:rsidRPr="006B209B">
        <w:rPr>
          <w:szCs w:val="18"/>
        </w:rPr>
        <w:t>o</w:t>
      </w:r>
      <w:r w:rsidRPr="006B209B">
        <w:rPr>
          <w:szCs w:val="18"/>
        </w:rPr>
        <w:t xml:space="preserve">ciété, et prétendent qu'ils constituent une </w:t>
      </w:r>
      <w:r>
        <w:rPr>
          <w:szCs w:val="18"/>
        </w:rPr>
        <w:t>« </w:t>
      </w:r>
      <w:r w:rsidRPr="006B209B">
        <w:rPr>
          <w:szCs w:val="18"/>
        </w:rPr>
        <w:t>puissante menace</w:t>
      </w:r>
      <w:r>
        <w:rPr>
          <w:szCs w:val="18"/>
        </w:rPr>
        <w:t> »</w:t>
      </w:r>
      <w:r w:rsidRPr="006B209B">
        <w:rPr>
          <w:szCs w:val="18"/>
        </w:rPr>
        <w:t xml:space="preserve"> (par. 24)</w:t>
      </w:r>
      <w:r>
        <w:rPr>
          <w:szCs w:val="18"/>
        </w:rPr>
        <w:t> ;</w:t>
      </w:r>
      <w:r w:rsidRPr="006B209B">
        <w:rPr>
          <w:szCs w:val="18"/>
        </w:rPr>
        <w:t xml:space="preserve"> qu'ils compl</w:t>
      </w:r>
      <w:r w:rsidRPr="006B209B">
        <w:rPr>
          <w:szCs w:val="18"/>
        </w:rPr>
        <w:t>o</w:t>
      </w:r>
      <w:r w:rsidRPr="006B209B">
        <w:rPr>
          <w:szCs w:val="18"/>
        </w:rPr>
        <w:t xml:space="preserve">tent en secret pour en arriver à contrôler le monde </w:t>
      </w:r>
      <w:r w:rsidRPr="006B209B">
        <w:rPr>
          <w:i/>
          <w:iCs/>
          <w:szCs w:val="18"/>
        </w:rPr>
        <w:t xml:space="preserve">(Citron </w:t>
      </w:r>
      <w:r w:rsidRPr="006B209B">
        <w:rPr>
          <w:szCs w:val="18"/>
        </w:rPr>
        <w:t xml:space="preserve">c. </w:t>
      </w:r>
      <w:r>
        <w:rPr>
          <w:i/>
          <w:iCs/>
          <w:szCs w:val="18"/>
        </w:rPr>
        <w:t>Zü</w:t>
      </w:r>
      <w:r w:rsidRPr="006B209B">
        <w:rPr>
          <w:i/>
          <w:iCs/>
          <w:szCs w:val="18"/>
        </w:rPr>
        <w:t>n</w:t>
      </w:r>
      <w:r w:rsidRPr="006B209B">
        <w:rPr>
          <w:i/>
          <w:iCs/>
          <w:szCs w:val="18"/>
        </w:rPr>
        <w:t xml:space="preserve">del </w:t>
      </w:r>
      <w:r w:rsidRPr="006B209B">
        <w:rPr>
          <w:szCs w:val="18"/>
        </w:rPr>
        <w:t>(No. 4), (2002), 41 C.H.R.R. D/274 (T.C.D.P.))</w:t>
      </w:r>
      <w:r>
        <w:rPr>
          <w:szCs w:val="18"/>
        </w:rPr>
        <w:t> ;</w:t>
      </w:r>
      <w:r w:rsidRPr="006B209B">
        <w:rPr>
          <w:szCs w:val="18"/>
        </w:rPr>
        <w:t xml:space="preserve"> ou qu'ils complotent pour détruire la civilisation occidentale </w:t>
      </w:r>
      <w:r>
        <w:rPr>
          <w:szCs w:val="18"/>
        </w:rPr>
        <w:t>(</w:t>
      </w:r>
      <w:r w:rsidRPr="006B209B">
        <w:rPr>
          <w:i/>
          <w:iCs/>
          <w:szCs w:val="18"/>
        </w:rPr>
        <w:t xml:space="preserve">Taylor). </w:t>
      </w:r>
      <w:r w:rsidRPr="006B209B">
        <w:rPr>
          <w:szCs w:val="18"/>
        </w:rPr>
        <w:t>Les propos haineux dénigrent également les groupes ciblés en laissant entendre que la situation de leurs me</w:t>
      </w:r>
      <w:r w:rsidRPr="006B209B">
        <w:rPr>
          <w:szCs w:val="18"/>
        </w:rPr>
        <w:t>m</w:t>
      </w:r>
      <w:r w:rsidRPr="006B209B">
        <w:rPr>
          <w:szCs w:val="18"/>
        </w:rPr>
        <w:t xml:space="preserve">bres est illégale ou qu'ils se livrent à des activités illicites, par exemple en les présentant comme </w:t>
      </w:r>
      <w:r>
        <w:rPr>
          <w:szCs w:val="18"/>
        </w:rPr>
        <w:t>« </w:t>
      </w:r>
      <w:r w:rsidRPr="006B209B">
        <w:rPr>
          <w:szCs w:val="18"/>
        </w:rPr>
        <w:t>des menteurs, des tricheurs, des criminels et des escrocs</w:t>
      </w:r>
      <w:r>
        <w:rPr>
          <w:szCs w:val="18"/>
        </w:rPr>
        <w:t> »</w:t>
      </w:r>
      <w:r w:rsidRPr="006B209B">
        <w:rPr>
          <w:szCs w:val="18"/>
        </w:rPr>
        <w:t xml:space="preserve"> </w:t>
      </w:r>
      <w:r w:rsidRPr="006B209B">
        <w:rPr>
          <w:i/>
          <w:iCs/>
          <w:szCs w:val="18"/>
        </w:rPr>
        <w:t xml:space="preserve">{Citron, </w:t>
      </w:r>
      <w:r w:rsidRPr="006B209B">
        <w:rPr>
          <w:szCs w:val="18"/>
        </w:rPr>
        <w:t xml:space="preserve">par. 140), de </w:t>
      </w:r>
      <w:r>
        <w:rPr>
          <w:szCs w:val="18"/>
        </w:rPr>
        <w:t>« </w:t>
      </w:r>
      <w:r w:rsidRPr="006B209B">
        <w:rPr>
          <w:szCs w:val="18"/>
        </w:rPr>
        <w:t>race parasite</w:t>
      </w:r>
      <w:r>
        <w:rPr>
          <w:szCs w:val="18"/>
        </w:rPr>
        <w:t> »</w:t>
      </w:r>
      <w:r w:rsidRPr="006B209B">
        <w:rPr>
          <w:szCs w:val="18"/>
        </w:rPr>
        <w:t xml:space="preserve"> et de </w:t>
      </w:r>
      <w:r>
        <w:rPr>
          <w:szCs w:val="18"/>
        </w:rPr>
        <w:t>« </w:t>
      </w:r>
      <w:r w:rsidRPr="006B209B">
        <w:rPr>
          <w:szCs w:val="18"/>
        </w:rPr>
        <w:t>mal à l'état pur</w:t>
      </w:r>
      <w:r>
        <w:rPr>
          <w:szCs w:val="18"/>
        </w:rPr>
        <w:t> » :</w:t>
      </w:r>
      <w:r w:rsidRPr="006B209B">
        <w:rPr>
          <w:szCs w:val="18"/>
        </w:rPr>
        <w:t xml:space="preserve"> </w:t>
      </w:r>
      <w:r w:rsidRPr="006B209B">
        <w:rPr>
          <w:i/>
          <w:iCs/>
          <w:szCs w:val="18"/>
        </w:rPr>
        <w:t xml:space="preserve">Warman </w:t>
      </w:r>
      <w:r w:rsidRPr="006B209B">
        <w:rPr>
          <w:szCs w:val="18"/>
        </w:rPr>
        <w:t xml:space="preserve">c. </w:t>
      </w:r>
      <w:r w:rsidRPr="006B209B">
        <w:rPr>
          <w:i/>
          <w:iCs/>
          <w:szCs w:val="18"/>
        </w:rPr>
        <w:t xml:space="preserve">Tremaine </w:t>
      </w:r>
      <w:r w:rsidRPr="006B209B">
        <w:rPr>
          <w:szCs w:val="18"/>
        </w:rPr>
        <w:t>(No. 2), 2007 TCDP 2, 59 C.H.R.R. D/391, par. 136.</w:t>
      </w:r>
    </w:p>
    <w:p w:rsidR="005F113F" w:rsidRDefault="005F113F" w:rsidP="005F113F">
      <w:pPr>
        <w:pStyle w:val="Citation0"/>
      </w:pPr>
      <w:r>
        <w:t>[455]</w:t>
      </w:r>
    </w:p>
    <w:p w:rsidR="005F113F" w:rsidRPr="006B209B" w:rsidRDefault="005F113F" w:rsidP="005F113F">
      <w:pPr>
        <w:pStyle w:val="Citation0"/>
      </w:pPr>
      <w:r w:rsidRPr="006B209B">
        <w:rPr>
          <w:szCs w:val="18"/>
        </w:rPr>
        <w:t>[45] On peut également exposer un groupe à la haine par des pr</w:t>
      </w:r>
      <w:r w:rsidRPr="006B209B">
        <w:rPr>
          <w:szCs w:val="18"/>
        </w:rPr>
        <w:t>o</w:t>
      </w:r>
      <w:r w:rsidRPr="006B209B">
        <w:rPr>
          <w:szCs w:val="18"/>
        </w:rPr>
        <w:t>pos qui l'assimilent à des groupes qui font habituellement l'objet de l'opprobre p</w:t>
      </w:r>
      <w:r w:rsidRPr="006B209B">
        <w:rPr>
          <w:szCs w:val="18"/>
        </w:rPr>
        <w:t>u</w:t>
      </w:r>
      <w:r w:rsidRPr="006B209B">
        <w:rPr>
          <w:szCs w:val="18"/>
        </w:rPr>
        <w:t xml:space="preserve">blic tels que les agresseurs d'enfants et les pédophiles </w:t>
      </w:r>
      <w:r w:rsidRPr="006B209B">
        <w:rPr>
          <w:i/>
          <w:iCs/>
          <w:szCs w:val="18"/>
        </w:rPr>
        <w:t xml:space="preserve">(Payzant </w:t>
      </w:r>
      <w:r w:rsidRPr="006B209B">
        <w:rPr>
          <w:szCs w:val="18"/>
        </w:rPr>
        <w:t xml:space="preserve">c. </w:t>
      </w:r>
      <w:r w:rsidRPr="006B209B">
        <w:rPr>
          <w:i/>
          <w:iCs/>
          <w:szCs w:val="18"/>
        </w:rPr>
        <w:t xml:space="preserve">McAleer </w:t>
      </w:r>
      <w:r w:rsidRPr="006B209B">
        <w:rPr>
          <w:szCs w:val="18"/>
        </w:rPr>
        <w:t>(1994), 26 C.H.R.R. D/271 (T.C.D.P.), conf. par (1996), 26 C.H.R.R. D/280 (CF. l</w:t>
      </w:r>
      <w:r w:rsidRPr="006B209B">
        <w:rPr>
          <w:szCs w:val="18"/>
          <w:vertAlign w:val="superscript"/>
        </w:rPr>
        <w:t>re</w:t>
      </w:r>
      <w:r w:rsidRPr="006B209B">
        <w:rPr>
          <w:szCs w:val="18"/>
        </w:rPr>
        <w:t xml:space="preserve"> inst.)), ou en les qualifiant de </w:t>
      </w:r>
      <w:r>
        <w:rPr>
          <w:szCs w:val="18"/>
        </w:rPr>
        <w:t>« </w:t>
      </w:r>
      <w:r w:rsidRPr="006B209B">
        <w:rPr>
          <w:szCs w:val="18"/>
        </w:rPr>
        <w:t>criminels déviants qui s'en prennent aux enfants</w:t>
      </w:r>
      <w:r>
        <w:rPr>
          <w:szCs w:val="18"/>
        </w:rPr>
        <w:t> » :</w:t>
      </w:r>
      <w:r w:rsidRPr="006B209B">
        <w:rPr>
          <w:szCs w:val="18"/>
        </w:rPr>
        <w:t xml:space="preserve"> </w:t>
      </w:r>
      <w:r w:rsidRPr="006B209B">
        <w:rPr>
          <w:i/>
          <w:iCs/>
          <w:szCs w:val="18"/>
        </w:rPr>
        <w:t xml:space="preserve">Warman </w:t>
      </w:r>
      <w:r w:rsidRPr="006B209B">
        <w:rPr>
          <w:szCs w:val="18"/>
        </w:rPr>
        <w:t xml:space="preserve">c. </w:t>
      </w:r>
      <w:r w:rsidRPr="006B209B">
        <w:rPr>
          <w:i/>
          <w:iCs/>
          <w:szCs w:val="18"/>
        </w:rPr>
        <w:t>L'A</w:t>
      </w:r>
      <w:r w:rsidRPr="006B209B">
        <w:rPr>
          <w:i/>
          <w:iCs/>
          <w:szCs w:val="18"/>
        </w:rPr>
        <w:t>l</w:t>
      </w:r>
      <w:r w:rsidRPr="006B209B">
        <w:rPr>
          <w:i/>
          <w:iCs/>
          <w:szCs w:val="18"/>
        </w:rPr>
        <w:t xml:space="preserve">liance du Nord, </w:t>
      </w:r>
      <w:r w:rsidRPr="006B209B">
        <w:rPr>
          <w:szCs w:val="18"/>
        </w:rPr>
        <w:t>2009 TCDP 10 (CanLII), par. 43. Une des formes les plus extrêmes de procédé utilisé pour déconsidérer un groupe consiste à employer des termes déshuman</w:t>
      </w:r>
      <w:r w:rsidRPr="006B209B">
        <w:rPr>
          <w:szCs w:val="18"/>
        </w:rPr>
        <w:t>i</w:t>
      </w:r>
      <w:r w:rsidRPr="006B209B">
        <w:rPr>
          <w:szCs w:val="18"/>
        </w:rPr>
        <w:t>sants en assimilant les membres à des animaux ou à des êtres inf</w:t>
      </w:r>
      <w:r w:rsidRPr="006B209B">
        <w:rPr>
          <w:szCs w:val="18"/>
        </w:rPr>
        <w:t>é</w:t>
      </w:r>
      <w:r w:rsidRPr="006B209B">
        <w:rPr>
          <w:szCs w:val="18"/>
        </w:rPr>
        <w:t xml:space="preserve">rieurs par des expressions comme </w:t>
      </w:r>
      <w:r>
        <w:rPr>
          <w:szCs w:val="18"/>
        </w:rPr>
        <w:t>« </w:t>
      </w:r>
      <w:r w:rsidRPr="006B209B">
        <w:rPr>
          <w:szCs w:val="18"/>
        </w:rPr>
        <w:t>créatures horribles qui ne devraient pas avoir le droit de vivre</w:t>
      </w:r>
      <w:r>
        <w:rPr>
          <w:szCs w:val="18"/>
        </w:rPr>
        <w:t> »</w:t>
      </w:r>
      <w:r w:rsidRPr="006B209B">
        <w:rPr>
          <w:szCs w:val="18"/>
        </w:rPr>
        <w:t xml:space="preserve"> </w:t>
      </w:r>
      <w:r w:rsidRPr="006B209B">
        <w:rPr>
          <w:i/>
          <w:iCs/>
          <w:szCs w:val="18"/>
        </w:rPr>
        <w:t xml:space="preserve">(L'Alliance du Nord, </w:t>
      </w:r>
      <w:r w:rsidRPr="006B209B">
        <w:rPr>
          <w:szCs w:val="18"/>
        </w:rPr>
        <w:t xml:space="preserve">par. 43), </w:t>
      </w:r>
      <w:r>
        <w:rPr>
          <w:szCs w:val="18"/>
        </w:rPr>
        <w:t>« </w:t>
      </w:r>
      <w:r w:rsidRPr="006B209B">
        <w:rPr>
          <w:szCs w:val="18"/>
        </w:rPr>
        <w:t>primates ign</w:t>
      </w:r>
      <w:r w:rsidRPr="006B209B">
        <w:rPr>
          <w:szCs w:val="18"/>
        </w:rPr>
        <w:t>o</w:t>
      </w:r>
      <w:r w:rsidRPr="006B209B">
        <w:rPr>
          <w:szCs w:val="18"/>
        </w:rPr>
        <w:t>rants</w:t>
      </w:r>
      <w:r>
        <w:rPr>
          <w:szCs w:val="18"/>
        </w:rPr>
        <w:t> »</w:t>
      </w:r>
      <w:r w:rsidRPr="006B209B">
        <w:rPr>
          <w:szCs w:val="18"/>
        </w:rPr>
        <w:t xml:space="preserve">, êtres </w:t>
      </w:r>
      <w:r>
        <w:rPr>
          <w:szCs w:val="18"/>
        </w:rPr>
        <w:t>« </w:t>
      </w:r>
      <w:r w:rsidRPr="006B209B">
        <w:rPr>
          <w:szCs w:val="18"/>
        </w:rPr>
        <w:t>génétiquement inférieurs</w:t>
      </w:r>
      <w:r>
        <w:rPr>
          <w:szCs w:val="18"/>
        </w:rPr>
        <w:t> »</w:t>
      </w:r>
      <w:r w:rsidRPr="006B209B">
        <w:rPr>
          <w:szCs w:val="18"/>
        </w:rPr>
        <w:t xml:space="preserve">, </w:t>
      </w:r>
      <w:r>
        <w:rPr>
          <w:szCs w:val="18"/>
        </w:rPr>
        <w:t>« </w:t>
      </w:r>
      <w:r w:rsidRPr="006B209B">
        <w:rPr>
          <w:szCs w:val="18"/>
        </w:rPr>
        <w:t>bêtes les plus faibles</w:t>
      </w:r>
      <w:r>
        <w:rPr>
          <w:szCs w:val="18"/>
        </w:rPr>
        <w:t> »</w:t>
      </w:r>
      <w:r w:rsidRPr="006B209B">
        <w:rPr>
          <w:szCs w:val="18"/>
        </w:rPr>
        <w:t xml:space="preserve"> </w:t>
      </w:r>
      <w:r w:rsidRPr="006B209B">
        <w:rPr>
          <w:i/>
          <w:iCs/>
          <w:szCs w:val="18"/>
        </w:rPr>
        <w:t>(Centre de r</w:t>
      </w:r>
      <w:r w:rsidRPr="006B209B">
        <w:rPr>
          <w:i/>
          <w:iCs/>
          <w:szCs w:val="18"/>
        </w:rPr>
        <w:t>e</w:t>
      </w:r>
      <w:r w:rsidRPr="006B209B">
        <w:rPr>
          <w:i/>
          <w:iCs/>
          <w:szCs w:val="18"/>
        </w:rPr>
        <w:t xml:space="preserve">cherche-action sur les relations raciales </w:t>
      </w:r>
      <w:r w:rsidRPr="006B209B">
        <w:rPr>
          <w:szCs w:val="18"/>
        </w:rPr>
        <w:t xml:space="preserve">c. </w:t>
      </w:r>
      <w:hyperlink r:id="rId23" w:history="1">
        <w:r w:rsidRPr="006B209B">
          <w:rPr>
            <w:i/>
            <w:iCs/>
            <w:szCs w:val="18"/>
          </w:rPr>
          <w:t>www.bcwhitepride.com</w:t>
        </w:r>
      </w:hyperlink>
      <w:r w:rsidRPr="006B209B">
        <w:rPr>
          <w:i/>
          <w:iCs/>
          <w:szCs w:val="18"/>
        </w:rPr>
        <w:t xml:space="preserve">, </w:t>
      </w:r>
      <w:r w:rsidRPr="006B209B">
        <w:rPr>
          <w:szCs w:val="18"/>
        </w:rPr>
        <w:t xml:space="preserve">2008 TCDP 1 (CanLII), par. 53) ou </w:t>
      </w:r>
      <w:r>
        <w:rPr>
          <w:szCs w:val="18"/>
        </w:rPr>
        <w:t>« </w:t>
      </w:r>
      <w:r w:rsidRPr="006B209B">
        <w:rPr>
          <w:szCs w:val="18"/>
        </w:rPr>
        <w:t>déchets inférieurs</w:t>
      </w:r>
      <w:r>
        <w:rPr>
          <w:szCs w:val="18"/>
        </w:rPr>
        <w:t> » :</w:t>
      </w:r>
      <w:r w:rsidRPr="006B209B">
        <w:rPr>
          <w:szCs w:val="18"/>
        </w:rPr>
        <w:t xml:space="preserve"> </w:t>
      </w:r>
      <w:r w:rsidRPr="006B209B">
        <w:rPr>
          <w:i/>
          <w:iCs/>
          <w:szCs w:val="18"/>
        </w:rPr>
        <w:t xml:space="preserve">Warman </w:t>
      </w:r>
      <w:r w:rsidRPr="006B209B">
        <w:rPr>
          <w:szCs w:val="18"/>
        </w:rPr>
        <w:t xml:space="preserve">c. </w:t>
      </w:r>
      <w:r w:rsidRPr="006B209B">
        <w:rPr>
          <w:i/>
          <w:iCs/>
          <w:szCs w:val="18"/>
        </w:rPr>
        <w:t>Wi</w:t>
      </w:r>
      <w:r w:rsidRPr="006B209B">
        <w:rPr>
          <w:i/>
          <w:iCs/>
          <w:szCs w:val="18"/>
        </w:rPr>
        <w:t>n</w:t>
      </w:r>
      <w:r w:rsidRPr="006B209B">
        <w:rPr>
          <w:i/>
          <w:iCs/>
          <w:szCs w:val="18"/>
        </w:rPr>
        <w:t xml:space="preserve">nicki </w:t>
      </w:r>
      <w:r w:rsidRPr="006B209B">
        <w:rPr>
          <w:szCs w:val="18"/>
        </w:rPr>
        <w:t>(No. 2), 2006 TCDP 20, 56 C.H.R.R. D/381, par. 101. Ce sont des exe</w:t>
      </w:r>
      <w:r w:rsidRPr="006B209B">
        <w:rPr>
          <w:szCs w:val="18"/>
        </w:rPr>
        <w:t>m</w:t>
      </w:r>
      <w:r w:rsidRPr="006B209B">
        <w:rPr>
          <w:szCs w:val="18"/>
        </w:rPr>
        <w:t>ples de termes déshumanisants qui remettent en que</w:t>
      </w:r>
      <w:r w:rsidRPr="006B209B">
        <w:rPr>
          <w:szCs w:val="18"/>
        </w:rPr>
        <w:t>s</w:t>
      </w:r>
      <w:r w:rsidRPr="006B209B">
        <w:rPr>
          <w:szCs w:val="18"/>
        </w:rPr>
        <w:t>tion l'appartenance des membres de ces groupes au genre h</w:t>
      </w:r>
      <w:r w:rsidRPr="006B209B">
        <w:rPr>
          <w:szCs w:val="18"/>
        </w:rPr>
        <w:t>u</w:t>
      </w:r>
      <w:r w:rsidRPr="006B209B">
        <w:rPr>
          <w:szCs w:val="18"/>
        </w:rPr>
        <w:t>main.</w:t>
      </w:r>
    </w:p>
    <w:p w:rsidR="005F113F" w:rsidRDefault="005F113F" w:rsidP="005F113F">
      <w:pPr>
        <w:pStyle w:val="Citation0"/>
        <w:rPr>
          <w:szCs w:val="18"/>
        </w:rPr>
      </w:pPr>
      <w:r w:rsidRPr="006B209B">
        <w:rPr>
          <w:szCs w:val="18"/>
        </w:rPr>
        <w:t>[46] Comme l'illustrent ces exemples, les tribunaux judiciaires ont appl</w:t>
      </w:r>
      <w:r w:rsidRPr="006B209B">
        <w:rPr>
          <w:szCs w:val="18"/>
        </w:rPr>
        <w:t>i</w:t>
      </w:r>
      <w:r w:rsidRPr="006B209B">
        <w:rPr>
          <w:szCs w:val="18"/>
        </w:rPr>
        <w:t xml:space="preserve">qué la définition du terme </w:t>
      </w:r>
      <w:r>
        <w:rPr>
          <w:szCs w:val="18"/>
        </w:rPr>
        <w:t>« </w:t>
      </w:r>
      <w:r w:rsidRPr="006B209B">
        <w:rPr>
          <w:i/>
          <w:iCs/>
          <w:szCs w:val="18"/>
        </w:rPr>
        <w:t>haine</w:t>
      </w:r>
      <w:r>
        <w:rPr>
          <w:i/>
          <w:iCs/>
          <w:szCs w:val="18"/>
        </w:rPr>
        <w:t> »</w:t>
      </w:r>
      <w:r w:rsidRPr="006B209B">
        <w:rPr>
          <w:szCs w:val="18"/>
        </w:rPr>
        <w:t xml:space="preserve"> ét</w:t>
      </w:r>
      <w:r w:rsidRPr="006B209B">
        <w:rPr>
          <w:szCs w:val="18"/>
        </w:rPr>
        <w:t>a</w:t>
      </w:r>
      <w:r w:rsidRPr="006B209B">
        <w:rPr>
          <w:szCs w:val="18"/>
        </w:rPr>
        <w:t xml:space="preserve">blie dans </w:t>
      </w:r>
      <w:r w:rsidRPr="006B209B">
        <w:rPr>
          <w:i/>
          <w:iCs/>
          <w:szCs w:val="18"/>
        </w:rPr>
        <w:t xml:space="preserve">Taylor </w:t>
      </w:r>
      <w:r w:rsidRPr="006B209B">
        <w:rPr>
          <w:szCs w:val="18"/>
        </w:rPr>
        <w:t>et ont, de façon générale, conclu aux propos haineux seulement dans les cas où le dén</w:t>
      </w:r>
      <w:r w:rsidRPr="006B209B">
        <w:rPr>
          <w:szCs w:val="18"/>
        </w:rPr>
        <w:t>i</w:t>
      </w:r>
      <w:r w:rsidRPr="006B209B">
        <w:rPr>
          <w:szCs w:val="18"/>
        </w:rPr>
        <w:t>grement est des plus extrêmes et flagrant. Ainsi, dans l'application des di</w:t>
      </w:r>
      <w:r w:rsidRPr="006B209B">
        <w:rPr>
          <w:szCs w:val="18"/>
        </w:rPr>
        <w:t>s</w:t>
      </w:r>
      <w:r w:rsidRPr="006B209B">
        <w:rPr>
          <w:szCs w:val="18"/>
        </w:rPr>
        <w:t>positions législatives, on écarte les propos simplement offensants ou ble</w:t>
      </w:r>
      <w:r w:rsidRPr="006B209B">
        <w:rPr>
          <w:szCs w:val="18"/>
        </w:rPr>
        <w:t>s</w:t>
      </w:r>
      <w:r w:rsidRPr="006B209B">
        <w:rPr>
          <w:szCs w:val="18"/>
        </w:rPr>
        <w:t xml:space="preserve">sants et on respecte la volonté du législateur qui a adopté une interdiction légale fondée sur la </w:t>
      </w:r>
      <w:r>
        <w:rPr>
          <w:szCs w:val="18"/>
        </w:rPr>
        <w:t>« </w:t>
      </w:r>
      <w:r w:rsidRPr="006B209B">
        <w:rPr>
          <w:szCs w:val="18"/>
        </w:rPr>
        <w:t>haine</w:t>
      </w:r>
      <w:r>
        <w:rPr>
          <w:szCs w:val="18"/>
        </w:rPr>
        <w:t> »</w:t>
      </w:r>
      <w:r w:rsidRPr="006B209B">
        <w:rPr>
          <w:szCs w:val="18"/>
        </w:rPr>
        <w:t>.</w:t>
      </w:r>
    </w:p>
    <w:p w:rsidR="005F113F" w:rsidRPr="006B209B" w:rsidRDefault="005F113F" w:rsidP="005F113F">
      <w:pPr>
        <w:pStyle w:val="Citation0"/>
      </w:pPr>
    </w:p>
    <w:p w:rsidR="005F113F" w:rsidRDefault="005F113F" w:rsidP="005F113F">
      <w:pPr>
        <w:spacing w:before="120" w:after="120"/>
        <w:jc w:val="both"/>
        <w:rPr>
          <w:szCs w:val="22"/>
        </w:rPr>
      </w:pPr>
      <w:r w:rsidRPr="006B209B">
        <w:rPr>
          <w:szCs w:val="22"/>
        </w:rPr>
        <w:t>Par cette redéfinition de la haine - dans le contexte du SHRC -, la Cour suprême a possiblement tissé le canevas à partir duquel les lég</w:t>
      </w:r>
      <w:r w:rsidRPr="006B209B">
        <w:rPr>
          <w:szCs w:val="22"/>
        </w:rPr>
        <w:t>i</w:t>
      </w:r>
      <w:r w:rsidRPr="006B209B">
        <w:rPr>
          <w:szCs w:val="22"/>
        </w:rPr>
        <w:t>slateurs et les tr</w:t>
      </w:r>
      <w:r w:rsidRPr="006B209B">
        <w:rPr>
          <w:szCs w:val="22"/>
        </w:rPr>
        <w:t>i</w:t>
      </w:r>
      <w:r w:rsidRPr="006B209B">
        <w:rPr>
          <w:szCs w:val="22"/>
        </w:rPr>
        <w:t>bunaux seront appelés à interpréter les dispositions législatives régissant l'une ou l'autre des manifestations de ce vil se</w:t>
      </w:r>
      <w:r w:rsidRPr="006B209B">
        <w:rPr>
          <w:szCs w:val="22"/>
        </w:rPr>
        <w:t>n</w:t>
      </w:r>
      <w:r w:rsidRPr="006B209B">
        <w:rPr>
          <w:szCs w:val="22"/>
        </w:rPr>
        <w:t>timent.</w:t>
      </w:r>
    </w:p>
    <w:p w:rsidR="005F113F" w:rsidRPr="006B209B" w:rsidRDefault="005F113F" w:rsidP="005F113F">
      <w:pPr>
        <w:spacing w:before="120" w:after="120"/>
        <w:jc w:val="both"/>
      </w:pPr>
    </w:p>
    <w:p w:rsidR="005F113F" w:rsidRPr="006B209B" w:rsidRDefault="005F113F" w:rsidP="005F113F">
      <w:pPr>
        <w:pStyle w:val="planche"/>
      </w:pPr>
      <w:bookmarkStart w:id="10" w:name="Definition_haine_5"/>
      <w:r>
        <w:t xml:space="preserve">5. </w:t>
      </w:r>
      <w:r w:rsidRPr="006B209B">
        <w:t>SOMMAIRE</w:t>
      </w:r>
      <w:r>
        <w:br/>
      </w:r>
      <w:r w:rsidRPr="006B209B">
        <w:t>QUANT AU DROIT APPLICABLE</w:t>
      </w:r>
    </w:p>
    <w:bookmarkEnd w:id="10"/>
    <w:p w:rsidR="005F113F" w:rsidRDefault="005F113F" w:rsidP="005F113F">
      <w:pPr>
        <w:spacing w:before="120" w:after="120"/>
        <w:jc w:val="both"/>
        <w:rPr>
          <w:szCs w:val="22"/>
        </w:rPr>
      </w:pPr>
    </w:p>
    <w:p w:rsidR="005F113F" w:rsidRPr="00384B20" w:rsidRDefault="005F113F" w:rsidP="005F113F">
      <w:pPr>
        <w:ind w:right="90" w:firstLine="0"/>
        <w:jc w:val="both"/>
        <w:rPr>
          <w:sz w:val="20"/>
        </w:rPr>
      </w:pPr>
      <w:hyperlink w:anchor="tdm" w:history="1">
        <w:r w:rsidRPr="00384B20">
          <w:rPr>
            <w:rStyle w:val="Lienhypertexte"/>
            <w:sz w:val="20"/>
          </w:rPr>
          <w:t>Retour à la table des matières</w:t>
        </w:r>
      </w:hyperlink>
    </w:p>
    <w:p w:rsidR="005F113F" w:rsidRPr="006B209B" w:rsidRDefault="005F113F" w:rsidP="005F113F">
      <w:pPr>
        <w:spacing w:before="120" w:after="120"/>
        <w:jc w:val="both"/>
      </w:pPr>
      <w:r w:rsidRPr="006B209B">
        <w:rPr>
          <w:szCs w:val="22"/>
        </w:rPr>
        <w:t>À l'évidence, les comportements ha</w:t>
      </w:r>
      <w:r w:rsidRPr="006B209B">
        <w:rPr>
          <w:szCs w:val="22"/>
        </w:rPr>
        <w:t>i</w:t>
      </w:r>
      <w:r w:rsidRPr="006B209B">
        <w:rPr>
          <w:szCs w:val="22"/>
        </w:rPr>
        <w:t>neux ne font pas l'objet d'une prohib</w:t>
      </w:r>
      <w:r w:rsidRPr="006B209B">
        <w:rPr>
          <w:szCs w:val="22"/>
        </w:rPr>
        <w:t>i</w:t>
      </w:r>
      <w:r w:rsidRPr="006B209B">
        <w:rPr>
          <w:szCs w:val="22"/>
        </w:rPr>
        <w:t xml:space="preserve">tion générale au Canada. Il n'existe pas de régime législatif qui érige en faute ou en infraction </w:t>
      </w:r>
      <w:r w:rsidRPr="006B209B">
        <w:rPr>
          <w:szCs w:val="22"/>
          <w:u w:val="single"/>
        </w:rPr>
        <w:t>toute</w:t>
      </w:r>
      <w:r w:rsidRPr="006B209B">
        <w:rPr>
          <w:szCs w:val="22"/>
        </w:rPr>
        <w:t xml:space="preserve"> expression de la ha</w:t>
      </w:r>
      <w:r w:rsidRPr="006B209B">
        <w:rPr>
          <w:szCs w:val="22"/>
        </w:rPr>
        <w:t>i</w:t>
      </w:r>
      <w:r w:rsidRPr="006B209B">
        <w:rPr>
          <w:szCs w:val="22"/>
        </w:rPr>
        <w:t>ne fondée sur des motifs illicites de di</w:t>
      </w:r>
      <w:r w:rsidRPr="006B209B">
        <w:rPr>
          <w:szCs w:val="22"/>
        </w:rPr>
        <w:t>s</w:t>
      </w:r>
      <w:r w:rsidRPr="006B209B">
        <w:rPr>
          <w:szCs w:val="22"/>
        </w:rPr>
        <w:t>crimination. Le droit identifie seulement des manifestations (violence physique, publications, etc.), des cadres (e</w:t>
      </w:r>
      <w:r w:rsidRPr="006B209B">
        <w:rPr>
          <w:szCs w:val="22"/>
        </w:rPr>
        <w:t>m</w:t>
      </w:r>
      <w:r w:rsidRPr="006B209B">
        <w:rPr>
          <w:szCs w:val="22"/>
        </w:rPr>
        <w:t>ploi, offre de biens et services au public, etc.) ou des contextes (viol</w:t>
      </w:r>
      <w:r w:rsidRPr="006B209B">
        <w:rPr>
          <w:szCs w:val="22"/>
        </w:rPr>
        <w:t>a</w:t>
      </w:r>
      <w:r w:rsidRPr="006B209B">
        <w:rPr>
          <w:szCs w:val="22"/>
        </w:rPr>
        <w:t>tion anticipée de la paix publique, par exemple) où la haine est su</w:t>
      </w:r>
      <w:r w:rsidRPr="006B209B">
        <w:rPr>
          <w:szCs w:val="22"/>
        </w:rPr>
        <w:t>s</w:t>
      </w:r>
      <w:r w:rsidRPr="006B209B">
        <w:rPr>
          <w:szCs w:val="22"/>
        </w:rPr>
        <w:t>ceptible d'être sanctionnée.</w:t>
      </w:r>
    </w:p>
    <w:p w:rsidR="005F113F" w:rsidRDefault="005F113F" w:rsidP="005F113F">
      <w:pPr>
        <w:spacing w:before="120" w:after="120"/>
        <w:jc w:val="both"/>
      </w:pPr>
      <w:r>
        <w:t>[456]</w:t>
      </w:r>
    </w:p>
    <w:p w:rsidR="005F113F" w:rsidRPr="006B209B" w:rsidRDefault="005F113F" w:rsidP="005F113F">
      <w:pPr>
        <w:spacing w:before="120" w:after="120"/>
        <w:jc w:val="both"/>
      </w:pPr>
      <w:r w:rsidRPr="006B209B">
        <w:rPr>
          <w:szCs w:val="22"/>
        </w:rPr>
        <w:t>Un autre constat se dégage</w:t>
      </w:r>
      <w:r>
        <w:rPr>
          <w:szCs w:val="22"/>
        </w:rPr>
        <w:t> :</w:t>
      </w:r>
      <w:r w:rsidRPr="006B209B">
        <w:rPr>
          <w:szCs w:val="22"/>
        </w:rPr>
        <w:t xml:space="preserve"> la motivation haineuse comme él</w:t>
      </w:r>
      <w:r w:rsidRPr="006B209B">
        <w:rPr>
          <w:szCs w:val="22"/>
        </w:rPr>
        <w:t>é</w:t>
      </w:r>
      <w:r w:rsidRPr="006B209B">
        <w:rPr>
          <w:szCs w:val="22"/>
        </w:rPr>
        <w:t>ment subjectif (mental) de l'auteur du délit n'est généralement pas pe</w:t>
      </w:r>
      <w:r w:rsidRPr="006B209B">
        <w:rPr>
          <w:szCs w:val="22"/>
        </w:rPr>
        <w:t>r</w:t>
      </w:r>
      <w:r w:rsidRPr="006B209B">
        <w:rPr>
          <w:szCs w:val="22"/>
        </w:rPr>
        <w:t xml:space="preserve">tinente, sauf pour la détermination de la peine en contexte criminel. Le droit retient plutôt le critère objectif, soit la fiction juridique qui postule l'existence de ce que comprendrait une </w:t>
      </w:r>
      <w:r>
        <w:rPr>
          <w:szCs w:val="22"/>
        </w:rPr>
        <w:t>« </w:t>
      </w:r>
      <w:r w:rsidRPr="006B209B">
        <w:rPr>
          <w:szCs w:val="22"/>
        </w:rPr>
        <w:t>personne raisonn</w:t>
      </w:r>
      <w:r w:rsidRPr="006B209B">
        <w:rPr>
          <w:szCs w:val="22"/>
        </w:rPr>
        <w:t>a</w:t>
      </w:r>
      <w:r w:rsidRPr="006B209B">
        <w:rPr>
          <w:szCs w:val="22"/>
        </w:rPr>
        <w:t>ble</w:t>
      </w:r>
      <w:r>
        <w:rPr>
          <w:szCs w:val="22"/>
        </w:rPr>
        <w:t> »</w:t>
      </w:r>
      <w:r w:rsidRPr="006B209B">
        <w:rPr>
          <w:szCs w:val="22"/>
        </w:rPr>
        <w:t xml:space="preserve"> observant le délit. La réticence des législateurs et des juges à entrer dans la sphère ment</w:t>
      </w:r>
      <w:r w:rsidRPr="006B209B">
        <w:rPr>
          <w:szCs w:val="22"/>
        </w:rPr>
        <w:t>a</w:t>
      </w:r>
      <w:r w:rsidRPr="006B209B">
        <w:rPr>
          <w:szCs w:val="22"/>
        </w:rPr>
        <w:t>le de l'individu s'explique peut-être par la valeur prépondérante accordée aux libertés de conscience et de rel</w:t>
      </w:r>
      <w:r w:rsidRPr="006B209B">
        <w:rPr>
          <w:szCs w:val="22"/>
        </w:rPr>
        <w:t>i</w:t>
      </w:r>
      <w:r w:rsidRPr="006B209B">
        <w:rPr>
          <w:szCs w:val="22"/>
        </w:rPr>
        <w:t>gion dans notre tradition juridique.</w:t>
      </w:r>
    </w:p>
    <w:p w:rsidR="005F113F" w:rsidRPr="006B209B" w:rsidRDefault="005F113F" w:rsidP="005F113F">
      <w:pPr>
        <w:spacing w:before="120" w:after="120"/>
        <w:jc w:val="both"/>
      </w:pPr>
      <w:r w:rsidRPr="006B209B">
        <w:rPr>
          <w:szCs w:val="22"/>
        </w:rPr>
        <w:t xml:space="preserve">Devant le </w:t>
      </w:r>
      <w:r w:rsidRPr="006B209B">
        <w:rPr>
          <w:i/>
          <w:iCs/>
          <w:szCs w:val="22"/>
        </w:rPr>
        <w:t xml:space="preserve">patchwork </w:t>
      </w:r>
      <w:r w:rsidRPr="006B209B">
        <w:rPr>
          <w:szCs w:val="22"/>
        </w:rPr>
        <w:t>législatif en place au Canada, il semble ri</w:t>
      </w:r>
      <w:r w:rsidRPr="006B209B">
        <w:rPr>
          <w:szCs w:val="22"/>
        </w:rPr>
        <w:t>s</w:t>
      </w:r>
      <w:r w:rsidRPr="006B209B">
        <w:rPr>
          <w:szCs w:val="22"/>
        </w:rPr>
        <w:t>qué, sinon impossible de proposer une conception juridique unifiée de la haine des minorités. Saisis d'un cas mettant en cause un comport</w:t>
      </w:r>
      <w:r w:rsidRPr="006B209B">
        <w:rPr>
          <w:szCs w:val="22"/>
        </w:rPr>
        <w:t>e</w:t>
      </w:r>
      <w:r w:rsidRPr="006B209B">
        <w:rPr>
          <w:szCs w:val="22"/>
        </w:rPr>
        <w:t>ment haineux, les juristes do</w:t>
      </w:r>
      <w:r w:rsidRPr="006B209B">
        <w:rPr>
          <w:szCs w:val="22"/>
        </w:rPr>
        <w:t>i</w:t>
      </w:r>
      <w:r w:rsidRPr="006B209B">
        <w:rPr>
          <w:szCs w:val="22"/>
        </w:rPr>
        <w:t>vent manier divers outils en fonction des caractéristiques propres à chaque régime juridique potentiellement applicable.</w:t>
      </w:r>
    </w:p>
    <w:p w:rsidR="005F113F" w:rsidRDefault="005F113F" w:rsidP="005F113F">
      <w:pPr>
        <w:spacing w:before="120" w:after="120"/>
        <w:jc w:val="both"/>
        <w:rPr>
          <w:szCs w:val="22"/>
        </w:rPr>
      </w:pPr>
      <w:r w:rsidRPr="006B209B">
        <w:rPr>
          <w:szCs w:val="22"/>
        </w:rPr>
        <w:t>Pour les chercheurs, les administr</w:t>
      </w:r>
      <w:r w:rsidRPr="006B209B">
        <w:rPr>
          <w:szCs w:val="22"/>
        </w:rPr>
        <w:t>a</w:t>
      </w:r>
      <w:r w:rsidRPr="006B209B">
        <w:rPr>
          <w:szCs w:val="22"/>
        </w:rPr>
        <w:t>tions et les agents de la paix, les perspectives paraissent plus ouvertes. En effet, la définition de la ha</w:t>
      </w:r>
      <w:r w:rsidRPr="006B209B">
        <w:rPr>
          <w:szCs w:val="22"/>
        </w:rPr>
        <w:t>i</w:t>
      </w:r>
      <w:r w:rsidRPr="006B209B">
        <w:rPr>
          <w:szCs w:val="22"/>
        </w:rPr>
        <w:t>ne élaborée par la Cour suprême, plus particulièr</w:t>
      </w:r>
      <w:r w:rsidRPr="006B209B">
        <w:rPr>
          <w:szCs w:val="22"/>
        </w:rPr>
        <w:t>e</w:t>
      </w:r>
      <w:r w:rsidRPr="006B209B">
        <w:rPr>
          <w:szCs w:val="22"/>
        </w:rPr>
        <w:t xml:space="preserve">ment dans </w:t>
      </w:r>
      <w:r w:rsidRPr="006B209B">
        <w:rPr>
          <w:i/>
          <w:iCs/>
          <w:szCs w:val="22"/>
        </w:rPr>
        <w:t xml:space="preserve">Whatcott, </w:t>
      </w:r>
      <w:r w:rsidRPr="006B209B">
        <w:rPr>
          <w:szCs w:val="22"/>
        </w:rPr>
        <w:t>pose des repères utiles. Le droit canadien comporte des références transversales aux motifs illicites de discrimination et à la justific</w:t>
      </w:r>
      <w:r w:rsidRPr="006B209B">
        <w:rPr>
          <w:szCs w:val="22"/>
        </w:rPr>
        <w:t>a</w:t>
      </w:r>
      <w:r w:rsidRPr="006B209B">
        <w:rPr>
          <w:szCs w:val="22"/>
        </w:rPr>
        <w:t>tion des interdictions existantes au regard de la paix sociale et de la pr</w:t>
      </w:r>
      <w:r w:rsidRPr="006B209B">
        <w:rPr>
          <w:szCs w:val="22"/>
        </w:rPr>
        <w:t>é</w:t>
      </w:r>
      <w:r w:rsidRPr="006B209B">
        <w:rPr>
          <w:szCs w:val="22"/>
        </w:rPr>
        <w:t>vention ou la réparation d'un préjudice.</w:t>
      </w:r>
    </w:p>
    <w:p w:rsidR="005F113F" w:rsidRPr="006B209B" w:rsidRDefault="005F113F" w:rsidP="005F113F">
      <w:pPr>
        <w:spacing w:before="120" w:after="120"/>
        <w:jc w:val="both"/>
      </w:pPr>
    </w:p>
    <w:p w:rsidR="005F113F" w:rsidRPr="006B209B" w:rsidRDefault="005F113F" w:rsidP="005F113F">
      <w:pPr>
        <w:pStyle w:val="planche"/>
      </w:pPr>
      <w:bookmarkStart w:id="11" w:name="Definition_haine_6"/>
      <w:r>
        <w:t xml:space="preserve">6. </w:t>
      </w:r>
      <w:r w:rsidRPr="006B209B">
        <w:t>SYNTHÈSE</w:t>
      </w:r>
      <w:r>
        <w:t> :</w:t>
      </w:r>
      <w:r w:rsidRPr="006B209B">
        <w:t xml:space="preserve"> UNE DÉFIN</w:t>
      </w:r>
      <w:r w:rsidRPr="006B209B">
        <w:t>I</w:t>
      </w:r>
      <w:r w:rsidRPr="006B209B">
        <w:t>TION UTILE</w:t>
      </w:r>
    </w:p>
    <w:bookmarkEnd w:id="11"/>
    <w:p w:rsidR="005F113F" w:rsidRDefault="005F113F" w:rsidP="005F113F">
      <w:pPr>
        <w:spacing w:before="120" w:after="120"/>
        <w:jc w:val="both"/>
        <w:rPr>
          <w:szCs w:val="22"/>
        </w:rPr>
      </w:pPr>
    </w:p>
    <w:p w:rsidR="005F113F" w:rsidRPr="00384B20" w:rsidRDefault="005F113F" w:rsidP="005F113F">
      <w:pPr>
        <w:ind w:right="90" w:firstLine="0"/>
        <w:jc w:val="both"/>
        <w:rPr>
          <w:sz w:val="20"/>
        </w:rPr>
      </w:pPr>
      <w:hyperlink w:anchor="tdm" w:history="1">
        <w:r w:rsidRPr="00384B20">
          <w:rPr>
            <w:rStyle w:val="Lienhypertexte"/>
            <w:sz w:val="20"/>
          </w:rPr>
          <w:t>Retour à la table des matières</w:t>
        </w:r>
      </w:hyperlink>
    </w:p>
    <w:p w:rsidR="005F113F" w:rsidRPr="006B209B" w:rsidRDefault="005F113F" w:rsidP="005F113F">
      <w:pPr>
        <w:spacing w:before="120" w:after="120"/>
        <w:jc w:val="both"/>
      </w:pPr>
      <w:r w:rsidRPr="006B209B">
        <w:rPr>
          <w:szCs w:val="22"/>
        </w:rPr>
        <w:t>L'État, les universitaires et la société en général ont intérêt à connaître très précisément la prévalence et les autres caractéristiques du phénomène haineux. Le recensement adéquat des actes ha</w:t>
      </w:r>
      <w:r w:rsidRPr="006B209B">
        <w:rPr>
          <w:szCs w:val="22"/>
        </w:rPr>
        <w:t>i</w:t>
      </w:r>
      <w:r w:rsidRPr="006B209B">
        <w:rPr>
          <w:szCs w:val="22"/>
        </w:rPr>
        <w:t>neux, criminels ou non, dépend princ</w:t>
      </w:r>
      <w:r w:rsidRPr="006B209B">
        <w:rPr>
          <w:szCs w:val="22"/>
        </w:rPr>
        <w:t>i</w:t>
      </w:r>
      <w:r w:rsidRPr="006B209B">
        <w:rPr>
          <w:szCs w:val="22"/>
        </w:rPr>
        <w:t xml:space="preserve">palement de l'engagement des agents de la paix dans cet exercice, </w:t>
      </w:r>
      <w:r w:rsidRPr="006B209B">
        <w:rPr>
          <w:i/>
          <w:iCs/>
          <w:szCs w:val="22"/>
        </w:rPr>
        <w:t xml:space="preserve">sur le terrain. </w:t>
      </w:r>
      <w:r w:rsidRPr="006B209B">
        <w:rPr>
          <w:szCs w:val="22"/>
        </w:rPr>
        <w:t>Nous avons établi que sans une bonne compréhension des particularités des crimes haineux, les corps policiers sont susceptibles de ne pas les catégoriser adéquat</w:t>
      </w:r>
      <w:r w:rsidRPr="006B209B">
        <w:rPr>
          <w:szCs w:val="22"/>
        </w:rPr>
        <w:t>e</w:t>
      </w:r>
      <w:r w:rsidRPr="006B209B">
        <w:rPr>
          <w:szCs w:val="22"/>
        </w:rPr>
        <w:t>ment, voire de ne pas les ide</w:t>
      </w:r>
      <w:r w:rsidRPr="006B209B">
        <w:rPr>
          <w:szCs w:val="22"/>
        </w:rPr>
        <w:t>n</w:t>
      </w:r>
      <w:r w:rsidRPr="006B209B">
        <w:rPr>
          <w:szCs w:val="22"/>
        </w:rPr>
        <w:t>tifier du tout. Cela est encore plus vrai des actes haineux qui leur sont rappo</w:t>
      </w:r>
      <w:r w:rsidRPr="006B209B">
        <w:rPr>
          <w:szCs w:val="22"/>
        </w:rPr>
        <w:t>r</w:t>
      </w:r>
      <w:r w:rsidRPr="006B209B">
        <w:rPr>
          <w:szCs w:val="22"/>
        </w:rPr>
        <w:t>tés, mais qui ne menacent pas la sécur</w:t>
      </w:r>
      <w:r w:rsidRPr="006B209B">
        <w:rPr>
          <w:szCs w:val="22"/>
        </w:rPr>
        <w:t>i</w:t>
      </w:r>
      <w:r w:rsidRPr="006B209B">
        <w:rPr>
          <w:szCs w:val="22"/>
        </w:rPr>
        <w:t>té.</w:t>
      </w:r>
    </w:p>
    <w:p w:rsidR="005F113F" w:rsidRPr="006B209B" w:rsidRDefault="005F113F" w:rsidP="005F113F">
      <w:pPr>
        <w:spacing w:before="120" w:after="120"/>
        <w:jc w:val="both"/>
      </w:pPr>
      <w:r w:rsidRPr="006B209B">
        <w:rPr>
          <w:szCs w:val="22"/>
        </w:rPr>
        <w:t>Au nom de la préservation de la paix sociale et du droit à la sécur</w:t>
      </w:r>
      <w:r w:rsidRPr="006B209B">
        <w:rPr>
          <w:szCs w:val="22"/>
        </w:rPr>
        <w:t>i</w:t>
      </w:r>
      <w:r w:rsidRPr="006B209B">
        <w:rPr>
          <w:szCs w:val="22"/>
        </w:rPr>
        <w:t>té, et vu la difficulté de définir un geste haineux pour les</w:t>
      </w:r>
      <w:r>
        <w:rPr>
          <w:szCs w:val="22"/>
        </w:rPr>
        <w:t xml:space="preserve"> </w:t>
      </w:r>
      <w:r>
        <w:t xml:space="preserve">[457] </w:t>
      </w:r>
      <w:r w:rsidRPr="006B209B">
        <w:rPr>
          <w:szCs w:val="22"/>
        </w:rPr>
        <w:t xml:space="preserve">agents patrouilleurs, des services de police canadiens ont créé une catégorie </w:t>
      </w:r>
      <w:r>
        <w:rPr>
          <w:szCs w:val="22"/>
        </w:rPr>
        <w:t>« </w:t>
      </w:r>
      <w:r w:rsidRPr="006B209B">
        <w:rPr>
          <w:szCs w:val="22"/>
        </w:rPr>
        <w:t>incidents haineux</w:t>
      </w:r>
      <w:r>
        <w:rPr>
          <w:szCs w:val="22"/>
        </w:rPr>
        <w:t> »</w:t>
      </w:r>
      <w:r w:rsidRPr="006B209B">
        <w:rPr>
          <w:szCs w:val="22"/>
        </w:rPr>
        <w:t xml:space="preserve"> pour désigner et enregistrer des actes manife</w:t>
      </w:r>
      <w:r w:rsidRPr="006B209B">
        <w:rPr>
          <w:szCs w:val="22"/>
        </w:rPr>
        <w:t>s</w:t>
      </w:r>
      <w:r w:rsidRPr="006B209B">
        <w:rPr>
          <w:szCs w:val="22"/>
        </w:rPr>
        <w:t xml:space="preserve">tant une haine envers un </w:t>
      </w:r>
      <w:r>
        <w:rPr>
          <w:szCs w:val="22"/>
        </w:rPr>
        <w:t>« </w:t>
      </w:r>
      <w:r w:rsidRPr="006B209B">
        <w:rPr>
          <w:szCs w:val="22"/>
        </w:rPr>
        <w:t>groupe identifiable</w:t>
      </w:r>
      <w:r>
        <w:rPr>
          <w:szCs w:val="22"/>
        </w:rPr>
        <w:t> »</w:t>
      </w:r>
      <w:r w:rsidRPr="006B209B">
        <w:rPr>
          <w:szCs w:val="22"/>
        </w:rPr>
        <w:t xml:space="preserve"> ou un de ses me</w:t>
      </w:r>
      <w:r w:rsidRPr="006B209B">
        <w:rPr>
          <w:szCs w:val="22"/>
        </w:rPr>
        <w:t>m</w:t>
      </w:r>
      <w:r w:rsidRPr="006B209B">
        <w:rPr>
          <w:szCs w:val="22"/>
        </w:rPr>
        <w:t xml:space="preserve">bres. L'engagement policier dans l'identification des </w:t>
      </w:r>
      <w:r w:rsidRPr="006B209B">
        <w:rPr>
          <w:i/>
          <w:iCs/>
          <w:szCs w:val="22"/>
        </w:rPr>
        <w:t xml:space="preserve">actes </w:t>
      </w:r>
      <w:r w:rsidRPr="006B209B">
        <w:rPr>
          <w:szCs w:val="22"/>
        </w:rPr>
        <w:t>ha</w:t>
      </w:r>
      <w:r w:rsidRPr="006B209B">
        <w:rPr>
          <w:szCs w:val="22"/>
        </w:rPr>
        <w:t>i</w:t>
      </w:r>
      <w:r w:rsidRPr="006B209B">
        <w:rPr>
          <w:szCs w:val="22"/>
        </w:rPr>
        <w:t xml:space="preserve">neux - et non seulement des </w:t>
      </w:r>
      <w:r w:rsidRPr="006B209B">
        <w:rPr>
          <w:i/>
          <w:iCs/>
          <w:szCs w:val="22"/>
        </w:rPr>
        <w:t xml:space="preserve">crimes </w:t>
      </w:r>
      <w:r w:rsidRPr="006B209B">
        <w:rPr>
          <w:szCs w:val="22"/>
        </w:rPr>
        <w:t>haineux - nécessite donc des outils conce</w:t>
      </w:r>
      <w:r w:rsidRPr="006B209B">
        <w:rPr>
          <w:szCs w:val="22"/>
        </w:rPr>
        <w:t>p</w:t>
      </w:r>
      <w:r w:rsidRPr="006B209B">
        <w:rPr>
          <w:szCs w:val="22"/>
        </w:rPr>
        <w:t>tuels clairs et simples, facilement applicables au quot</w:t>
      </w:r>
      <w:r w:rsidRPr="006B209B">
        <w:rPr>
          <w:szCs w:val="22"/>
        </w:rPr>
        <w:t>i</w:t>
      </w:r>
      <w:r w:rsidRPr="006B209B">
        <w:rPr>
          <w:szCs w:val="22"/>
        </w:rPr>
        <w:t>dien</w:t>
      </w:r>
      <w:r>
        <w:rPr>
          <w:szCs w:val="22"/>
        </w:rPr>
        <w:t> ;</w:t>
      </w:r>
      <w:r w:rsidRPr="006B209B">
        <w:rPr>
          <w:szCs w:val="22"/>
        </w:rPr>
        <w:t xml:space="preserve"> voilà le but du présent texte.</w:t>
      </w:r>
    </w:p>
    <w:p w:rsidR="005F113F" w:rsidRPr="006B209B" w:rsidRDefault="005F113F" w:rsidP="005F113F">
      <w:pPr>
        <w:spacing w:before="120" w:after="120"/>
        <w:jc w:val="both"/>
      </w:pPr>
      <w:r w:rsidRPr="006B209B">
        <w:rPr>
          <w:szCs w:val="22"/>
        </w:rPr>
        <w:t xml:space="preserve">Selon la logique de l'arrêt </w:t>
      </w:r>
      <w:r w:rsidRPr="006B209B">
        <w:rPr>
          <w:i/>
          <w:iCs/>
          <w:szCs w:val="22"/>
        </w:rPr>
        <w:t xml:space="preserve">Whatcott, </w:t>
      </w:r>
      <w:r w:rsidRPr="006B209B">
        <w:rPr>
          <w:szCs w:val="22"/>
        </w:rPr>
        <w:t>on reconnaît un discours ha</w:t>
      </w:r>
      <w:r w:rsidRPr="006B209B">
        <w:rPr>
          <w:szCs w:val="22"/>
        </w:rPr>
        <w:t>i</w:t>
      </w:r>
      <w:r w:rsidRPr="006B209B">
        <w:rPr>
          <w:szCs w:val="22"/>
        </w:rPr>
        <w:t>neux — et prohibé comme tel par le droit régl</w:t>
      </w:r>
      <w:r w:rsidRPr="006B209B">
        <w:rPr>
          <w:szCs w:val="22"/>
        </w:rPr>
        <w:t>e</w:t>
      </w:r>
      <w:r w:rsidRPr="006B209B">
        <w:rPr>
          <w:szCs w:val="22"/>
        </w:rPr>
        <w:t>mentaire, pénal ou criminel - par les ri</w:t>
      </w:r>
      <w:r w:rsidRPr="006B209B">
        <w:rPr>
          <w:szCs w:val="22"/>
        </w:rPr>
        <w:t>s</w:t>
      </w:r>
      <w:r w:rsidRPr="006B209B">
        <w:rPr>
          <w:szCs w:val="22"/>
        </w:rPr>
        <w:t>ques qui lui sont associés</w:t>
      </w:r>
      <w:r>
        <w:rPr>
          <w:szCs w:val="22"/>
        </w:rPr>
        <w:t> :</w:t>
      </w:r>
      <w:r w:rsidRPr="006B209B">
        <w:rPr>
          <w:szCs w:val="22"/>
        </w:rPr>
        <w:t xml:space="preserve"> violence, inimitié ou malice extrême envers la victime. Dans ce contexte, la reconnai</w:t>
      </w:r>
      <w:r w:rsidRPr="006B209B">
        <w:rPr>
          <w:szCs w:val="22"/>
        </w:rPr>
        <w:t>s</w:t>
      </w:r>
      <w:r w:rsidRPr="006B209B">
        <w:rPr>
          <w:szCs w:val="22"/>
        </w:rPr>
        <w:t>sance du caractère haineux d'un propos est liée à ses effets avérés ou appr</w:t>
      </w:r>
      <w:r w:rsidRPr="006B209B">
        <w:rPr>
          <w:szCs w:val="22"/>
        </w:rPr>
        <w:t>é</w:t>
      </w:r>
      <w:r w:rsidRPr="006B209B">
        <w:rPr>
          <w:szCs w:val="22"/>
        </w:rPr>
        <w:t>hendés sur la paix sociale. Ce critère nous semble quelque peu restri</w:t>
      </w:r>
      <w:r w:rsidRPr="006B209B">
        <w:rPr>
          <w:szCs w:val="22"/>
        </w:rPr>
        <w:t>c</w:t>
      </w:r>
      <w:r w:rsidRPr="006B209B">
        <w:rPr>
          <w:szCs w:val="22"/>
        </w:rPr>
        <w:t xml:space="preserve">tif, car il fait abstraction des considérations </w:t>
      </w:r>
      <w:r w:rsidRPr="006B209B">
        <w:rPr>
          <w:i/>
          <w:iCs/>
          <w:szCs w:val="22"/>
        </w:rPr>
        <w:t xml:space="preserve">d'égalité </w:t>
      </w:r>
      <w:r w:rsidRPr="006B209B">
        <w:rPr>
          <w:szCs w:val="22"/>
        </w:rPr>
        <w:t>et de prévention ou de réparation des dommages causés à la victime.</w:t>
      </w:r>
    </w:p>
    <w:p w:rsidR="005F113F" w:rsidRPr="006B209B" w:rsidRDefault="005F113F" w:rsidP="005F113F">
      <w:pPr>
        <w:spacing w:before="120" w:after="120"/>
        <w:jc w:val="both"/>
      </w:pPr>
      <w:r w:rsidRPr="006B209B">
        <w:rPr>
          <w:szCs w:val="22"/>
        </w:rPr>
        <w:t>Il existe des manifestations de la ha</w:t>
      </w:r>
      <w:r w:rsidRPr="006B209B">
        <w:rPr>
          <w:szCs w:val="22"/>
        </w:rPr>
        <w:t>i</w:t>
      </w:r>
      <w:r w:rsidRPr="006B209B">
        <w:rPr>
          <w:szCs w:val="22"/>
        </w:rPr>
        <w:t>ne qui, sans déclencher les dispositions législatives prohibant expressément certains gestes déf</w:t>
      </w:r>
      <w:r w:rsidRPr="006B209B">
        <w:rPr>
          <w:szCs w:val="22"/>
        </w:rPr>
        <w:t>i</w:t>
      </w:r>
      <w:r w:rsidRPr="006B209B">
        <w:rPr>
          <w:szCs w:val="22"/>
        </w:rPr>
        <w:t xml:space="preserve">nis comme haineux (comme dans </w:t>
      </w:r>
      <w:r w:rsidRPr="006B209B">
        <w:rPr>
          <w:i/>
          <w:iCs/>
          <w:szCs w:val="22"/>
        </w:rPr>
        <w:t xml:space="preserve">Taylor </w:t>
      </w:r>
      <w:r w:rsidRPr="006B209B">
        <w:rPr>
          <w:szCs w:val="22"/>
        </w:rPr>
        <w:t xml:space="preserve">ou </w:t>
      </w:r>
      <w:r w:rsidRPr="006B209B">
        <w:rPr>
          <w:i/>
          <w:iCs/>
          <w:szCs w:val="22"/>
        </w:rPr>
        <w:t xml:space="preserve">Whatcott), </w:t>
      </w:r>
      <w:r w:rsidRPr="006B209B">
        <w:rPr>
          <w:szCs w:val="22"/>
        </w:rPr>
        <w:t>to</w:t>
      </w:r>
      <w:r w:rsidRPr="006B209B">
        <w:rPr>
          <w:szCs w:val="22"/>
        </w:rPr>
        <w:t>m</w:t>
      </w:r>
      <w:r w:rsidRPr="006B209B">
        <w:rPr>
          <w:szCs w:val="22"/>
        </w:rPr>
        <w:t>bent sous le coup d'autres normes civ</w:t>
      </w:r>
      <w:r w:rsidRPr="006B209B">
        <w:rPr>
          <w:szCs w:val="22"/>
        </w:rPr>
        <w:t>i</w:t>
      </w:r>
      <w:r w:rsidRPr="006B209B">
        <w:rPr>
          <w:szCs w:val="22"/>
        </w:rPr>
        <w:t>les, réglementaires ou pénales. Nombre de comportements discriminatoires st</w:t>
      </w:r>
      <w:r w:rsidRPr="006B209B">
        <w:rPr>
          <w:szCs w:val="22"/>
        </w:rPr>
        <w:t>a</w:t>
      </w:r>
      <w:r w:rsidRPr="006B209B">
        <w:rPr>
          <w:szCs w:val="22"/>
        </w:rPr>
        <w:t>tutairement prohibés ou civilement fautifs entrent dans cette catégorie</w:t>
      </w:r>
      <w:r>
        <w:rPr>
          <w:szCs w:val="22"/>
        </w:rPr>
        <w:t> :</w:t>
      </w:r>
      <w:r w:rsidRPr="006B209B">
        <w:rPr>
          <w:szCs w:val="22"/>
        </w:rPr>
        <w:t xml:space="preserve"> prat</w:t>
      </w:r>
      <w:r w:rsidRPr="006B209B">
        <w:rPr>
          <w:szCs w:val="22"/>
        </w:rPr>
        <w:t>i</w:t>
      </w:r>
      <w:r w:rsidRPr="006B209B">
        <w:rPr>
          <w:szCs w:val="22"/>
        </w:rPr>
        <w:t>ques d'embauché illicites, discrimination dans le logement, affichage à cara</w:t>
      </w:r>
      <w:r w:rsidRPr="006B209B">
        <w:rPr>
          <w:szCs w:val="22"/>
        </w:rPr>
        <w:t>c</w:t>
      </w:r>
      <w:r w:rsidRPr="006B209B">
        <w:rPr>
          <w:szCs w:val="22"/>
        </w:rPr>
        <w:t xml:space="preserve">tère discriminatoire, diffamation, etc. Ces gestes ne menacent généralement pas la sécurité, mais ont en commun un aspect </w:t>
      </w:r>
      <w:r w:rsidRPr="006B209B">
        <w:rPr>
          <w:i/>
          <w:iCs/>
          <w:szCs w:val="22"/>
        </w:rPr>
        <w:t xml:space="preserve">préjudiciable. </w:t>
      </w:r>
      <w:r w:rsidRPr="006B209B">
        <w:rPr>
          <w:szCs w:val="22"/>
        </w:rPr>
        <w:t>Ce concept nous semble plus propre à l'élaboration d'une définition pragmatique de la haine.</w:t>
      </w:r>
    </w:p>
    <w:p w:rsidR="005F113F" w:rsidRPr="006B209B" w:rsidRDefault="005F113F" w:rsidP="005F113F">
      <w:pPr>
        <w:spacing w:before="120" w:after="120"/>
        <w:jc w:val="both"/>
      </w:pPr>
      <w:r w:rsidRPr="006B209B">
        <w:rPr>
          <w:szCs w:val="22"/>
        </w:rPr>
        <w:t>Vu la variété des conséquences que visent à sanctionner ou à pr</w:t>
      </w:r>
      <w:r w:rsidRPr="006B209B">
        <w:rPr>
          <w:szCs w:val="22"/>
        </w:rPr>
        <w:t>é</w:t>
      </w:r>
      <w:r w:rsidRPr="006B209B">
        <w:rPr>
          <w:szCs w:val="22"/>
        </w:rPr>
        <w:t>venir les divers régimes juridiques applicables à la haine, nous préc</w:t>
      </w:r>
      <w:r w:rsidRPr="006B209B">
        <w:rPr>
          <w:szCs w:val="22"/>
        </w:rPr>
        <w:t>o</w:t>
      </w:r>
      <w:r w:rsidRPr="006B209B">
        <w:rPr>
          <w:szCs w:val="22"/>
        </w:rPr>
        <w:t xml:space="preserve">nisons le critère </w:t>
      </w:r>
      <w:r w:rsidRPr="006B209B">
        <w:rPr>
          <w:i/>
          <w:iCs/>
          <w:szCs w:val="22"/>
        </w:rPr>
        <w:t xml:space="preserve">au préjudice. </w:t>
      </w:r>
      <w:r w:rsidRPr="006B209B">
        <w:rPr>
          <w:szCs w:val="22"/>
        </w:rPr>
        <w:t>Une définition des actes ha</w:t>
      </w:r>
      <w:r w:rsidRPr="006B209B">
        <w:rPr>
          <w:szCs w:val="22"/>
        </w:rPr>
        <w:t>i</w:t>
      </w:r>
      <w:r w:rsidRPr="006B209B">
        <w:rPr>
          <w:szCs w:val="22"/>
        </w:rPr>
        <w:t>neux à la fois simple, commode sur le terrain et compatible avec le droit appl</w:t>
      </w:r>
      <w:r w:rsidRPr="006B209B">
        <w:rPr>
          <w:szCs w:val="22"/>
        </w:rPr>
        <w:t>i</w:t>
      </w:r>
      <w:r w:rsidRPr="006B209B">
        <w:rPr>
          <w:szCs w:val="22"/>
        </w:rPr>
        <w:t>cable pourrait être</w:t>
      </w:r>
      <w:r>
        <w:rPr>
          <w:szCs w:val="22"/>
        </w:rPr>
        <w:t> :</w:t>
      </w:r>
      <w:r w:rsidRPr="006B209B">
        <w:rPr>
          <w:szCs w:val="22"/>
        </w:rPr>
        <w:t xml:space="preserve"> </w:t>
      </w:r>
      <w:r w:rsidRPr="006B209B">
        <w:rPr>
          <w:szCs w:val="22"/>
          <w:u w:val="single"/>
        </w:rPr>
        <w:t>tout comportement objectivement préjudiciable qui traduit de façon apparente une détestation pr</w:t>
      </w:r>
      <w:r w:rsidRPr="006B209B">
        <w:rPr>
          <w:szCs w:val="22"/>
          <w:u w:val="single"/>
        </w:rPr>
        <w:t>o</w:t>
      </w:r>
      <w:r w:rsidRPr="006B209B">
        <w:rPr>
          <w:szCs w:val="22"/>
          <w:u w:val="single"/>
        </w:rPr>
        <w:t>fonde ou extrême, fondée sur un motif illicite de discrimination</w:t>
      </w:r>
      <w:r w:rsidRPr="006B209B">
        <w:rPr>
          <w:szCs w:val="22"/>
        </w:rPr>
        <w:t>.</w:t>
      </w:r>
    </w:p>
    <w:p w:rsidR="005F113F" w:rsidRDefault="005F113F" w:rsidP="005F113F">
      <w:pPr>
        <w:pStyle w:val="p"/>
      </w:pPr>
      <w:r>
        <w:t>[458]</w:t>
      </w:r>
    </w:p>
    <w:p w:rsidR="005F113F" w:rsidRDefault="005F113F" w:rsidP="005F113F">
      <w:pPr>
        <w:spacing w:before="120" w:after="120"/>
        <w:jc w:val="both"/>
      </w:pPr>
    </w:p>
    <w:p w:rsidR="005F113F" w:rsidRPr="006B209B" w:rsidRDefault="005F113F" w:rsidP="005F113F">
      <w:pPr>
        <w:pStyle w:val="planche"/>
      </w:pPr>
      <w:bookmarkStart w:id="12" w:name="Definition_haine_7"/>
      <w:r>
        <w:t xml:space="preserve">7. </w:t>
      </w:r>
      <w:r w:rsidRPr="006B209B">
        <w:t>CONCLUSION</w:t>
      </w:r>
      <w:r>
        <w:t> :</w:t>
      </w:r>
      <w:r>
        <w:br/>
      </w:r>
      <w:r w:rsidRPr="006B209B">
        <w:t>LES LIM</w:t>
      </w:r>
      <w:r w:rsidRPr="006B209B">
        <w:t>I</w:t>
      </w:r>
      <w:r w:rsidRPr="006B209B">
        <w:t>TES DU DROIT</w:t>
      </w:r>
    </w:p>
    <w:bookmarkEnd w:id="12"/>
    <w:p w:rsidR="005F113F" w:rsidRDefault="005F113F" w:rsidP="005F113F">
      <w:pPr>
        <w:spacing w:before="120" w:after="120"/>
        <w:jc w:val="both"/>
        <w:rPr>
          <w:szCs w:val="22"/>
        </w:rPr>
      </w:pPr>
    </w:p>
    <w:p w:rsidR="005F113F" w:rsidRPr="00384B20" w:rsidRDefault="005F113F" w:rsidP="005F113F">
      <w:pPr>
        <w:ind w:right="90" w:firstLine="0"/>
        <w:jc w:val="both"/>
        <w:rPr>
          <w:sz w:val="20"/>
        </w:rPr>
      </w:pPr>
      <w:hyperlink w:anchor="tdm" w:history="1">
        <w:r w:rsidRPr="00384B20">
          <w:rPr>
            <w:rStyle w:val="Lienhypertexte"/>
            <w:sz w:val="20"/>
          </w:rPr>
          <w:t>Retour à la table des matières</w:t>
        </w:r>
      </w:hyperlink>
    </w:p>
    <w:p w:rsidR="005F113F" w:rsidRPr="006B209B" w:rsidRDefault="005F113F" w:rsidP="005F113F">
      <w:pPr>
        <w:spacing w:before="120" w:after="120"/>
        <w:jc w:val="both"/>
      </w:pPr>
      <w:r w:rsidRPr="006B209B">
        <w:rPr>
          <w:szCs w:val="22"/>
        </w:rPr>
        <w:t>Demeurent cependant des considér</w:t>
      </w:r>
      <w:r w:rsidRPr="006B209B">
        <w:rPr>
          <w:szCs w:val="22"/>
        </w:rPr>
        <w:t>a</w:t>
      </w:r>
      <w:r w:rsidRPr="006B209B">
        <w:rPr>
          <w:szCs w:val="22"/>
        </w:rPr>
        <w:t>tions d'ordre sociologique et politique. Désireuse de protéger la liberté d'expression, la Cour s</w:t>
      </w:r>
      <w:r w:rsidRPr="006B209B">
        <w:rPr>
          <w:szCs w:val="22"/>
        </w:rPr>
        <w:t>u</w:t>
      </w:r>
      <w:r w:rsidRPr="006B209B">
        <w:rPr>
          <w:szCs w:val="22"/>
        </w:rPr>
        <w:t xml:space="preserve">prême, dans </w:t>
      </w:r>
      <w:r w:rsidRPr="006B209B">
        <w:rPr>
          <w:i/>
          <w:iCs/>
          <w:szCs w:val="22"/>
        </w:rPr>
        <w:t xml:space="preserve">Whatcott, </w:t>
      </w:r>
      <w:r w:rsidRPr="006B209B">
        <w:rPr>
          <w:szCs w:val="22"/>
        </w:rPr>
        <w:t>ne qualifie pas de haineux les propos simpl</w:t>
      </w:r>
      <w:r w:rsidRPr="006B209B">
        <w:rPr>
          <w:szCs w:val="22"/>
        </w:rPr>
        <w:t>e</w:t>
      </w:r>
      <w:r w:rsidRPr="006B209B">
        <w:rPr>
          <w:szCs w:val="22"/>
        </w:rPr>
        <w:t>ment humiliants ou offensants pour les membres d'un groupe dit vu</w:t>
      </w:r>
      <w:r w:rsidRPr="006B209B">
        <w:rPr>
          <w:szCs w:val="22"/>
        </w:rPr>
        <w:t>l</w:t>
      </w:r>
      <w:r w:rsidRPr="006B209B">
        <w:rPr>
          <w:szCs w:val="22"/>
        </w:rPr>
        <w:t xml:space="preserve">nérable, mais uniquement les propos déshumanisants et calomnieux </w:t>
      </w:r>
      <w:r w:rsidRPr="006B209B">
        <w:rPr>
          <w:i/>
          <w:iCs/>
          <w:szCs w:val="22"/>
        </w:rPr>
        <w:t xml:space="preserve">(vilification). </w:t>
      </w:r>
      <w:r w:rsidRPr="006B209B">
        <w:rPr>
          <w:szCs w:val="22"/>
        </w:rPr>
        <w:t>Pourtant les premiers ne portent-ils pas atteinte à la r</w:t>
      </w:r>
      <w:r w:rsidRPr="006B209B">
        <w:rPr>
          <w:szCs w:val="22"/>
        </w:rPr>
        <w:t>e</w:t>
      </w:r>
      <w:r w:rsidRPr="006B209B">
        <w:rPr>
          <w:szCs w:val="22"/>
        </w:rPr>
        <w:t>connaissance des victimes comme membres à part entière d'une soci</w:t>
      </w:r>
      <w:r w:rsidRPr="006B209B">
        <w:rPr>
          <w:szCs w:val="22"/>
        </w:rPr>
        <w:t>é</w:t>
      </w:r>
      <w:r w:rsidRPr="006B209B">
        <w:rPr>
          <w:szCs w:val="22"/>
        </w:rPr>
        <w:t>té</w:t>
      </w:r>
      <w:r>
        <w:rPr>
          <w:szCs w:val="22"/>
        </w:rPr>
        <w:t> ?</w:t>
      </w:r>
    </w:p>
    <w:p w:rsidR="005F113F" w:rsidRPr="006B209B" w:rsidRDefault="005F113F" w:rsidP="005F113F">
      <w:pPr>
        <w:spacing w:before="120" w:after="120"/>
        <w:jc w:val="both"/>
      </w:pPr>
      <w:r w:rsidRPr="006B209B">
        <w:rPr>
          <w:szCs w:val="22"/>
        </w:rPr>
        <w:t>On peut comprendre que la sécurité soit placée au sommet de la hiérarchie des intérêts protégés, mais le droit ne devrait-il pas perme</w:t>
      </w:r>
      <w:r w:rsidRPr="006B209B">
        <w:rPr>
          <w:szCs w:val="22"/>
        </w:rPr>
        <w:t>t</w:t>
      </w:r>
      <w:r w:rsidRPr="006B209B">
        <w:rPr>
          <w:szCs w:val="22"/>
        </w:rPr>
        <w:t xml:space="preserve">tre d'encadrer les formes d'expression qui exposent un </w:t>
      </w:r>
      <w:r w:rsidRPr="006B209B">
        <w:rPr>
          <w:i/>
          <w:iCs/>
          <w:szCs w:val="22"/>
        </w:rPr>
        <w:t xml:space="preserve">groupe </w:t>
      </w:r>
      <w:r w:rsidRPr="006B209B">
        <w:rPr>
          <w:szCs w:val="22"/>
        </w:rPr>
        <w:t>à l'h</w:t>
      </w:r>
      <w:r w:rsidRPr="006B209B">
        <w:rPr>
          <w:szCs w:val="22"/>
        </w:rPr>
        <w:t>u</w:t>
      </w:r>
      <w:r w:rsidRPr="006B209B">
        <w:rPr>
          <w:szCs w:val="22"/>
        </w:rPr>
        <w:t>miliation publique</w:t>
      </w:r>
      <w:r>
        <w:rPr>
          <w:szCs w:val="22"/>
        </w:rPr>
        <w:t> ?</w:t>
      </w:r>
      <w:r w:rsidRPr="006B209B">
        <w:rPr>
          <w:szCs w:val="22"/>
        </w:rPr>
        <w:t xml:space="preserve"> Pour l'instant, il semble que la réponse soit nég</w:t>
      </w:r>
      <w:r w:rsidRPr="006B209B">
        <w:rPr>
          <w:szCs w:val="22"/>
        </w:rPr>
        <w:t>a</w:t>
      </w:r>
      <w:r w:rsidRPr="006B209B">
        <w:rPr>
          <w:szCs w:val="22"/>
        </w:rPr>
        <w:t>tive, sauf lorsqu'une interdiction statutaire (réglementaire ou pénale) précise ou un délit civil sont en cause -</w:t>
      </w:r>
      <w:r>
        <w:rPr>
          <w:szCs w:val="22"/>
        </w:rPr>
        <w:t xml:space="preserve"> </w:t>
      </w:r>
      <w:r w:rsidRPr="006B209B">
        <w:rPr>
          <w:szCs w:val="22"/>
        </w:rPr>
        <w:t>une perspective nettement i</w:t>
      </w:r>
      <w:r w:rsidRPr="006B209B">
        <w:rPr>
          <w:szCs w:val="22"/>
        </w:rPr>
        <w:t>n</w:t>
      </w:r>
      <w:r w:rsidRPr="006B209B">
        <w:rPr>
          <w:szCs w:val="22"/>
        </w:rPr>
        <w:t>dividualiste. Nombre de gestes et comportements impliquant une m</w:t>
      </w:r>
      <w:r w:rsidRPr="006B209B">
        <w:rPr>
          <w:szCs w:val="22"/>
        </w:rPr>
        <w:t>a</w:t>
      </w:r>
      <w:r w:rsidRPr="006B209B">
        <w:rPr>
          <w:szCs w:val="22"/>
        </w:rPr>
        <w:t>nifestation de haine envers un groupe identifiable ne sont pas jurid</w:t>
      </w:r>
      <w:r w:rsidRPr="006B209B">
        <w:rPr>
          <w:szCs w:val="22"/>
        </w:rPr>
        <w:t>i</w:t>
      </w:r>
      <w:r w:rsidRPr="006B209B">
        <w:rPr>
          <w:szCs w:val="22"/>
        </w:rPr>
        <w:t>quement sanctionnés bien qu'ils portent atteinte au statut social et aux sentiments de sécurité et d'appart</w:t>
      </w:r>
      <w:r w:rsidRPr="006B209B">
        <w:rPr>
          <w:szCs w:val="22"/>
        </w:rPr>
        <w:t>e</w:t>
      </w:r>
      <w:r w:rsidRPr="006B209B">
        <w:rPr>
          <w:szCs w:val="22"/>
        </w:rPr>
        <w:t>nance sociétale des membres du groupe visé.</w:t>
      </w:r>
    </w:p>
    <w:p w:rsidR="005F113F" w:rsidRPr="006B209B" w:rsidRDefault="005F113F" w:rsidP="005F113F">
      <w:pPr>
        <w:spacing w:before="120" w:after="120"/>
        <w:jc w:val="both"/>
      </w:pPr>
      <w:r w:rsidRPr="006B209B">
        <w:rPr>
          <w:szCs w:val="22"/>
        </w:rPr>
        <w:t>Le cas de la tête de cochon - animal considéré comme souillé, dont la consommation est interdite dans l'Islam - déposée devant la porte de la mosquée de Québec l'illustre. Ce geste a été qu</w:t>
      </w:r>
      <w:r w:rsidRPr="006B209B">
        <w:rPr>
          <w:szCs w:val="22"/>
        </w:rPr>
        <w:t>a</w:t>
      </w:r>
      <w:r w:rsidRPr="006B209B">
        <w:rPr>
          <w:szCs w:val="22"/>
        </w:rPr>
        <w:t>lifié d'</w:t>
      </w:r>
      <w:r>
        <w:rPr>
          <w:szCs w:val="22"/>
        </w:rPr>
        <w:t>« </w:t>
      </w:r>
      <w:r w:rsidRPr="006B209B">
        <w:rPr>
          <w:szCs w:val="22"/>
        </w:rPr>
        <w:t>incident</w:t>
      </w:r>
      <w:r>
        <w:rPr>
          <w:szCs w:val="22"/>
        </w:rPr>
        <w:t> »</w:t>
      </w:r>
      <w:r w:rsidRPr="006B209B">
        <w:rPr>
          <w:szCs w:val="22"/>
        </w:rPr>
        <w:t xml:space="preserve"> à caractère haineux par le Service de police, sans plus. Considérant les propos islamophobes circulant dans les médias sociaux et les actes de vandalisme visant la propriété et les lieux de culte de musulmans, un dispositif juridique ne devrait-il pas être mis en place pour sanctionner ce que d'aucuns ont décrit comme une mauva</w:t>
      </w:r>
      <w:r w:rsidRPr="006B209B">
        <w:rPr>
          <w:szCs w:val="22"/>
        </w:rPr>
        <w:t>i</w:t>
      </w:r>
      <w:r w:rsidRPr="006B209B">
        <w:rPr>
          <w:szCs w:val="22"/>
        </w:rPr>
        <w:t>se plaisanterie</w:t>
      </w:r>
      <w:r>
        <w:rPr>
          <w:szCs w:val="22"/>
        </w:rPr>
        <w:t> ?</w:t>
      </w:r>
    </w:p>
    <w:p w:rsidR="005F113F" w:rsidRPr="006B209B" w:rsidRDefault="005F113F" w:rsidP="005F113F">
      <w:pPr>
        <w:spacing w:before="120" w:after="120"/>
        <w:jc w:val="both"/>
      </w:pPr>
      <w:r w:rsidRPr="006B209B">
        <w:rPr>
          <w:szCs w:val="22"/>
        </w:rPr>
        <w:t>Des analystes ont commenté avant nous la préoccupation de la Cour s</w:t>
      </w:r>
      <w:r w:rsidRPr="006B209B">
        <w:rPr>
          <w:szCs w:val="22"/>
        </w:rPr>
        <w:t>u</w:t>
      </w:r>
      <w:r w:rsidRPr="006B209B">
        <w:rPr>
          <w:szCs w:val="22"/>
        </w:rPr>
        <w:t>prême de préserver non tant les droits des groupes protégés que de maintenir la paix sociale et religieuse, et de lancer des averti</w:t>
      </w:r>
      <w:r w:rsidRPr="006B209B">
        <w:rPr>
          <w:szCs w:val="22"/>
        </w:rPr>
        <w:t>s</w:t>
      </w:r>
      <w:r w:rsidRPr="006B209B">
        <w:rPr>
          <w:szCs w:val="22"/>
        </w:rPr>
        <w:t>sements aux propagandistes de la haine des minorités (Freiman, 2013</w:t>
      </w:r>
      <w:r>
        <w:rPr>
          <w:szCs w:val="22"/>
        </w:rPr>
        <w:t> :</w:t>
      </w:r>
      <w:r w:rsidRPr="006B209B">
        <w:rPr>
          <w:szCs w:val="22"/>
        </w:rPr>
        <w:t xml:space="preserve"> 301)</w:t>
      </w:r>
      <w:r>
        <w:rPr>
          <w:szCs w:val="22"/>
        </w:rPr>
        <w:t> </w:t>
      </w:r>
      <w:r>
        <w:rPr>
          <w:rStyle w:val="Appelnotedebasdep"/>
          <w:szCs w:val="22"/>
        </w:rPr>
        <w:footnoteReference w:id="59"/>
      </w:r>
      <w:r w:rsidRPr="006B209B">
        <w:rPr>
          <w:szCs w:val="22"/>
        </w:rPr>
        <w:t xml:space="preserve"> et aux mouvements d'e</w:t>
      </w:r>
      <w:r w:rsidRPr="006B209B">
        <w:rPr>
          <w:szCs w:val="22"/>
        </w:rPr>
        <w:t>x</w:t>
      </w:r>
      <w:r w:rsidRPr="006B209B">
        <w:rPr>
          <w:szCs w:val="22"/>
        </w:rPr>
        <w:t>trême droite, comme le voulait le Ra</w:t>
      </w:r>
      <w:r w:rsidRPr="006B209B">
        <w:rPr>
          <w:szCs w:val="22"/>
        </w:rPr>
        <w:t>p</w:t>
      </w:r>
      <w:r w:rsidRPr="006B209B">
        <w:rPr>
          <w:szCs w:val="22"/>
        </w:rPr>
        <w:t xml:space="preserve">port Cohen (1965). Cet objectif, qualifié de </w:t>
      </w:r>
      <w:r>
        <w:rPr>
          <w:szCs w:val="22"/>
        </w:rPr>
        <w:t>« </w:t>
      </w:r>
      <w:r w:rsidRPr="006B209B">
        <w:rPr>
          <w:i/>
          <w:iCs/>
          <w:szCs w:val="22"/>
        </w:rPr>
        <w:t>communautarian</w:t>
      </w:r>
      <w:r>
        <w:rPr>
          <w:i/>
          <w:iCs/>
          <w:szCs w:val="22"/>
        </w:rPr>
        <w:t> »</w:t>
      </w:r>
      <w:r w:rsidRPr="006B209B">
        <w:rPr>
          <w:szCs w:val="22"/>
        </w:rPr>
        <w:t xml:space="preserve"> par Pyeng Hwa Kang (2018</w:t>
      </w:r>
      <w:r>
        <w:rPr>
          <w:szCs w:val="22"/>
        </w:rPr>
        <w:t> :</w:t>
      </w:r>
      <w:r w:rsidRPr="006B209B">
        <w:rPr>
          <w:szCs w:val="22"/>
        </w:rPr>
        <w:t xml:space="preserve"> 6-8), pourrait</w:t>
      </w:r>
      <w:r>
        <w:rPr>
          <w:szCs w:val="22"/>
        </w:rPr>
        <w:t xml:space="preserve"> </w:t>
      </w:r>
      <w:r>
        <w:t xml:space="preserve">[459] </w:t>
      </w:r>
      <w:r w:rsidRPr="006B209B">
        <w:rPr>
          <w:szCs w:val="22"/>
        </w:rPr>
        <w:t>aussi expliquer la tiédeur des législ</w:t>
      </w:r>
      <w:r w:rsidRPr="006B209B">
        <w:rPr>
          <w:szCs w:val="22"/>
        </w:rPr>
        <w:t>a</w:t>
      </w:r>
      <w:r w:rsidRPr="006B209B">
        <w:rPr>
          <w:szCs w:val="22"/>
        </w:rPr>
        <w:t>teurs devant les conséquences perso</w:t>
      </w:r>
      <w:r w:rsidRPr="006B209B">
        <w:rPr>
          <w:szCs w:val="22"/>
        </w:rPr>
        <w:t>n</w:t>
      </w:r>
      <w:r w:rsidRPr="006B209B">
        <w:rPr>
          <w:szCs w:val="22"/>
        </w:rPr>
        <w:t>nelles et sociales subies par les victimes.</w:t>
      </w:r>
    </w:p>
    <w:p w:rsidR="005F113F" w:rsidRPr="006B209B" w:rsidRDefault="005F113F" w:rsidP="005F113F">
      <w:pPr>
        <w:spacing w:before="120" w:after="120"/>
        <w:jc w:val="both"/>
      </w:pPr>
      <w:r w:rsidRPr="006B209B">
        <w:rPr>
          <w:szCs w:val="22"/>
        </w:rPr>
        <w:t>Un geste d'intimidation à l'endroit d'un groupe protégé, tel que l'i</w:t>
      </w:r>
      <w:r w:rsidRPr="006B209B">
        <w:rPr>
          <w:szCs w:val="22"/>
        </w:rPr>
        <w:t>r</w:t>
      </w:r>
      <w:r w:rsidRPr="006B209B">
        <w:rPr>
          <w:szCs w:val="22"/>
        </w:rPr>
        <w:t>ruption d'une bande en tenue militaire dans une salle de réunion ou un lieu de culte, porte vraisemblablement atteinte à la r</w:t>
      </w:r>
      <w:r w:rsidRPr="006B209B">
        <w:rPr>
          <w:szCs w:val="22"/>
        </w:rPr>
        <w:t>e</w:t>
      </w:r>
      <w:r w:rsidRPr="006B209B">
        <w:rPr>
          <w:szCs w:val="22"/>
        </w:rPr>
        <w:t>connaissance et à la participation sociale égalitaire de ce groupe (Azeezah Kanji, 2018). Ce genre de conduite ne devrait-il pas être visé par la législation</w:t>
      </w:r>
      <w:r>
        <w:rPr>
          <w:szCs w:val="22"/>
        </w:rPr>
        <w:t> ?</w:t>
      </w:r>
    </w:p>
    <w:p w:rsidR="005F113F" w:rsidRPr="006B209B" w:rsidRDefault="005F113F" w:rsidP="005F113F">
      <w:pPr>
        <w:spacing w:before="120" w:after="120"/>
        <w:jc w:val="both"/>
      </w:pPr>
      <w:r w:rsidRPr="006B209B">
        <w:rPr>
          <w:szCs w:val="22"/>
        </w:rPr>
        <w:t>Mahoney (2009</w:t>
      </w:r>
      <w:r>
        <w:rPr>
          <w:szCs w:val="22"/>
        </w:rPr>
        <w:t> :</w:t>
      </w:r>
      <w:r w:rsidRPr="006B209B">
        <w:rPr>
          <w:szCs w:val="22"/>
        </w:rPr>
        <w:t xml:space="preserve"> 330) évoque l'intimidation et l'assignation au s</w:t>
      </w:r>
      <w:r w:rsidRPr="006B209B">
        <w:rPr>
          <w:szCs w:val="22"/>
        </w:rPr>
        <w:t>i</w:t>
      </w:r>
      <w:r w:rsidRPr="006B209B">
        <w:rPr>
          <w:szCs w:val="22"/>
        </w:rPr>
        <w:t>lence que constituent des propos violents larg</w:t>
      </w:r>
      <w:r w:rsidRPr="006B209B">
        <w:rPr>
          <w:szCs w:val="22"/>
        </w:rPr>
        <w:t>e</w:t>
      </w:r>
      <w:r w:rsidRPr="006B209B">
        <w:rPr>
          <w:szCs w:val="22"/>
        </w:rPr>
        <w:t>ment diffusés sur la toile et dont le but est d'interdire aux groupes vulnérables de s'expr</w:t>
      </w:r>
      <w:r w:rsidRPr="006B209B">
        <w:rPr>
          <w:szCs w:val="22"/>
        </w:rPr>
        <w:t>i</w:t>
      </w:r>
      <w:r w:rsidRPr="006B209B">
        <w:rPr>
          <w:szCs w:val="22"/>
        </w:rPr>
        <w:t>mer sur la scène publique. D</w:t>
      </w:r>
      <w:r w:rsidRPr="006B209B">
        <w:rPr>
          <w:szCs w:val="22"/>
        </w:rPr>
        <w:t>a</w:t>
      </w:r>
      <w:r w:rsidRPr="006B209B">
        <w:rPr>
          <w:szCs w:val="22"/>
        </w:rPr>
        <w:t>vid Cole (2017) commente</w:t>
      </w:r>
      <w:r>
        <w:rPr>
          <w:szCs w:val="22"/>
        </w:rPr>
        <w:t> :</w:t>
      </w:r>
      <w:r w:rsidRPr="006B209B">
        <w:rPr>
          <w:szCs w:val="22"/>
        </w:rPr>
        <w:t xml:space="preserve"> </w:t>
      </w:r>
      <w:r>
        <w:rPr>
          <w:szCs w:val="22"/>
        </w:rPr>
        <w:t>« </w:t>
      </w:r>
      <w:r w:rsidRPr="006B209B">
        <w:rPr>
          <w:szCs w:val="22"/>
        </w:rPr>
        <w:t>Why would disadvantaged minorities trust représentatives of the majority to décide whose speech should be censored</w:t>
      </w:r>
      <w:r>
        <w:rPr>
          <w:szCs w:val="22"/>
        </w:rPr>
        <w:t> ? »</w:t>
      </w:r>
      <w:r w:rsidRPr="006B209B">
        <w:rPr>
          <w:szCs w:val="22"/>
        </w:rPr>
        <w:t xml:space="preserve"> Ces raisonnements ac</w:t>
      </w:r>
      <w:r w:rsidRPr="006B209B">
        <w:rPr>
          <w:szCs w:val="22"/>
        </w:rPr>
        <w:t>a</w:t>
      </w:r>
      <w:r w:rsidRPr="006B209B">
        <w:rPr>
          <w:szCs w:val="22"/>
        </w:rPr>
        <w:t>démiques sont peu compatibles avec les garanties con</w:t>
      </w:r>
      <w:r w:rsidRPr="006B209B">
        <w:rPr>
          <w:szCs w:val="22"/>
        </w:rPr>
        <w:t>s</w:t>
      </w:r>
      <w:r w:rsidRPr="006B209B">
        <w:rPr>
          <w:szCs w:val="22"/>
        </w:rPr>
        <w:t>titutionnelles de la liberté d'expression au Canada</w:t>
      </w:r>
      <w:r>
        <w:rPr>
          <w:szCs w:val="22"/>
        </w:rPr>
        <w:t> ;</w:t>
      </w:r>
      <w:r w:rsidRPr="006B209B">
        <w:rPr>
          <w:szCs w:val="22"/>
        </w:rPr>
        <w:t xml:space="preserve"> ils passent également sous sile</w:t>
      </w:r>
      <w:r w:rsidRPr="006B209B">
        <w:rPr>
          <w:szCs w:val="22"/>
        </w:rPr>
        <w:t>n</w:t>
      </w:r>
      <w:r w:rsidRPr="006B209B">
        <w:rPr>
          <w:szCs w:val="22"/>
        </w:rPr>
        <w:t>ce les dangers que pose la censure pour la stabilité du corps social. Notre tradition juridique libérale traduit des choix historiques en f</w:t>
      </w:r>
      <w:r w:rsidRPr="006B209B">
        <w:rPr>
          <w:szCs w:val="22"/>
        </w:rPr>
        <w:t>a</w:t>
      </w:r>
      <w:r w:rsidRPr="006B209B">
        <w:rPr>
          <w:szCs w:val="22"/>
        </w:rPr>
        <w:t>veur d'une plus grande liberté dans l'expression des idées, même n</w:t>
      </w:r>
      <w:r w:rsidRPr="006B209B">
        <w:rPr>
          <w:szCs w:val="22"/>
        </w:rPr>
        <w:t>é</w:t>
      </w:r>
      <w:r w:rsidRPr="006B209B">
        <w:rPr>
          <w:szCs w:val="22"/>
        </w:rPr>
        <w:t>fastes.</w:t>
      </w:r>
    </w:p>
    <w:p w:rsidR="005F113F" w:rsidRPr="006B209B" w:rsidRDefault="005F113F" w:rsidP="005F113F">
      <w:pPr>
        <w:spacing w:before="120" w:after="120"/>
        <w:jc w:val="both"/>
      </w:pPr>
      <w:r w:rsidRPr="006B209B">
        <w:rPr>
          <w:szCs w:val="22"/>
        </w:rPr>
        <w:t>Cela dit, aucune liberté n'est absolue et nous estimons que des i</w:t>
      </w:r>
      <w:r w:rsidRPr="006B209B">
        <w:rPr>
          <w:szCs w:val="22"/>
        </w:rPr>
        <w:t>n</w:t>
      </w:r>
      <w:r w:rsidRPr="006B209B">
        <w:rPr>
          <w:szCs w:val="22"/>
        </w:rPr>
        <w:t>terventions sectorielles peuvent devenir nécessaires pour maintenir un climat social sain. Dans cette perspective, il serait oppo</w:t>
      </w:r>
      <w:r w:rsidRPr="006B209B">
        <w:rPr>
          <w:szCs w:val="22"/>
        </w:rPr>
        <w:t>r</w:t>
      </w:r>
      <w:r w:rsidRPr="006B209B">
        <w:rPr>
          <w:szCs w:val="22"/>
        </w:rPr>
        <w:t>tun de</w:t>
      </w:r>
      <w:r>
        <w:rPr>
          <w:szCs w:val="22"/>
        </w:rPr>
        <w:t> :</w:t>
      </w:r>
    </w:p>
    <w:p w:rsidR="005F113F" w:rsidRDefault="005F113F" w:rsidP="005F113F">
      <w:pPr>
        <w:spacing w:before="120" w:after="120"/>
        <w:jc w:val="both"/>
        <w:rPr>
          <w:szCs w:val="22"/>
        </w:rPr>
      </w:pPr>
    </w:p>
    <w:p w:rsidR="005F113F" w:rsidRPr="006B209B" w:rsidRDefault="005F113F" w:rsidP="005F113F">
      <w:pPr>
        <w:spacing w:before="120" w:after="120"/>
        <w:ind w:left="900" w:hanging="540"/>
        <w:jc w:val="both"/>
        <w:rPr>
          <w:szCs w:val="22"/>
        </w:rPr>
      </w:pPr>
      <w:r>
        <w:rPr>
          <w:szCs w:val="22"/>
        </w:rPr>
        <w:t>(1)</w:t>
      </w:r>
      <w:r>
        <w:rPr>
          <w:szCs w:val="22"/>
        </w:rPr>
        <w:tab/>
        <w:t>É</w:t>
      </w:r>
      <w:r w:rsidRPr="006B209B">
        <w:rPr>
          <w:szCs w:val="22"/>
        </w:rPr>
        <w:t>tudier la pertinence de rétablir un régime similaire à celui de l'a</w:t>
      </w:r>
      <w:r w:rsidRPr="006B209B">
        <w:rPr>
          <w:szCs w:val="22"/>
        </w:rPr>
        <w:t>r</w:t>
      </w:r>
      <w:r w:rsidRPr="006B209B">
        <w:rPr>
          <w:szCs w:val="22"/>
        </w:rPr>
        <w:t>ticle 13 LCDP, suffisamment ciblé pour passer le test de l'article</w:t>
      </w:r>
      <w:r>
        <w:rPr>
          <w:szCs w:val="22"/>
        </w:rPr>
        <w:t> </w:t>
      </w:r>
      <w:r w:rsidRPr="006B209B">
        <w:rPr>
          <w:szCs w:val="22"/>
        </w:rPr>
        <w:t>1 CCDL, en le restreignant par exemple à certaines utilisations haine</w:t>
      </w:r>
      <w:r w:rsidRPr="006B209B">
        <w:rPr>
          <w:szCs w:val="22"/>
        </w:rPr>
        <w:t>u</w:t>
      </w:r>
      <w:r w:rsidRPr="006B209B">
        <w:rPr>
          <w:szCs w:val="22"/>
        </w:rPr>
        <w:t>ses dans les médias sociaux.</w:t>
      </w:r>
    </w:p>
    <w:p w:rsidR="005F113F" w:rsidRPr="006B209B" w:rsidRDefault="005F113F" w:rsidP="005F113F">
      <w:pPr>
        <w:spacing w:before="120" w:after="120"/>
        <w:ind w:left="900" w:hanging="540"/>
        <w:jc w:val="both"/>
        <w:rPr>
          <w:szCs w:val="22"/>
        </w:rPr>
      </w:pPr>
      <w:r>
        <w:rPr>
          <w:szCs w:val="22"/>
        </w:rPr>
        <w:t>(2)</w:t>
      </w:r>
      <w:r>
        <w:rPr>
          <w:szCs w:val="22"/>
        </w:rPr>
        <w:tab/>
      </w:r>
      <w:r w:rsidRPr="006B209B">
        <w:rPr>
          <w:szCs w:val="22"/>
        </w:rPr>
        <w:t>Étudier la pertinence d'élargir l'interdiction des discours ha</w:t>
      </w:r>
      <w:r w:rsidRPr="006B209B">
        <w:rPr>
          <w:szCs w:val="22"/>
        </w:rPr>
        <w:t>i</w:t>
      </w:r>
      <w:r w:rsidRPr="006B209B">
        <w:rPr>
          <w:szCs w:val="22"/>
        </w:rPr>
        <w:t>neux afin d'inclure les appels aux formes illicites de discrim</w:t>
      </w:r>
      <w:r w:rsidRPr="006B209B">
        <w:rPr>
          <w:szCs w:val="22"/>
        </w:rPr>
        <w:t>i</w:t>
      </w:r>
      <w:r w:rsidRPr="006B209B">
        <w:rPr>
          <w:szCs w:val="22"/>
        </w:rPr>
        <w:t>nation.</w:t>
      </w:r>
    </w:p>
    <w:p w:rsidR="005F113F" w:rsidRDefault="005F113F" w:rsidP="005F113F">
      <w:pPr>
        <w:spacing w:before="120" w:after="120"/>
        <w:jc w:val="both"/>
        <w:rPr>
          <w:szCs w:val="22"/>
        </w:rPr>
      </w:pPr>
    </w:p>
    <w:p w:rsidR="005F113F" w:rsidRDefault="005F113F" w:rsidP="005F113F">
      <w:pPr>
        <w:spacing w:before="120" w:after="120"/>
        <w:jc w:val="both"/>
        <w:rPr>
          <w:szCs w:val="22"/>
        </w:rPr>
      </w:pPr>
      <w:r w:rsidRPr="006B209B">
        <w:rPr>
          <w:szCs w:val="22"/>
        </w:rPr>
        <w:t>Des régimes pénaux, réglementaires et civils existants permettent la sanction de gestes ou propos haineux dans pl</w:t>
      </w:r>
      <w:r w:rsidRPr="006B209B">
        <w:rPr>
          <w:szCs w:val="22"/>
        </w:rPr>
        <w:t>u</w:t>
      </w:r>
      <w:r w:rsidRPr="006B209B">
        <w:rPr>
          <w:szCs w:val="22"/>
        </w:rPr>
        <w:t>sieurs cas. Étudier le droit québécois de la diffamation et les décisions du Trib</w:t>
      </w:r>
      <w:r w:rsidRPr="006B209B">
        <w:rPr>
          <w:szCs w:val="22"/>
        </w:rPr>
        <w:t>u</w:t>
      </w:r>
      <w:r w:rsidRPr="006B209B">
        <w:rPr>
          <w:szCs w:val="22"/>
        </w:rPr>
        <w:t>nal des droits de la personne permettrait sans doute de comprendre comment les textes de loi ouvrent la possibilité d'o</w:t>
      </w:r>
      <w:r w:rsidRPr="006B209B">
        <w:rPr>
          <w:szCs w:val="22"/>
        </w:rPr>
        <w:t>c</w:t>
      </w:r>
      <w:r w:rsidRPr="006B209B">
        <w:rPr>
          <w:szCs w:val="22"/>
        </w:rPr>
        <w:t>troi</w:t>
      </w:r>
      <w:r>
        <w:rPr>
          <w:szCs w:val="22"/>
        </w:rPr>
        <w:t xml:space="preserve"> </w:t>
      </w:r>
      <w:r>
        <w:t xml:space="preserve">[460] </w:t>
      </w:r>
      <w:r w:rsidRPr="006B209B">
        <w:rPr>
          <w:szCs w:val="22"/>
        </w:rPr>
        <w:t>de dommages exemplaires (aussi dits punitifs), par exemple. C</w:t>
      </w:r>
      <w:r w:rsidRPr="006B209B">
        <w:rPr>
          <w:szCs w:val="22"/>
        </w:rPr>
        <w:t>e</w:t>
      </w:r>
      <w:r w:rsidRPr="006B209B">
        <w:rPr>
          <w:szCs w:val="22"/>
        </w:rPr>
        <w:t>pendant les victimes d'actes haineux, comme la plupart de leurs concitoyens, méconnai</w:t>
      </w:r>
      <w:r w:rsidRPr="006B209B">
        <w:rPr>
          <w:szCs w:val="22"/>
        </w:rPr>
        <w:t>s</w:t>
      </w:r>
      <w:r w:rsidRPr="006B209B">
        <w:rPr>
          <w:szCs w:val="22"/>
        </w:rPr>
        <w:t>sent souvent leurs droits et les exercent plus rar</w:t>
      </w:r>
      <w:r w:rsidRPr="006B209B">
        <w:rPr>
          <w:szCs w:val="22"/>
        </w:rPr>
        <w:t>e</w:t>
      </w:r>
      <w:r w:rsidRPr="006B209B">
        <w:rPr>
          <w:szCs w:val="22"/>
        </w:rPr>
        <w:t>ment encore. Vu la sous-dénonciation des crimes haineux, la que</w:t>
      </w:r>
      <w:r w:rsidRPr="006B209B">
        <w:rPr>
          <w:szCs w:val="22"/>
        </w:rPr>
        <w:t>s</w:t>
      </w:r>
      <w:r w:rsidRPr="006B209B">
        <w:rPr>
          <w:szCs w:val="22"/>
        </w:rPr>
        <w:t>tion de l'éducation aux droits et d'un accès universel à la justice d</w:t>
      </w:r>
      <w:r w:rsidRPr="006B209B">
        <w:rPr>
          <w:szCs w:val="22"/>
        </w:rPr>
        <w:t>e</w:t>
      </w:r>
      <w:r w:rsidRPr="006B209B">
        <w:rPr>
          <w:szCs w:val="22"/>
        </w:rPr>
        <w:t>meure entière.</w:t>
      </w:r>
    </w:p>
    <w:p w:rsidR="005F113F" w:rsidRPr="006B209B" w:rsidRDefault="005F113F" w:rsidP="005F113F">
      <w:pPr>
        <w:spacing w:before="120" w:after="120"/>
        <w:jc w:val="both"/>
      </w:pPr>
    </w:p>
    <w:p w:rsidR="005F113F" w:rsidRPr="006B209B" w:rsidRDefault="005F113F" w:rsidP="005F113F">
      <w:pPr>
        <w:pStyle w:val="planche"/>
      </w:pPr>
      <w:bookmarkStart w:id="13" w:name="Definition_haine_8"/>
      <w:r>
        <w:t xml:space="preserve">8. </w:t>
      </w:r>
      <w:r w:rsidRPr="006B209B">
        <w:t>RÉFÉRENCES</w:t>
      </w:r>
    </w:p>
    <w:bookmarkEnd w:id="13"/>
    <w:p w:rsidR="005F113F" w:rsidRDefault="005F113F" w:rsidP="005F113F">
      <w:pPr>
        <w:spacing w:before="120" w:after="120"/>
        <w:jc w:val="both"/>
        <w:rPr>
          <w:szCs w:val="22"/>
        </w:rPr>
      </w:pPr>
    </w:p>
    <w:p w:rsidR="005F113F" w:rsidRPr="00384B20" w:rsidRDefault="005F113F" w:rsidP="005F113F">
      <w:pPr>
        <w:ind w:right="90" w:firstLine="0"/>
        <w:jc w:val="both"/>
        <w:rPr>
          <w:sz w:val="20"/>
        </w:rPr>
      </w:pPr>
      <w:hyperlink w:anchor="tdm" w:history="1">
        <w:r w:rsidRPr="00384B20">
          <w:rPr>
            <w:rStyle w:val="Lienhypertexte"/>
            <w:sz w:val="20"/>
          </w:rPr>
          <w:t>Retour à la table des matières</w:t>
        </w:r>
      </w:hyperlink>
    </w:p>
    <w:p w:rsidR="005F113F" w:rsidRPr="006B209B" w:rsidRDefault="005F113F" w:rsidP="005F113F">
      <w:pPr>
        <w:spacing w:before="120" w:after="120"/>
        <w:jc w:val="both"/>
      </w:pPr>
      <w:r w:rsidRPr="006B209B">
        <w:rPr>
          <w:szCs w:val="22"/>
        </w:rPr>
        <w:t>Bowal, Peter, et Colin McKay, 2014. The Whatcott Case</w:t>
      </w:r>
      <w:r>
        <w:rPr>
          <w:szCs w:val="22"/>
        </w:rPr>
        <w:t> :</w:t>
      </w:r>
      <w:r w:rsidRPr="006B209B">
        <w:rPr>
          <w:szCs w:val="22"/>
        </w:rPr>
        <w:t xml:space="preserve"> Bala</w:t>
      </w:r>
      <w:r w:rsidRPr="006B209B">
        <w:rPr>
          <w:szCs w:val="22"/>
        </w:rPr>
        <w:t>n</w:t>
      </w:r>
      <w:r w:rsidRPr="006B209B">
        <w:rPr>
          <w:szCs w:val="22"/>
        </w:rPr>
        <w:t>cing Free Speech and Social Harmony, posted Website</w:t>
      </w:r>
      <w:r>
        <w:rPr>
          <w:szCs w:val="22"/>
        </w:rPr>
        <w:t> :</w:t>
      </w:r>
      <w:r w:rsidRPr="006B209B">
        <w:rPr>
          <w:szCs w:val="22"/>
        </w:rPr>
        <w:t xml:space="preserve"> </w:t>
      </w:r>
      <w:r w:rsidRPr="006B209B">
        <w:rPr>
          <w:i/>
          <w:iCs/>
          <w:szCs w:val="22"/>
        </w:rPr>
        <w:t>The Centre for Public L</w:t>
      </w:r>
      <w:r>
        <w:rPr>
          <w:i/>
          <w:iCs/>
          <w:szCs w:val="22"/>
        </w:rPr>
        <w:t>e</w:t>
      </w:r>
      <w:r w:rsidRPr="006B209B">
        <w:rPr>
          <w:i/>
          <w:iCs/>
          <w:szCs w:val="22"/>
        </w:rPr>
        <w:t xml:space="preserve">gal Education, Alberta, </w:t>
      </w:r>
      <w:r w:rsidRPr="006B209B">
        <w:rPr>
          <w:szCs w:val="22"/>
        </w:rPr>
        <w:t>7 juillet.</w:t>
      </w:r>
    </w:p>
    <w:p w:rsidR="005F113F" w:rsidRPr="006B209B" w:rsidRDefault="005F113F" w:rsidP="005F113F">
      <w:pPr>
        <w:spacing w:before="120" w:after="120"/>
        <w:jc w:val="both"/>
      </w:pPr>
      <w:r w:rsidRPr="006B209B">
        <w:rPr>
          <w:szCs w:val="22"/>
        </w:rPr>
        <w:t>Cole, David. 2017. Why We Must Still D</w:t>
      </w:r>
      <w:r>
        <w:rPr>
          <w:szCs w:val="22"/>
        </w:rPr>
        <w:t>e</w:t>
      </w:r>
      <w:r w:rsidRPr="006B209B">
        <w:rPr>
          <w:szCs w:val="22"/>
        </w:rPr>
        <w:t xml:space="preserve">fend Free Speech, </w:t>
      </w:r>
      <w:r w:rsidRPr="006B209B">
        <w:rPr>
          <w:i/>
          <w:iCs/>
          <w:szCs w:val="22"/>
        </w:rPr>
        <w:t>The New York Review of</w:t>
      </w:r>
      <w:r>
        <w:rPr>
          <w:i/>
          <w:iCs/>
          <w:szCs w:val="22"/>
        </w:rPr>
        <w:t xml:space="preserve"> </w:t>
      </w:r>
      <w:r w:rsidRPr="006B209B">
        <w:rPr>
          <w:i/>
          <w:iCs/>
          <w:szCs w:val="22"/>
        </w:rPr>
        <w:t xml:space="preserve">Books, </w:t>
      </w:r>
      <w:r w:rsidRPr="006B209B">
        <w:rPr>
          <w:szCs w:val="22"/>
        </w:rPr>
        <w:t>18 septembre, p. 61.</w:t>
      </w:r>
    </w:p>
    <w:p w:rsidR="005F113F" w:rsidRPr="006B209B" w:rsidRDefault="005F113F" w:rsidP="005F113F">
      <w:pPr>
        <w:spacing w:before="120" w:after="120"/>
        <w:jc w:val="both"/>
      </w:pPr>
      <w:r w:rsidRPr="006B209B">
        <w:rPr>
          <w:szCs w:val="22"/>
        </w:rPr>
        <w:t>Comité spécial de la propagande haineuse au Canada (Rapport C</w:t>
      </w:r>
      <w:r w:rsidRPr="006B209B">
        <w:rPr>
          <w:szCs w:val="22"/>
        </w:rPr>
        <w:t>o</w:t>
      </w:r>
      <w:r w:rsidRPr="006B209B">
        <w:rPr>
          <w:szCs w:val="22"/>
        </w:rPr>
        <w:t xml:space="preserve">hen), 1966. </w:t>
      </w:r>
      <w:r w:rsidRPr="006B209B">
        <w:rPr>
          <w:i/>
          <w:iCs/>
          <w:szCs w:val="22"/>
        </w:rPr>
        <w:t xml:space="preserve">Rapport soumis au ministre de la Justice, </w:t>
      </w:r>
      <w:r w:rsidRPr="006B209B">
        <w:rPr>
          <w:szCs w:val="22"/>
        </w:rPr>
        <w:t>Ottawa, Impr</w:t>
      </w:r>
      <w:r w:rsidRPr="006B209B">
        <w:rPr>
          <w:szCs w:val="22"/>
        </w:rPr>
        <w:t>i</w:t>
      </w:r>
      <w:r w:rsidRPr="006B209B">
        <w:rPr>
          <w:szCs w:val="22"/>
        </w:rPr>
        <w:t>meur de la Reine, 337 pages.</w:t>
      </w:r>
    </w:p>
    <w:p w:rsidR="005F113F" w:rsidRPr="006B209B" w:rsidRDefault="005F113F" w:rsidP="005F113F">
      <w:pPr>
        <w:spacing w:before="120" w:after="120"/>
        <w:jc w:val="both"/>
      </w:pPr>
      <w:r w:rsidRPr="006B209B">
        <w:rPr>
          <w:szCs w:val="22"/>
        </w:rPr>
        <w:t>Freiman, Mark. 2013. Hâte Speech and the Reasonable Supr</w:t>
      </w:r>
      <w:r>
        <w:rPr>
          <w:szCs w:val="22"/>
        </w:rPr>
        <w:t>e</w:t>
      </w:r>
      <w:r w:rsidRPr="006B209B">
        <w:rPr>
          <w:szCs w:val="22"/>
        </w:rPr>
        <w:t xml:space="preserve">me Court of Canada, </w:t>
      </w:r>
      <w:r w:rsidRPr="006B209B">
        <w:rPr>
          <w:i/>
          <w:iCs/>
          <w:szCs w:val="22"/>
        </w:rPr>
        <w:t xml:space="preserve">Suprême Court Law Review, </w:t>
      </w:r>
      <w:r w:rsidRPr="006B209B">
        <w:rPr>
          <w:szCs w:val="22"/>
        </w:rPr>
        <w:t>63</w:t>
      </w:r>
      <w:r>
        <w:rPr>
          <w:szCs w:val="22"/>
        </w:rPr>
        <w:t> :</w:t>
      </w:r>
      <w:r w:rsidRPr="006B209B">
        <w:rPr>
          <w:szCs w:val="22"/>
        </w:rPr>
        <w:t xml:space="preserve"> 295-312.</w:t>
      </w:r>
    </w:p>
    <w:p w:rsidR="005F113F" w:rsidRDefault="005F113F" w:rsidP="005F113F">
      <w:pPr>
        <w:spacing w:before="120" w:after="120"/>
        <w:jc w:val="both"/>
        <w:rPr>
          <w:szCs w:val="22"/>
        </w:rPr>
      </w:pPr>
      <w:r w:rsidRPr="006B209B">
        <w:rPr>
          <w:szCs w:val="22"/>
        </w:rPr>
        <w:t>Kang, Pyeng Hwa. 2018. Constit</w:t>
      </w:r>
      <w:r w:rsidRPr="006B209B">
        <w:rPr>
          <w:szCs w:val="22"/>
        </w:rPr>
        <w:t>u</w:t>
      </w:r>
      <w:r w:rsidRPr="006B209B">
        <w:rPr>
          <w:szCs w:val="22"/>
        </w:rPr>
        <w:t>tional Treatment of H</w:t>
      </w:r>
      <w:r>
        <w:rPr>
          <w:szCs w:val="22"/>
        </w:rPr>
        <w:t>a</w:t>
      </w:r>
      <w:r w:rsidRPr="006B209B">
        <w:rPr>
          <w:szCs w:val="22"/>
        </w:rPr>
        <w:t>te Speech and Freedom of Expression</w:t>
      </w:r>
      <w:r>
        <w:rPr>
          <w:szCs w:val="22"/>
        </w:rPr>
        <w:t> :</w:t>
      </w:r>
      <w:r w:rsidRPr="006B209B">
        <w:rPr>
          <w:szCs w:val="22"/>
        </w:rPr>
        <w:t xml:space="preserve"> a Canada-U.S. perspective, </w:t>
      </w:r>
      <w:r w:rsidRPr="006B209B">
        <w:rPr>
          <w:i/>
          <w:iCs/>
          <w:szCs w:val="22"/>
        </w:rPr>
        <w:t xml:space="preserve">La Revue des Droits de l'Homme, </w:t>
      </w:r>
      <w:r w:rsidRPr="006B209B">
        <w:rPr>
          <w:szCs w:val="22"/>
        </w:rPr>
        <w:t>14, 21 pages.</w:t>
      </w:r>
    </w:p>
    <w:p w:rsidR="005F113F" w:rsidRPr="006B209B" w:rsidRDefault="005F113F" w:rsidP="005F113F">
      <w:pPr>
        <w:spacing w:before="120" w:after="120"/>
        <w:jc w:val="both"/>
      </w:pPr>
      <w:hyperlink r:id="rId24" w:history="1">
        <w:r w:rsidRPr="006B209B">
          <w:rPr>
            <w:szCs w:val="22"/>
          </w:rPr>
          <w:t>http</w:t>
        </w:r>
        <w:r>
          <w:rPr>
            <w:szCs w:val="22"/>
          </w:rPr>
          <w:t>:</w:t>
        </w:r>
        <w:r w:rsidRPr="006B209B">
          <w:rPr>
            <w:szCs w:val="22"/>
          </w:rPr>
          <w:t>//journals</w:t>
        </w:r>
      </w:hyperlink>
      <w:r w:rsidRPr="006B209B">
        <w:rPr>
          <w:szCs w:val="22"/>
        </w:rPr>
        <w:t>.</w:t>
      </w:r>
      <w:hyperlink r:id="rId25" w:history="1">
        <w:r w:rsidRPr="006B209B">
          <w:rPr>
            <w:szCs w:val="22"/>
          </w:rPr>
          <w:t>openedition.org/revdh/4109</w:t>
        </w:r>
      </w:hyperlink>
      <w:r w:rsidRPr="006B209B">
        <w:rPr>
          <w:szCs w:val="22"/>
        </w:rPr>
        <w:t>.</w:t>
      </w:r>
    </w:p>
    <w:p w:rsidR="005F113F" w:rsidRPr="006B209B" w:rsidRDefault="005F113F" w:rsidP="005F113F">
      <w:pPr>
        <w:spacing w:before="120" w:after="120"/>
        <w:jc w:val="both"/>
      </w:pPr>
      <w:r w:rsidRPr="006B209B">
        <w:rPr>
          <w:szCs w:val="22"/>
        </w:rPr>
        <w:t>Kanji, Azeezah. 2018. Racism Stifles The Free Speech of Its Ta</w:t>
      </w:r>
      <w:r w:rsidRPr="006B209B">
        <w:rPr>
          <w:szCs w:val="22"/>
        </w:rPr>
        <w:t>r</w:t>
      </w:r>
      <w:r w:rsidRPr="006B209B">
        <w:rPr>
          <w:szCs w:val="22"/>
        </w:rPr>
        <w:t xml:space="preserve">gets, </w:t>
      </w:r>
      <w:r w:rsidRPr="006B209B">
        <w:rPr>
          <w:i/>
          <w:iCs/>
          <w:szCs w:val="22"/>
        </w:rPr>
        <w:t>Can</w:t>
      </w:r>
      <w:r w:rsidRPr="006B209B">
        <w:rPr>
          <w:i/>
          <w:iCs/>
          <w:szCs w:val="22"/>
        </w:rPr>
        <w:t>a</w:t>
      </w:r>
      <w:r w:rsidRPr="006B209B">
        <w:rPr>
          <w:i/>
          <w:iCs/>
          <w:szCs w:val="22"/>
        </w:rPr>
        <w:t xml:space="preserve">dian Diversity, </w:t>
      </w:r>
      <w:r w:rsidRPr="006B209B">
        <w:rPr>
          <w:szCs w:val="22"/>
        </w:rPr>
        <w:t>vol.</w:t>
      </w:r>
      <w:r>
        <w:rPr>
          <w:szCs w:val="22"/>
        </w:rPr>
        <w:t> </w:t>
      </w:r>
      <w:r w:rsidRPr="006B209B">
        <w:rPr>
          <w:szCs w:val="22"/>
        </w:rPr>
        <w:t>14, n°</w:t>
      </w:r>
      <w:r>
        <w:rPr>
          <w:szCs w:val="22"/>
        </w:rPr>
        <w:t> </w:t>
      </w:r>
      <w:r w:rsidRPr="006B209B">
        <w:rPr>
          <w:szCs w:val="22"/>
        </w:rPr>
        <w:t>4, pp. 44-46.</w:t>
      </w:r>
    </w:p>
    <w:p w:rsidR="005F113F" w:rsidRPr="006B209B" w:rsidRDefault="005F113F" w:rsidP="005F113F">
      <w:pPr>
        <w:spacing w:before="120" w:after="120"/>
        <w:jc w:val="both"/>
      </w:pPr>
      <w:r w:rsidRPr="006B209B">
        <w:rPr>
          <w:szCs w:val="22"/>
        </w:rPr>
        <w:t>Mahoney, Kathleen. 2009. H</w:t>
      </w:r>
      <w:r>
        <w:rPr>
          <w:szCs w:val="22"/>
        </w:rPr>
        <w:t>a</w:t>
      </w:r>
      <w:r w:rsidRPr="006B209B">
        <w:rPr>
          <w:szCs w:val="22"/>
        </w:rPr>
        <w:t>te Speech, Equality, and the State of C</w:t>
      </w:r>
      <w:r w:rsidRPr="006B209B">
        <w:rPr>
          <w:szCs w:val="22"/>
        </w:rPr>
        <w:t>a</w:t>
      </w:r>
      <w:r w:rsidRPr="006B209B">
        <w:rPr>
          <w:szCs w:val="22"/>
        </w:rPr>
        <w:t xml:space="preserve">nadian law, </w:t>
      </w:r>
      <w:r w:rsidRPr="006B209B">
        <w:rPr>
          <w:i/>
          <w:iCs/>
          <w:szCs w:val="22"/>
        </w:rPr>
        <w:t xml:space="preserve">Wake Forest Law Review, </w:t>
      </w:r>
      <w:r w:rsidRPr="006B209B">
        <w:rPr>
          <w:szCs w:val="22"/>
        </w:rPr>
        <w:t>vol.</w:t>
      </w:r>
      <w:r>
        <w:rPr>
          <w:szCs w:val="22"/>
        </w:rPr>
        <w:t> </w:t>
      </w:r>
      <w:r w:rsidRPr="006B209B">
        <w:rPr>
          <w:szCs w:val="22"/>
        </w:rPr>
        <w:t>44</w:t>
      </w:r>
      <w:r>
        <w:rPr>
          <w:szCs w:val="22"/>
        </w:rPr>
        <w:t> :</w:t>
      </w:r>
      <w:r w:rsidRPr="006B209B">
        <w:rPr>
          <w:szCs w:val="22"/>
        </w:rPr>
        <w:t xml:space="preserve"> 321-352.</w:t>
      </w:r>
    </w:p>
    <w:p w:rsidR="005F113F" w:rsidRPr="006B209B" w:rsidRDefault="005F113F" w:rsidP="005F113F">
      <w:pPr>
        <w:spacing w:before="120" w:after="120"/>
        <w:jc w:val="both"/>
      </w:pPr>
      <w:r w:rsidRPr="006B209B">
        <w:rPr>
          <w:szCs w:val="22"/>
        </w:rPr>
        <w:t xml:space="preserve">Moon, Richard. 2008. </w:t>
      </w:r>
      <w:r w:rsidRPr="006B209B">
        <w:rPr>
          <w:i/>
          <w:iCs/>
          <w:szCs w:val="22"/>
        </w:rPr>
        <w:t>Report to the Canadian Human Rights Commission Concerning Section 13 of</w:t>
      </w:r>
      <w:r>
        <w:rPr>
          <w:i/>
          <w:iCs/>
          <w:szCs w:val="22"/>
        </w:rPr>
        <w:t xml:space="preserve"> </w:t>
      </w:r>
      <w:r w:rsidRPr="006B209B">
        <w:rPr>
          <w:i/>
          <w:iCs/>
          <w:szCs w:val="22"/>
        </w:rPr>
        <w:t>the Canadian Human Rights Act and The R</w:t>
      </w:r>
      <w:r>
        <w:rPr>
          <w:i/>
          <w:iCs/>
          <w:szCs w:val="22"/>
        </w:rPr>
        <w:t>e</w:t>
      </w:r>
      <w:r w:rsidRPr="006B209B">
        <w:rPr>
          <w:i/>
          <w:iCs/>
          <w:szCs w:val="22"/>
        </w:rPr>
        <w:t>gulation of</w:t>
      </w:r>
      <w:r>
        <w:rPr>
          <w:i/>
          <w:iCs/>
          <w:szCs w:val="22"/>
        </w:rPr>
        <w:t xml:space="preserve"> </w:t>
      </w:r>
      <w:r w:rsidRPr="006B209B">
        <w:rPr>
          <w:i/>
          <w:iCs/>
          <w:szCs w:val="22"/>
        </w:rPr>
        <w:t xml:space="preserve">Hate Speech on the Internet, </w:t>
      </w:r>
      <w:hyperlink r:id="rId26" w:history="1">
        <w:r w:rsidRPr="006B209B">
          <w:rPr>
            <w:szCs w:val="22"/>
          </w:rPr>
          <w:t>http</w:t>
        </w:r>
        <w:r>
          <w:rPr>
            <w:szCs w:val="22"/>
          </w:rPr>
          <w:t>:</w:t>
        </w:r>
        <w:r w:rsidRPr="006B209B">
          <w:rPr>
            <w:szCs w:val="22"/>
          </w:rPr>
          <w:t>//</w:t>
        </w:r>
      </w:hyperlink>
      <w:hyperlink r:id="rId27" w:history="1">
        <w:r w:rsidRPr="006B209B">
          <w:rPr>
            <w:szCs w:val="22"/>
          </w:rPr>
          <w:t>www.chrc-ccdp.ca/pdf/moon_report.pdf</w:t>
        </w:r>
      </w:hyperlink>
      <w:r w:rsidRPr="006B209B">
        <w:rPr>
          <w:szCs w:val="22"/>
        </w:rPr>
        <w:t>.</w:t>
      </w:r>
    </w:p>
    <w:p w:rsidR="005F113F" w:rsidRPr="006B209B" w:rsidRDefault="005F113F" w:rsidP="005F113F">
      <w:pPr>
        <w:spacing w:before="120" w:after="120"/>
        <w:jc w:val="both"/>
      </w:pPr>
      <w:r w:rsidRPr="006B209B">
        <w:rPr>
          <w:szCs w:val="22"/>
        </w:rPr>
        <w:t xml:space="preserve">Rosen, Philip. 2000. </w:t>
      </w:r>
      <w:r w:rsidRPr="006B209B">
        <w:rPr>
          <w:i/>
          <w:iCs/>
          <w:szCs w:val="22"/>
        </w:rPr>
        <w:t xml:space="preserve">La Propagande haineuse, </w:t>
      </w:r>
      <w:r w:rsidRPr="006B209B">
        <w:rPr>
          <w:szCs w:val="22"/>
        </w:rPr>
        <w:t>Ottawa, Statistique Canada.</w:t>
      </w:r>
    </w:p>
    <w:p w:rsidR="005F113F" w:rsidRDefault="005F113F" w:rsidP="005F113F">
      <w:pPr>
        <w:pStyle w:val="p"/>
      </w:pPr>
      <w:r>
        <w:br w:type="page"/>
        <w:t>[461]</w:t>
      </w:r>
    </w:p>
    <w:p w:rsidR="005F113F" w:rsidRDefault="005F113F" w:rsidP="005F113F">
      <w:pPr>
        <w:spacing w:before="120" w:after="120"/>
        <w:jc w:val="both"/>
      </w:pPr>
    </w:p>
    <w:p w:rsidR="005F113F" w:rsidRDefault="005F113F" w:rsidP="005F113F">
      <w:pPr>
        <w:spacing w:before="120" w:after="120"/>
        <w:jc w:val="both"/>
      </w:pPr>
    </w:p>
    <w:p w:rsidR="005F113F" w:rsidRDefault="005F113F" w:rsidP="005F113F">
      <w:pPr>
        <w:pStyle w:val="planchest"/>
      </w:pPr>
      <w:bookmarkStart w:id="14" w:name="Definition_haine_annexe"/>
      <w:r w:rsidRPr="006B209B">
        <w:t>ANNEXE</w:t>
      </w:r>
    </w:p>
    <w:bookmarkEnd w:id="14"/>
    <w:p w:rsidR="005F113F" w:rsidRPr="006B209B" w:rsidRDefault="005F113F" w:rsidP="005F113F">
      <w:pPr>
        <w:pStyle w:val="planche"/>
      </w:pPr>
      <w:r w:rsidRPr="006B209B">
        <w:t xml:space="preserve">Extraits du </w:t>
      </w:r>
      <w:r w:rsidRPr="006B209B">
        <w:rPr>
          <w:i/>
          <w:iCs/>
        </w:rPr>
        <w:t xml:space="preserve">Code criminel, </w:t>
      </w:r>
      <w:r w:rsidRPr="006B209B">
        <w:t>L.R.C. (1985),</w:t>
      </w:r>
      <w:r>
        <w:br/>
      </w:r>
      <w:r w:rsidRPr="006B209B">
        <w:t>ch. C-46 Prop</w:t>
      </w:r>
      <w:r w:rsidRPr="006B209B">
        <w:t>a</w:t>
      </w:r>
      <w:r w:rsidRPr="006B209B">
        <w:t>gande haineuse</w:t>
      </w:r>
    </w:p>
    <w:p w:rsidR="005F113F" w:rsidRDefault="005F113F" w:rsidP="005F113F">
      <w:pPr>
        <w:spacing w:before="120" w:after="120"/>
        <w:jc w:val="both"/>
        <w:rPr>
          <w:b/>
          <w:bCs/>
          <w:i/>
          <w:iCs/>
        </w:rPr>
      </w:pPr>
    </w:p>
    <w:p w:rsidR="005F113F" w:rsidRDefault="005F113F" w:rsidP="005F113F">
      <w:pPr>
        <w:spacing w:before="120" w:after="120"/>
        <w:jc w:val="both"/>
        <w:rPr>
          <w:b/>
          <w:bCs/>
          <w:i/>
          <w:iCs/>
        </w:rPr>
      </w:pPr>
    </w:p>
    <w:p w:rsidR="005F113F" w:rsidRPr="00384B20" w:rsidRDefault="005F113F" w:rsidP="005F113F">
      <w:pPr>
        <w:ind w:right="90" w:firstLine="0"/>
        <w:jc w:val="both"/>
        <w:rPr>
          <w:sz w:val="20"/>
        </w:rPr>
      </w:pPr>
      <w:hyperlink w:anchor="tdm" w:history="1">
        <w:r w:rsidRPr="00384B20">
          <w:rPr>
            <w:rStyle w:val="Lienhypertexte"/>
            <w:sz w:val="20"/>
          </w:rPr>
          <w:t>Retour à la table des matières</w:t>
        </w:r>
      </w:hyperlink>
    </w:p>
    <w:p w:rsidR="005F113F" w:rsidRDefault="005F113F" w:rsidP="005F113F">
      <w:pPr>
        <w:spacing w:before="120" w:after="120"/>
        <w:jc w:val="both"/>
        <w:rPr>
          <w:b/>
          <w:bCs/>
          <w:i/>
          <w:iCs/>
        </w:rPr>
      </w:pPr>
    </w:p>
    <w:p w:rsidR="005F113F" w:rsidRPr="006B209B" w:rsidRDefault="005F113F" w:rsidP="005F113F">
      <w:pPr>
        <w:pStyle w:val="a"/>
      </w:pPr>
      <w:r w:rsidRPr="006B209B">
        <w:t>Encouragement au génocide</w:t>
      </w:r>
    </w:p>
    <w:p w:rsidR="005F113F" w:rsidRDefault="005F113F" w:rsidP="005F113F">
      <w:pPr>
        <w:spacing w:before="120" w:after="120"/>
        <w:jc w:val="both"/>
        <w:rPr>
          <w:b/>
          <w:bCs/>
        </w:rPr>
      </w:pPr>
    </w:p>
    <w:p w:rsidR="005F113F" w:rsidRPr="006B209B" w:rsidRDefault="005F113F" w:rsidP="005F113F">
      <w:pPr>
        <w:spacing w:before="120" w:after="120"/>
        <w:jc w:val="both"/>
      </w:pPr>
      <w:r w:rsidRPr="006B209B">
        <w:rPr>
          <w:b/>
          <w:bCs/>
        </w:rPr>
        <w:t>318</w:t>
      </w:r>
      <w:r>
        <w:rPr>
          <w:b/>
          <w:bCs/>
        </w:rPr>
        <w:t xml:space="preserve"> </w:t>
      </w:r>
      <w:r w:rsidRPr="006B209B">
        <w:t>(1) Quiconque préconise ou fomente le génocide est cou</w:t>
      </w:r>
      <w:r w:rsidRPr="006B209B">
        <w:br/>
        <w:t>pable d'un acte criminel et passible d'un emprisonnement maxi</w:t>
      </w:r>
      <w:r w:rsidRPr="006B209B">
        <w:br/>
        <w:t>mal de cinq ans.</w:t>
      </w:r>
    </w:p>
    <w:p w:rsidR="005F113F" w:rsidRPr="006B209B" w:rsidRDefault="005F113F" w:rsidP="005F113F">
      <w:pPr>
        <w:spacing w:before="120" w:after="120"/>
        <w:jc w:val="both"/>
      </w:pPr>
      <w:r w:rsidRPr="006B209B">
        <w:rPr>
          <w:i/>
          <w:iCs/>
        </w:rPr>
        <w:t>Définition de génocide</w:t>
      </w:r>
    </w:p>
    <w:p w:rsidR="005F113F" w:rsidRPr="006B209B" w:rsidRDefault="005F113F" w:rsidP="005F113F">
      <w:pPr>
        <w:spacing w:before="120" w:after="120"/>
        <w:jc w:val="both"/>
      </w:pPr>
      <w:r w:rsidRPr="006B209B">
        <w:t>(2) Au présent article, génocide s'e</w:t>
      </w:r>
      <w:r w:rsidRPr="006B209B">
        <w:t>n</w:t>
      </w:r>
      <w:r w:rsidRPr="006B209B">
        <w:t>tend de l'un ou l'autre des actes suivants commis avec l'intention de détruire totalement ou partiell</w:t>
      </w:r>
      <w:r w:rsidRPr="006B209B">
        <w:t>e</w:t>
      </w:r>
      <w:r w:rsidRPr="006B209B">
        <w:t>ment un groupe ide</w:t>
      </w:r>
      <w:r w:rsidRPr="006B209B">
        <w:t>n</w:t>
      </w:r>
      <w:r w:rsidRPr="006B209B">
        <w:t>tifiable, à savoir</w:t>
      </w:r>
      <w:r>
        <w:t> :</w:t>
      </w:r>
    </w:p>
    <w:p w:rsidR="005F113F" w:rsidRDefault="005F113F" w:rsidP="005F113F">
      <w:pPr>
        <w:pStyle w:val="Citation0liste"/>
      </w:pPr>
    </w:p>
    <w:p w:rsidR="005F113F" w:rsidRPr="006B209B" w:rsidRDefault="005F113F" w:rsidP="005F113F">
      <w:pPr>
        <w:pStyle w:val="Citation0liste"/>
      </w:pPr>
      <w:r>
        <w:t>a)</w:t>
      </w:r>
      <w:r>
        <w:tab/>
      </w:r>
      <w:r w:rsidRPr="006B209B">
        <w:t>le fait de tuer des membres du groupe</w:t>
      </w:r>
      <w:r>
        <w:t> ;</w:t>
      </w:r>
    </w:p>
    <w:p w:rsidR="005F113F" w:rsidRPr="006B209B" w:rsidRDefault="005F113F" w:rsidP="005F113F">
      <w:pPr>
        <w:pStyle w:val="Citation0liste"/>
      </w:pPr>
      <w:r>
        <w:t>b)</w:t>
      </w:r>
      <w:r>
        <w:tab/>
      </w:r>
      <w:r w:rsidRPr="006B209B">
        <w:t>le fait de soumettre délibérément le groupe à des conditions de vie propres à entraîner sa destruction physique.</w:t>
      </w:r>
    </w:p>
    <w:p w:rsidR="005F113F" w:rsidRDefault="005F113F" w:rsidP="005F113F">
      <w:pPr>
        <w:pStyle w:val="Citation0liste"/>
      </w:pPr>
      <w:r w:rsidRPr="006B209B">
        <w:t>[...]</w:t>
      </w:r>
    </w:p>
    <w:p w:rsidR="005F113F" w:rsidRPr="006B209B" w:rsidRDefault="005F113F" w:rsidP="005F113F">
      <w:pPr>
        <w:spacing w:before="120" w:after="120"/>
        <w:jc w:val="both"/>
      </w:pPr>
    </w:p>
    <w:p w:rsidR="005F113F" w:rsidRPr="006B209B" w:rsidRDefault="005F113F" w:rsidP="005F113F">
      <w:pPr>
        <w:spacing w:before="120" w:after="120"/>
        <w:jc w:val="both"/>
      </w:pPr>
      <w:r w:rsidRPr="006B209B">
        <w:rPr>
          <w:i/>
          <w:iCs/>
        </w:rPr>
        <w:t>Définition de groupe identifiable</w:t>
      </w:r>
    </w:p>
    <w:p w:rsidR="005F113F" w:rsidRDefault="005F113F" w:rsidP="005F113F">
      <w:pPr>
        <w:spacing w:before="120" w:after="120"/>
        <w:jc w:val="both"/>
      </w:pPr>
      <w:r w:rsidRPr="006B209B">
        <w:t>(4) Au présent article, groupe ident</w:t>
      </w:r>
      <w:r w:rsidRPr="006B209B">
        <w:t>i</w:t>
      </w:r>
      <w:r w:rsidRPr="006B209B">
        <w:t>fiable s'entend de toute section du public qui se différencie des autres par la couleur, la race, la rel</w:t>
      </w:r>
      <w:r w:rsidRPr="006B209B">
        <w:t>i</w:t>
      </w:r>
      <w:r w:rsidRPr="006B209B">
        <w:t>gion, l'origine nationale ou ethnique, l'âge, le sexe, l'orientation sexuelle, l'identité ou l'expression de genre ou la déficience me</w:t>
      </w:r>
      <w:r w:rsidRPr="006B209B">
        <w:t>n</w:t>
      </w:r>
      <w:r w:rsidRPr="006B209B">
        <w:t>tale ou physique.</w:t>
      </w:r>
    </w:p>
    <w:p w:rsidR="005F113F" w:rsidRPr="006B209B" w:rsidRDefault="005F113F" w:rsidP="005F113F">
      <w:pPr>
        <w:spacing w:before="120" w:after="120"/>
        <w:jc w:val="both"/>
      </w:pPr>
    </w:p>
    <w:p w:rsidR="005F113F" w:rsidRPr="006B209B" w:rsidRDefault="005F113F" w:rsidP="005F113F">
      <w:pPr>
        <w:pStyle w:val="a"/>
      </w:pPr>
      <w:r w:rsidRPr="006B209B">
        <w:t>Incitation publique à la haine</w:t>
      </w:r>
    </w:p>
    <w:p w:rsidR="005F113F" w:rsidRPr="006B209B" w:rsidRDefault="005F113F" w:rsidP="005F113F">
      <w:pPr>
        <w:spacing w:before="120" w:after="120"/>
        <w:jc w:val="both"/>
      </w:pPr>
      <w:r w:rsidRPr="006B209B">
        <w:rPr>
          <w:b/>
          <w:bCs/>
        </w:rPr>
        <w:t>319</w:t>
      </w:r>
      <w:r>
        <w:rPr>
          <w:b/>
          <w:bCs/>
        </w:rPr>
        <w:t xml:space="preserve"> </w:t>
      </w:r>
      <w:r w:rsidRPr="006B209B">
        <w:t>(1) Quiconque, par la communication de déclarations en</w:t>
      </w:r>
      <w:r>
        <w:t xml:space="preserve"> </w:t>
      </w:r>
      <w:r w:rsidRPr="006B209B">
        <w:t>un endroit public, incite à la haine contre un groupe identifiable,</w:t>
      </w:r>
      <w:r>
        <w:t xml:space="preserve"> </w:t>
      </w:r>
      <w:r w:rsidRPr="006B209B">
        <w:t>lor</w:t>
      </w:r>
      <w:r w:rsidRPr="006B209B">
        <w:t>s</w:t>
      </w:r>
      <w:r w:rsidRPr="006B209B">
        <w:t>qu'une telle incitation est susceptible d'entraîner une violation</w:t>
      </w:r>
      <w:r>
        <w:t xml:space="preserve"> </w:t>
      </w:r>
      <w:r w:rsidRPr="006B209B">
        <w:t>de la paix, est coupable</w:t>
      </w:r>
      <w:r>
        <w:t> :</w:t>
      </w:r>
    </w:p>
    <w:p w:rsidR="005F113F" w:rsidRDefault="005F113F" w:rsidP="005F113F">
      <w:pPr>
        <w:spacing w:before="120" w:after="120"/>
        <w:jc w:val="both"/>
      </w:pPr>
      <w:r>
        <w:t>[462]</w:t>
      </w:r>
    </w:p>
    <w:p w:rsidR="005F113F" w:rsidRDefault="005F113F" w:rsidP="005F113F">
      <w:pPr>
        <w:pStyle w:val="Citation0liste"/>
      </w:pPr>
    </w:p>
    <w:p w:rsidR="005F113F" w:rsidRPr="006B209B" w:rsidRDefault="005F113F" w:rsidP="005F113F">
      <w:pPr>
        <w:pStyle w:val="Citation0liste"/>
      </w:pPr>
      <w:r>
        <w:t>a)</w:t>
      </w:r>
      <w:r>
        <w:tab/>
      </w:r>
      <w:r w:rsidRPr="006B209B">
        <w:t>soit d'un acte criminel et passible d'un emprisonnement max</w:t>
      </w:r>
      <w:r w:rsidRPr="006B209B">
        <w:t>i</w:t>
      </w:r>
      <w:r w:rsidRPr="006B209B">
        <w:t>mal de deux ans</w:t>
      </w:r>
      <w:r>
        <w:t> ;</w:t>
      </w:r>
    </w:p>
    <w:p w:rsidR="005F113F" w:rsidRPr="006B209B" w:rsidRDefault="005F113F" w:rsidP="005F113F">
      <w:pPr>
        <w:pStyle w:val="Citation0liste"/>
      </w:pPr>
      <w:r>
        <w:t>b)</w:t>
      </w:r>
      <w:r>
        <w:tab/>
      </w:r>
      <w:r w:rsidRPr="006B209B">
        <w:t>soit d'une infraction punissable sur déclaration de culpabilité par pr</w:t>
      </w:r>
      <w:r w:rsidRPr="006B209B">
        <w:t>o</w:t>
      </w:r>
      <w:r w:rsidRPr="006B209B">
        <w:t>cédure sommaire.</w:t>
      </w:r>
    </w:p>
    <w:p w:rsidR="005F113F" w:rsidRDefault="005F113F" w:rsidP="005F113F">
      <w:pPr>
        <w:spacing w:before="120" w:after="120"/>
        <w:jc w:val="both"/>
        <w:rPr>
          <w:i/>
          <w:iCs/>
          <w:szCs w:val="22"/>
        </w:rPr>
      </w:pPr>
    </w:p>
    <w:p w:rsidR="005F113F" w:rsidRPr="006B209B" w:rsidRDefault="005F113F" w:rsidP="005F113F">
      <w:pPr>
        <w:spacing w:before="120" w:after="120"/>
        <w:jc w:val="both"/>
      </w:pPr>
      <w:r w:rsidRPr="006B209B">
        <w:rPr>
          <w:i/>
          <w:iCs/>
          <w:szCs w:val="22"/>
        </w:rPr>
        <w:t>Fomenter volontairement la haine</w:t>
      </w:r>
    </w:p>
    <w:p w:rsidR="005F113F" w:rsidRPr="006B209B" w:rsidRDefault="005F113F" w:rsidP="005F113F">
      <w:pPr>
        <w:spacing w:before="120" w:after="120"/>
        <w:jc w:val="both"/>
      </w:pPr>
      <w:r w:rsidRPr="006B209B">
        <w:rPr>
          <w:szCs w:val="22"/>
        </w:rPr>
        <w:t>(2)</w:t>
      </w:r>
      <w:r>
        <w:rPr>
          <w:szCs w:val="22"/>
        </w:rPr>
        <w:t xml:space="preserve"> </w:t>
      </w:r>
      <w:r w:rsidRPr="006B209B">
        <w:rPr>
          <w:szCs w:val="22"/>
        </w:rPr>
        <w:t>Quiconque, par la communication de déclarations autre</w:t>
      </w:r>
      <w:r>
        <w:rPr>
          <w:szCs w:val="22"/>
        </w:rPr>
        <w:t xml:space="preserve"> </w:t>
      </w:r>
      <w:r w:rsidRPr="006B209B">
        <w:rPr>
          <w:szCs w:val="22"/>
        </w:rPr>
        <w:t>ment que dans une conversation privée, fomente volontairement</w:t>
      </w:r>
      <w:r>
        <w:rPr>
          <w:szCs w:val="22"/>
        </w:rPr>
        <w:t xml:space="preserve"> </w:t>
      </w:r>
      <w:r w:rsidRPr="006B209B">
        <w:rPr>
          <w:szCs w:val="22"/>
        </w:rPr>
        <w:t>la haine contre un groupe identifiable est coupable</w:t>
      </w:r>
      <w:r>
        <w:rPr>
          <w:szCs w:val="22"/>
        </w:rPr>
        <w:t> :</w:t>
      </w:r>
    </w:p>
    <w:p w:rsidR="005F113F" w:rsidRDefault="005F113F" w:rsidP="005F113F">
      <w:pPr>
        <w:pStyle w:val="Citation0liste"/>
      </w:pPr>
    </w:p>
    <w:p w:rsidR="005F113F" w:rsidRPr="006B209B" w:rsidRDefault="005F113F" w:rsidP="005F113F">
      <w:pPr>
        <w:pStyle w:val="Citation0liste"/>
      </w:pPr>
      <w:r>
        <w:t>a)</w:t>
      </w:r>
      <w:r>
        <w:tab/>
      </w:r>
      <w:r w:rsidRPr="006B209B">
        <w:t>soit d'un acte criminel et passible d'un emprisonnement maximal de deux ans</w:t>
      </w:r>
      <w:r>
        <w:t> ;</w:t>
      </w:r>
    </w:p>
    <w:p w:rsidR="005F113F" w:rsidRPr="006B209B" w:rsidRDefault="005F113F" w:rsidP="005F113F">
      <w:pPr>
        <w:pStyle w:val="Citation0liste"/>
      </w:pPr>
      <w:r>
        <w:t>b)</w:t>
      </w:r>
      <w:r>
        <w:tab/>
      </w:r>
      <w:r w:rsidRPr="006B209B">
        <w:t>soit d'une infraction punissable sur déclaration de culpabilité par pr</w:t>
      </w:r>
      <w:r w:rsidRPr="006B209B">
        <w:t>o</w:t>
      </w:r>
      <w:r w:rsidRPr="006B209B">
        <w:t>céd</w:t>
      </w:r>
      <w:r w:rsidRPr="006B209B">
        <w:t>u</w:t>
      </w:r>
      <w:r w:rsidRPr="006B209B">
        <w:t>re sommaire.</w:t>
      </w:r>
    </w:p>
    <w:p w:rsidR="005F113F" w:rsidRDefault="005F113F" w:rsidP="005F113F">
      <w:pPr>
        <w:spacing w:before="120" w:after="120"/>
        <w:jc w:val="both"/>
        <w:rPr>
          <w:rFonts w:cs="Arial"/>
          <w:i/>
          <w:iCs/>
        </w:rPr>
      </w:pPr>
    </w:p>
    <w:p w:rsidR="005F113F" w:rsidRPr="006B209B" w:rsidRDefault="005F113F" w:rsidP="005F113F">
      <w:pPr>
        <w:spacing w:before="120" w:after="120"/>
        <w:jc w:val="both"/>
      </w:pPr>
      <w:r w:rsidRPr="006B209B">
        <w:rPr>
          <w:rFonts w:cs="Arial"/>
          <w:i/>
          <w:iCs/>
        </w:rPr>
        <w:t>D</w:t>
      </w:r>
      <w:r w:rsidRPr="006B209B">
        <w:rPr>
          <w:i/>
          <w:iCs/>
        </w:rPr>
        <w:t>é</w:t>
      </w:r>
      <w:r w:rsidRPr="006B209B">
        <w:rPr>
          <w:rFonts w:cs="Arial"/>
          <w:i/>
          <w:iCs/>
        </w:rPr>
        <w:t>fenses</w:t>
      </w:r>
    </w:p>
    <w:p w:rsidR="005F113F" w:rsidRPr="006B209B" w:rsidRDefault="005F113F" w:rsidP="005F113F">
      <w:pPr>
        <w:spacing w:before="120" w:after="120"/>
        <w:jc w:val="both"/>
      </w:pPr>
      <w:r w:rsidRPr="006B209B">
        <w:rPr>
          <w:szCs w:val="22"/>
        </w:rPr>
        <w:t>(3)</w:t>
      </w:r>
      <w:r>
        <w:rPr>
          <w:szCs w:val="22"/>
        </w:rPr>
        <w:t xml:space="preserve"> </w:t>
      </w:r>
      <w:r w:rsidRPr="006B209B">
        <w:rPr>
          <w:szCs w:val="22"/>
        </w:rPr>
        <w:t>Nul ne peut être déclaré coupable d'une infraction prévue</w:t>
      </w:r>
      <w:r w:rsidRPr="006B209B">
        <w:rPr>
          <w:szCs w:val="22"/>
        </w:rPr>
        <w:br/>
        <w:t>au paragraphe (2) dans les cas suivants</w:t>
      </w:r>
      <w:r>
        <w:rPr>
          <w:szCs w:val="22"/>
        </w:rPr>
        <w:t> :</w:t>
      </w:r>
    </w:p>
    <w:p w:rsidR="005F113F" w:rsidRDefault="005F113F" w:rsidP="005F113F">
      <w:pPr>
        <w:spacing w:before="120" w:after="120"/>
        <w:jc w:val="both"/>
        <w:rPr>
          <w:szCs w:val="22"/>
        </w:rPr>
      </w:pPr>
    </w:p>
    <w:p w:rsidR="005F113F" w:rsidRPr="006B209B" w:rsidRDefault="005F113F" w:rsidP="005F113F">
      <w:pPr>
        <w:pStyle w:val="Citation0liste"/>
      </w:pPr>
      <w:r>
        <w:t>a)</w:t>
      </w:r>
      <w:r>
        <w:tab/>
      </w:r>
      <w:r w:rsidRPr="006B209B">
        <w:t>il établit que les déclarations co</w:t>
      </w:r>
      <w:r w:rsidRPr="006B209B">
        <w:t>m</w:t>
      </w:r>
      <w:r w:rsidRPr="006B209B">
        <w:t>muniquées étaient vraies</w:t>
      </w:r>
      <w:r>
        <w:t> ;</w:t>
      </w:r>
    </w:p>
    <w:p w:rsidR="005F113F" w:rsidRPr="006B209B" w:rsidRDefault="005F113F" w:rsidP="005F113F">
      <w:pPr>
        <w:pStyle w:val="Citation0liste"/>
      </w:pPr>
      <w:r>
        <w:t>b)</w:t>
      </w:r>
      <w:r>
        <w:tab/>
      </w:r>
      <w:r w:rsidRPr="006B209B">
        <w:t>il a, de bonne foi, exprimé une op</w:t>
      </w:r>
      <w:r w:rsidRPr="006B209B">
        <w:t>i</w:t>
      </w:r>
      <w:r w:rsidRPr="006B209B">
        <w:t>nion sur un sujet religieux ou une opinion fondée sur un texte religieux a</w:t>
      </w:r>
      <w:r w:rsidRPr="006B209B">
        <w:t>u</w:t>
      </w:r>
      <w:r w:rsidRPr="006B209B">
        <w:t>quel il croit, ou a tenté d'en établir le bien-fondé par argument</w:t>
      </w:r>
      <w:r>
        <w:t> ;</w:t>
      </w:r>
    </w:p>
    <w:p w:rsidR="005F113F" w:rsidRPr="006B209B" w:rsidRDefault="005F113F" w:rsidP="005F113F">
      <w:pPr>
        <w:pStyle w:val="Citation0liste"/>
      </w:pPr>
      <w:r>
        <w:t>c)</w:t>
      </w:r>
      <w:r>
        <w:tab/>
      </w:r>
      <w:r w:rsidRPr="006B209B">
        <w:t>les déclarations se rapportaient à une question d'intérêt public dont l'examen était fait dans l'intérêt du public et, pour des motifs raisonn</w:t>
      </w:r>
      <w:r w:rsidRPr="006B209B">
        <w:t>a</w:t>
      </w:r>
      <w:r w:rsidRPr="006B209B">
        <w:t>bles, il les croyait vraies</w:t>
      </w:r>
      <w:r>
        <w:t> ;</w:t>
      </w:r>
    </w:p>
    <w:p w:rsidR="005F113F" w:rsidRPr="006B209B" w:rsidRDefault="005F113F" w:rsidP="005F113F">
      <w:pPr>
        <w:pStyle w:val="Citation0liste"/>
      </w:pPr>
      <w:r>
        <w:t>d)</w:t>
      </w:r>
      <w:r>
        <w:tab/>
      </w:r>
      <w:r w:rsidRPr="006B209B">
        <w:t>de bonne foi, il voulait attirer l'attention, afin qu'il y soit rem</w:t>
      </w:r>
      <w:r w:rsidRPr="006B209B">
        <w:t>é</w:t>
      </w:r>
      <w:r w:rsidRPr="006B209B">
        <w:t>dié, sur des questions provoquant ou de nature à provoquer des sent</w:t>
      </w:r>
      <w:r w:rsidRPr="006B209B">
        <w:t>i</w:t>
      </w:r>
      <w:r w:rsidRPr="006B209B">
        <w:t>ments de haine à l'égard d'un groupe identifiable au C</w:t>
      </w:r>
      <w:r w:rsidRPr="006B209B">
        <w:t>a</w:t>
      </w:r>
      <w:r w:rsidRPr="006B209B">
        <w:t>nada.</w:t>
      </w:r>
    </w:p>
    <w:p w:rsidR="005F113F" w:rsidRPr="006B209B" w:rsidRDefault="005F113F" w:rsidP="005F113F">
      <w:pPr>
        <w:pStyle w:val="Citation0liste"/>
      </w:pPr>
      <w:r w:rsidRPr="006B209B">
        <w:rPr>
          <w:rFonts w:cs="Arial"/>
          <w:b/>
          <w:bCs/>
        </w:rPr>
        <w:t>[...]</w:t>
      </w:r>
    </w:p>
    <w:p w:rsidR="005F113F" w:rsidRDefault="005F113F" w:rsidP="005F113F">
      <w:pPr>
        <w:spacing w:before="120" w:after="120"/>
        <w:jc w:val="both"/>
      </w:pPr>
      <w:r>
        <w:t>[463]</w:t>
      </w:r>
    </w:p>
    <w:p w:rsidR="005F113F" w:rsidRDefault="005F113F" w:rsidP="005F113F">
      <w:pPr>
        <w:spacing w:before="120" w:after="120"/>
        <w:jc w:val="both"/>
      </w:pPr>
    </w:p>
    <w:p w:rsidR="005F113F" w:rsidRPr="006B209B" w:rsidRDefault="005F113F" w:rsidP="005F113F">
      <w:pPr>
        <w:spacing w:before="120" w:after="120"/>
        <w:jc w:val="both"/>
      </w:pPr>
      <w:r w:rsidRPr="006B209B">
        <w:rPr>
          <w:i/>
          <w:iCs/>
        </w:rPr>
        <w:t>Consentement</w:t>
      </w:r>
    </w:p>
    <w:p w:rsidR="005F113F" w:rsidRDefault="005F113F" w:rsidP="005F113F">
      <w:pPr>
        <w:spacing w:before="120" w:after="120"/>
        <w:jc w:val="both"/>
      </w:pPr>
      <w:r w:rsidRPr="006B209B">
        <w:t>(6)</w:t>
      </w:r>
      <w:r>
        <w:t xml:space="preserve"> </w:t>
      </w:r>
      <w:r w:rsidRPr="006B209B">
        <w:t>Il ne peut être engagé de poursu</w:t>
      </w:r>
      <w:r w:rsidRPr="006B209B">
        <w:t>i</w:t>
      </w:r>
      <w:r w:rsidRPr="006B209B">
        <w:t>tes pour une infraction</w:t>
      </w:r>
      <w:r>
        <w:t xml:space="preserve"> </w:t>
      </w:r>
      <w:r w:rsidRPr="006B209B">
        <w:t>prévue au paragraphe (2) sans le conse</w:t>
      </w:r>
      <w:r w:rsidRPr="006B209B">
        <w:t>n</w:t>
      </w:r>
      <w:r w:rsidRPr="006B209B">
        <w:t>tement du procureur</w:t>
      </w:r>
      <w:r>
        <w:t xml:space="preserve"> </w:t>
      </w:r>
      <w:r w:rsidRPr="006B209B">
        <w:t>général.</w:t>
      </w:r>
    </w:p>
    <w:p w:rsidR="005F113F" w:rsidRPr="006B209B" w:rsidRDefault="005F113F" w:rsidP="005F113F">
      <w:pPr>
        <w:spacing w:before="120" w:after="120"/>
        <w:jc w:val="both"/>
      </w:pPr>
    </w:p>
    <w:p w:rsidR="005F113F" w:rsidRPr="006B209B" w:rsidRDefault="005F113F" w:rsidP="005F113F">
      <w:pPr>
        <w:spacing w:before="120" w:after="120"/>
        <w:jc w:val="both"/>
      </w:pPr>
      <w:r w:rsidRPr="006B209B">
        <w:rPr>
          <w:i/>
          <w:iCs/>
        </w:rPr>
        <w:t>Définitions</w:t>
      </w:r>
    </w:p>
    <w:p w:rsidR="005F113F" w:rsidRPr="006B209B" w:rsidRDefault="005F113F" w:rsidP="005F113F">
      <w:pPr>
        <w:spacing w:before="120" w:after="120"/>
        <w:jc w:val="both"/>
      </w:pPr>
      <w:r w:rsidRPr="006B209B">
        <w:t>(7)</w:t>
      </w:r>
      <w:r>
        <w:t xml:space="preserve"> </w:t>
      </w:r>
      <w:r w:rsidRPr="006B209B">
        <w:t>Les définitions qui suivent s'a</w:t>
      </w:r>
      <w:r w:rsidRPr="006B209B">
        <w:t>p</w:t>
      </w:r>
      <w:r w:rsidRPr="006B209B">
        <w:t>pliquent au présent article.</w:t>
      </w:r>
    </w:p>
    <w:p w:rsidR="005F113F" w:rsidRDefault="005F113F" w:rsidP="005F113F">
      <w:pPr>
        <w:pStyle w:val="Grillecouleur-Accent1"/>
        <w:rPr>
          <w:b/>
          <w:bCs/>
          <w:i/>
          <w:iCs/>
        </w:rPr>
      </w:pPr>
    </w:p>
    <w:p w:rsidR="005F113F" w:rsidRPr="006B209B" w:rsidRDefault="005F113F" w:rsidP="005F113F">
      <w:pPr>
        <w:pStyle w:val="Grillecouleur-Accent1"/>
      </w:pPr>
      <w:r w:rsidRPr="006B209B">
        <w:rPr>
          <w:b/>
          <w:bCs/>
          <w:i/>
          <w:iCs/>
        </w:rPr>
        <w:t xml:space="preserve">communiquer </w:t>
      </w:r>
      <w:r w:rsidRPr="006B209B">
        <w:t>S'entend notamment de la communication par téléph</w:t>
      </w:r>
      <w:r w:rsidRPr="006B209B">
        <w:t>o</w:t>
      </w:r>
      <w:r w:rsidRPr="006B209B">
        <w:t>ne, radiodiffusion ou autres moyens de co</w:t>
      </w:r>
      <w:r w:rsidRPr="006B209B">
        <w:t>m</w:t>
      </w:r>
      <w:r w:rsidRPr="006B209B">
        <w:t xml:space="preserve">munication visuelle ou sonore, </w:t>
      </w:r>
      <w:r w:rsidRPr="006B209B">
        <w:rPr>
          <w:i/>
          <w:iCs/>
        </w:rPr>
        <w:t>(comm</w:t>
      </w:r>
      <w:r w:rsidRPr="006B209B">
        <w:rPr>
          <w:i/>
          <w:iCs/>
        </w:rPr>
        <w:t>u</w:t>
      </w:r>
      <w:r w:rsidRPr="006B209B">
        <w:rPr>
          <w:i/>
          <w:iCs/>
        </w:rPr>
        <w:t>nicating)</w:t>
      </w:r>
    </w:p>
    <w:p w:rsidR="005F113F" w:rsidRPr="006B209B" w:rsidRDefault="005F113F" w:rsidP="005F113F">
      <w:pPr>
        <w:pStyle w:val="Grillecouleur-Accent1"/>
      </w:pPr>
      <w:r w:rsidRPr="006B209B">
        <w:rPr>
          <w:b/>
          <w:bCs/>
          <w:i/>
          <w:iCs/>
        </w:rPr>
        <w:t xml:space="preserve">déclarations </w:t>
      </w:r>
      <w:r w:rsidRPr="006B209B">
        <w:t>S'entend notamment des mots parlés, écrits ou enr</w:t>
      </w:r>
      <w:r w:rsidRPr="006B209B">
        <w:t>e</w:t>
      </w:r>
      <w:r w:rsidRPr="006B209B">
        <w:t>gistrés par des moyens électroniques ou électromagnétiques ou autr</w:t>
      </w:r>
      <w:r w:rsidRPr="006B209B">
        <w:t>e</w:t>
      </w:r>
      <w:r w:rsidRPr="006B209B">
        <w:t xml:space="preserve">ment, et des gestes, signes ou autres représentations visibles, </w:t>
      </w:r>
      <w:r w:rsidRPr="006B209B">
        <w:rPr>
          <w:i/>
          <w:iCs/>
        </w:rPr>
        <w:t>(stat</w:t>
      </w:r>
      <w:r w:rsidRPr="006B209B">
        <w:rPr>
          <w:i/>
          <w:iCs/>
        </w:rPr>
        <w:t>e</w:t>
      </w:r>
      <w:r w:rsidRPr="006B209B">
        <w:rPr>
          <w:i/>
          <w:iCs/>
        </w:rPr>
        <w:t>ments)</w:t>
      </w:r>
    </w:p>
    <w:p w:rsidR="005F113F" w:rsidRPr="006B209B" w:rsidRDefault="005F113F" w:rsidP="005F113F">
      <w:pPr>
        <w:pStyle w:val="Grillecouleur-Accent1"/>
      </w:pPr>
      <w:r w:rsidRPr="006B209B">
        <w:rPr>
          <w:b/>
          <w:bCs/>
          <w:i/>
          <w:iCs/>
        </w:rPr>
        <w:t xml:space="preserve">endroit public </w:t>
      </w:r>
      <w:r w:rsidRPr="006B209B">
        <w:t>Tout lieu auquel le public a accès de droit ou sur invit</w:t>
      </w:r>
      <w:r w:rsidRPr="006B209B">
        <w:t>a</w:t>
      </w:r>
      <w:r w:rsidRPr="006B209B">
        <w:t xml:space="preserve">tion, expresse ou tacite, </w:t>
      </w:r>
      <w:r w:rsidRPr="006B209B">
        <w:rPr>
          <w:i/>
          <w:iCs/>
        </w:rPr>
        <w:t>(public</w:t>
      </w:r>
      <w:r>
        <w:rPr>
          <w:i/>
          <w:iCs/>
        </w:rPr>
        <w:t xml:space="preserve"> </w:t>
      </w:r>
      <w:r w:rsidRPr="006B209B">
        <w:rPr>
          <w:i/>
          <w:iCs/>
        </w:rPr>
        <w:t>place)</w:t>
      </w:r>
    </w:p>
    <w:p w:rsidR="005F113F" w:rsidRPr="006B209B" w:rsidRDefault="005F113F" w:rsidP="005F113F">
      <w:pPr>
        <w:pStyle w:val="Grillecouleur-Accent1"/>
      </w:pPr>
      <w:r w:rsidRPr="006B209B">
        <w:rPr>
          <w:b/>
          <w:bCs/>
          <w:i/>
          <w:iCs/>
        </w:rPr>
        <w:t xml:space="preserve">groupe identifiable </w:t>
      </w:r>
      <w:r w:rsidRPr="006B209B">
        <w:t xml:space="preserve">a le sens que lui donne l'article 318. </w:t>
      </w:r>
      <w:r w:rsidRPr="006B209B">
        <w:rPr>
          <w:i/>
          <w:iCs/>
        </w:rPr>
        <w:t>(identifi</w:t>
      </w:r>
      <w:r w:rsidRPr="006B209B">
        <w:rPr>
          <w:i/>
          <w:iCs/>
        </w:rPr>
        <w:t>a</w:t>
      </w:r>
      <w:r w:rsidRPr="006B209B">
        <w:rPr>
          <w:i/>
          <w:iCs/>
        </w:rPr>
        <w:t>ble group)</w:t>
      </w:r>
    </w:p>
    <w:p w:rsidR="005F113F" w:rsidRDefault="005F113F" w:rsidP="005F113F">
      <w:pPr>
        <w:pStyle w:val="Grillecouleur-Accent1"/>
      </w:pPr>
      <w:r w:rsidRPr="006B209B">
        <w:t>[...]</w:t>
      </w:r>
    </w:p>
    <w:p w:rsidR="005F113F" w:rsidRPr="006B209B" w:rsidRDefault="005F113F" w:rsidP="005F113F">
      <w:pPr>
        <w:pStyle w:val="Grillecouleur-Accent1"/>
      </w:pPr>
    </w:p>
    <w:p w:rsidR="005F113F" w:rsidRPr="006B209B" w:rsidRDefault="005F113F" w:rsidP="005F113F">
      <w:pPr>
        <w:pStyle w:val="a"/>
      </w:pPr>
      <w:r w:rsidRPr="006B209B">
        <w:t>Méfaits</w:t>
      </w:r>
    </w:p>
    <w:p w:rsidR="005F113F" w:rsidRDefault="005F113F" w:rsidP="005F113F">
      <w:pPr>
        <w:spacing w:before="120" w:after="120"/>
        <w:jc w:val="both"/>
        <w:rPr>
          <w:i/>
          <w:iCs/>
        </w:rPr>
      </w:pPr>
    </w:p>
    <w:p w:rsidR="005F113F" w:rsidRPr="006B209B" w:rsidRDefault="005F113F" w:rsidP="005F113F">
      <w:pPr>
        <w:spacing w:before="120" w:after="120"/>
        <w:jc w:val="both"/>
      </w:pPr>
      <w:r w:rsidRPr="006B209B">
        <w:rPr>
          <w:i/>
          <w:iCs/>
        </w:rPr>
        <w:t>Méfait</w:t>
      </w:r>
    </w:p>
    <w:p w:rsidR="005F113F" w:rsidRPr="006B209B" w:rsidRDefault="005F113F" w:rsidP="005F113F">
      <w:pPr>
        <w:spacing w:before="120" w:after="120"/>
        <w:jc w:val="both"/>
      </w:pPr>
      <w:r w:rsidRPr="006B209B">
        <w:rPr>
          <w:b/>
          <w:bCs/>
        </w:rPr>
        <w:t xml:space="preserve">430 </w:t>
      </w:r>
      <w:r w:rsidRPr="006B209B">
        <w:t>(1) Commet un méfait qu</w:t>
      </w:r>
      <w:r w:rsidRPr="006B209B">
        <w:t>i</w:t>
      </w:r>
      <w:r w:rsidRPr="006B209B">
        <w:t>conque volontairement, selon le cas</w:t>
      </w:r>
      <w:r>
        <w:t> :</w:t>
      </w:r>
    </w:p>
    <w:p w:rsidR="005F113F" w:rsidRPr="006B209B" w:rsidRDefault="005F113F" w:rsidP="005F113F">
      <w:pPr>
        <w:pStyle w:val="Citation0liste"/>
      </w:pPr>
      <w:r>
        <w:t>a)</w:t>
      </w:r>
      <w:r>
        <w:tab/>
      </w:r>
      <w:r w:rsidRPr="006B209B">
        <w:t>détruit ou détériore un bien</w:t>
      </w:r>
      <w:r>
        <w:t> ;</w:t>
      </w:r>
    </w:p>
    <w:p w:rsidR="005F113F" w:rsidRPr="006B209B" w:rsidRDefault="005F113F" w:rsidP="005F113F">
      <w:pPr>
        <w:pStyle w:val="Citation0liste"/>
      </w:pPr>
      <w:r>
        <w:t>b)</w:t>
      </w:r>
      <w:r>
        <w:tab/>
      </w:r>
      <w:r w:rsidRPr="006B209B">
        <w:t>rend un bien dangereux, inutile, in</w:t>
      </w:r>
      <w:r w:rsidRPr="006B209B">
        <w:t>o</w:t>
      </w:r>
      <w:r w:rsidRPr="006B209B">
        <w:t>pérant ou inefficace</w:t>
      </w:r>
      <w:r>
        <w:t> ;</w:t>
      </w:r>
    </w:p>
    <w:p w:rsidR="005F113F" w:rsidRPr="006B209B" w:rsidRDefault="005F113F" w:rsidP="005F113F">
      <w:pPr>
        <w:pStyle w:val="Citation0liste"/>
      </w:pPr>
      <w:r>
        <w:t>c)</w:t>
      </w:r>
      <w:r>
        <w:tab/>
      </w:r>
      <w:r w:rsidRPr="006B209B">
        <w:t>empêche, interrompt ou gêne l'emploi, la jouissance ou l'exploitation lég</w:t>
      </w:r>
      <w:r w:rsidRPr="006B209B">
        <w:t>i</w:t>
      </w:r>
      <w:r w:rsidRPr="006B209B">
        <w:t>time d'un bien</w:t>
      </w:r>
      <w:r>
        <w:t> ;</w:t>
      </w:r>
    </w:p>
    <w:p w:rsidR="005F113F" w:rsidRDefault="005F113F" w:rsidP="005F113F">
      <w:pPr>
        <w:spacing w:before="120" w:after="120"/>
        <w:jc w:val="both"/>
      </w:pPr>
      <w:r>
        <w:t>[464]</w:t>
      </w:r>
    </w:p>
    <w:p w:rsidR="005F113F" w:rsidRPr="006B209B" w:rsidRDefault="005F113F" w:rsidP="005F113F">
      <w:pPr>
        <w:pStyle w:val="Citation0liste"/>
      </w:pPr>
      <w:r w:rsidRPr="006B209B">
        <w:t>d) empêche, interrompt ou gêne une personne dans l'emploi, la jouissance ou l'exploitation légitime d'un bien.</w:t>
      </w:r>
    </w:p>
    <w:p w:rsidR="005F113F" w:rsidRDefault="005F113F" w:rsidP="005F113F">
      <w:pPr>
        <w:pStyle w:val="Citation0liste"/>
      </w:pPr>
      <w:r w:rsidRPr="006B209B">
        <w:t>[...]</w:t>
      </w:r>
    </w:p>
    <w:p w:rsidR="005F113F" w:rsidRPr="006B209B" w:rsidRDefault="005F113F" w:rsidP="005F113F">
      <w:pPr>
        <w:pStyle w:val="Citation0liste"/>
      </w:pPr>
    </w:p>
    <w:p w:rsidR="005F113F" w:rsidRPr="006B209B" w:rsidRDefault="005F113F" w:rsidP="005F113F">
      <w:pPr>
        <w:spacing w:before="120" w:after="120"/>
        <w:jc w:val="both"/>
      </w:pPr>
      <w:r w:rsidRPr="006B209B">
        <w:rPr>
          <w:i/>
          <w:iCs/>
        </w:rPr>
        <w:t>Méfait</w:t>
      </w:r>
      <w:r>
        <w:rPr>
          <w:i/>
          <w:iCs/>
        </w:rPr>
        <w:t> :</w:t>
      </w:r>
      <w:r w:rsidRPr="006B209B">
        <w:rPr>
          <w:i/>
          <w:iCs/>
        </w:rPr>
        <w:t xml:space="preserve"> biens religieux, établiss</w:t>
      </w:r>
      <w:r w:rsidRPr="006B209B">
        <w:rPr>
          <w:i/>
          <w:iCs/>
        </w:rPr>
        <w:t>e</w:t>
      </w:r>
      <w:r w:rsidRPr="006B209B">
        <w:rPr>
          <w:i/>
          <w:iCs/>
        </w:rPr>
        <w:t>ments d'enseignement, etc.</w:t>
      </w:r>
    </w:p>
    <w:p w:rsidR="005F113F" w:rsidRPr="006B209B" w:rsidRDefault="005F113F" w:rsidP="005F113F">
      <w:pPr>
        <w:spacing w:before="120" w:after="120"/>
        <w:jc w:val="both"/>
      </w:pPr>
      <w:r w:rsidRPr="006B209B">
        <w:t>(4.1) Quiconque, étant motivé par des préjugés ou de la haine fo</w:t>
      </w:r>
      <w:r w:rsidRPr="006B209B">
        <w:t>n</w:t>
      </w:r>
      <w:r w:rsidRPr="006B209B">
        <w:t>dés sur la couleur, la race, la religion, l'origine nationale ou ethnique, l'âge, le sexe, l'orientation sexuelle, l'identité ou l'e</w:t>
      </w:r>
      <w:r w:rsidRPr="006B209B">
        <w:t>x</w:t>
      </w:r>
      <w:r w:rsidRPr="006B209B">
        <w:t>pression de genre ou la déficience me</w:t>
      </w:r>
      <w:r w:rsidRPr="006B209B">
        <w:t>n</w:t>
      </w:r>
      <w:r w:rsidRPr="006B209B">
        <w:t>tale ou physique, commet un méfait à l'égard d'un bien visé à l'un ou l'autre des alinéas (4.101)a) à d), est coupable</w:t>
      </w:r>
      <w:r>
        <w:t> :</w:t>
      </w:r>
    </w:p>
    <w:p w:rsidR="005F113F" w:rsidRDefault="005F113F" w:rsidP="005F113F">
      <w:pPr>
        <w:pStyle w:val="Citation0liste"/>
      </w:pPr>
    </w:p>
    <w:p w:rsidR="005F113F" w:rsidRPr="006B209B" w:rsidRDefault="005F113F" w:rsidP="005F113F">
      <w:pPr>
        <w:pStyle w:val="Citation0liste"/>
      </w:pPr>
      <w:r>
        <w:t>a)</w:t>
      </w:r>
      <w:r>
        <w:tab/>
      </w:r>
      <w:r w:rsidRPr="006B209B">
        <w:t>soit d'un acte criminel passible d'un emprisonnement maximal de dix ans</w:t>
      </w:r>
      <w:r>
        <w:t> ;</w:t>
      </w:r>
    </w:p>
    <w:p w:rsidR="005F113F" w:rsidRDefault="005F113F" w:rsidP="005F113F">
      <w:pPr>
        <w:pStyle w:val="Citation0liste"/>
      </w:pPr>
      <w:r>
        <w:t>b)</w:t>
      </w:r>
      <w:r>
        <w:tab/>
      </w:r>
      <w:r w:rsidRPr="006B209B">
        <w:t>soit d'une infraction punissable sur déclaration de culpabilité par pr</w:t>
      </w:r>
      <w:r w:rsidRPr="006B209B">
        <w:t>o</w:t>
      </w:r>
      <w:r w:rsidRPr="006B209B">
        <w:t>cédure sommaire et passible d'un emprisonn</w:t>
      </w:r>
      <w:r w:rsidRPr="006B209B">
        <w:t>e</w:t>
      </w:r>
      <w:r w:rsidRPr="006B209B">
        <w:t>ment maximal de dix-huit mois.</w:t>
      </w:r>
    </w:p>
    <w:p w:rsidR="005F113F" w:rsidRPr="006B209B" w:rsidRDefault="005F113F" w:rsidP="005F113F">
      <w:pPr>
        <w:spacing w:before="120" w:after="120"/>
        <w:jc w:val="both"/>
      </w:pPr>
    </w:p>
    <w:p w:rsidR="005F113F" w:rsidRPr="006B209B" w:rsidRDefault="005F113F" w:rsidP="005F113F">
      <w:pPr>
        <w:spacing w:before="120" w:after="120"/>
        <w:jc w:val="both"/>
      </w:pPr>
      <w:r w:rsidRPr="006B209B">
        <w:rPr>
          <w:i/>
          <w:iCs/>
        </w:rPr>
        <w:t>Définition de bien</w:t>
      </w:r>
    </w:p>
    <w:p w:rsidR="005F113F" w:rsidRPr="006B209B" w:rsidRDefault="005F113F" w:rsidP="005F113F">
      <w:pPr>
        <w:spacing w:before="120" w:after="120"/>
        <w:jc w:val="both"/>
      </w:pPr>
      <w:r w:rsidRPr="006B209B">
        <w:t>(4.101) Pour l'application du par</w:t>
      </w:r>
      <w:r w:rsidRPr="006B209B">
        <w:t>a</w:t>
      </w:r>
      <w:r w:rsidRPr="006B209B">
        <w:t xml:space="preserve">graphe (4.1), </w:t>
      </w:r>
      <w:r w:rsidRPr="006B209B">
        <w:rPr>
          <w:i/>
          <w:iCs/>
        </w:rPr>
        <w:t xml:space="preserve">bien </w:t>
      </w:r>
      <w:r w:rsidRPr="006B209B">
        <w:t>s'entend</w:t>
      </w:r>
      <w:r>
        <w:t> :</w:t>
      </w:r>
    </w:p>
    <w:p w:rsidR="005F113F" w:rsidRDefault="005F113F" w:rsidP="005F113F">
      <w:pPr>
        <w:pStyle w:val="Citation0liste"/>
      </w:pPr>
    </w:p>
    <w:p w:rsidR="005F113F" w:rsidRPr="006B209B" w:rsidRDefault="005F113F" w:rsidP="005F113F">
      <w:pPr>
        <w:pStyle w:val="Citation0liste"/>
      </w:pPr>
      <w:r>
        <w:t>a)</w:t>
      </w:r>
      <w:r>
        <w:tab/>
      </w:r>
      <w:r w:rsidRPr="006B209B">
        <w:t>de tout ou partie d'un bâtiment ou d'une structure servant principal</w:t>
      </w:r>
      <w:r w:rsidRPr="006B209B">
        <w:t>e</w:t>
      </w:r>
      <w:r w:rsidRPr="006B209B">
        <w:t>ment au culte religieux — notamment une église, une mosquée, une synagogue ou un temple -, d'un objet lié au culte rel</w:t>
      </w:r>
      <w:r w:rsidRPr="006B209B">
        <w:t>i</w:t>
      </w:r>
      <w:r w:rsidRPr="006B209B">
        <w:t>gieux se trouvant dans un tel bâtiment ou une telle structure ou sur le terrain où ceux-ci sont érigés, ou d'un cimetière</w:t>
      </w:r>
      <w:r>
        <w:t> ;</w:t>
      </w:r>
    </w:p>
    <w:p w:rsidR="005F113F" w:rsidRPr="006B209B" w:rsidRDefault="005F113F" w:rsidP="005F113F">
      <w:pPr>
        <w:pStyle w:val="Citation0liste"/>
      </w:pPr>
      <w:r>
        <w:t>b)</w:t>
      </w:r>
      <w:r>
        <w:tab/>
      </w:r>
      <w:r w:rsidRPr="006B209B">
        <w:t>de tout ou partie d'un bâtiment ou d'une structure utilisés principal</w:t>
      </w:r>
      <w:r w:rsidRPr="006B209B">
        <w:t>e</w:t>
      </w:r>
      <w:r w:rsidRPr="006B209B">
        <w:t xml:space="preserve">ment par un </w:t>
      </w:r>
      <w:r w:rsidRPr="00F12536">
        <w:t xml:space="preserve">groupe identifiable, </w:t>
      </w:r>
      <w:r w:rsidRPr="006B209B">
        <w:t>au sens du paragraphe 318(4), comme établiss</w:t>
      </w:r>
      <w:r w:rsidRPr="006B209B">
        <w:t>e</w:t>
      </w:r>
      <w:r w:rsidRPr="006B209B">
        <w:t>ment d'enseignement - notamment une école, une garderie, un collège ou une université -, ou d'un objet lié à un établissement d'e</w:t>
      </w:r>
      <w:r w:rsidRPr="006B209B">
        <w:t>n</w:t>
      </w:r>
      <w:r w:rsidRPr="006B209B">
        <w:t>seignement se trouvant dans un tel bâtiment ou une telle structure ou sur le terrain où ceux-ci sont ér</w:t>
      </w:r>
      <w:r w:rsidRPr="006B209B">
        <w:t>i</w:t>
      </w:r>
      <w:r w:rsidRPr="006B209B">
        <w:t>gés</w:t>
      </w:r>
      <w:r>
        <w:t> ;</w:t>
      </w:r>
    </w:p>
    <w:p w:rsidR="005F113F" w:rsidRDefault="005F113F" w:rsidP="005F113F">
      <w:pPr>
        <w:spacing w:before="120" w:after="120"/>
        <w:jc w:val="both"/>
      </w:pPr>
      <w:r>
        <w:br w:type="page"/>
        <w:t>[465]</w:t>
      </w:r>
    </w:p>
    <w:p w:rsidR="005F113F" w:rsidRPr="006B209B" w:rsidRDefault="005F113F" w:rsidP="005F113F">
      <w:pPr>
        <w:pStyle w:val="Citation0liste"/>
      </w:pPr>
      <w:r>
        <w:t>c)</w:t>
      </w:r>
      <w:r>
        <w:tab/>
      </w:r>
      <w:r w:rsidRPr="006B209B">
        <w:t>de tout ou partie d'un bâtiment ou d'une structure servant principal</w:t>
      </w:r>
      <w:r w:rsidRPr="006B209B">
        <w:t>e</w:t>
      </w:r>
      <w:r w:rsidRPr="006B209B">
        <w:t xml:space="preserve">ment à la tenue, par un </w:t>
      </w:r>
      <w:r w:rsidRPr="006B209B">
        <w:rPr>
          <w:i/>
          <w:iCs/>
        </w:rPr>
        <w:t xml:space="preserve">groupe identifiable </w:t>
      </w:r>
      <w:r w:rsidRPr="006B209B">
        <w:t>au sens du paragr</w:t>
      </w:r>
      <w:r w:rsidRPr="006B209B">
        <w:t>a</w:t>
      </w:r>
      <w:r w:rsidRPr="006B209B">
        <w:t>phe 318(4), d'activités ou d'événements à caractère administratif, s</w:t>
      </w:r>
      <w:r w:rsidRPr="006B209B">
        <w:t>o</w:t>
      </w:r>
      <w:r w:rsidRPr="006B209B">
        <w:t>cial, culturel ou sportif</w:t>
      </w:r>
      <w:r>
        <w:t xml:space="preserve"> </w:t>
      </w:r>
      <w:r w:rsidRPr="006B209B">
        <w:t>- notamment un hôtel de ville, un centre communa</w:t>
      </w:r>
      <w:r w:rsidRPr="006B209B">
        <w:t>u</w:t>
      </w:r>
      <w:r w:rsidRPr="006B209B">
        <w:t>taire, un terrain de jeu ou un aréna -, ou d'un objet lié à une telle activ</w:t>
      </w:r>
      <w:r w:rsidRPr="006B209B">
        <w:t>i</w:t>
      </w:r>
      <w:r w:rsidRPr="006B209B">
        <w:t>té ou un tel événement se trouvant dans un tel bâtiment ou une telle structure ou sur le terrain où ceux-ci sont érigés</w:t>
      </w:r>
      <w:r>
        <w:t> ;</w:t>
      </w:r>
    </w:p>
    <w:p w:rsidR="005F113F" w:rsidRPr="006B209B" w:rsidRDefault="005F113F" w:rsidP="005F113F">
      <w:pPr>
        <w:pStyle w:val="Citation0liste"/>
      </w:pPr>
      <w:r>
        <w:t>d)</w:t>
      </w:r>
      <w:r>
        <w:tab/>
      </w:r>
      <w:r w:rsidRPr="006B209B">
        <w:t>de tout ou partie d'un bâtiment ou d'une structure utilisés principal</w:t>
      </w:r>
      <w:r w:rsidRPr="006B209B">
        <w:t>e</w:t>
      </w:r>
      <w:r w:rsidRPr="006B209B">
        <w:t xml:space="preserve">ment par un </w:t>
      </w:r>
      <w:r w:rsidRPr="00F12536">
        <w:t xml:space="preserve">groupe identifiable, </w:t>
      </w:r>
      <w:r w:rsidRPr="006B209B">
        <w:t>au sens du paragraphe 318(4), comme résidence pour personnes âgées ou d'un objet lié à une telle résidence se trouvant dans un tel bâtiment ou une telle structure ou sur le terrain où ceux-ci sont érigés.</w:t>
      </w:r>
    </w:p>
    <w:p w:rsidR="005F113F" w:rsidRDefault="005F113F" w:rsidP="005F113F">
      <w:pPr>
        <w:pStyle w:val="Citation0liste"/>
      </w:pPr>
      <w:r w:rsidRPr="006B209B">
        <w:t>[...]</w:t>
      </w:r>
    </w:p>
    <w:p w:rsidR="005F113F" w:rsidRPr="006B209B" w:rsidRDefault="005F113F" w:rsidP="005F113F">
      <w:pPr>
        <w:pStyle w:val="Citation0liste"/>
      </w:pPr>
    </w:p>
    <w:p w:rsidR="005F113F" w:rsidRPr="006B209B" w:rsidRDefault="005F113F" w:rsidP="005F113F">
      <w:pPr>
        <w:spacing w:before="120" w:after="120"/>
        <w:jc w:val="both"/>
      </w:pPr>
      <w:r w:rsidRPr="006B209B">
        <w:rPr>
          <w:i/>
          <w:iCs/>
        </w:rPr>
        <w:t>Principes de détermination de la peine</w:t>
      </w:r>
    </w:p>
    <w:p w:rsidR="005F113F" w:rsidRPr="006B209B" w:rsidRDefault="005F113F" w:rsidP="005F113F">
      <w:pPr>
        <w:spacing w:before="120" w:after="120"/>
        <w:jc w:val="both"/>
      </w:pPr>
      <w:r w:rsidRPr="00336EF8">
        <w:rPr>
          <w:b/>
        </w:rPr>
        <w:t>718.2</w:t>
      </w:r>
      <w:r w:rsidRPr="006B209B">
        <w:t xml:space="preserve"> Le tribunal détermine la peine à infliger compte tenu égal</w:t>
      </w:r>
      <w:r w:rsidRPr="006B209B">
        <w:t>e</w:t>
      </w:r>
      <w:r w:rsidRPr="006B209B">
        <w:t>ment des principes suivants</w:t>
      </w:r>
      <w:r>
        <w:t> :</w:t>
      </w:r>
    </w:p>
    <w:p w:rsidR="005F113F" w:rsidRDefault="005F113F" w:rsidP="005F113F">
      <w:pPr>
        <w:pStyle w:val="Citation0liste"/>
      </w:pPr>
    </w:p>
    <w:p w:rsidR="005F113F" w:rsidRPr="006B209B" w:rsidRDefault="005F113F" w:rsidP="005F113F">
      <w:pPr>
        <w:pStyle w:val="Citation0liste"/>
      </w:pPr>
      <w:r w:rsidRPr="006B209B">
        <w:t>a)</w:t>
      </w:r>
      <w:r>
        <w:tab/>
      </w:r>
      <w:r w:rsidRPr="006B209B">
        <w:t>la peine devrait être adaptée aux circonstances aggravantes ou att</w:t>
      </w:r>
      <w:r w:rsidRPr="006B209B">
        <w:t>é</w:t>
      </w:r>
      <w:r w:rsidRPr="006B209B">
        <w:t>nuantes liées à la perpétration de l'infraction ou à la situation du déli</w:t>
      </w:r>
      <w:r w:rsidRPr="006B209B">
        <w:t>n</w:t>
      </w:r>
      <w:r w:rsidRPr="006B209B">
        <w:t>quant</w:t>
      </w:r>
      <w:r>
        <w:t> ;</w:t>
      </w:r>
      <w:r w:rsidRPr="006B209B">
        <w:t xml:space="preserve"> sont notamment considérées comme des circonstances aggr</w:t>
      </w:r>
      <w:r w:rsidRPr="006B209B">
        <w:t>a</w:t>
      </w:r>
      <w:r w:rsidRPr="006B209B">
        <w:t>vantes des éléments de preuve établissant</w:t>
      </w:r>
      <w:r>
        <w:t> :</w:t>
      </w:r>
    </w:p>
    <w:p w:rsidR="005F113F" w:rsidRDefault="005F113F" w:rsidP="005F113F">
      <w:pPr>
        <w:pStyle w:val="Citation0liste"/>
      </w:pPr>
    </w:p>
    <w:p w:rsidR="005F113F" w:rsidRPr="006B209B" w:rsidRDefault="005F113F" w:rsidP="005F113F">
      <w:pPr>
        <w:pStyle w:val="Citation0liste2"/>
        <w:ind w:left="1620" w:hanging="540"/>
      </w:pPr>
      <w:r w:rsidRPr="006B209B">
        <w:t>(i)</w:t>
      </w:r>
      <w:r>
        <w:tab/>
      </w:r>
      <w:r w:rsidRPr="006B209B">
        <w:t>que l'infraction est motivée par des préjugés ou de la haine fo</w:t>
      </w:r>
      <w:r w:rsidRPr="006B209B">
        <w:t>n</w:t>
      </w:r>
      <w:r w:rsidRPr="006B209B">
        <w:t>dés sur des facteurs tels que la race, l'origine nationale ou ethn</w:t>
      </w:r>
      <w:r w:rsidRPr="006B209B">
        <w:t>i</w:t>
      </w:r>
      <w:r w:rsidRPr="006B209B">
        <w:t>que, la langue, la couleur, la religion, le sexe, l'âge, la déficience mentale ou physique, l'orientation sexuelle ou l'identité ou l'expre</w:t>
      </w:r>
      <w:r w:rsidRPr="006B209B">
        <w:t>s</w:t>
      </w:r>
      <w:r w:rsidRPr="006B209B">
        <w:t>sion de genre,</w:t>
      </w:r>
    </w:p>
    <w:p w:rsidR="005F113F" w:rsidRPr="006B209B" w:rsidRDefault="005F113F" w:rsidP="005F113F">
      <w:pPr>
        <w:pStyle w:val="Citation0liste2"/>
        <w:ind w:left="1620" w:hanging="540"/>
      </w:pPr>
      <w:r w:rsidRPr="006B209B">
        <w:t>(ii)</w:t>
      </w:r>
      <w:r>
        <w:tab/>
      </w:r>
      <w:r w:rsidRPr="006B209B">
        <w:t>que l'infraction perpétrée par le délinquant constitue un mauvais tra</w:t>
      </w:r>
      <w:r w:rsidRPr="006B209B">
        <w:t>i</w:t>
      </w:r>
      <w:r w:rsidRPr="006B209B">
        <w:t>tement de son époux ou conjoint de fait,</w:t>
      </w:r>
    </w:p>
    <w:p w:rsidR="005F113F" w:rsidRPr="006B209B" w:rsidRDefault="005F113F" w:rsidP="005F113F">
      <w:pPr>
        <w:pStyle w:val="Citation0liste2"/>
        <w:ind w:left="1620" w:hanging="540"/>
      </w:pPr>
      <w:r>
        <w:t>(ii.</w:t>
      </w:r>
      <w:r w:rsidRPr="006B209B">
        <w:t>1)</w:t>
      </w:r>
      <w:r>
        <w:tab/>
      </w:r>
      <w:r w:rsidRPr="006B209B">
        <w:t>que l'infraction perpétrée par le délinquant constitue un mauvais trait</w:t>
      </w:r>
      <w:r w:rsidRPr="006B209B">
        <w:t>e</w:t>
      </w:r>
      <w:r w:rsidRPr="006B209B">
        <w:t>ment à l'égard d'une personne âgée de moins de dix-huit ans,</w:t>
      </w:r>
    </w:p>
    <w:p w:rsidR="005F113F" w:rsidRDefault="005F113F" w:rsidP="005F113F">
      <w:pPr>
        <w:pStyle w:val="p"/>
      </w:pPr>
      <w:r>
        <w:t>[466]</w:t>
      </w:r>
    </w:p>
    <w:p w:rsidR="005F113F" w:rsidRPr="006B209B" w:rsidRDefault="005F113F" w:rsidP="005F113F">
      <w:pPr>
        <w:pStyle w:val="Citation0liste2"/>
        <w:ind w:left="1620" w:hanging="540"/>
      </w:pPr>
      <w:r w:rsidRPr="006B209B">
        <w:rPr>
          <w:szCs w:val="22"/>
        </w:rPr>
        <w:t xml:space="preserve">(iii) </w:t>
      </w:r>
      <w:r w:rsidRPr="00F12536">
        <w:t>que l'infraction perpétrée par le délinquant constitue un abus de la confiance de la victime ou un abus d'a</w:t>
      </w:r>
      <w:r w:rsidRPr="00F12536">
        <w:t>u</w:t>
      </w:r>
      <w:r w:rsidRPr="00F12536">
        <w:t>torité à son égard,</w:t>
      </w:r>
    </w:p>
    <w:p w:rsidR="005F113F" w:rsidRPr="006B209B" w:rsidRDefault="005F113F" w:rsidP="005F113F">
      <w:pPr>
        <w:pStyle w:val="Citation0liste2"/>
        <w:ind w:left="1620" w:hanging="540"/>
      </w:pPr>
      <w:r w:rsidRPr="00F12536">
        <w:t>(iii. 1) que l'infraction a eu un effet important sur la victime en ra</w:t>
      </w:r>
      <w:r w:rsidRPr="00F12536">
        <w:t>i</w:t>
      </w:r>
      <w:r w:rsidRPr="00F12536">
        <w:t>son de son âge et de tout autre élément de sa situation personnelle, notamment sa santé et sa situation financière,</w:t>
      </w:r>
    </w:p>
    <w:p w:rsidR="005F113F" w:rsidRPr="006B209B" w:rsidRDefault="005F113F" w:rsidP="005F113F">
      <w:pPr>
        <w:pStyle w:val="Citation0liste2"/>
        <w:ind w:left="1620" w:hanging="540"/>
      </w:pPr>
      <w:r w:rsidRPr="00F12536">
        <w:t>(iv) que l'infraction a été commise au profit ou sous la direction d'une organ</w:t>
      </w:r>
      <w:r w:rsidRPr="00F12536">
        <w:t>i</w:t>
      </w:r>
      <w:r w:rsidRPr="00F12536">
        <w:t>sation criminelle, ou en association avec elle,</w:t>
      </w:r>
    </w:p>
    <w:p w:rsidR="005F113F" w:rsidRPr="006B209B" w:rsidRDefault="005F113F" w:rsidP="005F113F">
      <w:pPr>
        <w:pStyle w:val="Citation0liste2"/>
        <w:ind w:left="1620" w:hanging="540"/>
      </w:pPr>
      <w:r w:rsidRPr="00F12536">
        <w:t>(v) que l'infraction perpétrée par le délinquant est une infraction de te</w:t>
      </w:r>
      <w:r w:rsidRPr="00F12536">
        <w:t>r</w:t>
      </w:r>
      <w:r w:rsidRPr="00F12536">
        <w:t>r</w:t>
      </w:r>
      <w:r w:rsidRPr="00F12536">
        <w:t>o</w:t>
      </w:r>
      <w:r w:rsidRPr="00F12536">
        <w:t>risme,</w:t>
      </w:r>
    </w:p>
    <w:p w:rsidR="005F113F" w:rsidRPr="006B209B" w:rsidRDefault="005F113F" w:rsidP="005F113F">
      <w:pPr>
        <w:pStyle w:val="Citation0liste2"/>
        <w:ind w:left="1620" w:hanging="540"/>
      </w:pPr>
      <w:r w:rsidRPr="00F12536">
        <w:t>(vi) que</w:t>
      </w:r>
      <w:r w:rsidRPr="006B209B">
        <w:rPr>
          <w:szCs w:val="22"/>
        </w:rPr>
        <w:t xml:space="preserve"> l'infraction a été perpétrée alors que le délinquant faisait l'o</w:t>
      </w:r>
      <w:r w:rsidRPr="006B209B">
        <w:rPr>
          <w:szCs w:val="22"/>
        </w:rPr>
        <w:t>b</w:t>
      </w:r>
      <w:r w:rsidRPr="006B209B">
        <w:rPr>
          <w:szCs w:val="22"/>
        </w:rPr>
        <w:t>jet d'une ordonnance de sursis rendue au titre de l'article 742.1 ou qu'il bénéficiait d'une libération conditionnelle ou d'off</w:t>
      </w:r>
      <w:r w:rsidRPr="006B209B">
        <w:rPr>
          <w:szCs w:val="22"/>
        </w:rPr>
        <w:t>i</w:t>
      </w:r>
      <w:r w:rsidRPr="006B209B">
        <w:rPr>
          <w:szCs w:val="22"/>
        </w:rPr>
        <w:t xml:space="preserve">ce ou d'une permission de sortir sans escorte en vertu de la </w:t>
      </w:r>
      <w:r w:rsidRPr="006B209B">
        <w:rPr>
          <w:i/>
          <w:iCs/>
          <w:szCs w:val="22"/>
        </w:rPr>
        <w:t>Loi sur le système co</w:t>
      </w:r>
      <w:r w:rsidRPr="006B209B">
        <w:rPr>
          <w:i/>
          <w:iCs/>
          <w:szCs w:val="22"/>
        </w:rPr>
        <w:t>r</w:t>
      </w:r>
      <w:r w:rsidRPr="006B209B">
        <w:rPr>
          <w:i/>
          <w:iCs/>
          <w:szCs w:val="22"/>
        </w:rPr>
        <w:t>rectionnel et la mise en liberté sous condition</w:t>
      </w:r>
      <w:r>
        <w:rPr>
          <w:i/>
          <w:iCs/>
          <w:szCs w:val="22"/>
        </w:rPr>
        <w:t> ;</w:t>
      </w:r>
    </w:p>
    <w:p w:rsidR="005F113F" w:rsidRDefault="005F113F" w:rsidP="005F113F">
      <w:pPr>
        <w:pStyle w:val="Citation0liste"/>
        <w:rPr>
          <w:szCs w:val="22"/>
        </w:rPr>
      </w:pPr>
    </w:p>
    <w:p w:rsidR="005F113F" w:rsidRPr="00F12536" w:rsidRDefault="005F113F" w:rsidP="005F113F">
      <w:pPr>
        <w:pStyle w:val="Citation0liste"/>
      </w:pPr>
      <w:r>
        <w:rPr>
          <w:szCs w:val="22"/>
        </w:rPr>
        <w:t xml:space="preserve">b) </w:t>
      </w:r>
      <w:r w:rsidRPr="00F12536">
        <w:t>l'harmonisation des peines, c'est-à-dire l'infliction de peines semblables à celles infligées à des délinquants pour des infractions se</w:t>
      </w:r>
      <w:r w:rsidRPr="00F12536">
        <w:t>m</w:t>
      </w:r>
      <w:r w:rsidRPr="00F12536">
        <w:t>blables commises dans des circonstances semblables ;</w:t>
      </w:r>
    </w:p>
    <w:p w:rsidR="005F113F" w:rsidRPr="00F12536" w:rsidRDefault="005F113F" w:rsidP="005F113F">
      <w:pPr>
        <w:pStyle w:val="Citation0liste"/>
      </w:pPr>
      <w:r w:rsidRPr="00F12536">
        <w:t>c) l'obligation d'éviter l'excès de nature ou de durée dans l'infliction de peines consécutives ;</w:t>
      </w:r>
    </w:p>
    <w:p w:rsidR="005F113F" w:rsidRPr="00F12536" w:rsidRDefault="005F113F" w:rsidP="005F113F">
      <w:pPr>
        <w:pStyle w:val="Citation0liste"/>
      </w:pPr>
      <w:r w:rsidRPr="00F12536">
        <w:t>d) l'obligation, avant d'envisager la privation de liberté, d'examiner la po</w:t>
      </w:r>
      <w:r w:rsidRPr="00F12536">
        <w:t>s</w:t>
      </w:r>
      <w:r w:rsidRPr="00F12536">
        <w:t>sibilité de sanctions moins contraignantes lorsque les circon</w:t>
      </w:r>
      <w:r w:rsidRPr="00F12536">
        <w:t>s</w:t>
      </w:r>
      <w:r w:rsidRPr="00F12536">
        <w:t>tances le justifient ;</w:t>
      </w:r>
    </w:p>
    <w:p w:rsidR="005F113F" w:rsidRPr="006B209B" w:rsidRDefault="005F113F" w:rsidP="005F113F">
      <w:pPr>
        <w:pStyle w:val="Citation0liste"/>
        <w:rPr>
          <w:szCs w:val="22"/>
        </w:rPr>
      </w:pPr>
      <w:r w:rsidRPr="00F12536">
        <w:t>e) l'examen, plus particulièrement en ce qui concerne les délinquants a</w:t>
      </w:r>
      <w:r w:rsidRPr="00F12536">
        <w:t>u</w:t>
      </w:r>
      <w:r w:rsidRPr="00F12536">
        <w:t>tochtones</w:t>
      </w:r>
      <w:r w:rsidRPr="006B209B">
        <w:rPr>
          <w:szCs w:val="22"/>
        </w:rPr>
        <w:t>, de toutes les sanctions substitutives qui sont ra</w:t>
      </w:r>
      <w:r w:rsidRPr="006B209B">
        <w:rPr>
          <w:szCs w:val="22"/>
        </w:rPr>
        <w:t>i</w:t>
      </w:r>
      <w:r w:rsidRPr="006B209B">
        <w:rPr>
          <w:szCs w:val="22"/>
        </w:rPr>
        <w:t>sonnables dans les circonstances et qui tiennent compte du tort causé aux vict</w:t>
      </w:r>
      <w:r w:rsidRPr="006B209B">
        <w:rPr>
          <w:szCs w:val="22"/>
        </w:rPr>
        <w:t>i</w:t>
      </w:r>
      <w:r w:rsidRPr="006B209B">
        <w:rPr>
          <w:szCs w:val="22"/>
        </w:rPr>
        <w:t>mes ou à la collectivité.</w:t>
      </w:r>
    </w:p>
    <w:p w:rsidR="005F113F" w:rsidRDefault="005F113F" w:rsidP="005F113F">
      <w:pPr>
        <w:jc w:val="both"/>
      </w:pPr>
    </w:p>
    <w:p w:rsidR="005F113F" w:rsidRPr="00E07116" w:rsidRDefault="005F113F">
      <w:pPr>
        <w:pStyle w:val="suite"/>
      </w:pPr>
      <w:r w:rsidRPr="00E07116">
        <w:t>Fin du texte</w:t>
      </w:r>
    </w:p>
    <w:p w:rsidR="005F113F" w:rsidRPr="00E07116" w:rsidRDefault="005F113F">
      <w:pPr>
        <w:jc w:val="both"/>
      </w:pPr>
    </w:p>
    <w:p w:rsidR="005F113F" w:rsidRPr="00E07116" w:rsidRDefault="005F113F">
      <w:pPr>
        <w:jc w:val="both"/>
      </w:pPr>
    </w:p>
    <w:sectPr w:rsidR="005F113F" w:rsidRPr="00E07116" w:rsidSect="005F113F">
      <w:pgSz w:w="12240" w:h="15840"/>
      <w:pgMar w:top="1800" w:right="1440" w:bottom="1440" w:left="216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D49" w:rsidRDefault="00886D49">
      <w:r>
        <w:separator/>
      </w:r>
    </w:p>
  </w:endnote>
  <w:endnote w:type="continuationSeparator" w:id="0">
    <w:p w:rsidR="00886D49" w:rsidRDefault="0088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D49" w:rsidRDefault="00886D49">
      <w:pPr>
        <w:ind w:firstLine="0"/>
      </w:pPr>
      <w:r>
        <w:separator/>
      </w:r>
    </w:p>
  </w:footnote>
  <w:footnote w:type="continuationSeparator" w:id="0">
    <w:p w:rsidR="00886D49" w:rsidRDefault="00886D49">
      <w:pPr>
        <w:ind w:firstLine="0"/>
      </w:pPr>
      <w:r>
        <w:separator/>
      </w:r>
    </w:p>
  </w:footnote>
  <w:footnote w:id="1">
    <w:p w:rsidR="005F113F" w:rsidRDefault="005F113F" w:rsidP="005F113F">
      <w:pPr>
        <w:pStyle w:val="Notedebasdepage"/>
      </w:pPr>
      <w:r>
        <w:rPr>
          <w:rStyle w:val="Appelnotedebasdep"/>
        </w:rPr>
        <w:t>*</w:t>
      </w:r>
      <w:r>
        <w:t xml:space="preserve"> </w:t>
      </w:r>
      <w:r>
        <w:tab/>
      </w:r>
      <w:r w:rsidRPr="008845F2">
        <w:t>Professeure, Institut national de la recherche scientifique.</w:t>
      </w:r>
    </w:p>
  </w:footnote>
  <w:footnote w:id="2">
    <w:p w:rsidR="005F113F" w:rsidRDefault="005F113F" w:rsidP="005F113F">
      <w:pPr>
        <w:pStyle w:val="Notedebasdepage"/>
      </w:pPr>
      <w:r>
        <w:rPr>
          <w:rStyle w:val="Appelnotedebasdep"/>
        </w:rPr>
        <w:t>**</w:t>
      </w:r>
      <w:r>
        <w:t xml:space="preserve"> </w:t>
      </w:r>
      <w:r>
        <w:tab/>
      </w:r>
      <w:r w:rsidRPr="008845F2">
        <w:t>Assistant de recherche, Institut national de la recherche scie</w:t>
      </w:r>
      <w:r w:rsidRPr="008845F2">
        <w:t>n</w:t>
      </w:r>
      <w:r w:rsidRPr="008845F2">
        <w:t>tifique.</w:t>
      </w:r>
    </w:p>
  </w:footnote>
  <w:footnote w:id="3">
    <w:p w:rsidR="005F113F" w:rsidRDefault="005F113F" w:rsidP="005F113F">
      <w:pPr>
        <w:pStyle w:val="Notedebasdepage"/>
      </w:pPr>
      <w:r>
        <w:rPr>
          <w:rStyle w:val="Appelnotedebasdep"/>
        </w:rPr>
        <w:t>***</w:t>
      </w:r>
      <w:r>
        <w:t xml:space="preserve"> </w:t>
      </w:r>
      <w:r>
        <w:tab/>
      </w:r>
      <w:r w:rsidRPr="008845F2">
        <w:t>Avocat.</w:t>
      </w:r>
    </w:p>
  </w:footnote>
  <w:footnote w:id="4">
    <w:p w:rsidR="005F113F" w:rsidRDefault="005F113F" w:rsidP="005F113F">
      <w:pPr>
        <w:pStyle w:val="Notedebasdepage"/>
      </w:pPr>
      <w:r>
        <w:rPr>
          <w:rStyle w:val="Appelnotedebasdep"/>
        </w:rPr>
        <w:footnoteRef/>
      </w:r>
      <w:r>
        <w:t xml:space="preserve"> </w:t>
      </w:r>
      <w:r>
        <w:tab/>
        <w:t>« </w:t>
      </w:r>
      <w:r w:rsidRPr="006B209B">
        <w:t>Minorité</w:t>
      </w:r>
      <w:r>
        <w:t> »</w:t>
      </w:r>
      <w:r w:rsidRPr="006B209B">
        <w:t xml:space="preserve"> s'entend ici d'un groupe identifiable par une cara</w:t>
      </w:r>
      <w:r w:rsidRPr="006B209B">
        <w:t>c</w:t>
      </w:r>
      <w:r w:rsidRPr="006B209B">
        <w:t>téristique correspondant à un motif illicite de discrimination au sens de l'article 15 de la CCDL</w:t>
      </w:r>
      <w:r>
        <w:t> :</w:t>
      </w:r>
      <w:r w:rsidRPr="006B209B">
        <w:t xml:space="preserve"> race, sexe, religion, etc.</w:t>
      </w:r>
    </w:p>
  </w:footnote>
  <w:footnote w:id="5">
    <w:p w:rsidR="005F113F" w:rsidRDefault="005F113F" w:rsidP="005F113F">
      <w:pPr>
        <w:pStyle w:val="Notedebasdepage"/>
      </w:pPr>
      <w:r>
        <w:rPr>
          <w:rStyle w:val="Appelnotedebasdep"/>
        </w:rPr>
        <w:footnoteRef/>
      </w:r>
      <w:r>
        <w:t xml:space="preserve"> </w:t>
      </w:r>
      <w:r>
        <w:tab/>
      </w:r>
      <w:hyperlink r:id="rId1" w:history="1">
        <w:r w:rsidRPr="006B209B">
          <w:t>http</w:t>
        </w:r>
        <w:r>
          <w:t>:</w:t>
        </w:r>
        <w:r w:rsidRPr="006B209B">
          <w:t>//www.fm93.com/nouvelles/faits-divers/46062</w:t>
        </w:r>
      </w:hyperlink>
      <w:r w:rsidRPr="006B209B">
        <w:t>.</w:t>
      </w:r>
    </w:p>
  </w:footnote>
  <w:footnote w:id="6">
    <w:p w:rsidR="005F113F" w:rsidRDefault="005F113F" w:rsidP="005F113F">
      <w:pPr>
        <w:pStyle w:val="Notedebasdepage"/>
      </w:pPr>
      <w:r>
        <w:rPr>
          <w:rStyle w:val="Appelnotedebasdep"/>
        </w:rPr>
        <w:footnoteRef/>
      </w:r>
      <w:r>
        <w:t xml:space="preserve"> </w:t>
      </w:r>
      <w:r>
        <w:tab/>
      </w:r>
      <w:r w:rsidRPr="006B209B">
        <w:t>Parfois, comme en 2015 et par la suite, des services policiers (Calgary, Qu</w:t>
      </w:r>
      <w:r w:rsidRPr="006B209B">
        <w:t>é</w:t>
      </w:r>
      <w:r w:rsidRPr="006B209B">
        <w:t>bec, Saint-John) ne transmettent pas certains renseignements, tels que le t</w:t>
      </w:r>
      <w:r w:rsidRPr="006B209B">
        <w:t>y</w:t>
      </w:r>
      <w:r w:rsidRPr="006B209B">
        <w:t>pe d'infraction, les caractéristiques des victimes et des auteurs présumés. S</w:t>
      </w:r>
      <w:r w:rsidRPr="006B209B">
        <w:t>e</w:t>
      </w:r>
      <w:r w:rsidRPr="006B209B">
        <w:t xml:space="preserve">lon Statistique Canada, </w:t>
      </w:r>
      <w:r>
        <w:t>« </w:t>
      </w:r>
      <w:r w:rsidRPr="006B209B">
        <w:t>le crime haineux est catégorisé en fonction de la perception (même fausse) de l'auteur présumé, et non en fonction des cara</w:t>
      </w:r>
      <w:r w:rsidRPr="006B209B">
        <w:t>c</w:t>
      </w:r>
      <w:r w:rsidRPr="006B209B">
        <w:t>téristiques de la victime</w:t>
      </w:r>
      <w:r>
        <w:t> »</w:t>
      </w:r>
      <w:r w:rsidRPr="006B209B">
        <w:t xml:space="preserve"> (Leber, Ben. 2017. </w:t>
      </w:r>
      <w:r w:rsidRPr="006B209B">
        <w:rPr>
          <w:i/>
          <w:iCs/>
        </w:rPr>
        <w:t xml:space="preserve">Les crimes haineux déclarés par la police au Canada, 2015, </w:t>
      </w:r>
      <w:r w:rsidRPr="006B209B">
        <w:t>Ottawa, Statistique Canada, juin. Encadré 1).</w:t>
      </w:r>
    </w:p>
  </w:footnote>
  <w:footnote w:id="7">
    <w:p w:rsidR="005F113F" w:rsidRDefault="005F113F" w:rsidP="005F113F">
      <w:pPr>
        <w:pStyle w:val="Notedebasdepage"/>
      </w:pPr>
      <w:r>
        <w:rPr>
          <w:rStyle w:val="Appelnotedebasdep"/>
        </w:rPr>
        <w:footnoteRef/>
      </w:r>
      <w:r>
        <w:t xml:space="preserve"> </w:t>
      </w:r>
      <w:r>
        <w:tab/>
      </w:r>
      <w:r w:rsidRPr="006B209B">
        <w:t>Agression sexuelle, vol qualifié (avec arme), voies de fait, vol de biens pe</w:t>
      </w:r>
      <w:r w:rsidRPr="006B209B">
        <w:t>r</w:t>
      </w:r>
      <w:r w:rsidRPr="006B209B">
        <w:t>sonnels, introduction par infraction, vol de véhicules à m</w:t>
      </w:r>
      <w:r w:rsidRPr="006B209B">
        <w:t>o</w:t>
      </w:r>
      <w:r w:rsidRPr="006B209B">
        <w:t>teur, vol de biens du ménage, vandalisme.</w:t>
      </w:r>
    </w:p>
  </w:footnote>
  <w:footnote w:id="8">
    <w:p w:rsidR="005F113F" w:rsidRDefault="005F113F" w:rsidP="005F113F">
      <w:pPr>
        <w:pStyle w:val="Notedebasdepage"/>
      </w:pPr>
      <w:r>
        <w:rPr>
          <w:rStyle w:val="Appelnotedebasdep"/>
        </w:rPr>
        <w:footnoteRef/>
      </w:r>
      <w:r>
        <w:t xml:space="preserve"> </w:t>
      </w:r>
      <w:hyperlink r:id="rId2" w:history="1">
        <w:r w:rsidRPr="006B209B">
          <w:t>http</w:t>
        </w:r>
        <w:r>
          <w:t>:</w:t>
        </w:r>
        <w:r w:rsidRPr="006B209B">
          <w:t>//www23.statcan.gc.ca/imdb/p2SV_fpl</w:t>
        </w:r>
        <w:r>
          <w:t>?</w:t>
        </w:r>
        <w:r w:rsidRPr="006B209B">
          <w:t>Function=getSurvey&amp;SDDS=4504</w:t>
        </w:r>
      </w:hyperlink>
      <w:r w:rsidRPr="006B209B">
        <w:t>.</w:t>
      </w:r>
    </w:p>
  </w:footnote>
  <w:footnote w:id="9">
    <w:p w:rsidR="005F113F" w:rsidRDefault="005F113F" w:rsidP="005F113F">
      <w:pPr>
        <w:pStyle w:val="Notedebasdepage"/>
      </w:pPr>
      <w:r>
        <w:rPr>
          <w:rStyle w:val="Appelnotedebasdep"/>
        </w:rPr>
        <w:footnoteRef/>
      </w:r>
      <w:r>
        <w:t xml:space="preserve"> </w:t>
      </w:r>
      <w:r>
        <w:tab/>
      </w:r>
      <w:r w:rsidRPr="006B209B">
        <w:t>Depuis 2014, une certaine uniformité dans la collecte des données a été i</w:t>
      </w:r>
      <w:r w:rsidRPr="006B209B">
        <w:t>n</w:t>
      </w:r>
      <w:r w:rsidRPr="006B209B">
        <w:t>troduite par les principaux services policiers. Néanmoins, m</w:t>
      </w:r>
      <w:r w:rsidRPr="006B209B">
        <w:t>ê</w:t>
      </w:r>
      <w:r w:rsidRPr="006B209B">
        <w:t>me après cette date, les données ne sont toujours pas comparables vu des pratiques partic</w:t>
      </w:r>
      <w:r w:rsidRPr="006B209B">
        <w:t>u</w:t>
      </w:r>
      <w:r w:rsidRPr="006B209B">
        <w:t>lières de corps policiers. Par exemple, la Ville de Sherbrooke se trouve so</w:t>
      </w:r>
      <w:r w:rsidRPr="006B209B">
        <w:t>u</w:t>
      </w:r>
      <w:r w:rsidRPr="006B209B">
        <w:t>vent au sommet du classement québécois en termes d'enregistrement de cr</w:t>
      </w:r>
      <w:r w:rsidRPr="006B209B">
        <w:t>i</w:t>
      </w:r>
      <w:r w:rsidRPr="006B209B">
        <w:t>mes haineux en raison du mot d'o</w:t>
      </w:r>
      <w:r w:rsidRPr="006B209B">
        <w:t>r</w:t>
      </w:r>
      <w:r w:rsidRPr="006B209B">
        <w:t>dre donné à ses patrouilleurs de déclarer tout acte qui semble lié à la ha</w:t>
      </w:r>
      <w:r w:rsidRPr="006B209B">
        <w:t>i</w:t>
      </w:r>
      <w:r w:rsidRPr="006B209B">
        <w:t>ne, un processus de filtration ayant lieu par la suite. D'autres corps policiers n'utilisent pas cette méthode, mais la majorité des corps pol</w:t>
      </w:r>
      <w:r w:rsidRPr="006B209B">
        <w:t>i</w:t>
      </w:r>
      <w:r w:rsidRPr="006B209B">
        <w:t>ciers canadiens tentent d'améliorer les méthodes de collecte d'une a</w:t>
      </w:r>
      <w:r w:rsidRPr="006B209B">
        <w:t>n</w:t>
      </w:r>
      <w:r w:rsidRPr="006B209B">
        <w:t>née à l'autre.</w:t>
      </w:r>
    </w:p>
  </w:footnote>
  <w:footnote w:id="10">
    <w:p w:rsidR="005F113F" w:rsidRDefault="005F113F" w:rsidP="005F113F">
      <w:pPr>
        <w:pStyle w:val="Notedebasdepage"/>
      </w:pPr>
      <w:r>
        <w:rPr>
          <w:rStyle w:val="Appelnotedebasdep"/>
        </w:rPr>
        <w:footnoteRef/>
      </w:r>
      <w:r>
        <w:t xml:space="preserve"> </w:t>
      </w:r>
      <w:r>
        <w:tab/>
      </w:r>
      <w:r w:rsidRPr="006B209B">
        <w:t>Ces crimes sont dénombrés par catégorie de vi</w:t>
      </w:r>
      <w:r w:rsidRPr="006B209B">
        <w:t>c</w:t>
      </w:r>
      <w:r w:rsidRPr="006B209B">
        <w:t>time. Les données sur les accusés ne sont pas publ</w:t>
      </w:r>
      <w:r w:rsidRPr="006B209B">
        <w:t>i</w:t>
      </w:r>
      <w:r w:rsidRPr="006B209B">
        <w:t>ques, pas plus que les données concernant les cas ciblant une victime appartenant à plusieurs catégories. Dans le cas d'une vi</w:t>
      </w:r>
      <w:r w:rsidRPr="006B209B">
        <w:t>c</w:t>
      </w:r>
      <w:r w:rsidRPr="006B209B">
        <w:t>time qui se dit musulmane et dont un parent est d'ascendance noire et l'autre p</w:t>
      </w:r>
      <w:r w:rsidRPr="006B209B">
        <w:t>a</w:t>
      </w:r>
      <w:r w:rsidRPr="006B209B">
        <w:t xml:space="preserve">rent d'ascendance arabe, on ne peut pas savoir si le crime a été enregistré par la police dans la catégorie </w:t>
      </w:r>
      <w:r>
        <w:t>« </w:t>
      </w:r>
      <w:r w:rsidRPr="006B209B">
        <w:t>race</w:t>
      </w:r>
      <w:r>
        <w:t> »</w:t>
      </w:r>
      <w:r w:rsidRPr="006B209B">
        <w:t xml:space="preserve"> ou </w:t>
      </w:r>
      <w:r>
        <w:t>« </w:t>
      </w:r>
      <w:r w:rsidRPr="006B209B">
        <w:t>origine ethnique</w:t>
      </w:r>
      <w:r>
        <w:t> »</w:t>
      </w:r>
      <w:r w:rsidRPr="006B209B">
        <w:t xml:space="preserve"> ou dans celle de </w:t>
      </w:r>
      <w:r>
        <w:t>« </w:t>
      </w:r>
      <w:r w:rsidRPr="006B209B">
        <w:t>religion</w:t>
      </w:r>
      <w:r>
        <w:t> »</w:t>
      </w:r>
      <w:r w:rsidRPr="006B209B">
        <w:t>, ou dans les deux.</w:t>
      </w:r>
    </w:p>
  </w:footnote>
  <w:footnote w:id="11">
    <w:p w:rsidR="005F113F" w:rsidRDefault="005F113F" w:rsidP="005F113F">
      <w:pPr>
        <w:pStyle w:val="Notedebasdepage"/>
      </w:pPr>
      <w:r>
        <w:rPr>
          <w:rStyle w:val="Appelnotedebasdep"/>
        </w:rPr>
        <w:footnoteRef/>
      </w:r>
      <w:r>
        <w:t xml:space="preserve"> </w:t>
      </w:r>
      <w:r>
        <w:tab/>
      </w:r>
      <w:r w:rsidRPr="006B209B">
        <w:rPr>
          <w:i/>
          <w:iCs/>
        </w:rPr>
        <w:t xml:space="preserve">Les crimes haineux déclarés par la police au Canada, </w:t>
      </w:r>
      <w:r w:rsidRPr="006B209B">
        <w:t>Centre c</w:t>
      </w:r>
      <w:r w:rsidRPr="006B209B">
        <w:t>a</w:t>
      </w:r>
      <w:r w:rsidRPr="006B209B">
        <w:t>nadien de la statistique juridique, 2015 (Tableau 1).</w:t>
      </w:r>
    </w:p>
  </w:footnote>
  <w:footnote w:id="12">
    <w:p w:rsidR="005F113F" w:rsidRDefault="005F113F" w:rsidP="005F113F">
      <w:pPr>
        <w:pStyle w:val="Notedebasdepage"/>
      </w:pPr>
      <w:r>
        <w:rPr>
          <w:rStyle w:val="Appelnotedebasdep"/>
        </w:rPr>
        <w:footnoteRef/>
      </w:r>
      <w:r>
        <w:t xml:space="preserve"> </w:t>
      </w:r>
      <w:r>
        <w:tab/>
      </w:r>
      <w:r w:rsidRPr="006B209B">
        <w:t>Ces données se basent sur le rapport de l'ESG et sur les déclarations du d</w:t>
      </w:r>
      <w:r w:rsidRPr="006B209B">
        <w:t>i</w:t>
      </w:r>
      <w:r w:rsidRPr="006B209B">
        <w:t>recteur du Centre canadien de la statistique juridique qui administre l'enqu</w:t>
      </w:r>
      <w:r w:rsidRPr="006B209B">
        <w:t>ê</w:t>
      </w:r>
      <w:r w:rsidRPr="006B209B">
        <w:t xml:space="preserve">te, Rapport du Comité permanent sur le patrimoine canadien, </w:t>
      </w:r>
      <w:r w:rsidRPr="006B209B">
        <w:rPr>
          <w:i/>
          <w:iCs/>
        </w:rPr>
        <w:t>Agir contre le racisme systémique et la discrimination religieuse, y compris l'islamoph</w:t>
      </w:r>
      <w:r w:rsidRPr="006B209B">
        <w:rPr>
          <w:i/>
          <w:iCs/>
        </w:rPr>
        <w:t>o</w:t>
      </w:r>
      <w:r w:rsidRPr="006B209B">
        <w:rPr>
          <w:i/>
          <w:iCs/>
        </w:rPr>
        <w:t xml:space="preserve">bie, </w:t>
      </w:r>
      <w:r w:rsidRPr="006B209B">
        <w:t>2018, p. 32 lien</w:t>
      </w:r>
      <w:r>
        <w:t> :</w:t>
      </w:r>
      <w:r w:rsidRPr="006B209B">
        <w:t xml:space="preserve"> http</w:t>
      </w:r>
      <w:r>
        <w:t>:</w:t>
      </w:r>
      <w:r w:rsidRPr="006B209B">
        <w:t>//</w:t>
      </w:r>
      <w:hyperlink r:id="rId3" w:history="1">
        <w:r w:rsidRPr="006B209B">
          <w:t>www.noscommunes.ca/DocumentViewer/fr/42</w:t>
        </w:r>
      </w:hyperlink>
      <w:r>
        <w:t>-</w:t>
      </w:r>
      <w:r w:rsidRPr="006B209B">
        <w:t>1/CHPC/rapport-10/. Rapport du Comité perm</w:t>
      </w:r>
      <w:r w:rsidRPr="006B209B">
        <w:t>a</w:t>
      </w:r>
      <w:r w:rsidRPr="006B209B">
        <w:t xml:space="preserve">nent du patrimoine canadien, </w:t>
      </w:r>
      <w:r w:rsidRPr="006B209B">
        <w:rPr>
          <w:i/>
          <w:iCs/>
        </w:rPr>
        <w:t xml:space="preserve">Témoignages, </w:t>
      </w:r>
      <w:r w:rsidRPr="006B209B">
        <w:t>l</w:t>
      </w:r>
      <w:r w:rsidRPr="006B209B">
        <w:rPr>
          <w:vertAlign w:val="superscript"/>
        </w:rPr>
        <w:t>re</w:t>
      </w:r>
      <w:r w:rsidRPr="006B209B">
        <w:t xml:space="preserve"> session, 42</w:t>
      </w:r>
      <w:r w:rsidRPr="006B209B">
        <w:rPr>
          <w:vertAlign w:val="superscript"/>
        </w:rPr>
        <w:t>e</w:t>
      </w:r>
      <w:r w:rsidRPr="006B209B">
        <w:t xml:space="preserve"> législature, 8 novembre 2017, 1635 (Témo</w:t>
      </w:r>
      <w:r w:rsidRPr="006B209B">
        <w:t>i</w:t>
      </w:r>
      <w:r w:rsidRPr="006B209B">
        <w:t>gnage Yvan Clermont, directeur, Centre canadien de la statistique juridique, Statistique Canada).</w:t>
      </w:r>
    </w:p>
    <w:p w:rsidR="005F113F" w:rsidRDefault="005F113F" w:rsidP="005F113F">
      <w:pPr>
        <w:pStyle w:val="Notedebasdepage"/>
      </w:pPr>
      <w:r>
        <w:tab/>
      </w:r>
      <w:hyperlink r:id="rId4" w:history="1">
        <w:r w:rsidRPr="006B209B">
          <w:t>https</w:t>
        </w:r>
        <w:r>
          <w:t>:</w:t>
        </w:r>
        <w:r w:rsidRPr="006B209B">
          <w:t>//www</w:t>
        </w:r>
      </w:hyperlink>
      <w:r w:rsidRPr="006B209B">
        <w:t>.noscomm</w:t>
      </w:r>
      <w:r w:rsidRPr="006B209B">
        <w:t>u</w:t>
      </w:r>
      <w:r w:rsidRPr="006B209B">
        <w:t>nes.ca/Content/Committee/421/CHPC/Reports/RP9315686/chpcrpl0/chpcrpl0-f.pdf, p. 27-53.</w:t>
      </w:r>
    </w:p>
  </w:footnote>
  <w:footnote w:id="13">
    <w:p w:rsidR="005F113F" w:rsidRDefault="005F113F" w:rsidP="005F113F">
      <w:pPr>
        <w:pStyle w:val="Notedebasdepage"/>
      </w:pPr>
      <w:r>
        <w:rPr>
          <w:rStyle w:val="Appelnotedebasdep"/>
        </w:rPr>
        <w:footnoteRef/>
      </w:r>
      <w:r>
        <w:t xml:space="preserve"> </w:t>
      </w:r>
      <w:r>
        <w:tab/>
      </w:r>
      <w:r w:rsidRPr="006B209B">
        <w:t>Rapport du Comité permanent sur le patrimoine canadien, Agir contre le racisme systémique et la discrimination religieuse, y compris l'islamoph</w:t>
      </w:r>
      <w:r w:rsidRPr="006B209B">
        <w:t>o</w:t>
      </w:r>
      <w:r w:rsidRPr="006B209B">
        <w:t>bie, 2018, p. 32</w:t>
      </w:r>
      <w:r>
        <w:t>.</w:t>
      </w:r>
    </w:p>
    <w:p w:rsidR="005F113F" w:rsidRDefault="005F113F" w:rsidP="005F113F">
      <w:pPr>
        <w:pStyle w:val="Notedebasdepage"/>
      </w:pPr>
      <w:r>
        <w:tab/>
      </w:r>
      <w:r w:rsidRPr="006B209B">
        <w:t>lien</w:t>
      </w:r>
      <w:r>
        <w:t xml:space="preserve"> : </w:t>
      </w:r>
      <w:hyperlink r:id="rId5" w:history="1">
        <w:r w:rsidRPr="006B209B">
          <w:t>http</w:t>
        </w:r>
        <w:r>
          <w:t>:</w:t>
        </w:r>
        <w:r w:rsidRPr="006B209B">
          <w:t>//www.noscommunes.ca/DocumentViewer/fr/42</w:t>
        </w:r>
      </w:hyperlink>
      <w:r>
        <w:t>-</w:t>
      </w:r>
      <w:r w:rsidRPr="006B209B">
        <w:t>1/CHPC/rapport-10/.</w:t>
      </w:r>
    </w:p>
  </w:footnote>
  <w:footnote w:id="14">
    <w:p w:rsidR="005F113F" w:rsidRDefault="005F113F" w:rsidP="005F113F">
      <w:pPr>
        <w:pStyle w:val="Notedebasdepage"/>
      </w:pPr>
      <w:r>
        <w:rPr>
          <w:rStyle w:val="Appelnotedebasdep"/>
        </w:rPr>
        <w:footnoteRef/>
      </w:r>
      <w:r>
        <w:t xml:space="preserve"> </w:t>
      </w:r>
      <w:r>
        <w:tab/>
      </w:r>
      <w:r w:rsidRPr="006B209B">
        <w:t>Rapport du Comité permanent sur le patrimoine canadien, Agir contre le racisme systémique et la discrimination religieuse, y compris l'islamoph</w:t>
      </w:r>
      <w:r w:rsidRPr="006B209B">
        <w:t>o</w:t>
      </w:r>
      <w:r w:rsidRPr="006B209B">
        <w:t>bie, 2018.</w:t>
      </w:r>
    </w:p>
    <w:p w:rsidR="005F113F" w:rsidRDefault="005F113F" w:rsidP="005F113F">
      <w:pPr>
        <w:pStyle w:val="Notedebasdepage"/>
      </w:pPr>
      <w:r>
        <w:tab/>
      </w:r>
      <w:hyperlink r:id="rId6" w:history="1">
        <w:r w:rsidRPr="006B209B">
          <w:t>https//</w:t>
        </w:r>
      </w:hyperlink>
      <w:hyperlink r:id="rId7" w:history="1">
        <w:r w:rsidRPr="006B209B">
          <w:t>www.noscommunes.ca/Content/Committee/421/CHPC/Reports/RP9315686/</w:t>
        </w:r>
      </w:hyperlink>
      <w:r w:rsidRPr="006B209B">
        <w:t>chpcrplO/chpcrplO-f.pdf, p. 33-34.</w:t>
      </w:r>
    </w:p>
  </w:footnote>
  <w:footnote w:id="15">
    <w:p w:rsidR="005F113F" w:rsidRDefault="005F113F" w:rsidP="005F113F">
      <w:pPr>
        <w:pStyle w:val="Notedebasdepage"/>
      </w:pPr>
      <w:r>
        <w:rPr>
          <w:rStyle w:val="Appelnotedebasdep"/>
        </w:rPr>
        <w:footnoteRef/>
      </w:r>
      <w:r>
        <w:t xml:space="preserve"> </w:t>
      </w:r>
      <w:r>
        <w:tab/>
      </w:r>
      <w:r w:rsidRPr="006B209B">
        <w:t xml:space="preserve">Statistique Canada, </w:t>
      </w:r>
      <w:r>
        <w:t>« </w:t>
      </w:r>
      <w:r w:rsidRPr="006B209B">
        <w:t>Les facteurs qui influent sur le signalement des crimes haineux</w:t>
      </w:r>
      <w:r>
        <w:t> »</w:t>
      </w:r>
      <w:r w:rsidRPr="006B209B">
        <w:t>, Les crimes ha</w:t>
      </w:r>
      <w:r w:rsidRPr="006B209B">
        <w:t>i</w:t>
      </w:r>
      <w:r w:rsidRPr="006B209B">
        <w:t>neux déclarés par la police au Canada, 2015, juin 2017.</w:t>
      </w:r>
    </w:p>
  </w:footnote>
  <w:footnote w:id="16">
    <w:p w:rsidR="005F113F" w:rsidRDefault="005F113F" w:rsidP="005F113F">
      <w:pPr>
        <w:pStyle w:val="Notedebasdepage"/>
      </w:pPr>
      <w:r>
        <w:rPr>
          <w:rStyle w:val="Appelnotedebasdep"/>
        </w:rPr>
        <w:footnoteRef/>
      </w:r>
      <w:r>
        <w:t xml:space="preserve"> </w:t>
      </w:r>
      <w:r>
        <w:tab/>
      </w:r>
      <w:r w:rsidRPr="006B209B">
        <w:t>Rapport du Comité permanent du patrimoine canadien, Témoign</w:t>
      </w:r>
      <w:r w:rsidRPr="006B209B">
        <w:t>a</w:t>
      </w:r>
      <w:r w:rsidRPr="006B209B">
        <w:t>ges, l</w:t>
      </w:r>
      <w:r w:rsidRPr="006B209B">
        <w:rPr>
          <w:vertAlign w:val="superscript"/>
        </w:rPr>
        <w:t>re</w:t>
      </w:r>
      <w:r w:rsidRPr="006B209B">
        <w:t xml:space="preserve"> session, 42</w:t>
      </w:r>
      <w:r w:rsidRPr="006B209B">
        <w:rPr>
          <w:vertAlign w:val="superscript"/>
        </w:rPr>
        <w:t>e</w:t>
      </w:r>
      <w:r w:rsidRPr="006B209B">
        <w:t xml:space="preserve"> législature, 25 septembre 2017, 1705 (Shalini Konanur, directr</w:t>
      </w:r>
      <w:r w:rsidRPr="006B209B">
        <w:t>i</w:t>
      </w:r>
      <w:r w:rsidRPr="006B209B">
        <w:t>ce executive et avocate, South Asian Légal Clinic of Ontario (SALCO)).</w:t>
      </w:r>
    </w:p>
  </w:footnote>
  <w:footnote w:id="17">
    <w:p w:rsidR="005F113F" w:rsidRDefault="005F113F" w:rsidP="005F113F">
      <w:pPr>
        <w:pStyle w:val="Notedebasdepage"/>
      </w:pPr>
      <w:r>
        <w:rPr>
          <w:rStyle w:val="Appelnotedebasdep"/>
        </w:rPr>
        <w:footnoteRef/>
      </w:r>
      <w:r>
        <w:t xml:space="preserve"> </w:t>
      </w:r>
      <w:r>
        <w:tab/>
      </w:r>
      <w:hyperlink r:id="rId8" w:history="1">
        <w:r w:rsidRPr="006B209B">
          <w:t>https</w:t>
        </w:r>
        <w:r>
          <w:t>:</w:t>
        </w:r>
        <w:r w:rsidRPr="006B209B">
          <w:t>//www.crrf-fcrr.ca/fr/actualites-et-evenements/recherches-annonces/</w:t>
        </w:r>
      </w:hyperlink>
      <w:r>
        <w:t>item/26824-</w:t>
      </w:r>
      <w:r w:rsidRPr="006B209B">
        <w:t>les-crimes-haineux-au-canada.</w:t>
      </w:r>
    </w:p>
  </w:footnote>
  <w:footnote w:id="18">
    <w:p w:rsidR="005F113F" w:rsidRDefault="005F113F" w:rsidP="005F113F">
      <w:pPr>
        <w:pStyle w:val="Notedebasdepage"/>
      </w:pPr>
      <w:r>
        <w:rPr>
          <w:rStyle w:val="Appelnotedebasdep"/>
        </w:rPr>
        <w:footnoteRef/>
      </w:r>
      <w:r>
        <w:t xml:space="preserve"> </w:t>
      </w:r>
      <w:r>
        <w:tab/>
        <w:t>Une hausse de 57</w:t>
      </w:r>
      <w:r w:rsidRPr="006B209B">
        <w:t>% des crimes haineux contre des catholiques a été signalée de 2014 à 2015 (leur nombre est passé de 35 à 55).</w:t>
      </w:r>
    </w:p>
  </w:footnote>
  <w:footnote w:id="19">
    <w:p w:rsidR="005F113F" w:rsidRDefault="005F113F" w:rsidP="005F113F">
      <w:pPr>
        <w:pStyle w:val="Notedebasdepage"/>
      </w:pPr>
      <w:r>
        <w:rPr>
          <w:rStyle w:val="Appelnotedebasdep"/>
        </w:rPr>
        <w:footnoteRef/>
      </w:r>
      <w:r>
        <w:t xml:space="preserve"> </w:t>
      </w:r>
      <w:r>
        <w:tab/>
      </w:r>
      <w:r w:rsidRPr="006B209B">
        <w:t>Il est important de se rappeler que les rapports présentés par Statistique C</w:t>
      </w:r>
      <w:r w:rsidRPr="006B209B">
        <w:t>a</w:t>
      </w:r>
      <w:r w:rsidRPr="006B209B">
        <w:t>nada sont fondés uniquement sur les incidents déclarés par la police et cla</w:t>
      </w:r>
      <w:r w:rsidRPr="006B209B">
        <w:t>s</w:t>
      </w:r>
      <w:r w:rsidRPr="006B209B">
        <w:t>sés par celle-ci comme des crimes motivés par la haine. Les incidents qui ne répondent pas aux critères de classification ne sont pas pris en compte dans les statistiques.</w:t>
      </w:r>
    </w:p>
  </w:footnote>
  <w:footnote w:id="20">
    <w:p w:rsidR="005F113F" w:rsidRDefault="005F113F" w:rsidP="005F113F">
      <w:pPr>
        <w:pStyle w:val="Notedebasdepage"/>
      </w:pPr>
      <w:r>
        <w:rPr>
          <w:rStyle w:val="Appelnotedebasdep"/>
        </w:rPr>
        <w:footnoteRef/>
      </w:r>
      <w:r>
        <w:t xml:space="preserve"> </w:t>
      </w:r>
      <w:r>
        <w:tab/>
      </w:r>
      <w:r w:rsidRPr="006B209B">
        <w:t xml:space="preserve">Voir par exemple les articles 24(1) CCDL et 52 de la </w:t>
      </w:r>
      <w:r w:rsidRPr="006B209B">
        <w:rPr>
          <w:i/>
          <w:iCs/>
        </w:rPr>
        <w:t>Loi constit</w:t>
      </w:r>
      <w:r w:rsidRPr="006B209B">
        <w:rPr>
          <w:i/>
          <w:iCs/>
        </w:rPr>
        <w:t>u</w:t>
      </w:r>
      <w:r w:rsidRPr="006B209B">
        <w:rPr>
          <w:i/>
          <w:iCs/>
        </w:rPr>
        <w:t>tionnelle de 1982.</w:t>
      </w:r>
    </w:p>
  </w:footnote>
  <w:footnote w:id="21">
    <w:p w:rsidR="005F113F" w:rsidRDefault="005F113F" w:rsidP="005F113F">
      <w:pPr>
        <w:pStyle w:val="Notedebasdepage"/>
      </w:pPr>
      <w:r>
        <w:rPr>
          <w:rStyle w:val="Appelnotedebasdep"/>
        </w:rPr>
        <w:footnoteRef/>
      </w:r>
      <w:r>
        <w:t xml:space="preserve"> </w:t>
      </w:r>
      <w:r>
        <w:tab/>
      </w:r>
      <w:r w:rsidRPr="006B209B">
        <w:t>CCDL, article 1.</w:t>
      </w:r>
    </w:p>
  </w:footnote>
  <w:footnote w:id="22">
    <w:p w:rsidR="005F113F" w:rsidRDefault="005F113F" w:rsidP="005F113F">
      <w:pPr>
        <w:pStyle w:val="Notedebasdepage"/>
      </w:pPr>
      <w:r>
        <w:rPr>
          <w:rStyle w:val="Appelnotedebasdep"/>
        </w:rPr>
        <w:footnoteRef/>
      </w:r>
      <w:r>
        <w:t xml:space="preserve"> </w:t>
      </w:r>
      <w:r>
        <w:tab/>
      </w:r>
      <w:r w:rsidRPr="006B209B">
        <w:t>CCDL, article 15</w:t>
      </w:r>
      <w:r>
        <w:t> ;</w:t>
      </w:r>
      <w:r w:rsidRPr="006B209B">
        <w:t xml:space="preserve"> voir aussi Charte québécoise, article 10. Dans </w:t>
      </w:r>
      <w:r w:rsidRPr="006B209B">
        <w:rPr>
          <w:i/>
          <w:iCs/>
        </w:rPr>
        <w:t xml:space="preserve">Vriend c. Alberta, </w:t>
      </w:r>
      <w:r w:rsidRPr="006B209B">
        <w:t xml:space="preserve">[1998] 1 R.C.S. 493, la Cour suprême a ajouté à </w:t>
      </w:r>
      <w:r w:rsidRPr="006B209B">
        <w:rPr>
          <w:i/>
          <w:iCs/>
        </w:rPr>
        <w:t>YIndividual's Rig</w:t>
      </w:r>
      <w:r w:rsidRPr="006B209B">
        <w:rPr>
          <w:i/>
          <w:iCs/>
        </w:rPr>
        <w:t>h</w:t>
      </w:r>
      <w:r w:rsidRPr="006B209B">
        <w:rPr>
          <w:i/>
          <w:iCs/>
        </w:rPr>
        <w:t xml:space="preserve">ts Protection Act </w:t>
      </w:r>
      <w:r w:rsidRPr="006B209B">
        <w:t xml:space="preserve">d'Alberta (par </w:t>
      </w:r>
      <w:r w:rsidRPr="006B209B">
        <w:rPr>
          <w:i/>
          <w:iCs/>
        </w:rPr>
        <w:t xml:space="preserve">reading in) </w:t>
      </w:r>
      <w:r w:rsidRPr="006B209B">
        <w:t>un motif de discrimination illic</w:t>
      </w:r>
      <w:r w:rsidRPr="006B209B">
        <w:t>i</w:t>
      </w:r>
      <w:r w:rsidRPr="006B209B">
        <w:t>te qui n'y figurait pas, soit l'orientation sexuelle. Il s'agit d'un remède jud</w:t>
      </w:r>
      <w:r w:rsidRPr="006B209B">
        <w:t>i</w:t>
      </w:r>
      <w:r w:rsidRPr="006B209B">
        <w:t>ciaire exceptionnel, qui fait toujours débat quelque vingt ans après.</w:t>
      </w:r>
    </w:p>
  </w:footnote>
  <w:footnote w:id="23">
    <w:p w:rsidR="005F113F" w:rsidRDefault="005F113F" w:rsidP="005F113F">
      <w:pPr>
        <w:pStyle w:val="Notedebasdepage"/>
      </w:pPr>
      <w:r>
        <w:rPr>
          <w:rStyle w:val="Appelnotedebasdep"/>
        </w:rPr>
        <w:footnoteRef/>
      </w:r>
      <w:r>
        <w:t xml:space="preserve"> </w:t>
      </w:r>
      <w:r>
        <w:tab/>
      </w:r>
      <w:r w:rsidRPr="006B209B">
        <w:t>RLRQ, c. C-12.</w:t>
      </w:r>
    </w:p>
  </w:footnote>
  <w:footnote w:id="24">
    <w:p w:rsidR="005F113F" w:rsidRDefault="005F113F" w:rsidP="005F113F">
      <w:pPr>
        <w:pStyle w:val="Notedebasdepage"/>
      </w:pPr>
      <w:r>
        <w:rPr>
          <w:rStyle w:val="Appelnotedebasdep"/>
        </w:rPr>
        <w:footnoteRef/>
      </w:r>
      <w:r>
        <w:t xml:space="preserve"> </w:t>
      </w:r>
      <w:r>
        <w:tab/>
      </w:r>
      <w:r w:rsidRPr="006B209B">
        <w:t xml:space="preserve">Les dommages-intérêts punitifs, aussi dits </w:t>
      </w:r>
      <w:r>
        <w:t>« </w:t>
      </w:r>
      <w:r w:rsidRPr="006B209B">
        <w:t>exemplaires</w:t>
      </w:r>
      <w:r>
        <w:t> »</w:t>
      </w:r>
      <w:r w:rsidRPr="006B209B">
        <w:t>, ne r</w:t>
      </w:r>
      <w:r w:rsidRPr="006B209B">
        <w:t>é</w:t>
      </w:r>
      <w:r w:rsidRPr="006B209B">
        <w:t>parent pas le préjudice subi</w:t>
      </w:r>
      <w:r>
        <w:t> ;</w:t>
      </w:r>
      <w:r w:rsidRPr="006B209B">
        <w:t xml:space="preserve"> ils visent à sanctionner, dans une inte</w:t>
      </w:r>
      <w:r w:rsidRPr="006B209B">
        <w:t>n</w:t>
      </w:r>
      <w:r w:rsidRPr="006B209B">
        <w:t>tion dissuasive, une conduite considérée comme particulièrement r</w:t>
      </w:r>
      <w:r w:rsidRPr="006B209B">
        <w:t>é</w:t>
      </w:r>
      <w:r w:rsidRPr="006B209B">
        <w:t>préhensible. Ils sont versés à la victime plutôt qu'à l'État.</w:t>
      </w:r>
    </w:p>
  </w:footnote>
  <w:footnote w:id="25">
    <w:p w:rsidR="005F113F" w:rsidRDefault="005F113F" w:rsidP="005F113F">
      <w:pPr>
        <w:pStyle w:val="Notedebasdepage"/>
      </w:pPr>
      <w:r>
        <w:rPr>
          <w:rStyle w:val="Appelnotedebasdep"/>
        </w:rPr>
        <w:footnoteRef/>
      </w:r>
      <w:r>
        <w:t xml:space="preserve"> </w:t>
      </w:r>
      <w:r>
        <w:tab/>
      </w:r>
      <w:r w:rsidRPr="006B209B">
        <w:rPr>
          <w:i/>
          <w:iCs/>
        </w:rPr>
        <w:t xml:space="preserve">Seneca Collège </w:t>
      </w:r>
      <w:r w:rsidRPr="006B209B">
        <w:t xml:space="preserve">c. </w:t>
      </w:r>
      <w:r w:rsidRPr="006B209B">
        <w:rPr>
          <w:i/>
          <w:iCs/>
        </w:rPr>
        <w:t xml:space="preserve">Bhadauria, </w:t>
      </w:r>
      <w:r w:rsidRPr="006B209B">
        <w:t>[1981] 2 R.C.S. 181.</w:t>
      </w:r>
    </w:p>
  </w:footnote>
  <w:footnote w:id="26">
    <w:p w:rsidR="005F113F" w:rsidRDefault="005F113F" w:rsidP="005F113F">
      <w:pPr>
        <w:pStyle w:val="Notedebasdepage"/>
      </w:pPr>
      <w:r>
        <w:rPr>
          <w:rStyle w:val="Appelnotedebasdep"/>
        </w:rPr>
        <w:footnoteRef/>
      </w:r>
      <w:r>
        <w:t xml:space="preserve"> </w:t>
      </w:r>
      <w:r>
        <w:tab/>
      </w:r>
      <w:r w:rsidRPr="006B209B">
        <w:rPr>
          <w:i/>
          <w:iCs/>
        </w:rPr>
        <w:t xml:space="preserve">The DefamationAct, </w:t>
      </w:r>
      <w:r w:rsidRPr="006B209B">
        <w:t>C.C.S.M., c. D20.</w:t>
      </w:r>
    </w:p>
  </w:footnote>
  <w:footnote w:id="27">
    <w:p w:rsidR="005F113F" w:rsidRDefault="005F113F" w:rsidP="005F113F">
      <w:pPr>
        <w:pStyle w:val="Notedebasdepage"/>
      </w:pPr>
      <w:r>
        <w:rPr>
          <w:rStyle w:val="Appelnotedebasdep"/>
        </w:rPr>
        <w:footnoteRef/>
      </w:r>
      <w:r>
        <w:t xml:space="preserve"> </w:t>
      </w:r>
      <w:r>
        <w:tab/>
      </w:r>
      <w:r w:rsidRPr="006B209B">
        <w:t>Charte québécoise, articles 10 et su</w:t>
      </w:r>
      <w:r w:rsidRPr="006B209B">
        <w:t>i</w:t>
      </w:r>
      <w:r w:rsidRPr="006B209B">
        <w:t>vants.</w:t>
      </w:r>
    </w:p>
  </w:footnote>
  <w:footnote w:id="28">
    <w:p w:rsidR="005F113F" w:rsidRDefault="005F113F" w:rsidP="005F113F">
      <w:pPr>
        <w:pStyle w:val="Notedebasdepage"/>
      </w:pPr>
      <w:r>
        <w:rPr>
          <w:rStyle w:val="Appelnotedebasdep"/>
        </w:rPr>
        <w:footnoteRef/>
      </w:r>
      <w:r>
        <w:t xml:space="preserve"> </w:t>
      </w:r>
      <w:r>
        <w:tab/>
      </w:r>
      <w:r w:rsidRPr="006B209B">
        <w:t>Charte québécoise, article 49.</w:t>
      </w:r>
    </w:p>
  </w:footnote>
  <w:footnote w:id="29">
    <w:p w:rsidR="005F113F" w:rsidRDefault="005F113F" w:rsidP="005F113F">
      <w:pPr>
        <w:pStyle w:val="Notedebasdepage"/>
      </w:pPr>
      <w:r>
        <w:rPr>
          <w:rStyle w:val="Appelnotedebasdep"/>
        </w:rPr>
        <w:footnoteRef/>
      </w:r>
      <w:r>
        <w:t xml:space="preserve"> </w:t>
      </w:r>
      <w:r>
        <w:tab/>
      </w:r>
      <w:r w:rsidRPr="006B209B">
        <w:t>L.R.C. (1985), ch. H-6.</w:t>
      </w:r>
    </w:p>
  </w:footnote>
  <w:footnote w:id="30">
    <w:p w:rsidR="005F113F" w:rsidRDefault="005F113F" w:rsidP="005F113F">
      <w:pPr>
        <w:pStyle w:val="Notedebasdepage"/>
      </w:pPr>
      <w:r>
        <w:rPr>
          <w:rStyle w:val="Appelnotedebasdep"/>
        </w:rPr>
        <w:footnoteRef/>
      </w:r>
      <w:r>
        <w:t xml:space="preserve"> </w:t>
      </w:r>
      <w:r>
        <w:tab/>
      </w:r>
      <w:r w:rsidRPr="006B209B">
        <w:t>Voir la Loi constitutionnelle de 1867, articles 91 et 92.</w:t>
      </w:r>
    </w:p>
  </w:footnote>
  <w:footnote w:id="31">
    <w:p w:rsidR="005F113F" w:rsidRDefault="005F113F" w:rsidP="005F113F">
      <w:pPr>
        <w:pStyle w:val="Notedebasdepage"/>
      </w:pPr>
      <w:r>
        <w:rPr>
          <w:rStyle w:val="Appelnotedebasdep"/>
        </w:rPr>
        <w:footnoteRef/>
      </w:r>
      <w:r>
        <w:t xml:space="preserve"> </w:t>
      </w:r>
      <w:r>
        <w:tab/>
      </w:r>
      <w:r w:rsidRPr="006B209B">
        <w:t>LCDP, articles 5 à 14.1.</w:t>
      </w:r>
    </w:p>
  </w:footnote>
  <w:footnote w:id="32">
    <w:p w:rsidR="005F113F" w:rsidRDefault="005F113F" w:rsidP="005F113F">
      <w:pPr>
        <w:pStyle w:val="Notedebasdepage"/>
      </w:pPr>
      <w:r>
        <w:rPr>
          <w:rStyle w:val="Appelnotedebasdep"/>
        </w:rPr>
        <w:footnoteRef/>
      </w:r>
      <w:r>
        <w:t xml:space="preserve"> </w:t>
      </w:r>
      <w:r>
        <w:tab/>
      </w:r>
      <w:r w:rsidRPr="006B209B">
        <w:t>LCDP, partie III.</w:t>
      </w:r>
    </w:p>
  </w:footnote>
  <w:footnote w:id="33">
    <w:p w:rsidR="005F113F" w:rsidRDefault="005F113F" w:rsidP="005F113F">
      <w:pPr>
        <w:pStyle w:val="Notedebasdepage"/>
      </w:pPr>
      <w:r>
        <w:rPr>
          <w:rStyle w:val="Appelnotedebasdep"/>
        </w:rPr>
        <w:footnoteRef/>
      </w:r>
      <w:r>
        <w:t xml:space="preserve"> </w:t>
      </w:r>
      <w:r>
        <w:tab/>
      </w:r>
      <w:r w:rsidRPr="006B209B">
        <w:t>LCDP, article 53.</w:t>
      </w:r>
    </w:p>
  </w:footnote>
  <w:footnote w:id="34">
    <w:p w:rsidR="005F113F" w:rsidRDefault="005F113F" w:rsidP="005F113F">
      <w:pPr>
        <w:pStyle w:val="Notedebasdepage"/>
      </w:pPr>
      <w:r>
        <w:rPr>
          <w:rStyle w:val="Appelnotedebasdep"/>
        </w:rPr>
        <w:footnoteRef/>
      </w:r>
      <w:r>
        <w:t xml:space="preserve"> </w:t>
      </w:r>
      <w:r>
        <w:tab/>
      </w:r>
      <w:r w:rsidRPr="006B209B">
        <w:t>LCDP, article 14</w:t>
      </w:r>
      <w:r>
        <w:t> ;</w:t>
      </w:r>
      <w:r w:rsidRPr="006B209B">
        <w:t xml:space="preserve"> CDLP, article 10.1.</w:t>
      </w:r>
    </w:p>
  </w:footnote>
  <w:footnote w:id="35">
    <w:p w:rsidR="005F113F" w:rsidRDefault="005F113F" w:rsidP="005F113F">
      <w:pPr>
        <w:pStyle w:val="Notedebasdepage"/>
      </w:pPr>
      <w:r>
        <w:rPr>
          <w:rStyle w:val="Appelnotedebasdep"/>
        </w:rPr>
        <w:footnoteRef/>
      </w:r>
      <w:r>
        <w:t xml:space="preserve"> </w:t>
      </w:r>
      <w:r>
        <w:tab/>
      </w:r>
      <w:r w:rsidRPr="006B209B">
        <w:t>LCDP, article 12</w:t>
      </w:r>
      <w:r>
        <w:t> ;</w:t>
      </w:r>
      <w:r w:rsidRPr="006B209B">
        <w:t xml:space="preserve"> CDLP, article 11.</w:t>
      </w:r>
    </w:p>
  </w:footnote>
  <w:footnote w:id="36">
    <w:p w:rsidR="005F113F" w:rsidRDefault="005F113F" w:rsidP="005F113F">
      <w:pPr>
        <w:pStyle w:val="Notedebasdepage"/>
      </w:pPr>
      <w:r>
        <w:rPr>
          <w:rStyle w:val="Appelnotedebasdep"/>
        </w:rPr>
        <w:footnoteRef/>
      </w:r>
      <w:r>
        <w:t xml:space="preserve"> </w:t>
      </w:r>
      <w:r>
        <w:tab/>
      </w:r>
      <w:r w:rsidRPr="006B209B">
        <w:t>The Saskatchewan Human Rights Code, SS 1979, c. S-24.1.</w:t>
      </w:r>
    </w:p>
  </w:footnote>
  <w:footnote w:id="37">
    <w:p w:rsidR="005F113F" w:rsidRDefault="005F113F" w:rsidP="005F113F">
      <w:pPr>
        <w:pStyle w:val="Notedebasdepage"/>
      </w:pPr>
      <w:r>
        <w:rPr>
          <w:rStyle w:val="Appelnotedebasdep"/>
        </w:rPr>
        <w:footnoteRef/>
      </w:r>
      <w:r>
        <w:t xml:space="preserve"> </w:t>
      </w:r>
      <w:r>
        <w:tab/>
      </w:r>
      <w:r w:rsidRPr="006B209B">
        <w:t>SHRC, article 35.</w:t>
      </w:r>
    </w:p>
  </w:footnote>
  <w:footnote w:id="38">
    <w:p w:rsidR="005F113F" w:rsidRDefault="005F113F" w:rsidP="005F113F">
      <w:pPr>
        <w:pStyle w:val="Notedebasdepage"/>
      </w:pPr>
      <w:r>
        <w:rPr>
          <w:rStyle w:val="Appelnotedebasdep"/>
        </w:rPr>
        <w:footnoteRef/>
      </w:r>
      <w:r>
        <w:t xml:space="preserve"> </w:t>
      </w:r>
      <w:r>
        <w:tab/>
      </w:r>
      <w:r w:rsidRPr="006B209B">
        <w:t>SHRC, article 38.</w:t>
      </w:r>
    </w:p>
  </w:footnote>
  <w:footnote w:id="39">
    <w:p w:rsidR="005F113F" w:rsidRDefault="005F113F" w:rsidP="005F113F">
      <w:pPr>
        <w:pStyle w:val="Notedebasdepage"/>
      </w:pPr>
      <w:r>
        <w:rPr>
          <w:rStyle w:val="Appelnotedebasdep"/>
        </w:rPr>
        <w:footnoteRef/>
      </w:r>
      <w:r>
        <w:t xml:space="preserve"> </w:t>
      </w:r>
      <w:r>
        <w:tab/>
      </w:r>
      <w:r w:rsidRPr="006B209B">
        <w:t xml:space="preserve">Voir le répertoire CanLII et le tome de G. COURNOYER et G. OUIMET, </w:t>
      </w:r>
      <w:r w:rsidRPr="006B209B">
        <w:rPr>
          <w:i/>
          <w:iCs/>
        </w:rPr>
        <w:t xml:space="preserve">Code criminel annoté, </w:t>
      </w:r>
      <w:r w:rsidRPr="006B209B">
        <w:t>Montréal, Éd</w:t>
      </w:r>
      <w:r w:rsidRPr="006B209B">
        <w:t>i</w:t>
      </w:r>
      <w:r w:rsidRPr="006B209B">
        <w:t>tions Yvon Biais, 2018.</w:t>
      </w:r>
    </w:p>
  </w:footnote>
  <w:footnote w:id="40">
    <w:p w:rsidR="005F113F" w:rsidRDefault="005F113F" w:rsidP="005F113F">
      <w:pPr>
        <w:pStyle w:val="Notedebasdepage"/>
      </w:pPr>
      <w:r>
        <w:rPr>
          <w:rStyle w:val="Appelnotedebasdep"/>
        </w:rPr>
        <w:footnoteRef/>
      </w:r>
      <w:r>
        <w:t xml:space="preserve"> </w:t>
      </w:r>
      <w:r>
        <w:tab/>
      </w:r>
      <w:r w:rsidRPr="006B209B">
        <w:t xml:space="preserve">Voir les articles 318(1), (2) et (4), et 319(1), (2), (3), (6) et (7) du </w:t>
      </w:r>
      <w:r w:rsidRPr="006B209B">
        <w:rPr>
          <w:i/>
          <w:iCs/>
        </w:rPr>
        <w:t>Code cr</w:t>
      </w:r>
      <w:r w:rsidRPr="006B209B">
        <w:rPr>
          <w:i/>
          <w:iCs/>
        </w:rPr>
        <w:t>i</w:t>
      </w:r>
      <w:r w:rsidRPr="006B209B">
        <w:rPr>
          <w:i/>
          <w:iCs/>
        </w:rPr>
        <w:t xml:space="preserve">minel, </w:t>
      </w:r>
      <w:r w:rsidRPr="006B209B">
        <w:t>en annexe.</w:t>
      </w:r>
    </w:p>
  </w:footnote>
  <w:footnote w:id="41">
    <w:p w:rsidR="005F113F" w:rsidRDefault="005F113F" w:rsidP="005F113F">
      <w:pPr>
        <w:pStyle w:val="Notedebasdepage"/>
      </w:pPr>
      <w:r>
        <w:rPr>
          <w:rStyle w:val="Appelnotedebasdep"/>
        </w:rPr>
        <w:footnoteRef/>
      </w:r>
      <w:r>
        <w:t xml:space="preserve"> </w:t>
      </w:r>
      <w:r>
        <w:tab/>
      </w:r>
      <w:r w:rsidRPr="006B209B">
        <w:t xml:space="preserve">Voir les articles 430(1), (4.1) et (4.101) du </w:t>
      </w:r>
      <w:r w:rsidRPr="006B209B">
        <w:rPr>
          <w:i/>
          <w:iCs/>
        </w:rPr>
        <w:t xml:space="preserve">Code criminel, </w:t>
      </w:r>
      <w:r w:rsidRPr="006B209B">
        <w:t>en a</w:t>
      </w:r>
      <w:r w:rsidRPr="006B209B">
        <w:t>n</w:t>
      </w:r>
      <w:r w:rsidRPr="006B209B">
        <w:t>nexe.</w:t>
      </w:r>
    </w:p>
  </w:footnote>
  <w:footnote w:id="42">
    <w:p w:rsidR="005F113F" w:rsidRDefault="005F113F" w:rsidP="005F113F">
      <w:pPr>
        <w:pStyle w:val="Notedebasdepage"/>
      </w:pPr>
      <w:r>
        <w:rPr>
          <w:rStyle w:val="Appelnotedebasdep"/>
        </w:rPr>
        <w:footnoteRef/>
      </w:r>
      <w:r>
        <w:t xml:space="preserve"> </w:t>
      </w:r>
      <w:r>
        <w:tab/>
      </w:r>
      <w:r w:rsidRPr="006B209B">
        <w:t xml:space="preserve">Voir l'article 718.2(a)i) du </w:t>
      </w:r>
      <w:r w:rsidRPr="006B209B">
        <w:rPr>
          <w:i/>
          <w:iCs/>
        </w:rPr>
        <w:t>Code cr</w:t>
      </w:r>
      <w:r w:rsidRPr="006B209B">
        <w:rPr>
          <w:i/>
          <w:iCs/>
        </w:rPr>
        <w:t>i</w:t>
      </w:r>
      <w:r w:rsidRPr="006B209B">
        <w:rPr>
          <w:i/>
          <w:iCs/>
        </w:rPr>
        <w:t xml:space="preserve">minel, </w:t>
      </w:r>
      <w:r w:rsidRPr="006B209B">
        <w:t>en annexe.</w:t>
      </w:r>
    </w:p>
  </w:footnote>
  <w:footnote w:id="43">
    <w:p w:rsidR="005F113F" w:rsidRDefault="005F113F" w:rsidP="005F113F">
      <w:pPr>
        <w:pStyle w:val="Notedebasdepage"/>
      </w:pPr>
      <w:r>
        <w:rPr>
          <w:rStyle w:val="Appelnotedebasdep"/>
        </w:rPr>
        <w:footnoteRef/>
      </w:r>
      <w:r>
        <w:t xml:space="preserve"> </w:t>
      </w:r>
      <w:r>
        <w:tab/>
      </w:r>
      <w:r w:rsidRPr="006B209B">
        <w:t>Voir par exemple Canada (Commi</w:t>
      </w:r>
      <w:r w:rsidRPr="006B209B">
        <w:t>s</w:t>
      </w:r>
      <w:r w:rsidRPr="006B209B">
        <w:t xml:space="preserve">sion des droits de la personne) c. Taylor, [1990] 3 R.C.S. 892, p. </w:t>
      </w:r>
      <w:r>
        <w:t>894.</w:t>
      </w:r>
    </w:p>
  </w:footnote>
  <w:footnote w:id="44">
    <w:p w:rsidR="005F113F" w:rsidRDefault="005F113F" w:rsidP="005F113F">
      <w:pPr>
        <w:pStyle w:val="Notedebasdepage"/>
      </w:pPr>
      <w:r>
        <w:rPr>
          <w:rStyle w:val="Appelnotedebasdep"/>
        </w:rPr>
        <w:footnoteRef/>
      </w:r>
      <w:r>
        <w:t xml:space="preserve"> </w:t>
      </w:r>
      <w:r>
        <w:tab/>
      </w:r>
      <w:r w:rsidRPr="006B209B">
        <w:t>CCDL, article 1.</w:t>
      </w:r>
    </w:p>
  </w:footnote>
  <w:footnote w:id="45">
    <w:p w:rsidR="005F113F" w:rsidRDefault="005F113F" w:rsidP="005F113F">
      <w:pPr>
        <w:pStyle w:val="Notedebasdepage"/>
      </w:pPr>
      <w:r>
        <w:rPr>
          <w:rStyle w:val="Appelnotedebasdep"/>
        </w:rPr>
        <w:footnoteRef/>
      </w:r>
      <w:r>
        <w:t xml:space="preserve"> </w:t>
      </w:r>
      <w:r>
        <w:tab/>
      </w:r>
      <w:r w:rsidRPr="006B209B">
        <w:t>Outre l'hypothèse de l'usage de la clause dérogatoire par le Parl</w:t>
      </w:r>
      <w:r w:rsidRPr="006B209B">
        <w:t>e</w:t>
      </w:r>
      <w:r w:rsidRPr="006B209B">
        <w:t>ment ou la législature (voir l'article 33 CCDL).</w:t>
      </w:r>
    </w:p>
  </w:footnote>
  <w:footnote w:id="46">
    <w:p w:rsidR="005F113F" w:rsidRDefault="005F113F" w:rsidP="005F113F">
      <w:pPr>
        <w:pStyle w:val="Notedebasdepage"/>
      </w:pPr>
      <w:r>
        <w:rPr>
          <w:rStyle w:val="Appelnotedebasdep"/>
        </w:rPr>
        <w:footnoteRef/>
      </w:r>
      <w:r>
        <w:t xml:space="preserve"> </w:t>
      </w:r>
      <w:r>
        <w:tab/>
      </w:r>
      <w:r w:rsidRPr="006B209B">
        <w:rPr>
          <w:i/>
          <w:iCs/>
        </w:rPr>
        <w:t xml:space="preserve">R. </w:t>
      </w:r>
      <w:r w:rsidRPr="006B209B">
        <w:t xml:space="preserve">c. </w:t>
      </w:r>
      <w:r w:rsidRPr="006B209B">
        <w:rPr>
          <w:i/>
          <w:iCs/>
        </w:rPr>
        <w:t xml:space="preserve">Oakes, </w:t>
      </w:r>
      <w:r w:rsidRPr="006B209B">
        <w:t>[1986] 1 R.C.S. 103.</w:t>
      </w:r>
    </w:p>
  </w:footnote>
  <w:footnote w:id="47">
    <w:p w:rsidR="005F113F" w:rsidRDefault="005F113F" w:rsidP="005F113F">
      <w:pPr>
        <w:pStyle w:val="Notedebasdepage"/>
      </w:pPr>
      <w:r>
        <w:rPr>
          <w:rStyle w:val="Appelnotedebasdep"/>
        </w:rPr>
        <w:footnoteRef/>
      </w:r>
      <w:r>
        <w:t xml:space="preserve"> </w:t>
      </w:r>
      <w:r>
        <w:tab/>
      </w:r>
      <w:r w:rsidRPr="006B209B">
        <w:t xml:space="preserve">Voir notamment </w:t>
      </w:r>
      <w:r w:rsidRPr="006B209B">
        <w:rPr>
          <w:i/>
          <w:iCs/>
        </w:rPr>
        <w:t xml:space="preserve">R. </w:t>
      </w:r>
      <w:r w:rsidRPr="006B209B">
        <w:t xml:space="preserve">c. </w:t>
      </w:r>
      <w:r w:rsidRPr="006B209B">
        <w:rPr>
          <w:i/>
          <w:iCs/>
        </w:rPr>
        <w:t xml:space="preserve">Keegstra, </w:t>
      </w:r>
      <w:r w:rsidRPr="006B209B">
        <w:t>[1990] 3 R.C.S. 697.</w:t>
      </w:r>
    </w:p>
  </w:footnote>
  <w:footnote w:id="48">
    <w:p w:rsidR="005F113F" w:rsidRDefault="005F113F" w:rsidP="005F113F">
      <w:pPr>
        <w:pStyle w:val="Notedebasdepage"/>
      </w:pPr>
      <w:r>
        <w:rPr>
          <w:rStyle w:val="Appelnotedebasdep"/>
        </w:rPr>
        <w:footnoteRef/>
      </w:r>
      <w:r>
        <w:t xml:space="preserve"> </w:t>
      </w:r>
      <w:r>
        <w:tab/>
      </w:r>
      <w:r w:rsidRPr="006B209B">
        <w:rPr>
          <w:i/>
          <w:iCs/>
        </w:rPr>
        <w:t xml:space="preserve">R. </w:t>
      </w:r>
      <w:r w:rsidRPr="006B209B">
        <w:t xml:space="preserve">c. </w:t>
      </w:r>
      <w:r w:rsidRPr="006B209B">
        <w:rPr>
          <w:i/>
          <w:iCs/>
        </w:rPr>
        <w:t xml:space="preserve">Keegstra, </w:t>
      </w:r>
      <w:r w:rsidRPr="006B209B">
        <w:t>[1990] 3 R.C.S. 697.</w:t>
      </w:r>
    </w:p>
  </w:footnote>
  <w:footnote w:id="49">
    <w:p w:rsidR="005F113F" w:rsidRDefault="005F113F" w:rsidP="005F113F">
      <w:pPr>
        <w:pStyle w:val="Notedebasdepage"/>
      </w:pPr>
      <w:r>
        <w:rPr>
          <w:rStyle w:val="Appelnotedebasdep"/>
        </w:rPr>
        <w:footnoteRef/>
      </w:r>
      <w:r>
        <w:t xml:space="preserve"> </w:t>
      </w:r>
      <w:r>
        <w:tab/>
      </w:r>
      <w:r w:rsidRPr="006B209B">
        <w:t>Canada (Commission des droits de la personne) c. Taylor, [1990] 3 R.C.S. 892.</w:t>
      </w:r>
    </w:p>
  </w:footnote>
  <w:footnote w:id="50">
    <w:p w:rsidR="005F113F" w:rsidRDefault="005F113F" w:rsidP="005F113F">
      <w:pPr>
        <w:pStyle w:val="Notedebasdepage"/>
      </w:pPr>
      <w:r>
        <w:rPr>
          <w:rStyle w:val="Appelnotedebasdep"/>
        </w:rPr>
        <w:footnoteRef/>
      </w:r>
      <w:r>
        <w:t xml:space="preserve"> </w:t>
      </w:r>
      <w:r>
        <w:tab/>
      </w:r>
      <w:r w:rsidRPr="006B209B">
        <w:rPr>
          <w:i/>
          <w:iCs/>
        </w:rPr>
        <w:t xml:space="preserve">R. </w:t>
      </w:r>
      <w:r w:rsidRPr="006B209B">
        <w:t xml:space="preserve">c. </w:t>
      </w:r>
      <w:r w:rsidRPr="006B209B">
        <w:rPr>
          <w:i/>
          <w:iCs/>
        </w:rPr>
        <w:t xml:space="preserve">Andrews, </w:t>
      </w:r>
      <w:r w:rsidRPr="006B209B">
        <w:t>[1990] 3 R.C.S. 870.</w:t>
      </w:r>
    </w:p>
  </w:footnote>
  <w:footnote w:id="51">
    <w:p w:rsidR="005F113F" w:rsidRDefault="005F113F" w:rsidP="005F113F">
      <w:pPr>
        <w:pStyle w:val="Notedebasdepage"/>
      </w:pPr>
      <w:r>
        <w:rPr>
          <w:rStyle w:val="Appelnotedebasdep"/>
        </w:rPr>
        <w:footnoteRef/>
      </w:r>
      <w:r>
        <w:t xml:space="preserve"> </w:t>
      </w:r>
      <w:r>
        <w:tab/>
      </w:r>
      <w:r w:rsidRPr="006B209B">
        <w:rPr>
          <w:i/>
          <w:iCs/>
        </w:rPr>
        <w:t xml:space="preserve">R. </w:t>
      </w:r>
      <w:r w:rsidRPr="006B209B">
        <w:t xml:space="preserve">c. </w:t>
      </w:r>
      <w:r w:rsidRPr="006B209B">
        <w:rPr>
          <w:i/>
          <w:iCs/>
        </w:rPr>
        <w:t xml:space="preserve">Zundel, </w:t>
      </w:r>
      <w:r w:rsidRPr="006B209B">
        <w:t>[1992] 2 R.C.S. 731.</w:t>
      </w:r>
    </w:p>
  </w:footnote>
  <w:footnote w:id="52">
    <w:p w:rsidR="005F113F" w:rsidRDefault="005F113F" w:rsidP="005F113F">
      <w:pPr>
        <w:pStyle w:val="Notedebasdepage"/>
      </w:pPr>
      <w:r>
        <w:rPr>
          <w:rStyle w:val="Appelnotedebasdep"/>
        </w:rPr>
        <w:footnoteRef/>
      </w:r>
      <w:r>
        <w:t xml:space="preserve"> </w:t>
      </w:r>
      <w:r>
        <w:tab/>
      </w:r>
      <w:r w:rsidRPr="006B209B">
        <w:t>Saskatchewan (Human Rights Co</w:t>
      </w:r>
      <w:r w:rsidRPr="006B209B">
        <w:t>m</w:t>
      </w:r>
      <w:r w:rsidRPr="006B209B">
        <w:t>mission) c. Whatcott, [2013] 1 R.C.S. 467.</w:t>
      </w:r>
    </w:p>
  </w:footnote>
  <w:footnote w:id="53">
    <w:p w:rsidR="005F113F" w:rsidRDefault="005F113F" w:rsidP="005F113F">
      <w:pPr>
        <w:pStyle w:val="Notedebasdepage"/>
      </w:pPr>
      <w:r>
        <w:rPr>
          <w:rStyle w:val="Appelnotedebasdep"/>
        </w:rPr>
        <w:footnoteRef/>
      </w:r>
      <w:r>
        <w:t xml:space="preserve"> </w:t>
      </w:r>
      <w:r>
        <w:tab/>
      </w:r>
      <w:r w:rsidRPr="006B209B">
        <w:t>Voir par exemple</w:t>
      </w:r>
      <w:r>
        <w:t> :</w:t>
      </w:r>
      <w:r w:rsidRPr="006B209B">
        <w:t xml:space="preserve"> R. c. Zundel, [1992] 2 R.C.S. 731</w:t>
      </w:r>
      <w:r>
        <w:t> ;</w:t>
      </w:r>
      <w:r w:rsidRPr="006B209B">
        <w:t xml:space="preserve"> Canada (Commission des droits de la personne) c. Can</w:t>
      </w:r>
      <w:r w:rsidRPr="006B209B">
        <w:t>a</w:t>
      </w:r>
      <w:r w:rsidRPr="006B209B">
        <w:t>dian Liberty Net, [1998] 1 R.C.S. 626</w:t>
      </w:r>
      <w:r>
        <w:t> ;</w:t>
      </w:r>
      <w:r w:rsidRPr="006B209B">
        <w:t xml:space="preserve"> Mugesera c. Canada (Ministre de la Citoyenn</w:t>
      </w:r>
      <w:r w:rsidRPr="006B209B">
        <w:t>e</w:t>
      </w:r>
      <w:r w:rsidRPr="006B209B">
        <w:t>té et de l'Immigration), [2005] 2 R.C.S. 100.</w:t>
      </w:r>
    </w:p>
  </w:footnote>
  <w:footnote w:id="54">
    <w:p w:rsidR="005F113F" w:rsidRDefault="005F113F" w:rsidP="005F113F">
      <w:pPr>
        <w:pStyle w:val="Notedebasdepage"/>
      </w:pPr>
      <w:r>
        <w:rPr>
          <w:rStyle w:val="Appelnotedebasdep"/>
        </w:rPr>
        <w:footnoteRef/>
      </w:r>
      <w:r>
        <w:t xml:space="preserve"> </w:t>
      </w:r>
      <w:r>
        <w:tab/>
      </w:r>
      <w:r w:rsidRPr="006B209B">
        <w:rPr>
          <w:i/>
          <w:iCs/>
        </w:rPr>
        <w:t xml:space="preserve">R. </w:t>
      </w:r>
      <w:r w:rsidRPr="006B209B">
        <w:t xml:space="preserve">c. </w:t>
      </w:r>
      <w:r w:rsidRPr="006B209B">
        <w:rPr>
          <w:i/>
          <w:iCs/>
        </w:rPr>
        <w:t xml:space="preserve">Zundel, </w:t>
      </w:r>
      <w:r w:rsidRPr="006B209B">
        <w:t>[1992] 2 R.C.S. 731.</w:t>
      </w:r>
    </w:p>
  </w:footnote>
  <w:footnote w:id="55">
    <w:p w:rsidR="005F113F" w:rsidRDefault="005F113F" w:rsidP="005F113F">
      <w:pPr>
        <w:pStyle w:val="Notedebasdepage"/>
      </w:pPr>
      <w:r>
        <w:rPr>
          <w:rStyle w:val="Appelnotedebasdep"/>
        </w:rPr>
        <w:footnoteRef/>
      </w:r>
      <w:r>
        <w:t xml:space="preserve"> </w:t>
      </w:r>
      <w:r>
        <w:tab/>
      </w:r>
      <w:r w:rsidRPr="006B209B">
        <w:t>Canada (Commission des droits de la personne) c. Taylor, [1990] 3 R.C.S. 892, p. 928-929.</w:t>
      </w:r>
    </w:p>
  </w:footnote>
  <w:footnote w:id="56">
    <w:p w:rsidR="005F113F" w:rsidRDefault="005F113F" w:rsidP="005F113F">
      <w:pPr>
        <w:pStyle w:val="Notedebasdepage"/>
      </w:pPr>
      <w:r>
        <w:rPr>
          <w:rStyle w:val="Appelnotedebasdep"/>
        </w:rPr>
        <w:footnoteRef/>
      </w:r>
      <w:r>
        <w:t xml:space="preserve"> </w:t>
      </w:r>
      <w:r>
        <w:tab/>
      </w:r>
      <w:r w:rsidRPr="006B209B">
        <w:t>L.C. 2013, ch. 37.</w:t>
      </w:r>
    </w:p>
  </w:footnote>
  <w:footnote w:id="57">
    <w:p w:rsidR="005F113F" w:rsidRDefault="005F113F" w:rsidP="005F113F">
      <w:pPr>
        <w:pStyle w:val="Notedebasdepage"/>
      </w:pPr>
      <w:r>
        <w:rPr>
          <w:rStyle w:val="Appelnotedebasdep"/>
        </w:rPr>
        <w:footnoteRef/>
      </w:r>
      <w:r>
        <w:t xml:space="preserve"> </w:t>
      </w:r>
      <w:r>
        <w:tab/>
      </w:r>
      <w:r w:rsidRPr="006B209B">
        <w:t>L.C. 2013, ch. 37.</w:t>
      </w:r>
    </w:p>
  </w:footnote>
  <w:footnote w:id="58">
    <w:p w:rsidR="005F113F" w:rsidRDefault="005F113F" w:rsidP="005F113F">
      <w:pPr>
        <w:pStyle w:val="Notedebasdepage"/>
      </w:pPr>
      <w:r>
        <w:rPr>
          <w:rStyle w:val="Appelnotedebasdep"/>
        </w:rPr>
        <w:footnoteRef/>
      </w:r>
      <w:r>
        <w:t xml:space="preserve"> </w:t>
      </w:r>
      <w:r>
        <w:tab/>
      </w:r>
      <w:r w:rsidRPr="006B209B">
        <w:t>Saskatchewan (Human Rights Commission) c. Whatcott, [2013] 1 R.C.S. 467.</w:t>
      </w:r>
    </w:p>
  </w:footnote>
  <w:footnote w:id="59">
    <w:p w:rsidR="005F113F" w:rsidRDefault="005F113F" w:rsidP="005F113F">
      <w:pPr>
        <w:pStyle w:val="Notedebasdepage"/>
      </w:pPr>
      <w:r>
        <w:rPr>
          <w:rStyle w:val="Appelnotedebasdep"/>
        </w:rPr>
        <w:footnoteRef/>
      </w:r>
      <w:r>
        <w:t xml:space="preserve"> </w:t>
      </w:r>
      <w:r>
        <w:tab/>
      </w:r>
      <w:r w:rsidRPr="006B209B">
        <w:t xml:space="preserve">Référant à la note 3, paragraphe 42, arrêt </w:t>
      </w:r>
      <w:r w:rsidRPr="006B209B">
        <w:rPr>
          <w:i/>
          <w:iCs/>
        </w:rPr>
        <w:t>Whatcott.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3F" w:rsidRDefault="005F113F" w:rsidP="005F113F">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Denise Helly et al., </w:t>
    </w:r>
    <w:r w:rsidRPr="004B7FCF">
      <w:rPr>
        <w:rFonts w:ascii="Times New Roman" w:hAnsi="Times New Roman"/>
      </w:rPr>
      <w:t>“À la recherche d’une définition pragmatique de la haine.”</w:t>
    </w:r>
    <w:r>
      <w:rPr>
        <w:rFonts w:ascii="Times New Roman" w:hAnsi="Times New Roman"/>
      </w:rPr>
      <w:t xml:space="preserve"> (2018)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86D4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rsidR="005F113F" w:rsidRDefault="005F113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32A5"/>
    <w:multiLevelType w:val="singleLevel"/>
    <w:tmpl w:val="2514CA4C"/>
    <w:lvl w:ilvl="0">
      <w:start w:val="2"/>
      <w:numFmt w:val="lowerLetter"/>
      <w:lvlText w:val="%1)"/>
      <w:legacy w:legacy="1" w:legacySpace="0" w:legacyIndent="221"/>
      <w:lvlJc w:val="left"/>
      <w:rPr>
        <w:rFonts w:ascii="Times New Roman" w:hAnsi="Times New Roman" w:hint="default"/>
      </w:rPr>
    </w:lvl>
  </w:abstractNum>
  <w:abstractNum w:abstractNumId="1" w15:restartNumberingAfterBreak="0">
    <w:nsid w:val="04543494"/>
    <w:multiLevelType w:val="singleLevel"/>
    <w:tmpl w:val="872624E2"/>
    <w:lvl w:ilvl="0">
      <w:start w:val="1"/>
      <w:numFmt w:val="decimal"/>
      <w:lvlText w:val="%1."/>
      <w:legacy w:legacy="1" w:legacySpace="0" w:legacyIndent="404"/>
      <w:lvlJc w:val="left"/>
      <w:rPr>
        <w:rFonts w:ascii="Times New Roman" w:hAnsi="Times New Roman" w:hint="default"/>
      </w:rPr>
    </w:lvl>
  </w:abstractNum>
  <w:abstractNum w:abstractNumId="2" w15:restartNumberingAfterBreak="0">
    <w:nsid w:val="0A883898"/>
    <w:multiLevelType w:val="singleLevel"/>
    <w:tmpl w:val="CE38E296"/>
    <w:lvl w:ilvl="0">
      <w:start w:val="1"/>
      <w:numFmt w:val="lowerLetter"/>
      <w:lvlText w:val="%1)"/>
      <w:legacy w:legacy="1" w:legacySpace="0" w:legacyIndent="221"/>
      <w:lvlJc w:val="left"/>
      <w:rPr>
        <w:rFonts w:ascii="Times New Roman" w:hAnsi="Times New Roman" w:hint="default"/>
      </w:rPr>
    </w:lvl>
  </w:abstractNum>
  <w:abstractNum w:abstractNumId="3" w15:restartNumberingAfterBreak="0">
    <w:nsid w:val="1EBE03D8"/>
    <w:multiLevelType w:val="singleLevel"/>
    <w:tmpl w:val="55BED9FE"/>
    <w:lvl w:ilvl="0">
      <w:start w:val="1"/>
      <w:numFmt w:val="upperLetter"/>
      <w:lvlText w:val="%1)"/>
      <w:legacy w:legacy="1" w:legacySpace="0" w:legacyIndent="465"/>
      <w:lvlJc w:val="left"/>
      <w:rPr>
        <w:rFonts w:ascii="Times New Roman" w:hAnsi="Times New Roman" w:hint="default"/>
      </w:rPr>
    </w:lvl>
  </w:abstractNum>
  <w:abstractNum w:abstractNumId="4" w15:restartNumberingAfterBreak="0">
    <w:nsid w:val="2023193C"/>
    <w:multiLevelType w:val="singleLevel"/>
    <w:tmpl w:val="7B3E9BC8"/>
    <w:lvl w:ilvl="0">
      <w:start w:val="19"/>
      <w:numFmt w:val="decimal"/>
      <w:lvlText w:val="%1."/>
      <w:legacy w:legacy="1" w:legacySpace="0" w:legacyIndent="326"/>
      <w:lvlJc w:val="left"/>
      <w:rPr>
        <w:rFonts w:ascii="Times New Roman" w:hAnsi="Times New Roman" w:hint="default"/>
      </w:rPr>
    </w:lvl>
  </w:abstractNum>
  <w:abstractNum w:abstractNumId="5" w15:restartNumberingAfterBreak="0">
    <w:nsid w:val="23343083"/>
    <w:multiLevelType w:val="singleLevel"/>
    <w:tmpl w:val="BFCEF9F6"/>
    <w:lvl w:ilvl="0">
      <w:start w:val="24"/>
      <w:numFmt w:val="decimal"/>
      <w:lvlText w:val="%1."/>
      <w:legacy w:legacy="1" w:legacySpace="0" w:legacyIndent="341"/>
      <w:lvlJc w:val="left"/>
      <w:rPr>
        <w:rFonts w:ascii="Times New Roman" w:hAnsi="Times New Roman" w:hint="default"/>
      </w:rPr>
    </w:lvl>
  </w:abstractNum>
  <w:abstractNum w:abstractNumId="6" w15:restartNumberingAfterBreak="0">
    <w:nsid w:val="28062C66"/>
    <w:multiLevelType w:val="singleLevel"/>
    <w:tmpl w:val="466E6954"/>
    <w:lvl w:ilvl="0">
      <w:start w:val="1"/>
      <w:numFmt w:val="lowerLetter"/>
      <w:lvlText w:val="%1)"/>
      <w:legacy w:legacy="1" w:legacySpace="0" w:legacyIndent="235"/>
      <w:lvlJc w:val="left"/>
      <w:rPr>
        <w:rFonts w:ascii="Times New Roman" w:hAnsi="Times New Roman" w:hint="default"/>
      </w:rPr>
    </w:lvl>
  </w:abstractNum>
  <w:abstractNum w:abstractNumId="7" w15:restartNumberingAfterBreak="0">
    <w:nsid w:val="28DD55B7"/>
    <w:multiLevelType w:val="singleLevel"/>
    <w:tmpl w:val="466E6954"/>
    <w:lvl w:ilvl="0">
      <w:start w:val="1"/>
      <w:numFmt w:val="lowerLetter"/>
      <w:lvlText w:val="%1)"/>
      <w:legacy w:legacy="1" w:legacySpace="0" w:legacyIndent="235"/>
      <w:lvlJc w:val="left"/>
      <w:rPr>
        <w:rFonts w:ascii="Times New Roman" w:hAnsi="Times New Roman" w:hint="default"/>
      </w:rPr>
    </w:lvl>
  </w:abstractNum>
  <w:abstractNum w:abstractNumId="8" w15:restartNumberingAfterBreak="0">
    <w:nsid w:val="295C6E5E"/>
    <w:multiLevelType w:val="singleLevel"/>
    <w:tmpl w:val="58F63C3C"/>
    <w:lvl w:ilvl="0">
      <w:start w:val="1"/>
      <w:numFmt w:val="lowerLetter"/>
      <w:lvlText w:val="%1)"/>
      <w:legacy w:legacy="1" w:legacySpace="0" w:legacyIndent="244"/>
      <w:lvlJc w:val="left"/>
      <w:rPr>
        <w:rFonts w:ascii="Times New Roman" w:hAnsi="Times New Roman" w:hint="default"/>
      </w:rPr>
    </w:lvl>
  </w:abstractNum>
  <w:abstractNum w:abstractNumId="9" w15:restartNumberingAfterBreak="0">
    <w:nsid w:val="2E424768"/>
    <w:multiLevelType w:val="singleLevel"/>
    <w:tmpl w:val="5434C60E"/>
    <w:lvl w:ilvl="0">
      <w:start w:val="14"/>
      <w:numFmt w:val="decimal"/>
      <w:lvlText w:val="%1."/>
      <w:legacy w:legacy="1" w:legacySpace="0" w:legacyIndent="331"/>
      <w:lvlJc w:val="left"/>
      <w:rPr>
        <w:rFonts w:ascii="Times New Roman" w:hAnsi="Times New Roman" w:hint="default"/>
      </w:rPr>
    </w:lvl>
  </w:abstractNum>
  <w:abstractNum w:abstractNumId="10" w15:restartNumberingAfterBreak="0">
    <w:nsid w:val="32EC584F"/>
    <w:multiLevelType w:val="singleLevel"/>
    <w:tmpl w:val="1578F29A"/>
    <w:lvl w:ilvl="0">
      <w:start w:val="53"/>
      <w:numFmt w:val="decimal"/>
      <w:lvlText w:val="%1."/>
      <w:legacy w:legacy="1" w:legacySpace="0" w:legacyIndent="351"/>
      <w:lvlJc w:val="left"/>
      <w:rPr>
        <w:rFonts w:ascii="Times New Roman" w:hAnsi="Times New Roman" w:hint="default"/>
      </w:rPr>
    </w:lvl>
  </w:abstractNum>
  <w:abstractNum w:abstractNumId="11" w15:restartNumberingAfterBreak="0">
    <w:nsid w:val="33BB47D0"/>
    <w:multiLevelType w:val="singleLevel"/>
    <w:tmpl w:val="731A14E2"/>
    <w:lvl w:ilvl="0">
      <w:start w:val="4"/>
      <w:numFmt w:val="decimal"/>
      <w:lvlText w:val="%1."/>
      <w:legacy w:legacy="1" w:legacySpace="0" w:legacyIndent="221"/>
      <w:lvlJc w:val="left"/>
      <w:rPr>
        <w:rFonts w:ascii="Times New Roman" w:hAnsi="Times New Roman" w:hint="default"/>
      </w:rPr>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A4C51"/>
    <w:multiLevelType w:val="singleLevel"/>
    <w:tmpl w:val="ED487926"/>
    <w:lvl w:ilvl="0">
      <w:start w:val="3"/>
      <w:numFmt w:val="lowerLetter"/>
      <w:lvlText w:val="%1)"/>
      <w:legacy w:legacy="1" w:legacySpace="0" w:legacyIndent="211"/>
      <w:lvlJc w:val="left"/>
      <w:rPr>
        <w:rFonts w:ascii="Times New Roman" w:hAnsi="Times New Roman" w:hint="default"/>
      </w:rPr>
    </w:lvl>
  </w:abstractNum>
  <w:abstractNum w:abstractNumId="14" w15:restartNumberingAfterBreak="0">
    <w:nsid w:val="3E1572C8"/>
    <w:multiLevelType w:val="singleLevel"/>
    <w:tmpl w:val="40521268"/>
    <w:lvl w:ilvl="0">
      <w:start w:val="4"/>
      <w:numFmt w:val="decimal"/>
      <w:lvlText w:val="%1."/>
      <w:legacy w:legacy="1" w:legacySpace="0" w:legacyIndent="403"/>
      <w:lvlJc w:val="left"/>
      <w:rPr>
        <w:rFonts w:ascii="Times New Roman" w:hAnsi="Times New Roman" w:hint="default"/>
      </w:rPr>
    </w:lvl>
  </w:abstractNum>
  <w:abstractNum w:abstractNumId="15" w15:restartNumberingAfterBreak="0">
    <w:nsid w:val="42171EC2"/>
    <w:multiLevelType w:val="singleLevel"/>
    <w:tmpl w:val="6F160E0C"/>
    <w:lvl w:ilvl="0">
      <w:start w:val="2"/>
      <w:numFmt w:val="decimal"/>
      <w:lvlText w:val="%1."/>
      <w:legacy w:legacy="1" w:legacySpace="0" w:legacyIndent="225"/>
      <w:lvlJc w:val="left"/>
      <w:rPr>
        <w:rFonts w:ascii="Times New Roman" w:hAnsi="Times New Roman" w:hint="default"/>
      </w:rPr>
    </w:lvl>
  </w:abstractNum>
  <w:abstractNum w:abstractNumId="16" w15:restartNumberingAfterBreak="0">
    <w:nsid w:val="445D59AB"/>
    <w:multiLevelType w:val="singleLevel"/>
    <w:tmpl w:val="5A68CFF4"/>
    <w:lvl w:ilvl="0">
      <w:start w:val="17"/>
      <w:numFmt w:val="decimal"/>
      <w:lvlText w:val="%1."/>
      <w:legacy w:legacy="1" w:legacySpace="0" w:legacyIndent="332"/>
      <w:lvlJc w:val="left"/>
      <w:rPr>
        <w:rFonts w:ascii="Times New Roman" w:hAnsi="Times New Roman" w:hint="default"/>
      </w:rPr>
    </w:lvl>
  </w:abstractNum>
  <w:abstractNum w:abstractNumId="17" w15:restartNumberingAfterBreak="0">
    <w:nsid w:val="45C312E7"/>
    <w:multiLevelType w:val="singleLevel"/>
    <w:tmpl w:val="CE38E296"/>
    <w:lvl w:ilvl="0">
      <w:start w:val="1"/>
      <w:numFmt w:val="lowerLetter"/>
      <w:lvlText w:val="%1)"/>
      <w:legacy w:legacy="1" w:legacySpace="0" w:legacyIndent="221"/>
      <w:lvlJc w:val="left"/>
      <w:rPr>
        <w:rFonts w:ascii="Times New Roman" w:hAnsi="Times New Roman" w:hint="default"/>
      </w:rPr>
    </w:lvl>
  </w:abstractNum>
  <w:abstractNum w:abstractNumId="18" w15:restartNumberingAfterBreak="0">
    <w:nsid w:val="49FF70C5"/>
    <w:multiLevelType w:val="singleLevel"/>
    <w:tmpl w:val="EFA63FF2"/>
    <w:lvl w:ilvl="0">
      <w:start w:val="7"/>
      <w:numFmt w:val="decimal"/>
      <w:lvlText w:val="%1."/>
      <w:legacy w:legacy="1" w:legacySpace="0" w:legacyIndent="336"/>
      <w:lvlJc w:val="left"/>
      <w:rPr>
        <w:rFonts w:ascii="Times New Roman" w:hAnsi="Times New Roman" w:hint="default"/>
      </w:rPr>
    </w:lvl>
  </w:abstractNum>
  <w:abstractNum w:abstractNumId="19" w15:restartNumberingAfterBreak="0">
    <w:nsid w:val="4A166802"/>
    <w:multiLevelType w:val="singleLevel"/>
    <w:tmpl w:val="A3A6BFCC"/>
    <w:lvl w:ilvl="0">
      <w:start w:val="41"/>
      <w:numFmt w:val="decimal"/>
      <w:lvlText w:val="%1."/>
      <w:legacy w:legacy="1" w:legacySpace="0" w:legacyIndent="336"/>
      <w:lvlJc w:val="left"/>
      <w:rPr>
        <w:rFonts w:ascii="Times New Roman" w:hAnsi="Times New Roman" w:hint="default"/>
      </w:rPr>
    </w:lvl>
  </w:abstractNum>
  <w:abstractNum w:abstractNumId="20" w15:restartNumberingAfterBreak="0">
    <w:nsid w:val="56664594"/>
    <w:multiLevelType w:val="singleLevel"/>
    <w:tmpl w:val="20E2BF12"/>
    <w:lvl w:ilvl="0">
      <w:start w:val="1"/>
      <w:numFmt w:val="decimal"/>
      <w:lvlText w:val="(%1)"/>
      <w:legacy w:legacy="1" w:legacySpace="0" w:legacyIndent="292"/>
      <w:lvlJc w:val="left"/>
      <w:rPr>
        <w:rFonts w:ascii="Times New Roman" w:hAnsi="Times New Roman" w:hint="default"/>
      </w:rPr>
    </w:lvl>
  </w:abstractNum>
  <w:abstractNum w:abstractNumId="21" w15:restartNumberingAfterBreak="0">
    <w:nsid w:val="57082392"/>
    <w:multiLevelType w:val="singleLevel"/>
    <w:tmpl w:val="BCF47A64"/>
    <w:lvl w:ilvl="0">
      <w:start w:val="1"/>
      <w:numFmt w:val="lowerLetter"/>
      <w:lvlText w:val="(%1)"/>
      <w:legacy w:legacy="1" w:legacySpace="0" w:legacyIndent="254"/>
      <w:lvlJc w:val="left"/>
      <w:rPr>
        <w:rFonts w:ascii="Times New Roman" w:hAnsi="Times New Roman" w:hint="default"/>
      </w:rPr>
    </w:lvl>
  </w:abstractNum>
  <w:abstractNum w:abstractNumId="22" w15:restartNumberingAfterBreak="0">
    <w:nsid w:val="5C79477B"/>
    <w:multiLevelType w:val="singleLevel"/>
    <w:tmpl w:val="F398C72E"/>
    <w:lvl w:ilvl="0">
      <w:start w:val="1"/>
      <w:numFmt w:val="lowerLetter"/>
      <w:lvlText w:val="%1)"/>
      <w:legacy w:legacy="1" w:legacySpace="0" w:legacyIndent="220"/>
      <w:lvlJc w:val="left"/>
      <w:rPr>
        <w:rFonts w:ascii="Times New Roman" w:hAnsi="Times New Roman" w:hint="default"/>
      </w:rPr>
    </w:lvl>
  </w:abstractNum>
  <w:abstractNum w:abstractNumId="23" w15:restartNumberingAfterBreak="0">
    <w:nsid w:val="5D8917D3"/>
    <w:multiLevelType w:val="singleLevel"/>
    <w:tmpl w:val="4634CF18"/>
    <w:lvl w:ilvl="0">
      <w:start w:val="11"/>
      <w:numFmt w:val="decimal"/>
      <w:lvlText w:val="%1."/>
      <w:legacy w:legacy="1" w:legacySpace="0" w:legacyIndent="331"/>
      <w:lvlJc w:val="left"/>
      <w:rPr>
        <w:rFonts w:ascii="Times New Roman" w:hAnsi="Times New Roman" w:hint="default"/>
      </w:rPr>
    </w:lvl>
  </w:abstractNum>
  <w:abstractNum w:abstractNumId="24" w15:restartNumberingAfterBreak="0">
    <w:nsid w:val="5FE47BA3"/>
    <w:multiLevelType w:val="singleLevel"/>
    <w:tmpl w:val="0392454E"/>
    <w:lvl w:ilvl="0">
      <w:start w:val="21"/>
      <w:numFmt w:val="decimal"/>
      <w:lvlText w:val="%1."/>
      <w:legacy w:legacy="1" w:legacySpace="0" w:legacyIndent="331"/>
      <w:lvlJc w:val="left"/>
      <w:rPr>
        <w:rFonts w:ascii="Times New Roman" w:hAnsi="Times New Roman" w:hint="default"/>
      </w:rPr>
    </w:lvl>
  </w:abstractNum>
  <w:abstractNum w:abstractNumId="25" w15:restartNumberingAfterBreak="0">
    <w:nsid w:val="64CA58C4"/>
    <w:multiLevelType w:val="singleLevel"/>
    <w:tmpl w:val="58F63C3C"/>
    <w:lvl w:ilvl="0">
      <w:start w:val="1"/>
      <w:numFmt w:val="lowerLetter"/>
      <w:lvlText w:val="%1)"/>
      <w:legacy w:legacy="1" w:legacySpace="0" w:legacyIndent="244"/>
      <w:lvlJc w:val="left"/>
      <w:rPr>
        <w:rFonts w:ascii="Times New Roman" w:hAnsi="Times New Roman" w:hint="default"/>
      </w:rPr>
    </w:lvl>
  </w:abstractNum>
  <w:abstractNum w:abstractNumId="26" w15:restartNumberingAfterBreak="0">
    <w:nsid w:val="6D1D501F"/>
    <w:multiLevelType w:val="singleLevel"/>
    <w:tmpl w:val="173262B0"/>
    <w:lvl w:ilvl="0">
      <w:start w:val="36"/>
      <w:numFmt w:val="decimal"/>
      <w:lvlText w:val="%1."/>
      <w:legacy w:legacy="1" w:legacySpace="0" w:legacyIndent="336"/>
      <w:lvlJc w:val="left"/>
      <w:rPr>
        <w:rFonts w:ascii="Times New Roman" w:hAnsi="Times New Roman" w:hint="default"/>
      </w:rPr>
    </w:lvl>
  </w:abstractNum>
  <w:abstractNum w:abstractNumId="27" w15:restartNumberingAfterBreak="0">
    <w:nsid w:val="72502F2B"/>
    <w:multiLevelType w:val="singleLevel"/>
    <w:tmpl w:val="9EE06D76"/>
    <w:lvl w:ilvl="0">
      <w:start w:val="33"/>
      <w:numFmt w:val="decimal"/>
      <w:lvlText w:val="%1."/>
      <w:legacy w:legacy="1" w:legacySpace="0" w:legacyIndent="345"/>
      <w:lvlJc w:val="left"/>
      <w:rPr>
        <w:rFonts w:ascii="Times New Roman" w:hAnsi="Times New Roman" w:hint="default"/>
      </w:rPr>
    </w:lvl>
  </w:abstractNum>
  <w:num w:numId="1">
    <w:abstractNumId w:val="12"/>
  </w:num>
  <w:num w:numId="2">
    <w:abstractNumId w:val="1"/>
  </w:num>
  <w:num w:numId="3">
    <w:abstractNumId w:val="3"/>
  </w:num>
  <w:num w:numId="4">
    <w:abstractNumId w:val="14"/>
  </w:num>
  <w:num w:numId="5">
    <w:abstractNumId w:val="14"/>
    <w:lvlOverride w:ilvl="0">
      <w:lvl w:ilvl="0">
        <w:start w:val="4"/>
        <w:numFmt w:val="decimal"/>
        <w:lvlText w:val="%1."/>
        <w:legacy w:legacy="1" w:legacySpace="0" w:legacyIndent="404"/>
        <w:lvlJc w:val="left"/>
        <w:rPr>
          <w:rFonts w:ascii="Times New Roman" w:hAnsi="Times New Roman" w:hint="default"/>
        </w:rPr>
      </w:lvl>
    </w:lvlOverride>
  </w:num>
  <w:num w:numId="6">
    <w:abstractNumId w:val="15"/>
  </w:num>
  <w:num w:numId="7">
    <w:abstractNumId w:val="15"/>
    <w:lvlOverride w:ilvl="0">
      <w:lvl w:ilvl="0">
        <w:start w:val="2"/>
        <w:numFmt w:val="decimal"/>
        <w:lvlText w:val="%1."/>
        <w:legacy w:legacy="1" w:legacySpace="0" w:legacyIndent="226"/>
        <w:lvlJc w:val="left"/>
        <w:rPr>
          <w:rFonts w:ascii="Times New Roman" w:hAnsi="Times New Roman" w:hint="default"/>
        </w:rPr>
      </w:lvl>
    </w:lvlOverride>
  </w:num>
  <w:num w:numId="8">
    <w:abstractNumId w:val="11"/>
  </w:num>
  <w:num w:numId="9">
    <w:abstractNumId w:val="18"/>
  </w:num>
  <w:num w:numId="10">
    <w:abstractNumId w:val="23"/>
  </w:num>
  <w:num w:numId="11">
    <w:abstractNumId w:val="9"/>
  </w:num>
  <w:num w:numId="12">
    <w:abstractNumId w:val="16"/>
  </w:num>
  <w:num w:numId="13">
    <w:abstractNumId w:val="4"/>
  </w:num>
  <w:num w:numId="14">
    <w:abstractNumId w:val="24"/>
  </w:num>
  <w:num w:numId="15">
    <w:abstractNumId w:val="24"/>
    <w:lvlOverride w:ilvl="0">
      <w:lvl w:ilvl="0">
        <w:start w:val="21"/>
        <w:numFmt w:val="decimal"/>
        <w:lvlText w:val="%1."/>
        <w:legacy w:legacy="1" w:legacySpace="0" w:legacyIndent="332"/>
        <w:lvlJc w:val="left"/>
        <w:rPr>
          <w:rFonts w:ascii="Times New Roman" w:hAnsi="Times New Roman" w:hint="default"/>
        </w:rPr>
      </w:lvl>
    </w:lvlOverride>
  </w:num>
  <w:num w:numId="16">
    <w:abstractNumId w:val="5"/>
  </w:num>
  <w:num w:numId="17">
    <w:abstractNumId w:val="27"/>
  </w:num>
  <w:num w:numId="18">
    <w:abstractNumId w:val="26"/>
  </w:num>
  <w:num w:numId="19">
    <w:abstractNumId w:val="19"/>
  </w:num>
  <w:num w:numId="20">
    <w:abstractNumId w:val="10"/>
  </w:num>
  <w:num w:numId="21">
    <w:abstractNumId w:val="21"/>
  </w:num>
  <w:num w:numId="22">
    <w:abstractNumId w:val="20"/>
  </w:num>
  <w:num w:numId="23">
    <w:abstractNumId w:val="22"/>
  </w:num>
  <w:num w:numId="24">
    <w:abstractNumId w:val="25"/>
  </w:num>
  <w:num w:numId="25">
    <w:abstractNumId w:val="8"/>
  </w:num>
  <w:num w:numId="26">
    <w:abstractNumId w:val="17"/>
  </w:num>
  <w:num w:numId="27">
    <w:abstractNumId w:val="7"/>
  </w:num>
  <w:num w:numId="28">
    <w:abstractNumId w:val="2"/>
  </w:num>
  <w:num w:numId="29">
    <w:abstractNumId w:val="6"/>
  </w:num>
  <w:num w:numId="30">
    <w:abstractNumId w:val="1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F113F"/>
    <w:rsid w:val="00886D49"/>
    <w:rsid w:val="00BF2B3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E48301B4-6669-6F44-AE18-41EF8F6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7317AC"/>
    <w:rPr>
      <w:rFonts w:eastAsia="Times New Roman"/>
      <w:noProof/>
      <w:lang w:val="fr-CA" w:eastAsia="en-US" w:bidi="ar-SA"/>
    </w:rPr>
  </w:style>
  <w:style w:type="character" w:customStyle="1" w:styleId="Titre3Car">
    <w:name w:val="Titre 3 Car"/>
    <w:basedOn w:val="Policepardfaut"/>
    <w:link w:val="Titre3"/>
    <w:rsid w:val="007317AC"/>
    <w:rPr>
      <w:rFonts w:eastAsia="Times New Roman"/>
      <w:noProof/>
      <w:lang w:val="fr-CA" w:eastAsia="en-US" w:bidi="ar-SA"/>
    </w:rPr>
  </w:style>
  <w:style w:type="character" w:customStyle="1" w:styleId="Titre6Car">
    <w:name w:val="Titre 6 Car"/>
    <w:basedOn w:val="Policepardfaut"/>
    <w:link w:val="Titre6"/>
    <w:rsid w:val="007317AC"/>
    <w:rPr>
      <w:rFonts w:eastAsia="Times New Roman"/>
      <w:noProof/>
      <w:lang w:val="fr-CA" w:eastAsia="en-US" w:bidi="ar-SA"/>
    </w:rPr>
  </w:style>
  <w:style w:type="character" w:customStyle="1" w:styleId="Titre7Car">
    <w:name w:val="Titre 7 Car"/>
    <w:basedOn w:val="Policepardfaut"/>
    <w:link w:val="Titre7"/>
    <w:rsid w:val="007317AC"/>
    <w:rPr>
      <w:rFonts w:eastAsia="Times New Roman"/>
      <w:noProof/>
      <w:lang w:val="fr-CA" w:eastAsia="en-US" w:bidi="ar-SA"/>
    </w:rPr>
  </w:style>
  <w:style w:type="character" w:customStyle="1" w:styleId="Titre8Car">
    <w:name w:val="Titre 8 Car"/>
    <w:basedOn w:val="Policepardfaut"/>
    <w:link w:val="Titre8"/>
    <w:rsid w:val="007317AC"/>
    <w:rPr>
      <w:rFonts w:eastAsia="Times New Roman"/>
      <w:noProof/>
      <w:lang w:val="fr-CA" w:eastAsia="en-US" w:bidi="ar-SA"/>
    </w:rPr>
  </w:style>
  <w:style w:type="character" w:customStyle="1" w:styleId="Titre9Car">
    <w:name w:val="Titre 9 Car"/>
    <w:basedOn w:val="Policepardfaut"/>
    <w:link w:val="Titre9"/>
    <w:rsid w:val="007317AC"/>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1142A"/>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61142A"/>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BB2264"/>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7317AC"/>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7317AC"/>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7317AC"/>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7317AC"/>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7317AC"/>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1530D5"/>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7317AC"/>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7317AC"/>
    <w:rPr>
      <w:rFonts w:ascii="Arial" w:eastAsia="Times New Roman" w:hAnsi="Arial"/>
      <w:bCs/>
      <w:sz w:val="28"/>
      <w:lang w:val="fr-CA" w:eastAsia="en-US"/>
    </w:rPr>
  </w:style>
  <w:style w:type="paragraph" w:styleId="Corpsdetexte2">
    <w:name w:val="Body Text 2"/>
    <w:basedOn w:val="Normal"/>
    <w:link w:val="Corpsdetexte2Car"/>
    <w:rsid w:val="007317AC"/>
    <w:pPr>
      <w:jc w:val="both"/>
    </w:pPr>
    <w:rPr>
      <w:rFonts w:ascii="Arial" w:hAnsi="Arial"/>
      <w:bCs/>
    </w:rPr>
  </w:style>
  <w:style w:type="character" w:customStyle="1" w:styleId="Corpsdetexte3Car">
    <w:name w:val="Corps de texte 3 Car"/>
    <w:basedOn w:val="Policepardfaut"/>
    <w:link w:val="Corpsdetexte3"/>
    <w:rsid w:val="007317AC"/>
    <w:rPr>
      <w:rFonts w:ascii="Arial" w:eastAsia="Times New Roman" w:hAnsi="Arial"/>
      <w:bCs/>
      <w:lang w:val="fr-CA" w:eastAsia="en-US"/>
    </w:rPr>
  </w:style>
  <w:style w:type="paragraph" w:styleId="Corpsdetexte3">
    <w:name w:val="Body Text 3"/>
    <w:basedOn w:val="Normal"/>
    <w:link w:val="Corpsdetexte3Car"/>
    <w:rsid w:val="007317AC"/>
    <w:pPr>
      <w:tabs>
        <w:tab w:val="left" w:pos="510"/>
        <w:tab w:val="left" w:pos="510"/>
      </w:tabs>
      <w:jc w:val="both"/>
    </w:pPr>
    <w:rPr>
      <w:rFonts w:ascii="Arial" w:hAnsi="Arial"/>
      <w:bCs/>
      <w:sz w:val="20"/>
    </w:rPr>
  </w:style>
  <w:style w:type="paragraph" w:customStyle="1" w:styleId="b">
    <w:name w:val="b"/>
    <w:basedOn w:val="Normal"/>
    <w:autoRedefine/>
    <w:rsid w:val="004B7FCF"/>
    <w:pPr>
      <w:spacing w:before="120" w:after="120"/>
      <w:ind w:left="720"/>
    </w:pPr>
    <w:rPr>
      <w:i/>
      <w:color w:val="0000FF"/>
      <w:lang w:bidi="fr-FR"/>
    </w:rPr>
  </w:style>
  <w:style w:type="character" w:customStyle="1" w:styleId="CorpsdetexteCar">
    <w:name w:val="Corps de texte Car"/>
    <w:basedOn w:val="Policepardfaut"/>
    <w:link w:val="Corpsdetexte"/>
    <w:rsid w:val="004B7FCF"/>
    <w:rPr>
      <w:rFonts w:ascii="Times New Roman" w:eastAsia="Times New Roman" w:hAnsi="Times New Roman"/>
      <w:sz w:val="72"/>
      <w:lang w:val="fr-CA" w:eastAsia="en-US"/>
    </w:rPr>
  </w:style>
  <w:style w:type="character" w:customStyle="1" w:styleId="En-tteCar">
    <w:name w:val="En-tête Car"/>
    <w:basedOn w:val="Policepardfaut"/>
    <w:link w:val="En-tte"/>
    <w:uiPriority w:val="99"/>
    <w:rsid w:val="004B7FCF"/>
    <w:rPr>
      <w:rFonts w:ascii="GillSans" w:eastAsia="Times New Roman" w:hAnsi="GillSans"/>
      <w:lang w:val="fr-CA" w:eastAsia="en-US"/>
    </w:rPr>
  </w:style>
  <w:style w:type="paragraph" w:customStyle="1" w:styleId="figlgende">
    <w:name w:val="fig légende"/>
    <w:basedOn w:val="Normal0"/>
    <w:rsid w:val="004B7FCF"/>
    <w:rPr>
      <w:color w:val="000090"/>
      <w:sz w:val="24"/>
      <w:szCs w:val="16"/>
      <w:lang w:eastAsia="fr-FR"/>
    </w:rPr>
  </w:style>
  <w:style w:type="paragraph" w:customStyle="1" w:styleId="figst">
    <w:name w:val="fig st"/>
    <w:basedOn w:val="Normal"/>
    <w:autoRedefine/>
    <w:rsid w:val="004B7FCF"/>
    <w:pPr>
      <w:spacing w:before="120" w:after="120"/>
      <w:jc w:val="center"/>
    </w:pPr>
    <w:rPr>
      <w:rFonts w:cs="Arial"/>
      <w:color w:val="000090"/>
      <w:sz w:val="24"/>
      <w:szCs w:val="16"/>
    </w:rPr>
  </w:style>
  <w:style w:type="paragraph" w:customStyle="1" w:styleId="figtitre">
    <w:name w:val="fig titre"/>
    <w:basedOn w:val="Normal"/>
    <w:autoRedefine/>
    <w:rsid w:val="004B7FCF"/>
    <w:pPr>
      <w:spacing w:before="120" w:after="120"/>
      <w:jc w:val="center"/>
    </w:pPr>
    <w:rPr>
      <w:rFonts w:cs="Arial"/>
      <w:b/>
      <w:bCs/>
      <w:color w:val="000000"/>
      <w:sz w:val="24"/>
      <w:szCs w:val="12"/>
    </w:rPr>
  </w:style>
  <w:style w:type="character" w:customStyle="1" w:styleId="NotedebasdepageCar">
    <w:name w:val="Note de bas de page Car"/>
    <w:basedOn w:val="Policepardfaut"/>
    <w:link w:val="Notedebasdepage"/>
    <w:rsid w:val="00BB2264"/>
    <w:rPr>
      <w:rFonts w:ascii="Times New Roman" w:eastAsia="Times New Roman" w:hAnsi="Times New Roman"/>
      <w:color w:val="000000"/>
      <w:sz w:val="24"/>
      <w:lang w:val="fr-CA" w:eastAsia="en-US"/>
    </w:rPr>
  </w:style>
  <w:style w:type="character" w:customStyle="1" w:styleId="Titre2Car">
    <w:name w:val="Titre 2 Car"/>
    <w:basedOn w:val="Policepardfaut"/>
    <w:link w:val="Titre2"/>
    <w:rsid w:val="004B7FCF"/>
    <w:rPr>
      <w:rFonts w:eastAsia="Times New Roman"/>
      <w:noProof/>
      <w:lang w:val="fr-CA" w:eastAsia="en-US" w:bidi="ar-SA"/>
    </w:rPr>
  </w:style>
  <w:style w:type="character" w:customStyle="1" w:styleId="Titre4Car">
    <w:name w:val="Titre 4 Car"/>
    <w:basedOn w:val="Policepardfaut"/>
    <w:link w:val="Titre4"/>
    <w:rsid w:val="004B7FCF"/>
    <w:rPr>
      <w:rFonts w:eastAsia="Times New Roman"/>
      <w:noProof/>
      <w:lang w:val="fr-CA" w:eastAsia="en-US" w:bidi="ar-SA"/>
    </w:rPr>
  </w:style>
  <w:style w:type="character" w:customStyle="1" w:styleId="Titre5Car">
    <w:name w:val="Titre 5 Car"/>
    <w:basedOn w:val="Policepardfaut"/>
    <w:link w:val="Titre5"/>
    <w:rsid w:val="004B7FCF"/>
    <w:rPr>
      <w:rFonts w:eastAsia="Times New Roman"/>
      <w:noProof/>
      <w:lang w:val="fr-CA" w:eastAsia="en-US" w:bidi="ar-SA"/>
    </w:rPr>
  </w:style>
  <w:style w:type="paragraph" w:customStyle="1" w:styleId="Citation0liste">
    <w:name w:val="Citation 0 liste"/>
    <w:basedOn w:val="Citation0"/>
    <w:autoRedefine/>
    <w:rsid w:val="00016CD3"/>
    <w:pPr>
      <w:ind w:left="1080" w:hanging="360"/>
    </w:pPr>
  </w:style>
  <w:style w:type="paragraph" w:customStyle="1" w:styleId="Citation0liste2">
    <w:name w:val="Citation 0 liste 2"/>
    <w:basedOn w:val="Citation0liste"/>
    <w:rsid w:val="00F1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png"/><Relationship Id="rId26" Type="http://schemas.openxmlformats.org/officeDocument/2006/relationships/hyperlink" Target="NULL"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openedition.org/revdh/4109"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l50.statcan.gc.ca/tl/tbll/fr/tv.action?pid=35100177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journals" TargetMode="External"/><Relationship Id="rId5" Type="http://schemas.openxmlformats.org/officeDocument/2006/relationships/footnotes" Target="footnotes.xml"/><Relationship Id="rId15" Type="http://schemas.openxmlformats.org/officeDocument/2006/relationships/hyperlink" Target="mailto:Denise_Helly@UCS.INRS.Ca" TargetMode="External"/><Relationship Id="rId23" Type="http://schemas.openxmlformats.org/officeDocument/2006/relationships/hyperlink" Target="http://www.bcwhitepride.com"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image" Target="media/image8.jpeg"/><Relationship Id="rId27" Type="http://schemas.openxmlformats.org/officeDocument/2006/relationships/hyperlink" Target="http://www.chrc-ccdp.ca/pdf/moon_report.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rrf-fcrr.ca/fr/actualites-et-evenements/recherches-annonces/" TargetMode="External"/><Relationship Id="rId3" Type="http://schemas.openxmlformats.org/officeDocument/2006/relationships/hyperlink" Target="http://www.noscommunes.ca/DocumentViewer/fr/42" TargetMode="External"/><Relationship Id="rId7" Type="http://schemas.openxmlformats.org/officeDocument/2006/relationships/hyperlink" Target="http://www.noscommunes.ca/Content/Committee/421/CHPC/Reports/RP9315686/" TargetMode="External"/><Relationship Id="rId2" Type="http://schemas.openxmlformats.org/officeDocument/2006/relationships/hyperlink" Target="http://www23.statcan.gc.ca/imdb/p2SV_fpl?Function=getSurvey&amp;SDDS=4504" TargetMode="External"/><Relationship Id="rId1" Type="http://schemas.openxmlformats.org/officeDocument/2006/relationships/hyperlink" Target="http://www.fm93.com/nouvelles/faits-divers/46062" TargetMode="External"/><Relationship Id="rId6" Type="http://schemas.openxmlformats.org/officeDocument/2006/relationships/hyperlink" Target="NULL" TargetMode="External"/><Relationship Id="rId5" Type="http://schemas.openxmlformats.org/officeDocument/2006/relationships/hyperlink" Target="http://www.noscommunes.ca/DocumentViewer/fr/42" TargetMode="External"/><Relationship Id="rId4" Type="http://schemas.openxmlformats.org/officeDocument/2006/relationships/hyperlink" Target="https://ww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10518</Words>
  <Characters>57854</Characters>
  <Application>Microsoft Office Word</Application>
  <DocSecurity>0</DocSecurity>
  <Lines>482</Lines>
  <Paragraphs>136</Paragraphs>
  <ScaleCrop>false</ScaleCrop>
  <HeadingPairs>
    <vt:vector size="2" baseType="variant">
      <vt:variant>
        <vt:lpstr>Title</vt:lpstr>
      </vt:variant>
      <vt:variant>
        <vt:i4>1</vt:i4>
      </vt:variant>
    </vt:vector>
  </HeadingPairs>
  <TitlesOfParts>
    <vt:vector size="1" baseType="lpstr">
      <vt:lpstr>“À la recherche d’une définition pragmatique de la haine.”</vt:lpstr>
    </vt:vector>
  </TitlesOfParts>
  <Manager>par jean-marie tremblay, sociologue, bénévole, 2020.</Manager>
  <Company>Les Classiques des sciences sociales</Company>
  <LinksUpToDate>false</LinksUpToDate>
  <CharactersWithSpaces>68236</CharactersWithSpaces>
  <SharedDoc>false</SharedDoc>
  <HyperlinkBase/>
  <HLinks>
    <vt:vector size="312" baseType="variant">
      <vt:variant>
        <vt:i4>6553625</vt:i4>
      </vt:variant>
      <vt:variant>
        <vt:i4>108</vt:i4>
      </vt:variant>
      <vt:variant>
        <vt:i4>0</vt:i4>
      </vt:variant>
      <vt:variant>
        <vt:i4>5</vt:i4>
      </vt:variant>
      <vt:variant>
        <vt:lpwstr/>
      </vt:variant>
      <vt:variant>
        <vt:lpwstr>tdm</vt:lpwstr>
      </vt:variant>
      <vt:variant>
        <vt:i4>3670064</vt:i4>
      </vt:variant>
      <vt:variant>
        <vt:i4>105</vt:i4>
      </vt:variant>
      <vt:variant>
        <vt:i4>0</vt:i4>
      </vt:variant>
      <vt:variant>
        <vt:i4>5</vt:i4>
      </vt:variant>
      <vt:variant>
        <vt:lpwstr>http://www.chrc-ccdp.ca/pdf/moon_report.pdf</vt:lpwstr>
      </vt:variant>
      <vt:variant>
        <vt:lpwstr/>
      </vt:variant>
      <vt:variant>
        <vt:i4>2818057</vt:i4>
      </vt:variant>
      <vt:variant>
        <vt:i4>102</vt:i4>
      </vt:variant>
      <vt:variant>
        <vt:i4>0</vt:i4>
      </vt:variant>
      <vt:variant>
        <vt:i4>5</vt:i4>
      </vt:variant>
      <vt:variant>
        <vt:lpwstr>http://</vt:lpwstr>
      </vt:variant>
      <vt:variant>
        <vt:lpwstr/>
      </vt:variant>
      <vt:variant>
        <vt:i4>4849725</vt:i4>
      </vt:variant>
      <vt:variant>
        <vt:i4>99</vt:i4>
      </vt:variant>
      <vt:variant>
        <vt:i4>0</vt:i4>
      </vt:variant>
      <vt:variant>
        <vt:i4>5</vt:i4>
      </vt:variant>
      <vt:variant>
        <vt:lpwstr>http://openedition.org/revdh/4109</vt:lpwstr>
      </vt:variant>
      <vt:variant>
        <vt:lpwstr/>
      </vt:variant>
      <vt:variant>
        <vt:i4>3538950</vt:i4>
      </vt:variant>
      <vt:variant>
        <vt:i4>96</vt:i4>
      </vt:variant>
      <vt:variant>
        <vt:i4>0</vt:i4>
      </vt:variant>
      <vt:variant>
        <vt:i4>5</vt:i4>
      </vt:variant>
      <vt:variant>
        <vt:lpwstr>http://journals</vt:lpwstr>
      </vt:variant>
      <vt:variant>
        <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6619229</vt:i4>
      </vt:variant>
      <vt:variant>
        <vt:i4>81</vt:i4>
      </vt:variant>
      <vt:variant>
        <vt:i4>0</vt:i4>
      </vt:variant>
      <vt:variant>
        <vt:i4>5</vt:i4>
      </vt:variant>
      <vt:variant>
        <vt:lpwstr>http://www.bcwhitepride.com</vt:lpwstr>
      </vt:variant>
      <vt:variant>
        <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4456461</vt:i4>
      </vt:variant>
      <vt:variant>
        <vt:i4>66</vt:i4>
      </vt:variant>
      <vt:variant>
        <vt:i4>0</vt:i4>
      </vt:variant>
      <vt:variant>
        <vt:i4>5</vt:i4>
      </vt:variant>
      <vt:variant>
        <vt:lpwstr>https://wwwl50.statcan.gc.ca/tl/tbll/fr/tv.action?pid=3510017701</vt:lpwstr>
      </vt:variant>
      <vt:variant>
        <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7405590</vt:i4>
      </vt:variant>
      <vt:variant>
        <vt:i4>57</vt:i4>
      </vt:variant>
      <vt:variant>
        <vt:i4>0</vt:i4>
      </vt:variant>
      <vt:variant>
        <vt:i4>5</vt:i4>
      </vt:variant>
      <vt:variant>
        <vt:lpwstr/>
      </vt:variant>
      <vt:variant>
        <vt:lpwstr>Definition_haine_annexe</vt:lpwstr>
      </vt:variant>
      <vt:variant>
        <vt:i4>4063352</vt:i4>
      </vt:variant>
      <vt:variant>
        <vt:i4>54</vt:i4>
      </vt:variant>
      <vt:variant>
        <vt:i4>0</vt:i4>
      </vt:variant>
      <vt:variant>
        <vt:i4>5</vt:i4>
      </vt:variant>
      <vt:variant>
        <vt:lpwstr/>
      </vt:variant>
      <vt:variant>
        <vt:lpwstr>Definition_haine_8</vt:lpwstr>
      </vt:variant>
      <vt:variant>
        <vt:i4>3211384</vt:i4>
      </vt:variant>
      <vt:variant>
        <vt:i4>51</vt:i4>
      </vt:variant>
      <vt:variant>
        <vt:i4>0</vt:i4>
      </vt:variant>
      <vt:variant>
        <vt:i4>5</vt:i4>
      </vt:variant>
      <vt:variant>
        <vt:lpwstr/>
      </vt:variant>
      <vt:variant>
        <vt:lpwstr>Definition_haine_7</vt:lpwstr>
      </vt:variant>
      <vt:variant>
        <vt:i4>3145848</vt:i4>
      </vt:variant>
      <vt:variant>
        <vt:i4>48</vt:i4>
      </vt:variant>
      <vt:variant>
        <vt:i4>0</vt:i4>
      </vt:variant>
      <vt:variant>
        <vt:i4>5</vt:i4>
      </vt:variant>
      <vt:variant>
        <vt:lpwstr/>
      </vt:variant>
      <vt:variant>
        <vt:lpwstr>Definition_haine_6</vt:lpwstr>
      </vt:variant>
      <vt:variant>
        <vt:i4>3342456</vt:i4>
      </vt:variant>
      <vt:variant>
        <vt:i4>45</vt:i4>
      </vt:variant>
      <vt:variant>
        <vt:i4>0</vt:i4>
      </vt:variant>
      <vt:variant>
        <vt:i4>5</vt:i4>
      </vt:variant>
      <vt:variant>
        <vt:lpwstr/>
      </vt:variant>
      <vt:variant>
        <vt:lpwstr>Definition_haine_5</vt:lpwstr>
      </vt:variant>
      <vt:variant>
        <vt:i4>3276920</vt:i4>
      </vt:variant>
      <vt:variant>
        <vt:i4>42</vt:i4>
      </vt:variant>
      <vt:variant>
        <vt:i4>0</vt:i4>
      </vt:variant>
      <vt:variant>
        <vt:i4>5</vt:i4>
      </vt:variant>
      <vt:variant>
        <vt:lpwstr/>
      </vt:variant>
      <vt:variant>
        <vt:lpwstr>Definition_haine_4</vt:lpwstr>
      </vt:variant>
      <vt:variant>
        <vt:i4>5636135</vt:i4>
      </vt:variant>
      <vt:variant>
        <vt:i4>39</vt:i4>
      </vt:variant>
      <vt:variant>
        <vt:i4>0</vt:i4>
      </vt:variant>
      <vt:variant>
        <vt:i4>5</vt:i4>
      </vt:variant>
      <vt:variant>
        <vt:lpwstr/>
      </vt:variant>
      <vt:variant>
        <vt:lpwstr>Definition_haine_3_C</vt:lpwstr>
      </vt:variant>
      <vt:variant>
        <vt:i4>5701671</vt:i4>
      </vt:variant>
      <vt:variant>
        <vt:i4>36</vt:i4>
      </vt:variant>
      <vt:variant>
        <vt:i4>0</vt:i4>
      </vt:variant>
      <vt:variant>
        <vt:i4>5</vt:i4>
      </vt:variant>
      <vt:variant>
        <vt:lpwstr/>
      </vt:variant>
      <vt:variant>
        <vt:lpwstr>Definition_haine_3_B</vt:lpwstr>
      </vt:variant>
      <vt:variant>
        <vt:i4>5505063</vt:i4>
      </vt:variant>
      <vt:variant>
        <vt:i4>33</vt:i4>
      </vt:variant>
      <vt:variant>
        <vt:i4>0</vt:i4>
      </vt:variant>
      <vt:variant>
        <vt:i4>5</vt:i4>
      </vt:variant>
      <vt:variant>
        <vt:lpwstr/>
      </vt:variant>
      <vt:variant>
        <vt:lpwstr>Definition_haine_3_A</vt:lpwstr>
      </vt:variant>
      <vt:variant>
        <vt:i4>3473528</vt:i4>
      </vt:variant>
      <vt:variant>
        <vt:i4>30</vt:i4>
      </vt:variant>
      <vt:variant>
        <vt:i4>0</vt:i4>
      </vt:variant>
      <vt:variant>
        <vt:i4>5</vt:i4>
      </vt:variant>
      <vt:variant>
        <vt:lpwstr/>
      </vt:variant>
      <vt:variant>
        <vt:lpwstr>Definition_haine_3</vt:lpwstr>
      </vt:variant>
      <vt:variant>
        <vt:i4>3407992</vt:i4>
      </vt:variant>
      <vt:variant>
        <vt:i4>27</vt:i4>
      </vt:variant>
      <vt:variant>
        <vt:i4>0</vt:i4>
      </vt:variant>
      <vt:variant>
        <vt:i4>5</vt:i4>
      </vt:variant>
      <vt:variant>
        <vt:lpwstr/>
      </vt:variant>
      <vt:variant>
        <vt:lpwstr>Definition_haine_2</vt:lpwstr>
      </vt:variant>
      <vt:variant>
        <vt:i4>3604600</vt:i4>
      </vt:variant>
      <vt:variant>
        <vt:i4>24</vt:i4>
      </vt:variant>
      <vt:variant>
        <vt:i4>0</vt:i4>
      </vt:variant>
      <vt:variant>
        <vt:i4>5</vt:i4>
      </vt:variant>
      <vt:variant>
        <vt:lpwstr/>
      </vt:variant>
      <vt:variant>
        <vt:lpwstr>Definition_haine_1</vt:lpwstr>
      </vt:variant>
      <vt:variant>
        <vt:i4>6946829</vt:i4>
      </vt:variant>
      <vt:variant>
        <vt:i4>21</vt:i4>
      </vt:variant>
      <vt:variant>
        <vt:i4>0</vt:i4>
      </vt:variant>
      <vt:variant>
        <vt:i4>5</vt:i4>
      </vt:variant>
      <vt:variant>
        <vt:lpwstr/>
      </vt:variant>
      <vt:variant>
        <vt:lpwstr>Definition_haine_resume</vt:lpwstr>
      </vt:variant>
      <vt:variant>
        <vt:i4>6553625</vt:i4>
      </vt:variant>
      <vt:variant>
        <vt:i4>18</vt:i4>
      </vt:variant>
      <vt:variant>
        <vt:i4>0</vt:i4>
      </vt:variant>
      <vt:variant>
        <vt:i4>5</vt:i4>
      </vt:variant>
      <vt:variant>
        <vt:lpwstr/>
      </vt:variant>
      <vt:variant>
        <vt:lpwstr>tdm</vt:lpwstr>
      </vt:variant>
      <vt:variant>
        <vt:i4>4063244</vt:i4>
      </vt:variant>
      <vt:variant>
        <vt:i4>15</vt:i4>
      </vt:variant>
      <vt:variant>
        <vt:i4>0</vt:i4>
      </vt:variant>
      <vt:variant>
        <vt:i4>5</vt:i4>
      </vt:variant>
      <vt:variant>
        <vt:lpwstr>mailto:Denise_Helly@UCS.INRS.Ca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6094950</vt:i4>
      </vt:variant>
      <vt:variant>
        <vt:i4>21</vt:i4>
      </vt:variant>
      <vt:variant>
        <vt:i4>0</vt:i4>
      </vt:variant>
      <vt:variant>
        <vt:i4>5</vt:i4>
      </vt:variant>
      <vt:variant>
        <vt:lpwstr>https://www.crrf-fcrr.ca/fr/actualites-et-evenements/recherches-annonces/</vt:lpwstr>
      </vt:variant>
      <vt:variant>
        <vt:lpwstr/>
      </vt:variant>
      <vt:variant>
        <vt:i4>7077901</vt:i4>
      </vt:variant>
      <vt:variant>
        <vt:i4>18</vt:i4>
      </vt:variant>
      <vt:variant>
        <vt:i4>0</vt:i4>
      </vt:variant>
      <vt:variant>
        <vt:i4>5</vt:i4>
      </vt:variant>
      <vt:variant>
        <vt:lpwstr>http://www.noscommunes.ca/Content/Committee/421/CHPC/Reports/RP9315686/</vt:lpwstr>
      </vt:variant>
      <vt:variant>
        <vt:lpwstr/>
      </vt:variant>
      <vt:variant>
        <vt:i4>1114176</vt:i4>
      </vt:variant>
      <vt:variant>
        <vt:i4>15</vt:i4>
      </vt:variant>
      <vt:variant>
        <vt:i4>0</vt:i4>
      </vt:variant>
      <vt:variant>
        <vt:i4>5</vt:i4>
      </vt:variant>
      <vt:variant>
        <vt:lpwstr>https://</vt:lpwstr>
      </vt:variant>
      <vt:variant>
        <vt:lpwstr/>
      </vt:variant>
      <vt:variant>
        <vt:i4>7929973</vt:i4>
      </vt:variant>
      <vt:variant>
        <vt:i4>12</vt:i4>
      </vt:variant>
      <vt:variant>
        <vt:i4>0</vt:i4>
      </vt:variant>
      <vt:variant>
        <vt:i4>5</vt:i4>
      </vt:variant>
      <vt:variant>
        <vt:lpwstr>http://www.noscommunes.ca/DocumentViewer/fr/42</vt:lpwstr>
      </vt:variant>
      <vt:variant>
        <vt:lpwstr/>
      </vt:variant>
      <vt:variant>
        <vt:i4>6684736</vt:i4>
      </vt:variant>
      <vt:variant>
        <vt:i4>9</vt:i4>
      </vt:variant>
      <vt:variant>
        <vt:i4>0</vt:i4>
      </vt:variant>
      <vt:variant>
        <vt:i4>5</vt:i4>
      </vt:variant>
      <vt:variant>
        <vt:lpwstr>https://www</vt:lpwstr>
      </vt:variant>
      <vt:variant>
        <vt:lpwstr/>
      </vt:variant>
      <vt:variant>
        <vt:i4>7929973</vt:i4>
      </vt:variant>
      <vt:variant>
        <vt:i4>6</vt:i4>
      </vt:variant>
      <vt:variant>
        <vt:i4>0</vt:i4>
      </vt:variant>
      <vt:variant>
        <vt:i4>5</vt:i4>
      </vt:variant>
      <vt:variant>
        <vt:lpwstr>http://www.noscommunes.ca/DocumentViewer/fr/42</vt:lpwstr>
      </vt:variant>
      <vt:variant>
        <vt:lpwstr/>
      </vt:variant>
      <vt:variant>
        <vt:i4>5832781</vt:i4>
      </vt:variant>
      <vt:variant>
        <vt:i4>3</vt:i4>
      </vt:variant>
      <vt:variant>
        <vt:i4>0</vt:i4>
      </vt:variant>
      <vt:variant>
        <vt:i4>5</vt:i4>
      </vt:variant>
      <vt:variant>
        <vt:lpwstr>http://www23.statcan.gc.ca/imdb/p2SV_fpl?Function=getSurvey&amp;SDDS=4504</vt:lpwstr>
      </vt:variant>
      <vt:variant>
        <vt:lpwstr/>
      </vt:variant>
      <vt:variant>
        <vt:i4>5505106</vt:i4>
      </vt:variant>
      <vt:variant>
        <vt:i4>0</vt:i4>
      </vt:variant>
      <vt:variant>
        <vt:i4>0</vt:i4>
      </vt:variant>
      <vt:variant>
        <vt:i4>5</vt:i4>
      </vt:variant>
      <vt:variant>
        <vt:lpwstr>http://www.fm93.com/nouvelles/faits-divers/46062</vt:lpwstr>
      </vt:variant>
      <vt:variant>
        <vt:lpwstr/>
      </vt:variant>
      <vt:variant>
        <vt:i4>2228293</vt:i4>
      </vt:variant>
      <vt:variant>
        <vt:i4>2322</vt:i4>
      </vt:variant>
      <vt:variant>
        <vt:i4>1025</vt:i4>
      </vt:variant>
      <vt:variant>
        <vt:i4>1</vt:i4>
      </vt:variant>
      <vt:variant>
        <vt:lpwstr>css_logo_gris</vt:lpwstr>
      </vt:variant>
      <vt:variant>
        <vt:lpwstr/>
      </vt:variant>
      <vt:variant>
        <vt:i4>5111880</vt:i4>
      </vt:variant>
      <vt:variant>
        <vt:i4>2610</vt:i4>
      </vt:variant>
      <vt:variant>
        <vt:i4>1026</vt:i4>
      </vt:variant>
      <vt:variant>
        <vt:i4>1</vt:i4>
      </vt:variant>
      <vt:variant>
        <vt:lpwstr>UQAC_logo_2018</vt:lpwstr>
      </vt:variant>
      <vt:variant>
        <vt:lpwstr/>
      </vt:variant>
      <vt:variant>
        <vt:i4>4194334</vt:i4>
      </vt:variant>
      <vt:variant>
        <vt:i4>4839</vt:i4>
      </vt:variant>
      <vt:variant>
        <vt:i4>1031</vt:i4>
      </vt:variant>
      <vt:variant>
        <vt:i4>1</vt:i4>
      </vt:variant>
      <vt:variant>
        <vt:lpwstr>Boite_aux_lettres_clair</vt:lpwstr>
      </vt:variant>
      <vt:variant>
        <vt:lpwstr/>
      </vt:variant>
      <vt:variant>
        <vt:i4>1703963</vt:i4>
      </vt:variant>
      <vt:variant>
        <vt:i4>5291</vt:i4>
      </vt:variant>
      <vt:variant>
        <vt:i4>1032</vt:i4>
      </vt:variant>
      <vt:variant>
        <vt:i4>1</vt:i4>
      </vt:variant>
      <vt:variant>
        <vt:lpwstr>fait_sur_mac</vt:lpwstr>
      </vt:variant>
      <vt:variant>
        <vt:lpwstr/>
      </vt:variant>
      <vt:variant>
        <vt:i4>5177467</vt:i4>
      </vt:variant>
      <vt:variant>
        <vt:i4>5411</vt:i4>
      </vt:variant>
      <vt:variant>
        <vt:i4>1027</vt:i4>
      </vt:variant>
      <vt:variant>
        <vt:i4>1</vt:i4>
      </vt:variant>
      <vt:variant>
        <vt:lpwstr>Revue_du_Barreau_du_Qc_tome_77_L50</vt:lpwstr>
      </vt:variant>
      <vt:variant>
        <vt:lpwstr/>
      </vt:variant>
      <vt:variant>
        <vt:i4>7077999</vt:i4>
      </vt:variant>
      <vt:variant>
        <vt:i4>43157</vt:i4>
      </vt:variant>
      <vt:variant>
        <vt:i4>1029</vt:i4>
      </vt:variant>
      <vt:variant>
        <vt:i4>1</vt:i4>
      </vt:variant>
      <vt:variant>
        <vt:lpwstr>fig_p_451_low</vt:lpwstr>
      </vt:variant>
      <vt:variant>
        <vt:lpwstr/>
      </vt:variant>
      <vt:variant>
        <vt:i4>7077996</vt:i4>
      </vt:variant>
      <vt:variant>
        <vt:i4>43167</vt:i4>
      </vt:variant>
      <vt:variant>
        <vt:i4>1030</vt:i4>
      </vt:variant>
      <vt:variant>
        <vt:i4>1</vt:i4>
      </vt:variant>
      <vt:variant>
        <vt:lpwstr>fig_p_452_low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 la recherche d’une définition pragmatique de la haine.”</dc:title>
  <dc:subject/>
  <dc:creator>Denise Helly, 2018</dc:creator>
  <cp:keywords>classiques.sc.soc@gmail.com</cp:keywords>
  <dc:description>http://classiques.uqac.ca/</dc:description>
  <cp:lastModifiedBy>Microsoft Office User</cp:lastModifiedBy>
  <cp:revision>2</cp:revision>
  <cp:lastPrinted>2001-08-26T19:33:00Z</cp:lastPrinted>
  <dcterms:created xsi:type="dcterms:W3CDTF">2020-09-03T19:27:00Z</dcterms:created>
  <dcterms:modified xsi:type="dcterms:W3CDTF">2020-09-03T19:27:00Z</dcterms:modified>
  <cp:category>jean-marie tremblay, sociologue, fondateur, 1993.</cp:category>
</cp:coreProperties>
</file>