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1F5D09" w:rsidRPr="00D456E4">
        <w:tblPrEx>
          <w:tblCellMar>
            <w:top w:w="0" w:type="dxa"/>
            <w:bottom w:w="0" w:type="dxa"/>
          </w:tblCellMar>
        </w:tblPrEx>
        <w:tc>
          <w:tcPr>
            <w:tcW w:w="9160" w:type="dxa"/>
            <w:shd w:val="clear" w:color="auto" w:fill="DDD9C3"/>
          </w:tcPr>
          <w:p w:rsidR="001F5D09" w:rsidRPr="00494898" w:rsidRDefault="001F5D09">
            <w:pPr>
              <w:ind w:firstLine="0"/>
              <w:jc w:val="center"/>
              <w:rPr>
                <w:sz w:val="20"/>
                <w:lang w:val="en-CA" w:bidi="ar-SA"/>
              </w:rPr>
            </w:pPr>
            <w:bookmarkStart w:id="0" w:name="_GoBack"/>
            <w:bookmarkEnd w:id="0"/>
          </w:p>
          <w:p w:rsidR="001F5D09" w:rsidRDefault="001F5D09">
            <w:pPr>
              <w:ind w:firstLine="0"/>
              <w:jc w:val="center"/>
              <w:rPr>
                <w:color w:val="FF0000"/>
                <w:sz w:val="20"/>
                <w:lang w:bidi="ar-SA"/>
              </w:rPr>
            </w:pPr>
          </w:p>
          <w:p w:rsidR="001F5D09" w:rsidRDefault="001F5D09">
            <w:pPr>
              <w:ind w:firstLine="0"/>
              <w:jc w:val="center"/>
              <w:rPr>
                <w:color w:val="FF0000"/>
                <w:sz w:val="20"/>
                <w:lang w:bidi="ar-SA"/>
              </w:rPr>
            </w:pPr>
          </w:p>
          <w:p w:rsidR="001F5D09" w:rsidRPr="00D456E4" w:rsidRDefault="001F5D09">
            <w:pPr>
              <w:ind w:firstLine="0"/>
              <w:jc w:val="center"/>
              <w:rPr>
                <w:color w:val="FF0000"/>
                <w:sz w:val="20"/>
                <w:lang w:bidi="ar-SA"/>
              </w:rPr>
            </w:pPr>
          </w:p>
          <w:p w:rsidR="001F5D09" w:rsidRPr="00D456E4" w:rsidRDefault="001F5D09">
            <w:pPr>
              <w:ind w:firstLine="0"/>
              <w:jc w:val="center"/>
              <w:rPr>
                <w:color w:val="FF0000"/>
                <w:sz w:val="20"/>
                <w:lang w:bidi="ar-SA"/>
              </w:rPr>
            </w:pPr>
          </w:p>
          <w:p w:rsidR="001F5D09" w:rsidRPr="00D456E4" w:rsidRDefault="001F5D09">
            <w:pPr>
              <w:ind w:firstLine="0"/>
              <w:jc w:val="center"/>
              <w:rPr>
                <w:b/>
                <w:sz w:val="36"/>
                <w:lang w:bidi="ar-SA"/>
              </w:rPr>
            </w:pPr>
            <w:r>
              <w:rPr>
                <w:sz w:val="36"/>
                <w:lang w:bidi="ar-SA"/>
              </w:rPr>
              <w:t>Louis GILL</w:t>
            </w:r>
          </w:p>
          <w:p w:rsidR="001F5D09" w:rsidRDefault="001F5D09">
            <w:pPr>
              <w:ind w:firstLine="0"/>
              <w:jc w:val="center"/>
              <w:rPr>
                <w:sz w:val="20"/>
                <w:lang w:bidi="ar-SA"/>
              </w:rPr>
            </w:pPr>
            <w:r>
              <w:rPr>
                <w:sz w:val="20"/>
                <w:lang w:bidi="ar-SA"/>
              </w:rPr>
              <w:t>Professeur, département de science économique</w:t>
            </w:r>
            <w:r w:rsidRPr="00D456E4">
              <w:rPr>
                <w:sz w:val="20"/>
                <w:lang w:bidi="ar-SA"/>
              </w:rPr>
              <w:t>,</w:t>
            </w:r>
            <w:r>
              <w:rPr>
                <w:sz w:val="20"/>
                <w:lang w:bidi="ar-SA"/>
              </w:rPr>
              <w:t xml:space="preserve"> UQÀ</w:t>
            </w:r>
            <w:r w:rsidRPr="00D456E4">
              <w:rPr>
                <w:sz w:val="20"/>
                <w:lang w:bidi="ar-SA"/>
              </w:rPr>
              <w:t>M</w:t>
            </w:r>
          </w:p>
          <w:p w:rsidR="001F5D09" w:rsidRPr="00D456E4" w:rsidRDefault="001F5D09">
            <w:pPr>
              <w:ind w:firstLine="0"/>
              <w:jc w:val="center"/>
              <w:rPr>
                <w:sz w:val="20"/>
                <w:lang w:bidi="ar-SA"/>
              </w:rPr>
            </w:pPr>
          </w:p>
          <w:p w:rsidR="001F5D09" w:rsidRPr="00D456E4" w:rsidRDefault="001F5D09" w:rsidP="001F5D09">
            <w:pPr>
              <w:ind w:firstLine="0"/>
              <w:jc w:val="center"/>
              <w:rPr>
                <w:color w:val="FF0000"/>
                <w:sz w:val="36"/>
                <w:lang w:bidi="ar-SA"/>
              </w:rPr>
            </w:pPr>
            <w:r w:rsidRPr="00503E85">
              <w:rPr>
                <w:sz w:val="36"/>
                <w:lang w:bidi="ar-SA"/>
              </w:rPr>
              <w:t>(</w:t>
            </w:r>
            <w:r>
              <w:rPr>
                <w:sz w:val="36"/>
                <w:lang w:bidi="ar-SA"/>
              </w:rPr>
              <w:t>1992</w:t>
            </w:r>
            <w:r w:rsidRPr="00503E85">
              <w:rPr>
                <w:sz w:val="36"/>
                <w:lang w:bidi="ar-SA"/>
              </w:rPr>
              <w:t>)</w:t>
            </w:r>
          </w:p>
          <w:p w:rsidR="001F5D09" w:rsidRDefault="001F5D09">
            <w:pPr>
              <w:pStyle w:val="Corpsdetexte"/>
              <w:widowControl w:val="0"/>
              <w:spacing w:before="0" w:after="0"/>
              <w:rPr>
                <w:color w:val="FF0000"/>
                <w:sz w:val="24"/>
                <w:lang w:bidi="ar-SA"/>
              </w:rPr>
            </w:pPr>
          </w:p>
          <w:p w:rsidR="001F5D09" w:rsidRDefault="001F5D09">
            <w:pPr>
              <w:pStyle w:val="Corpsdetexte"/>
              <w:widowControl w:val="0"/>
              <w:spacing w:before="0" w:after="0"/>
              <w:rPr>
                <w:color w:val="FF0000"/>
                <w:sz w:val="24"/>
                <w:lang w:bidi="ar-SA"/>
              </w:rPr>
            </w:pPr>
          </w:p>
          <w:p w:rsidR="001F5D09" w:rsidRPr="00D456E4" w:rsidRDefault="001F5D09">
            <w:pPr>
              <w:pStyle w:val="Corpsdetexte"/>
              <w:widowControl w:val="0"/>
              <w:spacing w:before="0" w:after="0"/>
              <w:rPr>
                <w:color w:val="FF0000"/>
                <w:sz w:val="24"/>
                <w:lang w:bidi="ar-SA"/>
              </w:rPr>
            </w:pPr>
          </w:p>
          <w:p w:rsidR="001F5D09" w:rsidRPr="00AF5E83" w:rsidRDefault="001F5D09">
            <w:pPr>
              <w:widowControl w:val="0"/>
              <w:ind w:firstLine="0"/>
              <w:jc w:val="center"/>
              <w:rPr>
                <w:sz w:val="56"/>
                <w:lang w:bidi="ar-SA"/>
              </w:rPr>
            </w:pPr>
            <w:r w:rsidRPr="00AF5E83">
              <w:rPr>
                <w:sz w:val="56"/>
                <w:lang w:bidi="ar-SA"/>
              </w:rPr>
              <w:t>“Les économies des pays de l’</w:t>
            </w:r>
            <w:r>
              <w:rPr>
                <w:sz w:val="56"/>
                <w:lang w:bidi="ar-SA"/>
              </w:rPr>
              <w:t>Est</w:t>
            </w:r>
            <w:r>
              <w:rPr>
                <w:sz w:val="56"/>
                <w:lang w:bidi="ar-SA"/>
              </w:rPr>
              <w:br/>
            </w:r>
            <w:r w:rsidRPr="00AF5E83">
              <w:rPr>
                <w:sz w:val="56"/>
                <w:lang w:bidi="ar-SA"/>
              </w:rPr>
              <w:t xml:space="preserve">et </w:t>
            </w:r>
            <w:r>
              <w:rPr>
                <w:sz w:val="56"/>
                <w:lang w:bidi="ar-SA"/>
              </w:rPr>
              <w:t>la fin de la division cardinale</w:t>
            </w:r>
            <w:r>
              <w:rPr>
                <w:sz w:val="56"/>
                <w:lang w:bidi="ar-SA"/>
              </w:rPr>
              <w:br/>
            </w:r>
            <w:r w:rsidRPr="00AF5E83">
              <w:rPr>
                <w:sz w:val="56"/>
                <w:lang w:bidi="ar-SA"/>
              </w:rPr>
              <w:t>du mo</w:t>
            </w:r>
            <w:r w:rsidRPr="00AF5E83">
              <w:rPr>
                <w:sz w:val="56"/>
                <w:lang w:bidi="ar-SA"/>
              </w:rPr>
              <w:t>n</w:t>
            </w:r>
            <w:r w:rsidRPr="00AF5E83">
              <w:rPr>
                <w:sz w:val="56"/>
                <w:lang w:bidi="ar-SA"/>
              </w:rPr>
              <w:t>de.”</w:t>
            </w:r>
          </w:p>
          <w:p w:rsidR="001F5D09" w:rsidRPr="00D456E4" w:rsidRDefault="001F5D09">
            <w:pPr>
              <w:widowControl w:val="0"/>
              <w:ind w:firstLine="0"/>
              <w:jc w:val="both"/>
              <w:rPr>
                <w:sz w:val="20"/>
                <w:lang w:bidi="ar-SA"/>
              </w:rPr>
            </w:pPr>
          </w:p>
          <w:p w:rsidR="001F5D09" w:rsidRDefault="001F5D09" w:rsidP="001F5D09">
            <w:pPr>
              <w:widowControl w:val="0"/>
              <w:ind w:firstLine="0"/>
              <w:jc w:val="center"/>
              <w:rPr>
                <w:lang w:bidi="ar-SA"/>
              </w:rPr>
            </w:pPr>
          </w:p>
          <w:p w:rsidR="001F5D09" w:rsidRDefault="001F5D09" w:rsidP="001F5D09">
            <w:pPr>
              <w:widowControl w:val="0"/>
              <w:ind w:firstLine="0"/>
              <w:jc w:val="center"/>
              <w:rPr>
                <w:lang w:bidi="ar-SA"/>
              </w:rPr>
            </w:pPr>
          </w:p>
          <w:p w:rsidR="001F5D09" w:rsidRDefault="001F5D09" w:rsidP="001F5D09">
            <w:pPr>
              <w:widowControl w:val="0"/>
              <w:ind w:firstLine="0"/>
              <w:jc w:val="center"/>
              <w:rPr>
                <w:lang w:bidi="ar-SA"/>
              </w:rPr>
            </w:pPr>
          </w:p>
          <w:p w:rsidR="001F5D09" w:rsidRDefault="001F5D09" w:rsidP="001F5D09">
            <w:pPr>
              <w:widowControl w:val="0"/>
              <w:ind w:firstLine="0"/>
              <w:jc w:val="center"/>
              <w:rPr>
                <w:sz w:val="20"/>
                <w:lang w:bidi="ar-SA"/>
              </w:rPr>
            </w:pPr>
          </w:p>
          <w:p w:rsidR="001F5D09" w:rsidRPr="00384B20" w:rsidRDefault="001F5D09" w:rsidP="001F5D09">
            <w:pPr>
              <w:widowControl w:val="0"/>
              <w:ind w:firstLine="0"/>
              <w:jc w:val="center"/>
              <w:rPr>
                <w:sz w:val="20"/>
                <w:lang w:bidi="ar-SA"/>
              </w:rPr>
            </w:pPr>
          </w:p>
          <w:p w:rsidR="001F5D09" w:rsidRPr="00384B20" w:rsidRDefault="001F5D09" w:rsidP="001F5D09">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1F5D09" w:rsidRPr="00E07116" w:rsidRDefault="001F5D09" w:rsidP="001F5D09">
            <w:pPr>
              <w:widowControl w:val="0"/>
              <w:ind w:firstLine="0"/>
              <w:jc w:val="both"/>
              <w:rPr>
                <w:lang w:bidi="ar-SA"/>
              </w:rPr>
            </w:pPr>
          </w:p>
          <w:p w:rsidR="001F5D09" w:rsidRDefault="001F5D09">
            <w:pPr>
              <w:widowControl w:val="0"/>
              <w:ind w:firstLine="0"/>
              <w:jc w:val="both"/>
              <w:rPr>
                <w:sz w:val="20"/>
                <w:lang w:bidi="ar-SA"/>
              </w:rPr>
            </w:pPr>
          </w:p>
          <w:p w:rsidR="001F5D09" w:rsidRDefault="001F5D09">
            <w:pPr>
              <w:widowControl w:val="0"/>
              <w:ind w:firstLine="0"/>
              <w:jc w:val="both"/>
              <w:rPr>
                <w:sz w:val="20"/>
                <w:lang w:bidi="ar-SA"/>
              </w:rPr>
            </w:pPr>
          </w:p>
          <w:p w:rsidR="001F5D09" w:rsidRDefault="001F5D09">
            <w:pPr>
              <w:widowControl w:val="0"/>
              <w:ind w:firstLine="0"/>
              <w:jc w:val="both"/>
              <w:rPr>
                <w:sz w:val="20"/>
                <w:lang w:bidi="ar-SA"/>
              </w:rPr>
            </w:pPr>
          </w:p>
          <w:p w:rsidR="001F5D09" w:rsidRDefault="001F5D09">
            <w:pPr>
              <w:widowControl w:val="0"/>
              <w:ind w:firstLine="0"/>
              <w:jc w:val="both"/>
              <w:rPr>
                <w:sz w:val="20"/>
                <w:lang w:bidi="ar-SA"/>
              </w:rPr>
            </w:pPr>
          </w:p>
          <w:p w:rsidR="001F5D09" w:rsidRDefault="001F5D09">
            <w:pPr>
              <w:widowControl w:val="0"/>
              <w:ind w:firstLine="0"/>
              <w:jc w:val="both"/>
              <w:rPr>
                <w:sz w:val="20"/>
                <w:lang w:bidi="ar-SA"/>
              </w:rPr>
            </w:pPr>
          </w:p>
          <w:p w:rsidR="001F5D09" w:rsidRDefault="001F5D09">
            <w:pPr>
              <w:widowControl w:val="0"/>
              <w:ind w:firstLine="0"/>
              <w:jc w:val="both"/>
              <w:rPr>
                <w:sz w:val="20"/>
                <w:lang w:bidi="ar-SA"/>
              </w:rPr>
            </w:pPr>
          </w:p>
          <w:p w:rsidR="001F5D09" w:rsidRDefault="001F5D09">
            <w:pPr>
              <w:widowControl w:val="0"/>
              <w:ind w:firstLine="0"/>
              <w:jc w:val="both"/>
              <w:rPr>
                <w:sz w:val="20"/>
                <w:lang w:bidi="ar-SA"/>
              </w:rPr>
            </w:pPr>
          </w:p>
          <w:p w:rsidR="001F5D09" w:rsidRDefault="001F5D09">
            <w:pPr>
              <w:widowControl w:val="0"/>
              <w:ind w:firstLine="0"/>
              <w:jc w:val="both"/>
              <w:rPr>
                <w:sz w:val="20"/>
                <w:lang w:bidi="ar-SA"/>
              </w:rPr>
            </w:pPr>
          </w:p>
          <w:p w:rsidR="001F5D09" w:rsidRDefault="001F5D09">
            <w:pPr>
              <w:widowControl w:val="0"/>
              <w:ind w:firstLine="0"/>
              <w:jc w:val="both"/>
              <w:rPr>
                <w:sz w:val="20"/>
                <w:lang w:bidi="ar-SA"/>
              </w:rPr>
            </w:pPr>
          </w:p>
          <w:p w:rsidR="001F5D09" w:rsidRPr="00D456E4" w:rsidRDefault="001F5D09">
            <w:pPr>
              <w:widowControl w:val="0"/>
              <w:ind w:firstLine="0"/>
              <w:jc w:val="both"/>
              <w:rPr>
                <w:sz w:val="20"/>
                <w:lang w:bidi="ar-SA"/>
              </w:rPr>
            </w:pPr>
          </w:p>
          <w:p w:rsidR="001F5D09" w:rsidRPr="00D456E4" w:rsidRDefault="001F5D09">
            <w:pPr>
              <w:widowControl w:val="0"/>
              <w:ind w:firstLine="0"/>
              <w:jc w:val="both"/>
              <w:rPr>
                <w:sz w:val="20"/>
                <w:lang w:bidi="ar-SA"/>
              </w:rPr>
            </w:pPr>
          </w:p>
          <w:p w:rsidR="001F5D09" w:rsidRPr="00D456E4" w:rsidRDefault="001F5D09">
            <w:pPr>
              <w:ind w:firstLine="0"/>
              <w:jc w:val="both"/>
              <w:rPr>
                <w:lang w:bidi="ar-SA"/>
              </w:rPr>
            </w:pPr>
          </w:p>
        </w:tc>
      </w:tr>
    </w:tbl>
    <w:p w:rsidR="001F5D09" w:rsidRDefault="001F5D09" w:rsidP="001F5D09">
      <w:pPr>
        <w:ind w:firstLine="0"/>
        <w:jc w:val="both"/>
      </w:pPr>
      <w:r w:rsidRPr="00D456E4">
        <w:br w:type="page"/>
      </w:r>
    </w:p>
    <w:p w:rsidR="001F5D09" w:rsidRDefault="001F5D09" w:rsidP="001F5D09">
      <w:pPr>
        <w:ind w:firstLine="0"/>
        <w:jc w:val="both"/>
      </w:pPr>
    </w:p>
    <w:p w:rsidR="001F5D09" w:rsidRDefault="001F5D09" w:rsidP="001F5D09">
      <w:pPr>
        <w:ind w:firstLine="0"/>
        <w:jc w:val="both"/>
      </w:pPr>
    </w:p>
    <w:p w:rsidR="001F5D09" w:rsidRDefault="001F5D09" w:rsidP="001F5D09">
      <w:pPr>
        <w:ind w:firstLine="0"/>
        <w:jc w:val="both"/>
      </w:pPr>
    </w:p>
    <w:p w:rsidR="001F5D09" w:rsidRDefault="00D6234E" w:rsidP="001F5D09">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1F5D09" w:rsidRDefault="001F5D09" w:rsidP="001F5D09">
      <w:pPr>
        <w:ind w:firstLine="0"/>
        <w:jc w:val="right"/>
      </w:pPr>
      <w:hyperlink r:id="rId9" w:history="1">
        <w:r w:rsidRPr="00302466">
          <w:rPr>
            <w:rStyle w:val="Lienhypertexte"/>
          </w:rPr>
          <w:t>http://classiques.uqac.ca/</w:t>
        </w:r>
      </w:hyperlink>
      <w:r>
        <w:t xml:space="preserve"> </w:t>
      </w:r>
    </w:p>
    <w:p w:rsidR="001F5D09" w:rsidRDefault="001F5D09" w:rsidP="001F5D09">
      <w:pPr>
        <w:ind w:firstLine="0"/>
        <w:jc w:val="both"/>
      </w:pPr>
    </w:p>
    <w:p w:rsidR="001F5D09" w:rsidRDefault="001F5D09" w:rsidP="001F5D09">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1F5D09" w:rsidRDefault="001F5D09" w:rsidP="001F5D09">
      <w:pPr>
        <w:ind w:firstLine="0"/>
        <w:jc w:val="both"/>
      </w:pPr>
    </w:p>
    <w:p w:rsidR="001F5D09" w:rsidRDefault="001F5D09" w:rsidP="001F5D09">
      <w:pPr>
        <w:ind w:firstLine="0"/>
        <w:jc w:val="both"/>
      </w:pPr>
    </w:p>
    <w:p w:rsidR="001F5D09" w:rsidRDefault="00D6234E" w:rsidP="001F5D09">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1F5D09" w:rsidRDefault="001F5D09" w:rsidP="001F5D09">
      <w:pPr>
        <w:ind w:firstLine="0"/>
        <w:jc w:val="both"/>
      </w:pPr>
      <w:hyperlink r:id="rId11" w:history="1">
        <w:r w:rsidRPr="00302466">
          <w:rPr>
            <w:rStyle w:val="Lienhypertexte"/>
          </w:rPr>
          <w:t>http://bibliotheque.uqac.ca/</w:t>
        </w:r>
      </w:hyperlink>
      <w:r>
        <w:t xml:space="preserve"> </w:t>
      </w:r>
    </w:p>
    <w:p w:rsidR="001F5D09" w:rsidRDefault="001F5D09" w:rsidP="001F5D09">
      <w:pPr>
        <w:ind w:firstLine="0"/>
        <w:jc w:val="both"/>
      </w:pPr>
    </w:p>
    <w:p w:rsidR="001F5D09" w:rsidRDefault="001F5D09" w:rsidP="001F5D09">
      <w:pPr>
        <w:ind w:firstLine="0"/>
        <w:jc w:val="both"/>
      </w:pPr>
    </w:p>
    <w:p w:rsidR="001F5D09" w:rsidRDefault="001F5D09" w:rsidP="001F5D09">
      <w:pPr>
        <w:ind w:firstLine="0"/>
        <w:jc w:val="both"/>
      </w:pPr>
      <w:r>
        <w:t>En 2018, Les Classiques des sciences sociales fêtaient leur 25</w:t>
      </w:r>
      <w:r w:rsidRPr="00622FDA">
        <w:rPr>
          <w:vertAlign w:val="superscript"/>
        </w:rPr>
        <w:t>e</w:t>
      </w:r>
      <w:r>
        <w:t xml:space="preserve"> ann</w:t>
      </w:r>
      <w:r>
        <w:t>i</w:t>
      </w:r>
      <w:r>
        <w:t>versa</w:t>
      </w:r>
      <w:r>
        <w:t>i</w:t>
      </w:r>
      <w:r>
        <w:t>re de fondation. Une belle initiative citoyenne.</w:t>
      </w:r>
    </w:p>
    <w:p w:rsidR="001F5D09" w:rsidRPr="00D456E4" w:rsidRDefault="001F5D09" w:rsidP="001F5D09">
      <w:pPr>
        <w:widowControl w:val="0"/>
        <w:autoSpaceDE w:val="0"/>
        <w:autoSpaceDN w:val="0"/>
        <w:adjustRightInd w:val="0"/>
        <w:rPr>
          <w:rFonts w:ascii="Arial" w:hAnsi="Arial"/>
          <w:sz w:val="32"/>
          <w:szCs w:val="32"/>
        </w:rPr>
      </w:pPr>
      <w:r w:rsidRPr="00E07116">
        <w:br w:type="page"/>
      </w:r>
    </w:p>
    <w:p w:rsidR="001F5D09" w:rsidRPr="00D456E4" w:rsidRDefault="001F5D09">
      <w:pPr>
        <w:widowControl w:val="0"/>
        <w:autoSpaceDE w:val="0"/>
        <w:autoSpaceDN w:val="0"/>
        <w:adjustRightInd w:val="0"/>
        <w:jc w:val="center"/>
        <w:rPr>
          <w:rFonts w:ascii="Arial" w:hAnsi="Arial"/>
          <w:b/>
          <w:color w:val="008B00"/>
          <w:sz w:val="36"/>
          <w:szCs w:val="36"/>
        </w:rPr>
      </w:pPr>
      <w:r w:rsidRPr="00D456E4">
        <w:rPr>
          <w:rFonts w:ascii="Arial" w:hAnsi="Arial"/>
          <w:b/>
          <w:color w:val="008B00"/>
          <w:sz w:val="36"/>
          <w:szCs w:val="36"/>
        </w:rPr>
        <w:t>Politique d'utilisation</w:t>
      </w:r>
      <w:r w:rsidRPr="00D456E4">
        <w:rPr>
          <w:rFonts w:ascii="Arial-BoldMT" w:hAnsi="Arial-BoldMT"/>
          <w:b/>
          <w:color w:val="008B00"/>
          <w:sz w:val="36"/>
          <w:szCs w:val="36"/>
        </w:rPr>
        <w:br/>
      </w:r>
      <w:r w:rsidRPr="00D456E4">
        <w:rPr>
          <w:rFonts w:ascii="Arial" w:hAnsi="Arial"/>
          <w:b/>
          <w:color w:val="008B00"/>
          <w:sz w:val="36"/>
          <w:szCs w:val="36"/>
        </w:rPr>
        <w:t>de la bibliothèque des Classiques</w:t>
      </w:r>
    </w:p>
    <w:p w:rsidR="001F5D09" w:rsidRPr="00D456E4" w:rsidRDefault="001F5D09">
      <w:pPr>
        <w:widowControl w:val="0"/>
        <w:autoSpaceDE w:val="0"/>
        <w:autoSpaceDN w:val="0"/>
        <w:adjustRightInd w:val="0"/>
        <w:rPr>
          <w:rFonts w:ascii="Arial" w:hAnsi="Arial"/>
          <w:sz w:val="32"/>
          <w:szCs w:val="32"/>
        </w:rPr>
      </w:pPr>
    </w:p>
    <w:p w:rsidR="001F5D09" w:rsidRPr="00D456E4" w:rsidRDefault="001F5D09">
      <w:pPr>
        <w:widowControl w:val="0"/>
        <w:autoSpaceDE w:val="0"/>
        <w:autoSpaceDN w:val="0"/>
        <w:adjustRightInd w:val="0"/>
        <w:jc w:val="both"/>
        <w:rPr>
          <w:rFonts w:ascii="Arial" w:hAnsi="Arial"/>
          <w:color w:val="1C1C1C"/>
          <w:sz w:val="26"/>
          <w:szCs w:val="26"/>
        </w:rPr>
      </w:pPr>
    </w:p>
    <w:p w:rsidR="001F5D09" w:rsidRPr="00D456E4" w:rsidRDefault="001F5D09">
      <w:pPr>
        <w:widowControl w:val="0"/>
        <w:autoSpaceDE w:val="0"/>
        <w:autoSpaceDN w:val="0"/>
        <w:adjustRightInd w:val="0"/>
        <w:jc w:val="both"/>
        <w:rPr>
          <w:rFonts w:ascii="Arial" w:hAnsi="Arial"/>
          <w:color w:val="1C1C1C"/>
          <w:sz w:val="26"/>
          <w:szCs w:val="26"/>
        </w:rPr>
      </w:pPr>
    </w:p>
    <w:p w:rsidR="001F5D09" w:rsidRPr="00D456E4" w:rsidRDefault="001F5D09">
      <w:pPr>
        <w:widowControl w:val="0"/>
        <w:autoSpaceDE w:val="0"/>
        <w:autoSpaceDN w:val="0"/>
        <w:adjustRightInd w:val="0"/>
        <w:jc w:val="both"/>
        <w:rPr>
          <w:rFonts w:ascii="Arial" w:hAnsi="Arial"/>
          <w:color w:val="1C1C1C"/>
          <w:sz w:val="26"/>
          <w:szCs w:val="26"/>
        </w:rPr>
      </w:pPr>
      <w:r w:rsidRPr="00D456E4">
        <w:rPr>
          <w:rFonts w:ascii="Arial" w:hAnsi="Arial"/>
          <w:color w:val="1C1C1C"/>
          <w:sz w:val="26"/>
          <w:szCs w:val="26"/>
        </w:rPr>
        <w:t>Toute reproduction et rediffusion de nos fichiers est inte</w:t>
      </w:r>
      <w:r w:rsidRPr="00D456E4">
        <w:rPr>
          <w:rFonts w:ascii="Arial" w:hAnsi="Arial"/>
          <w:color w:val="1C1C1C"/>
          <w:sz w:val="26"/>
          <w:szCs w:val="26"/>
        </w:rPr>
        <w:t>r</w:t>
      </w:r>
      <w:r w:rsidRPr="00D456E4">
        <w:rPr>
          <w:rFonts w:ascii="Arial" w:hAnsi="Arial"/>
          <w:color w:val="1C1C1C"/>
          <w:sz w:val="26"/>
          <w:szCs w:val="26"/>
        </w:rPr>
        <w:t>dite, même avec la mention de leur provenance, sans l’autorisation fo</w:t>
      </w:r>
      <w:r w:rsidRPr="00D456E4">
        <w:rPr>
          <w:rFonts w:ascii="Arial" w:hAnsi="Arial"/>
          <w:color w:val="1C1C1C"/>
          <w:sz w:val="26"/>
          <w:szCs w:val="26"/>
        </w:rPr>
        <w:t>r</w:t>
      </w:r>
      <w:r w:rsidRPr="00D456E4">
        <w:rPr>
          <w:rFonts w:ascii="Arial" w:hAnsi="Arial"/>
          <w:color w:val="1C1C1C"/>
          <w:sz w:val="26"/>
          <w:szCs w:val="26"/>
        </w:rPr>
        <w:t>melle, écrite, du fondateur des Classiques des sciences sociales, Jean-Marie Tremblay, sociologue.</w:t>
      </w:r>
    </w:p>
    <w:p w:rsidR="001F5D09" w:rsidRPr="00D456E4" w:rsidRDefault="001F5D09">
      <w:pPr>
        <w:widowControl w:val="0"/>
        <w:autoSpaceDE w:val="0"/>
        <w:autoSpaceDN w:val="0"/>
        <w:adjustRightInd w:val="0"/>
        <w:jc w:val="both"/>
        <w:rPr>
          <w:rFonts w:ascii="Arial" w:hAnsi="Arial"/>
          <w:color w:val="1C1C1C"/>
          <w:sz w:val="26"/>
          <w:szCs w:val="26"/>
        </w:rPr>
      </w:pPr>
    </w:p>
    <w:p w:rsidR="001F5D09" w:rsidRPr="00D456E4" w:rsidRDefault="001F5D09" w:rsidP="001F5D09">
      <w:pPr>
        <w:widowControl w:val="0"/>
        <w:autoSpaceDE w:val="0"/>
        <w:autoSpaceDN w:val="0"/>
        <w:adjustRightInd w:val="0"/>
        <w:jc w:val="both"/>
        <w:rPr>
          <w:rFonts w:ascii="Arial" w:hAnsi="Arial"/>
          <w:color w:val="1C1C1C"/>
          <w:sz w:val="26"/>
          <w:szCs w:val="26"/>
        </w:rPr>
      </w:pPr>
      <w:r w:rsidRPr="00D456E4">
        <w:rPr>
          <w:rFonts w:ascii="Arial" w:hAnsi="Arial"/>
          <w:color w:val="1C1C1C"/>
          <w:sz w:val="26"/>
          <w:szCs w:val="26"/>
        </w:rPr>
        <w:t>Les fichiers des Classiques des sciences sociales ne peuvent sans autorisation formelle:</w:t>
      </w:r>
    </w:p>
    <w:p w:rsidR="001F5D09" w:rsidRPr="00D456E4" w:rsidRDefault="001F5D09" w:rsidP="001F5D09">
      <w:pPr>
        <w:widowControl w:val="0"/>
        <w:autoSpaceDE w:val="0"/>
        <w:autoSpaceDN w:val="0"/>
        <w:adjustRightInd w:val="0"/>
        <w:jc w:val="both"/>
        <w:rPr>
          <w:rFonts w:ascii="Arial" w:hAnsi="Arial"/>
          <w:color w:val="1C1C1C"/>
          <w:sz w:val="26"/>
          <w:szCs w:val="26"/>
        </w:rPr>
      </w:pPr>
    </w:p>
    <w:p w:rsidR="001F5D09" w:rsidRPr="00D456E4" w:rsidRDefault="001F5D09" w:rsidP="001F5D09">
      <w:pPr>
        <w:widowControl w:val="0"/>
        <w:autoSpaceDE w:val="0"/>
        <w:autoSpaceDN w:val="0"/>
        <w:adjustRightInd w:val="0"/>
        <w:jc w:val="both"/>
        <w:rPr>
          <w:rFonts w:ascii="Arial" w:hAnsi="Arial"/>
          <w:color w:val="1C1C1C"/>
          <w:sz w:val="26"/>
          <w:szCs w:val="26"/>
        </w:rPr>
      </w:pPr>
      <w:r w:rsidRPr="00D456E4">
        <w:rPr>
          <w:rFonts w:ascii="Arial" w:hAnsi="Arial"/>
          <w:color w:val="1C1C1C"/>
          <w:sz w:val="26"/>
          <w:szCs w:val="26"/>
        </w:rPr>
        <w:t>- être hébergés (en fichier ou page web, en totalité ou en partie) sur un serveur autre que celui des Classiques.</w:t>
      </w:r>
    </w:p>
    <w:p w:rsidR="001F5D09" w:rsidRPr="00D456E4" w:rsidRDefault="001F5D09" w:rsidP="001F5D09">
      <w:pPr>
        <w:widowControl w:val="0"/>
        <w:autoSpaceDE w:val="0"/>
        <w:autoSpaceDN w:val="0"/>
        <w:adjustRightInd w:val="0"/>
        <w:jc w:val="both"/>
        <w:rPr>
          <w:rFonts w:ascii="Arial" w:hAnsi="Arial"/>
          <w:color w:val="1C1C1C"/>
          <w:sz w:val="26"/>
          <w:szCs w:val="26"/>
        </w:rPr>
      </w:pPr>
      <w:r w:rsidRPr="00D456E4">
        <w:rPr>
          <w:rFonts w:ascii="Arial" w:hAnsi="Arial"/>
          <w:color w:val="1C1C1C"/>
          <w:sz w:val="26"/>
          <w:szCs w:val="26"/>
        </w:rPr>
        <w:t>- servir de base de travail à un autre fichier modifié ensuite par tout autre moyen (couleur, police, mise en page, extraits, support, etc...),</w:t>
      </w:r>
    </w:p>
    <w:p w:rsidR="001F5D09" w:rsidRPr="00D456E4" w:rsidRDefault="001F5D09" w:rsidP="001F5D09">
      <w:pPr>
        <w:widowControl w:val="0"/>
        <w:autoSpaceDE w:val="0"/>
        <w:autoSpaceDN w:val="0"/>
        <w:adjustRightInd w:val="0"/>
        <w:jc w:val="both"/>
        <w:rPr>
          <w:rFonts w:ascii="Arial" w:hAnsi="Arial"/>
          <w:color w:val="1C1C1C"/>
          <w:sz w:val="26"/>
          <w:szCs w:val="26"/>
        </w:rPr>
      </w:pPr>
    </w:p>
    <w:p w:rsidR="001F5D09" w:rsidRPr="00D456E4" w:rsidRDefault="001F5D09">
      <w:pPr>
        <w:widowControl w:val="0"/>
        <w:autoSpaceDE w:val="0"/>
        <w:autoSpaceDN w:val="0"/>
        <w:adjustRightInd w:val="0"/>
        <w:jc w:val="both"/>
        <w:rPr>
          <w:rFonts w:ascii="Arial" w:hAnsi="Arial"/>
          <w:color w:val="1C1C1C"/>
          <w:sz w:val="26"/>
          <w:szCs w:val="26"/>
        </w:rPr>
      </w:pPr>
      <w:r w:rsidRPr="00D456E4">
        <w:rPr>
          <w:rFonts w:ascii="Arial" w:hAnsi="Arial"/>
          <w:color w:val="1C1C1C"/>
          <w:sz w:val="26"/>
          <w:szCs w:val="26"/>
        </w:rPr>
        <w:t xml:space="preserve">Les fichiers (.html, .doc, .pdf., .rtf, .jpg, .gif) disponibles sur le site Les Classiques des sciences sociales sont la propriété des </w:t>
      </w:r>
      <w:r w:rsidRPr="00D456E4">
        <w:rPr>
          <w:rFonts w:ascii="Arial" w:hAnsi="Arial"/>
          <w:b/>
          <w:color w:val="1C1C1C"/>
          <w:sz w:val="26"/>
          <w:szCs w:val="26"/>
        </w:rPr>
        <w:t>Class</w:t>
      </w:r>
      <w:r w:rsidRPr="00D456E4">
        <w:rPr>
          <w:rFonts w:ascii="Arial" w:hAnsi="Arial"/>
          <w:b/>
          <w:color w:val="1C1C1C"/>
          <w:sz w:val="26"/>
          <w:szCs w:val="26"/>
        </w:rPr>
        <w:t>i</w:t>
      </w:r>
      <w:r w:rsidRPr="00D456E4">
        <w:rPr>
          <w:rFonts w:ascii="Arial" w:hAnsi="Arial"/>
          <w:b/>
          <w:color w:val="1C1C1C"/>
          <w:sz w:val="26"/>
          <w:szCs w:val="26"/>
        </w:rPr>
        <w:t>ques des sciences sociales</w:t>
      </w:r>
      <w:r w:rsidRPr="00D456E4">
        <w:rPr>
          <w:rFonts w:ascii="Arial" w:hAnsi="Arial"/>
          <w:color w:val="1C1C1C"/>
          <w:sz w:val="26"/>
          <w:szCs w:val="26"/>
        </w:rPr>
        <w:t>, un organisme à but non lucratif co</w:t>
      </w:r>
      <w:r w:rsidRPr="00D456E4">
        <w:rPr>
          <w:rFonts w:ascii="Arial" w:hAnsi="Arial"/>
          <w:color w:val="1C1C1C"/>
          <w:sz w:val="26"/>
          <w:szCs w:val="26"/>
        </w:rPr>
        <w:t>m</w:t>
      </w:r>
      <w:r w:rsidRPr="00D456E4">
        <w:rPr>
          <w:rFonts w:ascii="Arial" w:hAnsi="Arial"/>
          <w:color w:val="1C1C1C"/>
          <w:sz w:val="26"/>
          <w:szCs w:val="26"/>
        </w:rPr>
        <w:t>posé exclusivement de bénévoles.</w:t>
      </w:r>
    </w:p>
    <w:p w:rsidR="001F5D09" w:rsidRPr="00D456E4" w:rsidRDefault="001F5D09">
      <w:pPr>
        <w:widowControl w:val="0"/>
        <w:autoSpaceDE w:val="0"/>
        <w:autoSpaceDN w:val="0"/>
        <w:adjustRightInd w:val="0"/>
        <w:jc w:val="both"/>
        <w:rPr>
          <w:rFonts w:ascii="Arial" w:hAnsi="Arial"/>
          <w:color w:val="1C1C1C"/>
          <w:sz w:val="26"/>
          <w:szCs w:val="26"/>
        </w:rPr>
      </w:pPr>
    </w:p>
    <w:p w:rsidR="001F5D09" w:rsidRPr="00D456E4" w:rsidRDefault="001F5D09">
      <w:pPr>
        <w:rPr>
          <w:rFonts w:ascii="Arial" w:hAnsi="Arial"/>
          <w:color w:val="1C1C1C"/>
          <w:sz w:val="26"/>
          <w:szCs w:val="26"/>
        </w:rPr>
      </w:pPr>
      <w:r w:rsidRPr="00D456E4">
        <w:rPr>
          <w:rFonts w:ascii="Arial" w:hAnsi="Arial"/>
          <w:color w:val="1C1C1C"/>
          <w:sz w:val="26"/>
          <w:szCs w:val="26"/>
        </w:rPr>
        <w:t>Ils sont disponibles pour une utilisation intellectuelle et perso</w:t>
      </w:r>
      <w:r w:rsidRPr="00D456E4">
        <w:rPr>
          <w:rFonts w:ascii="Arial" w:hAnsi="Arial"/>
          <w:color w:val="1C1C1C"/>
          <w:sz w:val="26"/>
          <w:szCs w:val="26"/>
        </w:rPr>
        <w:t>n</w:t>
      </w:r>
      <w:r w:rsidRPr="00D456E4">
        <w:rPr>
          <w:rFonts w:ascii="Arial" w:hAnsi="Arial"/>
          <w:color w:val="1C1C1C"/>
          <w:sz w:val="26"/>
          <w:szCs w:val="26"/>
        </w:rPr>
        <w:t>ne</w:t>
      </w:r>
      <w:r w:rsidRPr="00D456E4">
        <w:rPr>
          <w:rFonts w:ascii="Arial" w:hAnsi="Arial"/>
          <w:color w:val="1C1C1C"/>
          <w:sz w:val="26"/>
          <w:szCs w:val="26"/>
        </w:rPr>
        <w:t>l</w:t>
      </w:r>
      <w:r w:rsidRPr="00D456E4">
        <w:rPr>
          <w:rFonts w:ascii="Arial" w:hAnsi="Arial"/>
          <w:color w:val="1C1C1C"/>
          <w:sz w:val="26"/>
          <w:szCs w:val="26"/>
        </w:rPr>
        <w:t>le et, en aucun cas, commerciale. Toute utilisation à des fins co</w:t>
      </w:r>
      <w:r w:rsidRPr="00D456E4">
        <w:rPr>
          <w:rFonts w:ascii="Arial" w:hAnsi="Arial"/>
          <w:color w:val="1C1C1C"/>
          <w:sz w:val="26"/>
          <w:szCs w:val="26"/>
        </w:rPr>
        <w:t>m</w:t>
      </w:r>
      <w:r w:rsidRPr="00D456E4">
        <w:rPr>
          <w:rFonts w:ascii="Arial" w:hAnsi="Arial"/>
          <w:color w:val="1C1C1C"/>
          <w:sz w:val="26"/>
          <w:szCs w:val="26"/>
        </w:rPr>
        <w:t>merciales des fichiers sur ce site est strictement interdite et toute rediffusion est également strictement interdite.</w:t>
      </w:r>
    </w:p>
    <w:p w:rsidR="001F5D09" w:rsidRPr="00D456E4" w:rsidRDefault="001F5D09">
      <w:pPr>
        <w:rPr>
          <w:rFonts w:ascii="Arial" w:hAnsi="Arial"/>
          <w:b/>
          <w:color w:val="1C1C1C"/>
          <w:sz w:val="26"/>
          <w:szCs w:val="26"/>
        </w:rPr>
      </w:pPr>
    </w:p>
    <w:p w:rsidR="001F5D09" w:rsidRPr="00D456E4" w:rsidRDefault="001F5D09">
      <w:pPr>
        <w:rPr>
          <w:rFonts w:ascii="Arial" w:hAnsi="Arial"/>
          <w:b/>
          <w:color w:val="1C1C1C"/>
          <w:sz w:val="26"/>
          <w:szCs w:val="26"/>
        </w:rPr>
      </w:pPr>
      <w:r w:rsidRPr="00D456E4">
        <w:rPr>
          <w:rFonts w:ascii="Arial" w:hAnsi="Arial"/>
          <w:b/>
          <w:color w:val="1C1C1C"/>
          <w:sz w:val="26"/>
          <w:szCs w:val="26"/>
        </w:rPr>
        <w:t>L'accès à notre travail est libre et gratuit à tous les utilis</w:t>
      </w:r>
      <w:r w:rsidRPr="00D456E4">
        <w:rPr>
          <w:rFonts w:ascii="Arial" w:hAnsi="Arial"/>
          <w:b/>
          <w:color w:val="1C1C1C"/>
          <w:sz w:val="26"/>
          <w:szCs w:val="26"/>
        </w:rPr>
        <w:t>a</w:t>
      </w:r>
      <w:r w:rsidRPr="00D456E4">
        <w:rPr>
          <w:rFonts w:ascii="Arial" w:hAnsi="Arial"/>
          <w:b/>
          <w:color w:val="1C1C1C"/>
          <w:sz w:val="26"/>
          <w:szCs w:val="26"/>
        </w:rPr>
        <w:t>teurs. C'est notre mission.</w:t>
      </w:r>
    </w:p>
    <w:p w:rsidR="001F5D09" w:rsidRPr="00D456E4" w:rsidRDefault="001F5D09">
      <w:pPr>
        <w:rPr>
          <w:rFonts w:ascii="Arial" w:hAnsi="Arial"/>
          <w:b/>
          <w:color w:val="1C1C1C"/>
          <w:sz w:val="26"/>
          <w:szCs w:val="26"/>
        </w:rPr>
      </w:pPr>
    </w:p>
    <w:p w:rsidR="001F5D09" w:rsidRPr="00D456E4" w:rsidRDefault="001F5D09">
      <w:pPr>
        <w:rPr>
          <w:rFonts w:ascii="Arial" w:hAnsi="Arial"/>
          <w:color w:val="1C1C1C"/>
          <w:sz w:val="26"/>
          <w:szCs w:val="26"/>
        </w:rPr>
      </w:pPr>
      <w:r w:rsidRPr="00D456E4">
        <w:rPr>
          <w:rFonts w:ascii="Arial" w:hAnsi="Arial"/>
          <w:color w:val="1C1C1C"/>
          <w:sz w:val="26"/>
          <w:szCs w:val="26"/>
        </w:rPr>
        <w:t>Jean-Marie Tremblay, sociologue</w:t>
      </w:r>
    </w:p>
    <w:p w:rsidR="001F5D09" w:rsidRPr="00D456E4" w:rsidRDefault="001F5D09">
      <w:pPr>
        <w:rPr>
          <w:rFonts w:ascii="Arial" w:hAnsi="Arial"/>
          <w:color w:val="1C1C1C"/>
          <w:sz w:val="26"/>
          <w:szCs w:val="26"/>
        </w:rPr>
      </w:pPr>
      <w:r w:rsidRPr="00D456E4">
        <w:rPr>
          <w:rFonts w:ascii="Arial" w:hAnsi="Arial"/>
          <w:color w:val="1C1C1C"/>
          <w:sz w:val="26"/>
          <w:szCs w:val="26"/>
        </w:rPr>
        <w:t>Fondateur et Président-directeur général,</w:t>
      </w:r>
    </w:p>
    <w:p w:rsidR="001F5D09" w:rsidRPr="00D456E4" w:rsidRDefault="001F5D09">
      <w:pPr>
        <w:rPr>
          <w:rFonts w:ascii="Arial" w:hAnsi="Arial"/>
          <w:color w:val="000080"/>
        </w:rPr>
      </w:pPr>
      <w:r w:rsidRPr="00D456E4">
        <w:rPr>
          <w:rFonts w:ascii="Arial" w:hAnsi="Arial"/>
          <w:color w:val="000080"/>
          <w:sz w:val="26"/>
          <w:szCs w:val="26"/>
        </w:rPr>
        <w:t>LES CLASSIQUES DES SCIENCES SOCIALES.</w:t>
      </w:r>
    </w:p>
    <w:p w:rsidR="001F5D09" w:rsidRDefault="001F5D09" w:rsidP="001F5D09">
      <w:pPr>
        <w:ind w:firstLine="0"/>
        <w:rPr>
          <w:sz w:val="24"/>
        </w:rPr>
      </w:pPr>
      <w:r w:rsidRPr="00D456E4">
        <w:br w:type="page"/>
      </w:r>
      <w:r w:rsidRPr="00E026FA">
        <w:rPr>
          <w:sz w:val="24"/>
        </w:rPr>
        <w:lastRenderedPageBreak/>
        <w:t xml:space="preserve">Cette édition électronique a été réalisée </w:t>
      </w:r>
      <w:r>
        <w:rPr>
          <w:sz w:val="24"/>
        </w:rPr>
        <w:t>avec le concours de</w:t>
      </w:r>
      <w:r w:rsidRPr="00E026FA">
        <w:rPr>
          <w:sz w:val="24"/>
        </w:rPr>
        <w:t xml:space="preserve"> Pierre Patenaude, bénévole, professeur de français à la retraite et écrivain, </w:t>
      </w:r>
      <w:r>
        <w:rPr>
          <w:sz w:val="24"/>
        </w:rPr>
        <w:t>Lac-Saint-Jean, Québec.</w:t>
      </w:r>
    </w:p>
    <w:p w:rsidR="001F5D09" w:rsidRPr="00E026FA" w:rsidRDefault="001F5D09" w:rsidP="001F5D09">
      <w:pPr>
        <w:ind w:firstLine="0"/>
        <w:rPr>
          <w:sz w:val="24"/>
        </w:rPr>
      </w:pPr>
      <w:hyperlink r:id="rId12" w:history="1">
        <w:r w:rsidRPr="00616EDF">
          <w:rPr>
            <w:rStyle w:val="Lienhypertexte"/>
            <w:sz w:val="24"/>
          </w:rPr>
          <w:t>http://classiques.uqac.ca/inter/benevoles_equipe/liste_patena</w:t>
        </w:r>
        <w:r w:rsidRPr="00616EDF">
          <w:rPr>
            <w:rStyle w:val="Lienhypertexte"/>
            <w:sz w:val="24"/>
          </w:rPr>
          <w:t>u</w:t>
        </w:r>
        <w:r w:rsidRPr="00616EDF">
          <w:rPr>
            <w:rStyle w:val="Lienhypertexte"/>
            <w:sz w:val="24"/>
          </w:rPr>
          <w:t>de_pierre.html</w:t>
        </w:r>
      </w:hyperlink>
      <w:r>
        <w:rPr>
          <w:sz w:val="24"/>
        </w:rPr>
        <w:t xml:space="preserve"> </w:t>
      </w:r>
    </w:p>
    <w:p w:rsidR="001F5D09" w:rsidRPr="00E026FA" w:rsidRDefault="001F5D09" w:rsidP="001F5D09">
      <w:pPr>
        <w:widowControl w:val="0"/>
        <w:ind w:left="20" w:right="1800" w:hanging="20"/>
        <w:rPr>
          <w:sz w:val="24"/>
        </w:rPr>
      </w:pPr>
      <w:r w:rsidRPr="00E026FA">
        <w:rPr>
          <w:sz w:val="24"/>
        </w:rPr>
        <w:t xml:space="preserve">Courriel : </w:t>
      </w:r>
      <w:hyperlink r:id="rId13" w:history="1">
        <w:r w:rsidRPr="00E026FA">
          <w:rPr>
            <w:rStyle w:val="Lienhypertexte"/>
            <w:sz w:val="24"/>
          </w:rPr>
          <w:t>pierre.patenaude@gmail.com</w:t>
        </w:r>
      </w:hyperlink>
      <w:r w:rsidRPr="00E026FA">
        <w:rPr>
          <w:sz w:val="24"/>
        </w:rPr>
        <w:t xml:space="preserve"> </w:t>
      </w:r>
    </w:p>
    <w:p w:rsidR="001F5D09" w:rsidRDefault="001F5D09" w:rsidP="001F5D09">
      <w:pPr>
        <w:ind w:firstLine="0"/>
        <w:jc w:val="both"/>
        <w:rPr>
          <w:sz w:val="24"/>
        </w:rPr>
      </w:pPr>
    </w:p>
    <w:p w:rsidR="001F5D09" w:rsidRPr="00CF4C8E" w:rsidRDefault="001F5D09" w:rsidP="001F5D09">
      <w:pPr>
        <w:ind w:firstLine="0"/>
        <w:jc w:val="both"/>
        <w:rPr>
          <w:sz w:val="24"/>
        </w:rPr>
      </w:pPr>
      <w:r w:rsidRPr="00CF4C8E">
        <w:rPr>
          <w:sz w:val="24"/>
        </w:rPr>
        <w:t>à partir du texte de :</w:t>
      </w:r>
    </w:p>
    <w:p w:rsidR="001F5D09" w:rsidRDefault="001F5D09" w:rsidP="001F5D09">
      <w:pPr>
        <w:ind w:left="20"/>
        <w:jc w:val="both"/>
        <w:rPr>
          <w:sz w:val="24"/>
        </w:rPr>
      </w:pPr>
    </w:p>
    <w:p w:rsidR="001F5D09" w:rsidRPr="003026C1" w:rsidRDefault="001F5D09" w:rsidP="001F5D09">
      <w:pPr>
        <w:ind w:left="20" w:hanging="20"/>
        <w:jc w:val="both"/>
      </w:pPr>
      <w:r>
        <w:t>Louis Gill</w:t>
      </w:r>
    </w:p>
    <w:p w:rsidR="001F5D09" w:rsidRPr="003026C1" w:rsidRDefault="001F5D09" w:rsidP="001F5D09">
      <w:pPr>
        <w:ind w:left="20"/>
        <w:jc w:val="both"/>
      </w:pPr>
    </w:p>
    <w:p w:rsidR="001F5D09" w:rsidRPr="003026C1" w:rsidRDefault="001F5D09" w:rsidP="001F5D09">
      <w:pPr>
        <w:ind w:left="20"/>
        <w:jc w:val="both"/>
        <w:rPr>
          <w:b/>
        </w:rPr>
      </w:pPr>
      <w:r w:rsidRPr="00AF5E83">
        <w:rPr>
          <w:b/>
        </w:rPr>
        <w:t>“Les économies des pays de l’Est et la fin de la division card</w:t>
      </w:r>
      <w:r w:rsidRPr="00AF5E83">
        <w:rPr>
          <w:b/>
        </w:rPr>
        <w:t>i</w:t>
      </w:r>
      <w:r w:rsidRPr="00AF5E83">
        <w:rPr>
          <w:b/>
        </w:rPr>
        <w:t>nale du monde.”</w:t>
      </w:r>
    </w:p>
    <w:p w:rsidR="001F5D09" w:rsidRPr="003026C1" w:rsidRDefault="001F5D09" w:rsidP="001F5D09">
      <w:pPr>
        <w:ind w:left="20"/>
        <w:jc w:val="both"/>
        <w:rPr>
          <w:b/>
        </w:rPr>
      </w:pPr>
    </w:p>
    <w:p w:rsidR="001F5D09" w:rsidRPr="00C72EAE" w:rsidRDefault="001F5D09" w:rsidP="001F5D09">
      <w:pPr>
        <w:ind w:left="20" w:hanging="20"/>
        <w:jc w:val="both"/>
      </w:pPr>
      <w:r>
        <w:t>Un texte publié dans un ouvrage sous la direction de Christian D</w:t>
      </w:r>
      <w:r>
        <w:t>e</w:t>
      </w:r>
      <w:r>
        <w:t xml:space="preserve">block et Diane Éthier, </w:t>
      </w:r>
      <w:r w:rsidRPr="003026C1">
        <w:rPr>
          <w:b/>
          <w:color w:val="FF0000"/>
        </w:rPr>
        <w:t>Mondialisation et régionalisation La coop</w:t>
      </w:r>
      <w:r w:rsidRPr="003026C1">
        <w:rPr>
          <w:b/>
          <w:color w:val="FF0000"/>
        </w:rPr>
        <w:t>é</w:t>
      </w:r>
      <w:r w:rsidRPr="003026C1">
        <w:rPr>
          <w:b/>
          <w:color w:val="FF0000"/>
        </w:rPr>
        <w:t>ration économique i</w:t>
      </w:r>
      <w:r w:rsidRPr="003026C1">
        <w:rPr>
          <w:b/>
          <w:color w:val="FF0000"/>
        </w:rPr>
        <w:t>n</w:t>
      </w:r>
      <w:r w:rsidRPr="003026C1">
        <w:rPr>
          <w:b/>
          <w:color w:val="FF0000"/>
        </w:rPr>
        <w:t>ternationale est-elle encore possible ?</w:t>
      </w:r>
      <w:r>
        <w:t>, pp. 161-180. Québec</w:t>
      </w:r>
      <w:r w:rsidRPr="00C72EAE">
        <w:t xml:space="preserve">: Les </w:t>
      </w:r>
      <w:r>
        <w:t>Presses de l’Université du Québec, 1992, 386 pp.</w:t>
      </w:r>
    </w:p>
    <w:p w:rsidR="001F5D09" w:rsidRPr="00C72EAE" w:rsidRDefault="001F5D09">
      <w:pPr>
        <w:jc w:val="both"/>
      </w:pPr>
    </w:p>
    <w:p w:rsidR="001F5D09" w:rsidRPr="00D456E4" w:rsidRDefault="001F5D09">
      <w:pPr>
        <w:ind w:left="20"/>
        <w:jc w:val="both"/>
        <w:rPr>
          <w:sz w:val="24"/>
        </w:rPr>
      </w:pPr>
      <w:r>
        <w:rPr>
          <w:sz w:val="24"/>
        </w:rPr>
        <w:t>M. Deblock</w:t>
      </w:r>
      <w:r w:rsidRPr="00D456E4">
        <w:rPr>
          <w:sz w:val="24"/>
        </w:rPr>
        <w:t xml:space="preserve"> nous a accordé</w:t>
      </w:r>
      <w:r>
        <w:rPr>
          <w:sz w:val="24"/>
        </w:rPr>
        <w:t xml:space="preserve"> le 26 septembre 2020, l’autorisation de di</w:t>
      </w:r>
      <w:r>
        <w:rPr>
          <w:sz w:val="24"/>
        </w:rPr>
        <w:t>f</w:t>
      </w:r>
      <w:r>
        <w:rPr>
          <w:sz w:val="24"/>
        </w:rPr>
        <w:t xml:space="preserve">fuser </w:t>
      </w:r>
      <w:r w:rsidRPr="00D456E4">
        <w:rPr>
          <w:sz w:val="24"/>
        </w:rPr>
        <w:t>ce livre</w:t>
      </w:r>
      <w:r>
        <w:rPr>
          <w:sz w:val="24"/>
        </w:rPr>
        <w:t>, en texte intégral et en libre accès à tous,</w:t>
      </w:r>
      <w:r w:rsidRPr="00D456E4">
        <w:rPr>
          <w:sz w:val="24"/>
        </w:rPr>
        <w:t xml:space="preserve"> dans Les Classiques des sciences s</w:t>
      </w:r>
      <w:r w:rsidRPr="00D456E4">
        <w:rPr>
          <w:sz w:val="24"/>
        </w:rPr>
        <w:t>o</w:t>
      </w:r>
      <w:r w:rsidRPr="00D456E4">
        <w:rPr>
          <w:sz w:val="24"/>
        </w:rPr>
        <w:t>ciales.</w:t>
      </w:r>
    </w:p>
    <w:p w:rsidR="001F5D09" w:rsidRPr="00D456E4" w:rsidRDefault="001F5D09">
      <w:pPr>
        <w:jc w:val="both"/>
        <w:rPr>
          <w:sz w:val="24"/>
        </w:rPr>
      </w:pPr>
    </w:p>
    <w:p w:rsidR="001F5D09" w:rsidRDefault="00D6234E" w:rsidP="001F5D09">
      <w:pPr>
        <w:ind w:firstLine="0"/>
        <w:rPr>
          <w:sz w:val="24"/>
        </w:rPr>
      </w:pPr>
      <w:r w:rsidRPr="00D456E4">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1F5D09" w:rsidRPr="00D456E4">
        <w:rPr>
          <w:sz w:val="24"/>
        </w:rPr>
        <w:t xml:space="preserve"> Courriel</w:t>
      </w:r>
      <w:r w:rsidR="001F5D09">
        <w:rPr>
          <w:sz w:val="24"/>
        </w:rPr>
        <w:t>s</w:t>
      </w:r>
      <w:r w:rsidR="001F5D09" w:rsidRPr="00D456E4">
        <w:rPr>
          <w:sz w:val="24"/>
        </w:rPr>
        <w:t> :</w:t>
      </w:r>
      <w:r w:rsidR="001F5D09">
        <w:rPr>
          <w:sz w:val="24"/>
        </w:rPr>
        <w:t xml:space="preserve"> </w:t>
      </w:r>
      <w:r w:rsidR="001F5D09" w:rsidRPr="00503E85">
        <w:rPr>
          <w:sz w:val="24"/>
        </w:rPr>
        <w:t>Christian Deblock</w:t>
      </w:r>
      <w:r w:rsidR="001F5D09">
        <w:rPr>
          <w:sz w:val="24"/>
        </w:rPr>
        <w:t xml:space="preserve"> : </w:t>
      </w:r>
      <w:hyperlink r:id="rId15" w:history="1">
        <w:r w:rsidR="001F5D09" w:rsidRPr="006C454A">
          <w:rPr>
            <w:rStyle w:val="Lienhypertexte"/>
            <w:sz w:val="24"/>
          </w:rPr>
          <w:t>deblock.christian@uqam.ca</w:t>
        </w:r>
      </w:hyperlink>
      <w:r w:rsidR="001F5D09">
        <w:rPr>
          <w:sz w:val="24"/>
        </w:rPr>
        <w:t xml:space="preserve"> </w:t>
      </w:r>
    </w:p>
    <w:p w:rsidR="001F5D09" w:rsidRDefault="001F5D09" w:rsidP="001F5D09">
      <w:pPr>
        <w:ind w:firstLine="0"/>
        <w:rPr>
          <w:sz w:val="24"/>
        </w:rPr>
      </w:pPr>
      <w:r>
        <w:rPr>
          <w:sz w:val="24"/>
        </w:rPr>
        <w:t xml:space="preserve">Diane Éthier : </w:t>
      </w:r>
      <w:hyperlink r:id="rId16" w:history="1">
        <w:r w:rsidRPr="00917533">
          <w:rPr>
            <w:rStyle w:val="Lienhypertexte"/>
            <w:sz w:val="24"/>
          </w:rPr>
          <w:t>Diane.Ethier@umontreal.ca</w:t>
        </w:r>
      </w:hyperlink>
      <w:r>
        <w:rPr>
          <w:sz w:val="24"/>
        </w:rPr>
        <w:t xml:space="preserve"> </w:t>
      </w:r>
    </w:p>
    <w:p w:rsidR="001F5D09" w:rsidRPr="00D456E4" w:rsidRDefault="001F5D09" w:rsidP="001F5D09">
      <w:pPr>
        <w:ind w:right="1800" w:firstLine="0"/>
        <w:jc w:val="both"/>
        <w:rPr>
          <w:sz w:val="24"/>
        </w:rPr>
      </w:pPr>
    </w:p>
    <w:p w:rsidR="001F5D09" w:rsidRPr="00D456E4" w:rsidRDefault="001F5D09">
      <w:pPr>
        <w:ind w:right="1800" w:firstLine="0"/>
        <w:jc w:val="both"/>
        <w:rPr>
          <w:sz w:val="24"/>
        </w:rPr>
      </w:pPr>
      <w:r w:rsidRPr="00D456E4">
        <w:rPr>
          <w:sz w:val="24"/>
        </w:rPr>
        <w:t>Police de caractères utilisé</w:t>
      </w:r>
      <w:r>
        <w:rPr>
          <w:sz w:val="24"/>
        </w:rPr>
        <w:t>s</w:t>
      </w:r>
      <w:r w:rsidRPr="00D456E4">
        <w:rPr>
          <w:sz w:val="24"/>
        </w:rPr>
        <w:t> :</w:t>
      </w:r>
    </w:p>
    <w:p w:rsidR="001F5D09" w:rsidRPr="00D456E4" w:rsidRDefault="001F5D09">
      <w:pPr>
        <w:ind w:right="1800" w:firstLine="0"/>
        <w:jc w:val="both"/>
        <w:rPr>
          <w:sz w:val="24"/>
        </w:rPr>
      </w:pPr>
    </w:p>
    <w:p w:rsidR="001F5D09" w:rsidRPr="00D456E4" w:rsidRDefault="001F5D09" w:rsidP="001F5D09">
      <w:pPr>
        <w:ind w:left="360" w:right="360" w:firstLine="0"/>
        <w:jc w:val="both"/>
        <w:rPr>
          <w:sz w:val="24"/>
        </w:rPr>
      </w:pPr>
      <w:r w:rsidRPr="00D456E4">
        <w:rPr>
          <w:sz w:val="24"/>
        </w:rPr>
        <w:t>Pour le texte: Times New Roman, 14 points.</w:t>
      </w:r>
    </w:p>
    <w:p w:rsidR="001F5D09" w:rsidRPr="00D456E4" w:rsidRDefault="001F5D09" w:rsidP="001F5D09">
      <w:pPr>
        <w:ind w:left="360" w:right="360" w:firstLine="0"/>
        <w:jc w:val="both"/>
        <w:rPr>
          <w:sz w:val="24"/>
        </w:rPr>
      </w:pPr>
      <w:r w:rsidRPr="00D456E4">
        <w:rPr>
          <w:sz w:val="24"/>
        </w:rPr>
        <w:t>Pour les citations: Times New Roman, 12 points.</w:t>
      </w:r>
    </w:p>
    <w:p w:rsidR="001F5D09" w:rsidRPr="00D456E4" w:rsidRDefault="001F5D09" w:rsidP="001F5D09">
      <w:pPr>
        <w:ind w:left="360" w:right="360" w:firstLine="0"/>
        <w:jc w:val="both"/>
        <w:rPr>
          <w:sz w:val="24"/>
        </w:rPr>
      </w:pPr>
      <w:r w:rsidRPr="00D456E4">
        <w:rPr>
          <w:sz w:val="24"/>
        </w:rPr>
        <w:t>Pour les notes de bas de page: Times New Roman, 12 points.</w:t>
      </w:r>
    </w:p>
    <w:p w:rsidR="001F5D09" w:rsidRPr="00D456E4" w:rsidRDefault="001F5D09">
      <w:pPr>
        <w:ind w:left="360" w:right="1800" w:firstLine="0"/>
        <w:jc w:val="both"/>
        <w:rPr>
          <w:sz w:val="24"/>
        </w:rPr>
      </w:pPr>
    </w:p>
    <w:p w:rsidR="001F5D09" w:rsidRPr="00D456E4" w:rsidRDefault="001F5D09">
      <w:pPr>
        <w:ind w:right="360" w:firstLine="0"/>
        <w:jc w:val="both"/>
        <w:rPr>
          <w:sz w:val="24"/>
        </w:rPr>
      </w:pPr>
      <w:r w:rsidRPr="00D456E4">
        <w:rPr>
          <w:sz w:val="24"/>
        </w:rPr>
        <w:t>Édition électronique réalisée avec le traitement de textes Micr</w:t>
      </w:r>
      <w:r w:rsidRPr="00D456E4">
        <w:rPr>
          <w:sz w:val="24"/>
        </w:rPr>
        <w:t>o</w:t>
      </w:r>
      <w:r w:rsidRPr="00D456E4">
        <w:rPr>
          <w:sz w:val="24"/>
        </w:rPr>
        <w:t>soft Word 2008 pour Macintosh.</w:t>
      </w:r>
    </w:p>
    <w:p w:rsidR="001F5D09" w:rsidRPr="00D456E4" w:rsidRDefault="001F5D09" w:rsidP="001F5D09">
      <w:pPr>
        <w:ind w:right="630" w:firstLine="0"/>
        <w:jc w:val="both"/>
        <w:rPr>
          <w:sz w:val="24"/>
        </w:rPr>
      </w:pPr>
      <w:r w:rsidRPr="00D456E4">
        <w:rPr>
          <w:sz w:val="24"/>
        </w:rPr>
        <w:t>Mise en page sur papier format : LETTRE US, 8.5’’ x 11’’.</w:t>
      </w:r>
    </w:p>
    <w:p w:rsidR="001F5D09" w:rsidRPr="00D456E4" w:rsidRDefault="001F5D09">
      <w:pPr>
        <w:ind w:right="1800" w:firstLine="0"/>
        <w:jc w:val="both"/>
        <w:rPr>
          <w:sz w:val="24"/>
        </w:rPr>
      </w:pPr>
    </w:p>
    <w:p w:rsidR="001F5D09" w:rsidRPr="00D456E4" w:rsidRDefault="001F5D09" w:rsidP="001F5D09">
      <w:pPr>
        <w:ind w:firstLine="0"/>
        <w:jc w:val="both"/>
        <w:rPr>
          <w:sz w:val="24"/>
        </w:rPr>
      </w:pPr>
      <w:r w:rsidRPr="00D456E4">
        <w:rPr>
          <w:sz w:val="24"/>
        </w:rPr>
        <w:t xml:space="preserve">Édition numérique réalisée le </w:t>
      </w:r>
      <w:r>
        <w:rPr>
          <w:sz w:val="24"/>
        </w:rPr>
        <w:t>18 janvier 2021 à Chicoutimi</w:t>
      </w:r>
      <w:r w:rsidRPr="00D456E4">
        <w:rPr>
          <w:sz w:val="24"/>
        </w:rPr>
        <w:t>, Québec.</w:t>
      </w:r>
    </w:p>
    <w:p w:rsidR="001F5D09" w:rsidRPr="00D456E4" w:rsidRDefault="001F5D09">
      <w:pPr>
        <w:ind w:right="1800" w:firstLine="0"/>
        <w:jc w:val="both"/>
        <w:rPr>
          <w:sz w:val="22"/>
        </w:rPr>
      </w:pPr>
    </w:p>
    <w:p w:rsidR="001F5D09" w:rsidRPr="00D456E4" w:rsidRDefault="00D6234E">
      <w:pPr>
        <w:ind w:right="1800" w:firstLine="0"/>
        <w:jc w:val="both"/>
      </w:pPr>
      <w:r w:rsidRPr="00D456E4">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1F5D09" w:rsidRPr="00D456E4" w:rsidRDefault="001F5D09">
      <w:pPr>
        <w:ind w:left="20"/>
        <w:jc w:val="both"/>
      </w:pPr>
      <w:r w:rsidRPr="00D456E4">
        <w:br w:type="page"/>
      </w:r>
    </w:p>
    <w:p w:rsidR="001F5D09" w:rsidRPr="00D456E4" w:rsidRDefault="001F5D09" w:rsidP="001F5D09">
      <w:pPr>
        <w:ind w:firstLine="0"/>
        <w:jc w:val="center"/>
        <w:rPr>
          <w:b/>
          <w:sz w:val="36"/>
          <w:lang w:bidi="ar-SA"/>
        </w:rPr>
      </w:pPr>
      <w:r>
        <w:rPr>
          <w:sz w:val="36"/>
          <w:lang w:bidi="ar-SA"/>
        </w:rPr>
        <w:t>Louis GILL</w:t>
      </w:r>
    </w:p>
    <w:p w:rsidR="001F5D09" w:rsidRPr="00D456E4" w:rsidRDefault="001F5D09" w:rsidP="001F5D09">
      <w:pPr>
        <w:ind w:firstLine="0"/>
        <w:jc w:val="center"/>
        <w:rPr>
          <w:sz w:val="20"/>
          <w:lang w:bidi="ar-SA"/>
        </w:rPr>
      </w:pPr>
      <w:r>
        <w:rPr>
          <w:sz w:val="20"/>
          <w:lang w:bidi="ar-SA"/>
        </w:rPr>
        <w:t>Professeur, département de science économique</w:t>
      </w:r>
      <w:r w:rsidRPr="00D456E4">
        <w:rPr>
          <w:sz w:val="20"/>
          <w:lang w:bidi="ar-SA"/>
        </w:rPr>
        <w:t>,</w:t>
      </w:r>
      <w:r>
        <w:rPr>
          <w:sz w:val="20"/>
          <w:lang w:bidi="ar-SA"/>
        </w:rPr>
        <w:t xml:space="preserve"> UQÀ</w:t>
      </w:r>
      <w:r w:rsidRPr="00D456E4">
        <w:rPr>
          <w:sz w:val="20"/>
          <w:lang w:bidi="ar-SA"/>
        </w:rPr>
        <w:t>M</w:t>
      </w:r>
    </w:p>
    <w:p w:rsidR="001F5D09" w:rsidRPr="00D456E4" w:rsidRDefault="001F5D09" w:rsidP="001F5D09">
      <w:pPr>
        <w:ind w:firstLine="0"/>
        <w:jc w:val="center"/>
      </w:pPr>
    </w:p>
    <w:p w:rsidR="001F5D09" w:rsidRDefault="001F5D09" w:rsidP="001F5D09">
      <w:pPr>
        <w:ind w:firstLine="0"/>
        <w:jc w:val="center"/>
        <w:rPr>
          <w:color w:val="000080"/>
          <w:sz w:val="36"/>
        </w:rPr>
      </w:pPr>
      <w:r w:rsidRPr="00AF5E83">
        <w:rPr>
          <w:color w:val="000080"/>
          <w:sz w:val="36"/>
        </w:rPr>
        <w:t>“</w:t>
      </w:r>
      <w:r>
        <w:rPr>
          <w:color w:val="000080"/>
          <w:sz w:val="36"/>
        </w:rPr>
        <w:t>Les économies des pays de l’Est</w:t>
      </w:r>
      <w:r>
        <w:rPr>
          <w:color w:val="000080"/>
          <w:sz w:val="36"/>
        </w:rPr>
        <w:br/>
      </w:r>
      <w:r w:rsidRPr="00AF5E83">
        <w:rPr>
          <w:color w:val="000080"/>
          <w:sz w:val="36"/>
        </w:rPr>
        <w:t>et la fin de la div</w:t>
      </w:r>
      <w:r w:rsidRPr="00AF5E83">
        <w:rPr>
          <w:color w:val="000080"/>
          <w:sz w:val="36"/>
        </w:rPr>
        <w:t>i</w:t>
      </w:r>
      <w:r w:rsidRPr="00AF5E83">
        <w:rPr>
          <w:color w:val="000080"/>
          <w:sz w:val="36"/>
        </w:rPr>
        <w:t>sion cardinale du monde.”</w:t>
      </w:r>
    </w:p>
    <w:p w:rsidR="001F5D09" w:rsidRPr="00D456E4" w:rsidRDefault="001F5D09" w:rsidP="001F5D09">
      <w:pPr>
        <w:ind w:firstLine="0"/>
        <w:jc w:val="center"/>
      </w:pPr>
    </w:p>
    <w:p w:rsidR="001F5D09" w:rsidRPr="00D456E4" w:rsidRDefault="00D6234E" w:rsidP="001F5D09">
      <w:pPr>
        <w:ind w:firstLine="0"/>
        <w:jc w:val="center"/>
      </w:pPr>
      <w:r>
        <w:rPr>
          <w:noProof/>
        </w:rPr>
        <w:drawing>
          <wp:inline distT="0" distB="0" distL="0" distR="0">
            <wp:extent cx="3124200" cy="4724400"/>
            <wp:effectExtent l="25400" t="25400" r="12700" b="12700"/>
            <wp:docPr id="5" name="Image 5" descr="Mondialisation_et_regionalisatio_L25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Mondialisation_et_regionalisatio_L25_low"/>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24200" cy="4724400"/>
                    </a:xfrm>
                    <a:prstGeom prst="rect">
                      <a:avLst/>
                    </a:prstGeom>
                    <a:noFill/>
                    <a:ln w="19050" cmpd="sng">
                      <a:solidFill>
                        <a:srgbClr val="000000"/>
                      </a:solidFill>
                      <a:miter lim="800000"/>
                      <a:headEnd/>
                      <a:tailEnd/>
                    </a:ln>
                    <a:effectLst/>
                  </pic:spPr>
                </pic:pic>
              </a:graphicData>
            </a:graphic>
          </wp:inline>
        </w:drawing>
      </w:r>
    </w:p>
    <w:p w:rsidR="001F5D09" w:rsidRPr="00D456E4" w:rsidRDefault="001F5D09" w:rsidP="001F5D09">
      <w:pPr>
        <w:ind w:firstLine="0"/>
        <w:jc w:val="center"/>
      </w:pPr>
    </w:p>
    <w:p w:rsidR="001F5D09" w:rsidRPr="00C72EAE" w:rsidRDefault="001F5D09" w:rsidP="001F5D09">
      <w:pPr>
        <w:ind w:left="20" w:hanging="20"/>
        <w:jc w:val="both"/>
      </w:pPr>
      <w:r>
        <w:t>Un texte publié dans un ouvrage sous la direction de Christian D</w:t>
      </w:r>
      <w:r>
        <w:t>e</w:t>
      </w:r>
      <w:r>
        <w:t xml:space="preserve">block et Diane Éthier, </w:t>
      </w:r>
      <w:r w:rsidRPr="003026C1">
        <w:rPr>
          <w:b/>
          <w:color w:val="FF0000"/>
        </w:rPr>
        <w:t>Mondialisation et régionalisation La coop</w:t>
      </w:r>
      <w:r w:rsidRPr="003026C1">
        <w:rPr>
          <w:b/>
          <w:color w:val="FF0000"/>
        </w:rPr>
        <w:t>é</w:t>
      </w:r>
      <w:r w:rsidRPr="003026C1">
        <w:rPr>
          <w:b/>
          <w:color w:val="FF0000"/>
        </w:rPr>
        <w:t>ration économique i</w:t>
      </w:r>
      <w:r w:rsidRPr="003026C1">
        <w:rPr>
          <w:b/>
          <w:color w:val="FF0000"/>
        </w:rPr>
        <w:t>n</w:t>
      </w:r>
      <w:r w:rsidRPr="003026C1">
        <w:rPr>
          <w:b/>
          <w:color w:val="FF0000"/>
        </w:rPr>
        <w:t>ternationale est-elle encore possible ?</w:t>
      </w:r>
      <w:r>
        <w:t>, pp. 161-180. Québec</w:t>
      </w:r>
      <w:r w:rsidRPr="00C72EAE">
        <w:t xml:space="preserve">: Les </w:t>
      </w:r>
      <w:r>
        <w:t>Presses de l’Université du Québec, 1992, 386 pp.</w:t>
      </w:r>
    </w:p>
    <w:p w:rsidR="001F5D09" w:rsidRPr="00E07116" w:rsidRDefault="001F5D09" w:rsidP="001F5D09">
      <w:pPr>
        <w:pStyle w:val="p"/>
      </w:pPr>
      <w:r>
        <w:br w:type="page"/>
      </w:r>
    </w:p>
    <w:p w:rsidR="001F5D09" w:rsidRPr="00E07116" w:rsidRDefault="001F5D09" w:rsidP="001F5D09">
      <w:pPr>
        <w:jc w:val="both"/>
      </w:pPr>
    </w:p>
    <w:p w:rsidR="001F5D09" w:rsidRPr="00E07116" w:rsidRDefault="001F5D09" w:rsidP="001F5D09">
      <w:pPr>
        <w:jc w:val="both"/>
      </w:pPr>
      <w:r>
        <w:t xml:space="preserve"> </w:t>
      </w:r>
    </w:p>
    <w:p w:rsidR="001F5D09" w:rsidRPr="00E07116" w:rsidRDefault="001F5D09" w:rsidP="001F5D09">
      <w:pPr>
        <w:pStyle w:val="NormalWeb"/>
        <w:spacing w:before="2" w:after="2"/>
        <w:jc w:val="both"/>
        <w:rPr>
          <w:sz w:val="28"/>
        </w:rPr>
      </w:pPr>
      <w:r w:rsidRPr="00E07116">
        <w:rPr>
          <w:b/>
          <w:sz w:val="28"/>
          <w:szCs w:val="19"/>
        </w:rPr>
        <w:t>Note pour la version numérique</w:t>
      </w:r>
      <w:r w:rsidRPr="00E07116">
        <w:rPr>
          <w:sz w:val="28"/>
          <w:szCs w:val="19"/>
        </w:rPr>
        <w:t xml:space="preserve"> : </w:t>
      </w:r>
      <w:r w:rsidRPr="00E07116">
        <w:rPr>
          <w:sz w:val="28"/>
        </w:rPr>
        <w:t>La numérotation entre crochets [] correspond à la pagination, en début de page, de l'édition d'origine numérisée. JMT.</w:t>
      </w:r>
    </w:p>
    <w:p w:rsidR="001F5D09" w:rsidRPr="00E07116" w:rsidRDefault="001F5D09" w:rsidP="001F5D09">
      <w:pPr>
        <w:pStyle w:val="NormalWeb"/>
        <w:spacing w:before="2" w:after="2"/>
        <w:rPr>
          <w:sz w:val="28"/>
        </w:rPr>
      </w:pPr>
      <w:r w:rsidRPr="00E07116">
        <w:rPr>
          <w:sz w:val="28"/>
        </w:rPr>
        <w:t>Par exemple, [1] correspond au début de la page 1 de l’édition papier numérisée.</w:t>
      </w:r>
    </w:p>
    <w:p w:rsidR="001F5D09" w:rsidRPr="00E07116" w:rsidRDefault="001F5D09" w:rsidP="001F5D09">
      <w:pPr>
        <w:jc w:val="both"/>
        <w:rPr>
          <w:szCs w:val="19"/>
        </w:rPr>
      </w:pPr>
    </w:p>
    <w:p w:rsidR="001F5D09" w:rsidRPr="00E07116" w:rsidRDefault="001F5D09" w:rsidP="001F5D09">
      <w:pPr>
        <w:jc w:val="both"/>
        <w:rPr>
          <w:szCs w:val="19"/>
        </w:rPr>
      </w:pPr>
    </w:p>
    <w:p w:rsidR="001F5D09" w:rsidRDefault="001F5D09" w:rsidP="001F5D09">
      <w:pPr>
        <w:spacing w:before="120" w:after="120"/>
        <w:ind w:firstLine="0"/>
        <w:jc w:val="both"/>
      </w:pPr>
      <w:r>
        <w:br w:type="page"/>
      </w:r>
      <w:r>
        <w:lastRenderedPageBreak/>
        <w:t>[161]</w:t>
      </w:r>
    </w:p>
    <w:p w:rsidR="001F5D09" w:rsidRDefault="001F5D09" w:rsidP="001F5D09">
      <w:pPr>
        <w:jc w:val="both"/>
      </w:pPr>
    </w:p>
    <w:p w:rsidR="001F5D09" w:rsidRPr="00D456E4" w:rsidRDefault="001F5D09" w:rsidP="001F5D09">
      <w:pPr>
        <w:jc w:val="both"/>
      </w:pPr>
    </w:p>
    <w:p w:rsidR="001F5D09" w:rsidRPr="00D456E4" w:rsidRDefault="001F5D09" w:rsidP="001F5D09">
      <w:pPr>
        <w:ind w:firstLine="0"/>
        <w:jc w:val="center"/>
        <w:rPr>
          <w:b/>
          <w:color w:val="008000"/>
          <w:sz w:val="24"/>
        </w:rPr>
      </w:pPr>
      <w:bookmarkStart w:id="1" w:name="Mondialisation_pt_1_texte_06"/>
      <w:r>
        <w:rPr>
          <w:b/>
          <w:color w:val="008000"/>
          <w:sz w:val="24"/>
        </w:rPr>
        <w:t>Première partie</w:t>
      </w:r>
    </w:p>
    <w:p w:rsidR="001F5D09" w:rsidRPr="00AA5429" w:rsidRDefault="001F5D09" w:rsidP="001F5D09">
      <w:pPr>
        <w:ind w:firstLine="0"/>
        <w:jc w:val="center"/>
        <w:rPr>
          <w:b/>
        </w:rPr>
      </w:pPr>
      <w:r>
        <w:rPr>
          <w:b/>
        </w:rPr>
        <w:t>Les grands ensembles économiques :</w:t>
      </w:r>
      <w:r>
        <w:rPr>
          <w:b/>
        </w:rPr>
        <w:br/>
        <w:t>la tentation du régionalisme</w:t>
      </w:r>
    </w:p>
    <w:p w:rsidR="001F5D09" w:rsidRPr="00D456E4" w:rsidRDefault="001F5D09" w:rsidP="001F5D09">
      <w:pPr>
        <w:jc w:val="both"/>
        <w:rPr>
          <w:szCs w:val="36"/>
        </w:rPr>
      </w:pPr>
    </w:p>
    <w:p w:rsidR="001F5D09" w:rsidRPr="00D456E4" w:rsidRDefault="001F5D09" w:rsidP="001F5D09">
      <w:pPr>
        <w:pStyle w:val="Titreniveau1"/>
      </w:pPr>
      <w:r>
        <w:t>6</w:t>
      </w:r>
    </w:p>
    <w:p w:rsidR="001F5D09" w:rsidRPr="00D456E4" w:rsidRDefault="001F5D09" w:rsidP="001F5D09">
      <w:pPr>
        <w:pStyle w:val="Titreniveau2"/>
      </w:pPr>
      <w:r w:rsidRPr="00D456E4">
        <w:t>“</w:t>
      </w:r>
      <w:r>
        <w:t>Les économie des pays de l’Est</w:t>
      </w:r>
      <w:r>
        <w:br/>
        <w:t>et la fin de la division cardinale</w:t>
      </w:r>
      <w:r>
        <w:br/>
        <w:t>du monde</w:t>
      </w:r>
      <w:r w:rsidRPr="00D456E4">
        <w:t>.”</w:t>
      </w:r>
      <w:r>
        <w:rPr>
          <w:rStyle w:val="En-tte1TimesNewRoman19ptGrasNonItaliqueEspacement0pt"/>
          <w:b w:val="0"/>
          <w:iCs/>
          <w:sz w:val="28"/>
        </w:rPr>
        <w:t> </w:t>
      </w:r>
      <w:r>
        <w:rPr>
          <w:rStyle w:val="Appelnotedebasdep"/>
          <w:bCs/>
          <w:iCs/>
          <w:szCs w:val="38"/>
          <w:lang w:eastAsia="fr-FR" w:bidi="fr-FR"/>
        </w:rPr>
        <w:footnoteReference w:customMarkFollows="1" w:id="1"/>
        <w:t>*</w:t>
      </w:r>
    </w:p>
    <w:bookmarkEnd w:id="1"/>
    <w:p w:rsidR="001F5D09" w:rsidRPr="00D456E4" w:rsidRDefault="001F5D09" w:rsidP="001F5D09">
      <w:pPr>
        <w:jc w:val="both"/>
        <w:rPr>
          <w:szCs w:val="36"/>
        </w:rPr>
      </w:pPr>
    </w:p>
    <w:p w:rsidR="001F5D09" w:rsidRPr="00F96528" w:rsidRDefault="001F5D09" w:rsidP="001F5D09">
      <w:pPr>
        <w:pStyle w:val="suite"/>
        <w:rPr>
          <w:i/>
        </w:rPr>
      </w:pPr>
      <w:r>
        <w:t>Louis GILL</w:t>
      </w:r>
    </w:p>
    <w:p w:rsidR="001F5D09" w:rsidRDefault="001F5D09" w:rsidP="001F5D09">
      <w:pPr>
        <w:jc w:val="both"/>
      </w:pPr>
    </w:p>
    <w:p w:rsidR="001F5D09" w:rsidRPr="00D456E4" w:rsidRDefault="001F5D09" w:rsidP="001F5D09">
      <w:pPr>
        <w:jc w:val="both"/>
      </w:pPr>
    </w:p>
    <w:p w:rsidR="001F5D09" w:rsidRPr="00C064EF" w:rsidRDefault="001F5D09" w:rsidP="001F5D09">
      <w:pPr>
        <w:spacing w:before="120" w:after="120"/>
        <w:jc w:val="both"/>
      </w:pPr>
      <w:r w:rsidRPr="00C064EF">
        <w:rPr>
          <w:lang w:eastAsia="fr-FR" w:bidi="fr-FR"/>
        </w:rPr>
        <w:t>Les événements historiques qui déferlent sur toute l'Europe de l’Est avec une extraordinaire rapidité depuis l'automne 1989 affectent l'ensemble des rapports économiques et politiques mondiaux. Se d</w:t>
      </w:r>
      <w:r w:rsidRPr="00C064EF">
        <w:rPr>
          <w:lang w:eastAsia="fr-FR" w:bidi="fr-FR"/>
        </w:rPr>
        <w:t>é</w:t>
      </w:r>
      <w:r w:rsidRPr="00C064EF">
        <w:rPr>
          <w:lang w:eastAsia="fr-FR" w:bidi="fr-FR"/>
        </w:rPr>
        <w:t>roulant sur le continent européen, ils touchent au premier titre l'Eur</w:t>
      </w:r>
      <w:r w:rsidRPr="00C064EF">
        <w:rPr>
          <w:lang w:eastAsia="fr-FR" w:bidi="fr-FR"/>
        </w:rPr>
        <w:t>o</w:t>
      </w:r>
      <w:r w:rsidRPr="00C064EF">
        <w:rPr>
          <w:lang w:eastAsia="fr-FR" w:bidi="fr-FR"/>
        </w:rPr>
        <w:t xml:space="preserve">pe, dans ses deux composantes, Est et Ouest, remettant </w:t>
      </w:r>
      <w:r w:rsidRPr="00EC3D32">
        <w:rPr>
          <w:i/>
        </w:rPr>
        <w:t>de facto</w:t>
      </w:r>
      <w:r w:rsidRPr="00C064EF">
        <w:t xml:space="preserve"> </w:t>
      </w:r>
      <w:r w:rsidRPr="00C064EF">
        <w:rPr>
          <w:lang w:eastAsia="fr-FR" w:bidi="fr-FR"/>
        </w:rPr>
        <w:t>en question la division artificielle décidée à Yalta. Mais, au-delà des bo</w:t>
      </w:r>
      <w:r w:rsidRPr="00C064EF">
        <w:rPr>
          <w:lang w:eastAsia="fr-FR" w:bidi="fr-FR"/>
        </w:rPr>
        <w:t>u</w:t>
      </w:r>
      <w:r w:rsidRPr="00C064EF">
        <w:rPr>
          <w:lang w:eastAsia="fr-FR" w:bidi="fr-FR"/>
        </w:rPr>
        <w:t>leversements intra-européens et comme résultat de l’onde de choc que ceux-ci provoquent, c'est l'ensembl</w:t>
      </w:r>
      <w:r>
        <w:rPr>
          <w:lang w:eastAsia="fr-FR" w:bidi="fr-FR"/>
        </w:rPr>
        <w:t>e des rapports Est-Ouest, Nord-</w:t>
      </w:r>
      <w:r w:rsidRPr="00C064EF">
        <w:rPr>
          <w:lang w:eastAsia="fr-FR" w:bidi="fr-FR"/>
        </w:rPr>
        <w:t>Sud, Est-Sud et Ouest-Ouest qui est touché. Ces événements impl</w:t>
      </w:r>
      <w:r w:rsidRPr="00C064EF">
        <w:rPr>
          <w:lang w:eastAsia="fr-FR" w:bidi="fr-FR"/>
        </w:rPr>
        <w:t>i</w:t>
      </w:r>
      <w:r w:rsidRPr="00C064EF">
        <w:rPr>
          <w:lang w:eastAsia="fr-FR" w:bidi="fr-FR"/>
        </w:rPr>
        <w:t>quent des relations entre pays, régions, blocs de pays, mais plus fo</w:t>
      </w:r>
      <w:r w:rsidRPr="00C064EF">
        <w:rPr>
          <w:lang w:eastAsia="fr-FR" w:bidi="fr-FR"/>
        </w:rPr>
        <w:t>n</w:t>
      </w:r>
      <w:r w:rsidRPr="00C064EF">
        <w:rPr>
          <w:lang w:eastAsia="fr-FR" w:bidi="fr-FR"/>
        </w:rPr>
        <w:t>damentalement entre régimes de société et, par conséquent, entre cla</w:t>
      </w:r>
      <w:r w:rsidRPr="00C064EF">
        <w:rPr>
          <w:lang w:eastAsia="fr-FR" w:bidi="fr-FR"/>
        </w:rPr>
        <w:t>s</w:t>
      </w:r>
      <w:r w:rsidRPr="00C064EF">
        <w:rPr>
          <w:lang w:eastAsia="fr-FR" w:bidi="fr-FR"/>
        </w:rPr>
        <w:t>ses.</w:t>
      </w:r>
    </w:p>
    <w:p w:rsidR="001F5D09" w:rsidRPr="00C064EF" w:rsidRDefault="001F5D09" w:rsidP="001F5D09">
      <w:pPr>
        <w:spacing w:before="120" w:after="120"/>
        <w:jc w:val="both"/>
      </w:pPr>
      <w:r w:rsidRPr="00C064EF">
        <w:rPr>
          <w:lang w:eastAsia="fr-FR" w:bidi="fr-FR"/>
        </w:rPr>
        <w:t>Rapports de force au niveau mondial, reconstitution de l’Europe comme entité économique intégrée, questions nationales et sociales, toutes ces dimensions des processus en cours se combinent et se co</w:t>
      </w:r>
      <w:r w:rsidRPr="00C064EF">
        <w:rPr>
          <w:lang w:eastAsia="fr-FR" w:bidi="fr-FR"/>
        </w:rPr>
        <w:t>n</w:t>
      </w:r>
      <w:r w:rsidRPr="00C064EF">
        <w:rPr>
          <w:lang w:eastAsia="fr-FR" w:bidi="fr-FR"/>
        </w:rPr>
        <w:lastRenderedPageBreak/>
        <w:t>centrent dans la question de la réunification de l'Allemagne qui, de ce fait, acquiert une importance déterminante.</w:t>
      </w:r>
    </w:p>
    <w:p w:rsidR="001F5D09" w:rsidRPr="00C064EF" w:rsidRDefault="001F5D09" w:rsidP="001F5D09">
      <w:pPr>
        <w:spacing w:before="120" w:after="120"/>
        <w:jc w:val="both"/>
      </w:pPr>
      <w:r w:rsidRPr="00C064EF">
        <w:rPr>
          <w:lang w:eastAsia="fr-FR" w:bidi="fr-FR"/>
        </w:rPr>
        <w:t>Expression concentrée de développements plus larges se déroulant à l'échelle de l'Europe, la réunification de l'Allemagne sera le point de départ de la présente réflexion. L'analyse des incidences économiques et politiques de cette réunification permettra dans un deuxième temps d'évaluer l'impact des transformations en cours à l'Est sur l'Europe dans son ensemble. Il sera ensuite possible d'apprécier l'effet global de ces modifications majeures sur les rapports mondiaux et les perspect</w:t>
      </w:r>
      <w:r w:rsidRPr="00C064EF">
        <w:rPr>
          <w:lang w:eastAsia="fr-FR" w:bidi="fr-FR"/>
        </w:rPr>
        <w:t>i</w:t>
      </w:r>
      <w:r w:rsidRPr="00C064EF">
        <w:rPr>
          <w:lang w:eastAsia="fr-FR" w:bidi="fr-FR"/>
        </w:rPr>
        <w:t>ves qui en découlent quant à la stabilité du</w:t>
      </w:r>
      <w:r>
        <w:rPr>
          <w:lang w:eastAsia="fr-FR" w:bidi="fr-FR"/>
        </w:rPr>
        <w:t xml:space="preserve"> </w:t>
      </w:r>
      <w:r>
        <w:t xml:space="preserve">[162] </w:t>
      </w:r>
      <w:r w:rsidRPr="00C064EF">
        <w:rPr>
          <w:lang w:eastAsia="fr-FR" w:bidi="fr-FR"/>
        </w:rPr>
        <w:t>régime en place et sa capacité réelle d’apporter une solution aux problèmes que les tran</w:t>
      </w:r>
      <w:r w:rsidRPr="00C064EF">
        <w:rPr>
          <w:lang w:eastAsia="fr-FR" w:bidi="fr-FR"/>
        </w:rPr>
        <w:t>s</w:t>
      </w:r>
      <w:r w:rsidRPr="00C064EF">
        <w:rPr>
          <w:lang w:eastAsia="fr-FR" w:bidi="fr-FR"/>
        </w:rPr>
        <w:t>formations à l'Est cherchent à surmonter.</w:t>
      </w:r>
    </w:p>
    <w:p w:rsidR="001F5D09" w:rsidRDefault="001F5D09" w:rsidP="001F5D09">
      <w:pPr>
        <w:spacing w:before="120" w:after="120"/>
        <w:jc w:val="both"/>
        <w:rPr>
          <w:lang w:eastAsia="fr-FR" w:bidi="fr-FR"/>
        </w:rPr>
      </w:pPr>
    </w:p>
    <w:p w:rsidR="001F5D09" w:rsidRPr="00C064EF" w:rsidRDefault="001F5D09" w:rsidP="001F5D09">
      <w:pPr>
        <w:pStyle w:val="aa"/>
      </w:pPr>
      <w:r w:rsidRPr="00C064EF">
        <w:t>La réunification de l'Allemagne</w:t>
      </w:r>
    </w:p>
    <w:p w:rsidR="001F5D09" w:rsidRDefault="001F5D09" w:rsidP="001F5D09">
      <w:pPr>
        <w:spacing w:before="120" w:after="120"/>
        <w:jc w:val="both"/>
        <w:rPr>
          <w:lang w:eastAsia="fr-FR" w:bidi="fr-FR"/>
        </w:rPr>
      </w:pPr>
    </w:p>
    <w:p w:rsidR="001F5D09" w:rsidRPr="00C064EF" w:rsidRDefault="001F5D09" w:rsidP="001F5D09">
      <w:pPr>
        <w:spacing w:before="120" w:after="120"/>
        <w:jc w:val="both"/>
      </w:pPr>
      <w:r w:rsidRPr="00C064EF">
        <w:rPr>
          <w:lang w:eastAsia="fr-FR" w:bidi="fr-FR"/>
        </w:rPr>
        <w:t>La réunification de l'Allemagne implique deux entités fort inég</w:t>
      </w:r>
      <w:r w:rsidRPr="00C064EF">
        <w:rPr>
          <w:lang w:eastAsia="fr-FR" w:bidi="fr-FR"/>
        </w:rPr>
        <w:t>a</w:t>
      </w:r>
      <w:r w:rsidRPr="00C064EF">
        <w:rPr>
          <w:lang w:eastAsia="fr-FR" w:bidi="fr-FR"/>
        </w:rPr>
        <w:t>les. La superficie de la République fédérale d'Allemagne (RFA) est égale à deux fois et demie celle de la République démocratique all</w:t>
      </w:r>
      <w:r w:rsidRPr="00C064EF">
        <w:rPr>
          <w:lang w:eastAsia="fr-FR" w:bidi="fr-FR"/>
        </w:rPr>
        <w:t>e</w:t>
      </w:r>
      <w:r w:rsidRPr="00C064EF">
        <w:rPr>
          <w:lang w:eastAsia="fr-FR" w:bidi="fr-FR"/>
        </w:rPr>
        <w:t>mande (RDA) et sa population près de quatre fois plus élevée (62,6 contre 16,5 millions en 1989), mais en raison d'une productivité plus de trois fois supérieure en RFA, les poids relatifs des deux économies se situent dans un rapport qui est de l'ordre de un à 10. Selon les st</w:t>
      </w:r>
      <w:r w:rsidRPr="00C064EF">
        <w:rPr>
          <w:lang w:eastAsia="fr-FR" w:bidi="fr-FR"/>
        </w:rPr>
        <w:t>a</w:t>
      </w:r>
      <w:r w:rsidRPr="00C064EF">
        <w:rPr>
          <w:lang w:eastAsia="fr-FR" w:bidi="fr-FR"/>
        </w:rPr>
        <w:t>tistiques officielles publiées par les deux pays pour 1988, c'est-à-dire la dernière année avant le début des bouleversements, le produit n</w:t>
      </w:r>
      <w:r w:rsidRPr="00C064EF">
        <w:rPr>
          <w:lang w:eastAsia="fr-FR" w:bidi="fr-FR"/>
        </w:rPr>
        <w:t>a</w:t>
      </w:r>
      <w:r w:rsidRPr="00C064EF">
        <w:rPr>
          <w:lang w:eastAsia="fr-FR" w:bidi="fr-FR"/>
        </w:rPr>
        <w:t>tional brut (</w:t>
      </w:r>
      <w:r>
        <w:rPr>
          <w:lang w:eastAsia="fr-FR" w:bidi="fr-FR"/>
        </w:rPr>
        <w:t>PNB) de la RFA était alors de 2 </w:t>
      </w:r>
      <w:r w:rsidRPr="00C064EF">
        <w:rPr>
          <w:lang w:eastAsia="fr-FR" w:bidi="fr-FR"/>
        </w:rPr>
        <w:t>122 milliards de DM (mark-ouest) et le produit matériel net ou revenu national de la RDA était de 268 milliards de marks-est (FMI, 1990, 90). La réduction s</w:t>
      </w:r>
      <w:r w:rsidRPr="00C064EF">
        <w:rPr>
          <w:lang w:eastAsia="fr-FR" w:bidi="fr-FR"/>
        </w:rPr>
        <w:t>i</w:t>
      </w:r>
      <w:r w:rsidRPr="00C064EF">
        <w:rPr>
          <w:lang w:eastAsia="fr-FR" w:bidi="fr-FR"/>
        </w:rPr>
        <w:t>gnificative de l'activité économique en RDA, au cours des derniers mois de 1989, et la poursuite simultanée de la croissance en RFA confirment ce rapport approximatif de un à 10 entre les deux écon</w:t>
      </w:r>
      <w:r w:rsidRPr="00C064EF">
        <w:rPr>
          <w:lang w:eastAsia="fr-FR" w:bidi="fr-FR"/>
        </w:rPr>
        <w:t>o</w:t>
      </w:r>
      <w:r w:rsidRPr="00C064EF">
        <w:rPr>
          <w:lang w:eastAsia="fr-FR" w:bidi="fr-FR"/>
        </w:rPr>
        <w:t>mies.</w:t>
      </w:r>
    </w:p>
    <w:p w:rsidR="001F5D09" w:rsidRPr="00C064EF" w:rsidRDefault="001F5D09" w:rsidP="001F5D09">
      <w:pPr>
        <w:spacing w:before="120" w:after="120"/>
        <w:jc w:val="both"/>
      </w:pPr>
      <w:r w:rsidRPr="00C064EF">
        <w:rPr>
          <w:lang w:eastAsia="fr-FR" w:bidi="fr-FR"/>
        </w:rPr>
        <w:t>Sur le strict plan des comparaisons entre productions nationales, le rapport de force entre RFA et RDA est du même ordre que celui qui existe entre les États-Unis et le Canada. Une véritable évaluation de la position relative de la RDA implique toutefois que l'on tienne compte de la situation réelle de l'économie, de l’état général d'obsolescence et de désintégration qui la caractérise (Siedenberg, 1990).</w:t>
      </w:r>
    </w:p>
    <w:p w:rsidR="001F5D09" w:rsidRPr="00C064EF" w:rsidRDefault="001F5D09" w:rsidP="001F5D09">
      <w:pPr>
        <w:spacing w:before="120" w:after="120"/>
        <w:jc w:val="both"/>
      </w:pPr>
      <w:r w:rsidRPr="00C064EF">
        <w:rPr>
          <w:lang w:eastAsia="fr-FR" w:bidi="fr-FR"/>
        </w:rPr>
        <w:lastRenderedPageBreak/>
        <w:t>À cet égard, une première étude de la situation financière des e</w:t>
      </w:r>
      <w:r w:rsidRPr="00C064EF">
        <w:rPr>
          <w:lang w:eastAsia="fr-FR" w:bidi="fr-FR"/>
        </w:rPr>
        <w:t>n</w:t>
      </w:r>
      <w:r w:rsidRPr="00C064EF">
        <w:rPr>
          <w:lang w:eastAsia="fr-FR" w:bidi="fr-FR"/>
        </w:rPr>
        <w:t>treprises de la RDA, réalisée en DM selon les critères de rentabilité ouest-allemands et déposée début mai 1990 à la Volkskammer (pa</w:t>
      </w:r>
      <w:r w:rsidRPr="00C064EF">
        <w:rPr>
          <w:lang w:eastAsia="fr-FR" w:bidi="fr-FR"/>
        </w:rPr>
        <w:t>r</w:t>
      </w:r>
      <w:r w:rsidRPr="00C064EF">
        <w:rPr>
          <w:lang w:eastAsia="fr-FR" w:bidi="fr-FR"/>
        </w:rPr>
        <w:t>lement est-allemand), révélait que seulement 32</w:t>
      </w:r>
      <w:r>
        <w:rPr>
          <w:lang w:eastAsia="fr-FR" w:bidi="fr-FR"/>
        </w:rPr>
        <w:t> %</w:t>
      </w:r>
      <w:r w:rsidRPr="00C064EF">
        <w:rPr>
          <w:lang w:eastAsia="fr-FR" w:bidi="fr-FR"/>
        </w:rPr>
        <w:t xml:space="preserve"> des 2 200 entrepr</w:t>
      </w:r>
      <w:r w:rsidRPr="00C064EF">
        <w:rPr>
          <w:lang w:eastAsia="fr-FR" w:bidi="fr-FR"/>
        </w:rPr>
        <w:t>i</w:t>
      </w:r>
      <w:r w:rsidRPr="00C064EF">
        <w:rPr>
          <w:lang w:eastAsia="fr-FR" w:bidi="fr-FR"/>
        </w:rPr>
        <w:t>ses examinées étaient jugées rentables</w:t>
      </w:r>
      <w:r w:rsidRPr="00C064EF">
        <w:t> ;</w:t>
      </w:r>
      <w:r w:rsidRPr="00C064EF">
        <w:rPr>
          <w:lang w:eastAsia="fr-FR" w:bidi="fr-FR"/>
        </w:rPr>
        <w:t xml:space="preserve"> 56</w:t>
      </w:r>
      <w:r>
        <w:rPr>
          <w:lang w:eastAsia="fr-FR" w:bidi="fr-FR"/>
        </w:rPr>
        <w:t> %</w:t>
      </w:r>
      <w:r w:rsidRPr="00C064EF">
        <w:rPr>
          <w:lang w:eastAsia="fr-FR" w:bidi="fr-FR"/>
        </w:rPr>
        <w:t xml:space="preserve"> pouvaient être récha</w:t>
      </w:r>
      <w:r w:rsidRPr="00C064EF">
        <w:rPr>
          <w:lang w:eastAsia="fr-FR" w:bidi="fr-FR"/>
        </w:rPr>
        <w:t>p</w:t>
      </w:r>
      <w:r w:rsidRPr="00C064EF">
        <w:rPr>
          <w:lang w:eastAsia="fr-FR" w:bidi="fr-FR"/>
        </w:rPr>
        <w:t>pées à la condition qu'on leur accorde des subventions substa</w:t>
      </w:r>
      <w:r w:rsidRPr="00C064EF">
        <w:rPr>
          <w:lang w:eastAsia="fr-FR" w:bidi="fr-FR"/>
        </w:rPr>
        <w:t>n</w:t>
      </w:r>
      <w:r w:rsidRPr="00C064EF">
        <w:rPr>
          <w:lang w:eastAsia="fr-FR" w:bidi="fr-FR"/>
        </w:rPr>
        <w:t xml:space="preserve">tielles et qu'elles procèdent à un </w:t>
      </w:r>
      <w:r w:rsidRPr="00C064EF">
        <w:t>« </w:t>
      </w:r>
      <w:r w:rsidRPr="00C064EF">
        <w:rPr>
          <w:lang w:eastAsia="fr-FR" w:bidi="fr-FR"/>
        </w:rPr>
        <w:t>assainissement</w:t>
      </w:r>
      <w:r w:rsidRPr="00C064EF">
        <w:t> »</w:t>
      </w:r>
      <w:r w:rsidRPr="00C064EF">
        <w:rPr>
          <w:lang w:eastAsia="fr-FR" w:bidi="fr-FR"/>
        </w:rPr>
        <w:t xml:space="preserve"> défini comme lourd pour 37</w:t>
      </w:r>
      <w:r>
        <w:rPr>
          <w:lang w:eastAsia="fr-FR" w:bidi="fr-FR"/>
        </w:rPr>
        <w:t> %</w:t>
      </w:r>
      <w:r w:rsidRPr="00C064EF">
        <w:rPr>
          <w:lang w:eastAsia="fr-FR" w:bidi="fr-FR"/>
        </w:rPr>
        <w:t xml:space="preserve"> d'entre elles</w:t>
      </w:r>
      <w:r w:rsidRPr="00C064EF">
        <w:t> ;</w:t>
      </w:r>
      <w:r w:rsidRPr="00C064EF">
        <w:rPr>
          <w:lang w:eastAsia="fr-FR" w:bidi="fr-FR"/>
        </w:rPr>
        <w:t xml:space="preserve"> les autres, soit 13</w:t>
      </w:r>
      <w:r>
        <w:rPr>
          <w:lang w:eastAsia="fr-FR" w:bidi="fr-FR"/>
        </w:rPr>
        <w:t> %</w:t>
      </w:r>
      <w:r w:rsidRPr="00C064EF">
        <w:rPr>
          <w:lang w:eastAsia="fr-FR" w:bidi="fr-FR"/>
        </w:rPr>
        <w:t xml:space="preserve"> de l'ensemble, étaient jugées irrécupérables (Spiegel, 1990c, 122). La situation est généralisée. Elle touche toutes les industries, y compris celles qui ont fait la réputation de la RDA, comme l'électronique, l'électrotechnique et les constru</w:t>
      </w:r>
      <w:r w:rsidRPr="00C064EF">
        <w:rPr>
          <w:lang w:eastAsia="fr-FR" w:bidi="fr-FR"/>
        </w:rPr>
        <w:t>c</w:t>
      </w:r>
      <w:r w:rsidRPr="00C064EF">
        <w:rPr>
          <w:lang w:eastAsia="fr-FR" w:bidi="fr-FR"/>
        </w:rPr>
        <w:t>tions mécaniques.</w:t>
      </w:r>
    </w:p>
    <w:p w:rsidR="001F5D09" w:rsidRPr="00C064EF" w:rsidRDefault="001F5D09" w:rsidP="001F5D09">
      <w:pPr>
        <w:spacing w:before="120" w:after="120"/>
        <w:jc w:val="both"/>
      </w:pPr>
      <w:r w:rsidRPr="00C064EF">
        <w:rPr>
          <w:lang w:eastAsia="fr-FR" w:bidi="fr-FR"/>
        </w:rPr>
        <w:t>S'ajoutent l'endettement des entreprises, la dette extérieure du pays, l’état pitoyable du parc immobilier, des réseaux routier et</w:t>
      </w:r>
      <w:r>
        <w:rPr>
          <w:lang w:eastAsia="fr-FR" w:bidi="fr-FR"/>
        </w:rPr>
        <w:t xml:space="preserve"> </w:t>
      </w:r>
      <w:r>
        <w:t xml:space="preserve">[163] </w:t>
      </w:r>
      <w:r w:rsidRPr="00C064EF">
        <w:rPr>
          <w:lang w:eastAsia="fr-FR" w:bidi="fr-FR"/>
        </w:rPr>
        <w:t>ferr</w:t>
      </w:r>
      <w:r w:rsidRPr="00C064EF">
        <w:rPr>
          <w:lang w:eastAsia="fr-FR" w:bidi="fr-FR"/>
        </w:rPr>
        <w:t>o</w:t>
      </w:r>
      <w:r w:rsidRPr="00C064EF">
        <w:rPr>
          <w:lang w:eastAsia="fr-FR" w:bidi="fr-FR"/>
        </w:rPr>
        <w:t>viaire, des infrastructures en général et la sérieuse détérior</w:t>
      </w:r>
      <w:r w:rsidRPr="00C064EF">
        <w:rPr>
          <w:lang w:eastAsia="fr-FR" w:bidi="fr-FR"/>
        </w:rPr>
        <w:t>a</w:t>
      </w:r>
      <w:r w:rsidRPr="00C064EF">
        <w:rPr>
          <w:lang w:eastAsia="fr-FR" w:bidi="fr-FR"/>
        </w:rPr>
        <w:t>tion de l'environnement. Selon le bilan consolidé du système de crédit publié par la RDA, la dette brute des entreprises face à l’État s'élevait à 260 milliards de marks-est au 31 décembre 1989 (Spiegel, 1990b, 134), soit environ l’équivalent du Revenu national de 1988</w:t>
      </w:r>
      <w:r w:rsidRPr="00C064EF">
        <w:t> ;</w:t>
      </w:r>
      <w:r w:rsidRPr="00C064EF">
        <w:rPr>
          <w:lang w:eastAsia="fr-FR" w:bidi="fr-FR"/>
        </w:rPr>
        <w:t xml:space="preserve"> la dette nette s'élevait à 200 milliards de marks. La prise en compte de cette dette est un élément important dans l'appréciation de la rentabilité des e</w:t>
      </w:r>
      <w:r w:rsidRPr="00C064EF">
        <w:rPr>
          <w:lang w:eastAsia="fr-FR" w:bidi="fr-FR"/>
        </w:rPr>
        <w:t>n</w:t>
      </w:r>
      <w:r w:rsidRPr="00C064EF">
        <w:rPr>
          <w:lang w:eastAsia="fr-FR" w:bidi="fr-FR"/>
        </w:rPr>
        <w:t>treprises qui seront appelées à s'inscrire dans les normes de fonctio</w:t>
      </w:r>
      <w:r w:rsidRPr="00C064EF">
        <w:rPr>
          <w:lang w:eastAsia="fr-FR" w:bidi="fr-FR"/>
        </w:rPr>
        <w:t>n</w:t>
      </w:r>
      <w:r w:rsidRPr="00C064EF">
        <w:rPr>
          <w:lang w:eastAsia="fr-FR" w:bidi="fr-FR"/>
        </w:rPr>
        <w:t>nement de l'économie de marché. Elle est intimement liée à la que</w:t>
      </w:r>
      <w:r w:rsidRPr="00C064EF">
        <w:rPr>
          <w:lang w:eastAsia="fr-FR" w:bidi="fr-FR"/>
        </w:rPr>
        <w:t>s</w:t>
      </w:r>
      <w:r w:rsidRPr="00C064EF">
        <w:rPr>
          <w:lang w:eastAsia="fr-FR" w:bidi="fr-FR"/>
        </w:rPr>
        <w:t>tion du taux de conversion entre le mark de l'Est et celui de l'Ouest. Dans la mesure où le taux est de un pour un, soit celui qui a final</w:t>
      </w:r>
      <w:r w:rsidRPr="00C064EF">
        <w:rPr>
          <w:lang w:eastAsia="fr-FR" w:bidi="fr-FR"/>
        </w:rPr>
        <w:t>e</w:t>
      </w:r>
      <w:r w:rsidRPr="00C064EF">
        <w:rPr>
          <w:lang w:eastAsia="fr-FR" w:bidi="fr-FR"/>
        </w:rPr>
        <w:t>ment été retenu malgré l'opposition de la Bundesbank, la dette de 260 milliards de marks-est est intégralement maintenue lorsque traduite en DM et les intérêts annuels, de quelque 20 milliards de DM doivent être payés en conséquence. Avec un taux de deux marks-est pour un mark-ouest, comme le proposait la Bundesbank, la dette se voyait d</w:t>
      </w:r>
      <w:r w:rsidRPr="00C064EF">
        <w:rPr>
          <w:lang w:eastAsia="fr-FR" w:bidi="fr-FR"/>
        </w:rPr>
        <w:t>i</w:t>
      </w:r>
      <w:r w:rsidRPr="00C064EF">
        <w:rPr>
          <w:lang w:eastAsia="fr-FR" w:bidi="fr-FR"/>
        </w:rPr>
        <w:t>minuée de moitié lorsque traduite en DM, ce qui aurait eu pour effet d'en soulager le fardeau. Mais le prix à payer pour la pop</w:t>
      </w:r>
      <w:r w:rsidRPr="00C064EF">
        <w:rPr>
          <w:lang w:eastAsia="fr-FR" w:bidi="fr-FR"/>
        </w:rPr>
        <w:t>u</w:t>
      </w:r>
      <w:r w:rsidRPr="00C064EF">
        <w:rPr>
          <w:lang w:eastAsia="fr-FR" w:bidi="fr-FR"/>
        </w:rPr>
        <w:t>lation aurait alors été l'anéantissement de la moitié de l'épargne personnelle acc</w:t>
      </w:r>
      <w:r w:rsidRPr="00C064EF">
        <w:rPr>
          <w:lang w:eastAsia="fr-FR" w:bidi="fr-FR"/>
        </w:rPr>
        <w:t>u</w:t>
      </w:r>
      <w:r w:rsidRPr="00C064EF">
        <w:rPr>
          <w:lang w:eastAsia="fr-FR" w:bidi="fr-FR"/>
        </w:rPr>
        <w:t>mulée (environ 170 milliards de DM) et la réduction des salaires et des prestations de retraite de 50</w:t>
      </w:r>
      <w:r>
        <w:rPr>
          <w:lang w:eastAsia="fr-FR" w:bidi="fr-FR"/>
        </w:rPr>
        <w:t> %</w:t>
      </w:r>
      <w:r w:rsidRPr="00C064EF">
        <w:rPr>
          <w:lang w:eastAsia="fr-FR" w:bidi="fr-FR"/>
        </w:rPr>
        <w:t>. Le salaire mensuel moyen de</w:t>
      </w:r>
      <w:r>
        <w:rPr>
          <w:lang w:eastAsia="fr-FR" w:bidi="fr-FR"/>
        </w:rPr>
        <w:t xml:space="preserve"> 1 </w:t>
      </w:r>
      <w:r w:rsidRPr="00C064EF">
        <w:rPr>
          <w:lang w:eastAsia="fr-FR" w:bidi="fr-FR"/>
        </w:rPr>
        <w:t>300 marks en RDA, déjà moins du tiers du salaire me</w:t>
      </w:r>
      <w:r w:rsidRPr="00C064EF">
        <w:rPr>
          <w:lang w:eastAsia="fr-FR" w:bidi="fr-FR"/>
        </w:rPr>
        <w:t>n</w:t>
      </w:r>
      <w:r>
        <w:rPr>
          <w:lang w:eastAsia="fr-FR" w:bidi="fr-FR"/>
        </w:rPr>
        <w:t>suel moyen de 3 </w:t>
      </w:r>
      <w:r w:rsidRPr="00C064EF">
        <w:rPr>
          <w:lang w:eastAsia="fr-FR" w:bidi="fr-FR"/>
        </w:rPr>
        <w:t>900 DM en RFA, aurait ainsi été réduit à 650 DM. Cette hyp</w:t>
      </w:r>
      <w:r w:rsidRPr="00C064EF">
        <w:rPr>
          <w:lang w:eastAsia="fr-FR" w:bidi="fr-FR"/>
        </w:rPr>
        <w:t>o</w:t>
      </w:r>
      <w:r w:rsidRPr="00C064EF">
        <w:rPr>
          <w:lang w:eastAsia="fr-FR" w:bidi="fr-FR"/>
        </w:rPr>
        <w:lastRenderedPageBreak/>
        <w:t>thèse a dû rapidement être écartée devant à la levée de bo</w:t>
      </w:r>
      <w:r w:rsidRPr="00C064EF">
        <w:rPr>
          <w:lang w:eastAsia="fr-FR" w:bidi="fr-FR"/>
        </w:rPr>
        <w:t>u</w:t>
      </w:r>
      <w:r w:rsidRPr="00C064EF">
        <w:rPr>
          <w:lang w:eastAsia="fr-FR" w:bidi="fr-FR"/>
        </w:rPr>
        <w:t>cliers de toute la population de la RDA.</w:t>
      </w:r>
    </w:p>
    <w:p w:rsidR="001F5D09" w:rsidRDefault="001F5D09" w:rsidP="001F5D09">
      <w:pPr>
        <w:spacing w:before="120" w:after="120"/>
        <w:jc w:val="both"/>
        <w:rPr>
          <w:lang w:eastAsia="fr-FR" w:bidi="fr-FR"/>
        </w:rPr>
      </w:pPr>
      <w:r w:rsidRPr="00C064EF">
        <w:rPr>
          <w:lang w:eastAsia="fr-FR" w:bidi="fr-FR"/>
        </w:rPr>
        <w:t>Pour ce qui est de la dette extérieure, en termes bruts, elle s'élevait à quelque 20 milliards de $</w:t>
      </w:r>
      <w:r>
        <w:rPr>
          <w:lang w:eastAsia="fr-FR" w:bidi="fr-FR"/>
        </w:rPr>
        <w:t> </w:t>
      </w:r>
      <w:r w:rsidRPr="00C064EF">
        <w:rPr>
          <w:lang w:eastAsia="fr-FR" w:bidi="fr-FR"/>
        </w:rPr>
        <w:t>US à la fin de 1989, y compris la dette de 2 milliards de dollars auprès de la RFA. En termes nets, elle était de 11 milliards de dollars (OCDE, 1990, 20), soit quelque 8</w:t>
      </w:r>
      <w:r>
        <w:rPr>
          <w:lang w:eastAsia="fr-FR" w:bidi="fr-FR"/>
        </w:rPr>
        <w:t> %</w:t>
      </w:r>
      <w:r w:rsidRPr="00C064EF">
        <w:rPr>
          <w:lang w:eastAsia="fr-FR" w:bidi="fr-FR"/>
        </w:rPr>
        <w:t xml:space="preserve"> du Rev</w:t>
      </w:r>
      <w:r w:rsidRPr="00C064EF">
        <w:rPr>
          <w:lang w:eastAsia="fr-FR" w:bidi="fr-FR"/>
        </w:rPr>
        <w:t>e</w:t>
      </w:r>
      <w:r w:rsidRPr="00C064EF">
        <w:rPr>
          <w:lang w:eastAsia="fr-FR" w:bidi="fr-FR"/>
        </w:rPr>
        <w:t>nu national de 1989, la RDA détenant un niveau élevé de dépôts en devises convertibles dans les banques reliées à la Banque des règl</w:t>
      </w:r>
      <w:r w:rsidRPr="00C064EF">
        <w:rPr>
          <w:lang w:eastAsia="fr-FR" w:bidi="fr-FR"/>
        </w:rPr>
        <w:t>e</w:t>
      </w:r>
      <w:r w:rsidRPr="00C064EF">
        <w:rPr>
          <w:lang w:eastAsia="fr-FR" w:bidi="fr-FR"/>
        </w:rPr>
        <w:t>ments internationaux. Cet endettement extérieur, si modéré soit-il lorsqu'on le compare à celui de la plupart des pays de l'Est, constitue néanmoins un fardeau dont il faut tenir compte dans l'évaluation gén</w:t>
      </w:r>
      <w:r w:rsidRPr="00C064EF">
        <w:rPr>
          <w:lang w:eastAsia="fr-FR" w:bidi="fr-FR"/>
        </w:rPr>
        <w:t>é</w:t>
      </w:r>
      <w:r w:rsidRPr="00C064EF">
        <w:rPr>
          <w:lang w:eastAsia="fr-FR" w:bidi="fr-FR"/>
        </w:rPr>
        <w:t>rale de la situation de la RDA.</w:t>
      </w:r>
    </w:p>
    <w:p w:rsidR="001F5D09" w:rsidRPr="00C064EF" w:rsidRDefault="001F5D09" w:rsidP="001F5D09">
      <w:pPr>
        <w:spacing w:before="120" w:after="120"/>
        <w:jc w:val="both"/>
      </w:pPr>
    </w:p>
    <w:p w:rsidR="001F5D09" w:rsidRPr="00CC274B" w:rsidRDefault="001F5D09" w:rsidP="001F5D09">
      <w:pPr>
        <w:pStyle w:val="b"/>
      </w:pPr>
      <w:r w:rsidRPr="00CC274B">
        <w:rPr>
          <w:lang w:eastAsia="fr-FR" w:bidi="fr-FR"/>
        </w:rPr>
        <w:t>Fusion ou acquisition</w:t>
      </w:r>
      <w:r w:rsidRPr="00CC274B">
        <w:t> ?</w:t>
      </w:r>
    </w:p>
    <w:p w:rsidR="001F5D09" w:rsidRPr="00C064EF" w:rsidRDefault="001F5D09" w:rsidP="001F5D09">
      <w:pPr>
        <w:spacing w:before="120" w:after="120"/>
        <w:jc w:val="both"/>
      </w:pPr>
    </w:p>
    <w:p w:rsidR="001F5D09" w:rsidRPr="00C064EF" w:rsidRDefault="001F5D09" w:rsidP="001F5D09">
      <w:pPr>
        <w:spacing w:before="120" w:after="120"/>
        <w:jc w:val="both"/>
      </w:pPr>
      <w:r w:rsidRPr="00C064EF">
        <w:rPr>
          <w:lang w:eastAsia="fr-FR" w:bidi="fr-FR"/>
        </w:rPr>
        <w:t>Entre deux partenaires aussi inégaux que la RFA et la RDA, on pouvait s'attendre à ce que les conditions de la réunification soient dictées</w:t>
      </w:r>
      <w:r>
        <w:rPr>
          <w:lang w:eastAsia="fr-FR" w:bidi="fr-FR"/>
        </w:rPr>
        <w:t xml:space="preserve"> </w:t>
      </w:r>
      <w:r>
        <w:t xml:space="preserve">[164] </w:t>
      </w:r>
      <w:r w:rsidRPr="00C064EF">
        <w:rPr>
          <w:lang w:eastAsia="fr-FR" w:bidi="fr-FR"/>
        </w:rPr>
        <w:t>par le plus fort. À la lumière de ces conditions, il convient dava</w:t>
      </w:r>
      <w:r w:rsidRPr="00C064EF">
        <w:rPr>
          <w:lang w:eastAsia="fr-FR" w:bidi="fr-FR"/>
        </w:rPr>
        <w:t>n</w:t>
      </w:r>
      <w:r w:rsidRPr="00C064EF">
        <w:rPr>
          <w:lang w:eastAsia="fr-FR" w:bidi="fr-FR"/>
        </w:rPr>
        <w:t>tage de parler d'acquisition ou d’absorption du plus faible par le plus fort que de fusion des deux partenaires.</w:t>
      </w:r>
    </w:p>
    <w:p w:rsidR="001F5D09" w:rsidRPr="00C064EF" w:rsidRDefault="001F5D09" w:rsidP="001F5D09">
      <w:pPr>
        <w:spacing w:before="120" w:after="120"/>
        <w:jc w:val="both"/>
      </w:pPr>
      <w:r w:rsidRPr="00C064EF">
        <w:rPr>
          <w:lang w:eastAsia="fr-FR" w:bidi="fr-FR"/>
        </w:rPr>
        <w:t>Selon la Loi fondamentale de la RFA adoptée en 1949, deux mod</w:t>
      </w:r>
      <w:r w:rsidRPr="00C064EF">
        <w:rPr>
          <w:lang w:eastAsia="fr-FR" w:bidi="fr-FR"/>
        </w:rPr>
        <w:t>a</w:t>
      </w:r>
      <w:r w:rsidRPr="00C064EF">
        <w:rPr>
          <w:lang w:eastAsia="fr-FR" w:bidi="fr-FR"/>
        </w:rPr>
        <w:t>lités prévoient le rattachement à la RFA d’autres parties de l'Allem</w:t>
      </w:r>
      <w:r w:rsidRPr="00C064EF">
        <w:rPr>
          <w:lang w:eastAsia="fr-FR" w:bidi="fr-FR"/>
        </w:rPr>
        <w:t>a</w:t>
      </w:r>
      <w:r w:rsidRPr="00C064EF">
        <w:rPr>
          <w:lang w:eastAsia="fr-FR" w:bidi="fr-FR"/>
        </w:rPr>
        <w:t>gne. L'article 23 prévoit un rattachement pur et simple avec l'exte</w:t>
      </w:r>
      <w:r w:rsidRPr="00C064EF">
        <w:rPr>
          <w:lang w:eastAsia="fr-FR" w:bidi="fr-FR"/>
        </w:rPr>
        <w:t>n</w:t>
      </w:r>
      <w:r w:rsidRPr="00C064EF">
        <w:rPr>
          <w:lang w:eastAsia="fr-FR" w:bidi="fr-FR"/>
        </w:rPr>
        <w:t>sion du régime et des lois de la RFA à ces parties. L'article 146 pr</w:t>
      </w:r>
      <w:r w:rsidRPr="00C064EF">
        <w:rPr>
          <w:lang w:eastAsia="fr-FR" w:bidi="fr-FR"/>
        </w:rPr>
        <w:t>é</w:t>
      </w:r>
      <w:r w:rsidRPr="00C064EF">
        <w:rPr>
          <w:lang w:eastAsia="fr-FR" w:bidi="fr-FR"/>
        </w:rPr>
        <w:t>voit que la Loi fondamentale sera périmée dès le moment où une constitution librement décidée par le peuple allemand entrera en v</w:t>
      </w:r>
      <w:r w:rsidRPr="00C064EF">
        <w:rPr>
          <w:lang w:eastAsia="fr-FR" w:bidi="fr-FR"/>
        </w:rPr>
        <w:t>i</w:t>
      </w:r>
      <w:r w:rsidRPr="00C064EF">
        <w:rPr>
          <w:lang w:eastAsia="fr-FR" w:bidi="fr-FR"/>
        </w:rPr>
        <w:t>gueur. De toute évidence, la différence est de taille.</w:t>
      </w:r>
    </w:p>
    <w:p w:rsidR="001F5D09" w:rsidRPr="00C064EF" w:rsidRDefault="001F5D09" w:rsidP="001F5D09">
      <w:pPr>
        <w:spacing w:before="120" w:after="120"/>
        <w:jc w:val="both"/>
      </w:pPr>
      <w:r w:rsidRPr="00C064EF">
        <w:rPr>
          <w:lang w:eastAsia="fr-FR" w:bidi="fr-FR"/>
        </w:rPr>
        <w:t>Le traité d'union monétaire, économique et sociale entre la RFA et la RDA signé à Bonn le 18 mai 1990 stipule que les deux parties ont le désir de réaliser l'unité de l'Allemagne et qu</w:t>
      </w:r>
      <w:r>
        <w:rPr>
          <w:lang w:eastAsia="fr-FR" w:bidi="fr-FR"/>
        </w:rPr>
        <w:t>’e</w:t>
      </w:r>
      <w:r w:rsidRPr="00C064EF">
        <w:rPr>
          <w:lang w:eastAsia="fr-FR" w:bidi="fr-FR"/>
        </w:rPr>
        <w:t>lles entendent y pr</w:t>
      </w:r>
      <w:r w:rsidRPr="00C064EF">
        <w:rPr>
          <w:lang w:eastAsia="fr-FR" w:bidi="fr-FR"/>
        </w:rPr>
        <w:t>o</w:t>
      </w:r>
      <w:r w:rsidRPr="00C064EF">
        <w:rPr>
          <w:lang w:eastAsia="fr-FR" w:bidi="fr-FR"/>
        </w:rPr>
        <w:t xml:space="preserve">céder </w:t>
      </w:r>
      <w:r w:rsidRPr="00340B0E">
        <w:rPr>
          <w:i/>
        </w:rPr>
        <w:t>par le biais de l'article 23</w:t>
      </w:r>
      <w:r w:rsidRPr="00C064EF">
        <w:rPr>
          <w:lang w:eastAsia="fr-FR" w:bidi="fr-FR"/>
        </w:rPr>
        <w:t xml:space="preserve"> de la Loi fondamentale de la RFA. En conséquence, </w:t>
      </w:r>
      <w:r w:rsidRPr="00C064EF">
        <w:t>« </w:t>
      </w:r>
      <w:r w:rsidRPr="00C064EF">
        <w:rPr>
          <w:lang w:eastAsia="fr-FR" w:bidi="fr-FR"/>
        </w:rPr>
        <w:t>la base de l'union économique est l'économie sociale de marché [...] caractérisée en particulier par la propriété privée, la concurrence, la libre formation des prix et une totale liberté de circul</w:t>
      </w:r>
      <w:r w:rsidRPr="00C064EF">
        <w:rPr>
          <w:lang w:eastAsia="fr-FR" w:bidi="fr-FR"/>
        </w:rPr>
        <w:t>a</w:t>
      </w:r>
      <w:r w:rsidRPr="00C064EF">
        <w:rPr>
          <w:lang w:eastAsia="fr-FR" w:bidi="fr-FR"/>
        </w:rPr>
        <w:t>tion du travail, du capital, des biens et services</w:t>
      </w:r>
      <w:r w:rsidRPr="00C064EF">
        <w:t> »</w:t>
      </w:r>
      <w:r w:rsidRPr="00C064EF">
        <w:rPr>
          <w:lang w:eastAsia="fr-FR" w:bidi="fr-FR"/>
        </w:rPr>
        <w:t xml:space="preserve"> (article 1). Dans ce cadre, </w:t>
      </w:r>
      <w:r w:rsidRPr="00C064EF">
        <w:t>« </w:t>
      </w:r>
      <w:r w:rsidRPr="00C064EF">
        <w:rPr>
          <w:lang w:eastAsia="fr-FR" w:bidi="fr-FR"/>
        </w:rPr>
        <w:t>les dispositions de la constitution de la RDA qui vont à l'e</w:t>
      </w:r>
      <w:r w:rsidRPr="00C064EF">
        <w:rPr>
          <w:lang w:eastAsia="fr-FR" w:bidi="fr-FR"/>
        </w:rPr>
        <w:t>n</w:t>
      </w:r>
      <w:r w:rsidRPr="00C064EF">
        <w:rPr>
          <w:lang w:eastAsia="fr-FR" w:bidi="fr-FR"/>
        </w:rPr>
        <w:lastRenderedPageBreak/>
        <w:t>contre de l'union et qui constituaient le fondement de la société et de l'État socialistes ne seront plus appliquées</w:t>
      </w:r>
      <w:r w:rsidRPr="00C064EF">
        <w:t> »</w:t>
      </w:r>
      <w:r w:rsidRPr="00C064EF">
        <w:rPr>
          <w:lang w:eastAsia="fr-FR" w:bidi="fr-FR"/>
        </w:rPr>
        <w:t xml:space="preserve"> (article 2). La RDA créera </w:t>
      </w:r>
      <w:r w:rsidRPr="00C064EF">
        <w:t>« </w:t>
      </w:r>
      <w:r w:rsidRPr="00C064EF">
        <w:rPr>
          <w:lang w:eastAsia="fr-FR" w:bidi="fr-FR"/>
        </w:rPr>
        <w:t>les conditions d'un développement des forces du marché et de l'in</w:t>
      </w:r>
      <w:r w:rsidRPr="00C064EF">
        <w:rPr>
          <w:lang w:eastAsia="fr-FR" w:bidi="fr-FR"/>
        </w:rPr>
        <w:t>i</w:t>
      </w:r>
      <w:r w:rsidRPr="00C064EF">
        <w:rPr>
          <w:lang w:eastAsia="fr-FR" w:bidi="fr-FR"/>
        </w:rPr>
        <w:t>tiative privée</w:t>
      </w:r>
      <w:r w:rsidRPr="00C064EF">
        <w:t> »</w:t>
      </w:r>
      <w:r w:rsidRPr="00C064EF">
        <w:rPr>
          <w:lang w:eastAsia="fr-FR" w:bidi="fr-FR"/>
        </w:rPr>
        <w:t xml:space="preserve"> (article 11). Elle s'engage à privatiser le plus vite po</w:t>
      </w:r>
      <w:r w:rsidRPr="00C064EF">
        <w:rPr>
          <w:lang w:eastAsia="fr-FR" w:bidi="fr-FR"/>
        </w:rPr>
        <w:t>s</w:t>
      </w:r>
      <w:r w:rsidRPr="00C064EF">
        <w:rPr>
          <w:lang w:eastAsia="fr-FR" w:bidi="fr-FR"/>
        </w:rPr>
        <w:t>sible les entreprises appartenant directement ou indirectement à l'État, à supprimer les subventions aux produits industriels, agricoles et al</w:t>
      </w:r>
      <w:r w:rsidRPr="00C064EF">
        <w:rPr>
          <w:lang w:eastAsia="fr-FR" w:bidi="fr-FR"/>
        </w:rPr>
        <w:t>i</w:t>
      </w:r>
      <w:r w:rsidRPr="00C064EF">
        <w:rPr>
          <w:lang w:eastAsia="fr-FR" w:bidi="fr-FR"/>
        </w:rPr>
        <w:t>mentaires, aux transports, à la distribution d'énergie et au logement (articles 11 et 26).</w:t>
      </w:r>
    </w:p>
    <w:p w:rsidR="001F5D09" w:rsidRPr="00C064EF" w:rsidRDefault="001F5D09" w:rsidP="001F5D09">
      <w:pPr>
        <w:spacing w:before="120" w:after="120"/>
        <w:jc w:val="both"/>
      </w:pPr>
      <w:r w:rsidRPr="00C064EF">
        <w:rPr>
          <w:lang w:eastAsia="fr-FR" w:bidi="fr-FR"/>
        </w:rPr>
        <w:t>Dans le cadre de l'union monétaire entrée en vigueur le 1</w:t>
      </w:r>
      <w:r w:rsidRPr="00C064EF">
        <w:rPr>
          <w:vertAlign w:val="superscript"/>
          <w:lang w:eastAsia="fr-FR" w:bidi="fr-FR"/>
        </w:rPr>
        <w:t xml:space="preserve">er </w:t>
      </w:r>
      <w:r w:rsidRPr="00C064EF">
        <w:rPr>
          <w:lang w:eastAsia="fr-FR" w:bidi="fr-FR"/>
        </w:rPr>
        <w:t xml:space="preserve">juillet 1990, la Bundesbank </w:t>
      </w:r>
      <w:r w:rsidRPr="00C064EF">
        <w:t>« </w:t>
      </w:r>
      <w:r w:rsidRPr="00C064EF">
        <w:rPr>
          <w:lang w:eastAsia="fr-FR" w:bidi="fr-FR"/>
        </w:rPr>
        <w:t>règle [...] indépendamment des avis des go</w:t>
      </w:r>
      <w:r w:rsidRPr="00C064EF">
        <w:rPr>
          <w:lang w:eastAsia="fr-FR" w:bidi="fr-FR"/>
        </w:rPr>
        <w:t>u</w:t>
      </w:r>
      <w:r w:rsidRPr="00C064EF">
        <w:rPr>
          <w:lang w:eastAsia="fr-FR" w:bidi="fr-FR"/>
        </w:rPr>
        <w:t>vernements de RFA et de RDA, la masse monétaire et le volume du crédit dans toute la zone monétaire</w:t>
      </w:r>
      <w:r w:rsidRPr="00C064EF">
        <w:t> »</w:t>
      </w:r>
      <w:r w:rsidRPr="00C064EF">
        <w:rPr>
          <w:lang w:eastAsia="fr-FR" w:bidi="fr-FR"/>
        </w:rPr>
        <w:t xml:space="preserve"> (article 10). En raison de la loi, ouest-allemande, qui régit la Bundesbank, une participation d'All</w:t>
      </w:r>
      <w:r w:rsidRPr="00C064EF">
        <w:rPr>
          <w:lang w:eastAsia="fr-FR" w:bidi="fr-FR"/>
        </w:rPr>
        <w:t>e</w:t>
      </w:r>
      <w:r w:rsidRPr="00C064EF">
        <w:rPr>
          <w:lang w:eastAsia="fr-FR" w:bidi="fr-FR"/>
        </w:rPr>
        <w:t>mands de l'Est à la direction de la banque est au départ exclue.</w:t>
      </w:r>
    </w:p>
    <w:p w:rsidR="001F5D09" w:rsidRPr="00C064EF" w:rsidRDefault="001F5D09" w:rsidP="001F5D09">
      <w:pPr>
        <w:spacing w:before="120" w:after="120"/>
        <w:jc w:val="both"/>
      </w:pPr>
      <w:r w:rsidRPr="00C064EF">
        <w:rPr>
          <w:lang w:eastAsia="fr-FR" w:bidi="fr-FR"/>
        </w:rPr>
        <w:t>Il s'agit bel et bien d'une absorption de la RDA par la RFA. L'op</w:t>
      </w:r>
      <w:r w:rsidRPr="00C064EF">
        <w:rPr>
          <w:lang w:eastAsia="fr-FR" w:bidi="fr-FR"/>
        </w:rPr>
        <w:t>é</w:t>
      </w:r>
      <w:r w:rsidRPr="00C064EF">
        <w:rPr>
          <w:lang w:eastAsia="fr-FR" w:bidi="fr-FR"/>
        </w:rPr>
        <w:t>ration comporte des avantages et des coûts. Voyons d'abord quels en sont les coûts.</w:t>
      </w:r>
    </w:p>
    <w:p w:rsidR="001F5D09" w:rsidRDefault="001F5D09" w:rsidP="001F5D09">
      <w:pPr>
        <w:spacing w:before="120" w:after="120"/>
        <w:jc w:val="both"/>
      </w:pPr>
      <w:r>
        <w:t>[165]</w:t>
      </w:r>
    </w:p>
    <w:p w:rsidR="001F5D09" w:rsidRPr="00C064EF" w:rsidRDefault="001F5D09" w:rsidP="001F5D09">
      <w:pPr>
        <w:spacing w:before="120" w:after="120"/>
        <w:jc w:val="both"/>
      </w:pPr>
    </w:p>
    <w:p w:rsidR="001F5D09" w:rsidRPr="00CC274B" w:rsidRDefault="001F5D09" w:rsidP="001F5D09">
      <w:pPr>
        <w:pStyle w:val="b"/>
      </w:pPr>
      <w:r w:rsidRPr="00CC274B">
        <w:rPr>
          <w:lang w:eastAsia="fr-FR" w:bidi="fr-FR"/>
        </w:rPr>
        <w:t>Les coûts de la reconstruction de la RDA</w:t>
      </w:r>
    </w:p>
    <w:p w:rsidR="001F5D09" w:rsidRDefault="001F5D09" w:rsidP="001F5D09">
      <w:pPr>
        <w:spacing w:before="120" w:after="120"/>
        <w:jc w:val="both"/>
        <w:rPr>
          <w:lang w:eastAsia="fr-FR" w:bidi="fr-FR"/>
        </w:rPr>
      </w:pPr>
    </w:p>
    <w:p w:rsidR="001F5D09" w:rsidRPr="00C064EF" w:rsidRDefault="001F5D09" w:rsidP="001F5D09">
      <w:pPr>
        <w:spacing w:before="120" w:after="120"/>
        <w:jc w:val="both"/>
      </w:pPr>
      <w:r w:rsidRPr="00C064EF">
        <w:rPr>
          <w:lang w:eastAsia="fr-FR" w:bidi="fr-FR"/>
        </w:rPr>
        <w:t xml:space="preserve">Diverses évaluations ont été faites des coûts de la mise au niveau de la RFA et de l'économie de la RDA. L'une d'elles, publiée dans la revue ouest-allemande </w:t>
      </w:r>
      <w:r w:rsidRPr="00340B0E">
        <w:rPr>
          <w:i/>
        </w:rPr>
        <w:t>Wirtschaftswoche</w:t>
      </w:r>
      <w:r w:rsidRPr="00C064EF">
        <w:rPr>
          <w:lang w:eastAsia="fr-FR" w:bidi="fr-FR"/>
        </w:rPr>
        <w:t xml:space="preserve"> (Simpel, Krumrey, Canibol, 1990), en établit le coût total à un peu plus de</w:t>
      </w:r>
      <w:r>
        <w:rPr>
          <w:lang w:eastAsia="fr-FR" w:bidi="fr-FR"/>
        </w:rPr>
        <w:t xml:space="preserve"> 1 </w:t>
      </w:r>
      <w:r w:rsidRPr="00C064EF">
        <w:rPr>
          <w:lang w:eastAsia="fr-FR" w:bidi="fr-FR"/>
        </w:rPr>
        <w:t>200 milliards de DM, soit 860 milliards de $ US pour la reconstruction du secteur productif et 350 milliards pour les services publics.</w:t>
      </w:r>
    </w:p>
    <w:p w:rsidR="001F5D09" w:rsidRPr="00C064EF" w:rsidRDefault="001F5D09" w:rsidP="001F5D09">
      <w:pPr>
        <w:spacing w:before="120" w:after="120"/>
        <w:jc w:val="both"/>
      </w:pPr>
      <w:r w:rsidRPr="00C064EF">
        <w:rPr>
          <w:lang w:eastAsia="fr-FR" w:bidi="fr-FR"/>
        </w:rPr>
        <w:t xml:space="preserve">Pour le secteur productif, les auteurs évaluent qu'il faudra créer 2 millions d'emplois nouveaux dotés d'un équipement correspondant aux normes ouest-allemandes, au coût de 435 milliards de DM et qu'il faudra moderniser 5 millions de postes de travail existants, au coût de 425 milliards de DM. </w:t>
      </w:r>
      <w:r>
        <w:rPr>
          <w:lang w:eastAsia="fr-FR" w:bidi="fr-FR"/>
        </w:rPr>
        <w:t>À</w:t>
      </w:r>
      <w:r w:rsidRPr="00C064EF">
        <w:rPr>
          <w:lang w:eastAsia="fr-FR" w:bidi="fr-FR"/>
        </w:rPr>
        <w:t xml:space="preserve"> réaliser par hypothèse sur 10 ans à raison de 86 milliards de DM par an, de tels investissements sont certes élevés, mais ne sont pas irréalistes. Pour fins de comparaison, mentionnons que les investissements productifs réalisés en </w:t>
      </w:r>
      <w:r>
        <w:rPr>
          <w:lang w:eastAsia="fr-FR" w:bidi="fr-FR"/>
        </w:rPr>
        <w:t>RFA de 1973 à 1989 ont été de 5 </w:t>
      </w:r>
      <w:r w:rsidRPr="00C064EF">
        <w:rPr>
          <w:lang w:eastAsia="fr-FR" w:bidi="fr-FR"/>
        </w:rPr>
        <w:t xml:space="preserve">400 milliards de DM (BHF Bank, 1990), soit une moyenne </w:t>
      </w:r>
      <w:r w:rsidRPr="00C064EF">
        <w:rPr>
          <w:lang w:eastAsia="fr-FR" w:bidi="fr-FR"/>
        </w:rPr>
        <w:lastRenderedPageBreak/>
        <w:t>annuelle de 320 milliards de DM. Des investissements annuels de 86 milliards de DM représentent environ 4</w:t>
      </w:r>
      <w:r>
        <w:rPr>
          <w:lang w:eastAsia="fr-FR" w:bidi="fr-FR"/>
        </w:rPr>
        <w:t> %</w:t>
      </w:r>
      <w:r w:rsidRPr="00C064EF">
        <w:rPr>
          <w:lang w:eastAsia="fr-FR" w:bidi="fr-FR"/>
        </w:rPr>
        <w:t xml:space="preserve"> du PNB de la RFA de 1989, 3,5</w:t>
      </w:r>
      <w:r>
        <w:rPr>
          <w:lang w:eastAsia="fr-FR" w:bidi="fr-FR"/>
        </w:rPr>
        <w:t> %</w:t>
      </w:r>
      <w:r w:rsidRPr="00C064EF">
        <w:rPr>
          <w:lang w:eastAsia="fr-FR" w:bidi="fr-FR"/>
        </w:rPr>
        <w:t xml:space="preserve"> des PNB combinés de la RFA et de la RDA. On peut pr</w:t>
      </w:r>
      <w:r w:rsidRPr="00C064EF">
        <w:rPr>
          <w:lang w:eastAsia="fr-FR" w:bidi="fr-FR"/>
        </w:rPr>
        <w:t>é</w:t>
      </w:r>
      <w:r w:rsidRPr="00C064EF">
        <w:rPr>
          <w:lang w:eastAsia="fr-FR" w:bidi="fr-FR"/>
        </w:rPr>
        <w:t>voir qu'une part significative de ces investissements sera réalisée à partir des capitaux privés, surtout ouest-allemands. Mais il faut tenir compte également des contributions à venir de la RDA, d'abord à pa</w:t>
      </w:r>
      <w:r w:rsidRPr="00C064EF">
        <w:rPr>
          <w:lang w:eastAsia="fr-FR" w:bidi="fr-FR"/>
        </w:rPr>
        <w:t>r</w:t>
      </w:r>
      <w:r w:rsidRPr="00C064EF">
        <w:rPr>
          <w:lang w:eastAsia="fr-FR" w:bidi="fr-FR"/>
        </w:rPr>
        <w:t>tir de l'épargne personnelle accumulée qu'on tentera de canaliser vers l'investissement, notamment par la privatisation des entreprises d’État et la vente d'actions dans le public, puis de l'épargne future engendrée par l'activité économique.</w:t>
      </w:r>
    </w:p>
    <w:p w:rsidR="001F5D09" w:rsidRPr="00C064EF" w:rsidRDefault="001F5D09" w:rsidP="001F5D09">
      <w:pPr>
        <w:spacing w:before="120" w:after="120"/>
        <w:jc w:val="both"/>
      </w:pPr>
      <w:r w:rsidRPr="00C064EF">
        <w:rPr>
          <w:lang w:eastAsia="fr-FR" w:bidi="fr-FR"/>
        </w:rPr>
        <w:t>Dans les services publics, 350 milliards de DM seront nécessaires pour rénover les réseaux routier et ferroviaire, construire un réseau téléphonique adéquat (7</w:t>
      </w:r>
      <w:r>
        <w:rPr>
          <w:lang w:eastAsia="fr-FR" w:bidi="fr-FR"/>
        </w:rPr>
        <w:t> %</w:t>
      </w:r>
      <w:r w:rsidRPr="00C064EF">
        <w:rPr>
          <w:lang w:eastAsia="fr-FR" w:bidi="fr-FR"/>
        </w:rPr>
        <w:t xml:space="preserve"> des ménages disposent présentement d'un téléphone), rénover les immeubles d'habitation (30</w:t>
      </w:r>
      <w:r>
        <w:rPr>
          <w:lang w:eastAsia="fr-FR" w:bidi="fr-FR"/>
        </w:rPr>
        <w:t> %</w:t>
      </w:r>
      <w:r w:rsidRPr="00C064EF">
        <w:rPr>
          <w:lang w:eastAsia="fr-FR" w:bidi="fr-FR"/>
        </w:rPr>
        <w:t xml:space="preserve"> des logements ne sont pas raccordés à un réseau d'évacuation des eaux usées) dont l'état de délabrement représente un danger public, reconstruire le r</w:t>
      </w:r>
      <w:r w:rsidRPr="00C064EF">
        <w:rPr>
          <w:lang w:eastAsia="fr-FR" w:bidi="fr-FR"/>
        </w:rPr>
        <w:t>é</w:t>
      </w:r>
      <w:r w:rsidRPr="00C064EF">
        <w:rPr>
          <w:lang w:eastAsia="fr-FR" w:bidi="fr-FR"/>
        </w:rPr>
        <w:t>seau d'alimentation en eau (30</w:t>
      </w:r>
      <w:r>
        <w:rPr>
          <w:lang w:eastAsia="fr-FR" w:bidi="fr-FR"/>
        </w:rPr>
        <w:t> %</w:t>
      </w:r>
      <w:r w:rsidRPr="00C064EF">
        <w:rPr>
          <w:lang w:eastAsia="fr-FR" w:bidi="fr-FR"/>
        </w:rPr>
        <w:t xml:space="preserve"> de l’eau potable transportée est pe</w:t>
      </w:r>
      <w:r w:rsidRPr="00C064EF">
        <w:rPr>
          <w:lang w:eastAsia="fr-FR" w:bidi="fr-FR"/>
        </w:rPr>
        <w:t>r</w:t>
      </w:r>
      <w:r w:rsidRPr="00C064EF">
        <w:rPr>
          <w:lang w:eastAsia="fr-FR" w:bidi="fr-FR"/>
        </w:rPr>
        <w:t>due en route), et assainir l'air par la réduction des émanations de so</w:t>
      </w:r>
      <w:r w:rsidRPr="00C064EF">
        <w:rPr>
          <w:lang w:eastAsia="fr-FR" w:bidi="fr-FR"/>
        </w:rPr>
        <w:t>u</w:t>
      </w:r>
      <w:r w:rsidRPr="00C064EF">
        <w:rPr>
          <w:lang w:eastAsia="fr-FR" w:bidi="fr-FR"/>
        </w:rPr>
        <w:t>fre dans les centrales thermiques fonctionnant au lignite. Ces de</w:t>
      </w:r>
      <w:r w:rsidRPr="00C064EF">
        <w:rPr>
          <w:lang w:eastAsia="fr-FR" w:bidi="fr-FR"/>
        </w:rPr>
        <w:t>r</w:t>
      </w:r>
      <w:r w:rsidRPr="00C064EF">
        <w:rPr>
          <w:lang w:eastAsia="fr-FR" w:bidi="fr-FR"/>
        </w:rPr>
        <w:t>nières ne disposent présentement d'aucun dispositif de désulfuris</w:t>
      </w:r>
      <w:r w:rsidRPr="00C064EF">
        <w:rPr>
          <w:lang w:eastAsia="fr-FR" w:bidi="fr-FR"/>
        </w:rPr>
        <w:t>a</w:t>
      </w:r>
      <w:r w:rsidRPr="00C064EF">
        <w:rPr>
          <w:lang w:eastAsia="fr-FR" w:bidi="fr-FR"/>
        </w:rPr>
        <w:t>tion</w:t>
      </w:r>
      <w:r w:rsidRPr="00C064EF">
        <w:t> ;</w:t>
      </w:r>
      <w:r w:rsidRPr="00C064EF">
        <w:rPr>
          <w:lang w:eastAsia="fr-FR" w:bidi="fr-FR"/>
        </w:rPr>
        <w:t xml:space="preserve"> elles ont déjà causé des torts irréparables à l’environnement et à la santé de la population. Contrairement aux coûts de reconstruction du secteur pr</w:t>
      </w:r>
      <w:r w:rsidRPr="00C064EF">
        <w:rPr>
          <w:lang w:eastAsia="fr-FR" w:bidi="fr-FR"/>
        </w:rPr>
        <w:t>o</w:t>
      </w:r>
      <w:r w:rsidRPr="00C064EF">
        <w:rPr>
          <w:lang w:eastAsia="fr-FR" w:bidi="fr-FR"/>
        </w:rPr>
        <w:t>ductif, qui seront essentiellement assumés par le secteur privé, les 350 milliards nécessaires aux investissements</w:t>
      </w:r>
      <w:r>
        <w:rPr>
          <w:lang w:eastAsia="fr-FR" w:bidi="fr-FR"/>
        </w:rPr>
        <w:t xml:space="preserve"> </w:t>
      </w:r>
      <w:r>
        <w:t xml:space="preserve">[166] </w:t>
      </w:r>
      <w:r w:rsidRPr="00C064EF">
        <w:rPr>
          <w:lang w:eastAsia="fr-FR" w:bidi="fr-FR"/>
        </w:rPr>
        <w:t>d'infrastructure devront être assumés par l'État, c'est-à-dire esse</w:t>
      </w:r>
      <w:r w:rsidRPr="00C064EF">
        <w:rPr>
          <w:lang w:eastAsia="fr-FR" w:bidi="fr-FR"/>
        </w:rPr>
        <w:t>n</w:t>
      </w:r>
      <w:r w:rsidRPr="00C064EF">
        <w:rPr>
          <w:lang w:eastAsia="fr-FR" w:bidi="fr-FR"/>
        </w:rPr>
        <w:t>tiellement l'État ouest-allemand. L'État est-allemand pourra être app</w:t>
      </w:r>
      <w:r w:rsidRPr="00C064EF">
        <w:rPr>
          <w:lang w:eastAsia="fr-FR" w:bidi="fr-FR"/>
        </w:rPr>
        <w:t>e</w:t>
      </w:r>
      <w:r w:rsidRPr="00C064EF">
        <w:rPr>
          <w:lang w:eastAsia="fr-FR" w:bidi="fr-FR"/>
        </w:rPr>
        <w:t>lé à contribuer, en particulier à partir des revenus provenant de la ve</w:t>
      </w:r>
      <w:r w:rsidRPr="00C064EF">
        <w:rPr>
          <w:lang w:eastAsia="fr-FR" w:bidi="fr-FR"/>
        </w:rPr>
        <w:t>n</w:t>
      </w:r>
      <w:r w:rsidRPr="00C064EF">
        <w:rPr>
          <w:lang w:eastAsia="fr-FR" w:bidi="fr-FR"/>
        </w:rPr>
        <w:t>te des biens de l'État, dont le patrimoine immobilier, mais cette contribution est alé</w:t>
      </w:r>
      <w:r w:rsidRPr="00C064EF">
        <w:rPr>
          <w:lang w:eastAsia="fr-FR" w:bidi="fr-FR"/>
        </w:rPr>
        <w:t>a</w:t>
      </w:r>
      <w:r w:rsidRPr="00C064EF">
        <w:rPr>
          <w:lang w:eastAsia="fr-FR" w:bidi="fr-FR"/>
        </w:rPr>
        <w:t>toire.</w:t>
      </w:r>
    </w:p>
    <w:p w:rsidR="001F5D09" w:rsidRPr="00C064EF" w:rsidRDefault="001F5D09" w:rsidP="001F5D09">
      <w:pPr>
        <w:spacing w:before="120" w:after="120"/>
        <w:jc w:val="both"/>
      </w:pPr>
      <w:r w:rsidRPr="00C064EF">
        <w:rPr>
          <w:lang w:eastAsia="fr-FR" w:bidi="fr-FR"/>
        </w:rPr>
        <w:t>Pourquoi l'État ouest-allemand accepterait-il de payer la note</w:t>
      </w:r>
      <w:r w:rsidRPr="00C064EF">
        <w:t> ?</w:t>
      </w:r>
      <w:r w:rsidRPr="00C064EF">
        <w:rPr>
          <w:lang w:eastAsia="fr-FR" w:bidi="fr-FR"/>
        </w:rPr>
        <w:t xml:space="preserve"> Parce que ne pas le faire entraînerait des frais encore plus élevés, e</w:t>
      </w:r>
      <w:r w:rsidRPr="00C064EF">
        <w:rPr>
          <w:lang w:eastAsia="fr-FR" w:bidi="fr-FR"/>
        </w:rPr>
        <w:t>x</w:t>
      </w:r>
      <w:r w:rsidRPr="00C064EF">
        <w:rPr>
          <w:lang w:eastAsia="fr-FR" w:bidi="fr-FR"/>
        </w:rPr>
        <w:t>pliquent les auteurs</w:t>
      </w:r>
      <w:r w:rsidRPr="00C064EF">
        <w:t> :</w:t>
      </w:r>
      <w:r w:rsidRPr="00C064EF">
        <w:rPr>
          <w:lang w:eastAsia="fr-FR" w:bidi="fr-FR"/>
        </w:rPr>
        <w:t xml:space="preserve"> </w:t>
      </w:r>
      <w:r w:rsidRPr="00C064EF">
        <w:t>« </w:t>
      </w:r>
      <w:r w:rsidRPr="00C064EF">
        <w:rPr>
          <w:lang w:eastAsia="fr-FR" w:bidi="fr-FR"/>
        </w:rPr>
        <w:t>Nichts tun wird teurer</w:t>
      </w:r>
      <w:r w:rsidRPr="00C064EF">
        <w:t> »</w:t>
      </w:r>
      <w:r w:rsidRPr="00C064EF">
        <w:rPr>
          <w:lang w:eastAsia="fr-FR" w:bidi="fr-FR"/>
        </w:rPr>
        <w:t xml:space="preserve"> (Ne rien faire coûtera plus cher). En effet, ne pas aider à reconstruire la RDA entraînerait un flux accru de réfugiés à l'Ouest et des coûts sociaux considérables (éducation, santé, logement social, allocations de chômage, rentes de retraite). Dans l'hypothèse où 3,5 millions d'Est-</w:t>
      </w:r>
      <w:r>
        <w:rPr>
          <w:lang w:eastAsia="fr-FR" w:bidi="fr-FR"/>
        </w:rPr>
        <w:t>A</w:t>
      </w:r>
      <w:r w:rsidRPr="00C064EF">
        <w:rPr>
          <w:lang w:eastAsia="fr-FR" w:bidi="fr-FR"/>
        </w:rPr>
        <w:t>llemands pass</w:t>
      </w:r>
      <w:r w:rsidRPr="00C064EF">
        <w:rPr>
          <w:lang w:eastAsia="fr-FR" w:bidi="fr-FR"/>
        </w:rPr>
        <w:t>e</w:t>
      </w:r>
      <w:r w:rsidRPr="00C064EF">
        <w:rPr>
          <w:lang w:eastAsia="fr-FR" w:bidi="fr-FR"/>
        </w:rPr>
        <w:t>raient à l'Ouest sur une période de 10 ans (350</w:t>
      </w:r>
      <w:r>
        <w:rPr>
          <w:lang w:eastAsia="fr-FR" w:bidi="fr-FR"/>
        </w:rPr>
        <w:t> </w:t>
      </w:r>
      <w:r w:rsidRPr="00C064EF">
        <w:rPr>
          <w:lang w:eastAsia="fr-FR" w:bidi="fr-FR"/>
        </w:rPr>
        <w:t xml:space="preserve">000 par an, soit le </w:t>
      </w:r>
      <w:r w:rsidRPr="00C064EF">
        <w:rPr>
          <w:lang w:eastAsia="fr-FR" w:bidi="fr-FR"/>
        </w:rPr>
        <w:lastRenderedPageBreak/>
        <w:t>nombre de réfugiés de 1989), ces coûts seraient de l'ordre de 450 mi</w:t>
      </w:r>
      <w:r w:rsidRPr="00C064EF">
        <w:rPr>
          <w:lang w:eastAsia="fr-FR" w:bidi="fr-FR"/>
        </w:rPr>
        <w:t>l</w:t>
      </w:r>
      <w:r w:rsidRPr="00C064EF">
        <w:rPr>
          <w:lang w:eastAsia="fr-FR" w:bidi="fr-FR"/>
        </w:rPr>
        <w:t>liards de DM.</w:t>
      </w:r>
    </w:p>
    <w:p w:rsidR="001F5D09" w:rsidRPr="00C064EF" w:rsidRDefault="001F5D09" w:rsidP="001F5D09">
      <w:pPr>
        <w:spacing w:before="120" w:after="120"/>
        <w:jc w:val="both"/>
      </w:pPr>
      <w:r w:rsidRPr="00C064EF">
        <w:rPr>
          <w:lang w:eastAsia="fr-FR" w:bidi="fr-FR"/>
        </w:rPr>
        <w:t>Au total donc,</w:t>
      </w:r>
      <w:r>
        <w:rPr>
          <w:lang w:eastAsia="fr-FR" w:bidi="fr-FR"/>
        </w:rPr>
        <w:t xml:space="preserve"> 1 </w:t>
      </w:r>
      <w:r w:rsidRPr="00C064EF">
        <w:rPr>
          <w:lang w:eastAsia="fr-FR" w:bidi="fr-FR"/>
        </w:rPr>
        <w:t>200 milliards de DM sur 10 ans ou 120 milliards par an pour mettre la RDA au niveau de la RFA, grosso modo 5,5</w:t>
      </w:r>
      <w:r>
        <w:rPr>
          <w:lang w:eastAsia="fr-FR" w:bidi="fr-FR"/>
        </w:rPr>
        <w:t> %</w:t>
      </w:r>
      <w:r w:rsidRPr="00C064EF">
        <w:t xml:space="preserve"> </w:t>
      </w:r>
      <w:r w:rsidRPr="00C064EF">
        <w:rPr>
          <w:lang w:eastAsia="fr-FR" w:bidi="fr-FR"/>
        </w:rPr>
        <w:t>du PNB de la RFA en 1989, 5</w:t>
      </w:r>
      <w:r>
        <w:rPr>
          <w:lang w:eastAsia="fr-FR" w:bidi="fr-FR"/>
        </w:rPr>
        <w:t> %</w:t>
      </w:r>
      <w:r w:rsidRPr="00C064EF">
        <w:rPr>
          <w:lang w:eastAsia="fr-FR" w:bidi="fr-FR"/>
        </w:rPr>
        <w:t xml:space="preserve"> des PNB combinés de la RFA et de la RDA. Une note élevée, mais du domaine du vraisemblable. En mai 1990, la RFA a annoncé la création d'un </w:t>
      </w:r>
      <w:r w:rsidRPr="00C064EF">
        <w:t>« </w:t>
      </w:r>
      <w:r w:rsidRPr="00C064EF">
        <w:rPr>
          <w:lang w:eastAsia="fr-FR" w:bidi="fr-FR"/>
        </w:rPr>
        <w:t>fonds pour l'unité allema</w:t>
      </w:r>
      <w:r w:rsidRPr="00C064EF">
        <w:rPr>
          <w:lang w:eastAsia="fr-FR" w:bidi="fr-FR"/>
        </w:rPr>
        <w:t>n</w:t>
      </w:r>
      <w:r w:rsidRPr="00C064EF">
        <w:rPr>
          <w:lang w:eastAsia="fr-FR" w:bidi="fr-FR"/>
        </w:rPr>
        <w:t>de</w:t>
      </w:r>
      <w:r w:rsidRPr="00C064EF">
        <w:t> »</w:t>
      </w:r>
      <w:r w:rsidRPr="00C064EF">
        <w:rPr>
          <w:lang w:eastAsia="fr-FR" w:bidi="fr-FR"/>
        </w:rPr>
        <w:t xml:space="preserve"> de 115 milliards de DM à distribuer sur quatre ans, fonds destiné à aider la RDA à surmonter ses difficultés budgétaires. D’autres fonds devaient être annoncés pour aider notamment à la mise sur pied d'un système d'assurance-chômage. De son côté, la Kreditanstalt für Wi</w:t>
      </w:r>
      <w:r w:rsidRPr="00C064EF">
        <w:rPr>
          <w:lang w:eastAsia="fr-FR" w:bidi="fr-FR"/>
        </w:rPr>
        <w:t>e</w:t>
      </w:r>
      <w:r w:rsidRPr="00C064EF">
        <w:rPr>
          <w:lang w:eastAsia="fr-FR" w:bidi="fr-FR"/>
        </w:rPr>
        <w:t>deraufbau, banque pour la reconstruction créée après la guerre pour gérer les crédits du plan Marshall et dont le gouvern</w:t>
      </w:r>
      <w:r w:rsidRPr="00C064EF">
        <w:rPr>
          <w:lang w:eastAsia="fr-FR" w:bidi="fr-FR"/>
        </w:rPr>
        <w:t>e</w:t>
      </w:r>
      <w:r w:rsidRPr="00C064EF">
        <w:rPr>
          <w:lang w:eastAsia="fr-FR" w:bidi="fr-FR"/>
        </w:rPr>
        <w:t>ment de Bonn est actionnaire à 80</w:t>
      </w:r>
      <w:r>
        <w:rPr>
          <w:lang w:eastAsia="fr-FR" w:bidi="fr-FR"/>
        </w:rPr>
        <w:t> %</w:t>
      </w:r>
      <w:r w:rsidRPr="00C064EF">
        <w:rPr>
          <w:lang w:eastAsia="fr-FR" w:bidi="fr-FR"/>
        </w:rPr>
        <w:t>, proposait de mettre 50 milliards de DM à la disp</w:t>
      </w:r>
      <w:r w:rsidRPr="00C064EF">
        <w:rPr>
          <w:lang w:eastAsia="fr-FR" w:bidi="fr-FR"/>
        </w:rPr>
        <w:t>o</w:t>
      </w:r>
      <w:r w:rsidRPr="00C064EF">
        <w:rPr>
          <w:lang w:eastAsia="fr-FR" w:bidi="fr-FR"/>
        </w:rPr>
        <w:t>sition des entreprises est-allemandes, s'ajoutant aux 6 milliards à di</w:t>
      </w:r>
      <w:r w:rsidRPr="00C064EF">
        <w:rPr>
          <w:lang w:eastAsia="fr-FR" w:bidi="fr-FR"/>
        </w:rPr>
        <w:t>s</w:t>
      </w:r>
      <w:r w:rsidRPr="00C064EF">
        <w:rPr>
          <w:lang w:eastAsia="fr-FR" w:bidi="fr-FR"/>
        </w:rPr>
        <w:t>tribuer sur quatre ans annoncés en février.</w:t>
      </w:r>
    </w:p>
    <w:p w:rsidR="001F5D09" w:rsidRDefault="001F5D09" w:rsidP="001F5D09">
      <w:pPr>
        <w:spacing w:before="120" w:after="120"/>
        <w:jc w:val="both"/>
        <w:rPr>
          <w:lang w:eastAsia="fr-FR" w:bidi="fr-FR"/>
        </w:rPr>
      </w:pPr>
    </w:p>
    <w:p w:rsidR="001F5D09" w:rsidRPr="00CC274B" w:rsidRDefault="001F5D09" w:rsidP="001F5D09">
      <w:pPr>
        <w:pStyle w:val="b"/>
      </w:pPr>
      <w:r w:rsidRPr="00CC274B">
        <w:rPr>
          <w:lang w:eastAsia="fr-FR" w:bidi="fr-FR"/>
        </w:rPr>
        <w:t>L'inter</w:t>
      </w:r>
      <w:r>
        <w:rPr>
          <w:lang w:eastAsia="fr-FR" w:bidi="fr-FR"/>
        </w:rPr>
        <w:t>vention rapide</w:t>
      </w:r>
      <w:r>
        <w:rPr>
          <w:lang w:eastAsia="fr-FR" w:bidi="fr-FR"/>
        </w:rPr>
        <w:br/>
      </w:r>
      <w:r w:rsidRPr="00CC274B">
        <w:rPr>
          <w:lang w:eastAsia="fr-FR" w:bidi="fr-FR"/>
        </w:rPr>
        <w:t>des entreprises ouest-allemandes</w:t>
      </w:r>
    </w:p>
    <w:p w:rsidR="001F5D09" w:rsidRDefault="001F5D09" w:rsidP="001F5D09">
      <w:pPr>
        <w:spacing w:before="120" w:after="120"/>
        <w:jc w:val="both"/>
        <w:rPr>
          <w:lang w:eastAsia="fr-FR" w:bidi="fr-FR"/>
        </w:rPr>
      </w:pPr>
    </w:p>
    <w:p w:rsidR="001F5D09" w:rsidRPr="00C064EF" w:rsidRDefault="001F5D09" w:rsidP="001F5D09">
      <w:pPr>
        <w:spacing w:before="120" w:after="120"/>
        <w:jc w:val="both"/>
      </w:pPr>
      <w:r w:rsidRPr="00C064EF">
        <w:rPr>
          <w:lang w:eastAsia="fr-FR" w:bidi="fr-FR"/>
        </w:rPr>
        <w:t>Si ces gestes posés dans un premier t</w:t>
      </w:r>
      <w:r>
        <w:rPr>
          <w:lang w:eastAsia="fr-FR" w:bidi="fr-FR"/>
        </w:rPr>
        <w:t>emps par le gouvernement ouest-</w:t>
      </w:r>
      <w:r w:rsidRPr="00C064EF">
        <w:rPr>
          <w:lang w:eastAsia="fr-FR" w:bidi="fr-FR"/>
        </w:rPr>
        <w:t>allemand apparaissent plutôt timides par rapport à l'ampleur des enjeux, on doit constater par contre un extraordinaire enthousiasme de la part des grandes entreprises ouest-allemandes. Elles se sont littér</w:t>
      </w:r>
      <w:r w:rsidRPr="00C064EF">
        <w:rPr>
          <w:lang w:eastAsia="fr-FR" w:bidi="fr-FR"/>
        </w:rPr>
        <w:t>a</w:t>
      </w:r>
      <w:r w:rsidRPr="00C064EF">
        <w:rPr>
          <w:lang w:eastAsia="fr-FR" w:bidi="fr-FR"/>
        </w:rPr>
        <w:t>lement précipitées dans l'ouverture qui leur est faite depuis le début de 1990 et ont multiplié les projets d'investissements privés en RDA dans le cadre d'entreprises conjo</w:t>
      </w:r>
      <w:r>
        <w:rPr>
          <w:lang w:eastAsia="fr-FR" w:bidi="fr-FR"/>
        </w:rPr>
        <w:t>intes avec des entreprises est-</w:t>
      </w:r>
      <w:r w:rsidRPr="00C064EF">
        <w:rPr>
          <w:lang w:eastAsia="fr-FR" w:bidi="fr-FR"/>
        </w:rPr>
        <w:t>allemandes. Il faut rappeler que, contrairement à plusieurs pays de l'Est comme la Roumanie, la Yougoslavie, la Pologne et la Hongrie qui</w:t>
      </w:r>
      <w:r>
        <w:rPr>
          <w:lang w:eastAsia="fr-FR" w:bidi="fr-FR"/>
        </w:rPr>
        <w:t xml:space="preserve"> </w:t>
      </w:r>
      <w:r>
        <w:t xml:space="preserve">[167] </w:t>
      </w:r>
      <w:r w:rsidRPr="00C064EF">
        <w:rPr>
          <w:lang w:eastAsia="fr-FR" w:bidi="fr-FR"/>
        </w:rPr>
        <w:t>ont, depuis les années 70, ouvert de manière contrôlée leurs fro</w:t>
      </w:r>
      <w:r w:rsidRPr="00C064EF">
        <w:rPr>
          <w:lang w:eastAsia="fr-FR" w:bidi="fr-FR"/>
        </w:rPr>
        <w:t>n</w:t>
      </w:r>
      <w:r w:rsidRPr="00C064EF">
        <w:rPr>
          <w:lang w:eastAsia="fr-FR" w:bidi="fr-FR"/>
        </w:rPr>
        <w:t>tières aux capitaux étrangers, la RDA avait toujours observé une pol</w:t>
      </w:r>
      <w:r w:rsidRPr="00C064EF">
        <w:rPr>
          <w:lang w:eastAsia="fr-FR" w:bidi="fr-FR"/>
        </w:rPr>
        <w:t>i</w:t>
      </w:r>
      <w:r w:rsidRPr="00C064EF">
        <w:rPr>
          <w:lang w:eastAsia="fr-FR" w:bidi="fr-FR"/>
        </w:rPr>
        <w:t>tique de fermeture étanche.</w:t>
      </w:r>
    </w:p>
    <w:p w:rsidR="001F5D09" w:rsidRPr="00C064EF" w:rsidRDefault="001F5D09" w:rsidP="001F5D09">
      <w:pPr>
        <w:spacing w:before="120" w:after="120"/>
        <w:jc w:val="both"/>
      </w:pPr>
      <w:r w:rsidRPr="00C064EF">
        <w:rPr>
          <w:lang w:eastAsia="fr-FR" w:bidi="fr-FR"/>
        </w:rPr>
        <w:t>L'industrie est-allemande est depuis 1981 structurée à partir de quelque 130 grands combinats qui assurent la production et la distr</w:t>
      </w:r>
      <w:r w:rsidRPr="00C064EF">
        <w:rPr>
          <w:lang w:eastAsia="fr-FR" w:bidi="fr-FR"/>
        </w:rPr>
        <w:t>i</w:t>
      </w:r>
      <w:r w:rsidRPr="00C064EF">
        <w:rPr>
          <w:lang w:eastAsia="fr-FR" w:bidi="fr-FR"/>
        </w:rPr>
        <w:t>bution dans des secteurs précis de l'activité. L'industrie automobile par exemple repose sur trois combinats</w:t>
      </w:r>
      <w:r w:rsidRPr="00C064EF">
        <w:t> :</w:t>
      </w:r>
      <w:r w:rsidRPr="00C064EF">
        <w:rPr>
          <w:lang w:eastAsia="fr-FR" w:bidi="fr-FR"/>
        </w:rPr>
        <w:t xml:space="preserve"> IFA-véhicules personnels (29 </w:t>
      </w:r>
      <w:r w:rsidRPr="00C064EF">
        <w:rPr>
          <w:lang w:eastAsia="fr-FR" w:bidi="fr-FR"/>
        </w:rPr>
        <w:lastRenderedPageBreak/>
        <w:t>usines, 65 000 employés), IFA-véhicules utilitaires (25 usines, 50 000 employés) et IFA-véhicules à deux roues (sept usines, 15 000 e</w:t>
      </w:r>
      <w:r w:rsidRPr="00C064EF">
        <w:rPr>
          <w:lang w:eastAsia="fr-FR" w:bidi="fr-FR"/>
        </w:rPr>
        <w:t>m</w:t>
      </w:r>
      <w:r w:rsidRPr="00C064EF">
        <w:rPr>
          <w:lang w:eastAsia="fr-FR" w:bidi="fr-FR"/>
        </w:rPr>
        <w:t>ployés). On peut facilement comprendre l'attrait que représentent ces immenses complexes pour les grandes entreprises ouest-allemandes, elles-mêmes déjà très concentrées. L’état de leur équipement est ce</w:t>
      </w:r>
      <w:r w:rsidRPr="00C064EF">
        <w:rPr>
          <w:lang w:eastAsia="fr-FR" w:bidi="fr-FR"/>
        </w:rPr>
        <w:t>r</w:t>
      </w:r>
      <w:r w:rsidRPr="00C064EF">
        <w:rPr>
          <w:lang w:eastAsia="fr-FR" w:bidi="fr-FR"/>
        </w:rPr>
        <w:t>tes déficitaire, et il faudra le moderniser, mais il constitue une s</w:t>
      </w:r>
      <w:r w:rsidRPr="00C064EF">
        <w:rPr>
          <w:lang w:eastAsia="fr-FR" w:bidi="fr-FR"/>
        </w:rPr>
        <w:t>o</w:t>
      </w:r>
      <w:r w:rsidRPr="00C064EF">
        <w:rPr>
          <w:lang w:eastAsia="fr-FR" w:bidi="fr-FR"/>
        </w:rPr>
        <w:t>lide structure de base à partir de laquelle il est possible de viser le marché est-allemand et, au-delà, le marché de l’Europe de l'Est. La main-d'œuvre y est relativement bien formée, les salaires trois fois moins élevés qu'en RFA et la semaine de travail de 43 heures (38 en RFA). Ces données ouvrent la porte à d'importantes opérations de rational</w:t>
      </w:r>
      <w:r w:rsidRPr="00C064EF">
        <w:rPr>
          <w:lang w:eastAsia="fr-FR" w:bidi="fr-FR"/>
        </w:rPr>
        <w:t>i</w:t>
      </w:r>
      <w:r w:rsidRPr="00C064EF">
        <w:rPr>
          <w:lang w:eastAsia="fr-FR" w:bidi="fr-FR"/>
        </w:rPr>
        <w:t>sation qui toucheront d'abord la RDA, mais qui inévitablement auront aussi une incidence en RFA.</w:t>
      </w:r>
    </w:p>
    <w:p w:rsidR="001F5D09" w:rsidRPr="00C064EF" w:rsidRDefault="001F5D09" w:rsidP="001F5D09">
      <w:pPr>
        <w:spacing w:before="120" w:after="120"/>
        <w:jc w:val="both"/>
      </w:pPr>
      <w:r w:rsidRPr="00C064EF">
        <w:rPr>
          <w:lang w:eastAsia="fr-FR" w:bidi="fr-FR"/>
        </w:rPr>
        <w:t>L'exemple sans doute le mieux connu à ce jour d'investissements d'entreprises ouest-allemandes en RDA est celui de Volkswagen qui a investi 5 milliards de DM dans une association avec le combinat IFA-PKW (IFA-véhicules personnels) connu pour la production de ses c</w:t>
      </w:r>
      <w:r w:rsidRPr="00C064EF">
        <w:rPr>
          <w:lang w:eastAsia="fr-FR" w:bidi="fr-FR"/>
        </w:rPr>
        <w:t>é</w:t>
      </w:r>
      <w:r w:rsidRPr="00C064EF">
        <w:rPr>
          <w:lang w:eastAsia="fr-FR" w:bidi="fr-FR"/>
        </w:rPr>
        <w:t>lèbres voitures à deux cylindres, les Trabant. Celles-ci seront progre</w:t>
      </w:r>
      <w:r w:rsidRPr="00C064EF">
        <w:rPr>
          <w:lang w:eastAsia="fr-FR" w:bidi="fr-FR"/>
        </w:rPr>
        <w:t>s</w:t>
      </w:r>
      <w:r w:rsidRPr="00C064EF">
        <w:rPr>
          <w:lang w:eastAsia="fr-FR" w:bidi="fr-FR"/>
        </w:rPr>
        <w:t>sivement remplacées par des voitures plus performantes et moins po</w:t>
      </w:r>
      <w:r w:rsidRPr="00C064EF">
        <w:rPr>
          <w:lang w:eastAsia="fr-FR" w:bidi="fr-FR"/>
        </w:rPr>
        <w:t>l</w:t>
      </w:r>
      <w:r w:rsidRPr="00C064EF">
        <w:rPr>
          <w:lang w:eastAsia="fr-FR" w:bidi="fr-FR"/>
        </w:rPr>
        <w:t>luantes, VW Polo et Golf, qui seront distribuées dans toute la RDA par un réseau de 400 concessionnaires. Par le même réseau, Volksw</w:t>
      </w:r>
      <w:r w:rsidRPr="00C064EF">
        <w:rPr>
          <w:lang w:eastAsia="fr-FR" w:bidi="fr-FR"/>
        </w:rPr>
        <w:t>a</w:t>
      </w:r>
      <w:r w:rsidRPr="00C064EF">
        <w:rPr>
          <w:lang w:eastAsia="fr-FR" w:bidi="fr-FR"/>
        </w:rPr>
        <w:t>gen distribuera aussi des voitures de marque Audi et SEAT. Les soci</w:t>
      </w:r>
      <w:r w:rsidRPr="00C064EF">
        <w:rPr>
          <w:lang w:eastAsia="fr-FR" w:bidi="fr-FR"/>
        </w:rPr>
        <w:t>é</w:t>
      </w:r>
      <w:r w:rsidRPr="00C064EF">
        <w:rPr>
          <w:lang w:eastAsia="fr-FR" w:bidi="fr-FR"/>
        </w:rPr>
        <w:t>tés Opel et Daimler-Benz sont également engagées dans des projets d'entreprises conjointes, Daimler-Benz dans le domaine des véhicules utilitaires.</w:t>
      </w:r>
    </w:p>
    <w:p w:rsidR="001F5D09" w:rsidRPr="00C064EF" w:rsidRDefault="001F5D09" w:rsidP="001F5D09">
      <w:pPr>
        <w:spacing w:before="120" w:after="120"/>
        <w:jc w:val="both"/>
      </w:pPr>
      <w:r w:rsidRPr="00C064EF">
        <w:rPr>
          <w:lang w:eastAsia="fr-FR" w:bidi="fr-FR"/>
        </w:rPr>
        <w:t>À souligner, le projet d’association des sociétés AEG (du groupe Daimler-Benz) et Preussag-Salzgitter</w:t>
      </w:r>
      <w:r>
        <w:rPr>
          <w:lang w:eastAsia="fr-FR" w:bidi="fr-FR"/>
        </w:rPr>
        <w:t xml:space="preserve"> avec le combinat Schienenfahr-</w:t>
      </w:r>
      <w:r w:rsidRPr="00C064EF">
        <w:rPr>
          <w:lang w:eastAsia="fr-FR" w:bidi="fr-FR"/>
        </w:rPr>
        <w:t>zeugbau, actuellement le plus grand producteur de wagons du monde, disposant d'importants carnets de commande</w:t>
      </w:r>
      <w:r>
        <w:rPr>
          <w:lang w:eastAsia="fr-FR" w:bidi="fr-FR"/>
        </w:rPr>
        <w:t xml:space="preserve">s </w:t>
      </w:r>
      <w:r w:rsidRPr="00C064EF">
        <w:rPr>
          <w:lang w:eastAsia="fr-FR" w:bidi="fr-FR"/>
        </w:rPr>
        <w:t>à l’Est. Simultanément, AEG est engagée dans un autre projet d'association avec le combinat Lokomotivbau LEW de Hennigsdorf, entreprise qui lui appartenait avant 1949. Le résultat de cette double méga-association sera la mise sur pied du plus grand complexe intégré de construction de matériel ferroviaire roulant au monde, sous le contrôle de Daimler-Benz.</w:t>
      </w:r>
    </w:p>
    <w:p w:rsidR="001F5D09" w:rsidRPr="00C064EF" w:rsidRDefault="001F5D09" w:rsidP="001F5D09">
      <w:pPr>
        <w:spacing w:before="120" w:after="120"/>
        <w:jc w:val="both"/>
      </w:pPr>
      <w:r>
        <w:t>[168]</w:t>
      </w:r>
    </w:p>
    <w:p w:rsidR="001F5D09" w:rsidRPr="00C064EF" w:rsidRDefault="001F5D09" w:rsidP="001F5D09">
      <w:pPr>
        <w:spacing w:before="120" w:after="120"/>
        <w:jc w:val="both"/>
      </w:pPr>
      <w:r w:rsidRPr="00C064EF">
        <w:rPr>
          <w:lang w:eastAsia="fr-FR" w:bidi="fr-FR"/>
        </w:rPr>
        <w:t>La législation antimonopole est-elle susceptible d'interdire la con</w:t>
      </w:r>
      <w:r w:rsidRPr="00C064EF">
        <w:rPr>
          <w:lang w:eastAsia="fr-FR" w:bidi="fr-FR"/>
        </w:rPr>
        <w:t>s</w:t>
      </w:r>
      <w:r w:rsidRPr="00C064EF">
        <w:rPr>
          <w:lang w:eastAsia="fr-FR" w:bidi="fr-FR"/>
        </w:rPr>
        <w:t>titution de tels mammouths</w:t>
      </w:r>
      <w:r w:rsidRPr="00C064EF">
        <w:t> ?</w:t>
      </w:r>
      <w:r w:rsidRPr="00C064EF">
        <w:rPr>
          <w:lang w:eastAsia="fr-FR" w:bidi="fr-FR"/>
        </w:rPr>
        <w:t xml:space="preserve"> Tout laisse croire que le Kartellamt, l'o</w:t>
      </w:r>
      <w:r w:rsidRPr="00C064EF">
        <w:rPr>
          <w:lang w:eastAsia="fr-FR" w:bidi="fr-FR"/>
        </w:rPr>
        <w:t>r</w:t>
      </w:r>
      <w:r w:rsidRPr="00C064EF">
        <w:rPr>
          <w:lang w:eastAsia="fr-FR" w:bidi="fr-FR"/>
        </w:rPr>
        <w:lastRenderedPageBreak/>
        <w:t xml:space="preserve">ganisme de qui relèvent ces questions, serait plutôt enclin à accorder des </w:t>
      </w:r>
      <w:r w:rsidRPr="00C064EF">
        <w:t>« </w:t>
      </w:r>
      <w:r w:rsidRPr="00C064EF">
        <w:rPr>
          <w:lang w:eastAsia="fr-FR" w:bidi="fr-FR"/>
        </w:rPr>
        <w:t>autorisations spéciales</w:t>
      </w:r>
      <w:r w:rsidRPr="00C064EF">
        <w:t> »</w:t>
      </w:r>
      <w:r w:rsidRPr="00C064EF">
        <w:rPr>
          <w:lang w:eastAsia="fr-FR" w:bidi="fr-FR"/>
        </w:rPr>
        <w:t xml:space="preserve"> dans l'intérêt général de la cause ge</w:t>
      </w:r>
      <w:r w:rsidRPr="00C064EF">
        <w:rPr>
          <w:lang w:eastAsia="fr-FR" w:bidi="fr-FR"/>
        </w:rPr>
        <w:t>r</w:t>
      </w:r>
      <w:r w:rsidRPr="00C064EF">
        <w:rPr>
          <w:lang w:eastAsia="fr-FR" w:bidi="fr-FR"/>
        </w:rPr>
        <w:t>mano-allemande (Spiegel, 1990a, 140). L'autorisation d'acquisition du géant militaire MBB (Messersch</w:t>
      </w:r>
      <w:r>
        <w:rPr>
          <w:lang w:eastAsia="fr-FR" w:bidi="fr-FR"/>
        </w:rPr>
        <w:t>mitt-Bölkow-Blohm) par Daimler-</w:t>
      </w:r>
      <w:r w:rsidRPr="00C064EF">
        <w:rPr>
          <w:lang w:eastAsia="fr-FR" w:bidi="fr-FR"/>
        </w:rPr>
        <w:t>Benz en 1989 tend à accréditer cette hypothèse. D'autre part, la loi antimonopole ouest-allemande d'avant la réunification, considérant la RDA comme un pays étranger, était dénuée de tout pouvoir face à des fusions impliquant des entreprises est-allemandes (Spiegel, 1990b, 134). Les entreprises ouest-allemandes avaient intérêt à agir rapid</w:t>
      </w:r>
      <w:r w:rsidRPr="00C064EF">
        <w:rPr>
          <w:lang w:eastAsia="fr-FR" w:bidi="fr-FR"/>
        </w:rPr>
        <w:t>e</w:t>
      </w:r>
      <w:r w:rsidRPr="00C064EF">
        <w:rPr>
          <w:lang w:eastAsia="fr-FR" w:bidi="fr-FR"/>
        </w:rPr>
        <w:t>ment pour bénéficier d'une situation exceptionnelle, en escomptant que celle-ci ne serait pas modifiée rétroactivement dans le cadre d'une Allemagne réunifiée. Toutes les grandes entreprises se sont engagées dans cette course contre la montre (Krupp, Thyssen, Mannesmann...) qui implique par ailleurs une multitude d'entreprises de moindre e</w:t>
      </w:r>
      <w:r w:rsidRPr="00C064EF">
        <w:rPr>
          <w:lang w:eastAsia="fr-FR" w:bidi="fr-FR"/>
        </w:rPr>
        <w:t>n</w:t>
      </w:r>
      <w:r w:rsidRPr="00C064EF">
        <w:rPr>
          <w:lang w:eastAsia="fr-FR" w:bidi="fr-FR"/>
        </w:rPr>
        <w:t>vergure. Mille cinq cents accords de partenariat entre des entreprises est-allemandes et des entreprises étrangères avaient été signés à la fin de mai 1990, dont 95</w:t>
      </w:r>
      <w:r>
        <w:rPr>
          <w:lang w:eastAsia="fr-FR" w:bidi="fr-FR"/>
        </w:rPr>
        <w:t> %</w:t>
      </w:r>
      <w:r w:rsidRPr="00C064EF">
        <w:rPr>
          <w:lang w:eastAsia="fr-FR" w:bidi="fr-FR"/>
        </w:rPr>
        <w:t xml:space="preserve"> avec des entreprises ouest-allemandes.</w:t>
      </w:r>
    </w:p>
    <w:p w:rsidR="001F5D09" w:rsidRPr="00C064EF" w:rsidRDefault="001F5D09" w:rsidP="001F5D09">
      <w:pPr>
        <w:spacing w:before="120" w:after="120"/>
        <w:jc w:val="both"/>
      </w:pPr>
      <w:r w:rsidRPr="00C064EF">
        <w:rPr>
          <w:lang w:eastAsia="fr-FR" w:bidi="fr-FR"/>
        </w:rPr>
        <w:t>Le Kartellamt est-allemand, créé peu avant l'entrée en vigueur de l'union économique et monétaire, a rapidement autorisé un nombre impressionnant de prises de contrôle de sociétés est-allemandes par des sociétés ouest-allemandes. Le numéro un européen de l'assurance, le groupe Allianz, a été autorisé à acquérir 51</w:t>
      </w:r>
      <w:r>
        <w:rPr>
          <w:lang w:eastAsia="fr-FR" w:bidi="fr-FR"/>
        </w:rPr>
        <w:t> %</w:t>
      </w:r>
      <w:r w:rsidRPr="00C064EF">
        <w:rPr>
          <w:lang w:eastAsia="fr-FR" w:bidi="fr-FR"/>
        </w:rPr>
        <w:t xml:space="preserve"> de l'ex-monopole d'</w:t>
      </w:r>
      <w:r>
        <w:rPr>
          <w:lang w:eastAsia="fr-FR" w:bidi="fr-FR"/>
        </w:rPr>
        <w:t>É</w:t>
      </w:r>
      <w:r w:rsidRPr="00C064EF">
        <w:rPr>
          <w:lang w:eastAsia="fr-FR" w:bidi="fr-FR"/>
        </w:rPr>
        <w:t>tat de l'assurance en RDA, la Deutsche Versicherung. Dans le se</w:t>
      </w:r>
      <w:r w:rsidRPr="00C064EF">
        <w:rPr>
          <w:lang w:eastAsia="fr-FR" w:bidi="fr-FR"/>
        </w:rPr>
        <w:t>c</w:t>
      </w:r>
      <w:r w:rsidRPr="00C064EF">
        <w:rPr>
          <w:lang w:eastAsia="fr-FR" w:bidi="fr-FR"/>
        </w:rPr>
        <w:t>teur bancaire, les deux premières banques ouest-allemandes, la Deut</w:t>
      </w:r>
      <w:r w:rsidRPr="00C064EF">
        <w:rPr>
          <w:lang w:eastAsia="fr-FR" w:bidi="fr-FR"/>
        </w:rPr>
        <w:t>s</w:t>
      </w:r>
      <w:r w:rsidRPr="00C064EF">
        <w:rPr>
          <w:lang w:eastAsia="fr-FR" w:bidi="fr-FR"/>
        </w:rPr>
        <w:t>che Bank et la Dresdner Bank, concluaient en avril 1990 une entente avec la Deutsche Kreditbank de RDA, nouvellement créée pour r</w:t>
      </w:r>
      <w:r w:rsidRPr="00C064EF">
        <w:rPr>
          <w:lang w:eastAsia="fr-FR" w:bidi="fr-FR"/>
        </w:rPr>
        <w:t>e</w:t>
      </w:r>
      <w:r w:rsidRPr="00C064EF">
        <w:rPr>
          <w:lang w:eastAsia="fr-FR" w:bidi="fr-FR"/>
        </w:rPr>
        <w:t>prendre en main les activités commerciales de la Staatsbank (la ba</w:t>
      </w:r>
      <w:r w:rsidRPr="00C064EF">
        <w:rPr>
          <w:lang w:eastAsia="fr-FR" w:bidi="fr-FR"/>
        </w:rPr>
        <w:t>n</w:t>
      </w:r>
      <w:r w:rsidRPr="00C064EF">
        <w:rPr>
          <w:lang w:eastAsia="fr-FR" w:bidi="fr-FR"/>
        </w:rPr>
        <w:t>que unique d'Etat désormais démantelée). La Deutsche Bank a</w:t>
      </w:r>
      <w:r w:rsidRPr="00C064EF">
        <w:rPr>
          <w:lang w:eastAsia="fr-FR" w:bidi="fr-FR"/>
        </w:rPr>
        <w:t>c</w:t>
      </w:r>
      <w:r w:rsidRPr="00C064EF">
        <w:rPr>
          <w:lang w:eastAsia="fr-FR" w:bidi="fr-FR"/>
        </w:rPr>
        <w:t>quérait 122 succursales de la Deutsche Kredit Bank et la Dresdner, 72.</w:t>
      </w:r>
    </w:p>
    <w:p w:rsidR="001F5D09" w:rsidRDefault="001F5D09" w:rsidP="001F5D09">
      <w:pPr>
        <w:spacing w:before="120" w:after="120"/>
        <w:jc w:val="both"/>
        <w:rPr>
          <w:lang w:eastAsia="fr-FR" w:bidi="fr-FR"/>
        </w:rPr>
      </w:pPr>
    </w:p>
    <w:p w:rsidR="001F5D09" w:rsidRPr="00CC274B" w:rsidRDefault="001F5D09" w:rsidP="001F5D09">
      <w:pPr>
        <w:pStyle w:val="b"/>
      </w:pPr>
      <w:r w:rsidRPr="00CC274B">
        <w:rPr>
          <w:lang w:eastAsia="fr-FR" w:bidi="fr-FR"/>
        </w:rPr>
        <w:t>Le renforcement du capital allemand</w:t>
      </w:r>
    </w:p>
    <w:p w:rsidR="001F5D09" w:rsidRDefault="001F5D09" w:rsidP="001F5D09">
      <w:pPr>
        <w:spacing w:before="120" w:after="120"/>
        <w:jc w:val="both"/>
        <w:rPr>
          <w:lang w:eastAsia="fr-FR" w:bidi="fr-FR"/>
        </w:rPr>
      </w:pPr>
    </w:p>
    <w:p w:rsidR="001F5D09" w:rsidRPr="00C064EF" w:rsidRDefault="001F5D09" w:rsidP="001F5D09">
      <w:pPr>
        <w:spacing w:before="120" w:after="120"/>
        <w:jc w:val="both"/>
      </w:pPr>
      <w:r w:rsidRPr="00C064EF">
        <w:rPr>
          <w:lang w:eastAsia="fr-FR" w:bidi="fr-FR"/>
        </w:rPr>
        <w:t>De toute évidence, l'ouverture des frontières et la réunification en marche sont pour le capital ouest-allemand une excellente affaire</w:t>
      </w:r>
      <w:r w:rsidRPr="00C064EF">
        <w:t> :</w:t>
      </w:r>
      <w:r w:rsidRPr="00C064EF">
        <w:rPr>
          <w:lang w:eastAsia="fr-FR" w:bidi="fr-FR"/>
        </w:rPr>
        <w:t xml:space="preserve"> concentration accrue, économies d'échelle, accès à une main-d'œuvre bon marché, rationalisations à l'échelle du pays, ouverture de no</w:t>
      </w:r>
      <w:r w:rsidRPr="00C064EF">
        <w:rPr>
          <w:lang w:eastAsia="fr-FR" w:bidi="fr-FR"/>
        </w:rPr>
        <w:t>u</w:t>
      </w:r>
      <w:r w:rsidRPr="00C064EF">
        <w:rPr>
          <w:lang w:eastAsia="fr-FR" w:bidi="fr-FR"/>
        </w:rPr>
        <w:t>veaux marchés, etc. Déjà premier investisseur occidental dans les</w:t>
      </w:r>
      <w:r>
        <w:rPr>
          <w:lang w:eastAsia="fr-FR" w:bidi="fr-FR"/>
        </w:rPr>
        <w:t xml:space="preserve"> </w:t>
      </w:r>
      <w:r>
        <w:lastRenderedPageBreak/>
        <w:t xml:space="preserve">[169] </w:t>
      </w:r>
      <w:r w:rsidRPr="00C064EF">
        <w:rPr>
          <w:lang w:eastAsia="fr-FR" w:bidi="fr-FR"/>
        </w:rPr>
        <w:t>pays de l'Est et leur principal partenaire commercial (40</w:t>
      </w:r>
      <w:r>
        <w:rPr>
          <w:lang w:eastAsia="fr-FR" w:bidi="fr-FR"/>
        </w:rPr>
        <w:t> %</w:t>
      </w:r>
      <w:r w:rsidRPr="00C064EF">
        <w:rPr>
          <w:lang w:eastAsia="fr-FR" w:bidi="fr-FR"/>
        </w:rPr>
        <w:t xml:space="preserve"> des échanges de l'OCDE avec l'Est), la RFA se voit ouvrir, grâce au pont que constitue la RDA, d'énormes possibilités de renforcement de cette position dominante. Ainsi en est-il du rôle du mark, dont l'importance n'a cessé de croître au cours des dernières années pour devenir la pri</w:t>
      </w:r>
      <w:r w:rsidRPr="00C064EF">
        <w:rPr>
          <w:lang w:eastAsia="fr-FR" w:bidi="fr-FR"/>
        </w:rPr>
        <w:t>n</w:t>
      </w:r>
      <w:r w:rsidRPr="00C064EF">
        <w:rPr>
          <w:lang w:eastAsia="fr-FR" w:bidi="fr-FR"/>
        </w:rPr>
        <w:t>cipale monnaie de facturation dans les échanges avec l’Est et un s</w:t>
      </w:r>
      <w:r w:rsidRPr="00C064EF">
        <w:rPr>
          <w:lang w:eastAsia="fr-FR" w:bidi="fr-FR"/>
        </w:rPr>
        <w:t>é</w:t>
      </w:r>
      <w:r w:rsidRPr="00C064EF">
        <w:rPr>
          <w:lang w:eastAsia="fr-FR" w:bidi="fr-FR"/>
        </w:rPr>
        <w:t>rieux concurrent du dollar pour ce qui est des créances détenues par les banques occidentales sur l'Europe de l'Est, près du tiers étant libe</w:t>
      </w:r>
      <w:r w:rsidRPr="00C064EF">
        <w:rPr>
          <w:lang w:eastAsia="fr-FR" w:bidi="fr-FR"/>
        </w:rPr>
        <w:t>l</w:t>
      </w:r>
      <w:r w:rsidRPr="00C064EF">
        <w:rPr>
          <w:lang w:eastAsia="fr-FR" w:bidi="fr-FR"/>
        </w:rPr>
        <w:t>lées en DM (Balzer, Ginssburg, Heemann, Ziesemer, 1990</w:t>
      </w:r>
      <w:r w:rsidRPr="00C064EF">
        <w:t> ;</w:t>
      </w:r>
      <w:r w:rsidRPr="00C064EF">
        <w:rPr>
          <w:lang w:eastAsia="fr-FR" w:bidi="fr-FR"/>
        </w:rPr>
        <w:t xml:space="preserve"> OCDE, 1990b). En décembre 1989, la Yougoslavie, comme l'Autriche depuis 1980 et les Pays-Bas depuis 1986, rattachait le dinar au mark, à un taux fixe de 7 </w:t>
      </w:r>
      <w:r w:rsidRPr="00C064EF">
        <w:t>« </w:t>
      </w:r>
      <w:r w:rsidRPr="00C064EF">
        <w:rPr>
          <w:lang w:eastAsia="fr-FR" w:bidi="fr-FR"/>
        </w:rPr>
        <w:t>nouveaux</w:t>
      </w:r>
      <w:r w:rsidRPr="00C064EF">
        <w:t> »</w:t>
      </w:r>
      <w:r>
        <w:rPr>
          <w:lang w:eastAsia="fr-FR" w:bidi="fr-FR"/>
        </w:rPr>
        <w:t xml:space="preserve"> dinars (un nouveau = 10 </w:t>
      </w:r>
      <w:r w:rsidRPr="00C064EF">
        <w:rPr>
          <w:lang w:eastAsia="fr-FR" w:bidi="fr-FR"/>
        </w:rPr>
        <w:t>000 anciens) pour</w:t>
      </w:r>
      <w:r>
        <w:rPr>
          <w:lang w:eastAsia="fr-FR" w:bidi="fr-FR"/>
        </w:rPr>
        <w:t xml:space="preserve"> 1 </w:t>
      </w:r>
      <w:r w:rsidRPr="00C064EF">
        <w:rPr>
          <w:lang w:eastAsia="fr-FR" w:bidi="fr-FR"/>
        </w:rPr>
        <w:t>mark. Le renforcement du DM, consécutif à une implantation encore plus solide en Europe de l'Est, affirmera davantage son rôle clé en Europe de l'Ouest au sein du système monétaire européen qui fon</w:t>
      </w:r>
      <w:r w:rsidRPr="00C064EF">
        <w:rPr>
          <w:lang w:eastAsia="fr-FR" w:bidi="fr-FR"/>
        </w:rPr>
        <w:t>c</w:t>
      </w:r>
      <w:r w:rsidRPr="00C064EF">
        <w:rPr>
          <w:lang w:eastAsia="fr-FR" w:bidi="fr-FR"/>
        </w:rPr>
        <w:t>tionne déjà largement comme une zone mark.</w:t>
      </w:r>
    </w:p>
    <w:p w:rsidR="001F5D09" w:rsidRDefault="001F5D09" w:rsidP="001F5D09">
      <w:pPr>
        <w:spacing w:before="120" w:after="120"/>
        <w:jc w:val="both"/>
        <w:rPr>
          <w:lang w:eastAsia="fr-FR" w:bidi="fr-FR"/>
        </w:rPr>
      </w:pPr>
    </w:p>
    <w:p w:rsidR="001F5D09" w:rsidRPr="00CC274B" w:rsidRDefault="001F5D09" w:rsidP="001F5D09">
      <w:pPr>
        <w:pStyle w:val="b"/>
      </w:pPr>
      <w:r w:rsidRPr="00CC274B">
        <w:rPr>
          <w:lang w:eastAsia="fr-FR" w:bidi="fr-FR"/>
        </w:rPr>
        <w:t>...et la reconstitution du mouvement ouvrier</w:t>
      </w:r>
    </w:p>
    <w:p w:rsidR="001F5D09" w:rsidRDefault="001F5D09" w:rsidP="001F5D09">
      <w:pPr>
        <w:spacing w:before="120" w:after="120"/>
        <w:jc w:val="both"/>
        <w:rPr>
          <w:lang w:eastAsia="fr-FR" w:bidi="fr-FR"/>
        </w:rPr>
      </w:pPr>
    </w:p>
    <w:p w:rsidR="001F5D09" w:rsidRPr="00C064EF" w:rsidRDefault="001F5D09" w:rsidP="001F5D09">
      <w:pPr>
        <w:spacing w:before="120" w:after="120"/>
        <w:jc w:val="both"/>
      </w:pPr>
      <w:r w:rsidRPr="00C064EF">
        <w:rPr>
          <w:lang w:eastAsia="fr-FR" w:bidi="fr-FR"/>
        </w:rPr>
        <w:t xml:space="preserve">Mais la réunification de l'Allemagne ne peut pas être envisagée uniquement sous l'angle d'un renforcement du capital. Elle signifie également la reconstitution du mouvement ouvrier allemand </w:t>
      </w:r>
      <w:r w:rsidRPr="00C064EF">
        <w:t>« </w:t>
      </w:r>
      <w:r>
        <w:rPr>
          <w:lang w:eastAsia="fr-FR" w:bidi="fr-FR"/>
        </w:rPr>
        <w:t>im-</w:t>
      </w:r>
      <w:r w:rsidRPr="00C064EF">
        <w:rPr>
          <w:lang w:eastAsia="fr-FR" w:bidi="fr-FR"/>
        </w:rPr>
        <w:t>puissanté</w:t>
      </w:r>
      <w:r w:rsidRPr="00C064EF">
        <w:t> »</w:t>
      </w:r>
      <w:r w:rsidRPr="00C064EF">
        <w:rPr>
          <w:lang w:eastAsia="fr-FR" w:bidi="fr-FR"/>
        </w:rPr>
        <w:t xml:space="preserve"> en 1933 par Hitler, puis artificiellement divisé depuis 1949. Elle implique la ressoudure des deux composantes du plus pui</w:t>
      </w:r>
      <w:r w:rsidRPr="00C064EF">
        <w:rPr>
          <w:lang w:eastAsia="fr-FR" w:bidi="fr-FR"/>
        </w:rPr>
        <w:t>s</w:t>
      </w:r>
      <w:r w:rsidRPr="00C064EF">
        <w:rPr>
          <w:lang w:eastAsia="fr-FR" w:bidi="fr-FR"/>
        </w:rPr>
        <w:t>sant mouvement ouvrier d'Europe, avec tout ce que cela signifie lor</w:t>
      </w:r>
      <w:r w:rsidRPr="00C064EF">
        <w:rPr>
          <w:lang w:eastAsia="fr-FR" w:bidi="fr-FR"/>
        </w:rPr>
        <w:t>s</w:t>
      </w:r>
      <w:r w:rsidRPr="00C064EF">
        <w:rPr>
          <w:lang w:eastAsia="fr-FR" w:bidi="fr-FR"/>
        </w:rPr>
        <w:t>qu'on a en tête le rôle historique qu'il a joué depuis plus de 100 ans. Les évolutions des premiers mois à cet égard peuvent à première vue sembler contradictoires</w:t>
      </w:r>
      <w:r w:rsidRPr="00C064EF">
        <w:t> ;</w:t>
      </w:r>
      <w:r w:rsidRPr="00C064EF">
        <w:rPr>
          <w:lang w:eastAsia="fr-FR" w:bidi="fr-FR"/>
        </w:rPr>
        <w:t xml:space="preserve"> qu'on pense en particulier à l'attitude parfois réticente en RFA à l'égard des réfugiés est-allemands vus comme des concurrents au niveau de l'emploi ou du logement social. À terme, cependant, on peut s'attendre à une jonction des revendications face aux politiques du capital qui tendront à s’uniformiser à l'Est comme à l'Ouest avec la généralisation de l'économie de marché dans le pays réunifié. Les victoires remportées à l'Ouest auront une incidence à l'Est et vice versa. Par exemple, la victoire remportée, sans grève, par les 4 millions de membres du syndicat de la métallurgie (I.G. Metall) en mai 1990, pour la réduction progressive de la semaine de travail à </w:t>
      </w:r>
      <w:r w:rsidRPr="00C064EF">
        <w:rPr>
          <w:lang w:eastAsia="fr-FR" w:bidi="fr-FR"/>
        </w:rPr>
        <w:lastRenderedPageBreak/>
        <w:t>35 heures, aura inévitablement un effet d'entraînement sur les travai</w:t>
      </w:r>
      <w:r w:rsidRPr="00C064EF">
        <w:rPr>
          <w:lang w:eastAsia="fr-FR" w:bidi="fr-FR"/>
        </w:rPr>
        <w:t>l</w:t>
      </w:r>
      <w:r w:rsidRPr="00C064EF">
        <w:rPr>
          <w:lang w:eastAsia="fr-FR" w:bidi="fr-FR"/>
        </w:rPr>
        <w:t>leurs de l'Est dont la semaine de travail est de 43 heures. On peut pr</w:t>
      </w:r>
      <w:r w:rsidRPr="00C064EF">
        <w:rPr>
          <w:lang w:eastAsia="fr-FR" w:bidi="fr-FR"/>
        </w:rPr>
        <w:t>é</w:t>
      </w:r>
      <w:r w:rsidRPr="00C064EF">
        <w:rPr>
          <w:lang w:eastAsia="fr-FR" w:bidi="fr-FR"/>
        </w:rPr>
        <w:t>voir des développements semblables en ce qui a trait aux salaires, dont le rapport, avant la réunification, était de un</w:t>
      </w:r>
      <w:r>
        <w:rPr>
          <w:lang w:eastAsia="fr-FR" w:bidi="fr-FR"/>
        </w:rPr>
        <w:t xml:space="preserve"> </w:t>
      </w:r>
      <w:r>
        <w:t xml:space="preserve">[170] </w:t>
      </w:r>
      <w:r w:rsidRPr="00C064EF">
        <w:rPr>
          <w:lang w:eastAsia="fr-FR" w:bidi="fr-FR"/>
        </w:rPr>
        <w:t xml:space="preserve">à trois entre l'Est et l'Ouest. D’autre part, les mesures </w:t>
      </w:r>
      <w:r w:rsidRPr="00C064EF">
        <w:t>« </w:t>
      </w:r>
      <w:r w:rsidRPr="00C064EF">
        <w:rPr>
          <w:lang w:eastAsia="fr-FR" w:bidi="fr-FR"/>
        </w:rPr>
        <w:t>d'assainissement</w:t>
      </w:r>
      <w:r w:rsidRPr="00C064EF">
        <w:t> »</w:t>
      </w:r>
      <w:r w:rsidRPr="00C064EF">
        <w:rPr>
          <w:lang w:eastAsia="fr-FR" w:bidi="fr-FR"/>
        </w:rPr>
        <w:t xml:space="preserve"> auxquelles e</w:t>
      </w:r>
      <w:r w:rsidRPr="00C064EF">
        <w:rPr>
          <w:lang w:eastAsia="fr-FR" w:bidi="fr-FR"/>
        </w:rPr>
        <w:t>n</w:t>
      </w:r>
      <w:r w:rsidRPr="00C064EF">
        <w:rPr>
          <w:lang w:eastAsia="fr-FR" w:bidi="fr-FR"/>
        </w:rPr>
        <w:t>tendent procéder les investisseurs avides de profit et qui doivent me</w:t>
      </w:r>
      <w:r w:rsidRPr="00C064EF">
        <w:rPr>
          <w:lang w:eastAsia="fr-FR" w:bidi="fr-FR"/>
        </w:rPr>
        <w:t>t</w:t>
      </w:r>
      <w:r w:rsidRPr="00C064EF">
        <w:rPr>
          <w:lang w:eastAsia="fr-FR" w:bidi="fr-FR"/>
        </w:rPr>
        <w:t>tre au chômage de 10 à 20</w:t>
      </w:r>
      <w:r>
        <w:rPr>
          <w:lang w:eastAsia="fr-FR" w:bidi="fr-FR"/>
        </w:rPr>
        <w:t> % de la main-</w:t>
      </w:r>
      <w:r w:rsidRPr="00C064EF">
        <w:rPr>
          <w:lang w:eastAsia="fr-FR" w:bidi="fr-FR"/>
        </w:rPr>
        <w:t>d'œuvre est-allemande ne resteront certainement pas sans ripo</w:t>
      </w:r>
      <w:r w:rsidRPr="00C064EF">
        <w:rPr>
          <w:lang w:eastAsia="fr-FR" w:bidi="fr-FR"/>
        </w:rPr>
        <w:t>s</w:t>
      </w:r>
      <w:r w:rsidRPr="00C064EF">
        <w:rPr>
          <w:lang w:eastAsia="fr-FR" w:bidi="fr-FR"/>
        </w:rPr>
        <w:t>te, pas plus que celles qui seront aussi exécutées à l’Ouest dans une perspective de rationalisation gl</w:t>
      </w:r>
      <w:r w:rsidRPr="00C064EF">
        <w:rPr>
          <w:lang w:eastAsia="fr-FR" w:bidi="fr-FR"/>
        </w:rPr>
        <w:t>o</w:t>
      </w:r>
      <w:r w:rsidRPr="00C064EF">
        <w:rPr>
          <w:lang w:eastAsia="fr-FR" w:bidi="fr-FR"/>
        </w:rPr>
        <w:t>bale menée à l'échelle de tout le pays. Les grèves déclenchées en RDA dès le lendemain de l'entrée en vigueur de l'union monétaire pour r</w:t>
      </w:r>
      <w:r w:rsidRPr="00C064EF">
        <w:rPr>
          <w:lang w:eastAsia="fr-FR" w:bidi="fr-FR"/>
        </w:rPr>
        <w:t>é</w:t>
      </w:r>
      <w:r w:rsidRPr="00C064EF">
        <w:rPr>
          <w:lang w:eastAsia="fr-FR" w:bidi="fr-FR"/>
        </w:rPr>
        <w:t>clamer la garantie de l'emploi, une augmentation salariale immédiate de 400 marks par mois et la r</w:t>
      </w:r>
      <w:r w:rsidRPr="00C064EF">
        <w:rPr>
          <w:lang w:eastAsia="fr-FR" w:bidi="fr-FR"/>
        </w:rPr>
        <w:t>é</w:t>
      </w:r>
      <w:r w:rsidRPr="00C064EF">
        <w:rPr>
          <w:lang w:eastAsia="fr-FR" w:bidi="fr-FR"/>
        </w:rPr>
        <w:t>duction de la semaine de travail de 43 à 40 heures ne sont que les premières expressions des résistances à pr</w:t>
      </w:r>
      <w:r w:rsidRPr="00C064EF">
        <w:rPr>
          <w:lang w:eastAsia="fr-FR" w:bidi="fr-FR"/>
        </w:rPr>
        <w:t>é</w:t>
      </w:r>
      <w:r w:rsidRPr="00C064EF">
        <w:rPr>
          <w:lang w:eastAsia="fr-FR" w:bidi="fr-FR"/>
        </w:rPr>
        <w:t>voir.</w:t>
      </w:r>
    </w:p>
    <w:p w:rsidR="001F5D09" w:rsidRDefault="001F5D09" w:rsidP="001F5D09">
      <w:pPr>
        <w:spacing w:before="120" w:after="120"/>
        <w:jc w:val="both"/>
        <w:rPr>
          <w:lang w:eastAsia="fr-FR" w:bidi="fr-FR"/>
        </w:rPr>
      </w:pPr>
    </w:p>
    <w:p w:rsidR="001F5D09" w:rsidRPr="00C064EF" w:rsidRDefault="001F5D09" w:rsidP="001F5D09">
      <w:pPr>
        <w:pStyle w:val="aa"/>
      </w:pPr>
      <w:r w:rsidRPr="00C064EF">
        <w:t>La réinsertion de l'Europe de l'Est</w:t>
      </w:r>
      <w:r>
        <w:br/>
      </w:r>
      <w:r w:rsidRPr="00C064EF">
        <w:t>dans l'ensemble européen</w:t>
      </w:r>
    </w:p>
    <w:p w:rsidR="001F5D09" w:rsidRDefault="001F5D09" w:rsidP="001F5D09">
      <w:pPr>
        <w:spacing w:before="120" w:after="120"/>
        <w:jc w:val="both"/>
        <w:rPr>
          <w:lang w:eastAsia="fr-FR" w:bidi="fr-FR"/>
        </w:rPr>
      </w:pPr>
    </w:p>
    <w:p w:rsidR="001F5D09" w:rsidRPr="00C064EF" w:rsidRDefault="001F5D09" w:rsidP="001F5D09">
      <w:pPr>
        <w:spacing w:before="120" w:after="120"/>
        <w:jc w:val="both"/>
      </w:pPr>
      <w:r w:rsidRPr="00C064EF">
        <w:rPr>
          <w:lang w:eastAsia="fr-FR" w:bidi="fr-FR"/>
        </w:rPr>
        <w:t>Le décalage entre les situations économiques des composantes Ouest et Est de l'Europe est du même ordre que celui qui existe entre la RFA et la RDA. Avec une population trois fois supérieure à celle des six pays d'Europe de l'Est rattachés au Conseil d'assistance éc</w:t>
      </w:r>
      <w:r w:rsidRPr="00C064EF">
        <w:rPr>
          <w:lang w:eastAsia="fr-FR" w:bidi="fr-FR"/>
        </w:rPr>
        <w:t>o</w:t>
      </w:r>
      <w:r w:rsidRPr="00C064EF">
        <w:rPr>
          <w:lang w:eastAsia="fr-FR" w:bidi="fr-FR"/>
        </w:rPr>
        <w:t>nomique mutuelle (CAEM) (355 contre 115 millions), les 18 pays de la Communauté économique européenne (CEE) et de l’Association européenne de libre-échange (AELE) ont un produit intérieur brut (PIB) huit fois plus élevé (4</w:t>
      </w:r>
      <w:r>
        <w:rPr>
          <w:lang w:eastAsia="fr-FR" w:bidi="fr-FR"/>
        </w:rPr>
        <w:t> </w:t>
      </w:r>
      <w:r w:rsidRPr="00C064EF">
        <w:rPr>
          <w:lang w:eastAsia="fr-FR" w:bidi="fr-FR"/>
        </w:rPr>
        <w:t>815 contre 595 milliards de $</w:t>
      </w:r>
      <w:r>
        <w:rPr>
          <w:lang w:eastAsia="fr-FR" w:bidi="fr-FR"/>
        </w:rPr>
        <w:t> </w:t>
      </w:r>
      <w:r w:rsidRPr="00C064EF">
        <w:rPr>
          <w:lang w:eastAsia="fr-FR" w:bidi="fr-FR"/>
        </w:rPr>
        <w:t>US en 1987). Le PIB par habitant y est donc près de trois fois supérieur (13 560</w:t>
      </w:r>
      <w:r>
        <w:rPr>
          <w:lang w:eastAsia="fr-FR" w:bidi="fr-FR"/>
        </w:rPr>
        <w:t> </w:t>
      </w:r>
      <w:r w:rsidRPr="00C064EF">
        <w:rPr>
          <w:lang w:eastAsia="fr-FR" w:bidi="fr-FR"/>
        </w:rPr>
        <w:t>$</w:t>
      </w:r>
      <w:r>
        <w:rPr>
          <w:lang w:eastAsia="fr-FR" w:bidi="fr-FR"/>
        </w:rPr>
        <w:t> </w:t>
      </w:r>
      <w:r w:rsidRPr="00C064EF">
        <w:rPr>
          <w:lang w:eastAsia="fr-FR" w:bidi="fr-FR"/>
        </w:rPr>
        <w:t>US contre 5</w:t>
      </w:r>
      <w:r>
        <w:rPr>
          <w:lang w:eastAsia="fr-FR" w:bidi="fr-FR"/>
        </w:rPr>
        <w:t> </w:t>
      </w:r>
      <w:r w:rsidRPr="00C064EF">
        <w:rPr>
          <w:lang w:eastAsia="fr-FR" w:bidi="fr-FR"/>
        </w:rPr>
        <w:t>160</w:t>
      </w:r>
      <w:r>
        <w:rPr>
          <w:lang w:eastAsia="fr-FR" w:bidi="fr-FR"/>
        </w:rPr>
        <w:t> </w:t>
      </w:r>
      <w:r w:rsidRPr="00C064EF">
        <w:rPr>
          <w:lang w:eastAsia="fr-FR" w:bidi="fr-FR"/>
        </w:rPr>
        <w:t>$</w:t>
      </w:r>
      <w:r>
        <w:rPr>
          <w:lang w:eastAsia="fr-FR" w:bidi="fr-FR"/>
        </w:rPr>
        <w:t> </w:t>
      </w:r>
      <w:r w:rsidRPr="00C064EF">
        <w:rPr>
          <w:lang w:eastAsia="fr-FR" w:bidi="fr-FR"/>
        </w:rPr>
        <w:t xml:space="preserve">US). Les mêmes écarts existent au niveau de la productivité, de la qualité des équipements et des biens produits, de l'organisation générale de l'économie. L'Europe de l'Est porte le poids de 40 années d'une gestion économique autoritaire et arbitraire, menée par une bureaucratie omniprésente écartant toute participation réelle de la population. Proclamant son affranchissement du capitalisme mondial, celle-ci prétendait construire le </w:t>
      </w:r>
      <w:r w:rsidRPr="00C064EF">
        <w:t>« </w:t>
      </w:r>
      <w:r w:rsidRPr="00C064EF">
        <w:rPr>
          <w:lang w:eastAsia="fr-FR" w:bidi="fr-FR"/>
        </w:rPr>
        <w:t>socialisme</w:t>
      </w:r>
      <w:r w:rsidRPr="00C064EF">
        <w:t> »</w:t>
      </w:r>
      <w:r w:rsidRPr="00C064EF">
        <w:rPr>
          <w:lang w:eastAsia="fr-FR" w:bidi="fr-FR"/>
        </w:rPr>
        <w:t xml:space="preserve"> en vase clos. Comme résultat de cette politique, l'Europe de l'Est n'est aujourd'hui que marginalement intégrée dans les échanges européens et mo</w:t>
      </w:r>
      <w:r w:rsidRPr="00C064EF">
        <w:rPr>
          <w:lang w:eastAsia="fr-FR" w:bidi="fr-FR"/>
        </w:rPr>
        <w:t>n</w:t>
      </w:r>
      <w:r w:rsidRPr="00C064EF">
        <w:rPr>
          <w:lang w:eastAsia="fr-FR" w:bidi="fr-FR"/>
        </w:rPr>
        <w:lastRenderedPageBreak/>
        <w:t>diaux. Les exportations combinées de la CEE et de l'AELE vers l'URSS et l'Europe de l'Est en 1988 (37,7 milliards de $</w:t>
      </w:r>
      <w:r>
        <w:rPr>
          <w:lang w:eastAsia="fr-FR" w:bidi="fr-FR"/>
        </w:rPr>
        <w:t> </w:t>
      </w:r>
      <w:r w:rsidRPr="00C064EF">
        <w:rPr>
          <w:lang w:eastAsia="fr-FR" w:bidi="fr-FR"/>
        </w:rPr>
        <w:t>US à peu près également répartis entre les deux zones d'accueil) ne représentent que 3</w:t>
      </w:r>
      <w:r>
        <w:rPr>
          <w:lang w:eastAsia="fr-FR" w:bidi="fr-FR"/>
        </w:rPr>
        <w:t> %</w:t>
      </w:r>
      <w:r w:rsidRPr="00C064EF">
        <w:rPr>
          <w:lang w:eastAsia="fr-FR" w:bidi="fr-FR"/>
        </w:rPr>
        <w:t xml:space="preserve"> de leurs exportations globales de</w:t>
      </w:r>
      <w:r>
        <w:rPr>
          <w:lang w:eastAsia="fr-FR" w:bidi="fr-FR"/>
        </w:rPr>
        <w:t xml:space="preserve"> 1 </w:t>
      </w:r>
      <w:r w:rsidRPr="00C064EF">
        <w:rPr>
          <w:lang w:eastAsia="fr-FR" w:bidi="fr-FR"/>
        </w:rPr>
        <w:t>242 milliards de $</w:t>
      </w:r>
      <w:r>
        <w:rPr>
          <w:lang w:eastAsia="fr-FR" w:bidi="fr-FR"/>
        </w:rPr>
        <w:t> </w:t>
      </w:r>
      <w:r w:rsidRPr="00C064EF">
        <w:rPr>
          <w:lang w:eastAsia="fr-FR" w:bidi="fr-FR"/>
        </w:rPr>
        <w:t>US, ou 10</w:t>
      </w:r>
      <w:r>
        <w:rPr>
          <w:lang w:eastAsia="fr-FR" w:bidi="fr-FR"/>
        </w:rPr>
        <w:t> %</w:t>
      </w:r>
      <w:r w:rsidRPr="00C064EF">
        <w:rPr>
          <w:lang w:eastAsia="fr-FR" w:bidi="fr-FR"/>
        </w:rPr>
        <w:t xml:space="preserve"> de leurs exportations hors CEE et AELE (GATT, 1989). Ces proportions sont du même ordre lorsqu'on envisage les échanges de l'e</w:t>
      </w:r>
      <w:r w:rsidRPr="00C064EF">
        <w:rPr>
          <w:lang w:eastAsia="fr-FR" w:bidi="fr-FR"/>
        </w:rPr>
        <w:t>n</w:t>
      </w:r>
      <w:r w:rsidRPr="00C064EF">
        <w:rPr>
          <w:lang w:eastAsia="fr-FR" w:bidi="fr-FR"/>
        </w:rPr>
        <w:t>semble des pays développés avec l'URSS et l'Europe de l'Est. Mais ces chiffres globaux cachent de très fortes inégalités. La RFA occupe une</w:t>
      </w:r>
      <w:r>
        <w:rPr>
          <w:lang w:eastAsia="fr-FR" w:bidi="fr-FR"/>
        </w:rPr>
        <w:t xml:space="preserve"> </w:t>
      </w:r>
      <w:r>
        <w:t xml:space="preserve">[171] </w:t>
      </w:r>
      <w:r w:rsidRPr="00C064EF">
        <w:rPr>
          <w:lang w:eastAsia="fr-FR" w:bidi="fr-FR"/>
        </w:rPr>
        <w:t>place prépondérante, réalisant le quart des échanges des pays dév</w:t>
      </w:r>
      <w:r w:rsidRPr="00C064EF">
        <w:rPr>
          <w:lang w:eastAsia="fr-FR" w:bidi="fr-FR"/>
        </w:rPr>
        <w:t>e</w:t>
      </w:r>
      <w:r w:rsidRPr="00C064EF">
        <w:rPr>
          <w:lang w:eastAsia="fr-FR" w:bidi="fr-FR"/>
        </w:rPr>
        <w:t>loppés avec l'URSS et l'Europe de l'Est et près de 40</w:t>
      </w:r>
      <w:r>
        <w:rPr>
          <w:lang w:eastAsia="fr-FR" w:bidi="fr-FR"/>
        </w:rPr>
        <w:t> %</w:t>
      </w:r>
      <w:r w:rsidRPr="00C064EF">
        <w:rPr>
          <w:lang w:eastAsia="fr-FR" w:bidi="fr-FR"/>
        </w:rPr>
        <w:t xml:space="preserve"> de leurs échanges avec la seule Europe de l’Est. La part des échanges avec l'Est dans le commerce extérieur de la RFA demeure toutefois mode</w:t>
      </w:r>
      <w:r w:rsidRPr="00C064EF">
        <w:rPr>
          <w:lang w:eastAsia="fr-FR" w:bidi="fr-FR"/>
        </w:rPr>
        <w:t>s</w:t>
      </w:r>
      <w:r w:rsidRPr="00C064EF">
        <w:rPr>
          <w:lang w:eastAsia="fr-FR" w:bidi="fr-FR"/>
        </w:rPr>
        <w:t>te à 5</w:t>
      </w:r>
      <w:r>
        <w:rPr>
          <w:lang w:eastAsia="fr-FR" w:bidi="fr-FR"/>
        </w:rPr>
        <w:t> %</w:t>
      </w:r>
      <w:r w:rsidRPr="00C064EF">
        <w:t>,</w:t>
      </w:r>
      <w:r w:rsidRPr="00C064EF">
        <w:rPr>
          <w:lang w:eastAsia="fr-FR" w:bidi="fr-FR"/>
        </w:rPr>
        <w:t xml:space="preserve"> y inclus les échanges interallemands qui comptent pour 1,5</w:t>
      </w:r>
      <w:r>
        <w:rPr>
          <w:lang w:eastAsia="fr-FR" w:bidi="fr-FR"/>
        </w:rPr>
        <w:t> %</w:t>
      </w:r>
      <w:r w:rsidRPr="00C064EF">
        <w:rPr>
          <w:lang w:eastAsia="fr-FR" w:bidi="fr-FR"/>
        </w:rPr>
        <w:t>. La fa</w:t>
      </w:r>
      <w:r w:rsidRPr="00C064EF">
        <w:rPr>
          <w:lang w:eastAsia="fr-FR" w:bidi="fr-FR"/>
        </w:rPr>
        <w:t>i</w:t>
      </w:r>
      <w:r w:rsidRPr="00C064EF">
        <w:rPr>
          <w:lang w:eastAsia="fr-FR" w:bidi="fr-FR"/>
        </w:rPr>
        <w:t>blesse des échanges Est-Ouest peut également être saisie à partir de leur poids relatif dans le commerce extérieur de l'Est. Grosso modo, au cours des 30 dernières années, 60</w:t>
      </w:r>
      <w:r>
        <w:rPr>
          <w:lang w:eastAsia="fr-FR" w:bidi="fr-FR"/>
        </w:rPr>
        <w:t> %</w:t>
      </w:r>
      <w:r w:rsidRPr="00C064EF">
        <w:rPr>
          <w:lang w:eastAsia="fr-FR" w:bidi="fr-FR"/>
        </w:rPr>
        <w:t xml:space="preserve"> des export</w:t>
      </w:r>
      <w:r w:rsidRPr="00C064EF">
        <w:rPr>
          <w:lang w:eastAsia="fr-FR" w:bidi="fr-FR"/>
        </w:rPr>
        <w:t>a</w:t>
      </w:r>
      <w:r w:rsidRPr="00C064EF">
        <w:rPr>
          <w:lang w:eastAsia="fr-FR" w:bidi="fr-FR"/>
        </w:rPr>
        <w:t>tions de l'URSS et de l'Europe de l'Est étaient internes au CAEM, 25</w:t>
      </w:r>
      <w:r>
        <w:rPr>
          <w:lang w:eastAsia="fr-FR" w:bidi="fr-FR"/>
        </w:rPr>
        <w:t> %</w:t>
      </w:r>
      <w:r w:rsidRPr="00C064EF">
        <w:rPr>
          <w:lang w:eastAsia="fr-FR" w:bidi="fr-FR"/>
        </w:rPr>
        <w:t xml:space="preserve"> étaient destinées aux pays développés, dont 15</w:t>
      </w:r>
      <w:r>
        <w:rPr>
          <w:lang w:eastAsia="fr-FR" w:bidi="fr-FR"/>
        </w:rPr>
        <w:t> %</w:t>
      </w:r>
      <w:r w:rsidRPr="00C064EF">
        <w:rPr>
          <w:lang w:eastAsia="fr-FR" w:bidi="fr-FR"/>
        </w:rPr>
        <w:t xml:space="preserve"> à l'Europe de l'Ouest (CEE et AELE).</w:t>
      </w:r>
    </w:p>
    <w:p w:rsidR="001F5D09" w:rsidRPr="00C064EF" w:rsidRDefault="001F5D09" w:rsidP="001F5D09">
      <w:pPr>
        <w:spacing w:before="120" w:after="120"/>
        <w:jc w:val="both"/>
      </w:pPr>
      <w:r w:rsidRPr="00C064EF">
        <w:rPr>
          <w:lang w:eastAsia="fr-FR" w:bidi="fr-FR"/>
        </w:rPr>
        <w:t>Si faibles aient-ils pu être, ces échanges, s'inscrivant dans le cadre d'une infériorité décisive des pays de l'Est en matière de productivité et de qualité des produits offerts, se sont soldés par un déficit chron</w:t>
      </w:r>
      <w:r w:rsidRPr="00C064EF">
        <w:rPr>
          <w:lang w:eastAsia="fr-FR" w:bidi="fr-FR"/>
        </w:rPr>
        <w:t>i</w:t>
      </w:r>
      <w:r w:rsidRPr="00C064EF">
        <w:rPr>
          <w:lang w:eastAsia="fr-FR" w:bidi="fr-FR"/>
        </w:rPr>
        <w:t>que qui a donné lieu à un endettement accumulé. La dette brute t</w:t>
      </w:r>
      <w:r w:rsidRPr="00C064EF">
        <w:rPr>
          <w:lang w:eastAsia="fr-FR" w:bidi="fr-FR"/>
        </w:rPr>
        <w:t>o</w:t>
      </w:r>
      <w:r w:rsidRPr="00C064EF">
        <w:rPr>
          <w:lang w:eastAsia="fr-FR" w:bidi="fr-FR"/>
        </w:rPr>
        <w:t>tale des pays d’Europe de l'Est atteignait 100 milliards de $</w:t>
      </w:r>
      <w:r>
        <w:rPr>
          <w:lang w:eastAsia="fr-FR" w:bidi="fr-FR"/>
        </w:rPr>
        <w:t> </w:t>
      </w:r>
      <w:r w:rsidRPr="00C064EF">
        <w:rPr>
          <w:lang w:eastAsia="fr-FR" w:bidi="fr-FR"/>
        </w:rPr>
        <w:t>US en 1989, celle de l'URSS 48 milliards de $</w:t>
      </w:r>
      <w:r>
        <w:rPr>
          <w:lang w:eastAsia="fr-FR" w:bidi="fr-FR"/>
        </w:rPr>
        <w:t> </w:t>
      </w:r>
      <w:r w:rsidRPr="00C064EF">
        <w:rPr>
          <w:lang w:eastAsia="fr-FR" w:bidi="fr-FR"/>
        </w:rPr>
        <w:t>US. Les dettes nettes corresponda</w:t>
      </w:r>
      <w:r w:rsidRPr="00C064EF">
        <w:rPr>
          <w:lang w:eastAsia="fr-FR" w:bidi="fr-FR"/>
        </w:rPr>
        <w:t>n</w:t>
      </w:r>
      <w:r w:rsidRPr="00C064EF">
        <w:rPr>
          <w:lang w:eastAsia="fr-FR" w:bidi="fr-FR"/>
        </w:rPr>
        <w:t>tes étaient respectivement de 82 et 33 milliards de $ US (OCDE, 1990). Évaluée en termes constants aux taux de change de 1988, la dette de tous les pays sauf la Roumanie a augmenté systém</w:t>
      </w:r>
      <w:r w:rsidRPr="00C064EF">
        <w:rPr>
          <w:lang w:eastAsia="fr-FR" w:bidi="fr-FR"/>
        </w:rPr>
        <w:t>a</w:t>
      </w:r>
      <w:r w:rsidRPr="00C064EF">
        <w:rPr>
          <w:lang w:eastAsia="fr-FR" w:bidi="fr-FR"/>
        </w:rPr>
        <w:t>tiquement au cours de la décennie 1980, à part quelques légères dim</w:t>
      </w:r>
      <w:r w:rsidRPr="00C064EF">
        <w:rPr>
          <w:lang w:eastAsia="fr-FR" w:bidi="fr-FR"/>
        </w:rPr>
        <w:t>i</w:t>
      </w:r>
      <w:r w:rsidRPr="00C064EF">
        <w:rPr>
          <w:lang w:eastAsia="fr-FR" w:bidi="fr-FR"/>
        </w:rPr>
        <w:t>nutions de 1981 à 1985 pour la Bulgarie, la Tchécoslovaquie et la RDA. Le fa</w:t>
      </w:r>
      <w:r w:rsidRPr="00C064EF">
        <w:rPr>
          <w:lang w:eastAsia="fr-FR" w:bidi="fr-FR"/>
        </w:rPr>
        <w:t>r</w:t>
      </w:r>
      <w:r w:rsidRPr="00C064EF">
        <w:rPr>
          <w:lang w:eastAsia="fr-FR" w:bidi="fr-FR"/>
        </w:rPr>
        <w:t>deau de la dette de la Pologne est comparable à ceux des pays les plus endettés d'Amérique latine. La Bulgarie et la Hongrie ont atteint le stade d'incapacité réelle d'emprunter davantage. L'URSS, la RDA et la Tchécoslovaquie peuvent encore pour l'instant augmenter leur dette, mais avec la plus grande prudence, alors que la Roumanie, on sait à quel prix, a à toutes fins utiles achevé en 1989 de rembourser sa dette, sa position nette devenant même légèrement créditrice.</w:t>
      </w:r>
    </w:p>
    <w:p w:rsidR="001F5D09" w:rsidRDefault="001F5D09" w:rsidP="001F5D09">
      <w:pPr>
        <w:spacing w:before="120" w:after="120"/>
        <w:jc w:val="both"/>
        <w:rPr>
          <w:lang w:eastAsia="fr-FR" w:bidi="fr-FR"/>
        </w:rPr>
      </w:pPr>
    </w:p>
    <w:p w:rsidR="001F5D09" w:rsidRDefault="001F5D09" w:rsidP="001F5D09">
      <w:pPr>
        <w:spacing w:before="120" w:after="120"/>
        <w:jc w:val="both"/>
        <w:rPr>
          <w:lang w:eastAsia="fr-FR" w:bidi="fr-FR"/>
        </w:rPr>
      </w:pPr>
    </w:p>
    <w:p w:rsidR="001F5D09" w:rsidRPr="00CC274B" w:rsidRDefault="001F5D09" w:rsidP="001F5D09">
      <w:pPr>
        <w:pStyle w:val="b"/>
      </w:pPr>
      <w:r w:rsidRPr="00CC274B">
        <w:rPr>
          <w:lang w:eastAsia="fr-FR" w:bidi="fr-FR"/>
        </w:rPr>
        <w:t>Les hésitations de l'Ouest</w:t>
      </w:r>
    </w:p>
    <w:p w:rsidR="001F5D09" w:rsidRDefault="001F5D09" w:rsidP="001F5D09">
      <w:pPr>
        <w:spacing w:before="120" w:after="120"/>
        <w:jc w:val="both"/>
        <w:rPr>
          <w:lang w:eastAsia="fr-FR" w:bidi="fr-FR"/>
        </w:rPr>
      </w:pPr>
    </w:p>
    <w:p w:rsidR="001F5D09" w:rsidRPr="00C064EF" w:rsidRDefault="001F5D09" w:rsidP="001F5D09">
      <w:pPr>
        <w:spacing w:before="120" w:after="120"/>
        <w:jc w:val="both"/>
      </w:pPr>
      <w:r w:rsidRPr="00C064EF">
        <w:rPr>
          <w:lang w:eastAsia="fr-FR" w:bidi="fr-FR"/>
        </w:rPr>
        <w:t xml:space="preserve">La faillite de la gestion stalinienne et de sa prétendue construction du </w:t>
      </w:r>
      <w:r w:rsidRPr="00C064EF">
        <w:t>« </w:t>
      </w:r>
      <w:r w:rsidRPr="00C064EF">
        <w:rPr>
          <w:lang w:eastAsia="fr-FR" w:bidi="fr-FR"/>
        </w:rPr>
        <w:t>socialisme</w:t>
      </w:r>
      <w:r w:rsidRPr="00C064EF">
        <w:t> »</w:t>
      </w:r>
      <w:r w:rsidRPr="00C064EF">
        <w:rPr>
          <w:lang w:eastAsia="fr-FR" w:bidi="fr-FR"/>
        </w:rPr>
        <w:t xml:space="preserve"> dans un seul bloc amène aujourd'hui l'Europe de l'Est à tourner le dos à son isolement contre nature au sein du CAEM, à rechercher les voies de sa réinsertion dans une division internation</w:t>
      </w:r>
      <w:r w:rsidRPr="00C064EF">
        <w:rPr>
          <w:lang w:eastAsia="fr-FR" w:bidi="fr-FR"/>
        </w:rPr>
        <w:t>a</w:t>
      </w:r>
      <w:r w:rsidRPr="00C064EF">
        <w:rPr>
          <w:lang w:eastAsia="fr-FR" w:bidi="fr-FR"/>
        </w:rPr>
        <w:t>le unique du travail et d'abord dans la division européenne du tr</w:t>
      </w:r>
      <w:r w:rsidRPr="00C064EF">
        <w:rPr>
          <w:lang w:eastAsia="fr-FR" w:bidi="fr-FR"/>
        </w:rPr>
        <w:t>a</w:t>
      </w:r>
      <w:r w:rsidRPr="00C064EF">
        <w:rPr>
          <w:lang w:eastAsia="fr-FR" w:bidi="fr-FR"/>
        </w:rPr>
        <w:t>vail, élément de la reconstitution de l’Europe comme entité écon</w:t>
      </w:r>
      <w:r w:rsidRPr="00C064EF">
        <w:rPr>
          <w:lang w:eastAsia="fr-FR" w:bidi="fr-FR"/>
        </w:rPr>
        <w:t>o</w:t>
      </w:r>
      <w:r w:rsidRPr="00C064EF">
        <w:rPr>
          <w:lang w:eastAsia="fr-FR" w:bidi="fr-FR"/>
        </w:rPr>
        <w:t>mique indivisible. La modernisation de son économie, son élévation au n</w:t>
      </w:r>
      <w:r w:rsidRPr="00C064EF">
        <w:rPr>
          <w:lang w:eastAsia="fr-FR" w:bidi="fr-FR"/>
        </w:rPr>
        <w:t>i</w:t>
      </w:r>
      <w:r w:rsidRPr="00C064EF">
        <w:rPr>
          <w:lang w:eastAsia="fr-FR" w:bidi="fr-FR"/>
        </w:rPr>
        <w:t>veau technique de l'Europe de l'Ouest, implique, comme l'a mo</w:t>
      </w:r>
      <w:r w:rsidRPr="00C064EF">
        <w:rPr>
          <w:lang w:eastAsia="fr-FR" w:bidi="fr-FR"/>
        </w:rPr>
        <w:t>n</w:t>
      </w:r>
      <w:r w:rsidRPr="00C064EF">
        <w:rPr>
          <w:lang w:eastAsia="fr-FR" w:bidi="fr-FR"/>
        </w:rPr>
        <w:t>tré le cas particulier de la RDA, des coûts significatifs. Ne pouvant</w:t>
      </w:r>
      <w:r>
        <w:rPr>
          <w:lang w:eastAsia="fr-FR" w:bidi="fr-FR"/>
        </w:rPr>
        <w:t xml:space="preserve"> </w:t>
      </w:r>
      <w:r>
        <w:t xml:space="preserve">[172] </w:t>
      </w:r>
      <w:r w:rsidRPr="00C064EF">
        <w:rPr>
          <w:lang w:eastAsia="fr-FR" w:bidi="fr-FR"/>
        </w:rPr>
        <w:t>s'engager dans de nouveaux emprunts massifs et ne disposant pas des ressources internes nécessaires aux achats d'équipements quelle devra effectuer à l'Ouest, elle ouvre ses frontières aux investissements privés étrangers et appelle à l’aide économique de l'Ouest. Mais la situation de l'Europe de l'Est face à l'Europe de l'Ouest d'abord, puis au reste du monde industrialisé, est bien différente de celle de la RDA</w:t>
      </w:r>
      <w:r>
        <w:rPr>
          <w:lang w:eastAsia="fr-FR" w:bidi="fr-FR"/>
        </w:rPr>
        <w:t xml:space="preserve"> </w:t>
      </w:r>
      <w:r w:rsidRPr="00C064EF">
        <w:rPr>
          <w:lang w:eastAsia="fr-FR" w:bidi="fr-FR"/>
        </w:rPr>
        <w:t>face à la RFA, tant en ce qui concerne les investissements privés que l'aide f</w:t>
      </w:r>
      <w:r w:rsidRPr="00C064EF">
        <w:rPr>
          <w:lang w:eastAsia="fr-FR" w:bidi="fr-FR"/>
        </w:rPr>
        <w:t>i</w:t>
      </w:r>
      <w:r w:rsidRPr="00C064EF">
        <w:rPr>
          <w:lang w:eastAsia="fr-FR" w:bidi="fr-FR"/>
        </w:rPr>
        <w:t>nancière publique.</w:t>
      </w:r>
    </w:p>
    <w:p w:rsidR="001F5D09" w:rsidRPr="00C064EF" w:rsidRDefault="001F5D09" w:rsidP="001F5D09">
      <w:pPr>
        <w:spacing w:before="120" w:after="120"/>
        <w:jc w:val="both"/>
      </w:pPr>
      <w:r w:rsidRPr="00C064EF">
        <w:rPr>
          <w:lang w:eastAsia="fr-FR" w:bidi="fr-FR"/>
        </w:rPr>
        <w:t>Alors que le capital allemand se précipite tout naturellement et avec enthousiasme en RDA, saisissant l'extraordinaire occasion qui lui est offerte de reconquérir un marché national à partir duquel il compte se redéployer et se renforcer face à ses concurrents à l'échelle mondi</w:t>
      </w:r>
      <w:r w:rsidRPr="00C064EF">
        <w:rPr>
          <w:lang w:eastAsia="fr-FR" w:bidi="fr-FR"/>
        </w:rPr>
        <w:t>a</w:t>
      </w:r>
      <w:r w:rsidRPr="00C064EF">
        <w:rPr>
          <w:lang w:eastAsia="fr-FR" w:bidi="fr-FR"/>
        </w:rPr>
        <w:t>le, une hésitation manifeste caractérise encore l'attitude des cap</w:t>
      </w:r>
      <w:r w:rsidRPr="00C064EF">
        <w:rPr>
          <w:lang w:eastAsia="fr-FR" w:bidi="fr-FR"/>
        </w:rPr>
        <w:t>i</w:t>
      </w:r>
      <w:r w:rsidRPr="00C064EF">
        <w:rPr>
          <w:lang w:eastAsia="fr-FR" w:bidi="fr-FR"/>
        </w:rPr>
        <w:t>taux occidentaux en général face aux perspectives d'investissement dans les autres pays d'Europe de l'Est. Et cela est compréhensible. Des inve</w:t>
      </w:r>
      <w:r w:rsidRPr="00C064EF">
        <w:rPr>
          <w:lang w:eastAsia="fr-FR" w:bidi="fr-FR"/>
        </w:rPr>
        <w:t>s</w:t>
      </w:r>
      <w:r w:rsidRPr="00C064EF">
        <w:rPr>
          <w:lang w:eastAsia="fr-FR" w:bidi="fr-FR"/>
        </w:rPr>
        <w:t>tissements de sources étrangères diverses dirigés vers des pays di</w:t>
      </w:r>
      <w:r w:rsidRPr="00C064EF">
        <w:rPr>
          <w:lang w:eastAsia="fr-FR" w:bidi="fr-FR"/>
        </w:rPr>
        <w:t>s</w:t>
      </w:r>
      <w:r w:rsidRPr="00C064EF">
        <w:rPr>
          <w:lang w:eastAsia="fr-FR" w:bidi="fr-FR"/>
        </w:rPr>
        <w:t>tincts ayant chacun leur situation économique, politique et jur</w:t>
      </w:r>
      <w:r w:rsidRPr="00C064EF">
        <w:rPr>
          <w:lang w:eastAsia="fr-FR" w:bidi="fr-FR"/>
        </w:rPr>
        <w:t>i</w:t>
      </w:r>
      <w:r w:rsidRPr="00C064EF">
        <w:rPr>
          <w:lang w:eastAsia="fr-FR" w:bidi="fr-FR"/>
        </w:rPr>
        <w:t>dique particulière, ne sont pas du même type que des investissements réal</w:t>
      </w:r>
      <w:r w:rsidRPr="00C064EF">
        <w:rPr>
          <w:lang w:eastAsia="fr-FR" w:bidi="fr-FR"/>
        </w:rPr>
        <w:t>i</w:t>
      </w:r>
      <w:r w:rsidRPr="00C064EF">
        <w:rPr>
          <w:lang w:eastAsia="fr-FR" w:bidi="fr-FR"/>
        </w:rPr>
        <w:t>sés par un capital national sur son propre territoire national, régi par un système unique de coutumes et de lois. Il ne fait aucun doute que la chute des barrières entre l’Est et l'Ouest est un événement des plus positifs pour le capital qui voit dans le retour à la libre circulation à l'échelle mondiale la meilleure assurance de sa fructification. Les i</w:t>
      </w:r>
      <w:r w:rsidRPr="00C064EF">
        <w:rPr>
          <w:lang w:eastAsia="fr-FR" w:bidi="fr-FR"/>
        </w:rPr>
        <w:t>n</w:t>
      </w:r>
      <w:r w:rsidRPr="00C064EF">
        <w:rPr>
          <w:lang w:eastAsia="fr-FR" w:bidi="fr-FR"/>
        </w:rPr>
        <w:t>vestisseurs privés démontrent toutefois à ce stade beaucoup de pr</w:t>
      </w:r>
      <w:r w:rsidRPr="00C064EF">
        <w:rPr>
          <w:lang w:eastAsia="fr-FR" w:bidi="fr-FR"/>
        </w:rPr>
        <w:t>u</w:t>
      </w:r>
      <w:r w:rsidRPr="00C064EF">
        <w:rPr>
          <w:lang w:eastAsia="fr-FR" w:bidi="fr-FR"/>
        </w:rPr>
        <w:t xml:space="preserve">dence face à l'Est, exigeant des garanties et préférant attendre que la </w:t>
      </w:r>
      <w:r w:rsidRPr="00C064EF">
        <w:rPr>
          <w:lang w:eastAsia="fr-FR" w:bidi="fr-FR"/>
        </w:rPr>
        <w:lastRenderedPageBreak/>
        <w:t xml:space="preserve">période de </w:t>
      </w:r>
      <w:r w:rsidRPr="00C064EF">
        <w:t>« </w:t>
      </w:r>
      <w:r w:rsidRPr="00C064EF">
        <w:rPr>
          <w:lang w:eastAsia="fr-FR" w:bidi="fr-FR"/>
        </w:rPr>
        <w:t>difficultés initiales inévitables</w:t>
      </w:r>
      <w:r w:rsidRPr="00C064EF">
        <w:t> »</w:t>
      </w:r>
      <w:r w:rsidRPr="00C064EF">
        <w:rPr>
          <w:lang w:eastAsia="fr-FR" w:bidi="fr-FR"/>
        </w:rPr>
        <w:t xml:space="preserve"> de mise en place de l'économie de marché (période du </w:t>
      </w:r>
      <w:r w:rsidRPr="00CC274B">
        <w:rPr>
          <w:i/>
        </w:rPr>
        <w:t>big bang</w:t>
      </w:r>
      <w:r w:rsidRPr="00C064EF">
        <w:rPr>
          <w:lang w:eastAsia="fr-FR" w:bidi="fr-FR"/>
        </w:rPr>
        <w:t>) ait créé les conditions d'une rentabilité jugée suffisante.</w:t>
      </w:r>
    </w:p>
    <w:p w:rsidR="001F5D09" w:rsidRPr="00C064EF" w:rsidRDefault="001F5D09" w:rsidP="001F5D09">
      <w:pPr>
        <w:spacing w:before="120" w:after="120"/>
        <w:jc w:val="both"/>
      </w:pPr>
      <w:r w:rsidRPr="00C064EF">
        <w:rPr>
          <w:lang w:eastAsia="fr-FR" w:bidi="fr-FR"/>
        </w:rPr>
        <w:t>Il en est de même de l'aide financière publique. La réunification de l'Allemagne est un processus qui se déroule entre deux composantes d'une même nation dont tous les citoyens, à l'Est comme à l'Ouest, sont constitutionnellement reconnus comme citoyens allemands par l'État de la RFA, ce qui permet à tout Allemand de l’Est de trouver refuge à l'Ouest. Le concours financier public de l'État ouest-allemand dans ce contexte d'une réunification nationale est donc dicté par des considérations bien différentes de celles qui pourraient déterminer la contribution des États ouest-européens à une réinsertion de l'Europe de l'Est dans une Europe multinationale unique. Comme pour les i</w:t>
      </w:r>
      <w:r w:rsidRPr="00C064EF">
        <w:rPr>
          <w:lang w:eastAsia="fr-FR" w:bidi="fr-FR"/>
        </w:rPr>
        <w:t>n</w:t>
      </w:r>
      <w:r w:rsidRPr="00C064EF">
        <w:rPr>
          <w:lang w:eastAsia="fr-FR" w:bidi="fr-FR"/>
        </w:rPr>
        <w:t>vestissements privés, on doit constater à cet égard une certaine pr</w:t>
      </w:r>
      <w:r w:rsidRPr="00C064EF">
        <w:rPr>
          <w:lang w:eastAsia="fr-FR" w:bidi="fr-FR"/>
        </w:rPr>
        <w:t>u</w:t>
      </w:r>
      <w:r w:rsidRPr="00C064EF">
        <w:rPr>
          <w:lang w:eastAsia="fr-FR" w:bidi="fr-FR"/>
        </w:rPr>
        <w:t>dence dans les moyens déployés à ce jour. De nombreuses propos</w:t>
      </w:r>
      <w:r w:rsidRPr="00C064EF">
        <w:rPr>
          <w:lang w:eastAsia="fr-FR" w:bidi="fr-FR"/>
        </w:rPr>
        <w:t>i</w:t>
      </w:r>
      <w:r w:rsidRPr="00C064EF">
        <w:rPr>
          <w:lang w:eastAsia="fr-FR" w:bidi="fr-FR"/>
        </w:rPr>
        <w:t>tions ont été mises de l’avant, faisant référence au plan Marshall de 1948. Le conseiller du gouvernement français, Lionel Stoléru (1990), a</w:t>
      </w:r>
      <w:r>
        <w:rPr>
          <w:lang w:eastAsia="fr-FR" w:bidi="fr-FR"/>
        </w:rPr>
        <w:t xml:space="preserve"> </w:t>
      </w:r>
      <w:r>
        <w:t xml:space="preserve">[173] </w:t>
      </w:r>
      <w:r w:rsidRPr="00C064EF">
        <w:rPr>
          <w:lang w:eastAsia="fr-FR" w:bidi="fr-FR"/>
        </w:rPr>
        <w:t xml:space="preserve">proposé pour sa part un Plan </w:t>
      </w:r>
      <w:r w:rsidRPr="006A65BD">
        <w:rPr>
          <w:i/>
        </w:rPr>
        <w:t>Monnet</w:t>
      </w:r>
      <w:r w:rsidRPr="00C064EF">
        <w:rPr>
          <w:lang w:eastAsia="fr-FR" w:bidi="fr-FR"/>
        </w:rPr>
        <w:t xml:space="preserve"> d'unification économique et de coopération politique. Le plan Marshall a contribué à la relance de l'économie européenne après la guerre</w:t>
      </w:r>
      <w:r w:rsidRPr="00C064EF">
        <w:t> ;</w:t>
      </w:r>
      <w:r w:rsidRPr="00C064EF">
        <w:rPr>
          <w:lang w:eastAsia="fr-FR" w:bidi="fr-FR"/>
        </w:rPr>
        <w:t xml:space="preserve"> il lui a apporté l'essence à mettre dans le moteur. Pour l'Est, ce qu'il faut, c'est un nouveau m</w:t>
      </w:r>
      <w:r w:rsidRPr="00C064EF">
        <w:rPr>
          <w:lang w:eastAsia="fr-FR" w:bidi="fr-FR"/>
        </w:rPr>
        <w:t>o</w:t>
      </w:r>
      <w:r w:rsidRPr="00C064EF">
        <w:rPr>
          <w:lang w:eastAsia="fr-FR" w:bidi="fr-FR"/>
        </w:rPr>
        <w:t xml:space="preserve">teur, explique Stoléru qui nourrit l'espoir de voir une Confédération européenne </w:t>
      </w:r>
      <w:r w:rsidRPr="00C064EF">
        <w:t>« </w:t>
      </w:r>
      <w:r w:rsidRPr="00C064EF">
        <w:rPr>
          <w:lang w:eastAsia="fr-FR" w:bidi="fr-FR"/>
        </w:rPr>
        <w:t>effacer les conflits idéologiques qui déchirent l'Europe depuis 1917</w:t>
      </w:r>
      <w:r w:rsidRPr="00C064EF">
        <w:t> »</w:t>
      </w:r>
      <w:r w:rsidRPr="00C064EF">
        <w:rPr>
          <w:lang w:eastAsia="fr-FR" w:bidi="fr-FR"/>
        </w:rPr>
        <w:t xml:space="preserve">. Il s'agirait </w:t>
      </w:r>
      <w:r w:rsidRPr="00C064EF">
        <w:t>« </w:t>
      </w:r>
      <w:r w:rsidRPr="00C064EF">
        <w:rPr>
          <w:lang w:eastAsia="fr-FR" w:bidi="fr-FR"/>
        </w:rPr>
        <w:t>d'aider l'Europe à payer le coût de la tra</w:t>
      </w:r>
      <w:r w:rsidRPr="00C064EF">
        <w:rPr>
          <w:lang w:eastAsia="fr-FR" w:bidi="fr-FR"/>
        </w:rPr>
        <w:t>n</w:t>
      </w:r>
      <w:r w:rsidRPr="00C064EF">
        <w:rPr>
          <w:lang w:eastAsia="fr-FR" w:bidi="fr-FR"/>
        </w:rPr>
        <w:t>sition du plan au marché [...]. Le jeu en vaut la chandelle</w:t>
      </w:r>
      <w:r w:rsidRPr="00C064EF">
        <w:t> :</w:t>
      </w:r>
      <w:r w:rsidRPr="00C064EF">
        <w:rPr>
          <w:lang w:eastAsia="fr-FR" w:bidi="fr-FR"/>
        </w:rPr>
        <w:t xml:space="preserve"> que pèse le coût par rapport au risque</w:t>
      </w:r>
      <w:r w:rsidRPr="00C064EF">
        <w:t> ? »</w:t>
      </w:r>
      <w:r w:rsidRPr="00C064EF">
        <w:rPr>
          <w:lang w:eastAsia="fr-FR" w:bidi="fr-FR"/>
        </w:rPr>
        <w:t>, précise-t-il.</w:t>
      </w:r>
    </w:p>
    <w:p w:rsidR="001F5D09" w:rsidRDefault="001F5D09" w:rsidP="001F5D09">
      <w:pPr>
        <w:spacing w:before="120" w:after="120"/>
        <w:jc w:val="both"/>
        <w:rPr>
          <w:lang w:eastAsia="fr-FR" w:bidi="fr-FR"/>
        </w:rPr>
      </w:pPr>
    </w:p>
    <w:p w:rsidR="001F5D09" w:rsidRPr="00CC274B" w:rsidRDefault="001F5D09" w:rsidP="001F5D09">
      <w:pPr>
        <w:pStyle w:val="b"/>
      </w:pPr>
      <w:r w:rsidRPr="00CC274B">
        <w:rPr>
          <w:lang w:eastAsia="fr-FR" w:bidi="fr-FR"/>
        </w:rPr>
        <w:t>Pas de plan Marshall pour l'Est</w:t>
      </w:r>
    </w:p>
    <w:p w:rsidR="001F5D09" w:rsidRDefault="001F5D09" w:rsidP="001F5D09">
      <w:pPr>
        <w:spacing w:before="120" w:after="120"/>
        <w:jc w:val="both"/>
        <w:rPr>
          <w:lang w:eastAsia="fr-FR" w:bidi="fr-FR"/>
        </w:rPr>
      </w:pPr>
    </w:p>
    <w:p w:rsidR="001F5D09" w:rsidRPr="00C064EF" w:rsidRDefault="001F5D09" w:rsidP="001F5D09">
      <w:pPr>
        <w:spacing w:before="120" w:after="120"/>
        <w:jc w:val="both"/>
      </w:pPr>
      <w:r w:rsidRPr="00C064EF">
        <w:rPr>
          <w:lang w:eastAsia="fr-FR" w:bidi="fr-FR"/>
        </w:rPr>
        <w:t>Pourtant, l'enthousiasme n'est pas débordant pour relever ce défi. À titre d'exemple, au début de 1990, le programme d'aide financière de la CEE aux pays de l'Est (URSS non comprise) jusqu'en 1993 ne pr</w:t>
      </w:r>
      <w:r w:rsidRPr="00C064EF">
        <w:rPr>
          <w:lang w:eastAsia="fr-FR" w:bidi="fr-FR"/>
        </w:rPr>
        <w:t>é</w:t>
      </w:r>
      <w:r w:rsidRPr="00C064EF">
        <w:rPr>
          <w:lang w:eastAsia="fr-FR" w:bidi="fr-FR"/>
        </w:rPr>
        <w:t>voyait que 2,5 milliards de $ US, celui des États-Unis, 10 millions pour 1991</w:t>
      </w:r>
      <w:r w:rsidRPr="00C064EF">
        <w:t> !</w:t>
      </w:r>
      <w:r w:rsidRPr="00C064EF">
        <w:rPr>
          <w:lang w:eastAsia="fr-FR" w:bidi="fr-FR"/>
        </w:rPr>
        <w:t xml:space="preserve"> La Commission économique pour l'Europe de l'Organis</w:t>
      </w:r>
      <w:r w:rsidRPr="00C064EF">
        <w:rPr>
          <w:lang w:eastAsia="fr-FR" w:bidi="fr-FR"/>
        </w:rPr>
        <w:t>a</w:t>
      </w:r>
      <w:r w:rsidRPr="00C064EF">
        <w:rPr>
          <w:lang w:eastAsia="fr-FR" w:bidi="fr-FR"/>
        </w:rPr>
        <w:t xml:space="preserve">tion des Nations Unies (CEE-ONU, 1990, 13) croyait pour sa part qu'une réédition du plan Marshall n'était pas susceptible d'apporter une réponse appropriée aux problèmes de l'Est. Alors que ce plan </w:t>
      </w:r>
      <w:r w:rsidRPr="00C064EF">
        <w:rPr>
          <w:lang w:eastAsia="fr-FR" w:bidi="fr-FR"/>
        </w:rPr>
        <w:lastRenderedPageBreak/>
        <w:t>comptait surtout des dons (85</w:t>
      </w:r>
      <w:r>
        <w:rPr>
          <w:lang w:eastAsia="fr-FR" w:bidi="fr-FR"/>
        </w:rPr>
        <w:t> %</w:t>
      </w:r>
      <w:r w:rsidRPr="00C064EF">
        <w:rPr>
          <w:lang w:eastAsia="fr-FR" w:bidi="fr-FR"/>
        </w:rPr>
        <w:t xml:space="preserve"> de dons, 15</w:t>
      </w:r>
      <w:r>
        <w:rPr>
          <w:lang w:eastAsia="fr-FR" w:bidi="fr-FR"/>
        </w:rPr>
        <w:t> %</w:t>
      </w:r>
      <w:r w:rsidRPr="00C064EF">
        <w:rPr>
          <w:lang w:eastAsia="fr-FR" w:bidi="fr-FR"/>
        </w:rPr>
        <w:t xml:space="preserve"> de prêts à long terme) et peu d'assistance technique, elle suggérait d’inverser ces proportions dans un programme d'aide à l'Est</w:t>
      </w:r>
      <w:r w:rsidRPr="00C064EF">
        <w:t> ;</w:t>
      </w:r>
      <w:r w:rsidRPr="00C064EF">
        <w:rPr>
          <w:lang w:eastAsia="fr-FR" w:bidi="fr-FR"/>
        </w:rPr>
        <w:t xml:space="preserve"> elle proposait toutefois une aide financière immédiate dans deux domaines prioritaires, l'amélioration des systèmes de transport et de télécommunications et de la qualité de l'environnement. L’initiative concertée qui a reçu jusqu'ici le plus de publicité est la création de la Banque européenne de reconstruction et de développement (BERD).</w:t>
      </w:r>
    </w:p>
    <w:p w:rsidR="001F5D09" w:rsidRPr="00C064EF" w:rsidRDefault="001F5D09" w:rsidP="001F5D09">
      <w:pPr>
        <w:spacing w:before="120" w:after="120"/>
        <w:jc w:val="both"/>
      </w:pPr>
      <w:r w:rsidRPr="00C064EF">
        <w:rPr>
          <w:lang w:eastAsia="fr-FR" w:bidi="fr-FR"/>
        </w:rPr>
        <w:t>Fondée à l'initiative de la France, de toute évidence pour faire co</w:t>
      </w:r>
      <w:r w:rsidRPr="00C064EF">
        <w:rPr>
          <w:lang w:eastAsia="fr-FR" w:bidi="fr-FR"/>
        </w:rPr>
        <w:t>n</w:t>
      </w:r>
      <w:r w:rsidRPr="00C064EF">
        <w:rPr>
          <w:lang w:eastAsia="fr-FR" w:bidi="fr-FR"/>
        </w:rPr>
        <w:t>trepoids à l'influence grandissante de la RFA à l'Est, 40 pays en sont membres actionnaires, de même que la Commission des Co</w:t>
      </w:r>
      <w:r w:rsidRPr="00C064EF">
        <w:rPr>
          <w:lang w:eastAsia="fr-FR" w:bidi="fr-FR"/>
        </w:rPr>
        <w:t>m</w:t>
      </w:r>
      <w:r w:rsidRPr="00C064EF">
        <w:rPr>
          <w:lang w:eastAsia="fr-FR" w:bidi="fr-FR"/>
        </w:rPr>
        <w:t>muna</w:t>
      </w:r>
      <w:r w:rsidRPr="00C064EF">
        <w:rPr>
          <w:lang w:eastAsia="fr-FR" w:bidi="fr-FR"/>
        </w:rPr>
        <w:t>u</w:t>
      </w:r>
      <w:r w:rsidRPr="00C064EF">
        <w:rPr>
          <w:lang w:eastAsia="fr-FR" w:bidi="fr-FR"/>
        </w:rPr>
        <w:t>tés européennes (CEE) et la Banque européenne d’investissement (BEI). La CEE y est majoritaire avec 51</w:t>
      </w:r>
      <w:r>
        <w:rPr>
          <w:lang w:eastAsia="fr-FR" w:bidi="fr-FR"/>
        </w:rPr>
        <w:t> %</w:t>
      </w:r>
      <w:r w:rsidRPr="00C064EF">
        <w:rPr>
          <w:lang w:eastAsia="fr-FR" w:bidi="fr-FR"/>
        </w:rPr>
        <w:t xml:space="preserve"> des parts, mais cette maj</w:t>
      </w:r>
      <w:r w:rsidRPr="00C064EF">
        <w:rPr>
          <w:lang w:eastAsia="fr-FR" w:bidi="fr-FR"/>
        </w:rPr>
        <w:t>o</w:t>
      </w:r>
      <w:r w:rsidRPr="00C064EF">
        <w:rPr>
          <w:lang w:eastAsia="fr-FR" w:bidi="fr-FR"/>
        </w:rPr>
        <w:t>rité est relative dans la mesure où les décisions sont prises, comme au Fonds monétaire international (FMI), à la majorité des 85</w:t>
      </w:r>
      <w:r>
        <w:rPr>
          <w:lang w:eastAsia="fr-FR" w:bidi="fr-FR"/>
        </w:rPr>
        <w:t> %</w:t>
      </w:r>
      <w:r w:rsidRPr="00C064EF">
        <w:rPr>
          <w:lang w:eastAsia="fr-FR" w:bidi="fr-FR"/>
        </w:rPr>
        <w:t>. Avec 10</w:t>
      </w:r>
      <w:r>
        <w:rPr>
          <w:lang w:eastAsia="fr-FR" w:bidi="fr-FR"/>
        </w:rPr>
        <w:t> %</w:t>
      </w:r>
      <w:r w:rsidRPr="00C064EF">
        <w:rPr>
          <w:lang w:eastAsia="fr-FR" w:bidi="fr-FR"/>
        </w:rPr>
        <w:t xml:space="preserve"> des parts, les États-Unis y sont le plus gros a</w:t>
      </w:r>
      <w:r w:rsidRPr="00C064EF">
        <w:rPr>
          <w:lang w:eastAsia="fr-FR" w:bidi="fr-FR"/>
        </w:rPr>
        <w:t>c</w:t>
      </w:r>
      <w:r w:rsidRPr="00C064EF">
        <w:rPr>
          <w:lang w:eastAsia="fr-FR" w:bidi="fr-FR"/>
        </w:rPr>
        <w:t>tionnaire individuel, même s'ils n'ont pas le droit de veto dont ils di</w:t>
      </w:r>
      <w:r w:rsidRPr="00C064EF">
        <w:rPr>
          <w:lang w:eastAsia="fr-FR" w:bidi="fr-FR"/>
        </w:rPr>
        <w:t>s</w:t>
      </w:r>
      <w:r w:rsidRPr="00C064EF">
        <w:rPr>
          <w:lang w:eastAsia="fr-FR" w:bidi="fr-FR"/>
        </w:rPr>
        <w:t>posent au FMI. Enfin, l'URSS détient 6</w:t>
      </w:r>
      <w:r>
        <w:rPr>
          <w:lang w:eastAsia="fr-FR" w:bidi="fr-FR"/>
        </w:rPr>
        <w:t> %</w:t>
      </w:r>
      <w:r w:rsidRPr="00C064EF">
        <w:rPr>
          <w:lang w:eastAsia="fr-FR" w:bidi="fr-FR"/>
        </w:rPr>
        <w:t xml:space="preserve"> du capital et, ensemble, les six pays d’Europe de l'Est membres du CAEM en détiennent 7,5</w:t>
      </w:r>
      <w:r>
        <w:rPr>
          <w:lang w:eastAsia="fr-FR" w:bidi="fr-FR"/>
        </w:rPr>
        <w:t> %</w:t>
      </w:r>
      <w:r w:rsidRPr="00C064EF">
        <w:rPr>
          <w:lang w:eastAsia="fr-FR" w:bidi="fr-FR"/>
        </w:rPr>
        <w:t>. Le capital de la BERD est fixé à 10 milliards d'écus, soit environ 12 milliards de $</w:t>
      </w:r>
      <w:r>
        <w:rPr>
          <w:lang w:eastAsia="fr-FR" w:bidi="fr-FR"/>
        </w:rPr>
        <w:t> </w:t>
      </w:r>
      <w:r w:rsidRPr="00C064EF">
        <w:rPr>
          <w:lang w:eastAsia="fr-FR" w:bidi="fr-FR"/>
        </w:rPr>
        <w:t>US. À partir de ces ressources, des plus modestes par rapport aux</w:t>
      </w:r>
      <w:r>
        <w:rPr>
          <w:lang w:eastAsia="fr-FR" w:bidi="fr-FR"/>
        </w:rPr>
        <w:t xml:space="preserve"> </w:t>
      </w:r>
      <w:r>
        <w:t xml:space="preserve">[174] </w:t>
      </w:r>
      <w:r w:rsidRPr="00C064EF">
        <w:rPr>
          <w:lang w:eastAsia="fr-FR" w:bidi="fr-FR"/>
        </w:rPr>
        <w:t>besoins, au moins 60</w:t>
      </w:r>
      <w:r>
        <w:rPr>
          <w:lang w:eastAsia="fr-FR" w:bidi="fr-FR"/>
        </w:rPr>
        <w:t> %</w:t>
      </w:r>
      <w:r w:rsidRPr="00C064EF">
        <w:rPr>
          <w:lang w:eastAsia="fr-FR" w:bidi="fr-FR"/>
        </w:rPr>
        <w:t xml:space="preserve"> des prêts de la BERD do</w:t>
      </w:r>
      <w:r w:rsidRPr="00C064EF">
        <w:rPr>
          <w:lang w:eastAsia="fr-FR" w:bidi="fr-FR"/>
        </w:rPr>
        <w:t>i</w:t>
      </w:r>
      <w:r w:rsidRPr="00C064EF">
        <w:rPr>
          <w:lang w:eastAsia="fr-FR" w:bidi="fr-FR"/>
        </w:rPr>
        <w:t>vent être cons</w:t>
      </w:r>
      <w:r w:rsidRPr="00C064EF">
        <w:rPr>
          <w:lang w:eastAsia="fr-FR" w:bidi="fr-FR"/>
        </w:rPr>
        <w:t>a</w:t>
      </w:r>
      <w:r w:rsidRPr="00C064EF">
        <w:rPr>
          <w:lang w:eastAsia="fr-FR" w:bidi="fr-FR"/>
        </w:rPr>
        <w:t>crés au financement de projets destinés à développer le secteur privé, le reste pouvant être affecté au développement des i</w:t>
      </w:r>
      <w:r w:rsidRPr="00C064EF">
        <w:rPr>
          <w:lang w:eastAsia="fr-FR" w:bidi="fr-FR"/>
        </w:rPr>
        <w:t>n</w:t>
      </w:r>
      <w:r w:rsidRPr="00C064EF">
        <w:rPr>
          <w:lang w:eastAsia="fr-FR" w:bidi="fr-FR"/>
        </w:rPr>
        <w:t>frastructures. Rappelons que le Fonds pour l'unité allemande mis sur pied au même moment par la seule RFA était de 115 milliards de DM (70 milliards de $ US). Pour leur part, les crédits du plan Marshall accordés par les États-Unis aux pays européens sur une période de quatre ans de 1948 à 1952 s'élevaient à quelque 15 milliards de $ US, soit, sur une base annuelle, environ 2</w:t>
      </w:r>
      <w:r>
        <w:rPr>
          <w:lang w:eastAsia="fr-FR" w:bidi="fr-FR"/>
        </w:rPr>
        <w:t> %</w:t>
      </w:r>
      <w:r w:rsidRPr="00C064EF">
        <w:rPr>
          <w:lang w:eastAsia="fr-FR" w:bidi="fr-FR"/>
        </w:rPr>
        <w:t xml:space="preserve"> du PNB améric</w:t>
      </w:r>
      <w:r>
        <w:rPr>
          <w:lang w:eastAsia="fr-FR" w:bidi="fr-FR"/>
        </w:rPr>
        <w:t>ain d'alors (250 milliards de $ </w:t>
      </w:r>
      <w:r w:rsidRPr="00C064EF">
        <w:rPr>
          <w:lang w:eastAsia="fr-FR" w:bidi="fr-FR"/>
        </w:rPr>
        <w:t>US en 1948)</w:t>
      </w:r>
      <w:r w:rsidRPr="00C064EF">
        <w:t> ;</w:t>
      </w:r>
      <w:r w:rsidRPr="00C064EF">
        <w:rPr>
          <w:lang w:eastAsia="fr-FR" w:bidi="fr-FR"/>
        </w:rPr>
        <w:t xml:space="preserve"> l'équivalent en 1990, par rapport à un PNB de l'ordre de 5</w:t>
      </w:r>
      <w:r>
        <w:rPr>
          <w:lang w:eastAsia="fr-FR" w:bidi="fr-FR"/>
        </w:rPr>
        <w:t> </w:t>
      </w:r>
      <w:r w:rsidRPr="00C064EF">
        <w:rPr>
          <w:lang w:eastAsia="fr-FR" w:bidi="fr-FR"/>
        </w:rPr>
        <w:t>000 milliards de $</w:t>
      </w:r>
      <w:r>
        <w:rPr>
          <w:lang w:eastAsia="fr-FR" w:bidi="fr-FR"/>
        </w:rPr>
        <w:t> </w:t>
      </w:r>
      <w:r w:rsidRPr="00C064EF">
        <w:rPr>
          <w:lang w:eastAsia="fr-FR" w:bidi="fr-FR"/>
        </w:rPr>
        <w:t>US, serait de quelque 100 milliards de $ US par année pendant quatre ans. Certes, les enjeux p</w:t>
      </w:r>
      <w:r w:rsidRPr="00C064EF">
        <w:rPr>
          <w:lang w:eastAsia="fr-FR" w:bidi="fr-FR"/>
        </w:rPr>
        <w:t>o</w:t>
      </w:r>
      <w:r w:rsidRPr="00C064EF">
        <w:rPr>
          <w:lang w:eastAsia="fr-FR" w:bidi="fr-FR"/>
        </w:rPr>
        <w:t>litiques n'étaient pas les mêmes. La position ferme des États-Unis e</w:t>
      </w:r>
      <w:r w:rsidRPr="00C064EF">
        <w:rPr>
          <w:lang w:eastAsia="fr-FR" w:bidi="fr-FR"/>
        </w:rPr>
        <w:t>x</w:t>
      </w:r>
      <w:r w:rsidRPr="00C064EF">
        <w:rPr>
          <w:lang w:eastAsia="fr-FR" w:bidi="fr-FR"/>
        </w:rPr>
        <w:t>primée au sommet économique de Houston en juillet 1990 contre to</w:t>
      </w:r>
      <w:r w:rsidRPr="00C064EF">
        <w:rPr>
          <w:lang w:eastAsia="fr-FR" w:bidi="fr-FR"/>
        </w:rPr>
        <w:t>u</w:t>
      </w:r>
      <w:r w:rsidRPr="00C064EF">
        <w:rPr>
          <w:lang w:eastAsia="fr-FR" w:bidi="fr-FR"/>
        </w:rPr>
        <w:t>te augmentation de l'aide à l'URSS et aux pays d'Europe de l'Est en témoigne.</w:t>
      </w:r>
    </w:p>
    <w:p w:rsidR="001F5D09" w:rsidRPr="00C064EF" w:rsidRDefault="001F5D09" w:rsidP="001F5D09">
      <w:pPr>
        <w:spacing w:before="120" w:after="120"/>
        <w:jc w:val="both"/>
      </w:pPr>
      <w:r w:rsidRPr="00C064EF">
        <w:rPr>
          <w:lang w:eastAsia="fr-FR" w:bidi="fr-FR"/>
        </w:rPr>
        <w:t xml:space="preserve">La ressoudure des deux composantes de l'Europe dans une entité économique intégrée sera de toute évidence un processus plus lent et </w:t>
      </w:r>
      <w:r w:rsidRPr="00C064EF">
        <w:rPr>
          <w:lang w:eastAsia="fr-FR" w:bidi="fr-FR"/>
        </w:rPr>
        <w:lastRenderedPageBreak/>
        <w:t>moins complet que la réunification de l’Allemagne. Les difficultés rencontrées pousseront les nouveaux gestionnaires des pays de l'Est à recourir à des médecines de cheval qui tôt ou tard finiront par dresser la population contre les mesures, dictées par l'économie de marché, dont elle aura à subir les conséquences. Si la population apparaît aux yeux de plusieurs comme acquise à la rationalité du capital parce qu'elle exècre le système stalinien q</w:t>
      </w:r>
      <w:r>
        <w:rPr>
          <w:lang w:eastAsia="fr-FR" w:bidi="fr-FR"/>
        </w:rPr>
        <w:t>u’e</w:t>
      </w:r>
      <w:r w:rsidRPr="00C064EF">
        <w:rPr>
          <w:lang w:eastAsia="fr-FR" w:bidi="fr-FR"/>
        </w:rPr>
        <w:t>lle a enfin réussi à renverser, il serait sans doute plus juste de la voir comme une population tempora</w:t>
      </w:r>
      <w:r w:rsidRPr="00C064EF">
        <w:rPr>
          <w:lang w:eastAsia="fr-FR" w:bidi="fr-FR"/>
        </w:rPr>
        <w:t>i</w:t>
      </w:r>
      <w:r w:rsidRPr="00C064EF">
        <w:rPr>
          <w:lang w:eastAsia="fr-FR" w:bidi="fr-FR"/>
        </w:rPr>
        <w:t>rement disposée à certaines concessions dans l'attente des résultats qu'on lui promet. Mais la marchandise tarde à être livrée</w:t>
      </w:r>
      <w:r w:rsidRPr="00C064EF">
        <w:t> ;</w:t>
      </w:r>
      <w:r w:rsidRPr="00C064EF">
        <w:rPr>
          <w:lang w:eastAsia="fr-FR" w:bidi="fr-FR"/>
        </w:rPr>
        <w:t xml:space="preserve"> le niveau de vie chute, le chômage est en hausse, l'inflation persiste, et les prév</w:t>
      </w:r>
      <w:r w:rsidRPr="00C064EF">
        <w:rPr>
          <w:lang w:eastAsia="fr-FR" w:bidi="fr-FR"/>
        </w:rPr>
        <w:t>i</w:t>
      </w:r>
      <w:r w:rsidRPr="00C064EF">
        <w:rPr>
          <w:lang w:eastAsia="fr-FR" w:bidi="fr-FR"/>
        </w:rPr>
        <w:t>sions pour le court terme ne sont pas meilleures. Contenu au début, le mécontentement de la population a commencé à s'exprimer par des grèves et autres types de protestation.</w:t>
      </w:r>
    </w:p>
    <w:p w:rsidR="001F5D09" w:rsidRDefault="001F5D09" w:rsidP="001F5D09">
      <w:pPr>
        <w:spacing w:before="120" w:after="120"/>
        <w:jc w:val="both"/>
        <w:rPr>
          <w:lang w:eastAsia="fr-FR" w:bidi="fr-FR"/>
        </w:rPr>
      </w:pPr>
    </w:p>
    <w:p w:rsidR="001F5D09" w:rsidRPr="00C064EF" w:rsidRDefault="001F5D09" w:rsidP="001F5D09">
      <w:pPr>
        <w:pStyle w:val="aa"/>
      </w:pPr>
      <w:r>
        <w:t>Quelle incidence</w:t>
      </w:r>
      <w:r>
        <w:br/>
      </w:r>
      <w:r w:rsidRPr="00C064EF">
        <w:t>sur les rapports mo</w:t>
      </w:r>
      <w:r w:rsidRPr="00C064EF">
        <w:t>n</w:t>
      </w:r>
      <w:r w:rsidRPr="00C064EF">
        <w:t>diaux ?</w:t>
      </w:r>
    </w:p>
    <w:p w:rsidR="001F5D09" w:rsidRDefault="001F5D09" w:rsidP="001F5D09">
      <w:pPr>
        <w:spacing w:before="120" w:after="120"/>
        <w:jc w:val="both"/>
        <w:rPr>
          <w:lang w:eastAsia="fr-FR" w:bidi="fr-FR"/>
        </w:rPr>
      </w:pPr>
    </w:p>
    <w:p w:rsidR="001F5D09" w:rsidRPr="00C064EF" w:rsidRDefault="001F5D09" w:rsidP="001F5D09">
      <w:pPr>
        <w:spacing w:before="120" w:after="120"/>
        <w:jc w:val="both"/>
      </w:pPr>
      <w:r w:rsidRPr="00C064EF">
        <w:rPr>
          <w:lang w:eastAsia="fr-FR" w:bidi="fr-FR"/>
        </w:rPr>
        <w:t>Quel sera l’impact de l'écroulement de la division Est-Ouest de l’Europe et de l'intégration croissante des économies de l'Est dans l'ensemble européen sur les rapports européens et mondiaux</w:t>
      </w:r>
      <w:r w:rsidRPr="00C064EF">
        <w:t> ?</w:t>
      </w:r>
      <w:r w:rsidRPr="00C064EF">
        <w:rPr>
          <w:lang w:eastAsia="fr-FR" w:bidi="fr-FR"/>
        </w:rPr>
        <w:t xml:space="preserve"> Qu'en est-il d'abord du projet de </w:t>
      </w:r>
      <w:r w:rsidRPr="00C064EF">
        <w:t>« </w:t>
      </w:r>
      <w:r w:rsidRPr="00C064EF">
        <w:rPr>
          <w:lang w:eastAsia="fr-FR" w:bidi="fr-FR"/>
        </w:rPr>
        <w:t>l'Europe de 1992</w:t>
      </w:r>
      <w:r w:rsidRPr="00C064EF">
        <w:t> » ?</w:t>
      </w:r>
      <w:r w:rsidRPr="00C064EF">
        <w:rPr>
          <w:lang w:eastAsia="fr-FR" w:bidi="fr-FR"/>
        </w:rPr>
        <w:t xml:space="preserve"> Avec 60</w:t>
      </w:r>
      <w:r>
        <w:rPr>
          <w:lang w:eastAsia="fr-FR" w:bidi="fr-FR"/>
        </w:rPr>
        <w:t> %</w:t>
      </w:r>
      <w:r w:rsidRPr="00C064EF">
        <w:rPr>
          <w:lang w:eastAsia="fr-FR" w:bidi="fr-FR"/>
        </w:rPr>
        <w:t xml:space="preserve"> des di</w:t>
      </w:r>
      <w:r w:rsidRPr="00C064EF">
        <w:rPr>
          <w:lang w:eastAsia="fr-FR" w:bidi="fr-FR"/>
        </w:rPr>
        <w:t>s</w:t>
      </w:r>
      <w:r w:rsidRPr="00C064EF">
        <w:rPr>
          <w:lang w:eastAsia="fr-FR" w:bidi="fr-FR"/>
        </w:rPr>
        <w:t>positions de l'Acte unique de 1992 ratifiées au début de 1990, on pourrait croire que l'avenir est prometteur. Les obstacles les plus i</w:t>
      </w:r>
      <w:r w:rsidRPr="00C064EF">
        <w:rPr>
          <w:lang w:eastAsia="fr-FR" w:bidi="fr-FR"/>
        </w:rPr>
        <w:t>m</w:t>
      </w:r>
      <w:r w:rsidRPr="00C064EF">
        <w:rPr>
          <w:lang w:eastAsia="fr-FR" w:bidi="fr-FR"/>
        </w:rPr>
        <w:t xml:space="preserve">portants au </w:t>
      </w:r>
      <w:r w:rsidRPr="00C064EF">
        <w:t>« </w:t>
      </w:r>
      <w:r w:rsidRPr="00C064EF">
        <w:rPr>
          <w:lang w:eastAsia="fr-FR" w:bidi="fr-FR"/>
        </w:rPr>
        <w:t>grand marché européen sans frontières</w:t>
      </w:r>
      <w:r w:rsidRPr="00C064EF">
        <w:t> »</w:t>
      </w:r>
      <w:r w:rsidRPr="00C064EF">
        <w:rPr>
          <w:lang w:eastAsia="fr-FR" w:bidi="fr-FR"/>
        </w:rPr>
        <w:t xml:space="preserve"> restent</w:t>
      </w:r>
      <w:r>
        <w:rPr>
          <w:lang w:eastAsia="fr-FR" w:bidi="fr-FR"/>
        </w:rPr>
        <w:t xml:space="preserve"> </w:t>
      </w:r>
      <w:r>
        <w:t xml:space="preserve">[175] </w:t>
      </w:r>
      <w:r w:rsidRPr="00C064EF">
        <w:rPr>
          <w:lang w:eastAsia="fr-FR" w:bidi="fr-FR"/>
        </w:rPr>
        <w:t>toutefois à surmonter, comme les questions relatives à la fiscalité, aux lois du travail, et surtout à l'union monétaire. L'attachement aux so</w:t>
      </w:r>
      <w:r w:rsidRPr="00C064EF">
        <w:rPr>
          <w:lang w:eastAsia="fr-FR" w:bidi="fr-FR"/>
        </w:rPr>
        <w:t>u</w:t>
      </w:r>
      <w:r w:rsidRPr="00C064EF">
        <w:rPr>
          <w:lang w:eastAsia="fr-FR" w:bidi="fr-FR"/>
        </w:rPr>
        <w:t>verainetés nationales, plus particulièrement en ce qui a trait aux que</w:t>
      </w:r>
      <w:r w:rsidRPr="00C064EF">
        <w:rPr>
          <w:lang w:eastAsia="fr-FR" w:bidi="fr-FR"/>
        </w:rPr>
        <w:t>s</w:t>
      </w:r>
      <w:r w:rsidRPr="00C064EF">
        <w:rPr>
          <w:lang w:eastAsia="fr-FR" w:bidi="fr-FR"/>
        </w:rPr>
        <w:t>tions monétaires, ne peut être qu'amplifié par les événements en cours et le renforcement de la position relative de la RFA et du DM. L'éve</w:t>
      </w:r>
      <w:r w:rsidRPr="00C064EF">
        <w:rPr>
          <w:lang w:eastAsia="fr-FR" w:bidi="fr-FR"/>
        </w:rPr>
        <w:t>n</w:t>
      </w:r>
      <w:r w:rsidRPr="00C064EF">
        <w:rPr>
          <w:lang w:eastAsia="fr-FR" w:bidi="fr-FR"/>
        </w:rPr>
        <w:t>tuelle création d'une Banque centrale européenne émettant une mo</w:t>
      </w:r>
      <w:r w:rsidRPr="00C064EF">
        <w:rPr>
          <w:lang w:eastAsia="fr-FR" w:bidi="fr-FR"/>
        </w:rPr>
        <w:t>n</w:t>
      </w:r>
      <w:r w:rsidRPr="00C064EF">
        <w:rPr>
          <w:lang w:eastAsia="fr-FR" w:bidi="fr-FR"/>
        </w:rPr>
        <w:t>naie européenne commune, l'écu, ne suscite pas un enthousiasme d</w:t>
      </w:r>
      <w:r w:rsidRPr="00C064EF">
        <w:rPr>
          <w:lang w:eastAsia="fr-FR" w:bidi="fr-FR"/>
        </w:rPr>
        <w:t>é</w:t>
      </w:r>
      <w:r w:rsidRPr="00C064EF">
        <w:rPr>
          <w:lang w:eastAsia="fr-FR" w:bidi="fr-FR"/>
        </w:rPr>
        <w:t>bordant auprès de la RFA qui ne souhaite pas voir un organisme s</w:t>
      </w:r>
      <w:r w:rsidRPr="00C064EF">
        <w:rPr>
          <w:lang w:eastAsia="fr-FR" w:bidi="fr-FR"/>
        </w:rPr>
        <w:t>u</w:t>
      </w:r>
      <w:r w:rsidRPr="00C064EF">
        <w:rPr>
          <w:lang w:eastAsia="fr-FR" w:bidi="fr-FR"/>
        </w:rPr>
        <w:t>pranational supplanter la Bundesbank dans son rôle de gara</w:t>
      </w:r>
      <w:r w:rsidRPr="00C064EF">
        <w:rPr>
          <w:lang w:eastAsia="fr-FR" w:bidi="fr-FR"/>
        </w:rPr>
        <w:t>n</w:t>
      </w:r>
      <w:r w:rsidRPr="00C064EF">
        <w:rPr>
          <w:lang w:eastAsia="fr-FR" w:bidi="fr-FR"/>
        </w:rPr>
        <w:t>te de la discipline monétaire en Europe, ni voir l'écu supplanter le mark. Les réticences de la RFA ne pourront qu'augmenter avec l'a</w:t>
      </w:r>
      <w:r w:rsidRPr="00C064EF">
        <w:rPr>
          <w:lang w:eastAsia="fr-FR" w:bidi="fr-FR"/>
        </w:rPr>
        <w:t>c</w:t>
      </w:r>
      <w:r w:rsidRPr="00C064EF">
        <w:rPr>
          <w:lang w:eastAsia="fr-FR" w:bidi="fr-FR"/>
        </w:rPr>
        <w:t xml:space="preserve">croissement à venir de son poids relatif. Au sein de la CEE, la RFA occupe une </w:t>
      </w:r>
      <w:r w:rsidRPr="00C064EF">
        <w:rPr>
          <w:lang w:eastAsia="fr-FR" w:bidi="fr-FR"/>
        </w:rPr>
        <w:lastRenderedPageBreak/>
        <w:t>pl</w:t>
      </w:r>
      <w:r w:rsidRPr="00C064EF">
        <w:rPr>
          <w:lang w:eastAsia="fr-FR" w:bidi="fr-FR"/>
        </w:rPr>
        <w:t>a</w:t>
      </w:r>
      <w:r w:rsidRPr="00C064EF">
        <w:rPr>
          <w:lang w:eastAsia="fr-FR" w:bidi="fr-FR"/>
        </w:rPr>
        <w:t>ce dominante avec le quart du PIB, 35</w:t>
      </w:r>
      <w:r>
        <w:rPr>
          <w:lang w:eastAsia="fr-FR" w:bidi="fr-FR"/>
        </w:rPr>
        <w:t> %</w:t>
      </w:r>
      <w:r w:rsidRPr="00C064EF">
        <w:rPr>
          <w:lang w:eastAsia="fr-FR" w:bidi="fr-FR"/>
        </w:rPr>
        <w:t xml:space="preserve"> de la production manufact</w:t>
      </w:r>
      <w:r w:rsidRPr="00C064EF">
        <w:rPr>
          <w:lang w:eastAsia="fr-FR" w:bidi="fr-FR"/>
        </w:rPr>
        <w:t>u</w:t>
      </w:r>
      <w:r w:rsidRPr="00C064EF">
        <w:rPr>
          <w:lang w:eastAsia="fr-FR" w:bidi="fr-FR"/>
        </w:rPr>
        <w:t>rière et 30</w:t>
      </w:r>
      <w:r>
        <w:rPr>
          <w:lang w:eastAsia="fr-FR" w:bidi="fr-FR"/>
        </w:rPr>
        <w:t> %</w:t>
      </w:r>
      <w:r w:rsidRPr="00C064EF">
        <w:rPr>
          <w:lang w:eastAsia="fr-FR" w:bidi="fr-FR"/>
        </w:rPr>
        <w:t xml:space="preserve"> des exportations. L'Allemagne réunifiée, avec son poids prépondérant en Europe, apparaîtra davantage comme une superpui</w:t>
      </w:r>
      <w:r w:rsidRPr="00C064EF">
        <w:rPr>
          <w:lang w:eastAsia="fr-FR" w:bidi="fr-FR"/>
        </w:rPr>
        <w:t>s</w:t>
      </w:r>
      <w:r w:rsidRPr="00C064EF">
        <w:rPr>
          <w:lang w:eastAsia="fr-FR" w:bidi="fr-FR"/>
        </w:rPr>
        <w:t xml:space="preserve">sance nationale, concurrente directe des </w:t>
      </w:r>
      <w:r>
        <w:rPr>
          <w:lang w:eastAsia="fr-FR" w:bidi="fr-FR"/>
        </w:rPr>
        <w:t>É</w:t>
      </w:r>
      <w:r w:rsidRPr="00C064EF">
        <w:rPr>
          <w:lang w:eastAsia="fr-FR" w:bidi="fr-FR"/>
        </w:rPr>
        <w:t>tats-Unis et du J</w:t>
      </w:r>
      <w:r w:rsidRPr="00C064EF">
        <w:rPr>
          <w:lang w:eastAsia="fr-FR" w:bidi="fr-FR"/>
        </w:rPr>
        <w:t>a</w:t>
      </w:r>
      <w:r w:rsidRPr="00C064EF">
        <w:rPr>
          <w:lang w:eastAsia="fr-FR" w:bidi="fr-FR"/>
        </w:rPr>
        <w:t xml:space="preserve">pon, que comme une simple composante de la </w:t>
      </w:r>
      <w:r w:rsidRPr="00C064EF">
        <w:t>« </w:t>
      </w:r>
      <w:r w:rsidRPr="00C064EF">
        <w:rPr>
          <w:lang w:eastAsia="fr-FR" w:bidi="fr-FR"/>
        </w:rPr>
        <w:t>maison commune europée</w:t>
      </w:r>
      <w:r w:rsidRPr="00C064EF">
        <w:rPr>
          <w:lang w:eastAsia="fr-FR" w:bidi="fr-FR"/>
        </w:rPr>
        <w:t>n</w:t>
      </w:r>
      <w:r w:rsidRPr="00C064EF">
        <w:rPr>
          <w:lang w:eastAsia="fr-FR" w:bidi="fr-FR"/>
        </w:rPr>
        <w:t>ne</w:t>
      </w:r>
      <w:r w:rsidRPr="00C064EF">
        <w:t> »</w:t>
      </w:r>
      <w:r w:rsidRPr="00C064EF">
        <w:rPr>
          <w:lang w:eastAsia="fr-FR" w:bidi="fr-FR"/>
        </w:rPr>
        <w:t>. Ces évolutions ont des incidences évidentes sur le pr</w:t>
      </w:r>
      <w:r w:rsidRPr="00C064EF">
        <w:rPr>
          <w:lang w:eastAsia="fr-FR" w:bidi="fr-FR"/>
        </w:rPr>
        <w:t>o</w:t>
      </w:r>
      <w:r w:rsidRPr="00C064EF">
        <w:rPr>
          <w:lang w:eastAsia="fr-FR" w:bidi="fr-FR"/>
        </w:rPr>
        <w:t>jet de l’Europe de 1992, sur les rapports Est-Ouest. Elles tendent à replacer au premier plan la concurrence entre puissances capitalistes nationales rivales.</w:t>
      </w:r>
    </w:p>
    <w:p w:rsidR="001F5D09" w:rsidRDefault="001F5D09" w:rsidP="001F5D09">
      <w:pPr>
        <w:spacing w:before="120" w:after="120"/>
        <w:jc w:val="both"/>
        <w:rPr>
          <w:lang w:eastAsia="fr-FR" w:bidi="fr-FR"/>
        </w:rPr>
      </w:pPr>
    </w:p>
    <w:p w:rsidR="001F5D09" w:rsidRPr="00CC274B" w:rsidRDefault="001F5D09" w:rsidP="001F5D09">
      <w:pPr>
        <w:pStyle w:val="b"/>
      </w:pPr>
      <w:r w:rsidRPr="00CC274B">
        <w:rPr>
          <w:lang w:eastAsia="fr-FR" w:bidi="fr-FR"/>
        </w:rPr>
        <w:t>Un impact négatif sur le reste du monde</w:t>
      </w:r>
      <w:r w:rsidRPr="00CC274B">
        <w:t> ?</w:t>
      </w:r>
    </w:p>
    <w:p w:rsidR="001F5D09" w:rsidRDefault="001F5D09" w:rsidP="001F5D09">
      <w:pPr>
        <w:spacing w:before="120" w:after="120"/>
        <w:jc w:val="both"/>
        <w:rPr>
          <w:lang w:eastAsia="fr-FR" w:bidi="fr-FR"/>
        </w:rPr>
      </w:pPr>
    </w:p>
    <w:p w:rsidR="001F5D09" w:rsidRPr="00C064EF" w:rsidRDefault="001F5D09" w:rsidP="001F5D09">
      <w:pPr>
        <w:spacing w:before="120" w:after="120"/>
        <w:jc w:val="both"/>
      </w:pPr>
      <w:r w:rsidRPr="00C064EF">
        <w:rPr>
          <w:lang w:eastAsia="fr-FR" w:bidi="fr-FR"/>
        </w:rPr>
        <w:t>Les développements qui bouleversent les rapports internes de l'E</w:t>
      </w:r>
      <w:r w:rsidRPr="00C064EF">
        <w:rPr>
          <w:lang w:eastAsia="fr-FR" w:bidi="fr-FR"/>
        </w:rPr>
        <w:t>u</w:t>
      </w:r>
      <w:r w:rsidRPr="00C064EF">
        <w:rPr>
          <w:lang w:eastAsia="fr-FR" w:bidi="fr-FR"/>
        </w:rPr>
        <w:t>rope ont un impact qui déborde largement le continent européen. Les transformations économiques et politiques à l'Est ouvrent au capital, quelle que soit son origine, des perspectives d'investissement et d'e</w:t>
      </w:r>
      <w:r w:rsidRPr="00C064EF">
        <w:rPr>
          <w:lang w:eastAsia="fr-FR" w:bidi="fr-FR"/>
        </w:rPr>
        <w:t>x</w:t>
      </w:r>
      <w:r w:rsidRPr="00C064EF">
        <w:rPr>
          <w:lang w:eastAsia="fr-FR" w:bidi="fr-FR"/>
        </w:rPr>
        <w:t>tension des marchés, même si, en raison des affinités nationales ou des liens géographiques et historiques, les capitaux européens et su</w:t>
      </w:r>
      <w:r w:rsidRPr="00C064EF">
        <w:rPr>
          <w:lang w:eastAsia="fr-FR" w:bidi="fr-FR"/>
        </w:rPr>
        <w:t>r</w:t>
      </w:r>
      <w:r w:rsidRPr="00C064EF">
        <w:rPr>
          <w:lang w:eastAsia="fr-FR" w:bidi="fr-FR"/>
        </w:rPr>
        <w:t>tout allemands semblent d'abord privilégiés. Les surplus japonais en particulier sont vus comme une source possible de financement des investissements massifs auxquels l'Est fera appel pour moderniser ses équipements productifs et ses infrastructures. Par contre, ces réorie</w:t>
      </w:r>
      <w:r w:rsidRPr="00C064EF">
        <w:rPr>
          <w:lang w:eastAsia="fr-FR" w:bidi="fr-FR"/>
        </w:rPr>
        <w:t>n</w:t>
      </w:r>
      <w:r w:rsidRPr="00C064EF">
        <w:rPr>
          <w:lang w:eastAsia="fr-FR" w:bidi="fr-FR"/>
        </w:rPr>
        <w:t xml:space="preserve">tations à prévoir des flux de capitaux sont perçues d'un mauvais œil, non seulement par les pays du tiers-monde qui craignent de se voir délaissés au profit du développement de l'Est, mais aussi par les </w:t>
      </w:r>
      <w:r>
        <w:rPr>
          <w:lang w:eastAsia="fr-FR" w:bidi="fr-FR"/>
        </w:rPr>
        <w:t>É</w:t>
      </w:r>
      <w:r w:rsidRPr="00C064EF">
        <w:rPr>
          <w:lang w:eastAsia="fr-FR" w:bidi="fr-FR"/>
        </w:rPr>
        <w:t xml:space="preserve">tats-Unis, dont le financement du déficit budgétaire dépend largement de la venue des capitaux étrangers. Sous le titre </w:t>
      </w:r>
      <w:r w:rsidRPr="00C064EF">
        <w:t>« </w:t>
      </w:r>
      <w:r w:rsidRPr="006A65BD">
        <w:rPr>
          <w:lang w:eastAsia="fr-FR" w:bidi="fr-FR"/>
        </w:rPr>
        <w:t>Rebuilding the East Bloc May Cost the US Dearly</w:t>
      </w:r>
      <w:r w:rsidRPr="00CC274B">
        <w:rPr>
          <w:i/>
        </w:rPr>
        <w:t> </w:t>
      </w:r>
      <w:r w:rsidRPr="00C064EF">
        <w:t>»</w:t>
      </w:r>
      <w:r w:rsidRPr="00C064EF">
        <w:rPr>
          <w:lang w:eastAsia="fr-FR" w:bidi="fr-FR"/>
        </w:rPr>
        <w:t xml:space="preserve"> (La reconstruction du bloc de l'Est pourrait coûter cher aux </w:t>
      </w:r>
      <w:r>
        <w:rPr>
          <w:lang w:eastAsia="fr-FR" w:bidi="fr-FR"/>
        </w:rPr>
        <w:t>É</w:t>
      </w:r>
      <w:r w:rsidRPr="00C064EF">
        <w:rPr>
          <w:lang w:eastAsia="fr-FR" w:bidi="fr-FR"/>
        </w:rPr>
        <w:t xml:space="preserve">tats-Unis), la revue </w:t>
      </w:r>
      <w:r w:rsidRPr="00CC274B">
        <w:rPr>
          <w:i/>
        </w:rPr>
        <w:t>Business Week</w:t>
      </w:r>
      <w:r w:rsidRPr="00C064EF">
        <w:t xml:space="preserve"> </w:t>
      </w:r>
      <w:r w:rsidRPr="00C064EF">
        <w:rPr>
          <w:lang w:eastAsia="fr-FR" w:bidi="fr-FR"/>
        </w:rPr>
        <w:t>(1990) par exemple explique qu'il faudra hausser les taux d'intérêt</w:t>
      </w:r>
      <w:r>
        <w:rPr>
          <w:lang w:eastAsia="fr-FR" w:bidi="fr-FR"/>
        </w:rPr>
        <w:t xml:space="preserve"> </w:t>
      </w:r>
      <w:r>
        <w:t xml:space="preserve">[176] </w:t>
      </w:r>
      <w:r w:rsidRPr="00C064EF">
        <w:rPr>
          <w:lang w:eastAsia="fr-FR" w:bidi="fr-FR"/>
        </w:rPr>
        <w:t>aux États-Unis pour conserver des capitaux attirés ailleurs</w:t>
      </w:r>
      <w:r w:rsidRPr="00C064EF">
        <w:t> ;</w:t>
      </w:r>
      <w:r w:rsidRPr="00C064EF">
        <w:rPr>
          <w:lang w:eastAsia="fr-FR" w:bidi="fr-FR"/>
        </w:rPr>
        <w:t xml:space="preserve"> les coûts en seront accrus et les tendances récessionnistes stimulées. Les mêmes effets pourraient être provoqués par l'accroissement de la masse m</w:t>
      </w:r>
      <w:r w:rsidRPr="00C064EF">
        <w:rPr>
          <w:lang w:eastAsia="fr-FR" w:bidi="fr-FR"/>
        </w:rPr>
        <w:t>o</w:t>
      </w:r>
      <w:r w:rsidRPr="00C064EF">
        <w:rPr>
          <w:lang w:eastAsia="fr-FR" w:bidi="fr-FR"/>
        </w:rPr>
        <w:t>nétaire en Allemagne comme conséquence de la transform</w:t>
      </w:r>
      <w:r w:rsidRPr="00C064EF">
        <w:rPr>
          <w:lang w:eastAsia="fr-FR" w:bidi="fr-FR"/>
        </w:rPr>
        <w:t>a</w:t>
      </w:r>
      <w:r w:rsidRPr="00C064EF">
        <w:rPr>
          <w:lang w:eastAsia="fr-FR" w:bidi="fr-FR"/>
        </w:rPr>
        <w:t>tion des marks-est à un taux de un pour un. La RFA sacrifiant la stabilité m</w:t>
      </w:r>
      <w:r w:rsidRPr="00C064EF">
        <w:rPr>
          <w:lang w:eastAsia="fr-FR" w:bidi="fr-FR"/>
        </w:rPr>
        <w:t>o</w:t>
      </w:r>
      <w:r w:rsidRPr="00C064EF">
        <w:rPr>
          <w:lang w:eastAsia="fr-FR" w:bidi="fr-FR"/>
        </w:rPr>
        <w:t xml:space="preserve">nétaire à l'autel de la réunification, les taux d'intérêt subiraient des pressions généralisées à la hausse, provoquant un fléchissement de </w:t>
      </w:r>
      <w:r w:rsidRPr="00C064EF">
        <w:rPr>
          <w:lang w:eastAsia="fr-FR" w:bidi="fr-FR"/>
        </w:rPr>
        <w:lastRenderedPageBreak/>
        <w:t xml:space="preserve">l'activité économique dans tous les pays, sauf en Allemagne réunifiée </w:t>
      </w:r>
      <w:r w:rsidRPr="00C064EF">
        <w:t>(</w:t>
      </w:r>
      <w:r w:rsidRPr="001819F2">
        <w:rPr>
          <w:i/>
        </w:rPr>
        <w:t>The Economist</w:t>
      </w:r>
      <w:r w:rsidRPr="00C064EF">
        <w:t>,</w:t>
      </w:r>
      <w:r w:rsidRPr="00C064EF">
        <w:rPr>
          <w:lang w:eastAsia="fr-FR" w:bidi="fr-FR"/>
        </w:rPr>
        <w:t xml:space="preserve"> 1990).</w:t>
      </w:r>
    </w:p>
    <w:p w:rsidR="001F5D09" w:rsidRPr="00C064EF" w:rsidRDefault="001F5D09" w:rsidP="001F5D09">
      <w:pPr>
        <w:spacing w:before="120" w:after="120"/>
        <w:jc w:val="both"/>
      </w:pPr>
      <w:r w:rsidRPr="00C064EF">
        <w:rPr>
          <w:lang w:eastAsia="fr-FR" w:bidi="fr-FR"/>
        </w:rPr>
        <w:t>Lourde de signification sera l'incidence économique d'une modif</w:t>
      </w:r>
      <w:r w:rsidRPr="00C064EF">
        <w:rPr>
          <w:lang w:eastAsia="fr-FR" w:bidi="fr-FR"/>
        </w:rPr>
        <w:t>i</w:t>
      </w:r>
      <w:r w:rsidRPr="00C064EF">
        <w:rPr>
          <w:lang w:eastAsia="fr-FR" w:bidi="fr-FR"/>
        </w:rPr>
        <w:t>cation des rapports militaires provoquée par la réduction des tensions Est-Ouest et la perte de signification de l’Organisation du traité de l'Atlantique Nord (OTAN) et du pacte de Varsovie. Déjà les initiatives soviétiques de désarmement, impulsées par le besoin vital de réduire le fardeau militaire du pays face à l'impasse économique, ont mis en lumière les réticences de l'OTAN et principalement des États-Unis à une démilitarisation réelle. Ces réticences, se justifiant de moins en moins sur le plan politique, ont un fondement économique qui se lai</w:t>
      </w:r>
      <w:r w:rsidRPr="00C064EF">
        <w:rPr>
          <w:lang w:eastAsia="fr-FR" w:bidi="fr-FR"/>
        </w:rPr>
        <w:t>s</w:t>
      </w:r>
      <w:r w:rsidRPr="00C064EF">
        <w:rPr>
          <w:lang w:eastAsia="fr-FR" w:bidi="fr-FR"/>
        </w:rPr>
        <w:t>se percevoir lorsqu'on connaît le rôle d'entraînement du milit</w:t>
      </w:r>
      <w:r w:rsidRPr="00C064EF">
        <w:rPr>
          <w:lang w:eastAsia="fr-FR" w:bidi="fr-FR"/>
        </w:rPr>
        <w:t>a</w:t>
      </w:r>
      <w:r w:rsidRPr="00C064EF">
        <w:rPr>
          <w:lang w:eastAsia="fr-FR" w:bidi="fr-FR"/>
        </w:rPr>
        <w:t>risme dans l'économie capitaliste. Un démantèlement même partiel de l'OTAN verrait inévitablement apparaître et se renforcer des forces de frappe nationales, allant de pair avec un retour des puissances nation</w:t>
      </w:r>
      <w:r w:rsidRPr="00C064EF">
        <w:rPr>
          <w:lang w:eastAsia="fr-FR" w:bidi="fr-FR"/>
        </w:rPr>
        <w:t>a</w:t>
      </w:r>
      <w:r w:rsidRPr="00C064EF">
        <w:rPr>
          <w:lang w:eastAsia="fr-FR" w:bidi="fr-FR"/>
        </w:rPr>
        <w:t>les à l'avant-scène, au-delà des blocs.</w:t>
      </w:r>
    </w:p>
    <w:p w:rsidR="001F5D09" w:rsidRPr="00C064EF" w:rsidRDefault="001F5D09" w:rsidP="001F5D09">
      <w:pPr>
        <w:spacing w:before="120" w:after="120"/>
        <w:jc w:val="both"/>
      </w:pPr>
      <w:r w:rsidRPr="00C064EF">
        <w:rPr>
          <w:lang w:eastAsia="fr-FR" w:bidi="fr-FR"/>
        </w:rPr>
        <w:t>Les événements historiques qui ont secoué les pays de l'Est ont a</w:t>
      </w:r>
      <w:r w:rsidRPr="00C064EF">
        <w:rPr>
          <w:lang w:eastAsia="fr-FR" w:bidi="fr-FR"/>
        </w:rPr>
        <w:t>p</w:t>
      </w:r>
      <w:r w:rsidRPr="00C064EF">
        <w:rPr>
          <w:lang w:eastAsia="fr-FR" w:bidi="fr-FR"/>
        </w:rPr>
        <w:t>porté de profondes modifications aux rapports internes de ces pays et aux relations Est-Ouest. S'agit-il, comme certains l’ont prétendu, de la fin de l'histoire, de la mort du socialisme, de la faillite du marxisme</w:t>
      </w:r>
      <w:r w:rsidRPr="00C064EF">
        <w:t> ?</w:t>
      </w:r>
      <w:r w:rsidRPr="00C064EF">
        <w:rPr>
          <w:lang w:eastAsia="fr-FR" w:bidi="fr-FR"/>
        </w:rPr>
        <w:t xml:space="preserve"> Sommes-nous sur le point de nous engager dans une nouvelle période de redéploiement d'un capitalisme sauveur, progressant dans l'harm</w:t>
      </w:r>
      <w:r w:rsidRPr="00C064EF">
        <w:rPr>
          <w:lang w:eastAsia="fr-FR" w:bidi="fr-FR"/>
        </w:rPr>
        <w:t>o</w:t>
      </w:r>
      <w:r w:rsidRPr="00C064EF">
        <w:rPr>
          <w:lang w:eastAsia="fr-FR" w:bidi="fr-FR"/>
        </w:rPr>
        <w:t>nie et l'efficacité, ayant réussi à ramener à lui les brebis égarées</w:t>
      </w:r>
      <w:r w:rsidRPr="00C064EF">
        <w:t> ?</w:t>
      </w:r>
      <w:r w:rsidRPr="00C064EF">
        <w:rPr>
          <w:lang w:eastAsia="fr-FR" w:bidi="fr-FR"/>
        </w:rPr>
        <w:t xml:space="preserve"> Les optimistes fondent cet espoir. Pourtant, </w:t>
      </w:r>
      <w:r w:rsidRPr="00C064EF">
        <w:t>« </w:t>
      </w:r>
      <w:r w:rsidRPr="00C064EF">
        <w:rPr>
          <w:lang w:eastAsia="fr-FR" w:bidi="fr-FR"/>
        </w:rPr>
        <w:t>au pays du capitalisme réel</w:t>
      </w:r>
      <w:r w:rsidRPr="00C064EF">
        <w:t> »</w:t>
      </w:r>
      <w:r w:rsidRPr="00C064EF">
        <w:rPr>
          <w:lang w:eastAsia="fr-FR" w:bidi="fr-FR"/>
        </w:rPr>
        <w:t xml:space="preserve"> (Julien, 1990), les choses ont tendance à se passer autrement. La règle est plutôt celle de la rivalité et de la concurrence, des inégalités et des intérêts privés et nationaux. Les tendances actuelles des développ</w:t>
      </w:r>
      <w:r w:rsidRPr="00C064EF">
        <w:rPr>
          <w:lang w:eastAsia="fr-FR" w:bidi="fr-FR"/>
        </w:rPr>
        <w:t>e</w:t>
      </w:r>
      <w:r w:rsidRPr="00C064EF">
        <w:rPr>
          <w:lang w:eastAsia="fr-FR" w:bidi="fr-FR"/>
        </w:rPr>
        <w:t>ments analysés dans cette contribution ne suggèrent aucun démenti à ces normes. Comme résultat des événements multiformes du retour de l'Est dans le giron du marché, on voit plutôt surgir de nouvelles te</w:t>
      </w:r>
      <w:r w:rsidRPr="00C064EF">
        <w:rPr>
          <w:lang w:eastAsia="fr-FR" w:bidi="fr-FR"/>
        </w:rPr>
        <w:t>n</w:t>
      </w:r>
      <w:r w:rsidRPr="00C064EF">
        <w:rPr>
          <w:lang w:eastAsia="fr-FR" w:bidi="fr-FR"/>
        </w:rPr>
        <w:t>sions entre pays concurrents, de nouvelles attaques contre la popul</w:t>
      </w:r>
      <w:r w:rsidRPr="00C064EF">
        <w:rPr>
          <w:lang w:eastAsia="fr-FR" w:bidi="fr-FR"/>
        </w:rPr>
        <w:t>a</w:t>
      </w:r>
      <w:r w:rsidRPr="00C064EF">
        <w:rPr>
          <w:lang w:eastAsia="fr-FR" w:bidi="fr-FR"/>
        </w:rPr>
        <w:t>tion travailleuse, conditions mêmes du redéploiement, au pays du c</w:t>
      </w:r>
      <w:r w:rsidRPr="00C064EF">
        <w:rPr>
          <w:lang w:eastAsia="fr-FR" w:bidi="fr-FR"/>
        </w:rPr>
        <w:t>a</w:t>
      </w:r>
      <w:r w:rsidRPr="00C064EF">
        <w:rPr>
          <w:lang w:eastAsia="fr-FR" w:bidi="fr-FR"/>
        </w:rPr>
        <w:t>pitalisme réel.</w:t>
      </w:r>
    </w:p>
    <w:p w:rsidR="001F5D09" w:rsidRPr="00C064EF" w:rsidRDefault="001F5D09" w:rsidP="001F5D09">
      <w:pPr>
        <w:spacing w:before="120" w:after="120"/>
        <w:jc w:val="both"/>
      </w:pPr>
      <w:r>
        <w:br w:type="page"/>
      </w:r>
      <w:r>
        <w:lastRenderedPageBreak/>
        <w:t>[177]</w:t>
      </w:r>
    </w:p>
    <w:p w:rsidR="001F5D09" w:rsidRPr="00C064EF" w:rsidRDefault="001F5D09" w:rsidP="001F5D09">
      <w:pPr>
        <w:spacing w:before="120" w:after="120"/>
        <w:jc w:val="both"/>
      </w:pPr>
      <w:r w:rsidRPr="00C064EF">
        <w:rPr>
          <w:lang w:eastAsia="fr-FR" w:bidi="fr-FR"/>
        </w:rPr>
        <w:t xml:space="preserve">Avec la fin de l'utopie stalinienne du </w:t>
      </w:r>
      <w:r w:rsidRPr="00C064EF">
        <w:t>« </w:t>
      </w:r>
      <w:r w:rsidRPr="00C064EF">
        <w:rPr>
          <w:lang w:eastAsia="fr-FR" w:bidi="fr-FR"/>
        </w:rPr>
        <w:t>socialisme dans un seul bloc</w:t>
      </w:r>
      <w:r w:rsidRPr="00C064EF">
        <w:t> »</w:t>
      </w:r>
      <w:r w:rsidRPr="00C064EF">
        <w:rPr>
          <w:lang w:eastAsia="fr-FR" w:bidi="fr-FR"/>
        </w:rPr>
        <w:t xml:space="preserve"> et la mise en place graduelle des mêmes rapports entre travail salarié et capital à l’Est et à l'Ouest, s'ouvrent de nouvelles perspect</w:t>
      </w:r>
      <w:r w:rsidRPr="00C064EF">
        <w:rPr>
          <w:lang w:eastAsia="fr-FR" w:bidi="fr-FR"/>
        </w:rPr>
        <w:t>i</w:t>
      </w:r>
      <w:r w:rsidRPr="00C064EF">
        <w:rPr>
          <w:lang w:eastAsia="fr-FR" w:bidi="fr-FR"/>
        </w:rPr>
        <w:t>ves pour la jonction des mouvements revendicatifs au-delà des div</w:t>
      </w:r>
      <w:r w:rsidRPr="00C064EF">
        <w:rPr>
          <w:lang w:eastAsia="fr-FR" w:bidi="fr-FR"/>
        </w:rPr>
        <w:t>i</w:t>
      </w:r>
      <w:r w:rsidRPr="00C064EF">
        <w:rPr>
          <w:lang w:eastAsia="fr-FR" w:bidi="fr-FR"/>
        </w:rPr>
        <w:t>sions cardinales Est-Ouest, et, comme les événements récents le su</w:t>
      </w:r>
      <w:r w:rsidRPr="00C064EF">
        <w:rPr>
          <w:lang w:eastAsia="fr-FR" w:bidi="fr-FR"/>
        </w:rPr>
        <w:t>g</w:t>
      </w:r>
      <w:r w:rsidRPr="00C064EF">
        <w:rPr>
          <w:lang w:eastAsia="fr-FR" w:bidi="fr-FR"/>
        </w:rPr>
        <w:t>gèrent, au-delà des divisions Nord-</w:t>
      </w:r>
      <w:r>
        <w:rPr>
          <w:lang w:eastAsia="fr-FR" w:bidi="fr-FR"/>
        </w:rPr>
        <w:t>Sud, avec les peuples du tiers-</w:t>
      </w:r>
      <w:r w:rsidRPr="00C064EF">
        <w:rPr>
          <w:lang w:eastAsia="fr-FR" w:bidi="fr-FR"/>
        </w:rPr>
        <w:t>monde qui luttent contre les plans d'austérité imposés par le FMI et contre les pouvoirs répressifs locaux, contre les régimes de partis un</w:t>
      </w:r>
      <w:r w:rsidRPr="00C064EF">
        <w:rPr>
          <w:lang w:eastAsia="fr-FR" w:bidi="fr-FR"/>
        </w:rPr>
        <w:t>i</w:t>
      </w:r>
      <w:r w:rsidRPr="00C064EF">
        <w:rPr>
          <w:lang w:eastAsia="fr-FR" w:bidi="fr-FR"/>
        </w:rPr>
        <w:t>ques et pour la démocratisation (</w:t>
      </w:r>
      <w:r w:rsidRPr="00C064EF">
        <w:t>« </w:t>
      </w:r>
      <w:r w:rsidRPr="00C064EF">
        <w:rPr>
          <w:lang w:eastAsia="fr-FR" w:bidi="fr-FR"/>
        </w:rPr>
        <w:t>l'africastroika</w:t>
      </w:r>
      <w:r w:rsidRPr="00C064EF">
        <w:t> »</w:t>
      </w:r>
      <w:r w:rsidRPr="00C064EF">
        <w:rPr>
          <w:lang w:eastAsia="fr-FR" w:bidi="fr-FR"/>
        </w:rPr>
        <w:t>).</w:t>
      </w:r>
    </w:p>
    <w:p w:rsidR="001F5D09" w:rsidRDefault="001F5D09" w:rsidP="001F5D09">
      <w:pPr>
        <w:spacing w:before="120" w:after="120"/>
        <w:jc w:val="both"/>
      </w:pPr>
      <w:r>
        <w:t>[178]</w:t>
      </w:r>
    </w:p>
    <w:p w:rsidR="001F5D09" w:rsidRDefault="001F5D09" w:rsidP="001F5D09">
      <w:pPr>
        <w:spacing w:before="120" w:after="120"/>
        <w:jc w:val="both"/>
      </w:pPr>
    </w:p>
    <w:p w:rsidR="001F5D09" w:rsidRDefault="001F5D09" w:rsidP="001F5D09">
      <w:pPr>
        <w:pStyle w:val="aa"/>
      </w:pPr>
      <w:r w:rsidRPr="00C064EF">
        <w:t>Références bibliographiques</w:t>
      </w:r>
    </w:p>
    <w:p w:rsidR="001F5D09" w:rsidRPr="00C064EF" w:rsidRDefault="001F5D09" w:rsidP="001F5D09">
      <w:pPr>
        <w:spacing w:before="120" w:after="120"/>
        <w:jc w:val="both"/>
      </w:pPr>
    </w:p>
    <w:p w:rsidR="001F5D09" w:rsidRPr="00C064EF" w:rsidRDefault="001F5D09" w:rsidP="001F5D09">
      <w:pPr>
        <w:spacing w:before="120" w:after="120"/>
        <w:jc w:val="both"/>
      </w:pPr>
      <w:r w:rsidRPr="00C064EF">
        <w:rPr>
          <w:lang w:eastAsia="fr-FR" w:bidi="fr-FR"/>
        </w:rPr>
        <w:t xml:space="preserve">BALZER, A., GINSBURG, H-J., HEEMANN, K. et ZIESEMER B. (1990), </w:t>
      </w:r>
      <w:r w:rsidRPr="00C064EF">
        <w:t>« </w:t>
      </w:r>
      <w:r w:rsidRPr="00C064EF">
        <w:rPr>
          <w:lang w:eastAsia="fr-FR" w:bidi="fr-FR"/>
        </w:rPr>
        <w:t>Vom Rhein bis zum Ural</w:t>
      </w:r>
      <w:r w:rsidRPr="00C064EF">
        <w:t> »</w:t>
      </w:r>
      <w:r w:rsidRPr="00C064EF">
        <w:rPr>
          <w:lang w:eastAsia="fr-FR" w:bidi="fr-FR"/>
        </w:rPr>
        <w:t xml:space="preserve">, </w:t>
      </w:r>
      <w:r w:rsidRPr="00C064EF">
        <w:t>Wirtschaftswoche,</w:t>
      </w:r>
      <w:r w:rsidRPr="00C064EF">
        <w:rPr>
          <w:lang w:eastAsia="fr-FR" w:bidi="fr-FR"/>
        </w:rPr>
        <w:t xml:space="preserve"> 26 ja</w:t>
      </w:r>
      <w:r w:rsidRPr="00C064EF">
        <w:rPr>
          <w:lang w:eastAsia="fr-FR" w:bidi="fr-FR"/>
        </w:rPr>
        <w:t>n</w:t>
      </w:r>
      <w:r w:rsidRPr="00C064EF">
        <w:rPr>
          <w:lang w:eastAsia="fr-FR" w:bidi="fr-FR"/>
        </w:rPr>
        <w:t xml:space="preserve">vier, reproduit sous le titre </w:t>
      </w:r>
      <w:r w:rsidRPr="00C064EF">
        <w:t>« </w:t>
      </w:r>
      <w:r w:rsidRPr="00C064EF">
        <w:rPr>
          <w:lang w:eastAsia="fr-FR" w:bidi="fr-FR"/>
        </w:rPr>
        <w:t>La place du deutschmark dans les éc</w:t>
      </w:r>
      <w:r w:rsidRPr="00C064EF">
        <w:rPr>
          <w:lang w:eastAsia="fr-FR" w:bidi="fr-FR"/>
        </w:rPr>
        <w:t>o</w:t>
      </w:r>
      <w:r w:rsidRPr="00C064EF">
        <w:rPr>
          <w:lang w:eastAsia="fr-FR" w:bidi="fr-FR"/>
        </w:rPr>
        <w:t>nomies des pays de l'Est</w:t>
      </w:r>
      <w:r w:rsidRPr="00C064EF">
        <w:t> »</w:t>
      </w:r>
      <w:r w:rsidRPr="00C064EF">
        <w:rPr>
          <w:lang w:eastAsia="fr-FR" w:bidi="fr-FR"/>
        </w:rPr>
        <w:t xml:space="preserve">, </w:t>
      </w:r>
      <w:r w:rsidRPr="009E727B">
        <w:rPr>
          <w:i/>
        </w:rPr>
        <w:t>Problèmes économiques</w:t>
      </w:r>
      <w:r w:rsidRPr="00C064EF">
        <w:t>,</w:t>
      </w:r>
      <w:r w:rsidRPr="00C064EF">
        <w:rPr>
          <w:lang w:eastAsia="fr-FR" w:bidi="fr-FR"/>
        </w:rPr>
        <w:t xml:space="preserve"> n°</w:t>
      </w:r>
      <w:r>
        <w:rPr>
          <w:lang w:eastAsia="fr-FR" w:bidi="fr-FR"/>
        </w:rPr>
        <w:t> </w:t>
      </w:r>
      <w:r w:rsidRPr="00C064EF">
        <w:rPr>
          <w:lang w:eastAsia="fr-FR" w:bidi="fr-FR"/>
        </w:rPr>
        <w:t>2166, Paris, 12-15.</w:t>
      </w:r>
    </w:p>
    <w:p w:rsidR="001F5D09" w:rsidRPr="00C064EF" w:rsidRDefault="001F5D09" w:rsidP="001F5D09">
      <w:pPr>
        <w:spacing w:before="120" w:after="120"/>
        <w:jc w:val="both"/>
      </w:pPr>
      <w:r w:rsidRPr="00C064EF">
        <w:rPr>
          <w:lang w:eastAsia="fr-FR" w:bidi="fr-FR"/>
        </w:rPr>
        <w:t xml:space="preserve">BHF BANK (1990), </w:t>
      </w:r>
      <w:r w:rsidRPr="00C064EF">
        <w:t>« </w:t>
      </w:r>
      <w:r w:rsidRPr="00C064EF">
        <w:rPr>
          <w:lang w:eastAsia="fr-FR" w:bidi="fr-FR"/>
        </w:rPr>
        <w:t>RDA</w:t>
      </w:r>
      <w:r w:rsidRPr="00C064EF">
        <w:t> :</w:t>
      </w:r>
      <w:r w:rsidRPr="00C064EF">
        <w:rPr>
          <w:lang w:eastAsia="fr-FR" w:bidi="fr-FR"/>
        </w:rPr>
        <w:t xml:space="preserve"> points de repère</w:t>
      </w:r>
      <w:r w:rsidRPr="00C064EF">
        <w:t> »</w:t>
      </w:r>
      <w:r w:rsidRPr="00C064EF">
        <w:rPr>
          <w:lang w:eastAsia="fr-FR" w:bidi="fr-FR"/>
        </w:rPr>
        <w:t xml:space="preserve">, </w:t>
      </w:r>
      <w:r w:rsidRPr="009E727B">
        <w:rPr>
          <w:i/>
        </w:rPr>
        <w:t>Problèmes éc</w:t>
      </w:r>
      <w:r w:rsidRPr="009E727B">
        <w:rPr>
          <w:i/>
        </w:rPr>
        <w:t>o</w:t>
      </w:r>
      <w:r w:rsidRPr="009E727B">
        <w:rPr>
          <w:i/>
        </w:rPr>
        <w:t>nomiques</w:t>
      </w:r>
      <w:r w:rsidRPr="00C064EF">
        <w:t>,</w:t>
      </w:r>
      <w:r w:rsidRPr="00C064EF">
        <w:rPr>
          <w:lang w:eastAsia="fr-FR" w:bidi="fr-FR"/>
        </w:rPr>
        <w:t xml:space="preserve"> n°</w:t>
      </w:r>
      <w:r>
        <w:rPr>
          <w:lang w:eastAsia="fr-FR" w:bidi="fr-FR"/>
        </w:rPr>
        <w:t> </w:t>
      </w:r>
      <w:r w:rsidRPr="00C064EF">
        <w:rPr>
          <w:lang w:eastAsia="fr-FR" w:bidi="fr-FR"/>
        </w:rPr>
        <w:t>2173, Paris, 15-17.</w:t>
      </w:r>
    </w:p>
    <w:p w:rsidR="001F5D09" w:rsidRPr="00C064EF" w:rsidRDefault="001F5D09" w:rsidP="001F5D09">
      <w:pPr>
        <w:spacing w:before="120" w:after="120"/>
        <w:jc w:val="both"/>
      </w:pPr>
      <w:r w:rsidRPr="009E727B">
        <w:rPr>
          <w:i/>
        </w:rPr>
        <w:t>Business Week</w:t>
      </w:r>
      <w:r w:rsidRPr="00C064EF">
        <w:rPr>
          <w:lang w:eastAsia="fr-FR" w:bidi="fr-FR"/>
        </w:rPr>
        <w:t xml:space="preserve"> (1990), 26 février, 30.</w:t>
      </w:r>
    </w:p>
    <w:p w:rsidR="001F5D09" w:rsidRPr="00C064EF" w:rsidRDefault="001F5D09" w:rsidP="001F5D09">
      <w:pPr>
        <w:spacing w:before="120" w:after="120"/>
        <w:jc w:val="both"/>
      </w:pPr>
      <w:r w:rsidRPr="00C064EF">
        <w:t xml:space="preserve">CEE-ONU (1990), </w:t>
      </w:r>
      <w:r w:rsidRPr="009E727B">
        <w:rPr>
          <w:i/>
          <w:lang w:eastAsia="fr-FR" w:bidi="fr-FR"/>
        </w:rPr>
        <w:t>Economic Survey of Europe in 1989-1990</w:t>
      </w:r>
      <w:r w:rsidRPr="00C064EF">
        <w:rPr>
          <w:lang w:eastAsia="fr-FR" w:bidi="fr-FR"/>
        </w:rPr>
        <w:t>,</w:t>
      </w:r>
      <w:r w:rsidRPr="00C064EF">
        <w:t xml:space="preserve"> G</w:t>
      </w:r>
      <w:r w:rsidRPr="00C064EF">
        <w:t>e</w:t>
      </w:r>
      <w:r w:rsidRPr="00C064EF">
        <w:t>nève et New York.</w:t>
      </w:r>
    </w:p>
    <w:p w:rsidR="001F5D09" w:rsidRPr="00C064EF" w:rsidRDefault="001F5D09" w:rsidP="001F5D09">
      <w:pPr>
        <w:spacing w:before="120" w:after="120"/>
        <w:jc w:val="both"/>
      </w:pPr>
      <w:r w:rsidRPr="00C064EF">
        <w:rPr>
          <w:lang w:eastAsia="fr-FR" w:bidi="fr-FR"/>
        </w:rPr>
        <w:t xml:space="preserve">FMI (1990), </w:t>
      </w:r>
      <w:r w:rsidRPr="009E727B">
        <w:rPr>
          <w:i/>
        </w:rPr>
        <w:t>World Economic Outlook</w:t>
      </w:r>
      <w:r w:rsidRPr="00C064EF">
        <w:t>,</w:t>
      </w:r>
      <w:r w:rsidRPr="00C064EF">
        <w:rPr>
          <w:lang w:eastAsia="fr-FR" w:bidi="fr-FR"/>
        </w:rPr>
        <w:t xml:space="preserve"> Washington.</w:t>
      </w:r>
    </w:p>
    <w:p w:rsidR="001F5D09" w:rsidRPr="00C064EF" w:rsidRDefault="001F5D09" w:rsidP="001F5D09">
      <w:pPr>
        <w:spacing w:before="120" w:after="120"/>
        <w:jc w:val="both"/>
      </w:pPr>
      <w:r w:rsidRPr="00C064EF">
        <w:rPr>
          <w:lang w:eastAsia="fr-FR" w:bidi="fr-FR"/>
        </w:rPr>
        <w:t xml:space="preserve">GATT (1989), </w:t>
      </w:r>
      <w:r w:rsidRPr="009E727B">
        <w:rPr>
          <w:i/>
        </w:rPr>
        <w:t>Le commerce international 88-89</w:t>
      </w:r>
      <w:r w:rsidRPr="00C064EF">
        <w:t>,</w:t>
      </w:r>
      <w:r w:rsidRPr="00C064EF">
        <w:rPr>
          <w:lang w:eastAsia="fr-FR" w:bidi="fr-FR"/>
        </w:rPr>
        <w:t xml:space="preserve"> Volume</w:t>
      </w:r>
      <w:r>
        <w:rPr>
          <w:lang w:eastAsia="fr-FR" w:bidi="fr-FR"/>
        </w:rPr>
        <w:t> </w:t>
      </w:r>
      <w:r w:rsidRPr="00C064EF">
        <w:rPr>
          <w:lang w:eastAsia="fr-FR" w:bidi="fr-FR"/>
        </w:rPr>
        <w:t>II, G</w:t>
      </w:r>
      <w:r w:rsidRPr="00C064EF">
        <w:rPr>
          <w:lang w:eastAsia="fr-FR" w:bidi="fr-FR"/>
        </w:rPr>
        <w:t>e</w:t>
      </w:r>
      <w:r w:rsidRPr="00C064EF">
        <w:rPr>
          <w:lang w:eastAsia="fr-FR" w:bidi="fr-FR"/>
        </w:rPr>
        <w:t>nève.</w:t>
      </w:r>
    </w:p>
    <w:p w:rsidR="001F5D09" w:rsidRPr="00C064EF" w:rsidRDefault="001F5D09" w:rsidP="001F5D09">
      <w:pPr>
        <w:spacing w:before="120" w:after="120"/>
        <w:jc w:val="both"/>
      </w:pPr>
      <w:r w:rsidRPr="00C064EF">
        <w:rPr>
          <w:lang w:eastAsia="fr-FR" w:bidi="fr-FR"/>
        </w:rPr>
        <w:t xml:space="preserve">JULIEN, C. (1990), </w:t>
      </w:r>
      <w:r w:rsidRPr="00C064EF">
        <w:t>« </w:t>
      </w:r>
      <w:r w:rsidRPr="00C064EF">
        <w:rPr>
          <w:lang w:eastAsia="fr-FR" w:bidi="fr-FR"/>
        </w:rPr>
        <w:t xml:space="preserve">Voyages aux pays du capitalisme </w:t>
      </w:r>
      <w:r>
        <w:t>“</w:t>
      </w:r>
      <w:r w:rsidRPr="00C064EF">
        <w:rPr>
          <w:lang w:eastAsia="fr-FR" w:bidi="fr-FR"/>
        </w:rPr>
        <w:t>réel</w:t>
      </w:r>
      <w:r>
        <w:t>”</w:t>
      </w:r>
      <w:r w:rsidRPr="00C064EF">
        <w:t> »</w:t>
      </w:r>
      <w:r w:rsidRPr="00C064EF">
        <w:rPr>
          <w:lang w:eastAsia="fr-FR" w:bidi="fr-FR"/>
        </w:rPr>
        <w:t xml:space="preserve">, </w:t>
      </w:r>
      <w:r w:rsidRPr="009E727B">
        <w:rPr>
          <w:i/>
        </w:rPr>
        <w:t>Le Monde diplomatique</w:t>
      </w:r>
      <w:r w:rsidRPr="00C064EF">
        <w:t>,</w:t>
      </w:r>
      <w:r w:rsidRPr="00C064EF">
        <w:rPr>
          <w:lang w:eastAsia="fr-FR" w:bidi="fr-FR"/>
        </w:rPr>
        <w:t xml:space="preserve"> n°</w:t>
      </w:r>
      <w:r>
        <w:rPr>
          <w:lang w:eastAsia="fr-FR" w:bidi="fr-FR"/>
        </w:rPr>
        <w:t> </w:t>
      </w:r>
      <w:r w:rsidRPr="00C064EF">
        <w:rPr>
          <w:lang w:eastAsia="fr-FR" w:bidi="fr-FR"/>
        </w:rPr>
        <w:t>431, février.</w:t>
      </w:r>
    </w:p>
    <w:p w:rsidR="001F5D09" w:rsidRPr="00C064EF" w:rsidRDefault="001F5D09" w:rsidP="001F5D09">
      <w:pPr>
        <w:spacing w:before="120" w:after="120"/>
        <w:jc w:val="both"/>
      </w:pPr>
      <w:r w:rsidRPr="00C064EF">
        <w:rPr>
          <w:lang w:eastAsia="fr-FR" w:bidi="fr-FR"/>
        </w:rPr>
        <w:t xml:space="preserve">OCDE (1990), </w:t>
      </w:r>
      <w:r w:rsidRPr="00C064EF">
        <w:t>« </w:t>
      </w:r>
      <w:r w:rsidRPr="00C064EF">
        <w:rPr>
          <w:lang w:eastAsia="fr-FR" w:bidi="fr-FR"/>
        </w:rPr>
        <w:t>The International Trade and Financial Situation of Eastem Europe in 1988-1989</w:t>
      </w:r>
      <w:r w:rsidRPr="00C064EF">
        <w:t> »</w:t>
      </w:r>
      <w:r w:rsidRPr="00C064EF">
        <w:rPr>
          <w:lang w:eastAsia="fr-FR" w:bidi="fr-FR"/>
        </w:rPr>
        <w:t xml:space="preserve">, </w:t>
      </w:r>
      <w:r w:rsidRPr="009E727B">
        <w:rPr>
          <w:i/>
        </w:rPr>
        <w:t>Financial Market Prends</w:t>
      </w:r>
      <w:r w:rsidRPr="00C064EF">
        <w:t>,</w:t>
      </w:r>
      <w:r w:rsidRPr="00C064EF">
        <w:rPr>
          <w:lang w:eastAsia="fr-FR" w:bidi="fr-FR"/>
        </w:rPr>
        <w:t xml:space="preserve"> n° 45, P</w:t>
      </w:r>
      <w:r w:rsidRPr="00C064EF">
        <w:rPr>
          <w:lang w:eastAsia="fr-FR" w:bidi="fr-FR"/>
        </w:rPr>
        <w:t>a</w:t>
      </w:r>
      <w:r w:rsidRPr="00C064EF">
        <w:rPr>
          <w:lang w:eastAsia="fr-FR" w:bidi="fr-FR"/>
        </w:rPr>
        <w:t>ris, OCDE, 11-55.</w:t>
      </w:r>
    </w:p>
    <w:p w:rsidR="001F5D09" w:rsidRPr="00C064EF" w:rsidRDefault="001F5D09" w:rsidP="001F5D09">
      <w:pPr>
        <w:spacing w:before="120" w:after="120"/>
        <w:jc w:val="both"/>
      </w:pPr>
      <w:r w:rsidRPr="00C064EF">
        <w:rPr>
          <w:lang w:eastAsia="fr-FR" w:bidi="fr-FR"/>
        </w:rPr>
        <w:lastRenderedPageBreak/>
        <w:t xml:space="preserve">SIEDENBERG, A. (1990), </w:t>
      </w:r>
      <w:r w:rsidRPr="00C064EF">
        <w:t>« </w:t>
      </w:r>
      <w:r w:rsidRPr="00C064EF">
        <w:rPr>
          <w:lang w:eastAsia="fr-FR" w:bidi="fr-FR"/>
        </w:rPr>
        <w:t>Aspects of Monetary Union between the two Germanies</w:t>
      </w:r>
      <w:r w:rsidRPr="00C064EF">
        <w:t> »</w:t>
      </w:r>
      <w:r w:rsidRPr="00C064EF">
        <w:rPr>
          <w:lang w:eastAsia="fr-FR" w:bidi="fr-FR"/>
        </w:rPr>
        <w:t xml:space="preserve">, </w:t>
      </w:r>
      <w:r w:rsidRPr="009E727B">
        <w:rPr>
          <w:i/>
        </w:rPr>
        <w:t>Deutsche Bank Bulletin</w:t>
      </w:r>
      <w:r w:rsidRPr="00C064EF">
        <w:t>,</w:t>
      </w:r>
      <w:r w:rsidRPr="00C064EF">
        <w:rPr>
          <w:lang w:eastAsia="fr-FR" w:bidi="fr-FR"/>
        </w:rPr>
        <w:t xml:space="preserve"> Francfort, avril, 1-5.</w:t>
      </w:r>
    </w:p>
    <w:p w:rsidR="001F5D09" w:rsidRPr="00C064EF" w:rsidRDefault="001F5D09" w:rsidP="001F5D09">
      <w:pPr>
        <w:spacing w:before="120" w:after="120"/>
        <w:jc w:val="both"/>
      </w:pPr>
      <w:r w:rsidRPr="00C064EF">
        <w:rPr>
          <w:lang w:eastAsia="fr-FR" w:bidi="fr-FR"/>
        </w:rPr>
        <w:t xml:space="preserve">SIMPEL, R., KRUMREY, H. et CANIBOL, H-P. (1990), </w:t>
      </w:r>
      <w:r w:rsidRPr="00C064EF">
        <w:t>« </w:t>
      </w:r>
      <w:r w:rsidRPr="00C064EF">
        <w:rPr>
          <w:lang w:eastAsia="fr-FR" w:bidi="fr-FR"/>
        </w:rPr>
        <w:t>Nichts tun wird teurer</w:t>
      </w:r>
      <w:r w:rsidRPr="00C064EF">
        <w:t> »</w:t>
      </w:r>
      <w:r w:rsidRPr="00C064EF">
        <w:rPr>
          <w:lang w:eastAsia="fr-FR" w:bidi="fr-FR"/>
        </w:rPr>
        <w:t xml:space="preserve">, </w:t>
      </w:r>
      <w:r w:rsidRPr="00C064EF">
        <w:t>Wirtschaftswoche,</w:t>
      </w:r>
      <w:r w:rsidRPr="00C064EF">
        <w:rPr>
          <w:lang w:eastAsia="fr-FR" w:bidi="fr-FR"/>
        </w:rPr>
        <w:t xml:space="preserve"> 12 janvier, reproduit sous le titre </w:t>
      </w:r>
      <w:r w:rsidRPr="00C064EF">
        <w:t>« </w:t>
      </w:r>
      <w:r w:rsidRPr="00C064EF">
        <w:rPr>
          <w:lang w:eastAsia="fr-FR" w:bidi="fr-FR"/>
        </w:rPr>
        <w:t>Le coût d'une mise au niveau ouest-allemand de l'économie de la RDA</w:t>
      </w:r>
      <w:r w:rsidRPr="00C064EF">
        <w:t> »</w:t>
      </w:r>
      <w:r w:rsidRPr="00C064EF">
        <w:rPr>
          <w:lang w:eastAsia="fr-FR" w:bidi="fr-FR"/>
        </w:rPr>
        <w:t xml:space="preserve">, </w:t>
      </w:r>
      <w:r w:rsidRPr="009E727B">
        <w:rPr>
          <w:i/>
        </w:rPr>
        <w:t>Problèmes économiques</w:t>
      </w:r>
      <w:r w:rsidRPr="00C064EF">
        <w:t>,</w:t>
      </w:r>
      <w:r w:rsidRPr="00C064EF">
        <w:rPr>
          <w:lang w:eastAsia="fr-FR" w:bidi="fr-FR"/>
        </w:rPr>
        <w:t xml:space="preserve"> n°</w:t>
      </w:r>
      <w:r>
        <w:rPr>
          <w:lang w:eastAsia="fr-FR" w:bidi="fr-FR"/>
        </w:rPr>
        <w:t> </w:t>
      </w:r>
      <w:r w:rsidRPr="00C064EF">
        <w:rPr>
          <w:lang w:eastAsia="fr-FR" w:bidi="fr-FR"/>
        </w:rPr>
        <w:t>2165, Paris, 8-13.</w:t>
      </w:r>
    </w:p>
    <w:p w:rsidR="001F5D09" w:rsidRPr="00C064EF" w:rsidRDefault="001F5D09" w:rsidP="001F5D09">
      <w:pPr>
        <w:spacing w:before="120" w:after="120"/>
        <w:jc w:val="both"/>
      </w:pPr>
      <w:r w:rsidRPr="009E727B">
        <w:rPr>
          <w:i/>
        </w:rPr>
        <w:t>Spiegel</w:t>
      </w:r>
      <w:r w:rsidRPr="00C064EF">
        <w:rPr>
          <w:lang w:eastAsia="fr-FR" w:bidi="fr-FR"/>
        </w:rPr>
        <w:t xml:space="preserve"> (1990a), n°</w:t>
      </w:r>
      <w:r>
        <w:rPr>
          <w:lang w:eastAsia="fr-FR" w:bidi="fr-FR"/>
        </w:rPr>
        <w:t> </w:t>
      </w:r>
      <w:r w:rsidRPr="00C064EF">
        <w:rPr>
          <w:lang w:eastAsia="fr-FR" w:bidi="fr-FR"/>
        </w:rPr>
        <w:t>12, 19 mars, 136-143.</w:t>
      </w:r>
    </w:p>
    <w:p w:rsidR="001F5D09" w:rsidRPr="00C064EF" w:rsidRDefault="001F5D09" w:rsidP="001F5D09">
      <w:pPr>
        <w:spacing w:before="120" w:after="120"/>
        <w:jc w:val="both"/>
      </w:pPr>
      <w:r w:rsidRPr="009E727B">
        <w:rPr>
          <w:i/>
        </w:rPr>
        <w:t>Spiegel</w:t>
      </w:r>
      <w:r w:rsidRPr="00C064EF">
        <w:rPr>
          <w:lang w:eastAsia="fr-FR" w:bidi="fr-FR"/>
        </w:rPr>
        <w:t xml:space="preserve"> (1990b), n°</w:t>
      </w:r>
      <w:r>
        <w:rPr>
          <w:lang w:eastAsia="fr-FR" w:bidi="fr-FR"/>
        </w:rPr>
        <w:t> </w:t>
      </w:r>
      <w:r w:rsidRPr="00C064EF">
        <w:rPr>
          <w:lang w:eastAsia="fr-FR" w:bidi="fr-FR"/>
        </w:rPr>
        <w:t>13, 26 mars, 132-136.</w:t>
      </w:r>
    </w:p>
    <w:p w:rsidR="001F5D09" w:rsidRPr="00C064EF" w:rsidRDefault="001F5D09" w:rsidP="001F5D09">
      <w:pPr>
        <w:spacing w:before="120" w:after="120"/>
        <w:jc w:val="both"/>
      </w:pPr>
      <w:r w:rsidRPr="009E727B">
        <w:rPr>
          <w:i/>
        </w:rPr>
        <w:t>Spiegel</w:t>
      </w:r>
      <w:r w:rsidRPr="00C064EF">
        <w:rPr>
          <w:lang w:eastAsia="fr-FR" w:bidi="fr-FR"/>
        </w:rPr>
        <w:t xml:space="preserve"> (1990c), n°</w:t>
      </w:r>
      <w:r>
        <w:rPr>
          <w:lang w:eastAsia="fr-FR" w:bidi="fr-FR"/>
        </w:rPr>
        <w:t> </w:t>
      </w:r>
      <w:r w:rsidRPr="00C064EF">
        <w:rPr>
          <w:lang w:eastAsia="fr-FR" w:bidi="fr-FR"/>
        </w:rPr>
        <w:t>20, 14 mai, 122-123.</w:t>
      </w:r>
    </w:p>
    <w:p w:rsidR="001F5D09" w:rsidRPr="00C064EF" w:rsidRDefault="001F5D09" w:rsidP="001F5D09">
      <w:pPr>
        <w:spacing w:before="120" w:after="120"/>
        <w:jc w:val="both"/>
      </w:pPr>
      <w:r w:rsidRPr="00C064EF">
        <w:rPr>
          <w:lang w:eastAsia="fr-FR" w:bidi="fr-FR"/>
        </w:rPr>
        <w:t xml:space="preserve">STOLÉRU, L. (1990), </w:t>
      </w:r>
      <w:r w:rsidRPr="00C064EF">
        <w:t>« </w:t>
      </w:r>
      <w:r w:rsidRPr="00C064EF">
        <w:rPr>
          <w:lang w:eastAsia="fr-FR" w:bidi="fr-FR"/>
        </w:rPr>
        <w:t>Un plan Monnet pour l'Est</w:t>
      </w:r>
      <w:r w:rsidRPr="00C064EF">
        <w:t> »</w:t>
      </w:r>
      <w:r w:rsidRPr="00C064EF">
        <w:rPr>
          <w:lang w:eastAsia="fr-FR" w:bidi="fr-FR"/>
        </w:rPr>
        <w:t xml:space="preserve">, </w:t>
      </w:r>
      <w:r w:rsidRPr="009E727B">
        <w:rPr>
          <w:i/>
        </w:rPr>
        <w:t>Le Monde</w:t>
      </w:r>
      <w:r w:rsidRPr="00C064EF">
        <w:t>,</w:t>
      </w:r>
      <w:r w:rsidRPr="00C064EF">
        <w:rPr>
          <w:lang w:eastAsia="fr-FR" w:bidi="fr-FR"/>
        </w:rPr>
        <w:t xml:space="preserve"> 16 février.</w:t>
      </w:r>
    </w:p>
    <w:p w:rsidR="001F5D09" w:rsidRPr="00C064EF" w:rsidRDefault="001F5D09" w:rsidP="001F5D09">
      <w:pPr>
        <w:spacing w:before="120" w:after="120"/>
        <w:jc w:val="both"/>
      </w:pPr>
      <w:r w:rsidRPr="009E727B">
        <w:rPr>
          <w:i/>
        </w:rPr>
        <w:t>The Economist</w:t>
      </w:r>
      <w:r w:rsidRPr="00C064EF">
        <w:rPr>
          <w:lang w:eastAsia="fr-FR" w:bidi="fr-FR"/>
        </w:rPr>
        <w:t xml:space="preserve"> (1990), 17 mars.</w:t>
      </w:r>
    </w:p>
    <w:p w:rsidR="001F5D09" w:rsidRDefault="001F5D09" w:rsidP="001F5D09">
      <w:pPr>
        <w:pStyle w:val="p"/>
      </w:pPr>
      <w:r w:rsidRPr="00C064EF">
        <w:br w:type="page"/>
      </w:r>
      <w:r>
        <w:lastRenderedPageBreak/>
        <w:t>[179]</w:t>
      </w:r>
    </w:p>
    <w:p w:rsidR="001F5D09" w:rsidRDefault="001F5D09" w:rsidP="001F5D09">
      <w:pPr>
        <w:pStyle w:val="p"/>
      </w:pPr>
    </w:p>
    <w:p w:rsidR="001F5D09" w:rsidRDefault="001F5D09" w:rsidP="001F5D09">
      <w:pPr>
        <w:pStyle w:val="p"/>
      </w:pPr>
    </w:p>
    <w:p w:rsidR="001F5D09" w:rsidRDefault="001F5D09" w:rsidP="001F5D09">
      <w:pPr>
        <w:pStyle w:val="figst"/>
      </w:pPr>
      <w:r w:rsidRPr="009E727B">
        <w:t>LES PAYS DE L’EST DANS LA PRODUCTION</w:t>
      </w:r>
      <w:r w:rsidRPr="009E727B">
        <w:br/>
        <w:t>ET LES ÉCHANGES MONDIAUX</w:t>
      </w:r>
    </w:p>
    <w:p w:rsidR="001F5D09" w:rsidRDefault="001F5D09" w:rsidP="001F5D09">
      <w:pPr>
        <w:spacing w:before="120" w:after="120"/>
        <w:jc w:val="both"/>
        <w:rPr>
          <w:sz w:val="24"/>
          <w:szCs w:val="2"/>
        </w:rPr>
      </w:pPr>
    </w:p>
    <w:p w:rsidR="001F5D09" w:rsidRDefault="001F5D09" w:rsidP="001F5D09">
      <w:pPr>
        <w:spacing w:before="120" w:after="120"/>
        <w:jc w:val="both"/>
        <w:rPr>
          <w:sz w:val="24"/>
          <w:szCs w:val="2"/>
        </w:rPr>
      </w:pPr>
      <w:r w:rsidRPr="009E727B">
        <w:rPr>
          <w:sz w:val="24"/>
          <w:szCs w:val="2"/>
        </w:rPr>
        <w:t>Au cours des décennies 1970 et 1980, l'importance relative des pays de l'Est (URSS, pays d'Europe de l'Est, Chine et autres pays d'Asie à économie planifiée) dans la production et les échanges mondiaux peut être mesurée en moyenne par les chiffres suivants</w:t>
      </w:r>
      <w:r>
        <w:rPr>
          <w:sz w:val="24"/>
          <w:szCs w:val="2"/>
        </w:rPr>
        <w:t> </w:t>
      </w:r>
      <w:r w:rsidRPr="009E727B">
        <w:rPr>
          <w:sz w:val="24"/>
          <w:szCs w:val="2"/>
        </w:rPr>
        <w:t>:</w:t>
      </w: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584"/>
        <w:gridCol w:w="1612"/>
        <w:gridCol w:w="1612"/>
        <w:gridCol w:w="1612"/>
        <w:gridCol w:w="1612"/>
      </w:tblGrid>
      <w:tr w:rsidR="001F5D09" w:rsidRPr="00A658ED">
        <w:tc>
          <w:tcPr>
            <w:tcW w:w="2584" w:type="dxa"/>
            <w:shd w:val="clear" w:color="auto" w:fill="DDD9C3"/>
          </w:tcPr>
          <w:p w:rsidR="001F5D09" w:rsidRPr="00A658ED" w:rsidRDefault="001F5D09" w:rsidP="001F5D09">
            <w:pPr>
              <w:spacing w:before="60" w:after="120"/>
              <w:ind w:firstLine="0"/>
              <w:rPr>
                <w:sz w:val="24"/>
              </w:rPr>
            </w:pPr>
          </w:p>
        </w:tc>
        <w:tc>
          <w:tcPr>
            <w:tcW w:w="1612" w:type="dxa"/>
            <w:shd w:val="clear" w:color="auto" w:fill="DDD9C3"/>
          </w:tcPr>
          <w:p w:rsidR="001F5D09" w:rsidRPr="00A658ED" w:rsidRDefault="001F5D09" w:rsidP="001F5D09">
            <w:pPr>
              <w:spacing w:before="60" w:after="120"/>
              <w:ind w:firstLine="0"/>
              <w:jc w:val="center"/>
              <w:rPr>
                <w:sz w:val="24"/>
              </w:rPr>
            </w:pPr>
            <w:r w:rsidRPr="00A658ED">
              <w:rPr>
                <w:sz w:val="24"/>
              </w:rPr>
              <w:t>Pays</w:t>
            </w:r>
            <w:r w:rsidRPr="00A658ED">
              <w:rPr>
                <w:sz w:val="24"/>
              </w:rPr>
              <w:br/>
              <w:t>dévelo</w:t>
            </w:r>
            <w:r w:rsidRPr="00A658ED">
              <w:rPr>
                <w:sz w:val="24"/>
              </w:rPr>
              <w:t>p</w:t>
            </w:r>
            <w:r w:rsidRPr="00A658ED">
              <w:rPr>
                <w:sz w:val="24"/>
              </w:rPr>
              <w:t>pés</w:t>
            </w:r>
          </w:p>
        </w:tc>
        <w:tc>
          <w:tcPr>
            <w:tcW w:w="1612" w:type="dxa"/>
            <w:shd w:val="clear" w:color="auto" w:fill="DDD9C3"/>
          </w:tcPr>
          <w:p w:rsidR="001F5D09" w:rsidRPr="00A658ED" w:rsidRDefault="001F5D09" w:rsidP="001F5D09">
            <w:pPr>
              <w:spacing w:before="60" w:after="120"/>
              <w:ind w:firstLine="0"/>
              <w:jc w:val="center"/>
              <w:rPr>
                <w:sz w:val="24"/>
              </w:rPr>
            </w:pPr>
            <w:r w:rsidRPr="00A658ED">
              <w:rPr>
                <w:sz w:val="24"/>
              </w:rPr>
              <w:t>Pays sous-développés</w:t>
            </w:r>
          </w:p>
        </w:tc>
        <w:tc>
          <w:tcPr>
            <w:tcW w:w="1612" w:type="dxa"/>
            <w:shd w:val="clear" w:color="auto" w:fill="DDD9C3"/>
          </w:tcPr>
          <w:p w:rsidR="001F5D09" w:rsidRPr="00A658ED" w:rsidRDefault="001F5D09" w:rsidP="001F5D09">
            <w:pPr>
              <w:spacing w:before="60" w:after="120"/>
              <w:ind w:firstLine="0"/>
              <w:jc w:val="center"/>
              <w:rPr>
                <w:sz w:val="24"/>
              </w:rPr>
            </w:pPr>
            <w:r w:rsidRPr="00A658ED">
              <w:rPr>
                <w:sz w:val="24"/>
              </w:rPr>
              <w:t>Pays de l'Est</w:t>
            </w:r>
          </w:p>
        </w:tc>
        <w:tc>
          <w:tcPr>
            <w:tcW w:w="1612" w:type="dxa"/>
            <w:shd w:val="clear" w:color="auto" w:fill="DDD9C3"/>
          </w:tcPr>
          <w:p w:rsidR="001F5D09" w:rsidRPr="00A658ED" w:rsidRDefault="001F5D09" w:rsidP="001F5D09">
            <w:pPr>
              <w:spacing w:before="60" w:after="120"/>
              <w:ind w:firstLine="0"/>
              <w:jc w:val="center"/>
              <w:rPr>
                <w:sz w:val="24"/>
              </w:rPr>
            </w:pPr>
            <w:r w:rsidRPr="00A658ED">
              <w:rPr>
                <w:sz w:val="24"/>
              </w:rPr>
              <w:t>Monde</w:t>
            </w:r>
          </w:p>
        </w:tc>
      </w:tr>
      <w:tr w:rsidR="001F5D09" w:rsidRPr="00A658ED">
        <w:tc>
          <w:tcPr>
            <w:tcW w:w="2584" w:type="dxa"/>
          </w:tcPr>
          <w:p w:rsidR="001F5D09" w:rsidRPr="00A658ED" w:rsidRDefault="001F5D09" w:rsidP="001F5D09">
            <w:pPr>
              <w:spacing w:before="60" w:after="120"/>
              <w:ind w:firstLine="0"/>
              <w:rPr>
                <w:sz w:val="24"/>
              </w:rPr>
            </w:pPr>
            <w:r w:rsidRPr="00A658ED">
              <w:rPr>
                <w:sz w:val="24"/>
              </w:rPr>
              <w:t>PIB</w:t>
            </w:r>
          </w:p>
        </w:tc>
        <w:tc>
          <w:tcPr>
            <w:tcW w:w="1612" w:type="dxa"/>
          </w:tcPr>
          <w:p w:rsidR="001F5D09" w:rsidRPr="00A658ED" w:rsidRDefault="001F5D09" w:rsidP="001F5D09">
            <w:pPr>
              <w:tabs>
                <w:tab w:val="decimal" w:pos="638"/>
              </w:tabs>
              <w:spacing w:before="60" w:after="120"/>
              <w:ind w:firstLine="0"/>
              <w:rPr>
                <w:sz w:val="24"/>
              </w:rPr>
            </w:pPr>
            <w:r w:rsidRPr="00A658ED">
              <w:rPr>
                <w:sz w:val="24"/>
              </w:rPr>
              <w:t>70</w:t>
            </w:r>
            <w:r>
              <w:rPr>
                <w:sz w:val="24"/>
              </w:rPr>
              <w:t> %</w:t>
            </w:r>
          </w:p>
        </w:tc>
        <w:tc>
          <w:tcPr>
            <w:tcW w:w="1612" w:type="dxa"/>
          </w:tcPr>
          <w:p w:rsidR="001F5D09" w:rsidRPr="00A658ED" w:rsidRDefault="001F5D09" w:rsidP="001F5D09">
            <w:pPr>
              <w:tabs>
                <w:tab w:val="decimal" w:pos="638"/>
              </w:tabs>
              <w:spacing w:before="60" w:after="120"/>
              <w:ind w:firstLine="0"/>
              <w:rPr>
                <w:sz w:val="24"/>
              </w:rPr>
            </w:pPr>
            <w:r w:rsidRPr="00A658ED">
              <w:rPr>
                <w:sz w:val="24"/>
              </w:rPr>
              <w:t>15</w:t>
            </w:r>
            <w:r>
              <w:rPr>
                <w:sz w:val="24"/>
              </w:rPr>
              <w:t> %</w:t>
            </w:r>
          </w:p>
        </w:tc>
        <w:tc>
          <w:tcPr>
            <w:tcW w:w="1612" w:type="dxa"/>
          </w:tcPr>
          <w:p w:rsidR="001F5D09" w:rsidRPr="00A658ED" w:rsidRDefault="001F5D09" w:rsidP="001F5D09">
            <w:pPr>
              <w:tabs>
                <w:tab w:val="decimal" w:pos="638"/>
              </w:tabs>
              <w:spacing w:before="60" w:after="120"/>
              <w:ind w:firstLine="0"/>
              <w:rPr>
                <w:sz w:val="24"/>
              </w:rPr>
            </w:pPr>
            <w:r w:rsidRPr="00A658ED">
              <w:rPr>
                <w:sz w:val="24"/>
              </w:rPr>
              <w:t>15</w:t>
            </w:r>
            <w:r>
              <w:rPr>
                <w:sz w:val="24"/>
              </w:rPr>
              <w:t> %</w:t>
            </w:r>
          </w:p>
        </w:tc>
        <w:tc>
          <w:tcPr>
            <w:tcW w:w="1612" w:type="dxa"/>
          </w:tcPr>
          <w:p w:rsidR="001F5D09" w:rsidRPr="00A658ED" w:rsidRDefault="001F5D09" w:rsidP="001F5D09">
            <w:pPr>
              <w:tabs>
                <w:tab w:val="decimal" w:pos="638"/>
              </w:tabs>
              <w:spacing w:before="60" w:after="120"/>
              <w:ind w:firstLine="0"/>
              <w:rPr>
                <w:sz w:val="24"/>
              </w:rPr>
            </w:pPr>
            <w:r w:rsidRPr="00A658ED">
              <w:rPr>
                <w:sz w:val="24"/>
              </w:rPr>
              <w:t>100</w:t>
            </w:r>
            <w:r>
              <w:rPr>
                <w:sz w:val="24"/>
              </w:rPr>
              <w:t> %</w:t>
            </w:r>
          </w:p>
        </w:tc>
      </w:tr>
      <w:tr w:rsidR="001F5D09" w:rsidRPr="00A658ED">
        <w:tc>
          <w:tcPr>
            <w:tcW w:w="2584" w:type="dxa"/>
          </w:tcPr>
          <w:p w:rsidR="001F5D09" w:rsidRPr="00A658ED" w:rsidRDefault="001F5D09" w:rsidP="001F5D09">
            <w:pPr>
              <w:spacing w:before="60" w:after="120"/>
              <w:ind w:firstLine="0"/>
              <w:rPr>
                <w:sz w:val="24"/>
              </w:rPr>
            </w:pPr>
            <w:r w:rsidRPr="00A658ED">
              <w:rPr>
                <w:sz w:val="24"/>
              </w:rPr>
              <w:t>Production indu</w:t>
            </w:r>
            <w:r w:rsidRPr="00A658ED">
              <w:rPr>
                <w:sz w:val="24"/>
              </w:rPr>
              <w:t>s</w:t>
            </w:r>
            <w:r w:rsidRPr="00A658ED">
              <w:rPr>
                <w:sz w:val="24"/>
              </w:rPr>
              <w:t>trielle</w:t>
            </w:r>
          </w:p>
        </w:tc>
        <w:tc>
          <w:tcPr>
            <w:tcW w:w="1612" w:type="dxa"/>
          </w:tcPr>
          <w:p w:rsidR="001F5D09" w:rsidRPr="00A658ED" w:rsidRDefault="001F5D09" w:rsidP="001F5D09">
            <w:pPr>
              <w:tabs>
                <w:tab w:val="decimal" w:pos="638"/>
              </w:tabs>
              <w:spacing w:before="60" w:after="120"/>
              <w:ind w:firstLine="0"/>
              <w:rPr>
                <w:sz w:val="24"/>
              </w:rPr>
            </w:pPr>
            <w:r w:rsidRPr="00A658ED">
              <w:rPr>
                <w:sz w:val="24"/>
              </w:rPr>
              <w:t>60</w:t>
            </w:r>
            <w:r>
              <w:rPr>
                <w:sz w:val="24"/>
              </w:rPr>
              <w:t> %</w:t>
            </w:r>
          </w:p>
        </w:tc>
        <w:tc>
          <w:tcPr>
            <w:tcW w:w="1612" w:type="dxa"/>
          </w:tcPr>
          <w:p w:rsidR="001F5D09" w:rsidRPr="00A658ED" w:rsidRDefault="001F5D09" w:rsidP="001F5D09">
            <w:pPr>
              <w:tabs>
                <w:tab w:val="decimal" w:pos="638"/>
              </w:tabs>
              <w:spacing w:before="60" w:after="120"/>
              <w:ind w:firstLine="0"/>
              <w:rPr>
                <w:sz w:val="24"/>
              </w:rPr>
            </w:pPr>
            <w:r w:rsidRPr="00A658ED">
              <w:rPr>
                <w:sz w:val="24"/>
              </w:rPr>
              <w:t>10</w:t>
            </w:r>
            <w:r>
              <w:rPr>
                <w:sz w:val="24"/>
              </w:rPr>
              <w:t> %</w:t>
            </w:r>
          </w:p>
        </w:tc>
        <w:tc>
          <w:tcPr>
            <w:tcW w:w="1612" w:type="dxa"/>
          </w:tcPr>
          <w:p w:rsidR="001F5D09" w:rsidRPr="00A658ED" w:rsidRDefault="001F5D09" w:rsidP="001F5D09">
            <w:pPr>
              <w:tabs>
                <w:tab w:val="decimal" w:pos="638"/>
              </w:tabs>
              <w:spacing w:before="60" w:after="120"/>
              <w:ind w:firstLine="0"/>
              <w:rPr>
                <w:sz w:val="24"/>
              </w:rPr>
            </w:pPr>
            <w:r w:rsidRPr="00A658ED">
              <w:rPr>
                <w:sz w:val="24"/>
              </w:rPr>
              <w:t>30</w:t>
            </w:r>
            <w:r>
              <w:rPr>
                <w:sz w:val="24"/>
              </w:rPr>
              <w:t> %</w:t>
            </w:r>
          </w:p>
        </w:tc>
        <w:tc>
          <w:tcPr>
            <w:tcW w:w="1612" w:type="dxa"/>
          </w:tcPr>
          <w:p w:rsidR="001F5D09" w:rsidRPr="00A658ED" w:rsidRDefault="001F5D09" w:rsidP="001F5D09">
            <w:pPr>
              <w:tabs>
                <w:tab w:val="decimal" w:pos="638"/>
              </w:tabs>
              <w:spacing w:before="60" w:after="120"/>
              <w:ind w:firstLine="0"/>
              <w:rPr>
                <w:sz w:val="24"/>
              </w:rPr>
            </w:pPr>
            <w:r w:rsidRPr="00A658ED">
              <w:rPr>
                <w:sz w:val="24"/>
              </w:rPr>
              <w:t>100</w:t>
            </w:r>
            <w:r>
              <w:rPr>
                <w:sz w:val="24"/>
              </w:rPr>
              <w:t> %</w:t>
            </w:r>
          </w:p>
        </w:tc>
      </w:tr>
      <w:tr w:rsidR="001F5D09" w:rsidRPr="00A658ED">
        <w:tc>
          <w:tcPr>
            <w:tcW w:w="2584" w:type="dxa"/>
          </w:tcPr>
          <w:p w:rsidR="001F5D09" w:rsidRPr="00A658ED" w:rsidRDefault="001F5D09" w:rsidP="001F5D09">
            <w:pPr>
              <w:spacing w:before="60" w:after="120"/>
              <w:ind w:firstLine="0"/>
              <w:rPr>
                <w:sz w:val="24"/>
              </w:rPr>
            </w:pPr>
            <w:r w:rsidRPr="00A658ED">
              <w:rPr>
                <w:sz w:val="24"/>
              </w:rPr>
              <w:t>Commerce extérieur</w:t>
            </w:r>
          </w:p>
        </w:tc>
        <w:tc>
          <w:tcPr>
            <w:tcW w:w="1612" w:type="dxa"/>
          </w:tcPr>
          <w:p w:rsidR="001F5D09" w:rsidRPr="00A658ED" w:rsidRDefault="001F5D09" w:rsidP="001F5D09">
            <w:pPr>
              <w:tabs>
                <w:tab w:val="decimal" w:pos="638"/>
              </w:tabs>
              <w:spacing w:before="60" w:after="120"/>
              <w:ind w:firstLine="0"/>
              <w:rPr>
                <w:sz w:val="24"/>
              </w:rPr>
            </w:pPr>
            <w:r w:rsidRPr="00A658ED">
              <w:rPr>
                <w:sz w:val="24"/>
              </w:rPr>
              <w:t>60-70</w:t>
            </w:r>
            <w:r>
              <w:rPr>
                <w:sz w:val="24"/>
              </w:rPr>
              <w:t> %</w:t>
            </w:r>
          </w:p>
        </w:tc>
        <w:tc>
          <w:tcPr>
            <w:tcW w:w="1612" w:type="dxa"/>
          </w:tcPr>
          <w:p w:rsidR="001F5D09" w:rsidRPr="00A658ED" w:rsidRDefault="001F5D09" w:rsidP="001F5D09">
            <w:pPr>
              <w:tabs>
                <w:tab w:val="decimal" w:pos="638"/>
              </w:tabs>
              <w:spacing w:before="60" w:after="120"/>
              <w:ind w:firstLine="0"/>
              <w:rPr>
                <w:sz w:val="24"/>
              </w:rPr>
            </w:pPr>
            <w:r w:rsidRPr="00A658ED">
              <w:rPr>
                <w:sz w:val="24"/>
              </w:rPr>
              <w:t>20-30</w:t>
            </w:r>
            <w:r>
              <w:rPr>
                <w:sz w:val="24"/>
              </w:rPr>
              <w:t> %</w:t>
            </w:r>
          </w:p>
        </w:tc>
        <w:tc>
          <w:tcPr>
            <w:tcW w:w="1612" w:type="dxa"/>
          </w:tcPr>
          <w:p w:rsidR="001F5D09" w:rsidRPr="00A658ED" w:rsidRDefault="001F5D09" w:rsidP="001F5D09">
            <w:pPr>
              <w:tabs>
                <w:tab w:val="decimal" w:pos="638"/>
              </w:tabs>
              <w:spacing w:before="60" w:after="120"/>
              <w:ind w:firstLine="0"/>
              <w:rPr>
                <w:sz w:val="24"/>
              </w:rPr>
            </w:pPr>
            <w:r w:rsidRPr="00A658ED">
              <w:rPr>
                <w:sz w:val="24"/>
              </w:rPr>
              <w:t>10</w:t>
            </w:r>
            <w:r>
              <w:rPr>
                <w:sz w:val="24"/>
              </w:rPr>
              <w:t> %</w:t>
            </w:r>
          </w:p>
        </w:tc>
        <w:tc>
          <w:tcPr>
            <w:tcW w:w="1612" w:type="dxa"/>
          </w:tcPr>
          <w:p w:rsidR="001F5D09" w:rsidRPr="00A658ED" w:rsidRDefault="001F5D09" w:rsidP="001F5D09">
            <w:pPr>
              <w:tabs>
                <w:tab w:val="decimal" w:pos="638"/>
              </w:tabs>
              <w:spacing w:before="60" w:after="120"/>
              <w:ind w:firstLine="0"/>
              <w:rPr>
                <w:sz w:val="24"/>
              </w:rPr>
            </w:pPr>
            <w:r w:rsidRPr="00A658ED">
              <w:rPr>
                <w:sz w:val="24"/>
              </w:rPr>
              <w:t>100</w:t>
            </w:r>
            <w:r>
              <w:rPr>
                <w:sz w:val="24"/>
              </w:rPr>
              <w:t> %</w:t>
            </w:r>
          </w:p>
        </w:tc>
      </w:tr>
    </w:tbl>
    <w:p w:rsidR="001F5D09" w:rsidRDefault="001F5D09" w:rsidP="001F5D09"/>
    <w:p w:rsidR="001F5D09" w:rsidRPr="003A06AC" w:rsidRDefault="001F5D09" w:rsidP="001F5D09">
      <w:pPr>
        <w:rPr>
          <w:sz w:val="24"/>
        </w:rPr>
      </w:pPr>
      <w:r w:rsidRPr="003A06AC">
        <w:rPr>
          <w:sz w:val="24"/>
        </w:rPr>
        <w:t>Les chiffres relatifs au PIB reposent toujours sur des approximations, dans la mesure où les statistiques de Produit matériel net utilisées à l'Est doivent être «</w:t>
      </w:r>
      <w:r>
        <w:rPr>
          <w:sz w:val="24"/>
        </w:rPr>
        <w:t> </w:t>
      </w:r>
      <w:r w:rsidRPr="003A06AC">
        <w:rPr>
          <w:sz w:val="24"/>
        </w:rPr>
        <w:t>traduites</w:t>
      </w:r>
      <w:r>
        <w:rPr>
          <w:sz w:val="24"/>
        </w:rPr>
        <w:t> </w:t>
      </w:r>
      <w:r w:rsidRPr="003A06AC">
        <w:rPr>
          <w:sz w:val="24"/>
        </w:rPr>
        <w:t>» en unités de produit intérieur brut à l'aide de facteurs de conversion estimatifs.</w:t>
      </w:r>
    </w:p>
    <w:p w:rsidR="001F5D09" w:rsidRPr="003A06AC" w:rsidRDefault="001F5D09" w:rsidP="001F5D09">
      <w:pPr>
        <w:rPr>
          <w:sz w:val="24"/>
        </w:rPr>
      </w:pPr>
      <w:r w:rsidRPr="003A06AC">
        <w:rPr>
          <w:sz w:val="24"/>
        </w:rPr>
        <w:t>Les différences de structures de prix et le manque de fiabilité des statistiques de l'Est ajoutent à l'imprécision des chiffres concernant le PIB et la production industrielle.</w:t>
      </w:r>
    </w:p>
    <w:p w:rsidR="001F5D09" w:rsidRPr="003A06AC" w:rsidRDefault="001F5D09" w:rsidP="001F5D09">
      <w:pPr>
        <w:rPr>
          <w:sz w:val="24"/>
        </w:rPr>
      </w:pPr>
      <w:r w:rsidRPr="003A06AC">
        <w:rPr>
          <w:sz w:val="24"/>
        </w:rPr>
        <w:t>Seuls les chiffres relatifs au commerce extérieur échappent à ces difficultés. Ils sont détaillés dans le tableau suivant, qui fait ressortir le poids relativement faible des pays de l'Est dans les échanges extérieurs mondiaux et l</w:t>
      </w:r>
      <w:r>
        <w:rPr>
          <w:sz w:val="24"/>
        </w:rPr>
        <w:t>a proportion élevée (plus de 50 %</w:t>
      </w:r>
      <w:r w:rsidRPr="003A06AC">
        <w:rPr>
          <w:sz w:val="24"/>
        </w:rPr>
        <w:t>) de ces échanges qui sont internes aux pays de l'Est.</w:t>
      </w:r>
    </w:p>
    <w:p w:rsidR="001F5D09" w:rsidRDefault="001F5D09" w:rsidP="001F5D09"/>
    <w:p w:rsidR="001F5D09" w:rsidRDefault="001F5D09" w:rsidP="001F5D09">
      <w:r>
        <w:br w:type="page"/>
      </w:r>
    </w:p>
    <w:p w:rsidR="001F5D09" w:rsidRDefault="001F5D09" w:rsidP="001F5D09">
      <w:pPr>
        <w:pStyle w:val="figst"/>
      </w:pPr>
      <w:r>
        <w:t>Répartition du commerce mondial de marchandises</w:t>
      </w:r>
      <w:r>
        <w:br/>
        <w:t>en milliards de dollars et en  % du commerce mondial</w:t>
      </w:r>
    </w:p>
    <w:tbl>
      <w:tblPr>
        <w:tblOverlap w:val="never"/>
        <w:tblW w:w="8748" w:type="dxa"/>
        <w:tblInd w:w="-800" w:type="dxa"/>
        <w:tblLayout w:type="fixed"/>
        <w:tblCellMar>
          <w:left w:w="10" w:type="dxa"/>
          <w:right w:w="10" w:type="dxa"/>
        </w:tblCellMar>
        <w:tblLook w:val="04A0" w:firstRow="1" w:lastRow="0" w:firstColumn="1" w:lastColumn="0" w:noHBand="0" w:noVBand="1"/>
      </w:tblPr>
      <w:tblGrid>
        <w:gridCol w:w="2416"/>
        <w:gridCol w:w="791"/>
        <w:gridCol w:w="792"/>
        <w:gridCol w:w="791"/>
        <w:gridCol w:w="792"/>
        <w:gridCol w:w="791"/>
        <w:gridCol w:w="792"/>
        <w:gridCol w:w="791"/>
        <w:gridCol w:w="792"/>
      </w:tblGrid>
      <w:tr w:rsidR="001F5D09" w:rsidRPr="00C064EF">
        <w:tblPrEx>
          <w:tblCellMar>
            <w:top w:w="0" w:type="dxa"/>
            <w:bottom w:w="0" w:type="dxa"/>
          </w:tblCellMar>
        </w:tblPrEx>
        <w:tc>
          <w:tcPr>
            <w:tcW w:w="2416" w:type="dxa"/>
            <w:vMerge w:val="restart"/>
            <w:tcBorders>
              <w:top w:val="single" w:sz="12" w:space="0" w:color="auto"/>
              <w:bottom w:val="single" w:sz="12" w:space="0" w:color="auto"/>
              <w:tl2br w:val="single" w:sz="12" w:space="0" w:color="auto"/>
            </w:tcBorders>
            <w:shd w:val="clear" w:color="auto" w:fill="DDD9C3"/>
            <w:vAlign w:val="center"/>
          </w:tcPr>
          <w:p w:rsidR="001F5D09" w:rsidRDefault="001F5D09" w:rsidP="001F5D09">
            <w:pPr>
              <w:spacing w:before="60" w:after="120"/>
              <w:ind w:firstLine="0"/>
              <w:jc w:val="right"/>
              <w:rPr>
                <w:sz w:val="24"/>
              </w:rPr>
            </w:pPr>
            <w:r>
              <w:rPr>
                <w:sz w:val="24"/>
              </w:rPr>
              <w:t>Destination</w:t>
            </w:r>
          </w:p>
          <w:p w:rsidR="001F5D09" w:rsidRPr="003A06AC" w:rsidRDefault="001F5D09" w:rsidP="001F5D09">
            <w:pPr>
              <w:spacing w:before="60" w:after="120"/>
              <w:ind w:firstLine="0"/>
              <w:rPr>
                <w:sz w:val="24"/>
              </w:rPr>
            </w:pPr>
            <w:r w:rsidRPr="003A06AC">
              <w:rPr>
                <w:sz w:val="24"/>
              </w:rPr>
              <w:t>Origine</w:t>
            </w:r>
          </w:p>
        </w:tc>
        <w:tc>
          <w:tcPr>
            <w:tcW w:w="1583" w:type="dxa"/>
            <w:gridSpan w:val="2"/>
            <w:tcBorders>
              <w:top w:val="single" w:sz="12" w:space="0" w:color="auto"/>
              <w:bottom w:val="single" w:sz="12" w:space="0" w:color="auto"/>
            </w:tcBorders>
            <w:shd w:val="clear" w:color="auto" w:fill="DDD9C3"/>
            <w:vAlign w:val="center"/>
          </w:tcPr>
          <w:p w:rsidR="001F5D09" w:rsidRPr="003A06AC" w:rsidRDefault="001F5D09" w:rsidP="001F5D09">
            <w:pPr>
              <w:spacing w:before="60" w:after="120"/>
              <w:ind w:firstLine="0"/>
              <w:jc w:val="center"/>
              <w:rPr>
                <w:sz w:val="24"/>
              </w:rPr>
            </w:pPr>
            <w:r>
              <w:rPr>
                <w:sz w:val="24"/>
              </w:rPr>
              <w:t>Pays</w:t>
            </w:r>
            <w:r>
              <w:rPr>
                <w:sz w:val="24"/>
              </w:rPr>
              <w:br/>
              <w:t>développés</w:t>
            </w:r>
          </w:p>
        </w:tc>
        <w:tc>
          <w:tcPr>
            <w:tcW w:w="1583" w:type="dxa"/>
            <w:gridSpan w:val="2"/>
            <w:tcBorders>
              <w:top w:val="single" w:sz="12" w:space="0" w:color="auto"/>
              <w:bottom w:val="single" w:sz="12" w:space="0" w:color="auto"/>
            </w:tcBorders>
            <w:shd w:val="clear" w:color="auto" w:fill="DDD9C3"/>
            <w:vAlign w:val="center"/>
          </w:tcPr>
          <w:p w:rsidR="001F5D09" w:rsidRPr="003A06AC" w:rsidRDefault="001F5D09" w:rsidP="001F5D09">
            <w:pPr>
              <w:spacing w:before="60" w:after="120"/>
              <w:ind w:firstLine="0"/>
              <w:jc w:val="center"/>
              <w:rPr>
                <w:sz w:val="24"/>
              </w:rPr>
            </w:pPr>
            <w:r>
              <w:rPr>
                <w:sz w:val="24"/>
              </w:rPr>
              <w:t>Pays sous-</w:t>
            </w:r>
            <w:r>
              <w:rPr>
                <w:sz w:val="24"/>
              </w:rPr>
              <w:br/>
              <w:t>développés</w:t>
            </w:r>
          </w:p>
        </w:tc>
        <w:tc>
          <w:tcPr>
            <w:tcW w:w="1583" w:type="dxa"/>
            <w:gridSpan w:val="2"/>
            <w:tcBorders>
              <w:top w:val="single" w:sz="12" w:space="0" w:color="auto"/>
              <w:bottom w:val="single" w:sz="12" w:space="0" w:color="auto"/>
            </w:tcBorders>
            <w:shd w:val="clear" w:color="auto" w:fill="DDD9C3"/>
            <w:vAlign w:val="center"/>
          </w:tcPr>
          <w:p w:rsidR="001F5D09" w:rsidRPr="003A06AC" w:rsidRDefault="001F5D09" w:rsidP="001F5D09">
            <w:pPr>
              <w:spacing w:before="60" w:after="120"/>
              <w:ind w:firstLine="0"/>
              <w:jc w:val="center"/>
              <w:rPr>
                <w:sz w:val="24"/>
              </w:rPr>
            </w:pPr>
            <w:r>
              <w:rPr>
                <w:sz w:val="24"/>
              </w:rPr>
              <w:t>Pays de l’Est</w:t>
            </w:r>
          </w:p>
        </w:tc>
        <w:tc>
          <w:tcPr>
            <w:tcW w:w="1583" w:type="dxa"/>
            <w:gridSpan w:val="2"/>
            <w:tcBorders>
              <w:top w:val="single" w:sz="12" w:space="0" w:color="auto"/>
              <w:bottom w:val="single" w:sz="12" w:space="0" w:color="auto"/>
            </w:tcBorders>
            <w:shd w:val="clear" w:color="auto" w:fill="DDD9C3"/>
            <w:vAlign w:val="center"/>
          </w:tcPr>
          <w:p w:rsidR="001F5D09" w:rsidRPr="003A06AC" w:rsidRDefault="001F5D09" w:rsidP="001F5D09">
            <w:pPr>
              <w:spacing w:before="60" w:after="120"/>
              <w:ind w:firstLine="0"/>
              <w:jc w:val="center"/>
              <w:rPr>
                <w:sz w:val="24"/>
              </w:rPr>
            </w:pPr>
            <w:r>
              <w:rPr>
                <w:sz w:val="24"/>
              </w:rPr>
              <w:t>Monde</w:t>
            </w:r>
          </w:p>
        </w:tc>
      </w:tr>
      <w:tr w:rsidR="001F5D09" w:rsidRPr="00C064EF">
        <w:tblPrEx>
          <w:tblCellMar>
            <w:top w:w="0" w:type="dxa"/>
            <w:bottom w:w="0" w:type="dxa"/>
          </w:tblCellMar>
        </w:tblPrEx>
        <w:tc>
          <w:tcPr>
            <w:tcW w:w="2416" w:type="dxa"/>
            <w:vMerge/>
            <w:tcBorders>
              <w:bottom w:val="single" w:sz="12" w:space="0" w:color="auto"/>
              <w:tl2br w:val="single" w:sz="12" w:space="0" w:color="auto"/>
            </w:tcBorders>
            <w:shd w:val="clear" w:color="auto" w:fill="DDD9C3"/>
            <w:vAlign w:val="center"/>
          </w:tcPr>
          <w:p w:rsidR="001F5D09" w:rsidRPr="003A06AC" w:rsidRDefault="001F5D09" w:rsidP="001F5D09">
            <w:pPr>
              <w:spacing w:before="60" w:after="120"/>
              <w:ind w:firstLine="0"/>
              <w:rPr>
                <w:sz w:val="24"/>
              </w:rPr>
            </w:pPr>
          </w:p>
        </w:tc>
        <w:tc>
          <w:tcPr>
            <w:tcW w:w="791" w:type="dxa"/>
            <w:tcBorders>
              <w:top w:val="single" w:sz="12" w:space="0" w:color="auto"/>
              <w:bottom w:val="single" w:sz="12" w:space="0" w:color="auto"/>
            </w:tcBorders>
            <w:shd w:val="clear" w:color="auto" w:fill="DDD9C3"/>
            <w:vAlign w:val="center"/>
          </w:tcPr>
          <w:p w:rsidR="001F5D09" w:rsidRPr="003A06AC" w:rsidRDefault="001F5D09" w:rsidP="001F5D09">
            <w:pPr>
              <w:spacing w:before="60" w:after="120"/>
              <w:ind w:firstLine="0"/>
              <w:jc w:val="center"/>
              <w:rPr>
                <w:sz w:val="24"/>
              </w:rPr>
            </w:pPr>
            <w:r w:rsidRPr="003A06AC">
              <w:rPr>
                <w:sz w:val="24"/>
              </w:rPr>
              <w:t>1973</w:t>
            </w:r>
          </w:p>
        </w:tc>
        <w:tc>
          <w:tcPr>
            <w:tcW w:w="792" w:type="dxa"/>
            <w:tcBorders>
              <w:top w:val="single" w:sz="12" w:space="0" w:color="auto"/>
              <w:bottom w:val="single" w:sz="12" w:space="0" w:color="auto"/>
            </w:tcBorders>
            <w:shd w:val="clear" w:color="auto" w:fill="DDD9C3"/>
            <w:vAlign w:val="center"/>
          </w:tcPr>
          <w:p w:rsidR="001F5D09" w:rsidRPr="003A06AC" w:rsidRDefault="001F5D09" w:rsidP="001F5D09">
            <w:pPr>
              <w:spacing w:before="60" w:after="120"/>
              <w:ind w:firstLine="0"/>
              <w:jc w:val="center"/>
              <w:rPr>
                <w:sz w:val="24"/>
              </w:rPr>
            </w:pPr>
            <w:r w:rsidRPr="003A06AC">
              <w:rPr>
                <w:sz w:val="24"/>
              </w:rPr>
              <w:t>1988</w:t>
            </w:r>
          </w:p>
        </w:tc>
        <w:tc>
          <w:tcPr>
            <w:tcW w:w="791" w:type="dxa"/>
            <w:tcBorders>
              <w:top w:val="single" w:sz="12" w:space="0" w:color="auto"/>
              <w:bottom w:val="single" w:sz="12" w:space="0" w:color="auto"/>
            </w:tcBorders>
            <w:shd w:val="clear" w:color="auto" w:fill="DDD9C3"/>
            <w:vAlign w:val="center"/>
          </w:tcPr>
          <w:p w:rsidR="001F5D09" w:rsidRPr="003A06AC" w:rsidRDefault="001F5D09" w:rsidP="001F5D09">
            <w:pPr>
              <w:spacing w:before="60" w:after="120"/>
              <w:ind w:firstLine="0"/>
              <w:jc w:val="center"/>
              <w:rPr>
                <w:sz w:val="24"/>
              </w:rPr>
            </w:pPr>
            <w:r w:rsidRPr="003A06AC">
              <w:rPr>
                <w:sz w:val="24"/>
              </w:rPr>
              <w:t>1973</w:t>
            </w:r>
          </w:p>
        </w:tc>
        <w:tc>
          <w:tcPr>
            <w:tcW w:w="792" w:type="dxa"/>
            <w:tcBorders>
              <w:top w:val="single" w:sz="12" w:space="0" w:color="auto"/>
              <w:bottom w:val="single" w:sz="12" w:space="0" w:color="auto"/>
            </w:tcBorders>
            <w:shd w:val="clear" w:color="auto" w:fill="DDD9C3"/>
            <w:vAlign w:val="center"/>
          </w:tcPr>
          <w:p w:rsidR="001F5D09" w:rsidRPr="003A06AC" w:rsidRDefault="001F5D09" w:rsidP="001F5D09">
            <w:pPr>
              <w:spacing w:before="60" w:after="120"/>
              <w:ind w:firstLine="0"/>
              <w:jc w:val="center"/>
              <w:rPr>
                <w:sz w:val="24"/>
              </w:rPr>
            </w:pPr>
            <w:r w:rsidRPr="003A06AC">
              <w:rPr>
                <w:sz w:val="24"/>
              </w:rPr>
              <w:t>1988</w:t>
            </w:r>
          </w:p>
        </w:tc>
        <w:tc>
          <w:tcPr>
            <w:tcW w:w="791" w:type="dxa"/>
            <w:tcBorders>
              <w:top w:val="single" w:sz="12" w:space="0" w:color="auto"/>
              <w:bottom w:val="single" w:sz="12" w:space="0" w:color="auto"/>
            </w:tcBorders>
            <w:shd w:val="clear" w:color="auto" w:fill="DDD9C3"/>
            <w:vAlign w:val="center"/>
          </w:tcPr>
          <w:p w:rsidR="001F5D09" w:rsidRPr="003A06AC" w:rsidRDefault="001F5D09" w:rsidP="001F5D09">
            <w:pPr>
              <w:spacing w:before="60" w:after="120"/>
              <w:ind w:firstLine="0"/>
              <w:jc w:val="center"/>
              <w:rPr>
                <w:sz w:val="24"/>
              </w:rPr>
            </w:pPr>
            <w:r w:rsidRPr="003A06AC">
              <w:rPr>
                <w:sz w:val="24"/>
              </w:rPr>
              <w:t>1973</w:t>
            </w:r>
          </w:p>
        </w:tc>
        <w:tc>
          <w:tcPr>
            <w:tcW w:w="792" w:type="dxa"/>
            <w:tcBorders>
              <w:top w:val="single" w:sz="12" w:space="0" w:color="auto"/>
              <w:bottom w:val="single" w:sz="12" w:space="0" w:color="auto"/>
            </w:tcBorders>
            <w:shd w:val="clear" w:color="auto" w:fill="DDD9C3"/>
            <w:vAlign w:val="center"/>
          </w:tcPr>
          <w:p w:rsidR="001F5D09" w:rsidRPr="003A06AC" w:rsidRDefault="001F5D09" w:rsidP="001F5D09">
            <w:pPr>
              <w:spacing w:before="60" w:after="120"/>
              <w:ind w:firstLine="0"/>
              <w:jc w:val="center"/>
              <w:rPr>
                <w:sz w:val="24"/>
              </w:rPr>
            </w:pPr>
            <w:r w:rsidRPr="003A06AC">
              <w:rPr>
                <w:sz w:val="24"/>
              </w:rPr>
              <w:t>1988</w:t>
            </w:r>
          </w:p>
        </w:tc>
        <w:tc>
          <w:tcPr>
            <w:tcW w:w="791" w:type="dxa"/>
            <w:tcBorders>
              <w:top w:val="single" w:sz="12" w:space="0" w:color="auto"/>
              <w:bottom w:val="single" w:sz="12" w:space="0" w:color="auto"/>
            </w:tcBorders>
            <w:shd w:val="clear" w:color="auto" w:fill="DDD9C3"/>
            <w:vAlign w:val="center"/>
          </w:tcPr>
          <w:p w:rsidR="001F5D09" w:rsidRPr="003A06AC" w:rsidRDefault="001F5D09" w:rsidP="001F5D09">
            <w:pPr>
              <w:spacing w:before="60" w:after="120"/>
              <w:ind w:firstLine="0"/>
              <w:jc w:val="center"/>
              <w:rPr>
                <w:sz w:val="24"/>
              </w:rPr>
            </w:pPr>
            <w:r w:rsidRPr="003A06AC">
              <w:rPr>
                <w:sz w:val="24"/>
              </w:rPr>
              <w:t>1973</w:t>
            </w:r>
          </w:p>
        </w:tc>
        <w:tc>
          <w:tcPr>
            <w:tcW w:w="792" w:type="dxa"/>
            <w:tcBorders>
              <w:top w:val="single" w:sz="12" w:space="0" w:color="auto"/>
              <w:bottom w:val="single" w:sz="12" w:space="0" w:color="auto"/>
            </w:tcBorders>
            <w:shd w:val="clear" w:color="auto" w:fill="DDD9C3"/>
            <w:vAlign w:val="center"/>
          </w:tcPr>
          <w:p w:rsidR="001F5D09" w:rsidRPr="003A06AC" w:rsidRDefault="001F5D09" w:rsidP="001F5D09">
            <w:pPr>
              <w:spacing w:before="60" w:after="120"/>
              <w:ind w:firstLine="0"/>
              <w:jc w:val="center"/>
              <w:rPr>
                <w:sz w:val="24"/>
              </w:rPr>
            </w:pPr>
            <w:r w:rsidRPr="003A06AC">
              <w:rPr>
                <w:sz w:val="24"/>
              </w:rPr>
              <w:t>1988</w:t>
            </w:r>
          </w:p>
        </w:tc>
      </w:tr>
      <w:tr w:rsidR="001F5D09" w:rsidRPr="00C064EF">
        <w:tblPrEx>
          <w:tblCellMar>
            <w:top w:w="0" w:type="dxa"/>
            <w:bottom w:w="0" w:type="dxa"/>
          </w:tblCellMar>
        </w:tblPrEx>
        <w:tc>
          <w:tcPr>
            <w:tcW w:w="2416" w:type="dxa"/>
            <w:tcBorders>
              <w:top w:val="single" w:sz="12" w:space="0" w:color="auto"/>
            </w:tcBorders>
            <w:shd w:val="clear" w:color="auto" w:fill="FFFFFF"/>
            <w:vAlign w:val="center"/>
          </w:tcPr>
          <w:p w:rsidR="001F5D09" w:rsidRPr="003A06AC" w:rsidRDefault="001F5D09" w:rsidP="001F5D09">
            <w:pPr>
              <w:spacing w:before="60" w:after="120"/>
              <w:ind w:firstLine="0"/>
              <w:rPr>
                <w:sz w:val="24"/>
              </w:rPr>
            </w:pPr>
            <w:r w:rsidRPr="003A06AC">
              <w:rPr>
                <w:sz w:val="24"/>
              </w:rPr>
              <w:t>Pays dév</w:t>
            </w:r>
            <w:r w:rsidRPr="003A06AC">
              <w:rPr>
                <w:sz w:val="24"/>
              </w:rPr>
              <w:t>e</w:t>
            </w:r>
            <w:r w:rsidRPr="003A06AC">
              <w:rPr>
                <w:sz w:val="24"/>
              </w:rPr>
              <w:t xml:space="preserve">loppés </w:t>
            </w:r>
          </w:p>
        </w:tc>
        <w:tc>
          <w:tcPr>
            <w:tcW w:w="791" w:type="dxa"/>
            <w:tcBorders>
              <w:top w:val="single" w:sz="12" w:space="0" w:color="auto"/>
            </w:tcBorders>
            <w:shd w:val="clear" w:color="auto" w:fill="FFFFFF"/>
            <w:vAlign w:val="center"/>
          </w:tcPr>
          <w:p w:rsidR="001F5D09" w:rsidRPr="003A06AC" w:rsidRDefault="001F5D09" w:rsidP="001F5D09">
            <w:pPr>
              <w:tabs>
                <w:tab w:val="decimal" w:pos="364"/>
              </w:tabs>
              <w:spacing w:before="60" w:after="120"/>
              <w:ind w:firstLine="0"/>
              <w:jc w:val="both"/>
              <w:rPr>
                <w:sz w:val="24"/>
              </w:rPr>
            </w:pPr>
            <w:r w:rsidRPr="003A06AC">
              <w:rPr>
                <w:sz w:val="24"/>
              </w:rPr>
              <w:t>55</w:t>
            </w:r>
            <w:r>
              <w:rPr>
                <w:sz w:val="24"/>
              </w:rPr>
              <w:t> %</w:t>
            </w:r>
          </w:p>
        </w:tc>
        <w:tc>
          <w:tcPr>
            <w:tcW w:w="792" w:type="dxa"/>
            <w:tcBorders>
              <w:top w:val="single" w:sz="12" w:space="0" w:color="auto"/>
            </w:tcBorders>
            <w:shd w:val="clear" w:color="auto" w:fill="FFFFFF"/>
            <w:vAlign w:val="center"/>
          </w:tcPr>
          <w:p w:rsidR="001F5D09" w:rsidRPr="003A06AC" w:rsidRDefault="001F5D09" w:rsidP="001F5D09">
            <w:pPr>
              <w:tabs>
                <w:tab w:val="decimal" w:pos="364"/>
              </w:tabs>
              <w:spacing w:before="60" w:after="120"/>
              <w:ind w:firstLine="0"/>
              <w:jc w:val="both"/>
              <w:rPr>
                <w:sz w:val="24"/>
              </w:rPr>
            </w:pPr>
            <w:r w:rsidRPr="003A06AC">
              <w:rPr>
                <w:sz w:val="24"/>
              </w:rPr>
              <w:t>55</w:t>
            </w:r>
            <w:r>
              <w:rPr>
                <w:sz w:val="24"/>
              </w:rPr>
              <w:t> %</w:t>
            </w:r>
          </w:p>
        </w:tc>
        <w:tc>
          <w:tcPr>
            <w:tcW w:w="791" w:type="dxa"/>
            <w:tcBorders>
              <w:top w:val="single" w:sz="12" w:space="0" w:color="auto"/>
            </w:tcBorders>
            <w:shd w:val="clear" w:color="auto" w:fill="FFFFFF"/>
            <w:vAlign w:val="center"/>
          </w:tcPr>
          <w:p w:rsidR="001F5D09" w:rsidRPr="003A06AC" w:rsidRDefault="001F5D09" w:rsidP="001F5D09">
            <w:pPr>
              <w:tabs>
                <w:tab w:val="decimal" w:pos="364"/>
              </w:tabs>
              <w:spacing w:before="60" w:after="120"/>
              <w:ind w:firstLine="0"/>
              <w:jc w:val="both"/>
              <w:rPr>
                <w:sz w:val="24"/>
              </w:rPr>
            </w:pPr>
            <w:r w:rsidRPr="003A06AC">
              <w:rPr>
                <w:sz w:val="24"/>
              </w:rPr>
              <w:t>13</w:t>
            </w:r>
            <w:r>
              <w:rPr>
                <w:sz w:val="24"/>
              </w:rPr>
              <w:t> %</w:t>
            </w:r>
          </w:p>
        </w:tc>
        <w:tc>
          <w:tcPr>
            <w:tcW w:w="792" w:type="dxa"/>
            <w:tcBorders>
              <w:top w:val="single" w:sz="12" w:space="0" w:color="auto"/>
            </w:tcBorders>
            <w:shd w:val="clear" w:color="auto" w:fill="FFFFFF"/>
            <w:vAlign w:val="center"/>
          </w:tcPr>
          <w:p w:rsidR="001F5D09" w:rsidRPr="003A06AC" w:rsidRDefault="001F5D09" w:rsidP="001F5D09">
            <w:pPr>
              <w:tabs>
                <w:tab w:val="decimal" w:pos="364"/>
              </w:tabs>
              <w:spacing w:before="60" w:after="120"/>
              <w:ind w:firstLine="0"/>
              <w:jc w:val="both"/>
              <w:rPr>
                <w:sz w:val="24"/>
              </w:rPr>
            </w:pPr>
            <w:r w:rsidRPr="003A06AC">
              <w:rPr>
                <w:sz w:val="24"/>
              </w:rPr>
              <w:t>13</w:t>
            </w:r>
            <w:r>
              <w:rPr>
                <w:sz w:val="24"/>
              </w:rPr>
              <w:t> %</w:t>
            </w:r>
          </w:p>
        </w:tc>
        <w:tc>
          <w:tcPr>
            <w:tcW w:w="791" w:type="dxa"/>
            <w:tcBorders>
              <w:top w:val="single" w:sz="12" w:space="0" w:color="auto"/>
            </w:tcBorders>
            <w:shd w:val="clear" w:color="auto" w:fill="FFFFFF"/>
            <w:vAlign w:val="center"/>
          </w:tcPr>
          <w:p w:rsidR="001F5D09" w:rsidRPr="003A06AC" w:rsidRDefault="001F5D09" w:rsidP="001F5D09">
            <w:pPr>
              <w:tabs>
                <w:tab w:val="decimal" w:pos="364"/>
              </w:tabs>
              <w:spacing w:before="60" w:after="120"/>
              <w:ind w:firstLine="0"/>
              <w:jc w:val="both"/>
              <w:rPr>
                <w:sz w:val="24"/>
              </w:rPr>
            </w:pPr>
            <w:r w:rsidRPr="003A06AC">
              <w:rPr>
                <w:sz w:val="24"/>
              </w:rPr>
              <w:t>3</w:t>
            </w:r>
            <w:r>
              <w:rPr>
                <w:sz w:val="24"/>
              </w:rPr>
              <w:t> %</w:t>
            </w:r>
          </w:p>
        </w:tc>
        <w:tc>
          <w:tcPr>
            <w:tcW w:w="792" w:type="dxa"/>
            <w:tcBorders>
              <w:top w:val="single" w:sz="12" w:space="0" w:color="auto"/>
            </w:tcBorders>
            <w:shd w:val="clear" w:color="auto" w:fill="FFFFFF"/>
            <w:vAlign w:val="center"/>
          </w:tcPr>
          <w:p w:rsidR="001F5D09" w:rsidRPr="003A06AC" w:rsidRDefault="001F5D09" w:rsidP="001F5D09">
            <w:pPr>
              <w:tabs>
                <w:tab w:val="decimal" w:pos="364"/>
              </w:tabs>
              <w:spacing w:before="60" w:after="120"/>
              <w:ind w:firstLine="0"/>
              <w:jc w:val="both"/>
              <w:rPr>
                <w:sz w:val="24"/>
              </w:rPr>
            </w:pPr>
            <w:r w:rsidRPr="003A06AC">
              <w:rPr>
                <w:sz w:val="24"/>
              </w:rPr>
              <w:t>3</w:t>
            </w:r>
            <w:r>
              <w:rPr>
                <w:sz w:val="24"/>
              </w:rPr>
              <w:t> %</w:t>
            </w:r>
          </w:p>
        </w:tc>
        <w:tc>
          <w:tcPr>
            <w:tcW w:w="791" w:type="dxa"/>
            <w:tcBorders>
              <w:top w:val="single" w:sz="12" w:space="0" w:color="auto"/>
            </w:tcBorders>
            <w:shd w:val="clear" w:color="auto" w:fill="FFFFFF"/>
            <w:vAlign w:val="center"/>
          </w:tcPr>
          <w:p w:rsidR="001F5D09" w:rsidRPr="003A06AC" w:rsidRDefault="001F5D09" w:rsidP="001F5D09">
            <w:pPr>
              <w:tabs>
                <w:tab w:val="decimal" w:pos="364"/>
              </w:tabs>
              <w:spacing w:before="60" w:after="120"/>
              <w:ind w:firstLine="0"/>
              <w:jc w:val="both"/>
              <w:rPr>
                <w:sz w:val="24"/>
              </w:rPr>
            </w:pPr>
            <w:r w:rsidRPr="003A06AC">
              <w:rPr>
                <w:sz w:val="24"/>
              </w:rPr>
              <w:t>71</w:t>
            </w:r>
            <w:r>
              <w:rPr>
                <w:sz w:val="24"/>
              </w:rPr>
              <w:t> %</w:t>
            </w:r>
          </w:p>
        </w:tc>
        <w:tc>
          <w:tcPr>
            <w:tcW w:w="792" w:type="dxa"/>
            <w:tcBorders>
              <w:top w:val="single" w:sz="12" w:space="0" w:color="auto"/>
            </w:tcBorders>
            <w:shd w:val="clear" w:color="auto" w:fill="FFFFFF"/>
            <w:vAlign w:val="center"/>
          </w:tcPr>
          <w:p w:rsidR="001F5D09" w:rsidRPr="003A06AC" w:rsidRDefault="001F5D09" w:rsidP="001F5D09">
            <w:pPr>
              <w:tabs>
                <w:tab w:val="decimal" w:pos="364"/>
              </w:tabs>
              <w:spacing w:before="60" w:after="120"/>
              <w:ind w:firstLine="0"/>
              <w:jc w:val="both"/>
              <w:rPr>
                <w:sz w:val="24"/>
              </w:rPr>
            </w:pPr>
            <w:r w:rsidRPr="003A06AC">
              <w:rPr>
                <w:sz w:val="24"/>
              </w:rPr>
              <w:t>70</w:t>
            </w:r>
            <w:r>
              <w:rPr>
                <w:sz w:val="24"/>
              </w:rPr>
              <w:t> %</w:t>
            </w:r>
          </w:p>
        </w:tc>
      </w:tr>
      <w:tr w:rsidR="001F5D09" w:rsidRPr="00C064EF">
        <w:tblPrEx>
          <w:tblCellMar>
            <w:top w:w="0" w:type="dxa"/>
            <w:bottom w:w="0" w:type="dxa"/>
          </w:tblCellMar>
        </w:tblPrEx>
        <w:tc>
          <w:tcPr>
            <w:tcW w:w="2416" w:type="dxa"/>
            <w:shd w:val="clear" w:color="auto" w:fill="FFFFFF"/>
            <w:vAlign w:val="center"/>
          </w:tcPr>
          <w:p w:rsidR="001F5D09" w:rsidRPr="003A06AC" w:rsidRDefault="001F5D09" w:rsidP="001F5D09">
            <w:pPr>
              <w:spacing w:before="60" w:after="120"/>
              <w:ind w:firstLine="0"/>
              <w:rPr>
                <w:sz w:val="24"/>
              </w:rPr>
            </w:pPr>
            <w:r w:rsidRPr="003A06AC">
              <w:rPr>
                <w:sz w:val="24"/>
              </w:rPr>
              <w:t xml:space="preserve">Pays sous-développés </w:t>
            </w:r>
          </w:p>
        </w:tc>
        <w:tc>
          <w:tcPr>
            <w:tcW w:w="791" w:type="dxa"/>
            <w:shd w:val="clear" w:color="auto" w:fill="FFFFFF"/>
            <w:vAlign w:val="center"/>
          </w:tcPr>
          <w:p w:rsidR="001F5D09" w:rsidRPr="003A06AC" w:rsidRDefault="001F5D09" w:rsidP="001F5D09">
            <w:pPr>
              <w:tabs>
                <w:tab w:val="decimal" w:pos="364"/>
              </w:tabs>
              <w:spacing w:before="60" w:after="120"/>
              <w:ind w:firstLine="0"/>
              <w:jc w:val="both"/>
              <w:rPr>
                <w:sz w:val="24"/>
              </w:rPr>
            </w:pPr>
            <w:r w:rsidRPr="003A06AC">
              <w:rPr>
                <w:sz w:val="24"/>
              </w:rPr>
              <w:t>14</w:t>
            </w:r>
            <w:r>
              <w:rPr>
                <w:sz w:val="24"/>
              </w:rPr>
              <w:t> %</w:t>
            </w:r>
          </w:p>
        </w:tc>
        <w:tc>
          <w:tcPr>
            <w:tcW w:w="792" w:type="dxa"/>
            <w:shd w:val="clear" w:color="auto" w:fill="FFFFFF"/>
            <w:vAlign w:val="center"/>
          </w:tcPr>
          <w:p w:rsidR="001F5D09" w:rsidRPr="003A06AC" w:rsidRDefault="001F5D09" w:rsidP="001F5D09">
            <w:pPr>
              <w:tabs>
                <w:tab w:val="decimal" w:pos="364"/>
              </w:tabs>
              <w:spacing w:before="60" w:after="120"/>
              <w:ind w:firstLine="0"/>
              <w:jc w:val="both"/>
              <w:rPr>
                <w:sz w:val="24"/>
              </w:rPr>
            </w:pPr>
            <w:r w:rsidRPr="003A06AC">
              <w:rPr>
                <w:sz w:val="24"/>
              </w:rPr>
              <w:t>13</w:t>
            </w:r>
            <w:r>
              <w:rPr>
                <w:sz w:val="24"/>
              </w:rPr>
              <w:t> %</w:t>
            </w:r>
          </w:p>
        </w:tc>
        <w:tc>
          <w:tcPr>
            <w:tcW w:w="791" w:type="dxa"/>
            <w:shd w:val="clear" w:color="auto" w:fill="FFFFFF"/>
            <w:vAlign w:val="center"/>
          </w:tcPr>
          <w:p w:rsidR="001F5D09" w:rsidRPr="003A06AC" w:rsidRDefault="001F5D09" w:rsidP="001F5D09">
            <w:pPr>
              <w:tabs>
                <w:tab w:val="decimal" w:pos="364"/>
              </w:tabs>
              <w:spacing w:before="60" w:after="120"/>
              <w:ind w:firstLine="0"/>
              <w:jc w:val="both"/>
              <w:rPr>
                <w:sz w:val="24"/>
              </w:rPr>
            </w:pPr>
            <w:r w:rsidRPr="003A06AC">
              <w:rPr>
                <w:sz w:val="24"/>
              </w:rPr>
              <w:t>4</w:t>
            </w:r>
            <w:r>
              <w:rPr>
                <w:sz w:val="24"/>
              </w:rPr>
              <w:t> %</w:t>
            </w:r>
          </w:p>
        </w:tc>
        <w:tc>
          <w:tcPr>
            <w:tcW w:w="792" w:type="dxa"/>
            <w:shd w:val="clear" w:color="auto" w:fill="FFFFFF"/>
            <w:vAlign w:val="center"/>
          </w:tcPr>
          <w:p w:rsidR="001F5D09" w:rsidRPr="003A06AC" w:rsidRDefault="001F5D09" w:rsidP="001F5D09">
            <w:pPr>
              <w:tabs>
                <w:tab w:val="decimal" w:pos="364"/>
              </w:tabs>
              <w:spacing w:before="60" w:after="120"/>
              <w:ind w:firstLine="0"/>
              <w:jc w:val="both"/>
              <w:rPr>
                <w:sz w:val="24"/>
              </w:rPr>
            </w:pPr>
            <w:r w:rsidRPr="003A06AC">
              <w:rPr>
                <w:sz w:val="24"/>
              </w:rPr>
              <w:t>5</w:t>
            </w:r>
            <w:r>
              <w:rPr>
                <w:sz w:val="24"/>
              </w:rPr>
              <w:t> %</w:t>
            </w:r>
          </w:p>
        </w:tc>
        <w:tc>
          <w:tcPr>
            <w:tcW w:w="791" w:type="dxa"/>
            <w:shd w:val="clear" w:color="auto" w:fill="FFFFFF"/>
            <w:vAlign w:val="center"/>
          </w:tcPr>
          <w:p w:rsidR="001F5D09" w:rsidRPr="003A06AC" w:rsidRDefault="001F5D09" w:rsidP="001F5D09">
            <w:pPr>
              <w:tabs>
                <w:tab w:val="decimal" w:pos="364"/>
              </w:tabs>
              <w:spacing w:before="60" w:after="120"/>
              <w:ind w:firstLine="0"/>
              <w:jc w:val="both"/>
              <w:rPr>
                <w:sz w:val="24"/>
              </w:rPr>
            </w:pPr>
            <w:r w:rsidRPr="003A06AC">
              <w:rPr>
                <w:sz w:val="24"/>
              </w:rPr>
              <w:t>1</w:t>
            </w:r>
            <w:r>
              <w:rPr>
                <w:sz w:val="24"/>
              </w:rPr>
              <w:t> %</w:t>
            </w:r>
          </w:p>
        </w:tc>
        <w:tc>
          <w:tcPr>
            <w:tcW w:w="792" w:type="dxa"/>
            <w:shd w:val="clear" w:color="auto" w:fill="FFFFFF"/>
            <w:vAlign w:val="center"/>
          </w:tcPr>
          <w:p w:rsidR="001F5D09" w:rsidRPr="003A06AC" w:rsidRDefault="001F5D09" w:rsidP="001F5D09">
            <w:pPr>
              <w:tabs>
                <w:tab w:val="decimal" w:pos="364"/>
              </w:tabs>
              <w:spacing w:before="60" w:after="120"/>
              <w:ind w:firstLine="0"/>
              <w:jc w:val="both"/>
              <w:rPr>
                <w:sz w:val="24"/>
              </w:rPr>
            </w:pPr>
            <w:r w:rsidRPr="003A06AC">
              <w:rPr>
                <w:sz w:val="24"/>
              </w:rPr>
              <w:t>1</w:t>
            </w:r>
            <w:r>
              <w:rPr>
                <w:sz w:val="24"/>
              </w:rPr>
              <w:t> %</w:t>
            </w:r>
          </w:p>
        </w:tc>
        <w:tc>
          <w:tcPr>
            <w:tcW w:w="791" w:type="dxa"/>
            <w:shd w:val="clear" w:color="auto" w:fill="FFFFFF"/>
            <w:vAlign w:val="center"/>
          </w:tcPr>
          <w:p w:rsidR="001F5D09" w:rsidRPr="003A06AC" w:rsidRDefault="001F5D09" w:rsidP="001F5D09">
            <w:pPr>
              <w:tabs>
                <w:tab w:val="decimal" w:pos="364"/>
              </w:tabs>
              <w:spacing w:before="60" w:after="120"/>
              <w:ind w:firstLine="0"/>
              <w:jc w:val="both"/>
              <w:rPr>
                <w:sz w:val="24"/>
              </w:rPr>
            </w:pPr>
            <w:r w:rsidRPr="003A06AC">
              <w:rPr>
                <w:sz w:val="24"/>
              </w:rPr>
              <w:t>19</w:t>
            </w:r>
            <w:r>
              <w:rPr>
                <w:sz w:val="24"/>
              </w:rPr>
              <w:t> %</w:t>
            </w:r>
          </w:p>
        </w:tc>
        <w:tc>
          <w:tcPr>
            <w:tcW w:w="792" w:type="dxa"/>
            <w:shd w:val="clear" w:color="auto" w:fill="FFFFFF"/>
            <w:vAlign w:val="center"/>
          </w:tcPr>
          <w:p w:rsidR="001F5D09" w:rsidRPr="003A06AC" w:rsidRDefault="001F5D09" w:rsidP="001F5D09">
            <w:pPr>
              <w:tabs>
                <w:tab w:val="decimal" w:pos="364"/>
              </w:tabs>
              <w:spacing w:before="60" w:after="120"/>
              <w:ind w:firstLine="0"/>
              <w:jc w:val="both"/>
              <w:rPr>
                <w:sz w:val="24"/>
              </w:rPr>
            </w:pPr>
            <w:r w:rsidRPr="003A06AC">
              <w:rPr>
                <w:sz w:val="24"/>
              </w:rPr>
              <w:t>20</w:t>
            </w:r>
            <w:r>
              <w:rPr>
                <w:sz w:val="24"/>
              </w:rPr>
              <w:t> %</w:t>
            </w:r>
          </w:p>
        </w:tc>
      </w:tr>
      <w:tr w:rsidR="001F5D09" w:rsidRPr="00C064EF">
        <w:tblPrEx>
          <w:tblCellMar>
            <w:top w:w="0" w:type="dxa"/>
            <w:bottom w:w="0" w:type="dxa"/>
          </w:tblCellMar>
        </w:tblPrEx>
        <w:tc>
          <w:tcPr>
            <w:tcW w:w="2416" w:type="dxa"/>
            <w:shd w:val="clear" w:color="auto" w:fill="FFFFFF"/>
            <w:vAlign w:val="center"/>
          </w:tcPr>
          <w:p w:rsidR="001F5D09" w:rsidRPr="003A06AC" w:rsidRDefault="001F5D09" w:rsidP="001F5D09">
            <w:pPr>
              <w:spacing w:before="60" w:after="120"/>
              <w:ind w:firstLine="0"/>
              <w:rPr>
                <w:sz w:val="24"/>
              </w:rPr>
            </w:pPr>
            <w:r w:rsidRPr="003A06AC">
              <w:rPr>
                <w:sz w:val="24"/>
              </w:rPr>
              <w:t>Pays de l’Est</w:t>
            </w:r>
          </w:p>
        </w:tc>
        <w:tc>
          <w:tcPr>
            <w:tcW w:w="791" w:type="dxa"/>
            <w:shd w:val="clear" w:color="auto" w:fill="FFFFFF"/>
            <w:vAlign w:val="center"/>
          </w:tcPr>
          <w:p w:rsidR="001F5D09" w:rsidRPr="003A06AC" w:rsidRDefault="001F5D09" w:rsidP="001F5D09">
            <w:pPr>
              <w:tabs>
                <w:tab w:val="decimal" w:pos="364"/>
              </w:tabs>
              <w:spacing w:before="60" w:after="120"/>
              <w:ind w:firstLine="0"/>
              <w:jc w:val="both"/>
              <w:rPr>
                <w:sz w:val="24"/>
              </w:rPr>
            </w:pPr>
            <w:r w:rsidRPr="003A06AC">
              <w:rPr>
                <w:sz w:val="24"/>
              </w:rPr>
              <w:t>3</w:t>
            </w:r>
            <w:r>
              <w:rPr>
                <w:sz w:val="24"/>
              </w:rPr>
              <w:t> %</w:t>
            </w:r>
          </w:p>
        </w:tc>
        <w:tc>
          <w:tcPr>
            <w:tcW w:w="792" w:type="dxa"/>
            <w:shd w:val="clear" w:color="auto" w:fill="FFFFFF"/>
            <w:vAlign w:val="center"/>
          </w:tcPr>
          <w:p w:rsidR="001F5D09" w:rsidRPr="003A06AC" w:rsidRDefault="001F5D09" w:rsidP="001F5D09">
            <w:pPr>
              <w:tabs>
                <w:tab w:val="decimal" w:pos="364"/>
              </w:tabs>
              <w:spacing w:before="60" w:after="120"/>
              <w:ind w:firstLine="0"/>
              <w:jc w:val="both"/>
              <w:rPr>
                <w:sz w:val="24"/>
              </w:rPr>
            </w:pPr>
            <w:r w:rsidRPr="003A06AC">
              <w:rPr>
                <w:sz w:val="24"/>
              </w:rPr>
              <w:t>3</w:t>
            </w:r>
            <w:r>
              <w:rPr>
                <w:sz w:val="24"/>
              </w:rPr>
              <w:t> %</w:t>
            </w:r>
          </w:p>
        </w:tc>
        <w:tc>
          <w:tcPr>
            <w:tcW w:w="791" w:type="dxa"/>
            <w:shd w:val="clear" w:color="auto" w:fill="FFFFFF"/>
            <w:vAlign w:val="center"/>
          </w:tcPr>
          <w:p w:rsidR="001F5D09" w:rsidRPr="003A06AC" w:rsidRDefault="001F5D09" w:rsidP="001F5D09">
            <w:pPr>
              <w:tabs>
                <w:tab w:val="decimal" w:pos="364"/>
              </w:tabs>
              <w:spacing w:before="60" w:after="120"/>
              <w:ind w:firstLine="0"/>
              <w:jc w:val="both"/>
              <w:rPr>
                <w:sz w:val="24"/>
              </w:rPr>
            </w:pPr>
            <w:r w:rsidRPr="003A06AC">
              <w:rPr>
                <w:sz w:val="24"/>
              </w:rPr>
              <w:t>2</w:t>
            </w:r>
            <w:r>
              <w:rPr>
                <w:sz w:val="24"/>
              </w:rPr>
              <w:t> %</w:t>
            </w:r>
          </w:p>
        </w:tc>
        <w:tc>
          <w:tcPr>
            <w:tcW w:w="792" w:type="dxa"/>
            <w:shd w:val="clear" w:color="auto" w:fill="FFFFFF"/>
            <w:vAlign w:val="center"/>
          </w:tcPr>
          <w:p w:rsidR="001F5D09" w:rsidRPr="003A06AC" w:rsidRDefault="001F5D09" w:rsidP="001F5D09">
            <w:pPr>
              <w:tabs>
                <w:tab w:val="decimal" w:pos="364"/>
              </w:tabs>
              <w:spacing w:before="60" w:after="120"/>
              <w:ind w:firstLine="0"/>
              <w:jc w:val="both"/>
              <w:rPr>
                <w:sz w:val="24"/>
              </w:rPr>
            </w:pPr>
            <w:r w:rsidRPr="003A06AC">
              <w:rPr>
                <w:sz w:val="24"/>
              </w:rPr>
              <w:t>2</w:t>
            </w:r>
            <w:r>
              <w:rPr>
                <w:sz w:val="24"/>
              </w:rPr>
              <w:t> %</w:t>
            </w:r>
          </w:p>
        </w:tc>
        <w:tc>
          <w:tcPr>
            <w:tcW w:w="791" w:type="dxa"/>
            <w:shd w:val="clear" w:color="auto" w:fill="FFFFFF"/>
            <w:vAlign w:val="center"/>
          </w:tcPr>
          <w:p w:rsidR="001F5D09" w:rsidRPr="003A06AC" w:rsidRDefault="001F5D09" w:rsidP="001F5D09">
            <w:pPr>
              <w:tabs>
                <w:tab w:val="decimal" w:pos="364"/>
              </w:tabs>
              <w:spacing w:before="60" w:after="120"/>
              <w:ind w:firstLine="0"/>
              <w:jc w:val="both"/>
              <w:rPr>
                <w:sz w:val="24"/>
              </w:rPr>
            </w:pPr>
            <w:r w:rsidRPr="003A06AC">
              <w:rPr>
                <w:sz w:val="24"/>
              </w:rPr>
              <w:t>6</w:t>
            </w:r>
            <w:r>
              <w:rPr>
                <w:sz w:val="24"/>
              </w:rPr>
              <w:t> %</w:t>
            </w:r>
          </w:p>
        </w:tc>
        <w:tc>
          <w:tcPr>
            <w:tcW w:w="792" w:type="dxa"/>
            <w:shd w:val="clear" w:color="auto" w:fill="FFFFFF"/>
            <w:vAlign w:val="center"/>
          </w:tcPr>
          <w:p w:rsidR="001F5D09" w:rsidRPr="003A06AC" w:rsidRDefault="001F5D09" w:rsidP="001F5D09">
            <w:pPr>
              <w:tabs>
                <w:tab w:val="decimal" w:pos="364"/>
              </w:tabs>
              <w:spacing w:before="60" w:after="120"/>
              <w:ind w:firstLine="0"/>
              <w:jc w:val="both"/>
              <w:rPr>
                <w:sz w:val="24"/>
              </w:rPr>
            </w:pPr>
            <w:r w:rsidRPr="003A06AC">
              <w:rPr>
                <w:sz w:val="24"/>
              </w:rPr>
              <w:t>5</w:t>
            </w:r>
            <w:r>
              <w:rPr>
                <w:sz w:val="24"/>
              </w:rPr>
              <w:t> %</w:t>
            </w:r>
          </w:p>
        </w:tc>
        <w:tc>
          <w:tcPr>
            <w:tcW w:w="791" w:type="dxa"/>
            <w:shd w:val="clear" w:color="auto" w:fill="FFFFFF"/>
            <w:vAlign w:val="center"/>
          </w:tcPr>
          <w:p w:rsidR="001F5D09" w:rsidRPr="003A06AC" w:rsidRDefault="001F5D09" w:rsidP="001F5D09">
            <w:pPr>
              <w:tabs>
                <w:tab w:val="decimal" w:pos="364"/>
              </w:tabs>
              <w:spacing w:before="60" w:after="120"/>
              <w:ind w:firstLine="0"/>
              <w:jc w:val="both"/>
              <w:rPr>
                <w:sz w:val="24"/>
              </w:rPr>
            </w:pPr>
            <w:r w:rsidRPr="003A06AC">
              <w:rPr>
                <w:sz w:val="24"/>
              </w:rPr>
              <w:t>10</w:t>
            </w:r>
            <w:r>
              <w:rPr>
                <w:sz w:val="24"/>
              </w:rPr>
              <w:t> %</w:t>
            </w:r>
          </w:p>
        </w:tc>
        <w:tc>
          <w:tcPr>
            <w:tcW w:w="792" w:type="dxa"/>
            <w:shd w:val="clear" w:color="auto" w:fill="FFFFFF"/>
            <w:vAlign w:val="center"/>
          </w:tcPr>
          <w:p w:rsidR="001F5D09" w:rsidRPr="003A06AC" w:rsidRDefault="001F5D09" w:rsidP="001F5D09">
            <w:pPr>
              <w:tabs>
                <w:tab w:val="decimal" w:pos="364"/>
              </w:tabs>
              <w:spacing w:before="60" w:after="120"/>
              <w:ind w:firstLine="0"/>
              <w:jc w:val="both"/>
              <w:rPr>
                <w:sz w:val="24"/>
              </w:rPr>
            </w:pPr>
            <w:r w:rsidRPr="003A06AC">
              <w:rPr>
                <w:sz w:val="24"/>
              </w:rPr>
              <w:t>10</w:t>
            </w:r>
            <w:r>
              <w:rPr>
                <w:sz w:val="24"/>
              </w:rPr>
              <w:t> %</w:t>
            </w:r>
          </w:p>
        </w:tc>
      </w:tr>
      <w:tr w:rsidR="001F5D09" w:rsidRPr="00C064EF">
        <w:tblPrEx>
          <w:tblCellMar>
            <w:top w:w="0" w:type="dxa"/>
            <w:bottom w:w="0" w:type="dxa"/>
          </w:tblCellMar>
        </w:tblPrEx>
        <w:tc>
          <w:tcPr>
            <w:tcW w:w="2416" w:type="dxa"/>
            <w:tcBorders>
              <w:bottom w:val="single" w:sz="12" w:space="0" w:color="auto"/>
            </w:tcBorders>
            <w:shd w:val="clear" w:color="auto" w:fill="FFFFFF"/>
          </w:tcPr>
          <w:p w:rsidR="001F5D09" w:rsidRPr="003A06AC" w:rsidRDefault="001F5D09" w:rsidP="001F5D09">
            <w:pPr>
              <w:spacing w:before="60" w:after="120"/>
              <w:ind w:firstLine="0"/>
              <w:rPr>
                <w:sz w:val="24"/>
              </w:rPr>
            </w:pPr>
            <w:r w:rsidRPr="003A06AC">
              <w:rPr>
                <w:sz w:val="24"/>
              </w:rPr>
              <w:t>Monde</w:t>
            </w:r>
          </w:p>
        </w:tc>
        <w:tc>
          <w:tcPr>
            <w:tcW w:w="791" w:type="dxa"/>
            <w:tcBorders>
              <w:bottom w:val="single" w:sz="12" w:space="0" w:color="auto"/>
            </w:tcBorders>
            <w:shd w:val="clear" w:color="auto" w:fill="FFFFFF"/>
          </w:tcPr>
          <w:p w:rsidR="001F5D09" w:rsidRPr="003A06AC" w:rsidRDefault="001F5D09" w:rsidP="001F5D09">
            <w:pPr>
              <w:tabs>
                <w:tab w:val="decimal" w:pos="364"/>
              </w:tabs>
              <w:spacing w:before="60" w:after="120"/>
              <w:ind w:firstLine="0"/>
              <w:rPr>
                <w:sz w:val="24"/>
              </w:rPr>
            </w:pPr>
            <w:r w:rsidRPr="003A06AC">
              <w:rPr>
                <w:sz w:val="24"/>
              </w:rPr>
              <w:t>72</w:t>
            </w:r>
            <w:r>
              <w:rPr>
                <w:sz w:val="24"/>
              </w:rPr>
              <w:t> %</w:t>
            </w:r>
          </w:p>
        </w:tc>
        <w:tc>
          <w:tcPr>
            <w:tcW w:w="792" w:type="dxa"/>
            <w:tcBorders>
              <w:bottom w:val="single" w:sz="12" w:space="0" w:color="auto"/>
            </w:tcBorders>
            <w:shd w:val="clear" w:color="auto" w:fill="FFFFFF"/>
          </w:tcPr>
          <w:p w:rsidR="001F5D09" w:rsidRPr="003A06AC" w:rsidRDefault="001F5D09" w:rsidP="001F5D09">
            <w:pPr>
              <w:tabs>
                <w:tab w:val="decimal" w:pos="364"/>
              </w:tabs>
              <w:spacing w:before="60" w:after="120"/>
              <w:ind w:firstLine="0"/>
              <w:rPr>
                <w:sz w:val="24"/>
              </w:rPr>
            </w:pPr>
            <w:r w:rsidRPr="003A06AC">
              <w:rPr>
                <w:sz w:val="24"/>
              </w:rPr>
              <w:t>71</w:t>
            </w:r>
            <w:r>
              <w:rPr>
                <w:sz w:val="24"/>
              </w:rPr>
              <w:t> %</w:t>
            </w:r>
          </w:p>
        </w:tc>
        <w:tc>
          <w:tcPr>
            <w:tcW w:w="791" w:type="dxa"/>
            <w:tcBorders>
              <w:bottom w:val="single" w:sz="12" w:space="0" w:color="auto"/>
            </w:tcBorders>
            <w:shd w:val="clear" w:color="auto" w:fill="FFFFFF"/>
          </w:tcPr>
          <w:p w:rsidR="001F5D09" w:rsidRPr="003A06AC" w:rsidRDefault="001F5D09" w:rsidP="001F5D09">
            <w:pPr>
              <w:tabs>
                <w:tab w:val="decimal" w:pos="364"/>
              </w:tabs>
              <w:spacing w:before="60" w:after="120"/>
              <w:ind w:firstLine="0"/>
              <w:rPr>
                <w:sz w:val="24"/>
              </w:rPr>
            </w:pPr>
            <w:r w:rsidRPr="003A06AC">
              <w:rPr>
                <w:sz w:val="24"/>
              </w:rPr>
              <w:t>18</w:t>
            </w:r>
            <w:r>
              <w:rPr>
                <w:sz w:val="24"/>
              </w:rPr>
              <w:t> %</w:t>
            </w:r>
          </w:p>
        </w:tc>
        <w:tc>
          <w:tcPr>
            <w:tcW w:w="792" w:type="dxa"/>
            <w:tcBorders>
              <w:bottom w:val="single" w:sz="12" w:space="0" w:color="auto"/>
            </w:tcBorders>
            <w:shd w:val="clear" w:color="auto" w:fill="FFFFFF"/>
          </w:tcPr>
          <w:p w:rsidR="001F5D09" w:rsidRPr="003A06AC" w:rsidRDefault="001F5D09" w:rsidP="001F5D09">
            <w:pPr>
              <w:tabs>
                <w:tab w:val="decimal" w:pos="364"/>
              </w:tabs>
              <w:spacing w:before="60" w:after="120"/>
              <w:ind w:firstLine="0"/>
              <w:rPr>
                <w:sz w:val="24"/>
              </w:rPr>
            </w:pPr>
            <w:r w:rsidRPr="003A06AC">
              <w:rPr>
                <w:sz w:val="24"/>
              </w:rPr>
              <w:t>20</w:t>
            </w:r>
            <w:r>
              <w:rPr>
                <w:sz w:val="24"/>
              </w:rPr>
              <w:t> %</w:t>
            </w:r>
          </w:p>
        </w:tc>
        <w:tc>
          <w:tcPr>
            <w:tcW w:w="791" w:type="dxa"/>
            <w:tcBorders>
              <w:bottom w:val="single" w:sz="12" w:space="0" w:color="auto"/>
            </w:tcBorders>
            <w:shd w:val="clear" w:color="auto" w:fill="FFFFFF"/>
          </w:tcPr>
          <w:p w:rsidR="001F5D09" w:rsidRPr="003A06AC" w:rsidRDefault="001F5D09" w:rsidP="001F5D09">
            <w:pPr>
              <w:tabs>
                <w:tab w:val="decimal" w:pos="364"/>
              </w:tabs>
              <w:spacing w:before="60" w:after="120"/>
              <w:ind w:firstLine="0"/>
              <w:rPr>
                <w:sz w:val="24"/>
              </w:rPr>
            </w:pPr>
            <w:r w:rsidRPr="003A06AC">
              <w:rPr>
                <w:sz w:val="24"/>
              </w:rPr>
              <w:t>10</w:t>
            </w:r>
            <w:r>
              <w:rPr>
                <w:sz w:val="24"/>
              </w:rPr>
              <w:t> %</w:t>
            </w:r>
          </w:p>
        </w:tc>
        <w:tc>
          <w:tcPr>
            <w:tcW w:w="792" w:type="dxa"/>
            <w:tcBorders>
              <w:bottom w:val="single" w:sz="12" w:space="0" w:color="auto"/>
            </w:tcBorders>
            <w:shd w:val="clear" w:color="auto" w:fill="FFFFFF"/>
          </w:tcPr>
          <w:p w:rsidR="001F5D09" w:rsidRPr="003A06AC" w:rsidRDefault="001F5D09" w:rsidP="001F5D09">
            <w:pPr>
              <w:tabs>
                <w:tab w:val="decimal" w:pos="364"/>
              </w:tabs>
              <w:spacing w:before="60" w:after="120"/>
              <w:ind w:firstLine="0"/>
              <w:rPr>
                <w:sz w:val="24"/>
              </w:rPr>
            </w:pPr>
            <w:r w:rsidRPr="003A06AC">
              <w:rPr>
                <w:sz w:val="24"/>
              </w:rPr>
              <w:t>9</w:t>
            </w:r>
            <w:r>
              <w:rPr>
                <w:sz w:val="24"/>
              </w:rPr>
              <w:t> %</w:t>
            </w:r>
          </w:p>
        </w:tc>
        <w:tc>
          <w:tcPr>
            <w:tcW w:w="791" w:type="dxa"/>
            <w:tcBorders>
              <w:bottom w:val="single" w:sz="12" w:space="0" w:color="auto"/>
            </w:tcBorders>
            <w:shd w:val="clear" w:color="auto" w:fill="FFFFFF"/>
          </w:tcPr>
          <w:p w:rsidR="001F5D09" w:rsidRPr="003A06AC" w:rsidRDefault="001F5D09" w:rsidP="001F5D09">
            <w:pPr>
              <w:tabs>
                <w:tab w:val="decimal" w:pos="364"/>
              </w:tabs>
              <w:spacing w:before="60" w:after="120"/>
              <w:ind w:firstLine="0"/>
              <w:rPr>
                <w:sz w:val="24"/>
              </w:rPr>
            </w:pPr>
            <w:r w:rsidRPr="003A06AC">
              <w:rPr>
                <w:sz w:val="24"/>
              </w:rPr>
              <w:t>100</w:t>
            </w:r>
            <w:r>
              <w:rPr>
                <w:sz w:val="24"/>
              </w:rPr>
              <w:t> %</w:t>
            </w:r>
          </w:p>
        </w:tc>
        <w:tc>
          <w:tcPr>
            <w:tcW w:w="792" w:type="dxa"/>
            <w:tcBorders>
              <w:bottom w:val="single" w:sz="12" w:space="0" w:color="auto"/>
            </w:tcBorders>
            <w:shd w:val="clear" w:color="auto" w:fill="FFFFFF"/>
          </w:tcPr>
          <w:p w:rsidR="001F5D09" w:rsidRPr="003A06AC" w:rsidRDefault="001F5D09" w:rsidP="001F5D09">
            <w:pPr>
              <w:tabs>
                <w:tab w:val="decimal" w:pos="364"/>
              </w:tabs>
              <w:spacing w:before="60" w:after="120"/>
              <w:ind w:firstLine="0"/>
              <w:rPr>
                <w:sz w:val="24"/>
              </w:rPr>
            </w:pPr>
            <w:r w:rsidRPr="003A06AC">
              <w:rPr>
                <w:sz w:val="24"/>
              </w:rPr>
              <w:t>100</w:t>
            </w:r>
            <w:r>
              <w:rPr>
                <w:sz w:val="24"/>
              </w:rPr>
              <w:t> %</w:t>
            </w:r>
          </w:p>
        </w:tc>
      </w:tr>
      <w:tr w:rsidR="001F5D09" w:rsidRPr="00C064EF">
        <w:tblPrEx>
          <w:tblCellMar>
            <w:top w:w="0" w:type="dxa"/>
            <w:bottom w:w="0" w:type="dxa"/>
          </w:tblCellMar>
        </w:tblPrEx>
        <w:tc>
          <w:tcPr>
            <w:tcW w:w="8748" w:type="dxa"/>
            <w:gridSpan w:val="9"/>
            <w:tcBorders>
              <w:top w:val="single" w:sz="12" w:space="0" w:color="auto"/>
              <w:bottom w:val="single" w:sz="12" w:space="0" w:color="auto"/>
            </w:tcBorders>
            <w:shd w:val="clear" w:color="auto" w:fill="FFFFFF"/>
            <w:vAlign w:val="center"/>
          </w:tcPr>
          <w:p w:rsidR="001F5D09" w:rsidRPr="003A06AC" w:rsidRDefault="001F5D09" w:rsidP="001F5D09">
            <w:pPr>
              <w:spacing w:before="60" w:after="120"/>
              <w:ind w:firstLine="0"/>
              <w:jc w:val="both"/>
              <w:rPr>
                <w:sz w:val="24"/>
              </w:rPr>
            </w:pPr>
            <w:r w:rsidRPr="003A06AC">
              <w:rPr>
                <w:sz w:val="24"/>
              </w:rPr>
              <w:t>Les chiffres ayant été arrondis, les totaux s'écartent parfois, d'une unité, du total app</w:t>
            </w:r>
            <w:r w:rsidRPr="003A06AC">
              <w:rPr>
                <w:sz w:val="24"/>
              </w:rPr>
              <w:t>a</w:t>
            </w:r>
            <w:r w:rsidRPr="003A06AC">
              <w:rPr>
                <w:sz w:val="24"/>
              </w:rPr>
              <w:t xml:space="preserve">rent </w:t>
            </w:r>
            <w:r w:rsidRPr="003A06AC">
              <w:rPr>
                <w:rStyle w:val="Corpsdutexte29ptItaliqueEspacement0pt"/>
                <w:sz w:val="24"/>
              </w:rPr>
              <w:t>Source :</w:t>
            </w:r>
            <w:r w:rsidRPr="003A06AC">
              <w:rPr>
                <w:sz w:val="24"/>
              </w:rPr>
              <w:t xml:space="preserve"> GATT, 1989.</w:t>
            </w:r>
          </w:p>
        </w:tc>
      </w:tr>
    </w:tbl>
    <w:p w:rsidR="001F5D09" w:rsidRDefault="001F5D09" w:rsidP="001F5D09">
      <w:pPr>
        <w:spacing w:before="120" w:after="120"/>
        <w:jc w:val="both"/>
        <w:rPr>
          <w:szCs w:val="2"/>
        </w:rPr>
      </w:pPr>
    </w:p>
    <w:p w:rsidR="001F5D09" w:rsidRPr="00C064EF" w:rsidRDefault="001F5D09" w:rsidP="001F5D09">
      <w:pPr>
        <w:pStyle w:val="p"/>
      </w:pPr>
      <w:r>
        <w:rPr>
          <w:lang w:eastAsia="fr-FR" w:bidi="fr-FR"/>
        </w:rPr>
        <w:t>[180]</w:t>
      </w:r>
    </w:p>
    <w:p w:rsidR="001F5D09" w:rsidRPr="006152E3" w:rsidRDefault="001F5D09" w:rsidP="001F5D09">
      <w:pPr>
        <w:pStyle w:val="p"/>
      </w:pPr>
      <w:r>
        <w:br w:type="page"/>
      </w:r>
      <w:r w:rsidR="00D6234E" w:rsidRPr="006152E3">
        <w:rPr>
          <w:noProof/>
        </w:rPr>
        <mc:AlternateContent>
          <mc:Choice Requires="wps">
            <w:drawing>
              <wp:anchor distT="0" distB="0" distL="63500" distR="63500" simplePos="0" relativeHeight="251657728" behindDoc="0" locked="0" layoutInCell="1" allowOverlap="1">
                <wp:simplePos x="0" y="0"/>
                <wp:positionH relativeFrom="margin">
                  <wp:posOffset>635</wp:posOffset>
                </wp:positionH>
                <wp:positionV relativeFrom="paragraph">
                  <wp:posOffset>7633970</wp:posOffset>
                </wp:positionV>
                <wp:extent cx="54610" cy="133350"/>
                <wp:effectExtent l="0" t="0" r="0" b="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61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D09" w:rsidRDefault="001F5D09" w:rsidP="001F5D09">
                            <w:pPr>
                              <w:spacing w:line="210" w:lineRule="exact"/>
                            </w:pPr>
                            <w:r>
                              <w:t>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05pt;margin-top:601.1pt;width:4.3pt;height:10.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6IDnwIAAJEFAAAOAAAAZHJzL2Uyb0RvYy54bWysVG1vmzAQ/j5p/8HydwokhAZUUrUhTJO6&#13;&#10;F6ndD3DABGvGZrYT6Kb9951NSZNWk6ZtfEBn+/zcPXeP7+p6aDk6UKWZFBkOLwKMqChlxcQuw18e&#13;&#10;Cm+JkTZEVIRLQTP8SDW+Xr19c9V3KZ3JRvKKKgQgQqd9l+HGmC71fV02tCX6QnZUwGEtVUsMLNXO&#13;&#10;rxTpAb3l/iwIYr+XquqULKnWsJuPh3jl8OualuZTXWtqEM8w5GbcX7n/1v791RVJd4p0DSuf0iB/&#13;&#10;kUVLmICgR6icGIL2ir2CalmppJa1uShl68u6ZiV1HIBNGLxgc9+QjjouUBzdHcuk/x9s+fHwWSFW&#13;&#10;ZTjGSJAWWvRAB4Nu5YDmrjx9p1Pwuu/AzwywD212VHV3J8uvGiron/jYyutUW+9t/0FWAEj2Rrob&#13;&#10;Q61aWySgjQAG+vF47IENWsLmIopDOCjhJJzP5wuXg0/S6W6ntHlHZYuskWEFHXbY5HCnjc2FpJOL&#13;&#10;DSVkwTh3XebibAMcxx2IDFftmc3BNe1HEiSb5WYZedEs3nhRkOfeTbGOvLgILxf5PF+v8/CnjRtG&#13;&#10;acOqigobZhJQGP1Zg56kPLb+KCEtOassnE1Jq912zRU6EBBw4T6rWUj+xM0/T8MdA5cXlMJZFNzO&#13;&#10;Eq+Il5deVEQLL7kMll4QJrdJHERJlBfnlO6YoP9OCfUZThazxaiZ33IL3PeaG0lbZmBEcNZmeHl0&#13;&#10;ImlDSbURlWutIYyP9kkpbPrPpYCKTY12crUKHbVqhu0AKFa2W1k9gnCVBGWBCGGugdFI9R2jHmZE&#13;&#10;hvW3PVEUI/5ewCO0A2Uy1GRsJ4OIEq5m2GA0mmszDp59p9iuAeTpHd3AAymYU+9zFpC6XcC7dySe&#13;&#10;ZpQdLKdr5/U8SVe/AAAA//8DAFBLAwQUAAYACAAAACEA/reituAAAAANAQAADwAAAGRycy9kb3du&#13;&#10;cmV2LnhtbExPQU7DMBC8I/EHa5G4UQcj2iqNUyGqcEBCqAUOvTnxNg7E68h22/T3OCe4jDQ7mtmZ&#13;&#10;Yj3anp3Qh86RhPtZBgypcbqjVsLnR3W3BBaiIq16RyjhggHW5fVVoXLtzrTF0y62LIVQyJUEE+OQ&#13;&#10;cx4ag1aFmRuQknZw3qqYqG+59uqcwm3PRZbNuVUdpQ9GDfhssPnZHa2EasMvLpq396/HYeFfX/bV&#13;&#10;97yupLy9GTerBE8rYBHH+OeAaUPqD2UqVrsj6cD6ibOYUGRCAEv6cgGsng7iQQAvC/5/RfkLAAD/&#13;&#10;/wMAUEsBAi0AFAAGAAgAAAAhALaDOJL+AAAA4QEAABMAAAAAAAAAAAAAAAAAAAAAAFtDb250ZW50&#13;&#10;X1R5cGVzXS54bWxQSwECLQAUAAYACAAAACEAOP0h/9YAAACUAQAACwAAAAAAAAAAAAAAAAAvAQAA&#13;&#10;X3JlbHMvLnJlbHNQSwECLQAUAAYACAAAACEAjKOiA58CAACRBQAADgAAAAAAAAAAAAAAAAAuAgAA&#13;&#10;ZHJzL2Uyb0RvYy54bWxQSwECLQAUAAYACAAAACEA/reituAAAAANAQAADwAAAAAAAAAAAAAAAAD5&#13;&#10;BAAAZHJzL2Rvd25yZXYueG1sUEsFBgAAAAAEAAQA8wAAAAYGAAAAAA==&#13;&#10;" filled="f" stroked="f">
                <v:path arrowok="t"/>
                <v:textbox style="mso-fit-shape-to-text:t" inset="0,0,0,0">
                  <w:txbxContent>
                    <w:p w:rsidR="001F5D09" w:rsidRDefault="001F5D09" w:rsidP="001F5D09">
                      <w:pPr>
                        <w:spacing w:line="210" w:lineRule="exact"/>
                      </w:pPr>
                      <w:r>
                        <w:t>L</w:t>
                      </w:r>
                    </w:p>
                  </w:txbxContent>
                </v:textbox>
                <w10:wrap anchorx="margin"/>
              </v:shape>
            </w:pict>
          </mc:Fallback>
        </mc:AlternateContent>
      </w:r>
      <w:r>
        <w:t>[386]</w:t>
      </w:r>
    </w:p>
    <w:p w:rsidR="001F5D09" w:rsidRPr="00E07116" w:rsidRDefault="001F5D09" w:rsidP="001F5D09">
      <w:pPr>
        <w:jc w:val="both"/>
      </w:pPr>
    </w:p>
    <w:p w:rsidR="001F5D09" w:rsidRPr="00E07116" w:rsidRDefault="001F5D09" w:rsidP="001F5D09">
      <w:pPr>
        <w:jc w:val="both"/>
      </w:pPr>
    </w:p>
    <w:p w:rsidR="001F5D09" w:rsidRPr="00E07116" w:rsidRDefault="001F5D09" w:rsidP="001F5D09">
      <w:pPr>
        <w:jc w:val="both"/>
      </w:pPr>
    </w:p>
    <w:p w:rsidR="001F5D09" w:rsidRPr="00FB1B47" w:rsidRDefault="001F5D09" w:rsidP="001F5D09">
      <w:pPr>
        <w:spacing w:after="120"/>
        <w:ind w:firstLine="0"/>
        <w:jc w:val="center"/>
        <w:rPr>
          <w:i/>
        </w:rPr>
      </w:pPr>
      <w:bookmarkStart w:id="2" w:name="Mondialisation_notes_auteurs"/>
      <w:r w:rsidRPr="002D55AF">
        <w:rPr>
          <w:b/>
          <w:sz w:val="24"/>
        </w:rPr>
        <w:t>Mondialisation et régionalisation.</w:t>
      </w:r>
      <w:r>
        <w:rPr>
          <w:b/>
          <w:sz w:val="24"/>
        </w:rPr>
        <w:br/>
      </w:r>
      <w:r w:rsidRPr="002D55AF">
        <w:rPr>
          <w:i/>
          <w:sz w:val="24"/>
        </w:rPr>
        <w:t>La coopération économique internationale est-elle encore possible ?</w:t>
      </w:r>
    </w:p>
    <w:p w:rsidR="001F5D09" w:rsidRPr="00B6500E" w:rsidRDefault="001F5D09" w:rsidP="001F5D09">
      <w:pPr>
        <w:pStyle w:val="planchest"/>
      </w:pPr>
      <w:r>
        <w:t>NOTES SUR LES AUTEURS</w:t>
      </w:r>
    </w:p>
    <w:bookmarkEnd w:id="2"/>
    <w:p w:rsidR="001F5D09" w:rsidRPr="00E07116" w:rsidRDefault="001F5D09" w:rsidP="001F5D09">
      <w:pPr>
        <w:jc w:val="both"/>
      </w:pPr>
    </w:p>
    <w:p w:rsidR="001F5D09" w:rsidRPr="00E07116" w:rsidRDefault="001F5D09" w:rsidP="001F5D09">
      <w:pPr>
        <w:jc w:val="both"/>
      </w:pPr>
    </w:p>
    <w:p w:rsidR="001F5D09" w:rsidRPr="00E07116" w:rsidRDefault="001F5D09" w:rsidP="001F5D09">
      <w:pPr>
        <w:jc w:val="both"/>
      </w:pPr>
    </w:p>
    <w:p w:rsidR="001F5D09" w:rsidRPr="00E07116" w:rsidRDefault="001F5D09" w:rsidP="001F5D09">
      <w:pPr>
        <w:jc w:val="both"/>
      </w:pPr>
    </w:p>
    <w:p w:rsidR="001F5D09" w:rsidRPr="00E07116" w:rsidRDefault="001F5D09" w:rsidP="001F5D09">
      <w:pPr>
        <w:jc w:val="both"/>
      </w:pPr>
    </w:p>
    <w:p w:rsidR="001F5D09" w:rsidRPr="006152E3" w:rsidRDefault="001F5D09" w:rsidP="001F5D09">
      <w:pPr>
        <w:spacing w:before="120" w:after="120"/>
        <w:jc w:val="both"/>
      </w:pPr>
      <w:r w:rsidRPr="00AB54E6">
        <w:rPr>
          <w:b/>
          <w:i/>
        </w:rPr>
        <w:t>Louis GILL</w:t>
      </w:r>
      <w:r w:rsidRPr="006152E3">
        <w:t xml:space="preserve"> est professeur au département de sciences économ</w:t>
      </w:r>
      <w:r w:rsidRPr="006152E3">
        <w:t>i</w:t>
      </w:r>
      <w:r w:rsidRPr="006152E3">
        <w:t xml:space="preserve">ques de l'UQAM. Spécialiste des économies socialistes, il a publié plusieurs ouvrages sur la théorie économique marxiste, l'économie internationale et les modèles de concertation. Collaborateur régulier du </w:t>
      </w:r>
      <w:r w:rsidRPr="00EA65AC">
        <w:rPr>
          <w:i/>
        </w:rPr>
        <w:t>Monde diplomatique</w:t>
      </w:r>
      <w:r w:rsidRPr="006152E3">
        <w:t>, il prépare actuellement un ouvr</w:t>
      </w:r>
      <w:r w:rsidRPr="006152E3">
        <w:t>a</w:t>
      </w:r>
      <w:r w:rsidRPr="006152E3">
        <w:t>ge sur les transformations socio-économiques des sociétés est-européennes.</w:t>
      </w:r>
    </w:p>
    <w:p w:rsidR="001F5D09" w:rsidRPr="0078227C" w:rsidRDefault="001F5D09" w:rsidP="001F5D09">
      <w:pPr>
        <w:jc w:val="both"/>
      </w:pPr>
    </w:p>
    <w:sectPr w:rsidR="001F5D09" w:rsidRPr="0078227C" w:rsidSect="001F5D09">
      <w:headerReference w:type="defaul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A9C" w:rsidRDefault="002C4A9C">
      <w:r>
        <w:separator/>
      </w:r>
    </w:p>
  </w:endnote>
  <w:endnote w:type="continuationSeparator" w:id="0">
    <w:p w:rsidR="002C4A9C" w:rsidRDefault="002C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Perpetua">
    <w:panose1 w:val="02020502060401020303"/>
    <w:charset w:val="4D"/>
    <w:family w:val="roman"/>
    <w:pitch w:val="variable"/>
    <w:sig w:usb0="00000003" w:usb1="00000000" w:usb2="00000000" w:usb3="00000000" w:csb0="00000001"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Futura Lt BT">
    <w:panose1 w:val="020B0602020204020303"/>
    <w:charset w:val="B1"/>
    <w:family w:val="swiss"/>
    <w:pitch w:val="variable"/>
    <w:sig w:usb0="80000867" w:usb1="00000000" w:usb2="00000000" w:usb3="00000000" w:csb0="000001F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ppleGothic">
    <w:panose1 w:val="00000000000000000000"/>
    <w:charset w:val="81"/>
    <w:family w:val="auto"/>
    <w:pitch w:val="variable"/>
    <w:sig w:usb0="00000001" w:usb1="09060000" w:usb2="00000010" w:usb3="00000000" w:csb0="0028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A9C" w:rsidRDefault="002C4A9C">
      <w:pPr>
        <w:ind w:firstLine="0"/>
      </w:pPr>
      <w:r>
        <w:separator/>
      </w:r>
    </w:p>
  </w:footnote>
  <w:footnote w:type="continuationSeparator" w:id="0">
    <w:p w:rsidR="002C4A9C" w:rsidRDefault="002C4A9C">
      <w:pPr>
        <w:ind w:firstLine="0"/>
      </w:pPr>
      <w:r>
        <w:separator/>
      </w:r>
    </w:p>
  </w:footnote>
  <w:footnote w:id="1">
    <w:p w:rsidR="001F5D09" w:rsidRPr="00EC3D32" w:rsidRDefault="001F5D09" w:rsidP="001F5D09">
      <w:pPr>
        <w:pStyle w:val="Notedebasdepage"/>
        <w:rPr>
          <w:lang w:val="fr-FR"/>
        </w:rPr>
      </w:pPr>
      <w:r>
        <w:rPr>
          <w:rStyle w:val="Appelnotedebasdep"/>
        </w:rPr>
        <w:t>*</w:t>
      </w:r>
      <w:r>
        <w:t xml:space="preserve"> </w:t>
      </w:r>
      <w:r>
        <w:rPr>
          <w:lang w:val="fr-FR"/>
        </w:rPr>
        <w:tab/>
      </w:r>
      <w:r>
        <w:t>Novembre 1990.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D09" w:rsidRDefault="001F5D09" w:rsidP="001F5D09">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AF5E83">
      <w:rPr>
        <w:rFonts w:ascii="Times New Roman" w:hAnsi="Times New Roman"/>
      </w:rPr>
      <w:t>“Les économies des pays de l’Est et la fin de la division cardinale du monde.”</w:t>
    </w:r>
    <w:r>
      <w:rPr>
        <w:rFonts w:ascii="Times New Roman" w:hAnsi="Times New Roman"/>
      </w:rPr>
      <w:t xml:space="preserve"> (1992)</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2C4A9C">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29</w:t>
    </w:r>
    <w:r>
      <w:rPr>
        <w:rStyle w:val="Numrodepage"/>
        <w:rFonts w:ascii="Times New Roman" w:hAnsi="Times New Roman"/>
      </w:rPr>
      <w:fldChar w:fldCharType="end"/>
    </w:r>
  </w:p>
  <w:p w:rsidR="001F5D09" w:rsidRDefault="001F5D09">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D74083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30E0899A"/>
    <w:lvl w:ilvl="0">
      <w:numFmt w:val="bullet"/>
      <w:lvlText w:val="*"/>
      <w:lvlJc w:val="left"/>
    </w:lvl>
  </w:abstractNum>
  <w:abstractNum w:abstractNumId="2" w15:restartNumberingAfterBreak="0">
    <w:nsid w:val="00E3344D"/>
    <w:multiLevelType w:val="multilevel"/>
    <w:tmpl w:val="7D6E8C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BB6B68"/>
    <w:multiLevelType w:val="multilevel"/>
    <w:tmpl w:val="11901C56"/>
    <w:lvl w:ilvl="0">
      <w:start w:val="198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903E6D"/>
    <w:multiLevelType w:val="singleLevel"/>
    <w:tmpl w:val="52E240C4"/>
    <w:lvl w:ilvl="0">
      <w:start w:val="3"/>
      <w:numFmt w:val="decimal"/>
      <w:lvlText w:val="%1)"/>
      <w:legacy w:legacy="1" w:legacySpace="0" w:legacyIndent="341"/>
      <w:lvlJc w:val="left"/>
      <w:rPr>
        <w:rFonts w:ascii="Times New Roman" w:hAnsi="Times New Roman" w:hint="default"/>
      </w:rPr>
    </w:lvl>
  </w:abstractNum>
  <w:abstractNum w:abstractNumId="5" w15:restartNumberingAfterBreak="0">
    <w:nsid w:val="0C844305"/>
    <w:multiLevelType w:val="multilevel"/>
    <w:tmpl w:val="AEF8E0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D56C7B"/>
    <w:multiLevelType w:val="multilevel"/>
    <w:tmpl w:val="EEB65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934D88"/>
    <w:multiLevelType w:val="hybridMultilevel"/>
    <w:tmpl w:val="28B620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Wingdings"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Wingdings"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6574365"/>
    <w:multiLevelType w:val="singleLevel"/>
    <w:tmpl w:val="8280E512"/>
    <w:lvl w:ilvl="0">
      <w:start w:val="3"/>
      <w:numFmt w:val="lowerLetter"/>
      <w:lvlText w:val="%1)"/>
      <w:legacy w:legacy="1" w:legacySpace="0" w:legacyIndent="341"/>
      <w:lvlJc w:val="left"/>
      <w:rPr>
        <w:rFonts w:ascii="Times New Roman" w:hAnsi="Times New Roman" w:hint="default"/>
      </w:rPr>
    </w:lvl>
  </w:abstractNum>
  <w:abstractNum w:abstractNumId="9" w15:restartNumberingAfterBreak="0">
    <w:nsid w:val="16E62273"/>
    <w:multiLevelType w:val="singleLevel"/>
    <w:tmpl w:val="B4F81BCE"/>
    <w:lvl w:ilvl="0">
      <w:start w:val="1"/>
      <w:numFmt w:val="lowerLetter"/>
      <w:lvlText w:val="%1)"/>
      <w:legacy w:legacy="1" w:legacySpace="0" w:legacyIndent="346"/>
      <w:lvlJc w:val="left"/>
      <w:rPr>
        <w:rFonts w:ascii="Times New Roman" w:hAnsi="Times New Roman" w:hint="default"/>
      </w:rPr>
    </w:lvl>
  </w:abstractNum>
  <w:abstractNum w:abstractNumId="10" w15:restartNumberingAfterBreak="0">
    <w:nsid w:val="1C5D47E3"/>
    <w:multiLevelType w:val="hybridMultilevel"/>
    <w:tmpl w:val="FA4AA39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1F5F3CC0"/>
    <w:multiLevelType w:val="singleLevel"/>
    <w:tmpl w:val="7E642852"/>
    <w:lvl w:ilvl="0">
      <w:start w:val="1"/>
      <w:numFmt w:val="decimal"/>
      <w:lvlText w:val="%1)"/>
      <w:legacy w:legacy="1" w:legacySpace="0" w:legacyIndent="322"/>
      <w:lvlJc w:val="left"/>
      <w:rPr>
        <w:rFonts w:ascii="Times New Roman" w:hAnsi="Times New Roman" w:hint="default"/>
      </w:rPr>
    </w:lvl>
  </w:abstractNum>
  <w:abstractNum w:abstractNumId="12" w15:restartNumberingAfterBreak="0">
    <w:nsid w:val="20E100A9"/>
    <w:multiLevelType w:val="multilevel"/>
    <w:tmpl w:val="108E82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DE736F"/>
    <w:multiLevelType w:val="multilevel"/>
    <w:tmpl w:val="5A8061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A37CB5"/>
    <w:multiLevelType w:val="multilevel"/>
    <w:tmpl w:val="0524A5D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4B0496"/>
    <w:multiLevelType w:val="singleLevel"/>
    <w:tmpl w:val="D64CB7C8"/>
    <w:lvl w:ilvl="0">
      <w:start w:val="1"/>
      <w:numFmt w:val="lowerLetter"/>
      <w:lvlText w:val="%1)"/>
      <w:legacy w:legacy="1" w:legacySpace="0" w:legacyIndent="341"/>
      <w:lvlJc w:val="left"/>
      <w:rPr>
        <w:rFonts w:ascii="Times New Roman" w:hAnsi="Times New Roman" w:hint="default"/>
      </w:rPr>
    </w:lvl>
  </w:abstractNum>
  <w:abstractNum w:abstractNumId="16" w15:restartNumberingAfterBreak="0">
    <w:nsid w:val="279E1FEC"/>
    <w:multiLevelType w:val="multilevel"/>
    <w:tmpl w:val="C37604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8F0DB3"/>
    <w:multiLevelType w:val="singleLevel"/>
    <w:tmpl w:val="96F85306"/>
    <w:lvl w:ilvl="0">
      <w:start w:val="1"/>
      <w:numFmt w:val="decimal"/>
      <w:lvlText w:val="(%1)"/>
      <w:legacy w:legacy="1" w:legacySpace="0" w:legacyIndent="538"/>
      <w:lvlJc w:val="left"/>
      <w:rPr>
        <w:rFonts w:ascii="Times New Roman" w:hAnsi="Times New Roman" w:hint="default"/>
      </w:rPr>
    </w:lvl>
  </w:abstractNum>
  <w:abstractNum w:abstractNumId="18" w15:restartNumberingAfterBreak="0">
    <w:nsid w:val="2AD02C3A"/>
    <w:multiLevelType w:val="singleLevel"/>
    <w:tmpl w:val="C206108A"/>
    <w:lvl w:ilvl="0">
      <w:start w:val="12"/>
      <w:numFmt w:val="decimal"/>
      <w:lvlText w:val="%1"/>
      <w:legacy w:legacy="1" w:legacySpace="0" w:legacyIndent="288"/>
      <w:lvlJc w:val="left"/>
      <w:rPr>
        <w:rFonts w:ascii="Times New Roman" w:hAnsi="Times New Roman" w:hint="default"/>
      </w:rPr>
    </w:lvl>
  </w:abstractNum>
  <w:abstractNum w:abstractNumId="19" w15:restartNumberingAfterBreak="0">
    <w:nsid w:val="2E6D56BB"/>
    <w:multiLevelType w:val="singleLevel"/>
    <w:tmpl w:val="3BEC4FCA"/>
    <w:lvl w:ilvl="0">
      <w:start w:val="3"/>
      <w:numFmt w:val="decimal"/>
      <w:lvlText w:val="(%1)"/>
      <w:legacy w:legacy="1" w:legacySpace="0" w:legacyIndent="538"/>
      <w:lvlJc w:val="left"/>
      <w:rPr>
        <w:rFonts w:ascii="Times New Roman" w:hAnsi="Times New Roman" w:hint="default"/>
      </w:rPr>
    </w:lvl>
  </w:abstractNum>
  <w:abstractNum w:abstractNumId="20" w15:restartNumberingAfterBreak="0">
    <w:nsid w:val="346B2488"/>
    <w:multiLevelType w:val="multilevel"/>
    <w:tmpl w:val="68226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986B7F"/>
    <w:multiLevelType w:val="singleLevel"/>
    <w:tmpl w:val="7F6AA3E8"/>
    <w:lvl w:ilvl="0">
      <w:start w:val="1"/>
      <w:numFmt w:val="decimal"/>
      <w:lvlText w:val="%1."/>
      <w:legacy w:legacy="1" w:legacySpace="0" w:legacyIndent="336"/>
      <w:lvlJc w:val="left"/>
      <w:rPr>
        <w:rFonts w:ascii="Times New Roman" w:hAnsi="Times New Roman" w:hint="default"/>
      </w:rPr>
    </w:lvl>
  </w:abstractNum>
  <w:abstractNum w:abstractNumId="22" w15:restartNumberingAfterBreak="0">
    <w:nsid w:val="38F25C6B"/>
    <w:multiLevelType w:val="singleLevel"/>
    <w:tmpl w:val="93AE099A"/>
    <w:lvl w:ilvl="0">
      <w:start w:val="1"/>
      <w:numFmt w:val="lowerLetter"/>
      <w:lvlText w:val="%1)"/>
      <w:legacy w:legacy="1" w:legacySpace="0" w:legacyIndent="408"/>
      <w:lvlJc w:val="left"/>
      <w:rPr>
        <w:rFonts w:ascii="Times New Roman" w:hAnsi="Times New Roman" w:hint="default"/>
      </w:rPr>
    </w:lvl>
  </w:abstractNum>
  <w:abstractNum w:abstractNumId="23"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055D23"/>
    <w:multiLevelType w:val="multilevel"/>
    <w:tmpl w:val="9EFE0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82358D"/>
    <w:multiLevelType w:val="multilevel"/>
    <w:tmpl w:val="46E65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37511A"/>
    <w:multiLevelType w:val="multilevel"/>
    <w:tmpl w:val="43F0E12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FA6E9A"/>
    <w:multiLevelType w:val="singleLevel"/>
    <w:tmpl w:val="7F6AA3E8"/>
    <w:lvl w:ilvl="0">
      <w:start w:val="1"/>
      <w:numFmt w:val="decimal"/>
      <w:lvlText w:val="%1."/>
      <w:legacy w:legacy="1" w:legacySpace="0" w:legacyIndent="336"/>
      <w:lvlJc w:val="left"/>
      <w:rPr>
        <w:rFonts w:ascii="Times New Roman" w:hAnsi="Times New Roman" w:hint="default"/>
      </w:rPr>
    </w:lvl>
  </w:abstractNum>
  <w:abstractNum w:abstractNumId="28" w15:restartNumberingAfterBreak="0">
    <w:nsid w:val="5CBA1986"/>
    <w:multiLevelType w:val="multilevel"/>
    <w:tmpl w:val="DEBEAB0E"/>
    <w:lvl w:ilvl="0">
      <w:start w:val="1"/>
      <w:numFmt w:val="bullet"/>
      <w:lvlText w:val=""/>
      <w:lvlJc w:val="left"/>
      <w:pPr>
        <w:tabs>
          <w:tab w:val="num" w:pos="720"/>
        </w:tabs>
        <w:ind w:left="720" w:hanging="360"/>
      </w:pPr>
      <w:rPr>
        <w:rFonts w:ascii="Symbol" w:hAnsi="Symbol" w:hint="default"/>
        <w:sz w:val="20"/>
        <w:lang w:val="fr-C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CE4CEC"/>
    <w:multiLevelType w:val="multilevel"/>
    <w:tmpl w:val="8FB69E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B53443"/>
    <w:multiLevelType w:val="multilevel"/>
    <w:tmpl w:val="656A1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A160AC"/>
    <w:multiLevelType w:val="multilevel"/>
    <w:tmpl w:val="08B2D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EA0756"/>
    <w:multiLevelType w:val="singleLevel"/>
    <w:tmpl w:val="56544E6E"/>
    <w:lvl w:ilvl="0">
      <w:start w:val="2"/>
      <w:numFmt w:val="decimal"/>
      <w:lvlText w:val="%1)"/>
      <w:legacy w:legacy="1" w:legacySpace="0" w:legacyIndent="538"/>
      <w:lvlJc w:val="left"/>
      <w:rPr>
        <w:rFonts w:ascii="Times New Roman" w:hAnsi="Times New Roman" w:hint="default"/>
      </w:rPr>
    </w:lvl>
  </w:abstractNum>
  <w:abstractNum w:abstractNumId="33" w15:restartNumberingAfterBreak="0">
    <w:nsid w:val="6B3357DD"/>
    <w:multiLevelType w:val="singleLevel"/>
    <w:tmpl w:val="25F21708"/>
    <w:lvl w:ilvl="0">
      <w:start w:val="6"/>
      <w:numFmt w:val="decimal"/>
      <w:lvlText w:val="%1"/>
      <w:legacy w:legacy="1" w:legacySpace="0" w:legacyIndent="135"/>
      <w:lvlJc w:val="left"/>
      <w:rPr>
        <w:rFonts w:ascii="Times New Roman" w:hAnsi="Times New Roman" w:hint="default"/>
      </w:rPr>
    </w:lvl>
  </w:abstractNum>
  <w:abstractNum w:abstractNumId="34" w15:restartNumberingAfterBreak="0">
    <w:nsid w:val="6D0A6C98"/>
    <w:multiLevelType w:val="singleLevel"/>
    <w:tmpl w:val="7EF063EE"/>
    <w:lvl w:ilvl="0">
      <w:start w:val="1"/>
      <w:numFmt w:val="decimal"/>
      <w:lvlText w:val="%1)"/>
      <w:legacy w:legacy="1" w:legacySpace="0" w:legacyIndent="341"/>
      <w:lvlJc w:val="left"/>
      <w:rPr>
        <w:rFonts w:ascii="Times New Roman" w:hAnsi="Times New Roman" w:hint="default"/>
      </w:rPr>
    </w:lvl>
  </w:abstractNum>
  <w:abstractNum w:abstractNumId="35" w15:restartNumberingAfterBreak="0">
    <w:nsid w:val="772E7A94"/>
    <w:multiLevelType w:val="multilevel"/>
    <w:tmpl w:val="9DEE57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8"/>
  </w:num>
  <w:num w:numId="3">
    <w:abstractNumId w:val="7"/>
  </w:num>
  <w:num w:numId="4">
    <w:abstractNumId w:val="10"/>
  </w:num>
  <w:num w:numId="5">
    <w:abstractNumId w:val="0"/>
  </w:num>
  <w:num w:numId="6">
    <w:abstractNumId w:val="15"/>
  </w:num>
  <w:num w:numId="7">
    <w:abstractNumId w:val="8"/>
  </w:num>
  <w:num w:numId="8">
    <w:abstractNumId w:val="21"/>
  </w:num>
  <w:num w:numId="9">
    <w:abstractNumId w:val="27"/>
  </w:num>
  <w:num w:numId="10">
    <w:abstractNumId w:val="17"/>
  </w:num>
  <w:num w:numId="11">
    <w:abstractNumId w:val="19"/>
  </w:num>
  <w:num w:numId="12">
    <w:abstractNumId w:val="18"/>
  </w:num>
  <w:num w:numId="13">
    <w:abstractNumId w:val="33"/>
  </w:num>
  <w:num w:numId="14">
    <w:abstractNumId w:val="34"/>
  </w:num>
  <w:num w:numId="15">
    <w:abstractNumId w:val="11"/>
  </w:num>
  <w:num w:numId="16">
    <w:abstractNumId w:val="4"/>
  </w:num>
  <w:num w:numId="17">
    <w:abstractNumId w:val="9"/>
  </w:num>
  <w:num w:numId="18">
    <w:abstractNumId w:val="1"/>
    <w:lvlOverride w:ilvl="0">
      <w:lvl w:ilvl="0">
        <w:start w:val="65535"/>
        <w:numFmt w:val="bullet"/>
        <w:lvlText w:val="•"/>
        <w:legacy w:legacy="1" w:legacySpace="0" w:legacyIndent="533"/>
        <w:lvlJc w:val="left"/>
        <w:rPr>
          <w:rFonts w:ascii="Times New Roman" w:hAnsi="Times New Roman" w:hint="default"/>
        </w:rPr>
      </w:lvl>
    </w:lvlOverride>
  </w:num>
  <w:num w:numId="19">
    <w:abstractNumId w:val="1"/>
    <w:lvlOverride w:ilvl="0">
      <w:lvl w:ilvl="0">
        <w:start w:val="65535"/>
        <w:numFmt w:val="bullet"/>
        <w:lvlText w:val="•"/>
        <w:legacy w:legacy="1" w:legacySpace="0" w:legacyIndent="336"/>
        <w:lvlJc w:val="left"/>
        <w:rPr>
          <w:rFonts w:ascii="Times New Roman" w:hAnsi="Times New Roman" w:hint="default"/>
        </w:rPr>
      </w:lvl>
    </w:lvlOverride>
  </w:num>
  <w:num w:numId="20">
    <w:abstractNumId w:val="22"/>
  </w:num>
  <w:num w:numId="21">
    <w:abstractNumId w:val="1"/>
    <w:lvlOverride w:ilvl="0">
      <w:lvl w:ilvl="0">
        <w:start w:val="65535"/>
        <w:numFmt w:val="bullet"/>
        <w:lvlText w:val="Y"/>
        <w:legacy w:legacy="1" w:legacySpace="0" w:legacyIndent="125"/>
        <w:lvlJc w:val="left"/>
        <w:rPr>
          <w:rFonts w:ascii="Times New Roman" w:hAnsi="Times New Roman" w:hint="default"/>
        </w:rPr>
      </w:lvl>
    </w:lvlOverride>
  </w:num>
  <w:num w:numId="22">
    <w:abstractNumId w:val="32"/>
  </w:num>
  <w:num w:numId="23">
    <w:abstractNumId w:val="3"/>
  </w:num>
  <w:num w:numId="24">
    <w:abstractNumId w:val="29"/>
  </w:num>
  <w:num w:numId="25">
    <w:abstractNumId w:val="12"/>
  </w:num>
  <w:num w:numId="26">
    <w:abstractNumId w:val="5"/>
  </w:num>
  <w:num w:numId="27">
    <w:abstractNumId w:val="26"/>
  </w:num>
  <w:num w:numId="28">
    <w:abstractNumId w:val="20"/>
  </w:num>
  <w:num w:numId="29">
    <w:abstractNumId w:val="31"/>
  </w:num>
  <w:num w:numId="30">
    <w:abstractNumId w:val="25"/>
  </w:num>
  <w:num w:numId="31">
    <w:abstractNumId w:val="24"/>
  </w:num>
  <w:num w:numId="32">
    <w:abstractNumId w:val="2"/>
  </w:num>
  <w:num w:numId="33">
    <w:abstractNumId w:val="35"/>
  </w:num>
  <w:num w:numId="34">
    <w:abstractNumId w:val="16"/>
  </w:num>
  <w:num w:numId="35">
    <w:abstractNumId w:val="14"/>
  </w:num>
  <w:num w:numId="36">
    <w:abstractNumId w:val="13"/>
  </w:num>
  <w:num w:numId="37">
    <w:abstractNumId w:val="30"/>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F5D09"/>
    <w:rsid w:val="002C4A9C"/>
    <w:rsid w:val="00D6234E"/>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958D2614-0DBA-D245-881E-665E0BA8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5EF4"/>
    <w:pPr>
      <w:ind w:firstLine="360"/>
    </w:pPr>
    <w:rPr>
      <w:rFonts w:ascii="Times New Roman" w:eastAsia="Times New Roman" w:hAnsi="Times New Roman"/>
      <w:sz w:val="28"/>
      <w:lang w:eastAsia="en-US"/>
    </w:rPr>
  </w:style>
  <w:style w:type="paragraph" w:styleId="Titre1">
    <w:name w:val="heading 1"/>
    <w:next w:val="Normal"/>
    <w:link w:val="Titre1Car"/>
    <w:qFormat/>
    <w:rsid w:val="0058603D"/>
    <w:pPr>
      <w:outlineLvl w:val="0"/>
    </w:pPr>
    <w:rPr>
      <w:rFonts w:eastAsia="Times New Roman"/>
      <w:noProof/>
      <w:lang w:eastAsia="en-US"/>
    </w:rPr>
  </w:style>
  <w:style w:type="paragraph" w:styleId="Titre2">
    <w:name w:val="heading 2"/>
    <w:next w:val="Normal"/>
    <w:link w:val="Titre2Car"/>
    <w:qFormat/>
    <w:rsid w:val="0058603D"/>
    <w:pPr>
      <w:outlineLvl w:val="1"/>
    </w:pPr>
    <w:rPr>
      <w:rFonts w:eastAsia="Times New Roman"/>
      <w:noProof/>
      <w:lang w:eastAsia="en-US"/>
    </w:rPr>
  </w:style>
  <w:style w:type="paragraph" w:styleId="Titre3">
    <w:name w:val="heading 3"/>
    <w:next w:val="Normal"/>
    <w:link w:val="Titre3Car"/>
    <w:qFormat/>
    <w:rsid w:val="0058603D"/>
    <w:pPr>
      <w:outlineLvl w:val="2"/>
    </w:pPr>
    <w:rPr>
      <w:rFonts w:eastAsia="Times New Roman"/>
      <w:noProof/>
      <w:lang w:eastAsia="en-US"/>
    </w:rPr>
  </w:style>
  <w:style w:type="paragraph" w:styleId="Titre4">
    <w:name w:val="heading 4"/>
    <w:next w:val="Normal"/>
    <w:link w:val="Titre4Car"/>
    <w:qFormat/>
    <w:rsid w:val="0058603D"/>
    <w:pPr>
      <w:outlineLvl w:val="3"/>
    </w:pPr>
    <w:rPr>
      <w:rFonts w:eastAsia="Times New Roman"/>
      <w:noProof/>
      <w:lang w:eastAsia="en-US"/>
    </w:rPr>
  </w:style>
  <w:style w:type="paragraph" w:styleId="Titre5">
    <w:name w:val="heading 5"/>
    <w:next w:val="Normal"/>
    <w:link w:val="Titre5Car"/>
    <w:qFormat/>
    <w:rsid w:val="0058603D"/>
    <w:pPr>
      <w:outlineLvl w:val="4"/>
    </w:pPr>
    <w:rPr>
      <w:rFonts w:eastAsia="Times New Roman"/>
      <w:noProof/>
      <w:lang w:eastAsia="en-US"/>
    </w:rPr>
  </w:style>
  <w:style w:type="paragraph" w:styleId="Titre6">
    <w:name w:val="heading 6"/>
    <w:next w:val="Normal"/>
    <w:link w:val="Titre6Car"/>
    <w:qFormat/>
    <w:rsid w:val="0058603D"/>
    <w:pPr>
      <w:outlineLvl w:val="5"/>
    </w:pPr>
    <w:rPr>
      <w:rFonts w:eastAsia="Times New Roman"/>
      <w:noProof/>
      <w:lang w:eastAsia="en-US"/>
    </w:rPr>
  </w:style>
  <w:style w:type="paragraph" w:styleId="Titre7">
    <w:name w:val="heading 7"/>
    <w:next w:val="Normal"/>
    <w:link w:val="Titre7Car"/>
    <w:qFormat/>
    <w:rsid w:val="0058603D"/>
    <w:pPr>
      <w:outlineLvl w:val="6"/>
    </w:pPr>
    <w:rPr>
      <w:rFonts w:eastAsia="Times New Roman"/>
      <w:noProof/>
      <w:lang w:eastAsia="en-US"/>
    </w:rPr>
  </w:style>
  <w:style w:type="paragraph" w:styleId="Titre8">
    <w:name w:val="heading 8"/>
    <w:next w:val="Normal"/>
    <w:link w:val="Titre8Car"/>
    <w:qFormat/>
    <w:rsid w:val="0058603D"/>
    <w:pPr>
      <w:outlineLvl w:val="7"/>
    </w:pPr>
    <w:rPr>
      <w:rFonts w:eastAsia="Times New Roman"/>
      <w:noProof/>
      <w:lang w:eastAsia="en-US"/>
    </w:rPr>
  </w:style>
  <w:style w:type="paragraph" w:styleId="Titre9">
    <w:name w:val="heading 9"/>
    <w:next w:val="Normal"/>
    <w:link w:val="Titre9Car"/>
    <w:qFormat/>
    <w:rsid w:val="0058603D"/>
    <w:pPr>
      <w:outlineLvl w:val="8"/>
    </w:pPr>
    <w:rPr>
      <w:rFonts w:eastAsia="Times New Roman"/>
      <w:noProof/>
      <w:lang w:eastAsia="en-US"/>
    </w:rPr>
  </w:style>
  <w:style w:type="character" w:default="1" w:styleId="Policepardfaut">
    <w:name w:val="Default Paragraph Font"/>
    <w:rsid w:val="0058603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58603D"/>
  </w:style>
  <w:style w:type="character" w:styleId="Appeldenotedefin">
    <w:name w:val="endnote reference"/>
    <w:basedOn w:val="Policepardfaut"/>
    <w:autoRedefine/>
    <w:rsid w:val="004076FB"/>
    <w:rPr>
      <w:rFonts w:ascii="Perpetua" w:hAnsi="Perpetua"/>
      <w:color w:val="FF0000"/>
      <w:vertAlign w:val="superscript"/>
    </w:rPr>
  </w:style>
  <w:style w:type="character" w:styleId="Appelnotedebasdep">
    <w:name w:val="footnote reference"/>
    <w:basedOn w:val="Policepardfaut"/>
    <w:autoRedefine/>
    <w:rsid w:val="008018B6"/>
    <w:rPr>
      <w:color w:val="FF0000"/>
      <w:position w:val="6"/>
      <w:sz w:val="20"/>
      <w:szCs w:val="24"/>
    </w:rPr>
  </w:style>
  <w:style w:type="paragraph" w:styleId="Grillecouleur-Accent1">
    <w:name w:val="Colorful Grid Accent 1"/>
    <w:basedOn w:val="Normal"/>
    <w:link w:val="Grillecouleur-Accent1Car"/>
    <w:autoRedefine/>
    <w:rsid w:val="006B4F09"/>
    <w:pPr>
      <w:ind w:left="720"/>
      <w:jc w:val="both"/>
    </w:pPr>
    <w:rPr>
      <w:color w:val="000080"/>
      <w:sz w:val="24"/>
    </w:rPr>
  </w:style>
  <w:style w:type="paragraph" w:customStyle="1" w:styleId="Niveau1">
    <w:name w:val="Niveau 1"/>
    <w:basedOn w:val="Normal"/>
    <w:rsid w:val="0058603D"/>
    <w:pPr>
      <w:ind w:firstLine="0"/>
    </w:pPr>
    <w:rPr>
      <w:b/>
      <w:color w:val="FF0000"/>
      <w:sz w:val="72"/>
    </w:rPr>
  </w:style>
  <w:style w:type="paragraph" w:customStyle="1" w:styleId="Niveau11">
    <w:name w:val="Niveau 1.1"/>
    <w:basedOn w:val="Niveau1"/>
    <w:autoRedefine/>
    <w:rsid w:val="0058603D"/>
    <w:rPr>
      <w:color w:val="008000"/>
      <w:sz w:val="60"/>
    </w:rPr>
  </w:style>
  <w:style w:type="paragraph" w:customStyle="1" w:styleId="Niveau12">
    <w:name w:val="Niveau 1.2"/>
    <w:basedOn w:val="Niveau11"/>
    <w:autoRedefine/>
    <w:rsid w:val="003713A1"/>
    <w:pPr>
      <w:jc w:val="center"/>
    </w:pPr>
    <w:rPr>
      <w:i/>
      <w:color w:val="000080"/>
      <w:sz w:val="32"/>
    </w:rPr>
  </w:style>
  <w:style w:type="paragraph" w:customStyle="1" w:styleId="Niveau2">
    <w:name w:val="Niveau 2"/>
    <w:basedOn w:val="Normal"/>
    <w:rsid w:val="0058603D"/>
    <w:rPr>
      <w:rFonts w:ascii="GillSans" w:hAnsi="GillSans"/>
      <w:sz w:val="20"/>
    </w:rPr>
  </w:style>
  <w:style w:type="paragraph" w:customStyle="1" w:styleId="Niveau3">
    <w:name w:val="Niveau 3"/>
    <w:basedOn w:val="Normal"/>
    <w:autoRedefine/>
    <w:rsid w:val="0058603D"/>
    <w:pPr>
      <w:ind w:left="1080" w:hanging="720"/>
    </w:pPr>
    <w:rPr>
      <w:b/>
    </w:rPr>
  </w:style>
  <w:style w:type="paragraph" w:customStyle="1" w:styleId="Titreniveau1">
    <w:name w:val="Titre niveau 1"/>
    <w:basedOn w:val="Niveau1"/>
    <w:autoRedefine/>
    <w:rsid w:val="00C051E7"/>
    <w:pPr>
      <w:pBdr>
        <w:bottom w:val="single" w:sz="4" w:space="1" w:color="auto"/>
      </w:pBdr>
      <w:ind w:left="1350" w:right="1440"/>
      <w:jc w:val="center"/>
    </w:pPr>
    <w:rPr>
      <w:b w:val="0"/>
      <w:sz w:val="60"/>
    </w:rPr>
  </w:style>
  <w:style w:type="paragraph" w:customStyle="1" w:styleId="Titreniveau2">
    <w:name w:val="Titre niveau 2"/>
    <w:basedOn w:val="Titreniveau1"/>
    <w:autoRedefine/>
    <w:rsid w:val="00F96528"/>
    <w:pPr>
      <w:widowControl w:val="0"/>
      <w:pBdr>
        <w:bottom w:val="none" w:sz="0" w:space="0" w:color="auto"/>
      </w:pBdr>
      <w:spacing w:before="120"/>
      <w:ind w:left="0" w:right="0"/>
    </w:pPr>
    <w:rPr>
      <w:color w:val="auto"/>
      <w:sz w:val="48"/>
    </w:rPr>
  </w:style>
  <w:style w:type="paragraph" w:styleId="Corpsdetexte">
    <w:name w:val="Body Text"/>
    <w:basedOn w:val="Normal"/>
    <w:link w:val="CorpsdetexteCar"/>
    <w:rsid w:val="0058603D"/>
    <w:pPr>
      <w:spacing w:before="360" w:after="240"/>
      <w:ind w:firstLine="0"/>
      <w:jc w:val="center"/>
    </w:pPr>
    <w:rPr>
      <w:sz w:val="72"/>
    </w:rPr>
  </w:style>
  <w:style w:type="paragraph" w:styleId="Corpsdetexte2">
    <w:name w:val="Body Text 2"/>
    <w:basedOn w:val="Normal"/>
    <w:link w:val="Corpsdetexte2Car"/>
    <w:rsid w:val="0058603D"/>
    <w:pPr>
      <w:ind w:firstLine="0"/>
      <w:jc w:val="both"/>
    </w:pPr>
    <w:rPr>
      <w:rFonts w:ascii="Arial" w:hAnsi="Arial"/>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58603D"/>
    <w:pPr>
      <w:tabs>
        <w:tab w:val="center" w:pos="4320"/>
        <w:tab w:val="right" w:pos="8640"/>
      </w:tabs>
    </w:pPr>
    <w:rPr>
      <w:rFonts w:ascii="GillSans" w:hAnsi="GillSans"/>
      <w:sz w:val="20"/>
    </w:rPr>
  </w:style>
  <w:style w:type="paragraph" w:customStyle="1" w:styleId="En-tteimpaire">
    <w:name w:val="En-tÍte impaire"/>
    <w:basedOn w:val="En-tte"/>
    <w:rsid w:val="0058603D"/>
    <w:pPr>
      <w:tabs>
        <w:tab w:val="right" w:pos="8280"/>
        <w:tab w:val="right" w:pos="9000"/>
      </w:tabs>
      <w:ind w:firstLine="0"/>
    </w:pPr>
  </w:style>
  <w:style w:type="paragraph" w:customStyle="1" w:styleId="En-ttepaire">
    <w:name w:val="En-tÍte paire"/>
    <w:basedOn w:val="En-tte"/>
    <w:rsid w:val="0058603D"/>
    <w:pPr>
      <w:tabs>
        <w:tab w:val="left" w:pos="720"/>
      </w:tabs>
      <w:ind w:firstLine="0"/>
    </w:pPr>
  </w:style>
  <w:style w:type="paragraph" w:styleId="Lgende">
    <w:name w:val="caption"/>
    <w:basedOn w:val="Normal"/>
    <w:next w:val="Normal"/>
    <w:qFormat/>
    <w:rsid w:val="0058603D"/>
    <w:pPr>
      <w:spacing w:before="120" w:after="120"/>
    </w:pPr>
    <w:rPr>
      <w:rFonts w:ascii="GillSans" w:hAnsi="GillSans"/>
      <w:b/>
      <w:sz w:val="20"/>
    </w:rPr>
  </w:style>
  <w:style w:type="character" w:styleId="Lienhypertexte">
    <w:name w:val="Hyperlink"/>
    <w:basedOn w:val="Policepardfaut"/>
    <w:uiPriority w:val="99"/>
    <w:rsid w:val="0058603D"/>
    <w:rPr>
      <w:color w:val="0000FF"/>
      <w:u w:val="single"/>
    </w:rPr>
  </w:style>
  <w:style w:type="character" w:styleId="Lienhypertextesuivivisit">
    <w:name w:val="FollowedHyperlink"/>
    <w:basedOn w:val="Policepardfaut"/>
    <w:rsid w:val="0058603D"/>
    <w:rPr>
      <w:color w:val="800080"/>
      <w:u w:val="single"/>
    </w:rPr>
  </w:style>
  <w:style w:type="paragraph" w:customStyle="1" w:styleId="Niveau10">
    <w:name w:val="Niveau 1.0"/>
    <w:basedOn w:val="Niveau11"/>
    <w:autoRedefine/>
    <w:rsid w:val="0058603D"/>
    <w:pPr>
      <w:jc w:val="center"/>
    </w:pPr>
    <w:rPr>
      <w:b w:val="0"/>
      <w:sz w:val="48"/>
    </w:rPr>
  </w:style>
  <w:style w:type="paragraph" w:customStyle="1" w:styleId="Niveau13">
    <w:name w:val="Niveau 1.3"/>
    <w:basedOn w:val="Niveau12"/>
    <w:autoRedefine/>
    <w:rsid w:val="0058603D"/>
    <w:rPr>
      <w:b w:val="0"/>
      <w:i w:val="0"/>
      <w:color w:val="800080"/>
      <w:sz w:val="48"/>
    </w:rPr>
  </w:style>
  <w:style w:type="paragraph" w:styleId="Notedebasdepage">
    <w:name w:val="footnote text"/>
    <w:basedOn w:val="Normal"/>
    <w:link w:val="NotedebasdepageCar"/>
    <w:autoRedefine/>
    <w:rsid w:val="00BE24CF"/>
    <w:pPr>
      <w:ind w:left="540" w:hanging="540"/>
      <w:jc w:val="both"/>
    </w:pPr>
    <w:rPr>
      <w:color w:val="000000"/>
      <w:sz w:val="24"/>
    </w:rPr>
  </w:style>
  <w:style w:type="character" w:styleId="Numrodepage">
    <w:name w:val="page number"/>
    <w:basedOn w:val="Policepardfaut"/>
    <w:rsid w:val="0058603D"/>
  </w:style>
  <w:style w:type="paragraph" w:styleId="Pieddepage">
    <w:name w:val="footer"/>
    <w:basedOn w:val="Normal"/>
    <w:link w:val="PieddepageCar"/>
    <w:uiPriority w:val="99"/>
    <w:rsid w:val="0058603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58603D"/>
    <w:pPr>
      <w:ind w:left="20" w:firstLine="400"/>
    </w:pPr>
    <w:rPr>
      <w:rFonts w:ascii="Arial" w:hAnsi="Arial"/>
    </w:rPr>
  </w:style>
  <w:style w:type="paragraph" w:styleId="Retraitcorpsdetexte2">
    <w:name w:val="Body Text Indent 2"/>
    <w:basedOn w:val="Normal"/>
    <w:link w:val="Retraitcorpsdetexte2Car"/>
    <w:rsid w:val="0058603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58603D"/>
    <w:pPr>
      <w:ind w:left="20" w:firstLine="380"/>
      <w:jc w:val="both"/>
    </w:pPr>
    <w:rPr>
      <w:rFonts w:ascii="Arial" w:hAnsi="Arial"/>
    </w:rPr>
  </w:style>
  <w:style w:type="paragraph" w:customStyle="1" w:styleId="texteenvidence">
    <w:name w:val="texte en évidence"/>
    <w:basedOn w:val="Normal"/>
    <w:rsid w:val="0058603D"/>
    <w:pPr>
      <w:widowControl w:val="0"/>
      <w:jc w:val="both"/>
    </w:pPr>
    <w:rPr>
      <w:rFonts w:ascii="Arial" w:hAnsi="Arial"/>
      <w:b/>
      <w:color w:val="FF0000"/>
    </w:rPr>
  </w:style>
  <w:style w:type="paragraph" w:styleId="Titre">
    <w:name w:val="Title"/>
    <w:basedOn w:val="Normal"/>
    <w:link w:val="TitreCar"/>
    <w:autoRedefine/>
    <w:qFormat/>
    <w:rsid w:val="0058603D"/>
    <w:pPr>
      <w:ind w:firstLine="0"/>
      <w:jc w:val="center"/>
    </w:pPr>
    <w:rPr>
      <w:b/>
      <w:sz w:val="48"/>
    </w:rPr>
  </w:style>
  <w:style w:type="paragraph" w:customStyle="1" w:styleId="livre">
    <w:name w:val="livre"/>
    <w:basedOn w:val="Normal"/>
    <w:rsid w:val="0058603D"/>
    <w:pPr>
      <w:tabs>
        <w:tab w:val="right" w:pos="9360"/>
      </w:tabs>
      <w:ind w:firstLine="0"/>
    </w:pPr>
    <w:rPr>
      <w:b/>
      <w:color w:val="000080"/>
      <w:sz w:val="144"/>
    </w:rPr>
  </w:style>
  <w:style w:type="paragraph" w:customStyle="1" w:styleId="livrest">
    <w:name w:val="livre_st"/>
    <w:basedOn w:val="Normal"/>
    <w:rsid w:val="0058603D"/>
    <w:pPr>
      <w:tabs>
        <w:tab w:val="right" w:pos="9360"/>
      </w:tabs>
      <w:ind w:firstLine="0"/>
    </w:pPr>
    <w:rPr>
      <w:b/>
      <w:color w:val="FF0000"/>
      <w:sz w:val="72"/>
    </w:rPr>
  </w:style>
  <w:style w:type="paragraph" w:customStyle="1" w:styleId="tableautitre">
    <w:name w:val="tableau_titre"/>
    <w:basedOn w:val="Normal"/>
    <w:rsid w:val="0058603D"/>
    <w:pPr>
      <w:ind w:firstLine="0"/>
      <w:jc w:val="center"/>
    </w:pPr>
    <w:rPr>
      <w:rFonts w:ascii="Times" w:hAnsi="Times"/>
      <w:b/>
    </w:rPr>
  </w:style>
  <w:style w:type="paragraph" w:customStyle="1" w:styleId="planche">
    <w:name w:val="planche"/>
    <w:basedOn w:val="tableautitre"/>
    <w:autoRedefine/>
    <w:rsid w:val="007A5EF4"/>
    <w:pPr>
      <w:widowControl w:val="0"/>
    </w:pPr>
    <w:rPr>
      <w:rFonts w:ascii="Times New Roman" w:hAnsi="Times New Roman"/>
      <w:b w:val="0"/>
      <w:color w:val="000080"/>
      <w:sz w:val="44"/>
    </w:rPr>
  </w:style>
  <w:style w:type="paragraph" w:customStyle="1" w:styleId="tableaust">
    <w:name w:val="tableau_st"/>
    <w:basedOn w:val="Normal"/>
    <w:rsid w:val="0058603D"/>
    <w:pPr>
      <w:ind w:firstLine="0"/>
      <w:jc w:val="center"/>
    </w:pPr>
    <w:rPr>
      <w:rFonts w:ascii="Times" w:hAnsi="Times"/>
      <w:i/>
      <w:color w:val="FF0000"/>
    </w:rPr>
  </w:style>
  <w:style w:type="paragraph" w:customStyle="1" w:styleId="planchest">
    <w:name w:val="planche_st"/>
    <w:basedOn w:val="tableaust"/>
    <w:autoRedefine/>
    <w:rsid w:val="00B6500E"/>
    <w:pPr>
      <w:spacing w:before="60"/>
    </w:pPr>
    <w:rPr>
      <w:rFonts w:ascii="Times New Roman" w:hAnsi="Times New Roman"/>
      <w:i w:val="0"/>
      <w:sz w:val="48"/>
    </w:rPr>
  </w:style>
  <w:style w:type="paragraph" w:customStyle="1" w:styleId="section">
    <w:name w:val="section"/>
    <w:basedOn w:val="Normal"/>
    <w:rsid w:val="0058603D"/>
    <w:pPr>
      <w:ind w:firstLine="0"/>
      <w:jc w:val="center"/>
    </w:pPr>
    <w:rPr>
      <w:rFonts w:ascii="Times" w:hAnsi="Times"/>
      <w:b/>
      <w:sz w:val="48"/>
    </w:rPr>
  </w:style>
  <w:style w:type="paragraph" w:customStyle="1" w:styleId="suite">
    <w:name w:val="suite"/>
    <w:basedOn w:val="Normal"/>
    <w:autoRedefine/>
    <w:rsid w:val="00F96528"/>
    <w:pPr>
      <w:tabs>
        <w:tab w:val="right" w:pos="9360"/>
      </w:tabs>
      <w:ind w:firstLine="0"/>
      <w:jc w:val="center"/>
    </w:pPr>
    <w:rPr>
      <w:color w:val="008000"/>
      <w:sz w:val="32"/>
    </w:rPr>
  </w:style>
  <w:style w:type="paragraph" w:customStyle="1" w:styleId="tdmchap">
    <w:name w:val="tdm_chap"/>
    <w:basedOn w:val="Normal"/>
    <w:rsid w:val="0058603D"/>
    <w:pPr>
      <w:tabs>
        <w:tab w:val="left" w:pos="1980"/>
      </w:tabs>
      <w:ind w:firstLine="0"/>
    </w:pPr>
    <w:rPr>
      <w:rFonts w:ascii="Times" w:hAnsi="Times"/>
      <w:b/>
    </w:rPr>
  </w:style>
  <w:style w:type="paragraph" w:customStyle="1" w:styleId="partie">
    <w:name w:val="partie"/>
    <w:basedOn w:val="Normal"/>
    <w:autoRedefine/>
    <w:rsid w:val="000406AD"/>
    <w:pPr>
      <w:ind w:firstLine="0"/>
      <w:jc w:val="center"/>
    </w:pPr>
    <w:rPr>
      <w:b/>
      <w:sz w:val="72"/>
    </w:rPr>
  </w:style>
  <w:style w:type="paragraph" w:styleId="Normalcentr">
    <w:name w:val="Block Text"/>
    <w:basedOn w:val="Normal"/>
    <w:rsid w:val="0058603D"/>
    <w:pPr>
      <w:ind w:left="180" w:right="180"/>
      <w:jc w:val="both"/>
    </w:pPr>
  </w:style>
  <w:style w:type="paragraph" w:customStyle="1" w:styleId="Titlest">
    <w:name w:val="Title_st"/>
    <w:basedOn w:val="Titre"/>
    <w:autoRedefine/>
    <w:rsid w:val="00503E85"/>
    <w:rPr>
      <w:b w:val="0"/>
      <w:sz w:val="96"/>
    </w:rPr>
  </w:style>
  <w:style w:type="paragraph" w:styleId="TableauGrille2">
    <w:name w:val="Grid Table 2"/>
    <w:basedOn w:val="Normal"/>
    <w:rsid w:val="0058603D"/>
    <w:pPr>
      <w:ind w:left="360" w:hanging="360"/>
    </w:pPr>
    <w:rPr>
      <w:sz w:val="20"/>
      <w:lang w:val="fr-FR"/>
    </w:rPr>
  </w:style>
  <w:style w:type="paragraph" w:styleId="Notedefin">
    <w:name w:val="endnote text"/>
    <w:basedOn w:val="Normal"/>
    <w:link w:val="NotedefinCar"/>
    <w:rsid w:val="0058603D"/>
    <w:pPr>
      <w:spacing w:before="240"/>
    </w:pPr>
    <w:rPr>
      <w:sz w:val="20"/>
      <w:lang w:val="fr-FR"/>
    </w:rPr>
  </w:style>
  <w:style w:type="paragraph" w:customStyle="1" w:styleId="niveau14">
    <w:name w:val="niveau 1"/>
    <w:basedOn w:val="Normal"/>
    <w:rsid w:val="0058603D"/>
    <w:pPr>
      <w:spacing w:before="240"/>
      <w:ind w:firstLine="0"/>
    </w:pPr>
    <w:rPr>
      <w:rFonts w:ascii="B Times Bold" w:hAnsi="B Times Bold"/>
      <w:lang w:val="fr-FR"/>
    </w:rPr>
  </w:style>
  <w:style w:type="paragraph" w:customStyle="1" w:styleId="Titlest2">
    <w:name w:val="Title_st2"/>
    <w:basedOn w:val="Titlest"/>
    <w:rsid w:val="0058603D"/>
  </w:style>
  <w:style w:type="character" w:customStyle="1" w:styleId="twocolfixlthdr">
    <w:name w:val="twocolfixlthdr"/>
    <w:basedOn w:val="Policepardfaut"/>
    <w:rsid w:val="006C0D27"/>
  </w:style>
  <w:style w:type="character" w:styleId="Accentuation">
    <w:name w:val="Emphasis"/>
    <w:basedOn w:val="Policepardfaut"/>
    <w:uiPriority w:val="20"/>
    <w:qFormat/>
    <w:rsid w:val="006C0D27"/>
    <w:rPr>
      <w:i/>
    </w:rPr>
  </w:style>
  <w:style w:type="paragraph" w:customStyle="1" w:styleId="puces">
    <w:name w:val="puces"/>
    <w:basedOn w:val="Normal"/>
    <w:rsid w:val="006C0D27"/>
    <w:pPr>
      <w:spacing w:beforeLines="1" w:afterLines="1" w:after="200"/>
      <w:ind w:firstLine="0"/>
    </w:pPr>
    <w:rPr>
      <w:rFonts w:ascii="Times" w:eastAsia="Cambria" w:hAnsi="Times"/>
      <w:sz w:val="20"/>
      <w:lang w:eastAsia="fr-FR"/>
    </w:rPr>
  </w:style>
  <w:style w:type="character" w:customStyle="1" w:styleId="NotedefinCar">
    <w:name w:val="Note de fin Car"/>
    <w:basedOn w:val="Policepardfaut"/>
    <w:link w:val="Notedefin"/>
    <w:rsid w:val="0053083A"/>
    <w:rPr>
      <w:rFonts w:ascii="Times New Roman" w:eastAsia="Times New Roman" w:hAnsi="Times New Roman"/>
      <w:lang w:val="fr-FR" w:eastAsia="en-US"/>
    </w:rPr>
  </w:style>
  <w:style w:type="paragraph" w:customStyle="1" w:styleId="Titlest20">
    <w:name w:val="Title_st 2"/>
    <w:basedOn w:val="Titlest"/>
    <w:rsid w:val="008944FD"/>
  </w:style>
  <w:style w:type="paragraph" w:customStyle="1" w:styleId="p">
    <w:name w:val="p"/>
    <w:basedOn w:val="Normal"/>
    <w:autoRedefine/>
    <w:rsid w:val="008944FD"/>
    <w:pPr>
      <w:ind w:firstLine="0"/>
    </w:pPr>
  </w:style>
  <w:style w:type="paragraph" w:customStyle="1" w:styleId="Normal0">
    <w:name w:val="Normal +"/>
    <w:basedOn w:val="Normal"/>
    <w:rsid w:val="003713A1"/>
    <w:pPr>
      <w:spacing w:before="120" w:after="120"/>
      <w:jc w:val="both"/>
    </w:pPr>
    <w:rPr>
      <w:lang w:eastAsia="fr-FR"/>
    </w:rPr>
  </w:style>
  <w:style w:type="paragraph" w:customStyle="1" w:styleId="Sansinterligne1">
    <w:name w:val="Sans interligne1"/>
    <w:uiPriority w:val="1"/>
    <w:qFormat/>
    <w:rsid w:val="003713A1"/>
    <w:rPr>
      <w:rFonts w:ascii="Calibri" w:eastAsia="Calibri" w:hAnsi="Calibri"/>
      <w:sz w:val="22"/>
      <w:szCs w:val="22"/>
      <w:lang w:val="fr-FR" w:eastAsia="en-US"/>
    </w:rPr>
  </w:style>
  <w:style w:type="character" w:customStyle="1" w:styleId="En-tteCar">
    <w:name w:val="En-tête Car"/>
    <w:basedOn w:val="Policepardfaut"/>
    <w:link w:val="En-tte"/>
    <w:uiPriority w:val="99"/>
    <w:rsid w:val="003713A1"/>
    <w:rPr>
      <w:rFonts w:ascii="GillSans" w:eastAsia="Times New Roman" w:hAnsi="GillSans"/>
      <w:lang w:eastAsia="en-US"/>
    </w:rPr>
  </w:style>
  <w:style w:type="character" w:customStyle="1" w:styleId="PieddepageCar">
    <w:name w:val="Pied de page Car"/>
    <w:basedOn w:val="Policepardfaut"/>
    <w:link w:val="Pieddepage"/>
    <w:uiPriority w:val="99"/>
    <w:rsid w:val="003713A1"/>
    <w:rPr>
      <w:rFonts w:ascii="GillSans" w:eastAsia="Times New Roman" w:hAnsi="GillSans"/>
      <w:lang w:eastAsia="en-US"/>
    </w:rPr>
  </w:style>
  <w:style w:type="character" w:customStyle="1" w:styleId="Titre1Car">
    <w:name w:val="Titre 1 Car"/>
    <w:basedOn w:val="Policepardfaut"/>
    <w:link w:val="Titre1"/>
    <w:rsid w:val="003713A1"/>
    <w:rPr>
      <w:rFonts w:eastAsia="Times New Roman"/>
      <w:noProof/>
      <w:lang w:val="fr-CA" w:eastAsia="en-US" w:bidi="ar-SA"/>
    </w:rPr>
  </w:style>
  <w:style w:type="paragraph" w:styleId="NormalWeb">
    <w:name w:val="Normal (Web)"/>
    <w:basedOn w:val="Normal"/>
    <w:uiPriority w:val="99"/>
    <w:unhideWhenUsed/>
    <w:rsid w:val="003713A1"/>
    <w:pPr>
      <w:spacing w:before="100" w:beforeAutospacing="1" w:after="100" w:afterAutospacing="1"/>
      <w:ind w:firstLine="0"/>
    </w:pPr>
    <w:rPr>
      <w:sz w:val="24"/>
      <w:szCs w:val="24"/>
      <w:lang w:val="fr-FR" w:eastAsia="fr-FR"/>
    </w:rPr>
  </w:style>
  <w:style w:type="character" w:styleId="CitationHTML">
    <w:name w:val="HTML Cite"/>
    <w:basedOn w:val="Policepardfaut"/>
    <w:rsid w:val="003713A1"/>
    <w:rPr>
      <w:i/>
    </w:rPr>
  </w:style>
  <w:style w:type="character" w:customStyle="1" w:styleId="st">
    <w:name w:val="st"/>
    <w:basedOn w:val="Policepardfaut"/>
    <w:rsid w:val="003713A1"/>
  </w:style>
  <w:style w:type="paragraph" w:customStyle="1" w:styleId="BodyBulletA">
    <w:name w:val="Body Bullet A"/>
    <w:rsid w:val="003713A1"/>
    <w:rPr>
      <w:rFonts w:ascii="Helvetica" w:eastAsia="ヒラギノ角ゴ Pro W3" w:hAnsi="Helvetica"/>
      <w:color w:val="000000"/>
      <w:sz w:val="24"/>
      <w:lang w:val="en-US"/>
    </w:rPr>
  </w:style>
  <w:style w:type="character" w:customStyle="1" w:styleId="gl">
    <w:name w:val="gl"/>
    <w:basedOn w:val="Policepardfaut"/>
    <w:rsid w:val="003713A1"/>
  </w:style>
  <w:style w:type="character" w:customStyle="1" w:styleId="txtconteudo">
    <w:name w:val="txtconteudo"/>
    <w:basedOn w:val="Policepardfaut"/>
    <w:rsid w:val="003713A1"/>
  </w:style>
  <w:style w:type="character" w:customStyle="1" w:styleId="pays1">
    <w:name w:val="pays1"/>
    <w:rsid w:val="003713A1"/>
    <w:rPr>
      <w:b/>
      <w:bCs/>
      <w:color w:val="4040CD"/>
      <w:sz w:val="17"/>
      <w:szCs w:val="17"/>
    </w:rPr>
  </w:style>
  <w:style w:type="paragraph" w:customStyle="1" w:styleId="SemEspaamento1">
    <w:name w:val="Sem Espaçamento1"/>
    <w:basedOn w:val="Normal"/>
    <w:qFormat/>
    <w:rsid w:val="003713A1"/>
    <w:pPr>
      <w:suppressAutoHyphens/>
      <w:spacing w:before="120" w:after="120" w:line="500" w:lineRule="exact"/>
      <w:ind w:firstLine="510"/>
      <w:jc w:val="both"/>
    </w:pPr>
    <w:rPr>
      <w:rFonts w:ascii="Arial" w:hAnsi="Arial"/>
      <w:sz w:val="24"/>
      <w:szCs w:val="24"/>
      <w:lang w:val="pt-BR" w:eastAsia="pt-BR"/>
    </w:rPr>
  </w:style>
  <w:style w:type="character" w:customStyle="1" w:styleId="A4">
    <w:name w:val="A4"/>
    <w:rsid w:val="003713A1"/>
    <w:rPr>
      <w:rFonts w:cs="Futura Lt BT"/>
      <w:color w:val="000000"/>
      <w:sz w:val="20"/>
      <w:szCs w:val="20"/>
    </w:rPr>
  </w:style>
  <w:style w:type="paragraph" w:customStyle="1" w:styleId="Pa2">
    <w:name w:val="Pa2"/>
    <w:basedOn w:val="Normal"/>
    <w:next w:val="Normal"/>
    <w:rsid w:val="003713A1"/>
    <w:pPr>
      <w:autoSpaceDE w:val="0"/>
      <w:autoSpaceDN w:val="0"/>
      <w:adjustRightInd w:val="0"/>
      <w:spacing w:line="241" w:lineRule="atLeast"/>
      <w:ind w:firstLine="0"/>
    </w:pPr>
    <w:rPr>
      <w:rFonts w:ascii="Futura Lt BT" w:eastAsia="Calibri" w:hAnsi="Futura Lt BT"/>
      <w:sz w:val="24"/>
      <w:szCs w:val="24"/>
      <w:lang w:val="pt-BR" w:eastAsia="pt-BR"/>
    </w:rPr>
  </w:style>
  <w:style w:type="character" w:customStyle="1" w:styleId="hps">
    <w:name w:val="hps"/>
    <w:basedOn w:val="Policepardfaut"/>
    <w:rsid w:val="003713A1"/>
  </w:style>
  <w:style w:type="character" w:customStyle="1" w:styleId="CorpsdetexteCar">
    <w:name w:val="Corps de texte Car"/>
    <w:basedOn w:val="Policepardfaut"/>
    <w:link w:val="Corpsdetexte"/>
    <w:rsid w:val="003713A1"/>
    <w:rPr>
      <w:rFonts w:ascii="Times New Roman" w:eastAsia="Times New Roman" w:hAnsi="Times New Roman"/>
      <w:sz w:val="72"/>
      <w:lang w:eastAsia="en-US"/>
    </w:rPr>
  </w:style>
  <w:style w:type="character" w:styleId="lev">
    <w:name w:val="Strong"/>
    <w:uiPriority w:val="22"/>
    <w:qFormat/>
    <w:rsid w:val="003713A1"/>
    <w:rPr>
      <w:rFonts w:cs="Times New Roman"/>
      <w:b/>
      <w:bCs/>
    </w:rPr>
  </w:style>
  <w:style w:type="paragraph" w:customStyle="1" w:styleId="BlockText1">
    <w:name w:val="Block Text1"/>
    <w:basedOn w:val="Normal"/>
    <w:rsid w:val="003713A1"/>
    <w:pPr>
      <w:tabs>
        <w:tab w:val="left" w:pos="6660"/>
      </w:tabs>
      <w:overflowPunct w:val="0"/>
      <w:autoSpaceDE w:val="0"/>
      <w:autoSpaceDN w:val="0"/>
      <w:adjustRightInd w:val="0"/>
      <w:ind w:left="360" w:right="1178" w:firstLine="0"/>
      <w:jc w:val="both"/>
      <w:textAlignment w:val="baseline"/>
    </w:pPr>
    <w:rPr>
      <w:sz w:val="24"/>
      <w:lang w:val="fr-FR" w:eastAsia="fr-FR"/>
    </w:rPr>
  </w:style>
  <w:style w:type="character" w:customStyle="1" w:styleId="a">
    <w:name w:val="a"/>
    <w:basedOn w:val="Policepardfaut"/>
    <w:autoRedefine/>
    <w:rsid w:val="006A2C2E"/>
  </w:style>
  <w:style w:type="character" w:customStyle="1" w:styleId="l6">
    <w:name w:val="l6"/>
    <w:basedOn w:val="Policepardfaut"/>
    <w:rsid w:val="003713A1"/>
  </w:style>
  <w:style w:type="character" w:customStyle="1" w:styleId="cit-first-page">
    <w:name w:val="cit-first-page"/>
    <w:basedOn w:val="Policepardfaut"/>
    <w:rsid w:val="003713A1"/>
  </w:style>
  <w:style w:type="character" w:customStyle="1" w:styleId="cit-sep">
    <w:name w:val="cit-sep"/>
    <w:basedOn w:val="Policepardfaut"/>
    <w:rsid w:val="003713A1"/>
  </w:style>
  <w:style w:type="character" w:customStyle="1" w:styleId="cit-last-page">
    <w:name w:val="cit-last-page"/>
    <w:basedOn w:val="Policepardfaut"/>
    <w:rsid w:val="003713A1"/>
  </w:style>
  <w:style w:type="character" w:customStyle="1" w:styleId="Titre5Car">
    <w:name w:val="Titre 5 Car"/>
    <w:basedOn w:val="Policepardfaut"/>
    <w:link w:val="Titre5"/>
    <w:rsid w:val="003713A1"/>
    <w:rPr>
      <w:rFonts w:eastAsia="Times New Roman"/>
      <w:noProof/>
      <w:lang w:val="fr-CA" w:eastAsia="en-US" w:bidi="ar-SA"/>
    </w:rPr>
  </w:style>
  <w:style w:type="paragraph" w:styleId="Listecouleur-Accent1">
    <w:name w:val="Colorful List Accent 1"/>
    <w:basedOn w:val="Normal"/>
    <w:uiPriority w:val="34"/>
    <w:qFormat/>
    <w:rsid w:val="003713A1"/>
    <w:pPr>
      <w:ind w:left="720" w:firstLine="0"/>
      <w:contextualSpacing/>
    </w:pPr>
    <w:rPr>
      <w:sz w:val="24"/>
      <w:szCs w:val="24"/>
      <w:lang w:eastAsia="fr-FR"/>
    </w:rPr>
  </w:style>
  <w:style w:type="character" w:customStyle="1" w:styleId="JuParaChar1">
    <w:name w:val="Ju_Para Char1"/>
    <w:basedOn w:val="Policepardfaut"/>
    <w:link w:val="JuPara"/>
    <w:uiPriority w:val="99"/>
    <w:locked/>
    <w:rsid w:val="003713A1"/>
    <w:rPr>
      <w:rFonts w:ascii="Times New Roman" w:eastAsia="Times New Roman" w:hAnsi="Times New Roman"/>
      <w:sz w:val="24"/>
      <w:lang w:val="fr-FR"/>
    </w:rPr>
  </w:style>
  <w:style w:type="paragraph" w:customStyle="1" w:styleId="JuPara">
    <w:name w:val="Ju_Para"/>
    <w:basedOn w:val="Normal"/>
    <w:link w:val="JuParaChar1"/>
    <w:uiPriority w:val="99"/>
    <w:rsid w:val="003713A1"/>
    <w:pPr>
      <w:suppressAutoHyphens/>
      <w:ind w:firstLine="284"/>
      <w:jc w:val="both"/>
    </w:pPr>
    <w:rPr>
      <w:sz w:val="24"/>
      <w:lang w:val="fr-FR" w:eastAsia="fr-FR"/>
    </w:rPr>
  </w:style>
  <w:style w:type="paragraph" w:customStyle="1" w:styleId="Default">
    <w:name w:val="Default"/>
    <w:rsid w:val="003713A1"/>
    <w:pPr>
      <w:autoSpaceDE w:val="0"/>
      <w:autoSpaceDN w:val="0"/>
      <w:adjustRightInd w:val="0"/>
    </w:pPr>
    <w:rPr>
      <w:rFonts w:ascii="Times New Roman" w:eastAsia="Calibri" w:hAnsi="Times New Roman"/>
      <w:color w:val="000000"/>
      <w:sz w:val="24"/>
      <w:szCs w:val="24"/>
      <w:lang w:eastAsia="fr-CA"/>
    </w:rPr>
  </w:style>
  <w:style w:type="paragraph" w:customStyle="1" w:styleId="indent-1-0">
    <w:name w:val="indent-1-0"/>
    <w:basedOn w:val="Normal"/>
    <w:uiPriority w:val="99"/>
    <w:rsid w:val="003713A1"/>
    <w:pPr>
      <w:spacing w:before="100" w:beforeAutospacing="1" w:after="100" w:afterAutospacing="1"/>
      <w:ind w:firstLine="240"/>
    </w:pPr>
    <w:rPr>
      <w:rFonts w:ascii="Verdana" w:hAnsi="Verdana"/>
      <w:sz w:val="24"/>
      <w:szCs w:val="24"/>
      <w:lang w:eastAsia="fr-CA"/>
    </w:rPr>
  </w:style>
  <w:style w:type="character" w:customStyle="1" w:styleId="FootnoteTextChar">
    <w:name w:val="Footnote Text Char"/>
    <w:basedOn w:val="Policepardfaut"/>
    <w:locked/>
    <w:rsid w:val="003713A1"/>
    <w:rPr>
      <w:rFonts w:ascii="Times New Roman" w:hAnsi="Times New Roman" w:cs="Times New Roman" w:hint="default"/>
      <w:lang w:val="en-AU" w:eastAsia="en-US" w:bidi="ar-SA"/>
    </w:rPr>
  </w:style>
  <w:style w:type="paragraph" w:customStyle="1" w:styleId="rtejustify">
    <w:name w:val="rtejustify"/>
    <w:basedOn w:val="Normal"/>
    <w:rsid w:val="003713A1"/>
    <w:pPr>
      <w:spacing w:before="100" w:beforeAutospacing="1" w:after="100" w:afterAutospacing="1"/>
      <w:ind w:firstLine="0"/>
      <w:jc w:val="both"/>
    </w:pPr>
    <w:rPr>
      <w:sz w:val="24"/>
      <w:szCs w:val="24"/>
      <w:lang w:eastAsia="fr-CA"/>
    </w:rPr>
  </w:style>
  <w:style w:type="paragraph" w:customStyle="1" w:styleId="spip">
    <w:name w:val="spip"/>
    <w:basedOn w:val="Normal"/>
    <w:uiPriority w:val="99"/>
    <w:rsid w:val="003713A1"/>
    <w:pPr>
      <w:spacing w:before="100" w:beforeAutospacing="1" w:after="100" w:afterAutospacing="1"/>
      <w:ind w:firstLine="0"/>
    </w:pPr>
    <w:rPr>
      <w:sz w:val="24"/>
      <w:szCs w:val="24"/>
      <w:lang w:val="fr-FR" w:eastAsia="fr-FR"/>
    </w:rPr>
  </w:style>
  <w:style w:type="character" w:customStyle="1" w:styleId="NotedebasdepageCar">
    <w:name w:val="Note de bas de page Car"/>
    <w:basedOn w:val="Policepardfaut"/>
    <w:link w:val="Notedebasdepage"/>
    <w:rsid w:val="00BE24CF"/>
    <w:rPr>
      <w:rFonts w:ascii="Times New Roman" w:eastAsia="Times New Roman" w:hAnsi="Times New Roman"/>
      <w:color w:val="000000"/>
      <w:sz w:val="24"/>
      <w:lang w:eastAsia="en-US"/>
    </w:rPr>
  </w:style>
  <w:style w:type="paragraph" w:styleId="Textedebulles">
    <w:name w:val="Balloon Text"/>
    <w:basedOn w:val="Normal"/>
    <w:link w:val="TextedebullesCar"/>
    <w:uiPriority w:val="99"/>
    <w:semiHidden/>
    <w:unhideWhenUsed/>
    <w:rsid w:val="003713A1"/>
    <w:pPr>
      <w:ind w:firstLine="0"/>
    </w:pPr>
    <w:rPr>
      <w:rFonts w:ascii="Tahoma" w:eastAsia="Cambria" w:hAnsi="Tahoma" w:cs="Tahoma"/>
      <w:sz w:val="16"/>
      <w:szCs w:val="16"/>
    </w:rPr>
  </w:style>
  <w:style w:type="character" w:customStyle="1" w:styleId="TextedebullesCar">
    <w:name w:val="Texte de bulles Car"/>
    <w:basedOn w:val="Policepardfaut"/>
    <w:link w:val="Textedebulles"/>
    <w:uiPriority w:val="99"/>
    <w:semiHidden/>
    <w:rsid w:val="003713A1"/>
    <w:rPr>
      <w:rFonts w:ascii="Tahoma" w:eastAsia="Cambria" w:hAnsi="Tahoma" w:cs="Tahoma"/>
      <w:sz w:val="16"/>
      <w:szCs w:val="16"/>
      <w:lang w:eastAsia="en-US"/>
    </w:rPr>
  </w:style>
  <w:style w:type="character" w:customStyle="1" w:styleId="Titre2Car">
    <w:name w:val="Titre 2 Car"/>
    <w:basedOn w:val="Policepardfaut"/>
    <w:link w:val="Titre2"/>
    <w:rsid w:val="003713A1"/>
    <w:rPr>
      <w:rFonts w:eastAsia="Times New Roman"/>
      <w:noProof/>
      <w:lang w:val="fr-CA" w:eastAsia="en-US" w:bidi="ar-SA"/>
    </w:rPr>
  </w:style>
  <w:style w:type="character" w:customStyle="1" w:styleId="Titre3Car">
    <w:name w:val="Titre 3 Car"/>
    <w:basedOn w:val="Policepardfaut"/>
    <w:link w:val="Titre3"/>
    <w:rsid w:val="003713A1"/>
    <w:rPr>
      <w:rFonts w:eastAsia="Times New Roman"/>
      <w:noProof/>
      <w:lang w:val="fr-CA" w:eastAsia="en-US" w:bidi="ar-SA"/>
    </w:rPr>
  </w:style>
  <w:style w:type="paragraph" w:customStyle="1" w:styleId="Titlest1">
    <w:name w:val="Title_st 1"/>
    <w:basedOn w:val="Titlest"/>
    <w:rsid w:val="00FB1B47"/>
  </w:style>
  <w:style w:type="character" w:customStyle="1" w:styleId="apple-converted-space">
    <w:name w:val="apple-converted-space"/>
    <w:basedOn w:val="Policepardfaut"/>
    <w:rsid w:val="003713A1"/>
  </w:style>
  <w:style w:type="character" w:customStyle="1" w:styleId="Caractredenotedebasdepage">
    <w:name w:val="Caractère de note de bas de page"/>
    <w:rsid w:val="003713A1"/>
    <w:rPr>
      <w:vertAlign w:val="superscript"/>
    </w:rPr>
  </w:style>
  <w:style w:type="character" w:customStyle="1" w:styleId="spipsurligne">
    <w:name w:val="spip_surligne"/>
    <w:basedOn w:val="Policepardfaut"/>
    <w:rsid w:val="003713A1"/>
  </w:style>
  <w:style w:type="character" w:customStyle="1" w:styleId="hl2">
    <w:name w:val="hl2"/>
    <w:basedOn w:val="Policepardfaut"/>
    <w:rsid w:val="003713A1"/>
  </w:style>
  <w:style w:type="character" w:customStyle="1" w:styleId="regular11px">
    <w:name w:val="regular11px"/>
    <w:basedOn w:val="Policepardfaut"/>
    <w:rsid w:val="003713A1"/>
  </w:style>
  <w:style w:type="paragraph" w:customStyle="1" w:styleId="Normal66">
    <w:name w:val="Normal66"/>
    <w:basedOn w:val="Normal"/>
    <w:link w:val="Normal66Car"/>
    <w:rsid w:val="003713A1"/>
    <w:pPr>
      <w:spacing w:before="100" w:beforeAutospacing="1" w:after="100" w:afterAutospacing="1"/>
      <w:ind w:firstLine="0"/>
      <w:jc w:val="both"/>
    </w:pPr>
    <w:rPr>
      <w:sz w:val="24"/>
      <w:lang w:val="x-none"/>
    </w:rPr>
  </w:style>
  <w:style w:type="character" w:customStyle="1" w:styleId="Normal66Car">
    <w:name w:val="Normal66 Car"/>
    <w:link w:val="Normal66"/>
    <w:rsid w:val="003713A1"/>
    <w:rPr>
      <w:rFonts w:ascii="Times New Roman" w:eastAsia="Times New Roman" w:hAnsi="Times New Roman"/>
      <w:sz w:val="24"/>
      <w:lang w:eastAsia="en-US"/>
    </w:rPr>
  </w:style>
  <w:style w:type="paragraph" w:customStyle="1" w:styleId="Sansinterligne2">
    <w:name w:val="Sans interligne2"/>
    <w:uiPriority w:val="1"/>
    <w:qFormat/>
    <w:rsid w:val="003713A1"/>
    <w:rPr>
      <w:rFonts w:ascii="Calibri" w:eastAsia="Calibri" w:hAnsi="Calibri"/>
      <w:sz w:val="22"/>
      <w:szCs w:val="22"/>
      <w:lang w:val="fr-FR" w:eastAsia="en-US"/>
    </w:rPr>
  </w:style>
  <w:style w:type="character" w:customStyle="1" w:styleId="addmd">
    <w:name w:val="addmd"/>
    <w:basedOn w:val="Policepardfaut"/>
    <w:rsid w:val="003713A1"/>
  </w:style>
  <w:style w:type="paragraph" w:styleId="Commentaire">
    <w:name w:val="annotation text"/>
    <w:basedOn w:val="Normal"/>
    <w:link w:val="CommentaireCar"/>
    <w:uiPriority w:val="99"/>
    <w:unhideWhenUsed/>
    <w:rsid w:val="003713A1"/>
    <w:pPr>
      <w:spacing w:after="200" w:line="276" w:lineRule="auto"/>
      <w:ind w:firstLine="0"/>
    </w:pPr>
    <w:rPr>
      <w:rFonts w:ascii="Calibri" w:eastAsia="Calibri" w:hAnsi="Calibri"/>
      <w:sz w:val="20"/>
      <w:lang w:val="fr-FR"/>
    </w:rPr>
  </w:style>
  <w:style w:type="character" w:customStyle="1" w:styleId="CommentaireCar">
    <w:name w:val="Commentaire Car"/>
    <w:basedOn w:val="Policepardfaut"/>
    <w:link w:val="Commentaire"/>
    <w:uiPriority w:val="99"/>
    <w:rsid w:val="003713A1"/>
    <w:rPr>
      <w:rFonts w:ascii="Calibri" w:eastAsia="Calibri" w:hAnsi="Calibri"/>
      <w:lang w:val="fr-FR" w:eastAsia="en-US"/>
    </w:rPr>
  </w:style>
  <w:style w:type="character" w:customStyle="1" w:styleId="highlightedsearchterm">
    <w:name w:val="highlightedsearchterm"/>
    <w:basedOn w:val="Policepardfaut"/>
    <w:rsid w:val="003713A1"/>
  </w:style>
  <w:style w:type="character" w:customStyle="1" w:styleId="author">
    <w:name w:val="author"/>
    <w:basedOn w:val="Policepardfaut"/>
    <w:rsid w:val="003713A1"/>
  </w:style>
  <w:style w:type="character" w:customStyle="1" w:styleId="bylinepipe">
    <w:name w:val="bylinepipe"/>
    <w:basedOn w:val="Policepardfaut"/>
    <w:rsid w:val="003713A1"/>
  </w:style>
  <w:style w:type="paragraph" w:styleId="Listepuces">
    <w:name w:val="List Bullet"/>
    <w:basedOn w:val="Normal"/>
    <w:uiPriority w:val="99"/>
    <w:unhideWhenUsed/>
    <w:rsid w:val="003713A1"/>
    <w:pPr>
      <w:numPr>
        <w:numId w:val="5"/>
      </w:numPr>
      <w:spacing w:after="200" w:line="276" w:lineRule="auto"/>
      <w:contextualSpacing/>
    </w:pPr>
    <w:rPr>
      <w:rFonts w:eastAsia="Cambria"/>
      <w:sz w:val="22"/>
      <w:szCs w:val="22"/>
      <w:lang w:val="fr-FR"/>
    </w:rPr>
  </w:style>
  <w:style w:type="character" w:customStyle="1" w:styleId="reference-text">
    <w:name w:val="reference-text"/>
    <w:basedOn w:val="Policepardfaut"/>
    <w:rsid w:val="003713A1"/>
  </w:style>
  <w:style w:type="paragraph" w:customStyle="1" w:styleId="Texte">
    <w:name w:val="Texte"/>
    <w:basedOn w:val="Normal"/>
    <w:link w:val="TexteCar"/>
    <w:qFormat/>
    <w:rsid w:val="003713A1"/>
    <w:pPr>
      <w:spacing w:before="100" w:beforeAutospacing="1" w:after="100" w:afterAutospacing="1"/>
      <w:ind w:left="567" w:firstLine="0"/>
      <w:jc w:val="both"/>
    </w:pPr>
    <w:rPr>
      <w:sz w:val="24"/>
      <w:szCs w:val="24"/>
      <w:lang w:val="fr-FR"/>
    </w:rPr>
  </w:style>
  <w:style w:type="character" w:customStyle="1" w:styleId="TexteCar">
    <w:name w:val="Texte Car"/>
    <w:link w:val="Texte"/>
    <w:rsid w:val="003713A1"/>
    <w:rPr>
      <w:rFonts w:ascii="Times New Roman" w:eastAsia="Times New Roman" w:hAnsi="Times New Roman"/>
      <w:sz w:val="24"/>
      <w:szCs w:val="24"/>
      <w:lang w:val="fr-FR" w:eastAsia="en-US"/>
    </w:rPr>
  </w:style>
  <w:style w:type="paragraph" w:styleId="Textebrut">
    <w:name w:val="Plain Text"/>
    <w:basedOn w:val="Normal"/>
    <w:link w:val="TextebrutCar"/>
    <w:uiPriority w:val="99"/>
    <w:unhideWhenUsed/>
    <w:rsid w:val="003713A1"/>
    <w:pPr>
      <w:ind w:firstLine="0"/>
    </w:pPr>
    <w:rPr>
      <w:rFonts w:ascii="Consolas" w:eastAsia="Cambria" w:hAnsi="Consolas"/>
      <w:sz w:val="21"/>
      <w:szCs w:val="21"/>
    </w:rPr>
  </w:style>
  <w:style w:type="character" w:customStyle="1" w:styleId="TextebrutCar">
    <w:name w:val="Texte brut Car"/>
    <w:basedOn w:val="Policepardfaut"/>
    <w:link w:val="Textebrut"/>
    <w:uiPriority w:val="99"/>
    <w:rsid w:val="003713A1"/>
    <w:rPr>
      <w:rFonts w:ascii="Consolas" w:eastAsia="Cambria" w:hAnsi="Consolas" w:cs="Times New Roman"/>
      <w:sz w:val="21"/>
      <w:szCs w:val="21"/>
      <w:lang w:eastAsia="en-US"/>
    </w:rPr>
  </w:style>
  <w:style w:type="table" w:styleId="Grilledutableau">
    <w:name w:val="Table Grid"/>
    <w:basedOn w:val="TableauNormal"/>
    <w:uiPriority w:val="99"/>
    <w:rsid w:val="00C37F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itest">
    <w:name w:val="suite st"/>
    <w:basedOn w:val="suite"/>
    <w:autoRedefine/>
    <w:rsid w:val="00D64698"/>
    <w:rPr>
      <w:b/>
      <w:color w:val="0000FF"/>
      <w:sz w:val="24"/>
    </w:rPr>
  </w:style>
  <w:style w:type="paragraph" w:customStyle="1" w:styleId="c">
    <w:name w:val="c"/>
    <w:basedOn w:val="Normal0"/>
    <w:rsid w:val="00D64698"/>
    <w:pPr>
      <w:ind w:firstLine="0"/>
      <w:jc w:val="center"/>
    </w:pPr>
  </w:style>
  <w:style w:type="paragraph" w:customStyle="1" w:styleId="figlgende">
    <w:name w:val="fig légende"/>
    <w:basedOn w:val="Normal0"/>
    <w:rsid w:val="00D64698"/>
    <w:rPr>
      <w:color w:val="000090"/>
      <w:sz w:val="24"/>
      <w:szCs w:val="16"/>
    </w:rPr>
  </w:style>
  <w:style w:type="paragraph" w:customStyle="1" w:styleId="Titlest3">
    <w:name w:val="Title_st 3"/>
    <w:basedOn w:val="Titlest20"/>
    <w:rsid w:val="00FB1B47"/>
    <w:rPr>
      <w:i/>
      <w:sz w:val="48"/>
    </w:rPr>
  </w:style>
  <w:style w:type="character" w:customStyle="1" w:styleId="Titre4Car">
    <w:name w:val="Titre 4 Car"/>
    <w:basedOn w:val="Policepardfaut"/>
    <w:link w:val="Titre4"/>
    <w:rsid w:val="00092A24"/>
    <w:rPr>
      <w:rFonts w:eastAsia="Times New Roman"/>
      <w:noProof/>
      <w:lang w:val="fr-CA" w:eastAsia="en-US" w:bidi="ar-SA"/>
    </w:rPr>
  </w:style>
  <w:style w:type="character" w:customStyle="1" w:styleId="Titre6Car">
    <w:name w:val="Titre 6 Car"/>
    <w:basedOn w:val="Policepardfaut"/>
    <w:link w:val="Titre6"/>
    <w:rsid w:val="00092A24"/>
    <w:rPr>
      <w:rFonts w:eastAsia="Times New Roman"/>
      <w:noProof/>
      <w:lang w:val="fr-CA" w:eastAsia="en-US" w:bidi="ar-SA"/>
    </w:rPr>
  </w:style>
  <w:style w:type="character" w:customStyle="1" w:styleId="Titre7Car">
    <w:name w:val="Titre 7 Car"/>
    <w:basedOn w:val="Policepardfaut"/>
    <w:link w:val="Titre7"/>
    <w:rsid w:val="00092A24"/>
    <w:rPr>
      <w:rFonts w:eastAsia="Times New Roman"/>
      <w:noProof/>
      <w:lang w:val="fr-CA" w:eastAsia="en-US" w:bidi="ar-SA"/>
    </w:rPr>
  </w:style>
  <w:style w:type="character" w:customStyle="1" w:styleId="Titre8Car">
    <w:name w:val="Titre 8 Car"/>
    <w:basedOn w:val="Policepardfaut"/>
    <w:link w:val="Titre8"/>
    <w:rsid w:val="00092A24"/>
    <w:rPr>
      <w:rFonts w:eastAsia="Times New Roman"/>
      <w:noProof/>
      <w:lang w:val="fr-CA" w:eastAsia="en-US" w:bidi="ar-SA"/>
    </w:rPr>
  </w:style>
  <w:style w:type="character" w:customStyle="1" w:styleId="Titre9Car">
    <w:name w:val="Titre 9 Car"/>
    <w:basedOn w:val="Policepardfaut"/>
    <w:link w:val="Titre9"/>
    <w:rsid w:val="00092A24"/>
    <w:rPr>
      <w:rFonts w:eastAsia="Times New Roman"/>
      <w:noProof/>
      <w:lang w:val="fr-CA" w:eastAsia="en-US" w:bidi="ar-SA"/>
    </w:rPr>
  </w:style>
  <w:style w:type="character" w:customStyle="1" w:styleId="Grillecouleur-Accent1Car">
    <w:name w:val="Grille couleur - Accent 1 Car"/>
    <w:basedOn w:val="Policepardfaut"/>
    <w:link w:val="Grillecouleur-Accent1"/>
    <w:rsid w:val="006B4F09"/>
    <w:rPr>
      <w:rFonts w:ascii="Times New Roman" w:eastAsia="Times New Roman" w:hAnsi="Times New Roman"/>
      <w:color w:val="000080"/>
      <w:sz w:val="24"/>
      <w:lang w:val="fr-CA" w:eastAsia="en-US"/>
    </w:rPr>
  </w:style>
  <w:style w:type="character" w:customStyle="1" w:styleId="Corpsdetexte2Car">
    <w:name w:val="Corps de texte 2 Car"/>
    <w:basedOn w:val="Policepardfaut"/>
    <w:link w:val="Corpsdetexte2"/>
    <w:rsid w:val="00092A24"/>
    <w:rPr>
      <w:rFonts w:ascii="Arial" w:eastAsia="Times New Roman" w:hAnsi="Arial"/>
      <w:sz w:val="28"/>
      <w:lang w:eastAsia="en-US"/>
    </w:rPr>
  </w:style>
  <w:style w:type="character" w:customStyle="1" w:styleId="Corpsdetexte3Car">
    <w:name w:val="Corps de texte 3 Car"/>
    <w:basedOn w:val="Policepardfaut"/>
    <w:link w:val="Corpsdetexte3"/>
    <w:rsid w:val="00092A24"/>
    <w:rPr>
      <w:rFonts w:ascii="Arial" w:eastAsia="Times New Roman" w:hAnsi="Arial"/>
      <w:lang w:eastAsia="en-US"/>
    </w:rPr>
  </w:style>
  <w:style w:type="character" w:customStyle="1" w:styleId="RetraitcorpsdetexteCar">
    <w:name w:val="Retrait corps de texte Car"/>
    <w:basedOn w:val="Policepardfaut"/>
    <w:link w:val="Retraitcorpsdetexte"/>
    <w:rsid w:val="00092A24"/>
    <w:rPr>
      <w:rFonts w:ascii="Arial" w:eastAsia="Times New Roman" w:hAnsi="Arial"/>
      <w:sz w:val="28"/>
      <w:lang w:eastAsia="en-US"/>
    </w:rPr>
  </w:style>
  <w:style w:type="character" w:customStyle="1" w:styleId="Retraitcorpsdetexte2Car">
    <w:name w:val="Retrait corps de texte 2 Car"/>
    <w:basedOn w:val="Policepardfaut"/>
    <w:link w:val="Retraitcorpsdetexte2"/>
    <w:rsid w:val="00092A24"/>
    <w:rPr>
      <w:rFonts w:ascii="Arial" w:eastAsia="Times New Roman" w:hAnsi="Arial"/>
      <w:sz w:val="28"/>
      <w:lang w:eastAsia="en-US"/>
    </w:rPr>
  </w:style>
  <w:style w:type="character" w:customStyle="1" w:styleId="Retraitcorpsdetexte3Car">
    <w:name w:val="Retrait corps de texte 3 Car"/>
    <w:basedOn w:val="Policepardfaut"/>
    <w:link w:val="Retraitcorpsdetexte3"/>
    <w:rsid w:val="00092A24"/>
    <w:rPr>
      <w:rFonts w:ascii="Arial" w:eastAsia="Times New Roman" w:hAnsi="Arial"/>
      <w:sz w:val="28"/>
      <w:lang w:eastAsia="en-US"/>
    </w:rPr>
  </w:style>
  <w:style w:type="character" w:customStyle="1" w:styleId="TitreCar">
    <w:name w:val="Titre Car"/>
    <w:basedOn w:val="Policepardfaut"/>
    <w:link w:val="Titre"/>
    <w:rsid w:val="00092A24"/>
    <w:rPr>
      <w:rFonts w:ascii="Times New Roman" w:eastAsia="Times New Roman" w:hAnsi="Times New Roman"/>
      <w:b/>
      <w:sz w:val="48"/>
      <w:lang w:eastAsia="en-US"/>
    </w:rPr>
  </w:style>
  <w:style w:type="paragraph" w:customStyle="1" w:styleId="fig">
    <w:name w:val="fig"/>
    <w:basedOn w:val="Normal"/>
    <w:autoRedefine/>
    <w:rsid w:val="00B61468"/>
    <w:pPr>
      <w:spacing w:before="120" w:after="120"/>
      <w:ind w:firstLine="0"/>
      <w:jc w:val="center"/>
    </w:pPr>
    <w:rPr>
      <w:szCs w:val="24"/>
    </w:rPr>
  </w:style>
  <w:style w:type="character" w:customStyle="1" w:styleId="En-tte212ptNonGrasEspacement0pt">
    <w:name w:val="En-tête #2 + 12 pt;Non Gras;Espacement 0 pt"/>
    <w:basedOn w:val="Policepardfaut"/>
    <w:rsid w:val="00503E85"/>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199ptNonItalique">
    <w:name w:val="Corps du texte (19) + 9 pt;Non Italique"/>
    <w:rsid w:val="003C0CB2"/>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Notedebasdepage0">
    <w:name w:val="Note de bas de page_"/>
    <w:link w:val="Notedebasdepage2"/>
    <w:rsid w:val="0078227C"/>
    <w:rPr>
      <w:rFonts w:ascii="Times New Roman" w:eastAsia="Times New Roman" w:hAnsi="Times New Roman"/>
      <w:sz w:val="18"/>
      <w:szCs w:val="18"/>
      <w:shd w:val="clear" w:color="auto" w:fill="FFFFFF"/>
    </w:rPr>
  </w:style>
  <w:style w:type="character" w:customStyle="1" w:styleId="NotedebasdepageItalique">
    <w:name w:val="Note de bas de page + Italique"/>
    <w:rsid w:val="0078227C"/>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Notedebasdepage1">
    <w:name w:val="Note de bas de page1"/>
    <w:rsid w:val="0078227C"/>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fr-FR" w:eastAsia="fr-FR" w:bidi="fr-FR"/>
    </w:rPr>
  </w:style>
  <w:style w:type="character" w:customStyle="1" w:styleId="NotedebasdepagePetitesmajuscules">
    <w:name w:val="Note de bas de page + Petites majuscules"/>
    <w:rsid w:val="0078227C"/>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paragraph" w:customStyle="1" w:styleId="aa">
    <w:name w:val="aa"/>
    <w:basedOn w:val="Normal"/>
    <w:autoRedefine/>
    <w:rsid w:val="006A2C2E"/>
    <w:pPr>
      <w:spacing w:before="120" w:after="120"/>
      <w:ind w:firstLine="0"/>
    </w:pPr>
    <w:rPr>
      <w:b/>
      <w:i/>
      <w:caps/>
      <w:color w:val="FF0000"/>
      <w:sz w:val="32"/>
      <w:lang w:eastAsia="fr-FR" w:bidi="fr-FR"/>
    </w:rPr>
  </w:style>
  <w:style w:type="paragraph" w:customStyle="1" w:styleId="b">
    <w:name w:val="b"/>
    <w:basedOn w:val="Normal"/>
    <w:autoRedefine/>
    <w:rsid w:val="00F04E27"/>
    <w:pPr>
      <w:spacing w:before="120" w:after="120"/>
      <w:ind w:left="720" w:firstLine="0"/>
    </w:pPr>
    <w:rPr>
      <w:i/>
      <w:color w:val="0000FF"/>
    </w:rPr>
  </w:style>
  <w:style w:type="paragraph" w:customStyle="1" w:styleId="bb">
    <w:name w:val="bb"/>
    <w:basedOn w:val="Normal"/>
    <w:rsid w:val="0078227C"/>
    <w:pPr>
      <w:spacing w:before="120" w:after="120"/>
      <w:ind w:left="540"/>
    </w:pPr>
    <w:rPr>
      <w:i/>
      <w:color w:val="0000FF"/>
    </w:rPr>
  </w:style>
  <w:style w:type="character" w:customStyle="1" w:styleId="Lgendedelimage2">
    <w:name w:val="Légende de l'image (2)_"/>
    <w:link w:val="Lgendedelimage20"/>
    <w:rsid w:val="0078227C"/>
    <w:rPr>
      <w:rFonts w:ascii="Times New Roman" w:eastAsia="Times New Roman" w:hAnsi="Times New Roman"/>
      <w:b/>
      <w:bCs/>
      <w:sz w:val="32"/>
      <w:szCs w:val="32"/>
      <w:shd w:val="clear" w:color="auto" w:fill="FFFFFF"/>
    </w:rPr>
  </w:style>
  <w:style w:type="character" w:customStyle="1" w:styleId="Lgendedelimage">
    <w:name w:val="Légende de l'image_"/>
    <w:link w:val="Lgendedelimage0"/>
    <w:rsid w:val="0078227C"/>
    <w:rPr>
      <w:rFonts w:ascii="Arial" w:eastAsia="Arial" w:hAnsi="Arial" w:cs="Arial"/>
      <w:sz w:val="21"/>
      <w:szCs w:val="21"/>
      <w:shd w:val="clear" w:color="auto" w:fill="FFFFFF"/>
    </w:rPr>
  </w:style>
  <w:style w:type="character" w:customStyle="1" w:styleId="En-tte4">
    <w:name w:val="En-tête #4_"/>
    <w:link w:val="En-tte40"/>
    <w:rsid w:val="0078227C"/>
    <w:rPr>
      <w:rFonts w:ascii="Times New Roman" w:eastAsia="Times New Roman" w:hAnsi="Times New Roman"/>
      <w:w w:val="80"/>
      <w:sz w:val="30"/>
      <w:szCs w:val="30"/>
      <w:shd w:val="clear" w:color="auto" w:fill="FFFFFF"/>
    </w:rPr>
  </w:style>
  <w:style w:type="character" w:customStyle="1" w:styleId="En-tte416ptGraschelle100">
    <w:name w:val="En-tête #4 + 16 pt;Gras;Échelle 100%"/>
    <w:rsid w:val="0078227C"/>
    <w:rPr>
      <w:rFonts w:ascii="Times New Roman" w:eastAsia="Times New Roman" w:hAnsi="Times New Roman" w:cs="Times New Roman"/>
      <w:b/>
      <w:bCs/>
      <w:i w:val="0"/>
      <w:iCs w:val="0"/>
      <w:smallCaps w:val="0"/>
      <w:strike w:val="0"/>
      <w:color w:val="FFFFFF"/>
      <w:spacing w:val="0"/>
      <w:w w:val="100"/>
      <w:position w:val="0"/>
      <w:sz w:val="32"/>
      <w:szCs w:val="32"/>
      <w:u w:val="none"/>
      <w:lang w:val="fr-FR" w:eastAsia="fr-FR" w:bidi="fr-FR"/>
    </w:rPr>
  </w:style>
  <w:style w:type="paragraph" w:customStyle="1" w:styleId="Citation0">
    <w:name w:val="Citation 0"/>
    <w:basedOn w:val="Grillecouleur-Accent1"/>
    <w:autoRedefine/>
    <w:rsid w:val="00495A5A"/>
    <w:pPr>
      <w:spacing w:before="120" w:after="120"/>
      <w:ind w:firstLine="0"/>
    </w:pPr>
    <w:rPr>
      <w:lang w:eastAsia="fr-FR" w:bidi="fr-FR"/>
    </w:rPr>
  </w:style>
  <w:style w:type="character" w:customStyle="1" w:styleId="contact-emailto">
    <w:name w:val="contact-emailto"/>
    <w:basedOn w:val="Policepardfaut"/>
    <w:rsid w:val="0078227C"/>
  </w:style>
  <w:style w:type="paragraph" w:customStyle="1" w:styleId="dd">
    <w:name w:val="dd"/>
    <w:basedOn w:val="Normal"/>
    <w:autoRedefine/>
    <w:rsid w:val="0078227C"/>
    <w:pPr>
      <w:spacing w:before="120" w:after="120"/>
      <w:ind w:left="1080"/>
    </w:pPr>
    <w:rPr>
      <w:i/>
      <w:color w:val="008000"/>
    </w:rPr>
  </w:style>
  <w:style w:type="character" w:customStyle="1" w:styleId="TM3Car">
    <w:name w:val="TM 3 Car"/>
    <w:link w:val="TM3"/>
    <w:rsid w:val="0078227C"/>
    <w:rPr>
      <w:rFonts w:ascii="Times New Roman" w:eastAsia="Times New Roman" w:hAnsi="Times New Roman"/>
      <w:shd w:val="clear" w:color="auto" w:fill="FFFFFF"/>
    </w:rPr>
  </w:style>
  <w:style w:type="character" w:customStyle="1" w:styleId="Tabledesmatires3">
    <w:name w:val="Table des matières (3)_"/>
    <w:link w:val="Tabledesmatires30"/>
    <w:rsid w:val="0078227C"/>
    <w:rPr>
      <w:rFonts w:ascii="Times New Roman" w:eastAsia="Times New Roman" w:hAnsi="Times New Roman"/>
      <w:b/>
      <w:bCs/>
      <w:shd w:val="clear" w:color="auto" w:fill="FFFFFF"/>
    </w:rPr>
  </w:style>
  <w:style w:type="character" w:customStyle="1" w:styleId="Tabledesmatires">
    <w:name w:val="Table des matières_"/>
    <w:link w:val="Tabledesmatires0"/>
    <w:rsid w:val="0078227C"/>
    <w:rPr>
      <w:rFonts w:ascii="Times New Roman" w:eastAsia="Times New Roman" w:hAnsi="Times New Roman"/>
      <w:i/>
      <w:iCs/>
      <w:shd w:val="clear" w:color="auto" w:fill="FFFFFF"/>
    </w:rPr>
  </w:style>
  <w:style w:type="character" w:customStyle="1" w:styleId="TabledesmatiresNonItalique">
    <w:name w:val="Table des matières + Non Italique"/>
    <w:rsid w:val="0078227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Tabledesmatires3NonGras">
    <w:name w:val="Table des matières (3) + Non Gras"/>
    <w:rsid w:val="0078227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En-tte3">
    <w:name w:val="En-tête #3_"/>
    <w:link w:val="En-tte30"/>
    <w:rsid w:val="0078227C"/>
    <w:rPr>
      <w:rFonts w:ascii="Times New Roman" w:eastAsia="Times New Roman" w:hAnsi="Times New Roman"/>
      <w:b/>
      <w:bCs/>
      <w:spacing w:val="-10"/>
      <w:sz w:val="38"/>
      <w:szCs w:val="38"/>
      <w:shd w:val="clear" w:color="auto" w:fill="FFFFFF"/>
    </w:rPr>
  </w:style>
  <w:style w:type="character" w:customStyle="1" w:styleId="En-tte5">
    <w:name w:val="En-tête #5_"/>
    <w:link w:val="En-tte50"/>
    <w:rsid w:val="0078227C"/>
    <w:rPr>
      <w:rFonts w:ascii="Times New Roman" w:eastAsia="Times New Roman" w:hAnsi="Times New Roman"/>
      <w:b/>
      <w:bCs/>
      <w:i/>
      <w:iCs/>
      <w:shd w:val="clear" w:color="auto" w:fill="FFFFFF"/>
    </w:rPr>
  </w:style>
  <w:style w:type="character" w:customStyle="1" w:styleId="En-tteoupieddepage">
    <w:name w:val="En-tête ou pied de page_"/>
    <w:rsid w:val="0078227C"/>
    <w:rPr>
      <w:rFonts w:ascii="Times New Roman" w:eastAsia="Times New Roman" w:hAnsi="Times New Roman" w:cs="Times New Roman"/>
      <w:b w:val="0"/>
      <w:bCs w:val="0"/>
      <w:i/>
      <w:iCs/>
      <w:smallCaps w:val="0"/>
      <w:strike w:val="0"/>
      <w:sz w:val="19"/>
      <w:szCs w:val="19"/>
      <w:u w:val="none"/>
    </w:rPr>
  </w:style>
  <w:style w:type="character" w:customStyle="1" w:styleId="En-tteoupieddepage105ptGrasNonItalique">
    <w:name w:val="En-tête ou pied de page + 10.5 pt;Gras;Non Italique"/>
    <w:rsid w:val="0078227C"/>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En-tteoupieddepage0">
    <w:name w:val="En-tête ou pied de page"/>
    <w:rsid w:val="0078227C"/>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paragraph" w:customStyle="1" w:styleId="figst">
    <w:name w:val="fig st"/>
    <w:basedOn w:val="Normal"/>
    <w:autoRedefine/>
    <w:rsid w:val="0078227C"/>
    <w:pPr>
      <w:spacing w:before="120" w:after="120"/>
      <w:ind w:firstLine="0"/>
      <w:jc w:val="center"/>
    </w:pPr>
    <w:rPr>
      <w:rFonts w:cs="Arial"/>
      <w:color w:val="000090"/>
      <w:sz w:val="24"/>
      <w:szCs w:val="16"/>
    </w:rPr>
  </w:style>
  <w:style w:type="paragraph" w:customStyle="1" w:styleId="figtexte">
    <w:name w:val="fig texte"/>
    <w:basedOn w:val="Normal0"/>
    <w:autoRedefine/>
    <w:rsid w:val="0078227C"/>
    <w:rPr>
      <w:color w:val="000090"/>
      <w:sz w:val="24"/>
      <w:lang w:eastAsia="en-US"/>
    </w:rPr>
  </w:style>
  <w:style w:type="paragraph" w:customStyle="1" w:styleId="figtextec">
    <w:name w:val="fig texte c"/>
    <w:basedOn w:val="figtexte"/>
    <w:autoRedefine/>
    <w:rsid w:val="0078227C"/>
    <w:pPr>
      <w:ind w:firstLine="0"/>
      <w:jc w:val="center"/>
    </w:pPr>
  </w:style>
  <w:style w:type="paragraph" w:customStyle="1" w:styleId="figtitre">
    <w:name w:val="fig titre"/>
    <w:basedOn w:val="Normal"/>
    <w:autoRedefine/>
    <w:rsid w:val="0078227C"/>
    <w:pPr>
      <w:spacing w:before="120" w:after="120"/>
      <w:jc w:val="center"/>
    </w:pPr>
    <w:rPr>
      <w:rFonts w:cs="Arial"/>
      <w:b/>
      <w:bCs/>
      <w:szCs w:val="12"/>
    </w:rPr>
  </w:style>
  <w:style w:type="paragraph" w:customStyle="1" w:styleId="Heading1">
    <w:name w:val="Heading #1"/>
    <w:basedOn w:val="Normal"/>
    <w:rsid w:val="0078227C"/>
    <w:pPr>
      <w:shd w:val="clear" w:color="auto" w:fill="FFFFFF"/>
      <w:spacing w:after="360" w:line="0" w:lineRule="atLeast"/>
      <w:jc w:val="center"/>
      <w:outlineLvl w:val="0"/>
    </w:pPr>
    <w:rPr>
      <w:b/>
      <w:bCs/>
      <w:szCs w:val="28"/>
    </w:rPr>
  </w:style>
  <w:style w:type="character" w:customStyle="1" w:styleId="En-tte2">
    <w:name w:val="En-tête #2_"/>
    <w:link w:val="En-tte20"/>
    <w:rsid w:val="0078227C"/>
    <w:rPr>
      <w:rFonts w:ascii="Times New Roman" w:eastAsia="Times New Roman" w:hAnsi="Times New Roman"/>
      <w:i/>
      <w:iCs/>
      <w:sz w:val="38"/>
      <w:szCs w:val="38"/>
      <w:shd w:val="clear" w:color="auto" w:fill="FFFFFF"/>
    </w:rPr>
  </w:style>
  <w:style w:type="character" w:customStyle="1" w:styleId="Lgendedelimage13Exact">
    <w:name w:val="Légende de l'image (13) Exact"/>
    <w:link w:val="Lgendedelimage13"/>
    <w:rsid w:val="0078227C"/>
    <w:rPr>
      <w:rFonts w:ascii="Times New Roman" w:eastAsia="Times New Roman" w:hAnsi="Times New Roman"/>
      <w:b/>
      <w:bCs/>
      <w:sz w:val="17"/>
      <w:szCs w:val="17"/>
      <w:shd w:val="clear" w:color="auto" w:fill="FFFFFF"/>
    </w:rPr>
  </w:style>
  <w:style w:type="character" w:customStyle="1" w:styleId="Lgendedelimage3Exact">
    <w:name w:val="Légende de l'image (3) Exact"/>
    <w:link w:val="Lgendedelimage3"/>
    <w:rsid w:val="0078227C"/>
    <w:rPr>
      <w:rFonts w:ascii="Times New Roman" w:eastAsia="Times New Roman" w:hAnsi="Times New Roman"/>
      <w:sz w:val="15"/>
      <w:szCs w:val="15"/>
      <w:shd w:val="clear" w:color="auto" w:fill="FFFFFF"/>
    </w:rPr>
  </w:style>
  <w:style w:type="character" w:customStyle="1" w:styleId="Corpsdutexte3585ptGrasNonItaliqueExact">
    <w:name w:val="Corps du texte (35) + 8.5 pt;Gras;Non Italique Exact"/>
    <w:rsid w:val="0078227C"/>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5GrasNonItaliqueExact">
    <w:name w:val="Corps du texte (35) + Gras;Non Italique Exact"/>
    <w:rsid w:val="0078227C"/>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Tabledesmatires4Exact">
    <w:name w:val="Table des matières (4) Exact"/>
    <w:link w:val="Tabledesmatires4"/>
    <w:rsid w:val="0078227C"/>
    <w:rPr>
      <w:rFonts w:ascii="Times New Roman" w:eastAsia="Times New Roman" w:hAnsi="Times New Roman"/>
      <w:sz w:val="15"/>
      <w:szCs w:val="15"/>
      <w:shd w:val="clear" w:color="auto" w:fill="FFFFFF"/>
    </w:rPr>
  </w:style>
  <w:style w:type="character" w:customStyle="1" w:styleId="Tabledesmatires4ItaliqueExact">
    <w:name w:val="Table des matières (4) + Italique Exact"/>
    <w:rsid w:val="0078227C"/>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Tabledesmatires4GrasExact">
    <w:name w:val="Table des matières (4) + Gras Exact"/>
    <w:rsid w:val="0078227C"/>
    <w:rPr>
      <w:rFonts w:ascii="Times New Roman" w:eastAsia="Times New Roman" w:hAnsi="Times New Roman" w:cs="Times New Roman"/>
      <w:b/>
      <w:bCs/>
      <w:i w:val="0"/>
      <w:iCs w:val="0"/>
      <w:smallCaps w:val="0"/>
      <w:strike w:val="0"/>
      <w:color w:val="000000"/>
      <w:spacing w:val="0"/>
      <w:w w:val="100"/>
      <w:position w:val="0"/>
      <w:sz w:val="15"/>
      <w:szCs w:val="15"/>
      <w:u w:val="none"/>
      <w:lang w:val="uz-Cyrl-UZ"/>
    </w:rPr>
  </w:style>
  <w:style w:type="character" w:customStyle="1" w:styleId="Tabledesmatires5Exact">
    <w:name w:val="Table des matières (5) Exact"/>
    <w:link w:val="Tabledesmatires5"/>
    <w:rsid w:val="0078227C"/>
    <w:rPr>
      <w:rFonts w:ascii="Times New Roman" w:eastAsia="Times New Roman" w:hAnsi="Times New Roman"/>
      <w:b/>
      <w:bCs/>
      <w:sz w:val="13"/>
      <w:szCs w:val="13"/>
      <w:shd w:val="clear" w:color="auto" w:fill="FFFFFF"/>
    </w:rPr>
  </w:style>
  <w:style w:type="character" w:customStyle="1" w:styleId="Tabledesmatires575ptNonGrasExact">
    <w:name w:val="Table des matières (5) + 7.5 pt;Non Gras Exact"/>
    <w:rsid w:val="0078227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Tabledesmatires510ptNonGrasItaliqueExact">
    <w:name w:val="Table des matières (5) + 10 pt;Non Gras;Italique Exact"/>
    <w:rsid w:val="0078227C"/>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Tabledesmatires6Exact">
    <w:name w:val="Table des matières (6) Exact"/>
    <w:link w:val="Tabledesmatires6"/>
    <w:rsid w:val="0078227C"/>
    <w:rPr>
      <w:rFonts w:ascii="Times New Roman" w:eastAsia="Times New Roman" w:hAnsi="Times New Roman"/>
      <w:i/>
      <w:iCs/>
      <w:spacing w:val="-10"/>
      <w:sz w:val="14"/>
      <w:szCs w:val="14"/>
      <w:shd w:val="clear" w:color="auto" w:fill="FFFFFF"/>
    </w:rPr>
  </w:style>
  <w:style w:type="character" w:customStyle="1" w:styleId="Corpsdutexte49Arial115ptItaliquechelle100">
    <w:name w:val="Corps du texte (49) + Arial;11.5 pt;Italique;Échelle 100%"/>
    <w:rsid w:val="0078227C"/>
    <w:rPr>
      <w:rFonts w:ascii="Arial" w:eastAsia="Arial" w:hAnsi="Arial" w:cs="Arial"/>
      <w:b w:val="0"/>
      <w:bCs w:val="0"/>
      <w:i/>
      <w:iCs/>
      <w:smallCaps w:val="0"/>
      <w:strike w:val="0"/>
      <w:color w:val="000000"/>
      <w:spacing w:val="0"/>
      <w:w w:val="100"/>
      <w:position w:val="0"/>
      <w:sz w:val="23"/>
      <w:szCs w:val="23"/>
      <w:u w:val="single"/>
      <w:lang w:val="fr-FR" w:eastAsia="fr-FR" w:bidi="fr-FR"/>
    </w:rPr>
  </w:style>
  <w:style w:type="character" w:customStyle="1" w:styleId="Tabledesmatires7">
    <w:name w:val="Table des matières (7)_"/>
    <w:rsid w:val="0078227C"/>
    <w:rPr>
      <w:rFonts w:ascii="Times New Roman" w:eastAsia="Times New Roman" w:hAnsi="Times New Roman" w:cs="Times New Roman"/>
      <w:b/>
      <w:bCs/>
      <w:i w:val="0"/>
      <w:iCs w:val="0"/>
      <w:smallCaps w:val="0"/>
      <w:strike w:val="0"/>
      <w:sz w:val="15"/>
      <w:szCs w:val="15"/>
      <w:u w:val="none"/>
    </w:rPr>
  </w:style>
  <w:style w:type="character" w:customStyle="1" w:styleId="Tabledesmatires76pt">
    <w:name w:val="Table des matières (7) + 6 pt"/>
    <w:rsid w:val="0078227C"/>
    <w:rPr>
      <w:rFonts w:ascii="Times New Roman" w:eastAsia="Times New Roman" w:hAnsi="Times New Roman" w:cs="Times New Roman"/>
      <w:b/>
      <w:bCs/>
      <w:i w:val="0"/>
      <w:iCs w:val="0"/>
      <w:smallCaps w:val="0"/>
      <w:strike w:val="0"/>
      <w:color w:val="000000"/>
      <w:spacing w:val="0"/>
      <w:w w:val="100"/>
      <w:position w:val="0"/>
      <w:sz w:val="12"/>
      <w:szCs w:val="12"/>
      <w:u w:val="none"/>
      <w:lang w:val="fr-FR" w:eastAsia="fr-FR" w:bidi="fr-FR"/>
    </w:rPr>
  </w:style>
  <w:style w:type="character" w:customStyle="1" w:styleId="Tabledesmatires7NonGras">
    <w:name w:val="Table des matières (7) + Non Gras"/>
    <w:rsid w:val="0078227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Tabledesmatires8">
    <w:name w:val="Table des matières (8)_"/>
    <w:rsid w:val="0078227C"/>
    <w:rPr>
      <w:rFonts w:ascii="Times New Roman" w:eastAsia="Times New Roman" w:hAnsi="Times New Roman" w:cs="Times New Roman"/>
      <w:b w:val="0"/>
      <w:bCs w:val="0"/>
      <w:i w:val="0"/>
      <w:iCs w:val="0"/>
      <w:smallCaps w:val="0"/>
      <w:strike w:val="0"/>
      <w:spacing w:val="0"/>
      <w:w w:val="120"/>
      <w:sz w:val="17"/>
      <w:szCs w:val="17"/>
      <w:u w:val="none"/>
    </w:rPr>
  </w:style>
  <w:style w:type="character" w:customStyle="1" w:styleId="Tabledesmatires80">
    <w:name w:val="Table des matières (8)"/>
    <w:rsid w:val="0078227C"/>
    <w:rPr>
      <w:rFonts w:ascii="Times New Roman" w:eastAsia="Times New Roman" w:hAnsi="Times New Roman" w:cs="Times New Roman"/>
      <w:b w:val="0"/>
      <w:bCs w:val="0"/>
      <w:i w:val="0"/>
      <w:iCs w:val="0"/>
      <w:smallCaps w:val="0"/>
      <w:strike w:val="0"/>
      <w:color w:val="000000"/>
      <w:spacing w:val="0"/>
      <w:w w:val="120"/>
      <w:position w:val="0"/>
      <w:sz w:val="17"/>
      <w:szCs w:val="17"/>
      <w:u w:val="single"/>
      <w:lang w:val="fr-FR" w:eastAsia="fr-FR" w:bidi="fr-FR"/>
    </w:rPr>
  </w:style>
  <w:style w:type="character" w:customStyle="1" w:styleId="Tabledesmatires70">
    <w:name w:val="Table des matières (7)"/>
    <w:rsid w:val="0078227C"/>
    <w:rPr>
      <w:rFonts w:ascii="Times New Roman" w:eastAsia="Times New Roman" w:hAnsi="Times New Roman" w:cs="Times New Roman"/>
      <w:b/>
      <w:bCs/>
      <w:i w:val="0"/>
      <w:iCs w:val="0"/>
      <w:smallCaps w:val="0"/>
      <w:strike w:val="0"/>
      <w:color w:val="000000"/>
      <w:spacing w:val="0"/>
      <w:w w:val="100"/>
      <w:position w:val="0"/>
      <w:sz w:val="15"/>
      <w:szCs w:val="15"/>
      <w:u w:val="single"/>
      <w:lang w:val="fr-FR" w:eastAsia="fr-FR" w:bidi="fr-FR"/>
    </w:rPr>
  </w:style>
  <w:style w:type="character" w:customStyle="1" w:styleId="Tabledesmatires7NonGrasItalique">
    <w:name w:val="Table des matières (7) + Non Gras;Italique"/>
    <w:rsid w:val="0078227C"/>
    <w:rPr>
      <w:rFonts w:ascii="Times New Roman" w:eastAsia="Times New Roman" w:hAnsi="Times New Roman" w:cs="Times New Roman"/>
      <w:b w:val="0"/>
      <w:bCs w:val="0"/>
      <w:i/>
      <w:iCs/>
      <w:smallCaps w:val="0"/>
      <w:strike w:val="0"/>
      <w:color w:val="000000"/>
      <w:spacing w:val="0"/>
      <w:w w:val="100"/>
      <w:position w:val="0"/>
      <w:sz w:val="15"/>
      <w:szCs w:val="15"/>
      <w:u w:val="single"/>
      <w:lang w:val="fr-FR" w:eastAsia="fr-FR" w:bidi="fr-FR"/>
    </w:rPr>
  </w:style>
  <w:style w:type="character" w:customStyle="1" w:styleId="En-tteoupieddepage6pt">
    <w:name w:val="En-tête ou pied de page + 6 pt"/>
    <w:rsid w:val="0078227C"/>
    <w:rPr>
      <w:rFonts w:ascii="Times New Roman" w:eastAsia="Times New Roman" w:hAnsi="Times New Roman" w:cs="Times New Roman"/>
      <w:b w:val="0"/>
      <w:bCs w:val="0"/>
      <w:i/>
      <w:iCs/>
      <w:smallCaps w:val="0"/>
      <w:strike w:val="0"/>
      <w:color w:val="000000"/>
      <w:spacing w:val="0"/>
      <w:w w:val="100"/>
      <w:position w:val="0"/>
      <w:sz w:val="12"/>
      <w:szCs w:val="12"/>
      <w:u w:val="none"/>
      <w:lang w:val="fr-FR" w:eastAsia="fr-FR" w:bidi="fr-FR"/>
    </w:rPr>
  </w:style>
  <w:style w:type="character" w:customStyle="1" w:styleId="Lgendedutableau5Exact">
    <w:name w:val="Légende du tableau (5) Exact"/>
    <w:link w:val="Lgendedutableau5"/>
    <w:rsid w:val="0078227C"/>
    <w:rPr>
      <w:rFonts w:ascii="Times New Roman" w:eastAsia="Times New Roman" w:hAnsi="Times New Roman"/>
      <w:i/>
      <w:iCs/>
      <w:sz w:val="15"/>
      <w:szCs w:val="15"/>
      <w:shd w:val="clear" w:color="auto" w:fill="FFFFFF"/>
    </w:rPr>
  </w:style>
  <w:style w:type="character" w:customStyle="1" w:styleId="Corpsdutexte275ptGras">
    <w:name w:val="Corps du texte (2) + 7.5 pt;Gras"/>
    <w:rsid w:val="0078227C"/>
    <w:rPr>
      <w:rFonts w:ascii="Times New Roman" w:eastAsia="Times New Roman" w:hAnsi="Times New Roman" w:cs="Times New Roman"/>
      <w:b/>
      <w:bCs/>
      <w:i w:val="0"/>
      <w:iCs w:val="0"/>
      <w:smallCaps w:val="0"/>
      <w:strike w:val="0"/>
      <w:color w:val="000000"/>
      <w:spacing w:val="0"/>
      <w:w w:val="100"/>
      <w:position w:val="0"/>
      <w:sz w:val="15"/>
      <w:szCs w:val="15"/>
      <w:u w:val="none"/>
      <w:lang w:val="fr-FR" w:eastAsia="fr-FR" w:bidi="fr-FR"/>
    </w:rPr>
  </w:style>
  <w:style w:type="character" w:customStyle="1" w:styleId="Corpsdutexte275ptItalique">
    <w:name w:val="Corps du texte (2) + 7.5 pt;Italique"/>
    <w:rsid w:val="0078227C"/>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Lgendedutableau2Exact">
    <w:name w:val="Légende du tableau (2) Exact"/>
    <w:link w:val="Lgendedutableau2"/>
    <w:rsid w:val="0078227C"/>
    <w:rPr>
      <w:rFonts w:ascii="Times New Roman" w:eastAsia="Times New Roman" w:hAnsi="Times New Roman"/>
      <w:b/>
      <w:bCs/>
      <w:sz w:val="15"/>
      <w:szCs w:val="15"/>
      <w:shd w:val="clear" w:color="auto" w:fill="FFFFFF"/>
    </w:rPr>
  </w:style>
  <w:style w:type="character" w:customStyle="1" w:styleId="Lgendedelimage4Exact">
    <w:name w:val="Légende de l'image (4) Exact"/>
    <w:link w:val="Lgendedelimage4"/>
    <w:rsid w:val="0078227C"/>
    <w:rPr>
      <w:rFonts w:ascii="Times New Roman" w:eastAsia="Times New Roman" w:hAnsi="Times New Roman"/>
      <w:b/>
      <w:bCs/>
      <w:sz w:val="15"/>
      <w:szCs w:val="15"/>
      <w:shd w:val="clear" w:color="auto" w:fill="FFFFFF"/>
    </w:rPr>
  </w:style>
  <w:style w:type="character" w:customStyle="1" w:styleId="Lgendedelimage14Exact">
    <w:name w:val="Légende de l'image (14) Exact"/>
    <w:link w:val="Lgendedelimage14"/>
    <w:rsid w:val="0078227C"/>
    <w:rPr>
      <w:rFonts w:ascii="Times New Roman" w:eastAsia="Times New Roman" w:hAnsi="Times New Roman"/>
      <w:b/>
      <w:bCs/>
      <w:sz w:val="13"/>
      <w:szCs w:val="13"/>
      <w:shd w:val="clear" w:color="auto" w:fill="FFFFFF"/>
    </w:rPr>
  </w:style>
  <w:style w:type="character" w:customStyle="1" w:styleId="En-tteoupieddepage3Exact">
    <w:name w:val="En-tête ou pied de page (3) Exact"/>
    <w:link w:val="En-tteoupieddepage3"/>
    <w:rsid w:val="0078227C"/>
    <w:rPr>
      <w:rFonts w:ascii="Times New Roman" w:eastAsia="Times New Roman" w:hAnsi="Times New Roman"/>
      <w:i/>
      <w:iCs/>
      <w:sz w:val="12"/>
      <w:szCs w:val="12"/>
      <w:shd w:val="clear" w:color="auto" w:fill="FFFFFF"/>
    </w:rPr>
  </w:style>
  <w:style w:type="character" w:customStyle="1" w:styleId="En-tteoupieddepage3NonItaliqueEspacement0ptExact">
    <w:name w:val="En-tête ou pied de page (3) + Non Italique;Espacement 0 pt Exact"/>
    <w:rsid w:val="0078227C"/>
    <w:rPr>
      <w:rFonts w:ascii="Times New Roman" w:eastAsia="Times New Roman" w:hAnsi="Times New Roman" w:cs="Times New Roman"/>
      <w:b w:val="0"/>
      <w:bCs w:val="0"/>
      <w:i w:val="0"/>
      <w:iCs w:val="0"/>
      <w:smallCaps w:val="0"/>
      <w:strike w:val="0"/>
      <w:color w:val="000000"/>
      <w:spacing w:val="-10"/>
      <w:w w:val="100"/>
      <w:position w:val="0"/>
      <w:sz w:val="12"/>
      <w:szCs w:val="12"/>
      <w:u w:val="single"/>
      <w:lang w:val="fr-FR" w:eastAsia="fr-FR" w:bidi="fr-FR"/>
    </w:rPr>
  </w:style>
  <w:style w:type="paragraph" w:customStyle="1" w:styleId="Tableofcontents">
    <w:name w:val="Table of contents"/>
    <w:basedOn w:val="Normal"/>
    <w:rsid w:val="0078227C"/>
    <w:pPr>
      <w:widowControl w:val="0"/>
      <w:shd w:val="clear" w:color="auto" w:fill="FFFFFF"/>
      <w:spacing w:before="360" w:line="360" w:lineRule="exact"/>
      <w:ind w:hanging="6"/>
      <w:jc w:val="both"/>
    </w:pPr>
    <w:rPr>
      <w:sz w:val="21"/>
      <w:szCs w:val="21"/>
      <w:lang w:val="fr-FR" w:eastAsia="fr-FR"/>
    </w:rPr>
  </w:style>
  <w:style w:type="character" w:customStyle="1" w:styleId="Corpsdutexte34AppleGothic55ptNonGrasExact">
    <w:name w:val="Corps du texte (34) + AppleGothic;5.5 pt;Non Gras Exact"/>
    <w:rsid w:val="0078227C"/>
    <w:rPr>
      <w:rFonts w:ascii="AppleGothic" w:eastAsia="AppleGothic" w:hAnsi="AppleGothic" w:cs="AppleGothic"/>
      <w:b/>
      <w:bCs/>
      <w:i w:val="0"/>
      <w:iCs w:val="0"/>
      <w:smallCaps w:val="0"/>
      <w:strike w:val="0"/>
      <w:sz w:val="11"/>
      <w:szCs w:val="11"/>
      <w:u w:val="none"/>
    </w:rPr>
  </w:style>
  <w:style w:type="paragraph" w:customStyle="1" w:styleId="Tableofcontents2">
    <w:name w:val="Table of contents (2)"/>
    <w:basedOn w:val="Normal"/>
    <w:rsid w:val="0078227C"/>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78227C"/>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78227C"/>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Lgendedelimage465ptNonGrasExact">
    <w:name w:val="Légende de l'image (4) + 6.5 pt;Non Gras Exact"/>
    <w:rsid w:val="0078227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Lgendedelimage4NonGrasExact">
    <w:name w:val="Légende de l'image (4) + Non Gras Exact"/>
    <w:rsid w:val="0078227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Lgendedelimage465ptExact">
    <w:name w:val="Légende de l'image (4) + 6.5 pt Exact"/>
    <w:rsid w:val="0078227C"/>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paragraph" w:customStyle="1" w:styleId="Notedebasdepage2">
    <w:name w:val="Note de bas de page2"/>
    <w:basedOn w:val="Normal"/>
    <w:link w:val="Notedebasdepage0"/>
    <w:rsid w:val="0078227C"/>
    <w:pPr>
      <w:widowControl w:val="0"/>
      <w:shd w:val="clear" w:color="auto" w:fill="FFFFFF"/>
      <w:spacing w:line="180" w:lineRule="exact"/>
      <w:ind w:hanging="377"/>
      <w:jc w:val="both"/>
    </w:pPr>
    <w:rPr>
      <w:sz w:val="18"/>
      <w:szCs w:val="18"/>
      <w:lang w:val="x-none" w:eastAsia="x-none"/>
    </w:rPr>
  </w:style>
  <w:style w:type="paragraph" w:customStyle="1" w:styleId="Lgendedelimage20">
    <w:name w:val="Légende de l'image (2)"/>
    <w:basedOn w:val="Normal"/>
    <w:link w:val="Lgendedelimage2"/>
    <w:rsid w:val="0078227C"/>
    <w:pPr>
      <w:widowControl w:val="0"/>
      <w:shd w:val="clear" w:color="auto" w:fill="FFFFFF"/>
      <w:spacing w:line="0" w:lineRule="atLeast"/>
      <w:ind w:firstLine="29"/>
    </w:pPr>
    <w:rPr>
      <w:b/>
      <w:bCs/>
      <w:sz w:val="32"/>
      <w:szCs w:val="32"/>
      <w:lang w:val="x-none" w:eastAsia="x-none"/>
    </w:rPr>
  </w:style>
  <w:style w:type="paragraph" w:customStyle="1" w:styleId="Lgendedelimage0">
    <w:name w:val="Légende de l'image"/>
    <w:basedOn w:val="Normal"/>
    <w:link w:val="Lgendedelimage"/>
    <w:rsid w:val="0078227C"/>
    <w:pPr>
      <w:widowControl w:val="0"/>
      <w:shd w:val="clear" w:color="auto" w:fill="FFFFFF"/>
      <w:spacing w:line="281" w:lineRule="exact"/>
      <w:jc w:val="center"/>
    </w:pPr>
    <w:rPr>
      <w:rFonts w:ascii="Arial" w:eastAsia="Arial" w:hAnsi="Arial"/>
      <w:sz w:val="21"/>
      <w:szCs w:val="21"/>
      <w:lang w:val="x-none" w:eastAsia="x-none"/>
    </w:rPr>
  </w:style>
  <w:style w:type="paragraph" w:customStyle="1" w:styleId="En-tte40">
    <w:name w:val="En-tête #4"/>
    <w:basedOn w:val="Normal"/>
    <w:link w:val="En-tte4"/>
    <w:rsid w:val="0078227C"/>
    <w:pPr>
      <w:widowControl w:val="0"/>
      <w:shd w:val="clear" w:color="auto" w:fill="FFFFFF"/>
      <w:spacing w:before="360" w:after="1560" w:line="338" w:lineRule="exact"/>
      <w:jc w:val="center"/>
      <w:outlineLvl w:val="3"/>
    </w:pPr>
    <w:rPr>
      <w:w w:val="80"/>
      <w:sz w:val="30"/>
      <w:szCs w:val="30"/>
      <w:lang w:val="x-none" w:eastAsia="x-none"/>
    </w:rPr>
  </w:style>
  <w:style w:type="paragraph" w:customStyle="1" w:styleId="Titlesti">
    <w:name w:val="Title_st i"/>
    <w:basedOn w:val="Titlest"/>
    <w:rsid w:val="0078227C"/>
    <w:rPr>
      <w:i/>
      <w:sz w:val="72"/>
    </w:rPr>
  </w:style>
  <w:style w:type="paragraph" w:styleId="TM3">
    <w:name w:val="toc 3"/>
    <w:basedOn w:val="Normal"/>
    <w:link w:val="TM3Car"/>
    <w:autoRedefine/>
    <w:rsid w:val="0078227C"/>
    <w:pPr>
      <w:widowControl w:val="0"/>
      <w:shd w:val="clear" w:color="auto" w:fill="FFFFFF"/>
      <w:spacing w:before="720" w:after="240" w:line="0" w:lineRule="atLeast"/>
      <w:ind w:firstLine="35"/>
      <w:jc w:val="both"/>
    </w:pPr>
    <w:rPr>
      <w:sz w:val="20"/>
      <w:lang w:val="x-none" w:eastAsia="x-none"/>
    </w:rPr>
  </w:style>
  <w:style w:type="paragraph" w:customStyle="1" w:styleId="Tabledesmatires30">
    <w:name w:val="Table des matières (3)"/>
    <w:basedOn w:val="Normal"/>
    <w:link w:val="Tabledesmatires3"/>
    <w:rsid w:val="0078227C"/>
    <w:pPr>
      <w:widowControl w:val="0"/>
      <w:shd w:val="clear" w:color="auto" w:fill="FFFFFF"/>
      <w:spacing w:before="240" w:line="223" w:lineRule="exact"/>
      <w:jc w:val="center"/>
    </w:pPr>
    <w:rPr>
      <w:b/>
      <w:bCs/>
      <w:sz w:val="20"/>
      <w:lang w:val="x-none" w:eastAsia="x-none"/>
    </w:rPr>
  </w:style>
  <w:style w:type="paragraph" w:customStyle="1" w:styleId="Tabledesmatires0">
    <w:name w:val="Table des matières"/>
    <w:basedOn w:val="Normal"/>
    <w:link w:val="Tabledesmatires"/>
    <w:rsid w:val="0078227C"/>
    <w:pPr>
      <w:widowControl w:val="0"/>
      <w:shd w:val="clear" w:color="auto" w:fill="FFFFFF"/>
      <w:spacing w:after="240" w:line="0" w:lineRule="atLeast"/>
      <w:ind w:firstLine="3"/>
      <w:jc w:val="both"/>
    </w:pPr>
    <w:rPr>
      <w:i/>
      <w:iCs/>
      <w:sz w:val="20"/>
      <w:lang w:val="x-none" w:eastAsia="x-none"/>
    </w:rPr>
  </w:style>
  <w:style w:type="paragraph" w:customStyle="1" w:styleId="En-tte30">
    <w:name w:val="En-tête #3"/>
    <w:basedOn w:val="Normal"/>
    <w:link w:val="En-tte3"/>
    <w:rsid w:val="0078227C"/>
    <w:pPr>
      <w:widowControl w:val="0"/>
      <w:shd w:val="clear" w:color="auto" w:fill="FFFFFF"/>
      <w:spacing w:before="600" w:after="1140" w:line="0" w:lineRule="atLeast"/>
      <w:jc w:val="center"/>
      <w:outlineLvl w:val="2"/>
    </w:pPr>
    <w:rPr>
      <w:b/>
      <w:bCs/>
      <w:spacing w:val="-10"/>
      <w:sz w:val="38"/>
      <w:szCs w:val="38"/>
      <w:lang w:val="x-none" w:eastAsia="x-none"/>
    </w:rPr>
  </w:style>
  <w:style w:type="paragraph" w:customStyle="1" w:styleId="En-tte50">
    <w:name w:val="En-tête #5"/>
    <w:basedOn w:val="Normal"/>
    <w:link w:val="En-tte5"/>
    <w:rsid w:val="0078227C"/>
    <w:pPr>
      <w:widowControl w:val="0"/>
      <w:shd w:val="clear" w:color="auto" w:fill="FFFFFF"/>
      <w:spacing w:before="1140" w:after="840" w:line="0" w:lineRule="atLeast"/>
      <w:ind w:hanging="10"/>
      <w:jc w:val="center"/>
      <w:outlineLvl w:val="4"/>
    </w:pPr>
    <w:rPr>
      <w:b/>
      <w:bCs/>
      <w:i/>
      <w:iCs/>
      <w:sz w:val="20"/>
      <w:lang w:val="x-none" w:eastAsia="x-none"/>
    </w:rPr>
  </w:style>
  <w:style w:type="paragraph" w:customStyle="1" w:styleId="En-tte20">
    <w:name w:val="En-tête #2"/>
    <w:basedOn w:val="Normal"/>
    <w:link w:val="En-tte2"/>
    <w:rsid w:val="0078227C"/>
    <w:pPr>
      <w:widowControl w:val="0"/>
      <w:shd w:val="clear" w:color="auto" w:fill="FFFFFF"/>
      <w:spacing w:after="1020" w:line="0" w:lineRule="atLeast"/>
      <w:jc w:val="right"/>
      <w:outlineLvl w:val="1"/>
    </w:pPr>
    <w:rPr>
      <w:i/>
      <w:iCs/>
      <w:sz w:val="38"/>
      <w:szCs w:val="38"/>
      <w:lang w:val="x-none" w:eastAsia="x-none"/>
    </w:rPr>
  </w:style>
  <w:style w:type="paragraph" w:customStyle="1" w:styleId="Lgendedelimage13">
    <w:name w:val="Légende de l'image (13)"/>
    <w:basedOn w:val="Normal"/>
    <w:link w:val="Lgendedelimage13Exact"/>
    <w:rsid w:val="0078227C"/>
    <w:pPr>
      <w:widowControl w:val="0"/>
      <w:shd w:val="clear" w:color="auto" w:fill="FFFFFF"/>
      <w:spacing w:line="198" w:lineRule="exact"/>
      <w:jc w:val="center"/>
    </w:pPr>
    <w:rPr>
      <w:b/>
      <w:bCs/>
      <w:sz w:val="17"/>
      <w:szCs w:val="17"/>
      <w:lang w:val="x-none" w:eastAsia="x-none"/>
    </w:rPr>
  </w:style>
  <w:style w:type="paragraph" w:customStyle="1" w:styleId="Lgendedelimage3">
    <w:name w:val="Légende de l'image (3)"/>
    <w:basedOn w:val="Normal"/>
    <w:link w:val="Lgendedelimage3Exact"/>
    <w:rsid w:val="0078227C"/>
    <w:pPr>
      <w:widowControl w:val="0"/>
      <w:shd w:val="clear" w:color="auto" w:fill="FFFFFF"/>
      <w:spacing w:line="0" w:lineRule="atLeast"/>
      <w:jc w:val="right"/>
    </w:pPr>
    <w:rPr>
      <w:sz w:val="15"/>
      <w:szCs w:val="15"/>
      <w:lang w:val="x-none" w:eastAsia="x-none"/>
    </w:rPr>
  </w:style>
  <w:style w:type="paragraph" w:customStyle="1" w:styleId="Tabledesmatires4">
    <w:name w:val="Table des matières (4)"/>
    <w:basedOn w:val="Normal"/>
    <w:link w:val="Tabledesmatires4Exact"/>
    <w:rsid w:val="0078227C"/>
    <w:pPr>
      <w:widowControl w:val="0"/>
      <w:shd w:val="clear" w:color="auto" w:fill="FFFFFF"/>
      <w:spacing w:before="120" w:line="220" w:lineRule="exact"/>
      <w:ind w:firstLine="91"/>
      <w:jc w:val="both"/>
    </w:pPr>
    <w:rPr>
      <w:sz w:val="15"/>
      <w:szCs w:val="15"/>
      <w:lang w:val="x-none" w:eastAsia="x-none"/>
    </w:rPr>
  </w:style>
  <w:style w:type="paragraph" w:customStyle="1" w:styleId="Tabledesmatires5">
    <w:name w:val="Table des matières (5)"/>
    <w:basedOn w:val="Normal"/>
    <w:link w:val="Tabledesmatires5Exact"/>
    <w:rsid w:val="0078227C"/>
    <w:pPr>
      <w:widowControl w:val="0"/>
      <w:shd w:val="clear" w:color="auto" w:fill="FFFFFF"/>
      <w:spacing w:before="120" w:line="184" w:lineRule="exact"/>
      <w:ind w:hanging="5"/>
      <w:jc w:val="both"/>
    </w:pPr>
    <w:rPr>
      <w:b/>
      <w:bCs/>
      <w:sz w:val="13"/>
      <w:szCs w:val="13"/>
      <w:lang w:val="x-none" w:eastAsia="x-none"/>
    </w:rPr>
  </w:style>
  <w:style w:type="paragraph" w:customStyle="1" w:styleId="Tabledesmatires6">
    <w:name w:val="Table des matières (6)"/>
    <w:basedOn w:val="Normal"/>
    <w:link w:val="Tabledesmatires6Exact"/>
    <w:rsid w:val="0078227C"/>
    <w:pPr>
      <w:widowControl w:val="0"/>
      <w:shd w:val="clear" w:color="auto" w:fill="FFFFFF"/>
      <w:spacing w:before="120" w:line="191" w:lineRule="exact"/>
      <w:ind w:firstLine="8"/>
      <w:jc w:val="both"/>
    </w:pPr>
    <w:rPr>
      <w:i/>
      <w:iCs/>
      <w:spacing w:val="-10"/>
      <w:sz w:val="14"/>
      <w:szCs w:val="14"/>
      <w:lang w:val="x-none" w:eastAsia="x-none"/>
    </w:rPr>
  </w:style>
  <w:style w:type="paragraph" w:customStyle="1" w:styleId="Lgendedutableau5">
    <w:name w:val="Légende du tableau (5)"/>
    <w:basedOn w:val="Normal"/>
    <w:link w:val="Lgendedutableau5Exact"/>
    <w:rsid w:val="0078227C"/>
    <w:pPr>
      <w:widowControl w:val="0"/>
      <w:shd w:val="clear" w:color="auto" w:fill="FFFFFF"/>
      <w:spacing w:line="0" w:lineRule="atLeast"/>
      <w:jc w:val="center"/>
    </w:pPr>
    <w:rPr>
      <w:i/>
      <w:iCs/>
      <w:sz w:val="15"/>
      <w:szCs w:val="15"/>
      <w:lang w:val="x-none" w:eastAsia="x-none"/>
    </w:rPr>
  </w:style>
  <w:style w:type="paragraph" w:customStyle="1" w:styleId="Lgendedutableau2">
    <w:name w:val="Légende du tableau (2)"/>
    <w:basedOn w:val="Normal"/>
    <w:link w:val="Lgendedutableau2Exact"/>
    <w:rsid w:val="0078227C"/>
    <w:pPr>
      <w:widowControl w:val="0"/>
      <w:shd w:val="clear" w:color="auto" w:fill="FFFFFF"/>
      <w:spacing w:line="0" w:lineRule="atLeast"/>
      <w:ind w:firstLine="29"/>
    </w:pPr>
    <w:rPr>
      <w:b/>
      <w:bCs/>
      <w:sz w:val="15"/>
      <w:szCs w:val="15"/>
      <w:lang w:val="x-none" w:eastAsia="x-none"/>
    </w:rPr>
  </w:style>
  <w:style w:type="paragraph" w:customStyle="1" w:styleId="Lgendedelimage4">
    <w:name w:val="Légende de l'image (4)"/>
    <w:basedOn w:val="Normal"/>
    <w:link w:val="Lgendedelimage4Exact"/>
    <w:rsid w:val="0078227C"/>
    <w:pPr>
      <w:widowControl w:val="0"/>
      <w:shd w:val="clear" w:color="auto" w:fill="FFFFFF"/>
      <w:spacing w:line="0" w:lineRule="atLeast"/>
      <w:ind w:firstLine="29"/>
    </w:pPr>
    <w:rPr>
      <w:b/>
      <w:bCs/>
      <w:sz w:val="15"/>
      <w:szCs w:val="15"/>
      <w:lang w:val="x-none" w:eastAsia="x-none"/>
    </w:rPr>
  </w:style>
  <w:style w:type="paragraph" w:customStyle="1" w:styleId="Lgendedelimage14">
    <w:name w:val="Légende de l'image (14)"/>
    <w:basedOn w:val="Normal"/>
    <w:link w:val="Lgendedelimage14Exact"/>
    <w:rsid w:val="0078227C"/>
    <w:pPr>
      <w:widowControl w:val="0"/>
      <w:shd w:val="clear" w:color="auto" w:fill="FFFFFF"/>
      <w:spacing w:line="187" w:lineRule="exact"/>
      <w:ind w:hanging="3"/>
      <w:jc w:val="center"/>
    </w:pPr>
    <w:rPr>
      <w:b/>
      <w:bCs/>
      <w:sz w:val="13"/>
      <w:szCs w:val="13"/>
      <w:lang w:val="x-none" w:eastAsia="x-none"/>
    </w:rPr>
  </w:style>
  <w:style w:type="paragraph" w:customStyle="1" w:styleId="En-tteoupieddepage3">
    <w:name w:val="En-tête ou pied de page (3)"/>
    <w:basedOn w:val="Normal"/>
    <w:link w:val="En-tteoupieddepage3Exact"/>
    <w:rsid w:val="0078227C"/>
    <w:pPr>
      <w:widowControl w:val="0"/>
      <w:shd w:val="clear" w:color="auto" w:fill="FFFFFF"/>
      <w:spacing w:line="0" w:lineRule="atLeast"/>
      <w:ind w:firstLine="25"/>
    </w:pPr>
    <w:rPr>
      <w:i/>
      <w:iCs/>
      <w:sz w:val="12"/>
      <w:szCs w:val="12"/>
      <w:lang w:val="x-none" w:eastAsia="x-none"/>
    </w:rPr>
  </w:style>
  <w:style w:type="character" w:customStyle="1" w:styleId="LgendedelimageExact">
    <w:name w:val="Légende de l'image Exact"/>
    <w:rsid w:val="00573B27"/>
    <w:rPr>
      <w:rFonts w:ascii="Times New Roman" w:eastAsia="Times New Roman" w:hAnsi="Times New Roman" w:cs="Times New Roman"/>
      <w:b/>
      <w:bCs/>
      <w:i w:val="0"/>
      <w:iCs w:val="0"/>
      <w:smallCaps w:val="0"/>
      <w:strike w:val="0"/>
      <w:sz w:val="15"/>
      <w:szCs w:val="15"/>
      <w:u w:val="none"/>
    </w:rPr>
  </w:style>
  <w:style w:type="character" w:customStyle="1" w:styleId="Lgendedelimage6ptExact">
    <w:name w:val="Légende de l'image + 6 pt Exact"/>
    <w:rsid w:val="00573B27"/>
    <w:rPr>
      <w:rFonts w:ascii="Times New Roman" w:eastAsia="Times New Roman" w:hAnsi="Times New Roman" w:cs="Times New Roman"/>
      <w:b/>
      <w:bCs/>
      <w:i w:val="0"/>
      <w:iCs w:val="0"/>
      <w:smallCaps w:val="0"/>
      <w:strike w:val="0"/>
      <w:color w:val="000000"/>
      <w:spacing w:val="0"/>
      <w:w w:val="100"/>
      <w:position w:val="0"/>
      <w:sz w:val="12"/>
      <w:szCs w:val="12"/>
      <w:u w:val="none"/>
      <w:lang w:val="fr-FR" w:eastAsia="fr-FR" w:bidi="fr-FR"/>
    </w:rPr>
  </w:style>
  <w:style w:type="character" w:customStyle="1" w:styleId="En-tte1">
    <w:name w:val="En-tête #1_"/>
    <w:link w:val="En-tte10"/>
    <w:rsid w:val="00573B27"/>
    <w:rPr>
      <w:rFonts w:ascii="Times New Roman" w:eastAsia="Times New Roman" w:hAnsi="Times New Roman"/>
      <w:b/>
      <w:bCs/>
      <w:sz w:val="38"/>
      <w:szCs w:val="38"/>
      <w:shd w:val="clear" w:color="auto" w:fill="FFFFFF"/>
    </w:rPr>
  </w:style>
  <w:style w:type="character" w:customStyle="1" w:styleId="En-tteoupieddepage11ptGrasNonItalique">
    <w:name w:val="En-tête ou pied de page + 11 pt;Gras;Non Italique"/>
    <w:rsid w:val="00573B27"/>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En-tteoupieddepageNonItalique">
    <w:name w:val="En-tête ou pied de page + Non Italique"/>
    <w:rsid w:val="00573B2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39ptGras">
    <w:name w:val="Corps du texte (3) + 9 pt;Gras"/>
    <w:rsid w:val="00573B27"/>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49ptGrasNonItalique">
    <w:name w:val="Corps du texte (4) + 9 pt;Gras;Non Italique"/>
    <w:rsid w:val="00573B2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29ptEspacement0pt">
    <w:name w:val="Corps du texte (2) + 9 pt;Espacement 0 pt"/>
    <w:rsid w:val="00573B27"/>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fr-FR" w:eastAsia="fr-FR" w:bidi="fr-FR"/>
    </w:rPr>
  </w:style>
  <w:style w:type="character" w:customStyle="1" w:styleId="Corpsdutexte285ptItalique">
    <w:name w:val="Corps du texte (2) + 8.5 pt;Italique"/>
    <w:rsid w:val="00573B27"/>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En-tteoupieddepage2">
    <w:name w:val="En-tête ou pied de page (2)"/>
    <w:rsid w:val="00573B27"/>
    <w:rPr>
      <w:rFonts w:ascii="Times New Roman" w:eastAsia="Times New Roman" w:hAnsi="Times New Roman" w:cs="Times New Roman"/>
      <w:b/>
      <w:bCs/>
      <w:i w:val="0"/>
      <w:iCs w:val="0"/>
      <w:smallCaps w:val="0"/>
      <w:strike w:val="0"/>
      <w:sz w:val="22"/>
      <w:szCs w:val="22"/>
      <w:u w:val="none"/>
    </w:rPr>
  </w:style>
  <w:style w:type="character" w:customStyle="1" w:styleId="Corpsdutexte96ptGrasNonItalique">
    <w:name w:val="Corps du texte (9) + 6 pt;Gras;Non Italique"/>
    <w:rsid w:val="00573B27"/>
    <w:rPr>
      <w:rFonts w:ascii="Times New Roman" w:eastAsia="Times New Roman" w:hAnsi="Times New Roman" w:cs="Times New Roman"/>
      <w:b/>
      <w:bCs/>
      <w:i/>
      <w:iCs/>
      <w:smallCaps w:val="0"/>
      <w:strike w:val="0"/>
      <w:color w:val="000000"/>
      <w:spacing w:val="0"/>
      <w:w w:val="100"/>
      <w:position w:val="0"/>
      <w:sz w:val="12"/>
      <w:szCs w:val="12"/>
      <w:u w:val="none"/>
      <w:lang w:val="fr-FR" w:eastAsia="fr-FR" w:bidi="fr-FR"/>
    </w:rPr>
  </w:style>
  <w:style w:type="character" w:customStyle="1" w:styleId="Corpsdutexte865ptNonGrasItalique">
    <w:name w:val="Corps du texte (8) + 6.5 pt;Non Gras;Italique"/>
    <w:rsid w:val="00573B27"/>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Corpsdutexte10NonGrasItaliqueEspacement1pt">
    <w:name w:val="Corps du texte (10) + Non Gras;Italique;Espacement 1 pt"/>
    <w:rsid w:val="00573B27"/>
    <w:rPr>
      <w:rFonts w:ascii="Times New Roman" w:eastAsia="Times New Roman" w:hAnsi="Times New Roman" w:cs="Times New Roman"/>
      <w:b/>
      <w:bCs/>
      <w:i/>
      <w:iCs/>
      <w:smallCaps w:val="0"/>
      <w:strike w:val="0"/>
      <w:color w:val="000000"/>
      <w:spacing w:val="20"/>
      <w:w w:val="100"/>
      <w:position w:val="0"/>
      <w:sz w:val="19"/>
      <w:szCs w:val="19"/>
      <w:u w:val="none"/>
      <w:lang w:val="fr-FR" w:eastAsia="fr-FR" w:bidi="fr-FR"/>
    </w:rPr>
  </w:style>
  <w:style w:type="character" w:customStyle="1" w:styleId="Corpsdutexte265ptItalique">
    <w:name w:val="Corps du texte (2) + 6.5 pt;Italique"/>
    <w:rsid w:val="00573B27"/>
    <w:rPr>
      <w:rFonts w:ascii="Times New Roman" w:eastAsia="Times New Roman" w:hAnsi="Times New Roman" w:cs="Times New Roman"/>
      <w:b w:val="0"/>
      <w:bCs w:val="0"/>
      <w:i/>
      <w:iCs/>
      <w:smallCaps w:val="0"/>
      <w:strike w:val="0"/>
      <w:color w:val="000000"/>
      <w:spacing w:val="0"/>
      <w:w w:val="100"/>
      <w:position w:val="0"/>
      <w:sz w:val="13"/>
      <w:szCs w:val="13"/>
      <w:u w:val="none"/>
      <w:lang w:val="fr-FR" w:eastAsia="fr-FR" w:bidi="fr-FR"/>
    </w:rPr>
  </w:style>
  <w:style w:type="character" w:customStyle="1" w:styleId="Corpsdutexte26ptGras">
    <w:name w:val="Corps du texte (2) + 6 pt;Gras"/>
    <w:rsid w:val="00573B27"/>
    <w:rPr>
      <w:rFonts w:ascii="Times New Roman" w:eastAsia="Times New Roman" w:hAnsi="Times New Roman" w:cs="Times New Roman"/>
      <w:b/>
      <w:bCs/>
      <w:i w:val="0"/>
      <w:iCs w:val="0"/>
      <w:smallCaps w:val="0"/>
      <w:strike w:val="0"/>
      <w:color w:val="000000"/>
      <w:spacing w:val="0"/>
      <w:w w:val="100"/>
      <w:position w:val="0"/>
      <w:sz w:val="12"/>
      <w:szCs w:val="12"/>
      <w:u w:val="none"/>
      <w:lang w:val="fr-FR" w:eastAsia="fr-FR" w:bidi="fr-FR"/>
    </w:rPr>
  </w:style>
  <w:style w:type="character" w:customStyle="1" w:styleId="En-tteoupieddepage4">
    <w:name w:val="En-tête ou pied de page (4)_"/>
    <w:link w:val="En-tteoupieddepage40"/>
    <w:rsid w:val="00573B27"/>
    <w:rPr>
      <w:rFonts w:ascii="Times New Roman" w:eastAsia="Times New Roman" w:hAnsi="Times New Roman"/>
      <w:sz w:val="13"/>
      <w:szCs w:val="13"/>
      <w:shd w:val="clear" w:color="auto" w:fill="FFFFFF"/>
    </w:rPr>
  </w:style>
  <w:style w:type="character" w:customStyle="1" w:styleId="En-tteoupieddepage4Italique">
    <w:name w:val="En-tête ou pied de page (4) + Italique"/>
    <w:rsid w:val="00573B27"/>
    <w:rPr>
      <w:rFonts w:ascii="Times New Roman" w:eastAsia="Times New Roman" w:hAnsi="Times New Roman" w:cs="Times New Roman"/>
      <w:b w:val="0"/>
      <w:bCs w:val="0"/>
      <w:i/>
      <w:iCs/>
      <w:smallCaps w:val="0"/>
      <w:strike w:val="0"/>
      <w:color w:val="000000"/>
      <w:spacing w:val="0"/>
      <w:w w:val="100"/>
      <w:position w:val="0"/>
      <w:sz w:val="13"/>
      <w:szCs w:val="13"/>
      <w:u w:val="none"/>
      <w:lang w:val="fr-FR" w:eastAsia="fr-FR" w:bidi="fr-FR"/>
    </w:rPr>
  </w:style>
  <w:style w:type="character" w:customStyle="1" w:styleId="Corpsdutexte295ptGras">
    <w:name w:val="Corps du texte (2) + 9.5 pt;Gras"/>
    <w:rsid w:val="00573B27"/>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TabledesmatiresExact">
    <w:name w:val="Table des matières Exact"/>
    <w:rsid w:val="00573B27"/>
    <w:rPr>
      <w:rFonts w:ascii="Times New Roman" w:eastAsia="Times New Roman" w:hAnsi="Times New Roman" w:cs="Times New Roman"/>
      <w:b w:val="0"/>
      <w:bCs w:val="0"/>
      <w:i w:val="0"/>
      <w:iCs w:val="0"/>
      <w:smallCaps w:val="0"/>
      <w:strike w:val="0"/>
      <w:sz w:val="18"/>
      <w:szCs w:val="18"/>
      <w:u w:val="none"/>
    </w:rPr>
  </w:style>
  <w:style w:type="character" w:customStyle="1" w:styleId="Tabledesmatires85ptItaliqueExact">
    <w:name w:val="Table des matières + 8.5 pt;Italique Exact"/>
    <w:rsid w:val="00573B27"/>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Tabledesmatires2Exact">
    <w:name w:val="Table des matières (2) Exact"/>
    <w:link w:val="Tabledesmatires2"/>
    <w:rsid w:val="00573B27"/>
    <w:rPr>
      <w:rFonts w:ascii="Times New Roman" w:eastAsia="Times New Roman" w:hAnsi="Times New Roman"/>
      <w:b/>
      <w:bCs/>
      <w:sz w:val="15"/>
      <w:szCs w:val="15"/>
      <w:shd w:val="clear" w:color="auto" w:fill="FFFFFF"/>
    </w:rPr>
  </w:style>
  <w:style w:type="character" w:customStyle="1" w:styleId="Lgendedutableau20">
    <w:name w:val="Légende du tableau (2)_"/>
    <w:rsid w:val="00573B27"/>
    <w:rPr>
      <w:rFonts w:ascii="Times New Roman" w:eastAsia="Times New Roman" w:hAnsi="Times New Roman" w:cs="Times New Roman"/>
      <w:b w:val="0"/>
      <w:bCs w:val="0"/>
      <w:i/>
      <w:iCs/>
      <w:smallCaps w:val="0"/>
      <w:strike w:val="0"/>
      <w:spacing w:val="0"/>
      <w:sz w:val="13"/>
      <w:szCs w:val="13"/>
      <w:u w:val="none"/>
    </w:rPr>
  </w:style>
  <w:style w:type="character" w:customStyle="1" w:styleId="Lgendedutableau26ptGrasNonItalique">
    <w:name w:val="Légende du tableau (2) + 6 pt;Gras;Non Italique"/>
    <w:rsid w:val="00573B27"/>
    <w:rPr>
      <w:rFonts w:ascii="Times New Roman" w:eastAsia="Times New Roman" w:hAnsi="Times New Roman" w:cs="Times New Roman"/>
      <w:b/>
      <w:bCs/>
      <w:i w:val="0"/>
      <w:iCs w:val="0"/>
      <w:smallCaps w:val="0"/>
      <w:strike w:val="0"/>
      <w:color w:val="000000"/>
      <w:spacing w:val="0"/>
      <w:w w:val="100"/>
      <w:position w:val="0"/>
      <w:sz w:val="12"/>
      <w:szCs w:val="12"/>
      <w:u w:val="none"/>
      <w:lang w:val="fr-FR" w:eastAsia="fr-FR" w:bidi="fr-FR"/>
    </w:rPr>
  </w:style>
  <w:style w:type="character" w:customStyle="1" w:styleId="Lgendedutableau">
    <w:name w:val="Légende du tableau_"/>
    <w:link w:val="Lgendedutableau0"/>
    <w:rsid w:val="00573B27"/>
    <w:rPr>
      <w:rFonts w:ascii="Times New Roman" w:eastAsia="Times New Roman" w:hAnsi="Times New Roman"/>
      <w:b/>
      <w:bCs/>
      <w:sz w:val="12"/>
      <w:szCs w:val="12"/>
      <w:shd w:val="clear" w:color="auto" w:fill="FFFFFF"/>
    </w:rPr>
  </w:style>
  <w:style w:type="character" w:customStyle="1" w:styleId="Lgendedutableau65ptNonGrasItalique">
    <w:name w:val="Légende du tableau + 6.5 pt;Non Gras;Italique"/>
    <w:rsid w:val="00573B27"/>
    <w:rPr>
      <w:rFonts w:ascii="Times New Roman" w:eastAsia="Times New Roman" w:hAnsi="Times New Roman" w:cs="Times New Roman"/>
      <w:b w:val="0"/>
      <w:bCs w:val="0"/>
      <w:i/>
      <w:iCs/>
      <w:smallCaps w:val="0"/>
      <w:strike w:val="0"/>
      <w:color w:val="000000"/>
      <w:spacing w:val="0"/>
      <w:w w:val="100"/>
      <w:position w:val="0"/>
      <w:sz w:val="13"/>
      <w:szCs w:val="13"/>
      <w:u w:val="none"/>
      <w:lang w:val="fr-FR" w:eastAsia="fr-FR" w:bidi="fr-FR"/>
    </w:rPr>
  </w:style>
  <w:style w:type="character" w:customStyle="1" w:styleId="En-tteoupieddepage5ptNonItalique">
    <w:name w:val="En-tête ou pied de page + 5 pt;Non Italique"/>
    <w:rsid w:val="00573B27"/>
    <w:rPr>
      <w:rFonts w:ascii="Times New Roman" w:eastAsia="Times New Roman" w:hAnsi="Times New Roman" w:cs="Times New Roman"/>
      <w:b w:val="0"/>
      <w:bCs w:val="0"/>
      <w:i w:val="0"/>
      <w:iCs w:val="0"/>
      <w:smallCaps w:val="0"/>
      <w:strike w:val="0"/>
      <w:color w:val="000000"/>
      <w:spacing w:val="0"/>
      <w:w w:val="100"/>
      <w:position w:val="0"/>
      <w:sz w:val="10"/>
      <w:szCs w:val="10"/>
      <w:u w:val="none"/>
      <w:lang w:val="fr-FR" w:eastAsia="fr-FR" w:bidi="fr-FR"/>
    </w:rPr>
  </w:style>
  <w:style w:type="character" w:customStyle="1" w:styleId="Lgendedutableau3">
    <w:name w:val="Légende du tableau (3)_"/>
    <w:link w:val="Lgendedutableau30"/>
    <w:rsid w:val="00573B27"/>
    <w:rPr>
      <w:rFonts w:ascii="Times New Roman" w:eastAsia="Times New Roman" w:hAnsi="Times New Roman"/>
      <w:spacing w:val="-10"/>
      <w:sz w:val="18"/>
      <w:szCs w:val="18"/>
      <w:shd w:val="clear" w:color="auto" w:fill="FFFFFF"/>
    </w:rPr>
  </w:style>
  <w:style w:type="character" w:customStyle="1" w:styleId="Lgendedutableau4">
    <w:name w:val="Légende du tableau (4)_"/>
    <w:link w:val="Lgendedutableau40"/>
    <w:rsid w:val="00573B27"/>
    <w:rPr>
      <w:rFonts w:ascii="Times New Roman" w:eastAsia="Times New Roman" w:hAnsi="Times New Roman"/>
      <w:i/>
      <w:iCs/>
      <w:sz w:val="17"/>
      <w:szCs w:val="17"/>
      <w:shd w:val="clear" w:color="auto" w:fill="FFFFFF"/>
    </w:rPr>
  </w:style>
  <w:style w:type="character" w:customStyle="1" w:styleId="Lgendedutableau49ptNonItaliqueEspacement0pt">
    <w:name w:val="Légende du tableau (4) + 9 pt;Non Italique;Espacement 0 pt"/>
    <w:rsid w:val="00573B27"/>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fr-FR" w:eastAsia="fr-FR" w:bidi="fr-FR"/>
    </w:rPr>
  </w:style>
  <w:style w:type="paragraph" w:customStyle="1" w:styleId="En-tte10">
    <w:name w:val="En-tête #1"/>
    <w:basedOn w:val="Normal"/>
    <w:link w:val="En-tte1"/>
    <w:rsid w:val="00573B27"/>
    <w:pPr>
      <w:widowControl w:val="0"/>
      <w:shd w:val="clear" w:color="auto" w:fill="FFFFFF"/>
      <w:spacing w:after="900" w:line="396" w:lineRule="exact"/>
      <w:jc w:val="center"/>
      <w:outlineLvl w:val="0"/>
    </w:pPr>
    <w:rPr>
      <w:b/>
      <w:bCs/>
      <w:sz w:val="38"/>
      <w:szCs w:val="38"/>
      <w:lang w:val="x-none" w:eastAsia="x-none"/>
    </w:rPr>
  </w:style>
  <w:style w:type="paragraph" w:customStyle="1" w:styleId="En-tteoupieddepage40">
    <w:name w:val="En-tête ou pied de page (4)"/>
    <w:basedOn w:val="Normal"/>
    <w:link w:val="En-tteoupieddepage4"/>
    <w:rsid w:val="00573B27"/>
    <w:pPr>
      <w:widowControl w:val="0"/>
      <w:shd w:val="clear" w:color="auto" w:fill="FFFFFF"/>
      <w:spacing w:line="0" w:lineRule="atLeast"/>
      <w:ind w:firstLine="32"/>
    </w:pPr>
    <w:rPr>
      <w:sz w:val="13"/>
      <w:szCs w:val="13"/>
      <w:lang w:val="x-none" w:eastAsia="x-none"/>
    </w:rPr>
  </w:style>
  <w:style w:type="paragraph" w:customStyle="1" w:styleId="Tabledesmatires2">
    <w:name w:val="Table des matières (2)"/>
    <w:basedOn w:val="Normal"/>
    <w:link w:val="Tabledesmatires2Exact"/>
    <w:rsid w:val="00573B27"/>
    <w:pPr>
      <w:widowControl w:val="0"/>
      <w:shd w:val="clear" w:color="auto" w:fill="FFFFFF"/>
      <w:spacing w:before="120" w:after="180" w:line="0" w:lineRule="atLeast"/>
      <w:ind w:hanging="1"/>
      <w:jc w:val="both"/>
    </w:pPr>
    <w:rPr>
      <w:b/>
      <w:bCs/>
      <w:sz w:val="15"/>
      <w:szCs w:val="15"/>
      <w:lang w:val="x-none" w:eastAsia="x-none"/>
    </w:rPr>
  </w:style>
  <w:style w:type="paragraph" w:customStyle="1" w:styleId="Lgendedutableau0">
    <w:name w:val="Légende du tableau"/>
    <w:basedOn w:val="Normal"/>
    <w:link w:val="Lgendedutableau"/>
    <w:rsid w:val="00573B27"/>
    <w:pPr>
      <w:widowControl w:val="0"/>
      <w:shd w:val="clear" w:color="auto" w:fill="FFFFFF"/>
      <w:spacing w:line="166" w:lineRule="exact"/>
      <w:ind w:firstLine="29"/>
      <w:jc w:val="both"/>
    </w:pPr>
    <w:rPr>
      <w:b/>
      <w:bCs/>
      <w:sz w:val="12"/>
      <w:szCs w:val="12"/>
      <w:lang w:val="x-none" w:eastAsia="x-none"/>
    </w:rPr>
  </w:style>
  <w:style w:type="paragraph" w:customStyle="1" w:styleId="Lgendedutableau30">
    <w:name w:val="Légende du tableau (3)"/>
    <w:basedOn w:val="Normal"/>
    <w:link w:val="Lgendedutableau3"/>
    <w:rsid w:val="00573B27"/>
    <w:pPr>
      <w:widowControl w:val="0"/>
      <w:shd w:val="clear" w:color="auto" w:fill="FFFFFF"/>
      <w:spacing w:line="0" w:lineRule="atLeast"/>
      <w:ind w:firstLine="29"/>
    </w:pPr>
    <w:rPr>
      <w:spacing w:val="-10"/>
      <w:sz w:val="18"/>
      <w:szCs w:val="18"/>
      <w:lang w:val="x-none" w:eastAsia="x-none"/>
    </w:rPr>
  </w:style>
  <w:style w:type="paragraph" w:customStyle="1" w:styleId="Lgendedutableau40">
    <w:name w:val="Légende du tableau (4)"/>
    <w:basedOn w:val="Normal"/>
    <w:link w:val="Lgendedutableau4"/>
    <w:rsid w:val="00573B27"/>
    <w:pPr>
      <w:widowControl w:val="0"/>
      <w:shd w:val="clear" w:color="auto" w:fill="FFFFFF"/>
      <w:spacing w:line="0" w:lineRule="atLeast"/>
      <w:ind w:firstLine="29"/>
    </w:pPr>
    <w:rPr>
      <w:i/>
      <w:iCs/>
      <w:sz w:val="17"/>
      <w:szCs w:val="17"/>
      <w:lang w:val="x-none" w:eastAsia="x-none"/>
    </w:rPr>
  </w:style>
  <w:style w:type="character" w:customStyle="1" w:styleId="Notedebasdepage20">
    <w:name w:val="Note de bas de page (2)_"/>
    <w:link w:val="Notedebasdepage21"/>
    <w:rsid w:val="004E1DDA"/>
    <w:rPr>
      <w:rFonts w:ascii="Times New Roman" w:eastAsia="Times New Roman" w:hAnsi="Times New Roman"/>
      <w:i/>
      <w:iCs/>
      <w:sz w:val="18"/>
      <w:szCs w:val="18"/>
      <w:shd w:val="clear" w:color="auto" w:fill="FFFFFF"/>
    </w:rPr>
  </w:style>
  <w:style w:type="character" w:customStyle="1" w:styleId="Notedebasdepage2NonItalique">
    <w:name w:val="Note de bas de page (2) + Non Italique"/>
    <w:rsid w:val="004E1DD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En-tteoupieddepage105ptNonItaliqueEspacement0pt">
    <w:name w:val="En-tête ou pied de page + 10.5 pt;Non Italique;Espacement 0 pt"/>
    <w:rsid w:val="004E1DDA"/>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fr-FR" w:eastAsia="fr-FR" w:bidi="fr-FR"/>
    </w:rPr>
  </w:style>
  <w:style w:type="character" w:customStyle="1" w:styleId="Corpsdutexte9CourierNew12ptGrasNonItaliqueEspacement0pt">
    <w:name w:val="Corps du texte (9) + Courier New;12 pt;Gras;Non Italique;Espacement 0 pt"/>
    <w:rsid w:val="004E1DDA"/>
    <w:rPr>
      <w:rFonts w:ascii="Courier New" w:eastAsia="Courier New" w:hAnsi="Courier New" w:cs="Courier New"/>
      <w:b/>
      <w:bCs/>
      <w:i/>
      <w:iCs/>
      <w:smallCaps w:val="0"/>
      <w:strike w:val="0"/>
      <w:color w:val="000000"/>
      <w:spacing w:val="0"/>
      <w:w w:val="100"/>
      <w:position w:val="0"/>
      <w:sz w:val="24"/>
      <w:szCs w:val="24"/>
      <w:u w:val="none"/>
      <w:lang w:val="fr-FR" w:eastAsia="fr-FR" w:bidi="fr-FR"/>
    </w:rPr>
  </w:style>
  <w:style w:type="character" w:customStyle="1" w:styleId="En-tte1TimesNewRoman19ptGrasNonItaliqueEspacement0pt">
    <w:name w:val="En-tête #1 + Times New Roman;19 pt;Gras;Non Italique;Espacement 0 pt"/>
    <w:rsid w:val="004E1DDA"/>
    <w:rPr>
      <w:rFonts w:ascii="Times New Roman" w:eastAsia="Times New Roman" w:hAnsi="Times New Roman" w:cs="Times New Roman"/>
      <w:b/>
      <w:bCs/>
      <w:i w:val="0"/>
      <w:iCs w:val="0"/>
      <w:smallCaps w:val="0"/>
      <w:strike w:val="0"/>
      <w:color w:val="000000"/>
      <w:spacing w:val="0"/>
      <w:w w:val="100"/>
      <w:position w:val="0"/>
      <w:sz w:val="38"/>
      <w:szCs w:val="38"/>
      <w:u w:val="none"/>
      <w:lang w:val="fr-FR" w:eastAsia="fr-FR" w:bidi="fr-FR"/>
    </w:rPr>
  </w:style>
  <w:style w:type="character" w:customStyle="1" w:styleId="En-tte312ptItalique">
    <w:name w:val="En-tête #3 + 12 pt;Italique"/>
    <w:rsid w:val="004E1DDA"/>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29ptItaliqueEspacement0pt">
    <w:name w:val="Corps du texte (2) + 9 pt;Italique;Espacement 0 pt"/>
    <w:rsid w:val="004E1DDA"/>
    <w:rPr>
      <w:rFonts w:ascii="Times New Roman" w:eastAsia="Times New Roman" w:hAnsi="Times New Roman" w:cs="Times New Roman"/>
      <w:b w:val="0"/>
      <w:bCs w:val="0"/>
      <w:i/>
      <w:iCs/>
      <w:smallCaps w:val="0"/>
      <w:strike w:val="0"/>
      <w:color w:val="000000"/>
      <w:spacing w:val="-10"/>
      <w:w w:val="100"/>
      <w:position w:val="0"/>
      <w:sz w:val="18"/>
      <w:szCs w:val="18"/>
      <w:u w:val="none"/>
      <w:lang w:val="fr-FR" w:eastAsia="fr-FR" w:bidi="fr-FR"/>
    </w:rPr>
  </w:style>
  <w:style w:type="character" w:customStyle="1" w:styleId="Corpsdutexte14TimesNewRoman14ptExact">
    <w:name w:val="Corps du texte (14) + Times New Roman;14 pt Exact"/>
    <w:rsid w:val="004E1DDA"/>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Corpsdutexte1518ptEspacement0pt">
    <w:name w:val="Corps du texte (15) + 18 pt;Espacement 0 pt"/>
    <w:rsid w:val="004E1DDA"/>
    <w:rPr>
      <w:rFonts w:ascii="Times New Roman" w:eastAsia="Times New Roman" w:hAnsi="Times New Roman" w:cs="Times New Roman"/>
      <w:b w:val="0"/>
      <w:bCs w:val="0"/>
      <w:i w:val="0"/>
      <w:iCs w:val="0"/>
      <w:smallCaps w:val="0"/>
      <w:strike w:val="0"/>
      <w:color w:val="000000"/>
      <w:spacing w:val="0"/>
      <w:w w:val="100"/>
      <w:position w:val="0"/>
      <w:sz w:val="36"/>
      <w:szCs w:val="36"/>
      <w:u w:val="none"/>
      <w:lang w:val="fr-FR" w:eastAsia="fr-FR" w:bidi="fr-FR"/>
    </w:rPr>
  </w:style>
  <w:style w:type="character" w:customStyle="1" w:styleId="En-tteoupieddepage2Espacement0pt">
    <w:name w:val="En-tête ou pied de page (2) + Espacement 0 pt"/>
    <w:rsid w:val="004E1DDA"/>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En-tteoupieddepage105ptNonItalique">
    <w:name w:val="En-tête ou pied de page + 10.5 pt;Non Italique"/>
    <w:rsid w:val="004E1DD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paragraph" w:customStyle="1" w:styleId="Notedebasdepage21">
    <w:name w:val="Note de bas de page (2)"/>
    <w:basedOn w:val="Normal"/>
    <w:link w:val="Notedebasdepage20"/>
    <w:rsid w:val="004E1DDA"/>
    <w:pPr>
      <w:widowControl w:val="0"/>
      <w:shd w:val="clear" w:color="auto" w:fill="FFFFFF"/>
      <w:spacing w:line="0" w:lineRule="atLeast"/>
      <w:ind w:firstLine="47"/>
    </w:pPr>
    <w:rPr>
      <w:i/>
      <w:iCs/>
      <w:sz w:val="18"/>
      <w:szCs w:val="18"/>
      <w:lang w:val="x-none" w:eastAsia="x-none"/>
    </w:rPr>
  </w:style>
  <w:style w:type="character" w:customStyle="1" w:styleId="Notedebasdepage11ptItalique">
    <w:name w:val="Note de bas de page + 11 pt;Italique"/>
    <w:rsid w:val="00EF5659"/>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Notedebasdepage7pt">
    <w:name w:val="Note de bas de page + 7 pt"/>
    <w:rsid w:val="00EF565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En-tteoupieddepage11ptNonItalique">
    <w:name w:val="En-tête ou pied de page + 11 pt;Non Italique"/>
    <w:rsid w:val="00EF565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En-tte4Italique">
    <w:name w:val="En-tête #4 + Italique"/>
    <w:rsid w:val="00EF5659"/>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7105ptNonItalique">
    <w:name w:val="Corps du texte (7) + 10.5 pt;Non Italique"/>
    <w:rsid w:val="00EF5659"/>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510ptItalique">
    <w:name w:val="Corps du texte (5) + 10 pt;Italique"/>
    <w:rsid w:val="00EF5659"/>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LgendedutableauItaliqueEspacement0pt">
    <w:name w:val="Légende du tableau + Italique;Espacement 0 pt"/>
    <w:rsid w:val="00EF5659"/>
    <w:rPr>
      <w:rFonts w:ascii="Times New Roman" w:eastAsia="Times New Roman" w:hAnsi="Times New Roman" w:cs="Times New Roman"/>
      <w:b w:val="0"/>
      <w:bCs w:val="0"/>
      <w:i/>
      <w:iCs/>
      <w:smallCaps w:val="0"/>
      <w:strike w:val="0"/>
      <w:color w:val="000000"/>
      <w:spacing w:val="-10"/>
      <w:w w:val="100"/>
      <w:position w:val="0"/>
      <w:sz w:val="14"/>
      <w:szCs w:val="14"/>
      <w:u w:val="none"/>
      <w:lang w:val="fr-FR" w:eastAsia="fr-FR" w:bidi="fr-FR"/>
    </w:rPr>
  </w:style>
  <w:style w:type="character" w:customStyle="1" w:styleId="En-tteoupieddepage30">
    <w:name w:val="En-tête ou pied de page (3)_"/>
    <w:rsid w:val="00EF5659"/>
    <w:rPr>
      <w:rFonts w:ascii="Times New Roman" w:eastAsia="Times New Roman" w:hAnsi="Times New Roman" w:cs="Times New Roman"/>
      <w:b w:val="0"/>
      <w:bCs w:val="0"/>
      <w:i/>
      <w:iCs/>
      <w:smallCaps w:val="0"/>
      <w:strike w:val="0"/>
      <w:spacing w:val="-10"/>
      <w:sz w:val="14"/>
      <w:szCs w:val="14"/>
      <w:u w:val="none"/>
    </w:rPr>
  </w:style>
  <w:style w:type="character" w:customStyle="1" w:styleId="En-tteoupieddepage36ptNonItaliqueEspacement0pt">
    <w:name w:val="En-tête ou pied de page (3) + 6 pt;Non Italique;Espacement 0 pt"/>
    <w:rsid w:val="00EF5659"/>
    <w:rPr>
      <w:rFonts w:ascii="Times New Roman" w:eastAsia="Times New Roman" w:hAnsi="Times New Roman" w:cs="Times New Roman"/>
      <w:b w:val="0"/>
      <w:bCs w:val="0"/>
      <w:i w:val="0"/>
      <w:iCs w:val="0"/>
      <w:smallCaps w:val="0"/>
      <w:strike w:val="0"/>
      <w:color w:val="000000"/>
      <w:spacing w:val="0"/>
      <w:w w:val="100"/>
      <w:position w:val="0"/>
      <w:sz w:val="12"/>
      <w:szCs w:val="12"/>
      <w:u w:val="none"/>
      <w:lang w:val="fr-FR" w:eastAsia="fr-FR" w:bidi="fr-FR"/>
    </w:rPr>
  </w:style>
  <w:style w:type="character" w:customStyle="1" w:styleId="Corpsdutexte975ptNonGrasExact">
    <w:name w:val="Corps du texte (9) + 7.5 pt;Non Gras Exact"/>
    <w:rsid w:val="00EF5659"/>
    <w:rPr>
      <w:rFonts w:ascii="Times New Roman" w:eastAsia="Times New Roman" w:hAnsi="Times New Roman" w:cs="Times New Roman"/>
      <w:b/>
      <w:bCs/>
      <w:i w:val="0"/>
      <w:iCs w:val="0"/>
      <w:smallCaps w:val="0"/>
      <w:strike w:val="0"/>
      <w:color w:val="000000"/>
      <w:spacing w:val="0"/>
      <w:w w:val="100"/>
      <w:position w:val="0"/>
      <w:sz w:val="15"/>
      <w:szCs w:val="15"/>
      <w:u w:val="none"/>
      <w:lang w:val="fr-FR" w:eastAsia="fr-FR" w:bidi="fr-FR"/>
    </w:rPr>
  </w:style>
  <w:style w:type="character" w:customStyle="1" w:styleId="En-tteoupieddepage4Exact">
    <w:name w:val="En-tête ou pied de page (4) Exact"/>
    <w:rsid w:val="00EF5659"/>
    <w:rPr>
      <w:rFonts w:ascii="Times New Roman" w:eastAsia="Times New Roman" w:hAnsi="Times New Roman" w:cs="Times New Roman"/>
      <w:b w:val="0"/>
      <w:bCs w:val="0"/>
      <w:i/>
      <w:iCs/>
      <w:smallCaps w:val="0"/>
      <w:strike w:val="0"/>
      <w:sz w:val="12"/>
      <w:szCs w:val="12"/>
      <w:u w:val="none"/>
    </w:rPr>
  </w:style>
  <w:style w:type="character" w:customStyle="1" w:styleId="Corpsdutexte510ptItaliqueEspacement1pt">
    <w:name w:val="Corps du texte (5) + 10 pt;Italique;Espacement 1 pt"/>
    <w:rsid w:val="00EF5659"/>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Lgendedutableau3Italique">
    <w:name w:val="Légende du tableau (3) + Italique"/>
    <w:rsid w:val="00EF5659"/>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212ptGras">
    <w:name w:val="Corps du texte (2) + 12 pt;Gras"/>
    <w:rsid w:val="00EF5659"/>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En-tte1Espacement0pt">
    <w:name w:val="En-tête #1 + Espacement 0 pt"/>
    <w:rsid w:val="00EF5659"/>
    <w:rPr>
      <w:rFonts w:ascii="Times New Roman" w:eastAsia="Times New Roman" w:hAnsi="Times New Roman" w:cs="Times New Roman"/>
      <w:b/>
      <w:bCs/>
      <w:i w:val="0"/>
      <w:iCs w:val="0"/>
      <w:smallCaps w:val="0"/>
      <w:strike w:val="0"/>
      <w:color w:val="000000"/>
      <w:spacing w:val="-10"/>
      <w:w w:val="100"/>
      <w:position w:val="0"/>
      <w:sz w:val="38"/>
      <w:szCs w:val="38"/>
      <w:u w:val="none"/>
      <w:lang w:val="fr-FR" w:eastAsia="fr-FR" w:bidi="fr-FR"/>
    </w:rPr>
  </w:style>
  <w:style w:type="character" w:customStyle="1" w:styleId="Corpsdutexte27ptGras">
    <w:name w:val="Corps du texte (2) + 7 pt;Gras"/>
    <w:rsid w:val="00EF5659"/>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Corpsdutexte27ptItaliqueEspacement0pt">
    <w:name w:val="Corps du texte (2) + 7 pt;Italique;Espacement 0 pt"/>
    <w:rsid w:val="00EF5659"/>
    <w:rPr>
      <w:rFonts w:ascii="Times New Roman" w:eastAsia="Times New Roman" w:hAnsi="Times New Roman" w:cs="Times New Roman"/>
      <w:b w:val="0"/>
      <w:bCs w:val="0"/>
      <w:i/>
      <w:iCs/>
      <w:smallCaps w:val="0"/>
      <w:strike w:val="0"/>
      <w:color w:val="000000"/>
      <w:spacing w:val="-10"/>
      <w:w w:val="100"/>
      <w:position w:val="0"/>
      <w:sz w:val="14"/>
      <w:szCs w:val="14"/>
      <w:u w:val="none"/>
      <w:lang w:val="fr-FR" w:eastAsia="fr-FR" w:bidi="fr-FR"/>
    </w:rPr>
  </w:style>
  <w:style w:type="character" w:customStyle="1" w:styleId="Corpsdutexte12ItaliqueEspacement0pt">
    <w:name w:val="Corps du texte (12) + Italique;Espacement 0 pt"/>
    <w:rsid w:val="00EF5659"/>
    <w:rPr>
      <w:rFonts w:ascii="Times New Roman" w:eastAsia="Times New Roman" w:hAnsi="Times New Roman" w:cs="Times New Roman"/>
      <w:b w:val="0"/>
      <w:bCs w:val="0"/>
      <w:i/>
      <w:iCs/>
      <w:smallCaps w:val="0"/>
      <w:strike w:val="0"/>
      <w:color w:val="000000"/>
      <w:spacing w:val="-10"/>
      <w:w w:val="100"/>
      <w:position w:val="0"/>
      <w:sz w:val="14"/>
      <w:szCs w:val="14"/>
      <w:u w:val="none"/>
      <w:lang w:val="fr-FR" w:eastAsia="fr-FR" w:bidi="fr-FR"/>
    </w:rPr>
  </w:style>
  <w:style w:type="character" w:customStyle="1" w:styleId="Corpsdutexte77ptPetitesmajuscules">
    <w:name w:val="Corps du texte (7) + 7 pt;Petites majuscules"/>
    <w:rsid w:val="00EF5659"/>
    <w:rPr>
      <w:rFonts w:ascii="Times New Roman" w:eastAsia="Times New Roman" w:hAnsi="Times New Roman" w:cs="Times New Roman"/>
      <w:b w:val="0"/>
      <w:bCs w:val="0"/>
      <w:i/>
      <w:iCs/>
      <w:smallCaps/>
      <w:strike w:val="0"/>
      <w:color w:val="000000"/>
      <w:spacing w:val="0"/>
      <w:w w:val="100"/>
      <w:position w:val="0"/>
      <w:sz w:val="14"/>
      <w:szCs w:val="14"/>
      <w:u w:val="none"/>
      <w:lang w:val="fr-FR" w:eastAsia="fr-FR" w:bidi="fr-FR"/>
    </w:rPr>
  </w:style>
  <w:style w:type="character" w:customStyle="1" w:styleId="Corpsdutexte785ptNonItalique">
    <w:name w:val="Corps du texte (7) + 8.5 pt;Non Italique"/>
    <w:rsid w:val="00EF5659"/>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2105ptGras">
    <w:name w:val="Corps du texte (2) + 10.5 pt;Gras"/>
    <w:rsid w:val="00EF5659"/>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Corpsdutexte2105ptGrasEspacement0pt">
    <w:name w:val="Corps du texte (2) + 10.5 pt;Gras;Espacement 0 pt"/>
    <w:rsid w:val="00EF5659"/>
    <w:rPr>
      <w:rFonts w:ascii="Times New Roman" w:eastAsia="Times New Roman" w:hAnsi="Times New Roman" w:cs="Times New Roman"/>
      <w:b/>
      <w:bCs/>
      <w:i w:val="0"/>
      <w:iCs w:val="0"/>
      <w:smallCaps w:val="0"/>
      <w:strike w:val="0"/>
      <w:color w:val="000000"/>
      <w:spacing w:val="-10"/>
      <w:w w:val="100"/>
      <w:position w:val="0"/>
      <w:sz w:val="21"/>
      <w:szCs w:val="21"/>
      <w:u w:val="none"/>
      <w:lang w:val="fr-FR" w:eastAsia="fr-FR" w:bidi="fr-FR"/>
    </w:rPr>
  </w:style>
  <w:style w:type="character" w:customStyle="1" w:styleId="Corpsdutexte20AppleGothic13ptNonItalique">
    <w:name w:val="Corps du texte (20) + AppleGothic;13 pt;Non Italique"/>
    <w:rsid w:val="00EF5659"/>
    <w:rPr>
      <w:rFonts w:ascii="AppleGothic" w:eastAsia="AppleGothic" w:hAnsi="AppleGothic" w:cs="AppleGothic"/>
      <w:b w:val="0"/>
      <w:bCs w:val="0"/>
      <w:i/>
      <w:iCs/>
      <w:smallCaps w:val="0"/>
      <w:strike w:val="0"/>
      <w:color w:val="000000"/>
      <w:spacing w:val="0"/>
      <w:w w:val="100"/>
      <w:position w:val="0"/>
      <w:sz w:val="26"/>
      <w:szCs w:val="26"/>
      <w:u w:val="none"/>
      <w:lang w:val="fr-FR" w:eastAsia="fr-FR" w:bidi="fr-FR"/>
    </w:rPr>
  </w:style>
  <w:style w:type="paragraph" w:customStyle="1" w:styleId="figstlgende">
    <w:name w:val="fig st légende"/>
    <w:basedOn w:val="figst"/>
    <w:autoRedefine/>
    <w:rsid w:val="00EF5659"/>
    <w:pPr>
      <w:jc w:val="both"/>
    </w:pPr>
    <w:rPr>
      <w:i/>
      <w:lang w:eastAsia="fr-FR" w:bidi="fr-FR"/>
    </w:rPr>
  </w:style>
  <w:style w:type="character" w:customStyle="1" w:styleId="Notedebasdepage10ptItalique">
    <w:name w:val="Note de bas de page + 10 pt;Italique"/>
    <w:rsid w:val="00125A7B"/>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Notedebasdepage10pt">
    <w:name w:val="Note de bas de page + 10 pt"/>
    <w:rsid w:val="00125A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Notedebasdepage7ptPetitesmajuscules">
    <w:name w:val="Note de bas de page + 7 pt;Petites majuscules"/>
    <w:rsid w:val="00125A7B"/>
    <w:rPr>
      <w:rFonts w:ascii="Times New Roman" w:eastAsia="Times New Roman" w:hAnsi="Times New Roman" w:cs="Times New Roman"/>
      <w:b w:val="0"/>
      <w:bCs w:val="0"/>
      <w:i w:val="0"/>
      <w:iCs w:val="0"/>
      <w:smallCaps/>
      <w:strike w:val="0"/>
      <w:color w:val="000000"/>
      <w:spacing w:val="0"/>
      <w:w w:val="100"/>
      <w:position w:val="0"/>
      <w:sz w:val="14"/>
      <w:szCs w:val="14"/>
      <w:u w:val="none"/>
      <w:lang w:val="fr-FR" w:eastAsia="fr-FR" w:bidi="fr-FR"/>
    </w:rPr>
  </w:style>
  <w:style w:type="character" w:customStyle="1" w:styleId="Notedebasdepage29pt">
    <w:name w:val="Note de bas de page (2) + 9 pt"/>
    <w:rsid w:val="00125A7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Corpsdutexte413ptNonItalique">
    <w:name w:val="Corps du texte (4) + 13 pt;Non Italique"/>
    <w:rsid w:val="00125A7B"/>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En-tteoupieddepage11ptNonItaliqueEspacement0pt">
    <w:name w:val="En-tête ou pied de page + 11 pt;Non Italique;Espacement 0 pt"/>
    <w:rsid w:val="00125A7B"/>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fr-FR" w:eastAsia="fr-FR" w:bidi="fr-FR"/>
    </w:rPr>
  </w:style>
  <w:style w:type="character" w:customStyle="1" w:styleId="LgendedutableauItalique">
    <w:name w:val="Légende du tableau + Italique"/>
    <w:rsid w:val="00125A7B"/>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Corpsdutexte275ptEspacement0pt">
    <w:name w:val="Corps du texte (2) + 7.5 pt;Espacement 0 pt"/>
    <w:rsid w:val="00125A7B"/>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fr-FR" w:eastAsia="fr-FR" w:bidi="fr-FR"/>
    </w:rPr>
  </w:style>
  <w:style w:type="character" w:customStyle="1" w:styleId="Corpsdutexte1018ptEspacement0pt">
    <w:name w:val="Corps du texte (10) + 18 pt;Espacement 0 pt"/>
    <w:rsid w:val="00125A7B"/>
    <w:rPr>
      <w:rFonts w:ascii="Times New Roman" w:eastAsia="Times New Roman" w:hAnsi="Times New Roman" w:cs="Times New Roman"/>
      <w:b/>
      <w:bCs/>
      <w:i/>
      <w:iCs/>
      <w:smallCaps w:val="0"/>
      <w:strike w:val="0"/>
      <w:color w:val="000000"/>
      <w:spacing w:val="0"/>
      <w:w w:val="100"/>
      <w:position w:val="0"/>
      <w:sz w:val="36"/>
      <w:szCs w:val="36"/>
      <w:u w:val="none"/>
      <w:lang w:val="fr-FR" w:eastAsia="fr-FR" w:bidi="fr-FR"/>
    </w:rPr>
  </w:style>
  <w:style w:type="character" w:customStyle="1" w:styleId="Corpsdutexte611ptItalique">
    <w:name w:val="Corps du texte (6) + 11 pt;Italique"/>
    <w:rsid w:val="00125A7B"/>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ierre.patenaude@gmail.com"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patenaude_pierre.html"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Diane.Ethier@umontreal.c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deblock.christian@uqam.ca"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7454</Words>
  <Characters>41895</Characters>
  <Application>Microsoft Office Word</Application>
  <DocSecurity>0</DocSecurity>
  <Lines>1021</Lines>
  <Paragraphs>195</Paragraphs>
  <ScaleCrop>false</ScaleCrop>
  <HeadingPairs>
    <vt:vector size="2" baseType="variant">
      <vt:variant>
        <vt:lpstr>Title</vt:lpstr>
      </vt:variant>
      <vt:variant>
        <vt:i4>1</vt:i4>
      </vt:variant>
    </vt:vector>
  </HeadingPairs>
  <TitlesOfParts>
    <vt:vector size="1" baseType="lpstr">
      <vt:lpstr>“Les économies des pays de l’Est et la fin de la division cardinale du monde.”</vt:lpstr>
    </vt:vector>
  </TitlesOfParts>
  <Manager>par Pierre Patenaude, bénévole, Lac St-Jean, Qc., 2021</Manager>
  <Company>Les Classiques des sciences sociales</Company>
  <LinksUpToDate>false</LinksUpToDate>
  <CharactersWithSpaces>49154</CharactersWithSpaces>
  <SharedDoc>false</SharedDoc>
  <HyperlinkBase/>
  <HLinks>
    <vt:vector size="72" baseType="variant">
      <vt:variant>
        <vt:i4>7667720</vt:i4>
      </vt:variant>
      <vt:variant>
        <vt:i4>18</vt:i4>
      </vt:variant>
      <vt:variant>
        <vt:i4>0</vt:i4>
      </vt:variant>
      <vt:variant>
        <vt:i4>5</vt:i4>
      </vt:variant>
      <vt:variant>
        <vt:lpwstr>mailto:Diane.Ethier@umontreal.ca</vt:lpwstr>
      </vt:variant>
      <vt:variant>
        <vt:lpwstr/>
      </vt:variant>
      <vt:variant>
        <vt:i4>6160421</vt:i4>
      </vt:variant>
      <vt:variant>
        <vt:i4>15</vt:i4>
      </vt:variant>
      <vt:variant>
        <vt:i4>0</vt:i4>
      </vt:variant>
      <vt:variant>
        <vt:i4>5</vt:i4>
      </vt:variant>
      <vt:variant>
        <vt:lpwstr>mailto:deblock.christian@uqam.ca</vt:lpwstr>
      </vt:variant>
      <vt:variant>
        <vt:lpwstr/>
      </vt:variant>
      <vt:variant>
        <vt:i4>3080234</vt:i4>
      </vt:variant>
      <vt:variant>
        <vt:i4>12</vt:i4>
      </vt:variant>
      <vt:variant>
        <vt:i4>0</vt:i4>
      </vt:variant>
      <vt:variant>
        <vt:i4>5</vt:i4>
      </vt:variant>
      <vt:variant>
        <vt:lpwstr>mailto:pierre.patenaude@gmail.com</vt:lpwstr>
      </vt:variant>
      <vt:variant>
        <vt:lpwstr/>
      </vt:variant>
      <vt:variant>
        <vt:i4>6488064</vt:i4>
      </vt:variant>
      <vt:variant>
        <vt:i4>9</vt:i4>
      </vt:variant>
      <vt:variant>
        <vt:i4>0</vt:i4>
      </vt:variant>
      <vt:variant>
        <vt:i4>5</vt:i4>
      </vt:variant>
      <vt:variant>
        <vt:lpwstr>http://classiques.uqac.ca/inter/benevoles_equipe/liste_patenaude_pierre.html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2358</vt:i4>
      </vt:variant>
      <vt:variant>
        <vt:i4>1025</vt:i4>
      </vt:variant>
      <vt:variant>
        <vt:i4>1</vt:i4>
      </vt:variant>
      <vt:variant>
        <vt:lpwstr>css_logo_gris</vt:lpwstr>
      </vt:variant>
      <vt:variant>
        <vt:lpwstr/>
      </vt:variant>
      <vt:variant>
        <vt:i4>5111880</vt:i4>
      </vt:variant>
      <vt:variant>
        <vt:i4>2647</vt:i4>
      </vt:variant>
      <vt:variant>
        <vt:i4>1026</vt:i4>
      </vt:variant>
      <vt:variant>
        <vt:i4>1</vt:i4>
      </vt:variant>
      <vt:variant>
        <vt:lpwstr>UQAC_logo_2018</vt:lpwstr>
      </vt:variant>
      <vt:variant>
        <vt:lpwstr/>
      </vt:variant>
      <vt:variant>
        <vt:i4>4194334</vt:i4>
      </vt:variant>
      <vt:variant>
        <vt:i4>5171</vt:i4>
      </vt:variant>
      <vt:variant>
        <vt:i4>1027</vt:i4>
      </vt:variant>
      <vt:variant>
        <vt:i4>1</vt:i4>
      </vt:variant>
      <vt:variant>
        <vt:lpwstr>Boite_aux_lettres_clair</vt:lpwstr>
      </vt:variant>
      <vt:variant>
        <vt:lpwstr/>
      </vt:variant>
      <vt:variant>
        <vt:i4>1703963</vt:i4>
      </vt:variant>
      <vt:variant>
        <vt:i4>5782</vt:i4>
      </vt:variant>
      <vt:variant>
        <vt:i4>1028</vt:i4>
      </vt:variant>
      <vt:variant>
        <vt:i4>1</vt:i4>
      </vt:variant>
      <vt:variant>
        <vt:lpwstr>fait_sur_mac</vt:lpwstr>
      </vt:variant>
      <vt:variant>
        <vt:lpwstr/>
      </vt:variant>
      <vt:variant>
        <vt:i4>8061026</vt:i4>
      </vt:variant>
      <vt:variant>
        <vt:i4>5930</vt:i4>
      </vt:variant>
      <vt:variant>
        <vt:i4>1029</vt:i4>
      </vt:variant>
      <vt:variant>
        <vt:i4>1</vt:i4>
      </vt:variant>
      <vt:variant>
        <vt:lpwstr>Mondialisation_et_regionalisatio_L25_low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économies des pays de l’Est et la fin de la division cardinale du monde.”</dc:title>
  <dc:subject/>
  <dc:creator>Louis Gill, économiste, UQAM, 1992.</dc:creator>
  <cp:keywords>classiques.sc.soc@gmail.com</cp:keywords>
  <dc:description>http://classiques.uqac.ca/</dc:description>
  <cp:lastModifiedBy>Microsoft Office User</cp:lastModifiedBy>
  <cp:revision>2</cp:revision>
  <cp:lastPrinted>2001-08-26T19:33:00Z</cp:lastPrinted>
  <dcterms:created xsi:type="dcterms:W3CDTF">2021-01-18T23:57:00Z</dcterms:created>
  <dcterms:modified xsi:type="dcterms:W3CDTF">2021-01-18T23:57:00Z</dcterms:modified>
  <cp:category>par jean-marie tremblay, fondateur, 1993</cp:category>
</cp:coreProperties>
</file>