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F0581C">
        <w:tblPrEx>
          <w:tblCellMar>
            <w:top w:w="0" w:type="dxa"/>
            <w:bottom w:w="0" w:type="dxa"/>
          </w:tblCellMar>
        </w:tblPrEx>
        <w:tc>
          <w:tcPr>
            <w:tcW w:w="9160" w:type="dxa"/>
            <w:shd w:val="clear" w:color="auto" w:fill="EAF1DD"/>
          </w:tcPr>
          <w:p w:rsidR="00F0581C" w:rsidRDefault="00F0581C" w:rsidP="00F0581C">
            <w:pPr>
              <w:rPr>
                <w:lang w:bidi="ar-SA"/>
              </w:rPr>
            </w:pPr>
            <w:bookmarkStart w:id="0" w:name="_GoBack"/>
            <w:bookmarkEnd w:id="0"/>
          </w:p>
          <w:p w:rsidR="00F0581C" w:rsidRDefault="00F0581C">
            <w:pPr>
              <w:ind w:firstLine="0"/>
              <w:jc w:val="center"/>
              <w:rPr>
                <w:color w:val="FF0000"/>
                <w:sz w:val="20"/>
                <w:lang w:bidi="ar-SA"/>
              </w:rPr>
            </w:pPr>
          </w:p>
          <w:p w:rsidR="00F0581C" w:rsidRDefault="00F0581C">
            <w:pPr>
              <w:ind w:firstLine="0"/>
              <w:jc w:val="center"/>
              <w:rPr>
                <w:color w:val="FF0000"/>
                <w:sz w:val="20"/>
                <w:lang w:bidi="ar-SA"/>
              </w:rPr>
            </w:pPr>
          </w:p>
          <w:p w:rsidR="00F0581C" w:rsidRDefault="00F0581C">
            <w:pPr>
              <w:ind w:firstLine="0"/>
              <w:jc w:val="center"/>
              <w:rPr>
                <w:color w:val="FF0000"/>
                <w:sz w:val="20"/>
                <w:lang w:bidi="ar-SA"/>
              </w:rPr>
            </w:pPr>
          </w:p>
          <w:p w:rsidR="00F0581C" w:rsidRPr="00D67062" w:rsidRDefault="00F0581C">
            <w:pPr>
              <w:ind w:firstLine="0"/>
              <w:jc w:val="center"/>
              <w:rPr>
                <w:sz w:val="20"/>
                <w:lang w:bidi="ar-SA"/>
              </w:rPr>
            </w:pPr>
          </w:p>
          <w:p w:rsidR="00F0581C" w:rsidRDefault="00F0581C">
            <w:pPr>
              <w:ind w:firstLine="0"/>
              <w:jc w:val="center"/>
              <w:rPr>
                <w:b/>
                <w:sz w:val="36"/>
                <w:lang w:bidi="ar-SA"/>
              </w:rPr>
            </w:pPr>
            <w:r>
              <w:rPr>
                <w:sz w:val="36"/>
                <w:lang w:bidi="ar-SA"/>
              </w:rPr>
              <w:t>Alain-G. Gagnon,</w:t>
            </w:r>
            <w:r>
              <w:rPr>
                <w:sz w:val="36"/>
                <w:lang w:bidi="ar-SA"/>
              </w:rPr>
              <w:br/>
              <w:t>Luc Turgeon et Olivier de Champlain</w:t>
            </w:r>
          </w:p>
          <w:p w:rsidR="00F0581C" w:rsidRDefault="00F0581C">
            <w:pPr>
              <w:ind w:firstLine="0"/>
              <w:jc w:val="center"/>
              <w:rPr>
                <w:sz w:val="20"/>
                <w:lang w:bidi="ar-SA"/>
              </w:rPr>
            </w:pPr>
          </w:p>
          <w:p w:rsidR="00F0581C" w:rsidRPr="00CE2C5F" w:rsidRDefault="00F0581C">
            <w:pPr>
              <w:pStyle w:val="Corpsdetexte"/>
              <w:widowControl w:val="0"/>
              <w:spacing w:before="0" w:after="0"/>
              <w:rPr>
                <w:sz w:val="36"/>
                <w:lang w:bidi="ar-SA"/>
              </w:rPr>
            </w:pPr>
            <w:r w:rsidRPr="00CE2C5F">
              <w:rPr>
                <w:sz w:val="36"/>
                <w:lang w:bidi="ar-SA"/>
              </w:rPr>
              <w:t>(</w:t>
            </w:r>
            <w:r>
              <w:rPr>
                <w:sz w:val="36"/>
                <w:lang w:bidi="ar-SA"/>
              </w:rPr>
              <w:t>2006</w:t>
            </w:r>
            <w:r w:rsidRPr="00CE2C5F">
              <w:rPr>
                <w:sz w:val="36"/>
                <w:lang w:bidi="ar-SA"/>
              </w:rPr>
              <w:t>)</w:t>
            </w:r>
          </w:p>
          <w:p w:rsidR="00F0581C" w:rsidRDefault="00F0581C">
            <w:pPr>
              <w:pStyle w:val="Corpsdetexte"/>
              <w:widowControl w:val="0"/>
              <w:spacing w:before="0" w:after="0"/>
              <w:rPr>
                <w:color w:val="FF0000"/>
                <w:sz w:val="24"/>
                <w:lang w:bidi="ar-SA"/>
              </w:rPr>
            </w:pPr>
          </w:p>
          <w:p w:rsidR="00F0581C" w:rsidRDefault="00F0581C">
            <w:pPr>
              <w:pStyle w:val="Corpsdetexte"/>
              <w:widowControl w:val="0"/>
              <w:spacing w:before="0" w:after="0"/>
              <w:rPr>
                <w:color w:val="FF0000"/>
                <w:sz w:val="24"/>
                <w:lang w:bidi="ar-SA"/>
              </w:rPr>
            </w:pPr>
          </w:p>
          <w:p w:rsidR="00F0581C" w:rsidRDefault="00F0581C">
            <w:pPr>
              <w:pStyle w:val="Corpsdetexte"/>
              <w:widowControl w:val="0"/>
              <w:spacing w:before="0" w:after="0"/>
              <w:rPr>
                <w:color w:val="FF0000"/>
                <w:sz w:val="24"/>
                <w:lang w:bidi="ar-SA"/>
              </w:rPr>
            </w:pPr>
          </w:p>
          <w:p w:rsidR="00F0581C" w:rsidRPr="00671BEF" w:rsidRDefault="00F0581C" w:rsidP="00F0581C">
            <w:pPr>
              <w:pStyle w:val="Titlest"/>
              <w:rPr>
                <w:lang w:bidi="ar-SA"/>
              </w:rPr>
            </w:pPr>
            <w:r w:rsidRPr="00671BEF">
              <w:rPr>
                <w:lang w:bidi="ar-SA"/>
              </w:rPr>
              <w:t>“</w:t>
            </w:r>
            <w:r w:rsidRPr="005C4A1A">
              <w:rPr>
                <w:lang w:bidi="ar-SA"/>
              </w:rPr>
              <w:t>La bureaucratie représentative</w:t>
            </w:r>
            <w:r>
              <w:rPr>
                <w:lang w:bidi="ar-SA"/>
              </w:rPr>
              <w:br/>
            </w:r>
            <w:r w:rsidRPr="005C4A1A">
              <w:rPr>
                <w:lang w:bidi="ar-SA"/>
              </w:rPr>
              <w:t>au sein des États multinationaux</w:t>
            </w:r>
            <w:r w:rsidRPr="00671BEF">
              <w:rPr>
                <w:lang w:bidi="ar-SA"/>
              </w:rPr>
              <w:t>.”</w:t>
            </w:r>
          </w:p>
          <w:p w:rsidR="00F0581C" w:rsidRDefault="00F0581C">
            <w:pPr>
              <w:widowControl w:val="0"/>
              <w:ind w:firstLine="0"/>
              <w:jc w:val="center"/>
              <w:rPr>
                <w:lang w:bidi="ar-SA"/>
              </w:rPr>
            </w:pPr>
          </w:p>
          <w:p w:rsidR="00F0581C" w:rsidRDefault="00F0581C">
            <w:pPr>
              <w:widowControl w:val="0"/>
              <w:ind w:firstLine="0"/>
              <w:jc w:val="center"/>
              <w:rPr>
                <w:lang w:bidi="ar-SA"/>
              </w:rPr>
            </w:pPr>
          </w:p>
          <w:p w:rsidR="00F0581C" w:rsidRDefault="00F0581C" w:rsidP="00F0581C">
            <w:pPr>
              <w:widowControl w:val="0"/>
              <w:ind w:firstLine="0"/>
              <w:jc w:val="center"/>
              <w:rPr>
                <w:lang w:bidi="ar-SA"/>
              </w:rPr>
            </w:pPr>
          </w:p>
          <w:p w:rsidR="00F0581C" w:rsidRDefault="00F0581C" w:rsidP="00F0581C">
            <w:pPr>
              <w:widowControl w:val="0"/>
              <w:ind w:firstLine="0"/>
              <w:jc w:val="center"/>
              <w:rPr>
                <w:sz w:val="20"/>
                <w:lang w:bidi="ar-SA"/>
              </w:rPr>
            </w:pPr>
          </w:p>
          <w:p w:rsidR="00F0581C" w:rsidRPr="00384B20" w:rsidRDefault="00F0581C" w:rsidP="00F0581C">
            <w:pPr>
              <w:widowControl w:val="0"/>
              <w:ind w:firstLine="0"/>
              <w:jc w:val="center"/>
              <w:rPr>
                <w:sz w:val="20"/>
                <w:lang w:bidi="ar-SA"/>
              </w:rPr>
            </w:pPr>
          </w:p>
          <w:p w:rsidR="00F0581C" w:rsidRPr="00384B20" w:rsidRDefault="00F0581C" w:rsidP="00F0581C">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F0581C" w:rsidRPr="00E07116" w:rsidRDefault="00F0581C" w:rsidP="00F0581C">
            <w:pPr>
              <w:widowControl w:val="0"/>
              <w:ind w:firstLine="0"/>
              <w:jc w:val="both"/>
              <w:rPr>
                <w:lang w:bidi="ar-SA"/>
              </w:rPr>
            </w:pPr>
          </w:p>
          <w:p w:rsidR="00F0581C" w:rsidRPr="00E07116" w:rsidRDefault="00F0581C" w:rsidP="00F0581C">
            <w:pPr>
              <w:widowControl w:val="0"/>
              <w:ind w:firstLine="0"/>
              <w:jc w:val="both"/>
              <w:rPr>
                <w:lang w:bidi="ar-SA"/>
              </w:rPr>
            </w:pPr>
          </w:p>
          <w:p w:rsidR="00F0581C" w:rsidRDefault="00F0581C">
            <w:pPr>
              <w:widowControl w:val="0"/>
              <w:ind w:firstLine="0"/>
              <w:jc w:val="both"/>
              <w:rPr>
                <w:sz w:val="20"/>
                <w:lang w:bidi="ar-SA"/>
              </w:rPr>
            </w:pPr>
          </w:p>
          <w:p w:rsidR="00F0581C" w:rsidRDefault="00F0581C">
            <w:pPr>
              <w:widowControl w:val="0"/>
              <w:ind w:firstLine="0"/>
              <w:jc w:val="both"/>
              <w:rPr>
                <w:sz w:val="20"/>
                <w:lang w:bidi="ar-SA"/>
              </w:rPr>
            </w:pPr>
          </w:p>
          <w:p w:rsidR="00F0581C" w:rsidRDefault="00F0581C">
            <w:pPr>
              <w:widowControl w:val="0"/>
              <w:ind w:firstLine="0"/>
              <w:jc w:val="both"/>
              <w:rPr>
                <w:sz w:val="20"/>
                <w:lang w:bidi="ar-SA"/>
              </w:rPr>
            </w:pPr>
          </w:p>
          <w:p w:rsidR="00F0581C" w:rsidRDefault="00F0581C">
            <w:pPr>
              <w:widowControl w:val="0"/>
              <w:ind w:firstLine="0"/>
              <w:jc w:val="both"/>
              <w:rPr>
                <w:sz w:val="20"/>
                <w:lang w:bidi="ar-SA"/>
              </w:rPr>
            </w:pPr>
          </w:p>
          <w:p w:rsidR="00F0581C" w:rsidRDefault="00F0581C">
            <w:pPr>
              <w:widowControl w:val="0"/>
              <w:ind w:firstLine="0"/>
              <w:jc w:val="both"/>
              <w:rPr>
                <w:sz w:val="20"/>
                <w:lang w:bidi="ar-SA"/>
              </w:rPr>
            </w:pPr>
          </w:p>
          <w:p w:rsidR="00F0581C" w:rsidRDefault="00F0581C">
            <w:pPr>
              <w:widowControl w:val="0"/>
              <w:ind w:firstLine="0"/>
              <w:jc w:val="both"/>
              <w:rPr>
                <w:sz w:val="20"/>
                <w:lang w:bidi="ar-SA"/>
              </w:rPr>
            </w:pPr>
          </w:p>
          <w:p w:rsidR="00F0581C" w:rsidRDefault="00F0581C">
            <w:pPr>
              <w:widowControl w:val="0"/>
              <w:ind w:firstLine="0"/>
              <w:jc w:val="both"/>
              <w:rPr>
                <w:sz w:val="20"/>
                <w:lang w:bidi="ar-SA"/>
              </w:rPr>
            </w:pPr>
          </w:p>
          <w:p w:rsidR="00F0581C" w:rsidRDefault="00F0581C">
            <w:pPr>
              <w:widowControl w:val="0"/>
              <w:ind w:firstLine="0"/>
              <w:jc w:val="both"/>
              <w:rPr>
                <w:sz w:val="20"/>
                <w:lang w:bidi="ar-SA"/>
              </w:rPr>
            </w:pPr>
          </w:p>
          <w:p w:rsidR="00F0581C" w:rsidRDefault="00F0581C">
            <w:pPr>
              <w:ind w:firstLine="0"/>
              <w:jc w:val="both"/>
              <w:rPr>
                <w:lang w:bidi="ar-SA"/>
              </w:rPr>
            </w:pPr>
          </w:p>
        </w:tc>
      </w:tr>
    </w:tbl>
    <w:p w:rsidR="00F0581C" w:rsidRDefault="00F0581C" w:rsidP="00F0581C">
      <w:pPr>
        <w:ind w:firstLine="0"/>
        <w:jc w:val="both"/>
      </w:pPr>
      <w:r>
        <w:br w:type="page"/>
      </w:r>
    </w:p>
    <w:p w:rsidR="00F0581C" w:rsidRDefault="00F0581C" w:rsidP="00F0581C">
      <w:pPr>
        <w:ind w:firstLine="0"/>
        <w:jc w:val="both"/>
      </w:pPr>
    </w:p>
    <w:p w:rsidR="00F0581C" w:rsidRDefault="00F0581C" w:rsidP="00F0581C">
      <w:pPr>
        <w:ind w:firstLine="0"/>
        <w:jc w:val="both"/>
      </w:pPr>
    </w:p>
    <w:p w:rsidR="00F0581C" w:rsidRDefault="00F0581C" w:rsidP="00F0581C">
      <w:pPr>
        <w:ind w:firstLine="0"/>
        <w:jc w:val="both"/>
      </w:pPr>
    </w:p>
    <w:p w:rsidR="00F0581C" w:rsidRDefault="001321EE" w:rsidP="00F0581C">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F0581C" w:rsidRDefault="00F0581C" w:rsidP="00F0581C">
      <w:pPr>
        <w:ind w:firstLine="0"/>
        <w:jc w:val="right"/>
      </w:pPr>
      <w:hyperlink r:id="rId9" w:history="1">
        <w:r w:rsidRPr="00302466">
          <w:rPr>
            <w:rStyle w:val="Lienhypertexte"/>
          </w:rPr>
          <w:t>http://classiques.uqac.ca/</w:t>
        </w:r>
      </w:hyperlink>
      <w:r>
        <w:t xml:space="preserve"> </w:t>
      </w:r>
    </w:p>
    <w:p w:rsidR="00F0581C" w:rsidRDefault="00F0581C" w:rsidP="00F0581C">
      <w:pPr>
        <w:ind w:firstLine="0"/>
        <w:jc w:val="both"/>
      </w:pPr>
    </w:p>
    <w:p w:rsidR="00F0581C" w:rsidRDefault="00F0581C" w:rsidP="00F0581C">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F0581C" w:rsidRDefault="00F0581C" w:rsidP="00F0581C">
      <w:pPr>
        <w:ind w:firstLine="0"/>
        <w:jc w:val="both"/>
      </w:pPr>
    </w:p>
    <w:p w:rsidR="00F0581C" w:rsidRDefault="00F0581C" w:rsidP="00F0581C">
      <w:pPr>
        <w:ind w:firstLine="0"/>
        <w:jc w:val="both"/>
      </w:pPr>
    </w:p>
    <w:p w:rsidR="00F0581C" w:rsidRDefault="001321EE" w:rsidP="00F0581C">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F0581C" w:rsidRDefault="00F0581C" w:rsidP="00F0581C">
      <w:pPr>
        <w:ind w:firstLine="0"/>
        <w:jc w:val="both"/>
      </w:pPr>
      <w:hyperlink r:id="rId11" w:history="1">
        <w:r w:rsidRPr="00302466">
          <w:rPr>
            <w:rStyle w:val="Lienhypertexte"/>
          </w:rPr>
          <w:t>http://bibliotheque.uqac.ca/</w:t>
        </w:r>
      </w:hyperlink>
      <w:r>
        <w:t xml:space="preserve"> </w:t>
      </w:r>
    </w:p>
    <w:p w:rsidR="00F0581C" w:rsidRDefault="00F0581C" w:rsidP="00F0581C">
      <w:pPr>
        <w:ind w:firstLine="0"/>
        <w:jc w:val="both"/>
      </w:pPr>
    </w:p>
    <w:p w:rsidR="00F0581C" w:rsidRDefault="00F0581C" w:rsidP="00F0581C">
      <w:pPr>
        <w:ind w:firstLine="0"/>
        <w:jc w:val="both"/>
      </w:pPr>
    </w:p>
    <w:p w:rsidR="00F0581C" w:rsidRDefault="00F0581C" w:rsidP="00F0581C">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F0581C" w:rsidRPr="005E1FF1" w:rsidRDefault="00F0581C" w:rsidP="00F0581C">
      <w:pPr>
        <w:widowControl w:val="0"/>
        <w:autoSpaceDE w:val="0"/>
        <w:autoSpaceDN w:val="0"/>
        <w:adjustRightInd w:val="0"/>
        <w:rPr>
          <w:rFonts w:ascii="Arial" w:hAnsi="Arial"/>
          <w:sz w:val="32"/>
          <w:szCs w:val="32"/>
        </w:rPr>
      </w:pPr>
      <w:r w:rsidRPr="00E07116">
        <w:br w:type="page"/>
      </w:r>
    </w:p>
    <w:p w:rsidR="00F0581C" w:rsidRPr="003B7673" w:rsidRDefault="00F0581C" w:rsidP="00F0581C">
      <w:pPr>
        <w:widowControl w:val="0"/>
        <w:autoSpaceDE w:val="0"/>
        <w:autoSpaceDN w:val="0"/>
        <w:adjustRightInd w:val="0"/>
        <w:jc w:val="center"/>
        <w:rPr>
          <w:color w:val="008B00"/>
          <w:sz w:val="40"/>
          <w:szCs w:val="36"/>
        </w:rPr>
      </w:pPr>
      <w:r w:rsidRPr="003B7673">
        <w:rPr>
          <w:color w:val="008B00"/>
          <w:sz w:val="40"/>
          <w:szCs w:val="36"/>
        </w:rPr>
        <w:t>Politique d'utilisation</w:t>
      </w:r>
      <w:r w:rsidRPr="003B7673">
        <w:rPr>
          <w:color w:val="008B00"/>
          <w:sz w:val="40"/>
          <w:szCs w:val="36"/>
        </w:rPr>
        <w:br/>
        <w:t>de la bibliothèque des Classiques</w:t>
      </w:r>
    </w:p>
    <w:p w:rsidR="00F0581C" w:rsidRPr="005E1FF1" w:rsidRDefault="00F0581C" w:rsidP="00F0581C">
      <w:pPr>
        <w:widowControl w:val="0"/>
        <w:autoSpaceDE w:val="0"/>
        <w:autoSpaceDN w:val="0"/>
        <w:adjustRightInd w:val="0"/>
        <w:rPr>
          <w:rFonts w:ascii="Arial" w:hAnsi="Arial"/>
          <w:sz w:val="32"/>
          <w:szCs w:val="32"/>
        </w:rPr>
      </w:pPr>
    </w:p>
    <w:p w:rsidR="00F0581C" w:rsidRPr="005E1FF1" w:rsidRDefault="00F0581C" w:rsidP="00F0581C">
      <w:pPr>
        <w:widowControl w:val="0"/>
        <w:autoSpaceDE w:val="0"/>
        <w:autoSpaceDN w:val="0"/>
        <w:adjustRightInd w:val="0"/>
        <w:jc w:val="both"/>
        <w:rPr>
          <w:rFonts w:ascii="Arial" w:hAnsi="Arial"/>
          <w:color w:val="1C1C1C"/>
          <w:sz w:val="26"/>
          <w:szCs w:val="26"/>
        </w:rPr>
      </w:pPr>
    </w:p>
    <w:p w:rsidR="00F0581C" w:rsidRPr="005E1FF1" w:rsidRDefault="00F0581C" w:rsidP="00F0581C">
      <w:pPr>
        <w:widowControl w:val="0"/>
        <w:autoSpaceDE w:val="0"/>
        <w:autoSpaceDN w:val="0"/>
        <w:adjustRightInd w:val="0"/>
        <w:jc w:val="both"/>
        <w:rPr>
          <w:rFonts w:ascii="Arial" w:hAnsi="Arial"/>
          <w:color w:val="1C1C1C"/>
          <w:sz w:val="26"/>
          <w:szCs w:val="26"/>
        </w:rPr>
      </w:pPr>
    </w:p>
    <w:p w:rsidR="00F0581C" w:rsidRPr="005E1FF1" w:rsidRDefault="00F0581C" w:rsidP="00F0581C">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F0581C" w:rsidRPr="005E1FF1" w:rsidRDefault="00F0581C" w:rsidP="00F0581C">
      <w:pPr>
        <w:widowControl w:val="0"/>
        <w:autoSpaceDE w:val="0"/>
        <w:autoSpaceDN w:val="0"/>
        <w:adjustRightInd w:val="0"/>
        <w:jc w:val="both"/>
        <w:rPr>
          <w:rFonts w:ascii="Arial" w:hAnsi="Arial"/>
          <w:color w:val="1C1C1C"/>
          <w:sz w:val="26"/>
          <w:szCs w:val="26"/>
        </w:rPr>
      </w:pPr>
    </w:p>
    <w:p w:rsidR="00F0581C" w:rsidRPr="00F336C5" w:rsidRDefault="00F0581C" w:rsidP="00F0581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F0581C" w:rsidRPr="00F336C5" w:rsidRDefault="00F0581C" w:rsidP="00F0581C">
      <w:pPr>
        <w:widowControl w:val="0"/>
        <w:autoSpaceDE w:val="0"/>
        <w:autoSpaceDN w:val="0"/>
        <w:adjustRightInd w:val="0"/>
        <w:jc w:val="both"/>
        <w:rPr>
          <w:rFonts w:ascii="Arial" w:hAnsi="Arial"/>
          <w:color w:val="1C1C1C"/>
          <w:sz w:val="26"/>
          <w:szCs w:val="26"/>
        </w:rPr>
      </w:pPr>
    </w:p>
    <w:p w:rsidR="00F0581C" w:rsidRPr="00F336C5" w:rsidRDefault="00F0581C" w:rsidP="00F0581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F0581C" w:rsidRPr="00F336C5" w:rsidRDefault="00F0581C" w:rsidP="00F0581C">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F0581C" w:rsidRPr="00F336C5" w:rsidRDefault="00F0581C" w:rsidP="00F0581C">
      <w:pPr>
        <w:widowControl w:val="0"/>
        <w:autoSpaceDE w:val="0"/>
        <w:autoSpaceDN w:val="0"/>
        <w:adjustRightInd w:val="0"/>
        <w:jc w:val="both"/>
        <w:rPr>
          <w:rFonts w:ascii="Arial" w:hAnsi="Arial"/>
          <w:color w:val="1C1C1C"/>
          <w:sz w:val="26"/>
          <w:szCs w:val="26"/>
        </w:rPr>
      </w:pPr>
    </w:p>
    <w:p w:rsidR="00F0581C" w:rsidRPr="005E1FF1" w:rsidRDefault="00F0581C" w:rsidP="00F0581C">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F0581C" w:rsidRPr="005E1FF1" w:rsidRDefault="00F0581C" w:rsidP="00F0581C">
      <w:pPr>
        <w:widowControl w:val="0"/>
        <w:autoSpaceDE w:val="0"/>
        <w:autoSpaceDN w:val="0"/>
        <w:adjustRightInd w:val="0"/>
        <w:jc w:val="both"/>
        <w:rPr>
          <w:rFonts w:ascii="Arial" w:hAnsi="Arial"/>
          <w:color w:val="1C1C1C"/>
          <w:sz w:val="26"/>
          <w:szCs w:val="26"/>
        </w:rPr>
      </w:pPr>
    </w:p>
    <w:p w:rsidR="00F0581C" w:rsidRPr="005E1FF1" w:rsidRDefault="00F0581C" w:rsidP="00F0581C">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F0581C" w:rsidRPr="005E1FF1" w:rsidRDefault="00F0581C" w:rsidP="00F0581C">
      <w:pPr>
        <w:rPr>
          <w:rFonts w:ascii="Arial" w:hAnsi="Arial"/>
          <w:b/>
          <w:color w:val="1C1C1C"/>
          <w:sz w:val="26"/>
          <w:szCs w:val="26"/>
        </w:rPr>
      </w:pPr>
    </w:p>
    <w:p w:rsidR="00F0581C" w:rsidRPr="00A51D9C" w:rsidRDefault="00F0581C" w:rsidP="00F0581C">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F0581C" w:rsidRPr="005E1FF1" w:rsidRDefault="00F0581C" w:rsidP="00F0581C">
      <w:pPr>
        <w:rPr>
          <w:rFonts w:ascii="Arial" w:hAnsi="Arial"/>
          <w:b/>
          <w:color w:val="1C1C1C"/>
          <w:sz w:val="26"/>
          <w:szCs w:val="26"/>
        </w:rPr>
      </w:pPr>
    </w:p>
    <w:p w:rsidR="00F0581C" w:rsidRPr="005E1FF1" w:rsidRDefault="00F0581C" w:rsidP="00F0581C">
      <w:pPr>
        <w:rPr>
          <w:rFonts w:ascii="Arial" w:hAnsi="Arial"/>
          <w:color w:val="1C1C1C"/>
          <w:sz w:val="26"/>
          <w:szCs w:val="26"/>
        </w:rPr>
      </w:pPr>
      <w:r w:rsidRPr="005E1FF1">
        <w:rPr>
          <w:rFonts w:ascii="Arial" w:hAnsi="Arial"/>
          <w:color w:val="1C1C1C"/>
          <w:sz w:val="26"/>
          <w:szCs w:val="26"/>
        </w:rPr>
        <w:t>Jean-Marie Tremblay, sociologue</w:t>
      </w:r>
    </w:p>
    <w:p w:rsidR="00F0581C" w:rsidRPr="005E1FF1" w:rsidRDefault="00F0581C" w:rsidP="00F0581C">
      <w:pPr>
        <w:rPr>
          <w:rFonts w:ascii="Arial" w:hAnsi="Arial"/>
          <w:color w:val="1C1C1C"/>
          <w:sz w:val="26"/>
          <w:szCs w:val="26"/>
        </w:rPr>
      </w:pPr>
      <w:r w:rsidRPr="005E1FF1">
        <w:rPr>
          <w:rFonts w:ascii="Arial" w:hAnsi="Arial"/>
          <w:color w:val="1C1C1C"/>
          <w:sz w:val="26"/>
          <w:szCs w:val="26"/>
        </w:rPr>
        <w:t>Fondateur et Président-directeur général,</w:t>
      </w:r>
    </w:p>
    <w:p w:rsidR="00F0581C" w:rsidRPr="005E1FF1" w:rsidRDefault="00F0581C" w:rsidP="00F0581C">
      <w:pPr>
        <w:rPr>
          <w:rFonts w:ascii="Arial" w:hAnsi="Arial"/>
          <w:color w:val="000080"/>
        </w:rPr>
      </w:pPr>
      <w:r w:rsidRPr="005E1FF1">
        <w:rPr>
          <w:rFonts w:ascii="Arial" w:hAnsi="Arial"/>
          <w:color w:val="000080"/>
          <w:sz w:val="26"/>
          <w:szCs w:val="26"/>
        </w:rPr>
        <w:t>LES CLASSIQUES DES SCIENCES SOCIALES.</w:t>
      </w:r>
    </w:p>
    <w:p w:rsidR="00F0581C" w:rsidRPr="00CF4C8E" w:rsidRDefault="00F0581C" w:rsidP="00F0581C">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F0581C" w:rsidRPr="00CF4C8E" w:rsidRDefault="00F0581C" w:rsidP="00F0581C">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F0581C" w:rsidRPr="00CF4C8E" w:rsidRDefault="00F0581C" w:rsidP="00F0581C">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F0581C" w:rsidRDefault="00F0581C" w:rsidP="00F0581C">
      <w:pPr>
        <w:ind w:left="20" w:hanging="20"/>
        <w:jc w:val="both"/>
        <w:rPr>
          <w:sz w:val="20"/>
        </w:rPr>
      </w:pPr>
      <w:r w:rsidRPr="00CF4C8E">
        <w:rPr>
          <w:sz w:val="24"/>
        </w:rPr>
        <w:t>à partir du texte de :</w:t>
      </w:r>
    </w:p>
    <w:p w:rsidR="00F0581C" w:rsidRDefault="00F0581C" w:rsidP="00F0581C">
      <w:pPr>
        <w:ind w:left="20"/>
        <w:jc w:val="both"/>
        <w:rPr>
          <w:sz w:val="20"/>
        </w:rPr>
      </w:pPr>
    </w:p>
    <w:p w:rsidR="00F0581C" w:rsidRPr="00270781" w:rsidRDefault="00F0581C">
      <w:pPr>
        <w:ind w:left="20" w:firstLine="340"/>
        <w:jc w:val="both"/>
      </w:pPr>
      <w:r w:rsidRPr="00270781">
        <w:t>Alain-G. Gagnon</w:t>
      </w:r>
      <w:r>
        <w:t>, Luc Turgeon</w:t>
      </w:r>
      <w:r>
        <w:br/>
        <w:t>avec la collaboration de Olivier de Champlain</w:t>
      </w:r>
    </w:p>
    <w:p w:rsidR="00F0581C" w:rsidRPr="00270781" w:rsidRDefault="00F0581C" w:rsidP="00F0581C"/>
    <w:p w:rsidR="00F0581C" w:rsidRDefault="00F0581C" w:rsidP="00F0581C">
      <w:pPr>
        <w:spacing w:before="120" w:after="120"/>
        <w:jc w:val="both"/>
        <w:rPr>
          <w:szCs w:val="28"/>
        </w:rPr>
      </w:pPr>
      <w:r>
        <w:rPr>
          <w:szCs w:val="28"/>
        </w:rPr>
        <w:t>“</w:t>
      </w:r>
      <w:r w:rsidRPr="005C4A1A">
        <w:rPr>
          <w:b/>
          <w:szCs w:val="28"/>
        </w:rPr>
        <w:t>La bureaucratie représentative au sein des États multinati</w:t>
      </w:r>
      <w:r w:rsidRPr="005C4A1A">
        <w:rPr>
          <w:b/>
          <w:szCs w:val="28"/>
        </w:rPr>
        <w:t>o</w:t>
      </w:r>
      <w:r w:rsidRPr="005C4A1A">
        <w:rPr>
          <w:b/>
          <w:szCs w:val="28"/>
        </w:rPr>
        <w:t>naux</w:t>
      </w:r>
      <w:r>
        <w:rPr>
          <w:szCs w:val="28"/>
        </w:rPr>
        <w:t>.”</w:t>
      </w:r>
    </w:p>
    <w:p w:rsidR="00F0581C" w:rsidRPr="00CE2C5F" w:rsidRDefault="00F0581C">
      <w:pPr>
        <w:jc w:val="both"/>
        <w:rPr>
          <w:sz w:val="24"/>
        </w:rPr>
      </w:pPr>
    </w:p>
    <w:p w:rsidR="00F0581C" w:rsidRPr="00671BEF" w:rsidRDefault="00F0581C">
      <w:pPr>
        <w:jc w:val="both"/>
        <w:rPr>
          <w:sz w:val="24"/>
        </w:rPr>
      </w:pPr>
      <w:r>
        <w:t xml:space="preserve">In </w:t>
      </w:r>
      <w:r w:rsidRPr="00C74739">
        <w:rPr>
          <w:i/>
        </w:rPr>
        <w:t>Revue française d'adm</w:t>
      </w:r>
      <w:r w:rsidRPr="00C74739">
        <w:rPr>
          <w:i/>
        </w:rPr>
        <w:t>i</w:t>
      </w:r>
      <w:r w:rsidRPr="00C74739">
        <w:rPr>
          <w:i/>
        </w:rPr>
        <w:t>nistration publique</w:t>
      </w:r>
      <w:r>
        <w:t xml:space="preserve">, </w:t>
      </w:r>
      <w:r w:rsidRPr="00BB0438">
        <w:t>2006/2 n°118</w:t>
      </w:r>
      <w:r>
        <w:t>, pp.</w:t>
      </w:r>
      <w:r w:rsidRPr="00BB0438">
        <w:t xml:space="preserve"> 291 à 306</w:t>
      </w:r>
      <w:r>
        <w:t>. École National d’administration.</w:t>
      </w:r>
    </w:p>
    <w:p w:rsidR="00F0581C" w:rsidRPr="004D0DE7" w:rsidRDefault="00F0581C">
      <w:pPr>
        <w:jc w:val="both"/>
        <w:rPr>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firstRow="1" w:lastRow="0" w:firstColumn="1" w:lastColumn="0" w:noHBand="0" w:noVBand="0"/>
      </w:tblPr>
      <w:tblGrid>
        <w:gridCol w:w="1792"/>
        <w:gridCol w:w="6344"/>
      </w:tblGrid>
      <w:tr w:rsidR="00F0581C" w:rsidRPr="004D0DE7">
        <w:tc>
          <w:tcPr>
            <w:tcW w:w="1638" w:type="dxa"/>
            <w:vAlign w:val="center"/>
          </w:tcPr>
          <w:p w:rsidR="00F0581C" w:rsidRPr="004D0DE7" w:rsidRDefault="001321EE" w:rsidP="00F0581C">
            <w:pPr>
              <w:spacing w:before="120" w:after="120"/>
              <w:ind w:firstLine="0"/>
              <w:rPr>
                <w:sz w:val="20"/>
                <w:lang w:bidi="ar-SA"/>
              </w:rPr>
            </w:pPr>
            <w:r w:rsidRPr="004D0DE7">
              <w:rPr>
                <w:noProof/>
                <w:sz w:val="20"/>
                <w:lang w:bidi="ar-SA"/>
              </w:rPr>
              <w:drawing>
                <wp:inline distT="0" distB="0" distL="0" distR="0">
                  <wp:extent cx="1000760" cy="1172845"/>
                  <wp:effectExtent l="0" t="0" r="0" b="0"/>
                  <wp:docPr id="3" name="Image 3" descr="Alain_Gagnon_medaill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ain_Gagnon_medaill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760" cy="1172845"/>
                          </a:xfrm>
                          <a:prstGeom prst="rect">
                            <a:avLst/>
                          </a:prstGeom>
                          <a:noFill/>
                          <a:ln>
                            <a:noFill/>
                          </a:ln>
                        </pic:spPr>
                      </pic:pic>
                    </a:graphicData>
                  </a:graphic>
                </wp:inline>
              </w:drawing>
            </w:r>
          </w:p>
        </w:tc>
        <w:tc>
          <w:tcPr>
            <w:tcW w:w="6498" w:type="dxa"/>
            <w:vAlign w:val="center"/>
          </w:tcPr>
          <w:p w:rsidR="00F0581C" w:rsidRPr="00F65698" w:rsidRDefault="00F0581C" w:rsidP="00F0581C">
            <w:pPr>
              <w:spacing w:before="120" w:after="120"/>
              <w:ind w:left="194" w:right="90" w:firstLine="0"/>
              <w:jc w:val="both"/>
              <w:rPr>
                <w:sz w:val="24"/>
                <w:lang w:bidi="ar-SA"/>
              </w:rPr>
            </w:pPr>
            <w:r w:rsidRPr="00F65698">
              <w:rPr>
                <w:sz w:val="24"/>
                <w:lang w:bidi="ar-SA"/>
              </w:rPr>
              <w:t>M Alain-G. Gagnon, politologue, professeur au d</w:t>
            </w:r>
            <w:r w:rsidRPr="00F65698">
              <w:rPr>
                <w:sz w:val="24"/>
                <w:lang w:bidi="ar-SA"/>
              </w:rPr>
              <w:t>é</w:t>
            </w:r>
            <w:r w:rsidRPr="00F65698">
              <w:rPr>
                <w:sz w:val="24"/>
                <w:lang w:bidi="ar-SA"/>
              </w:rPr>
              <w:t xml:space="preserve">partement de sciences politique, UQÀM, nous a accordé le </w:t>
            </w:r>
            <w:r>
              <w:rPr>
                <w:sz w:val="24"/>
                <w:lang w:bidi="ar-SA"/>
              </w:rPr>
              <w:t>17 mars 2006</w:t>
            </w:r>
            <w:r w:rsidRPr="00F65698">
              <w:rPr>
                <w:sz w:val="24"/>
                <w:lang w:bidi="ar-SA"/>
              </w:rPr>
              <w:t xml:space="preserve"> son autorisation de diffuser en libre accès à tous </w:t>
            </w:r>
            <w:r>
              <w:rPr>
                <w:sz w:val="24"/>
                <w:lang w:bidi="ar-SA"/>
              </w:rPr>
              <w:t>l’ensemble de ses publications</w:t>
            </w:r>
            <w:r w:rsidRPr="00F65698">
              <w:rPr>
                <w:sz w:val="24"/>
                <w:lang w:bidi="ar-SA"/>
              </w:rPr>
              <w:t xml:space="preserve"> dans </w:t>
            </w:r>
            <w:r w:rsidRPr="00F65698">
              <w:rPr>
                <w:i/>
                <w:sz w:val="24"/>
                <w:lang w:bidi="ar-SA"/>
              </w:rPr>
              <w:t>Les Classiques des sciences s</w:t>
            </w:r>
            <w:r w:rsidRPr="00F65698">
              <w:rPr>
                <w:i/>
                <w:sz w:val="24"/>
                <w:lang w:bidi="ar-SA"/>
              </w:rPr>
              <w:t>o</w:t>
            </w:r>
            <w:r w:rsidRPr="00F65698">
              <w:rPr>
                <w:i/>
                <w:sz w:val="24"/>
                <w:lang w:bidi="ar-SA"/>
              </w:rPr>
              <w:t>ciales</w:t>
            </w:r>
            <w:r w:rsidRPr="00F65698">
              <w:rPr>
                <w:sz w:val="24"/>
                <w:lang w:bidi="ar-SA"/>
              </w:rPr>
              <w:t>.</w:t>
            </w:r>
          </w:p>
        </w:tc>
      </w:tr>
    </w:tbl>
    <w:p w:rsidR="00F0581C" w:rsidRPr="004D0DE7" w:rsidRDefault="00F0581C">
      <w:pPr>
        <w:jc w:val="both"/>
        <w:rPr>
          <w:sz w:val="20"/>
        </w:rPr>
      </w:pPr>
    </w:p>
    <w:p w:rsidR="00F0581C" w:rsidRPr="004D0DE7" w:rsidRDefault="001321EE" w:rsidP="00F0581C">
      <w:pPr>
        <w:ind w:firstLine="0"/>
        <w:rPr>
          <w:sz w:val="20"/>
        </w:rPr>
      </w:pPr>
      <w:r w:rsidRPr="004D0DE7">
        <w:rPr>
          <w:noProof/>
          <w:sz w:val="20"/>
        </w:rPr>
        <w:drawing>
          <wp:inline distT="0" distB="0" distL="0" distR="0">
            <wp:extent cx="258445" cy="25844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F0581C" w:rsidRPr="004D0DE7">
        <w:rPr>
          <w:sz w:val="20"/>
        </w:rPr>
        <w:t xml:space="preserve"> Courriel : </w:t>
      </w:r>
      <w:hyperlink r:id="rId16" w:history="1">
        <w:r w:rsidR="00F0581C" w:rsidRPr="004D0DE7">
          <w:rPr>
            <w:rStyle w:val="Lienhypertexte"/>
            <w:sz w:val="20"/>
          </w:rPr>
          <w:t>gagnon.alain@uqam.ca</w:t>
        </w:r>
      </w:hyperlink>
    </w:p>
    <w:p w:rsidR="00F0581C" w:rsidRDefault="00F0581C">
      <w:pPr>
        <w:ind w:right="1800"/>
        <w:jc w:val="both"/>
        <w:rPr>
          <w:sz w:val="20"/>
        </w:rPr>
      </w:pPr>
    </w:p>
    <w:p w:rsidR="00F0581C" w:rsidRPr="004D0DE7" w:rsidRDefault="00F0581C">
      <w:pPr>
        <w:ind w:right="1800"/>
        <w:jc w:val="both"/>
        <w:rPr>
          <w:sz w:val="20"/>
        </w:rPr>
      </w:pPr>
    </w:p>
    <w:p w:rsidR="00F0581C" w:rsidRPr="00CE2C5F" w:rsidRDefault="00F0581C">
      <w:pPr>
        <w:ind w:right="1800" w:firstLine="0"/>
        <w:jc w:val="both"/>
        <w:rPr>
          <w:sz w:val="24"/>
        </w:rPr>
      </w:pPr>
      <w:r w:rsidRPr="00CE2C5F">
        <w:rPr>
          <w:sz w:val="24"/>
        </w:rPr>
        <w:t>Polices de caractères utilisée :</w:t>
      </w:r>
    </w:p>
    <w:p w:rsidR="00F0581C" w:rsidRPr="00CE2C5F" w:rsidRDefault="00F0581C">
      <w:pPr>
        <w:ind w:right="1800" w:firstLine="0"/>
        <w:jc w:val="both"/>
        <w:rPr>
          <w:sz w:val="24"/>
        </w:rPr>
      </w:pPr>
    </w:p>
    <w:p w:rsidR="00F0581C" w:rsidRPr="00CE2C5F" w:rsidRDefault="00F0581C" w:rsidP="00F0581C">
      <w:pPr>
        <w:ind w:left="360" w:right="360" w:firstLine="0"/>
        <w:jc w:val="both"/>
        <w:rPr>
          <w:sz w:val="24"/>
        </w:rPr>
      </w:pPr>
      <w:r w:rsidRPr="00CE2C5F">
        <w:rPr>
          <w:sz w:val="24"/>
        </w:rPr>
        <w:t>Pour le texte: Times New Roman, 1</w:t>
      </w:r>
      <w:r>
        <w:rPr>
          <w:sz w:val="24"/>
        </w:rPr>
        <w:t>4</w:t>
      </w:r>
      <w:r w:rsidRPr="00CE2C5F">
        <w:rPr>
          <w:sz w:val="24"/>
        </w:rPr>
        <w:t xml:space="preserve"> points.</w:t>
      </w:r>
    </w:p>
    <w:p w:rsidR="00F0581C" w:rsidRPr="00CE2C5F" w:rsidRDefault="00F0581C" w:rsidP="00F0581C">
      <w:pPr>
        <w:ind w:left="360" w:right="360" w:firstLine="0"/>
        <w:jc w:val="both"/>
        <w:rPr>
          <w:sz w:val="24"/>
        </w:rPr>
      </w:pPr>
      <w:r w:rsidRPr="00CE2C5F">
        <w:rPr>
          <w:sz w:val="24"/>
        </w:rPr>
        <w:t>Pour les citations : Times New Roman, 12 points.</w:t>
      </w:r>
    </w:p>
    <w:p w:rsidR="00F0581C" w:rsidRPr="00CE2C5F" w:rsidRDefault="00F0581C">
      <w:pPr>
        <w:ind w:left="360" w:right="1800" w:firstLine="0"/>
        <w:jc w:val="both"/>
        <w:rPr>
          <w:sz w:val="24"/>
        </w:rPr>
      </w:pPr>
    </w:p>
    <w:p w:rsidR="00F0581C" w:rsidRPr="00CE2C5F" w:rsidRDefault="00F0581C">
      <w:pPr>
        <w:ind w:right="360" w:firstLine="0"/>
        <w:jc w:val="both"/>
        <w:rPr>
          <w:sz w:val="24"/>
        </w:rPr>
      </w:pPr>
      <w:r w:rsidRPr="00CE2C5F">
        <w:rPr>
          <w:sz w:val="24"/>
        </w:rPr>
        <w:t>Édition électronique réalisée avec le traitement de textes Micr</w:t>
      </w:r>
      <w:r w:rsidRPr="00CE2C5F">
        <w:rPr>
          <w:sz w:val="24"/>
        </w:rPr>
        <w:t>o</w:t>
      </w:r>
      <w:r w:rsidRPr="00CE2C5F">
        <w:rPr>
          <w:sz w:val="24"/>
        </w:rPr>
        <w:t>soft Word 200</w:t>
      </w:r>
      <w:r>
        <w:rPr>
          <w:sz w:val="24"/>
        </w:rPr>
        <w:t>8</w:t>
      </w:r>
      <w:r w:rsidRPr="00CE2C5F">
        <w:rPr>
          <w:sz w:val="24"/>
        </w:rPr>
        <w:t xml:space="preserve"> pour Maci</w:t>
      </w:r>
      <w:r w:rsidRPr="00CE2C5F">
        <w:rPr>
          <w:sz w:val="24"/>
        </w:rPr>
        <w:t>n</w:t>
      </w:r>
      <w:r w:rsidRPr="00CE2C5F">
        <w:rPr>
          <w:sz w:val="24"/>
        </w:rPr>
        <w:t>tosh.</w:t>
      </w:r>
    </w:p>
    <w:p w:rsidR="00F0581C" w:rsidRPr="00CE2C5F" w:rsidRDefault="00F0581C">
      <w:pPr>
        <w:ind w:right="1800" w:firstLine="0"/>
        <w:jc w:val="both"/>
        <w:rPr>
          <w:sz w:val="24"/>
        </w:rPr>
      </w:pPr>
    </w:p>
    <w:p w:rsidR="00F0581C" w:rsidRPr="00CE2C5F" w:rsidRDefault="00F0581C" w:rsidP="00F0581C">
      <w:pPr>
        <w:ind w:right="360" w:firstLine="0"/>
        <w:jc w:val="both"/>
        <w:rPr>
          <w:sz w:val="24"/>
        </w:rPr>
      </w:pPr>
      <w:r w:rsidRPr="00CE2C5F">
        <w:rPr>
          <w:sz w:val="24"/>
        </w:rPr>
        <w:t>Mise en page sur papier format : LETTRE (US</w:t>
      </w:r>
      <w:r>
        <w:rPr>
          <w:sz w:val="24"/>
        </w:rPr>
        <w:t>, 8.5’’ x 11’’.</w:t>
      </w:r>
    </w:p>
    <w:p w:rsidR="00F0581C" w:rsidRPr="00CE2C5F" w:rsidRDefault="00F0581C">
      <w:pPr>
        <w:ind w:right="1800" w:firstLine="0"/>
        <w:jc w:val="both"/>
        <w:rPr>
          <w:sz w:val="24"/>
        </w:rPr>
      </w:pPr>
    </w:p>
    <w:p w:rsidR="00F0581C" w:rsidRPr="00CE2C5F" w:rsidRDefault="00F0581C" w:rsidP="00F0581C">
      <w:pPr>
        <w:ind w:firstLine="0"/>
        <w:jc w:val="both"/>
        <w:rPr>
          <w:sz w:val="24"/>
        </w:rPr>
      </w:pPr>
      <w:r w:rsidRPr="00CE2C5F">
        <w:rPr>
          <w:sz w:val="24"/>
        </w:rPr>
        <w:t xml:space="preserve">Édition numérique réalisée le </w:t>
      </w:r>
      <w:r>
        <w:rPr>
          <w:sz w:val="24"/>
        </w:rPr>
        <w:t>26 septembre 2019</w:t>
      </w:r>
      <w:r w:rsidRPr="00CE2C5F">
        <w:rPr>
          <w:sz w:val="24"/>
        </w:rPr>
        <w:t xml:space="preserve"> à Chicou</w:t>
      </w:r>
      <w:r>
        <w:rPr>
          <w:sz w:val="24"/>
        </w:rPr>
        <w:t>timi</w:t>
      </w:r>
      <w:r w:rsidRPr="00CE2C5F">
        <w:rPr>
          <w:sz w:val="24"/>
        </w:rPr>
        <w:t xml:space="preserve">, </w:t>
      </w:r>
      <w:r>
        <w:rPr>
          <w:sz w:val="24"/>
        </w:rPr>
        <w:t>Québec</w:t>
      </w:r>
      <w:r w:rsidRPr="00CE2C5F">
        <w:rPr>
          <w:sz w:val="24"/>
        </w:rPr>
        <w:t>.</w:t>
      </w:r>
    </w:p>
    <w:p w:rsidR="00F0581C" w:rsidRPr="004D0DE7" w:rsidRDefault="00F0581C">
      <w:pPr>
        <w:ind w:right="1800" w:firstLine="0"/>
        <w:jc w:val="both"/>
        <w:rPr>
          <w:sz w:val="20"/>
        </w:rPr>
      </w:pPr>
    </w:p>
    <w:p w:rsidR="00F0581C" w:rsidRDefault="001321EE">
      <w:pPr>
        <w:ind w:right="1800" w:firstLine="0"/>
        <w:jc w:val="both"/>
      </w:pPr>
      <w:r>
        <w:rPr>
          <w:noProof/>
        </w:rPr>
        <w:drawing>
          <wp:inline distT="0" distB="0" distL="0" distR="0">
            <wp:extent cx="1118870" cy="39814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F0581C" w:rsidRDefault="00F0581C" w:rsidP="00F0581C">
      <w:pPr>
        <w:ind w:firstLine="0"/>
        <w:jc w:val="center"/>
      </w:pPr>
      <w:r>
        <w:br w:type="page"/>
      </w:r>
    </w:p>
    <w:p w:rsidR="00F0581C" w:rsidRDefault="00F0581C" w:rsidP="00F0581C">
      <w:pPr>
        <w:ind w:firstLine="0"/>
        <w:jc w:val="center"/>
      </w:pPr>
    </w:p>
    <w:p w:rsidR="00F0581C" w:rsidRPr="00270781" w:rsidRDefault="00F0581C" w:rsidP="00F0581C">
      <w:pPr>
        <w:ind w:left="20" w:firstLine="0"/>
        <w:jc w:val="center"/>
      </w:pPr>
      <w:r w:rsidRPr="00270781">
        <w:t>Alain-G. Gagnon</w:t>
      </w:r>
      <w:r>
        <w:t>, Luc Turgeon</w:t>
      </w:r>
      <w:r>
        <w:br/>
        <w:t>avec la collaboration de Olivier de Champlain</w:t>
      </w:r>
    </w:p>
    <w:p w:rsidR="00F0581C" w:rsidRPr="00AD1432" w:rsidRDefault="00F0581C" w:rsidP="00F0581C">
      <w:pPr>
        <w:spacing w:before="120" w:after="120"/>
        <w:ind w:firstLine="0"/>
        <w:jc w:val="center"/>
        <w:rPr>
          <w:color w:val="0000FF"/>
          <w:sz w:val="36"/>
          <w:szCs w:val="28"/>
        </w:rPr>
      </w:pPr>
      <w:r w:rsidRPr="00AD1432">
        <w:rPr>
          <w:color w:val="0000FF"/>
          <w:sz w:val="36"/>
          <w:szCs w:val="28"/>
        </w:rPr>
        <w:t>“La bureaucratie représentative</w:t>
      </w:r>
      <w:r w:rsidRPr="00AD1432">
        <w:rPr>
          <w:color w:val="0000FF"/>
          <w:sz w:val="36"/>
          <w:szCs w:val="28"/>
        </w:rPr>
        <w:br/>
        <w:t>au sein des États multinati</w:t>
      </w:r>
      <w:r w:rsidRPr="00AD1432">
        <w:rPr>
          <w:color w:val="0000FF"/>
          <w:sz w:val="36"/>
          <w:szCs w:val="28"/>
        </w:rPr>
        <w:t>o</w:t>
      </w:r>
      <w:r w:rsidRPr="00AD1432">
        <w:rPr>
          <w:color w:val="0000FF"/>
          <w:sz w:val="36"/>
          <w:szCs w:val="28"/>
        </w:rPr>
        <w:t>naux.”</w:t>
      </w:r>
    </w:p>
    <w:p w:rsidR="00F0581C" w:rsidRDefault="00F0581C" w:rsidP="00F0581C">
      <w:pPr>
        <w:ind w:firstLine="0"/>
        <w:jc w:val="center"/>
        <w:rPr>
          <w:sz w:val="24"/>
        </w:rPr>
      </w:pPr>
    </w:p>
    <w:p w:rsidR="00F0581C" w:rsidRDefault="001321EE" w:rsidP="00F0581C">
      <w:pPr>
        <w:ind w:firstLine="0"/>
        <w:jc w:val="center"/>
        <w:rPr>
          <w:sz w:val="24"/>
        </w:rPr>
      </w:pPr>
      <w:r w:rsidRPr="005C4A1A">
        <w:rPr>
          <w:noProof/>
          <w:sz w:val="24"/>
        </w:rPr>
        <w:drawing>
          <wp:inline distT="0" distB="0" distL="0" distR="0">
            <wp:extent cx="2592705" cy="3894455"/>
            <wp:effectExtent l="25400" t="25400" r="10795" b="17145"/>
            <wp:docPr id="6" name="Image 6" descr="RFAP_118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FAP_118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2705" cy="3894455"/>
                    </a:xfrm>
                    <a:prstGeom prst="rect">
                      <a:avLst/>
                    </a:prstGeom>
                    <a:noFill/>
                    <a:ln w="19050" cmpd="sng">
                      <a:solidFill>
                        <a:srgbClr val="000000"/>
                      </a:solidFill>
                      <a:miter lim="800000"/>
                      <a:headEnd/>
                      <a:tailEnd/>
                    </a:ln>
                    <a:effectLst/>
                  </pic:spPr>
                </pic:pic>
              </a:graphicData>
            </a:graphic>
          </wp:inline>
        </w:drawing>
      </w:r>
    </w:p>
    <w:p w:rsidR="00F0581C" w:rsidRPr="00CE2C5F" w:rsidRDefault="00F0581C" w:rsidP="00F0581C">
      <w:pPr>
        <w:ind w:firstLine="0"/>
        <w:jc w:val="center"/>
        <w:rPr>
          <w:sz w:val="24"/>
        </w:rPr>
      </w:pPr>
    </w:p>
    <w:p w:rsidR="00F0581C" w:rsidRPr="00671BEF" w:rsidRDefault="00F0581C" w:rsidP="00F0581C">
      <w:pPr>
        <w:jc w:val="both"/>
        <w:rPr>
          <w:sz w:val="24"/>
        </w:rPr>
      </w:pPr>
      <w:r>
        <w:t xml:space="preserve">In </w:t>
      </w:r>
      <w:r w:rsidRPr="00C74739">
        <w:rPr>
          <w:i/>
        </w:rPr>
        <w:t>Revue française d'adm</w:t>
      </w:r>
      <w:r w:rsidRPr="00C74739">
        <w:rPr>
          <w:i/>
        </w:rPr>
        <w:t>i</w:t>
      </w:r>
      <w:r w:rsidRPr="00C74739">
        <w:rPr>
          <w:i/>
        </w:rPr>
        <w:t>nistration publique</w:t>
      </w:r>
      <w:r>
        <w:t xml:space="preserve">, </w:t>
      </w:r>
      <w:r w:rsidRPr="00BB0438">
        <w:t>2006/2 n°118</w:t>
      </w:r>
      <w:r>
        <w:t>, pp.</w:t>
      </w:r>
      <w:r w:rsidRPr="00BB0438">
        <w:t xml:space="preserve"> 291 à 306</w:t>
      </w:r>
      <w:r>
        <w:t>. École National d’administration.</w:t>
      </w:r>
    </w:p>
    <w:p w:rsidR="00F0581C" w:rsidRDefault="00F0581C" w:rsidP="00F0581C">
      <w:pPr>
        <w:spacing w:before="120" w:after="120"/>
        <w:jc w:val="both"/>
      </w:pPr>
      <w:r>
        <w:br w:type="page"/>
      </w:r>
    </w:p>
    <w:p w:rsidR="00F0581C" w:rsidRDefault="00F0581C" w:rsidP="00F0581C">
      <w:pPr>
        <w:spacing w:before="120" w:after="120"/>
        <w:jc w:val="both"/>
      </w:pPr>
    </w:p>
    <w:p w:rsidR="00F0581C" w:rsidRPr="00BB0438" w:rsidRDefault="00F0581C" w:rsidP="00F0581C">
      <w:pPr>
        <w:spacing w:before="120" w:after="120"/>
        <w:jc w:val="both"/>
      </w:pPr>
      <w:r w:rsidRPr="00BB0438">
        <w:rPr>
          <w:b/>
          <w:bCs/>
          <w:szCs w:val="16"/>
        </w:rPr>
        <w:t>Alain-G. G</w:t>
      </w:r>
      <w:r w:rsidRPr="00BB0438">
        <w:rPr>
          <w:b/>
          <w:bCs/>
          <w:szCs w:val="16"/>
        </w:rPr>
        <w:t>A</w:t>
      </w:r>
      <w:r w:rsidRPr="00BB0438">
        <w:rPr>
          <w:b/>
          <w:bCs/>
          <w:szCs w:val="16"/>
        </w:rPr>
        <w:t>GNON</w:t>
      </w:r>
    </w:p>
    <w:p w:rsidR="00F0581C" w:rsidRPr="00BB0438" w:rsidRDefault="00F0581C" w:rsidP="00F0581C">
      <w:pPr>
        <w:spacing w:before="120" w:after="120"/>
        <w:jc w:val="both"/>
      </w:pPr>
      <w:r w:rsidRPr="00BB0438">
        <w:rPr>
          <w:i/>
          <w:iCs/>
          <w:szCs w:val="16"/>
        </w:rPr>
        <w:t>Professeur de sciences politiques</w:t>
      </w:r>
      <w:r>
        <w:rPr>
          <w:i/>
          <w:iCs/>
          <w:szCs w:val="16"/>
        </w:rPr>
        <w:br/>
      </w:r>
      <w:r w:rsidRPr="00BB0438">
        <w:rPr>
          <w:i/>
          <w:iCs/>
          <w:szCs w:val="16"/>
        </w:rPr>
        <w:t>à l'Université du Québec</w:t>
      </w:r>
      <w:r>
        <w:rPr>
          <w:i/>
          <w:iCs/>
          <w:szCs w:val="16"/>
        </w:rPr>
        <w:br/>
      </w:r>
      <w:r w:rsidRPr="00BB0438">
        <w:rPr>
          <w:i/>
          <w:iCs/>
          <w:szCs w:val="16"/>
        </w:rPr>
        <w:t>à Montréal, C</w:t>
      </w:r>
      <w:r w:rsidRPr="00BB0438">
        <w:rPr>
          <w:i/>
          <w:iCs/>
          <w:szCs w:val="16"/>
        </w:rPr>
        <w:t>a</w:t>
      </w:r>
      <w:r w:rsidRPr="00BB0438">
        <w:rPr>
          <w:i/>
          <w:iCs/>
          <w:szCs w:val="16"/>
        </w:rPr>
        <w:t>nada</w:t>
      </w:r>
    </w:p>
    <w:p w:rsidR="00F0581C" w:rsidRDefault="00F0581C" w:rsidP="00F0581C">
      <w:pPr>
        <w:spacing w:before="120" w:after="120"/>
        <w:jc w:val="both"/>
      </w:pPr>
    </w:p>
    <w:p w:rsidR="00F0581C" w:rsidRPr="00BB0438" w:rsidRDefault="00F0581C" w:rsidP="00F0581C">
      <w:pPr>
        <w:spacing w:before="120" w:after="120"/>
        <w:jc w:val="both"/>
      </w:pPr>
      <w:r w:rsidRPr="00BB0438">
        <w:rPr>
          <w:b/>
          <w:bCs/>
          <w:szCs w:val="16"/>
        </w:rPr>
        <w:t>Luc TU</w:t>
      </w:r>
      <w:r w:rsidRPr="00BB0438">
        <w:rPr>
          <w:b/>
          <w:bCs/>
          <w:szCs w:val="16"/>
        </w:rPr>
        <w:t>R</w:t>
      </w:r>
      <w:r w:rsidRPr="00BB0438">
        <w:rPr>
          <w:b/>
          <w:bCs/>
          <w:szCs w:val="16"/>
        </w:rPr>
        <w:t>GEON</w:t>
      </w:r>
    </w:p>
    <w:p w:rsidR="00F0581C" w:rsidRDefault="00F0581C" w:rsidP="00F0581C">
      <w:pPr>
        <w:spacing w:before="120" w:after="120"/>
        <w:jc w:val="both"/>
        <w:rPr>
          <w:i/>
          <w:iCs/>
          <w:szCs w:val="16"/>
        </w:rPr>
      </w:pPr>
      <w:r w:rsidRPr="00BB0438">
        <w:rPr>
          <w:i/>
          <w:iCs/>
          <w:szCs w:val="16"/>
        </w:rPr>
        <w:t>Doctorant,</w:t>
      </w:r>
      <w:r>
        <w:rPr>
          <w:i/>
          <w:iCs/>
          <w:szCs w:val="16"/>
        </w:rPr>
        <w:br/>
      </w:r>
      <w:r w:rsidRPr="00BB0438">
        <w:rPr>
          <w:i/>
          <w:iCs/>
          <w:szCs w:val="16"/>
        </w:rPr>
        <w:t>département de science politique,</w:t>
      </w:r>
      <w:r>
        <w:rPr>
          <w:i/>
          <w:iCs/>
          <w:szCs w:val="16"/>
        </w:rPr>
        <w:br/>
      </w:r>
      <w:r w:rsidRPr="00BB0438">
        <w:rPr>
          <w:i/>
          <w:iCs/>
          <w:szCs w:val="16"/>
        </w:rPr>
        <w:t xml:space="preserve">Université de Toronto, </w:t>
      </w:r>
      <w:r>
        <w:rPr>
          <w:i/>
          <w:iCs/>
          <w:szCs w:val="16"/>
        </w:rPr>
        <w:t>Canada</w:t>
      </w:r>
    </w:p>
    <w:p w:rsidR="00F0581C" w:rsidRPr="00BB0438" w:rsidRDefault="00F0581C" w:rsidP="00F0581C">
      <w:pPr>
        <w:spacing w:before="120" w:after="120"/>
        <w:jc w:val="both"/>
      </w:pPr>
    </w:p>
    <w:p w:rsidR="00F0581C" w:rsidRPr="00BB0438" w:rsidRDefault="00F0581C" w:rsidP="00F0581C">
      <w:pPr>
        <w:spacing w:before="120" w:after="120"/>
        <w:jc w:val="both"/>
      </w:pPr>
      <w:r w:rsidRPr="00BB0438">
        <w:rPr>
          <w:b/>
          <w:bCs/>
          <w:szCs w:val="16"/>
        </w:rPr>
        <w:t>avec la collaboration de Olivier De CHA</w:t>
      </w:r>
      <w:r w:rsidRPr="00BB0438">
        <w:rPr>
          <w:b/>
          <w:bCs/>
          <w:szCs w:val="16"/>
        </w:rPr>
        <w:t>M</w:t>
      </w:r>
      <w:r w:rsidRPr="00BB0438">
        <w:rPr>
          <w:b/>
          <w:bCs/>
          <w:szCs w:val="16"/>
        </w:rPr>
        <w:t>PLAIN</w:t>
      </w:r>
    </w:p>
    <w:p w:rsidR="00F0581C" w:rsidRPr="00BB0438" w:rsidRDefault="00F0581C" w:rsidP="00F0581C">
      <w:pPr>
        <w:spacing w:before="120" w:after="120"/>
        <w:jc w:val="both"/>
      </w:pPr>
      <w:r w:rsidRPr="00BB0438">
        <w:rPr>
          <w:i/>
          <w:iCs/>
          <w:szCs w:val="16"/>
        </w:rPr>
        <w:t>Chargé de projets à la chaire de recherche du Can</w:t>
      </w:r>
      <w:r w:rsidRPr="00BB0438">
        <w:rPr>
          <w:i/>
          <w:iCs/>
          <w:szCs w:val="16"/>
        </w:rPr>
        <w:t>a</w:t>
      </w:r>
      <w:r w:rsidRPr="00BB0438">
        <w:rPr>
          <w:i/>
          <w:iCs/>
          <w:szCs w:val="16"/>
        </w:rPr>
        <w:t>da en études québécoises et canadiennes (CREQC) de l'Université du Québec à Montréal, C</w:t>
      </w:r>
      <w:r w:rsidRPr="00BB0438">
        <w:rPr>
          <w:i/>
          <w:iCs/>
          <w:szCs w:val="16"/>
        </w:rPr>
        <w:t>a</w:t>
      </w:r>
      <w:r w:rsidRPr="00BB0438">
        <w:rPr>
          <w:i/>
          <w:iCs/>
          <w:szCs w:val="16"/>
        </w:rPr>
        <w:t>nada</w:t>
      </w:r>
    </w:p>
    <w:p w:rsidR="00F0581C" w:rsidRPr="00E07116" w:rsidRDefault="00F0581C" w:rsidP="00F0581C">
      <w:pPr>
        <w:jc w:val="both"/>
      </w:pPr>
      <w:r>
        <w:br w:type="page"/>
      </w:r>
    </w:p>
    <w:p w:rsidR="00F0581C" w:rsidRPr="00E07116" w:rsidRDefault="00F0581C" w:rsidP="00F0581C">
      <w:pPr>
        <w:jc w:val="both"/>
      </w:pPr>
    </w:p>
    <w:p w:rsidR="00F0581C" w:rsidRPr="00E07116" w:rsidRDefault="00F0581C" w:rsidP="00F0581C">
      <w:pPr>
        <w:jc w:val="both"/>
      </w:pPr>
    </w:p>
    <w:p w:rsidR="00F0581C" w:rsidRPr="00E07116" w:rsidRDefault="00F0581C" w:rsidP="00F0581C">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F0581C" w:rsidRPr="00E07116" w:rsidRDefault="00F0581C" w:rsidP="00F0581C">
      <w:pPr>
        <w:pStyle w:val="NormalWeb"/>
        <w:spacing w:before="2" w:after="2"/>
        <w:jc w:val="both"/>
        <w:rPr>
          <w:rFonts w:ascii="Times New Roman" w:hAnsi="Times New Roman"/>
          <w:sz w:val="28"/>
        </w:rPr>
      </w:pPr>
    </w:p>
    <w:p w:rsidR="00F0581C" w:rsidRPr="00E07116" w:rsidRDefault="00F0581C" w:rsidP="00F0581C">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F0581C" w:rsidRPr="00E07116" w:rsidRDefault="00F0581C" w:rsidP="00F0581C">
      <w:pPr>
        <w:jc w:val="both"/>
        <w:rPr>
          <w:szCs w:val="19"/>
        </w:rPr>
      </w:pPr>
    </w:p>
    <w:p w:rsidR="00F0581C" w:rsidRDefault="00F0581C" w:rsidP="00F0581C">
      <w:pPr>
        <w:pStyle w:val="p"/>
      </w:pPr>
      <w:r>
        <w:br w:type="page"/>
      </w:r>
    </w:p>
    <w:p w:rsidR="00F0581C" w:rsidRDefault="00F0581C">
      <w:pPr>
        <w:jc w:val="both"/>
      </w:pPr>
    </w:p>
    <w:p w:rsidR="00F0581C" w:rsidRDefault="00F0581C">
      <w:pPr>
        <w:jc w:val="both"/>
      </w:pPr>
    </w:p>
    <w:p w:rsidR="00F0581C" w:rsidRDefault="00F0581C" w:rsidP="00F0581C">
      <w:pPr>
        <w:ind w:firstLine="20"/>
        <w:jc w:val="center"/>
      </w:pPr>
      <w:bookmarkStart w:id="1" w:name="tdm"/>
      <w:r>
        <w:rPr>
          <w:color w:val="FF0000"/>
          <w:sz w:val="48"/>
        </w:rPr>
        <w:t>Table des matières</w:t>
      </w:r>
      <w:bookmarkEnd w:id="1"/>
    </w:p>
    <w:p w:rsidR="00F0581C" w:rsidRDefault="00F0581C">
      <w:pPr>
        <w:ind w:firstLine="0"/>
      </w:pPr>
    </w:p>
    <w:p w:rsidR="00F0581C" w:rsidRDefault="00F0581C">
      <w:pPr>
        <w:ind w:firstLine="0"/>
      </w:pPr>
    </w:p>
    <w:p w:rsidR="00F0581C" w:rsidRDefault="00F0581C" w:rsidP="00F0581C">
      <w:pPr>
        <w:spacing w:before="60" w:after="60"/>
        <w:ind w:left="540" w:hanging="540"/>
        <w:jc w:val="both"/>
        <w:rPr>
          <w:szCs w:val="16"/>
        </w:rPr>
      </w:pPr>
      <w:hyperlink w:anchor="bureaucration_au_sein_intro" w:history="1">
        <w:r w:rsidRPr="00681975">
          <w:rPr>
            <w:rStyle w:val="Lienhypertexte"/>
            <w:szCs w:val="16"/>
          </w:rPr>
          <w:t>Introduction</w:t>
        </w:r>
      </w:hyperlink>
      <w:r>
        <w:rPr>
          <w:szCs w:val="16"/>
        </w:rPr>
        <w:t xml:space="preserve"> [291]</w:t>
      </w:r>
    </w:p>
    <w:p w:rsidR="00F0581C" w:rsidRDefault="00F0581C" w:rsidP="00F0581C">
      <w:pPr>
        <w:spacing w:before="60" w:after="60"/>
        <w:ind w:left="540" w:hanging="540"/>
        <w:jc w:val="both"/>
        <w:rPr>
          <w:szCs w:val="16"/>
        </w:rPr>
      </w:pPr>
    </w:p>
    <w:p w:rsidR="00F0581C" w:rsidRPr="004A69B0" w:rsidRDefault="00F0581C" w:rsidP="00F0581C">
      <w:pPr>
        <w:spacing w:before="60" w:after="60"/>
        <w:ind w:left="540" w:hanging="540"/>
        <w:jc w:val="both"/>
        <w:rPr>
          <w:szCs w:val="16"/>
        </w:rPr>
      </w:pPr>
      <w:hyperlink w:anchor="bureaucration_au_sein_I" w:history="1">
        <w:r w:rsidRPr="00681975">
          <w:rPr>
            <w:rStyle w:val="Lienhypertexte"/>
            <w:bCs/>
            <w:szCs w:val="16"/>
          </w:rPr>
          <w:t>LES ÉTATS MUTINATIONAUX : UNE TYPOLOGIE</w:t>
        </w:r>
      </w:hyperlink>
      <w:r>
        <w:rPr>
          <w:bCs/>
          <w:szCs w:val="16"/>
        </w:rPr>
        <w:t xml:space="preserve"> [293]</w:t>
      </w:r>
    </w:p>
    <w:p w:rsidR="00F0581C" w:rsidRDefault="00F0581C" w:rsidP="00F0581C">
      <w:pPr>
        <w:spacing w:before="60" w:after="60"/>
        <w:ind w:left="1170" w:hanging="540"/>
        <w:jc w:val="both"/>
        <w:rPr>
          <w:bCs/>
          <w:szCs w:val="16"/>
        </w:rPr>
      </w:pPr>
    </w:p>
    <w:p w:rsidR="00F0581C" w:rsidRPr="004A69B0" w:rsidRDefault="00F0581C" w:rsidP="00F0581C">
      <w:pPr>
        <w:spacing w:before="60" w:after="60"/>
        <w:ind w:left="1170" w:hanging="540"/>
        <w:jc w:val="both"/>
        <w:rPr>
          <w:szCs w:val="16"/>
        </w:rPr>
      </w:pPr>
      <w:hyperlink w:anchor="bureaucration_au_sein_I_a" w:history="1">
        <w:r w:rsidRPr="00681975">
          <w:rPr>
            <w:rStyle w:val="Lienhypertexte"/>
            <w:bCs/>
            <w:szCs w:val="16"/>
          </w:rPr>
          <w:t>La Turquie </w:t>
        </w:r>
      </w:hyperlink>
      <w:r w:rsidRPr="004A69B0">
        <w:rPr>
          <w:bCs/>
          <w:szCs w:val="16"/>
        </w:rPr>
        <w:t>: l'idéologie kémaliste en héritage</w:t>
      </w:r>
      <w:r>
        <w:rPr>
          <w:bCs/>
          <w:szCs w:val="16"/>
        </w:rPr>
        <w:t xml:space="preserve"> [295]</w:t>
      </w:r>
    </w:p>
    <w:p w:rsidR="00F0581C" w:rsidRPr="004A69B0" w:rsidRDefault="00F0581C" w:rsidP="00F0581C">
      <w:pPr>
        <w:spacing w:before="60" w:after="60"/>
        <w:ind w:left="1170" w:hanging="540"/>
        <w:jc w:val="both"/>
        <w:rPr>
          <w:szCs w:val="16"/>
        </w:rPr>
      </w:pPr>
      <w:hyperlink w:anchor="bureaucration_au_sein_I_b" w:history="1">
        <w:r w:rsidRPr="00681975">
          <w:rPr>
            <w:rStyle w:val="Lienhypertexte"/>
            <w:bCs/>
            <w:szCs w:val="16"/>
          </w:rPr>
          <w:t>Le Royaume-Uni </w:t>
        </w:r>
      </w:hyperlink>
      <w:r w:rsidRPr="004A69B0">
        <w:rPr>
          <w:bCs/>
          <w:szCs w:val="16"/>
        </w:rPr>
        <w:t>:</w:t>
      </w:r>
      <w:r w:rsidRPr="004A69B0">
        <w:rPr>
          <w:szCs w:val="16"/>
        </w:rPr>
        <w:t xml:space="preserve"> </w:t>
      </w:r>
      <w:r w:rsidRPr="004A69B0">
        <w:rPr>
          <w:bCs/>
          <w:szCs w:val="16"/>
        </w:rPr>
        <w:t>l'unionisme comme principe d'incorpor</w:t>
      </w:r>
      <w:r w:rsidRPr="004A69B0">
        <w:rPr>
          <w:bCs/>
          <w:szCs w:val="16"/>
        </w:rPr>
        <w:t>a</w:t>
      </w:r>
      <w:r w:rsidRPr="004A69B0">
        <w:rPr>
          <w:bCs/>
          <w:szCs w:val="16"/>
        </w:rPr>
        <w:t>tion</w:t>
      </w:r>
      <w:r>
        <w:rPr>
          <w:bCs/>
          <w:szCs w:val="16"/>
        </w:rPr>
        <w:t xml:space="preserve"> [295]</w:t>
      </w:r>
    </w:p>
    <w:p w:rsidR="00F0581C" w:rsidRDefault="00F0581C" w:rsidP="00F0581C">
      <w:pPr>
        <w:spacing w:before="60" w:after="60"/>
        <w:ind w:left="1170" w:hanging="540"/>
        <w:jc w:val="both"/>
        <w:rPr>
          <w:szCs w:val="16"/>
        </w:rPr>
      </w:pPr>
      <w:hyperlink w:anchor="bureaucration_au_sein_I_c" w:history="1">
        <w:r w:rsidRPr="00681975">
          <w:rPr>
            <w:rStyle w:val="Lienhypertexte"/>
            <w:bCs/>
            <w:szCs w:val="16"/>
          </w:rPr>
          <w:t>Le Canada </w:t>
        </w:r>
      </w:hyperlink>
      <w:r w:rsidRPr="004A69B0">
        <w:rPr>
          <w:bCs/>
          <w:szCs w:val="16"/>
        </w:rPr>
        <w:t>: fédéralisme, libéralisme et mult</w:t>
      </w:r>
      <w:r w:rsidRPr="004A69B0">
        <w:rPr>
          <w:bCs/>
          <w:szCs w:val="16"/>
        </w:rPr>
        <w:t>i</w:t>
      </w:r>
      <w:r w:rsidRPr="004A69B0">
        <w:rPr>
          <w:bCs/>
          <w:szCs w:val="16"/>
        </w:rPr>
        <w:t>culturalisme</w:t>
      </w:r>
      <w:r>
        <w:rPr>
          <w:bCs/>
          <w:szCs w:val="16"/>
        </w:rPr>
        <w:t xml:space="preserve"> [296]</w:t>
      </w:r>
    </w:p>
    <w:p w:rsidR="00F0581C" w:rsidRPr="004A69B0" w:rsidRDefault="00F0581C" w:rsidP="00F0581C">
      <w:pPr>
        <w:spacing w:before="60" w:after="60"/>
        <w:ind w:left="1170" w:hanging="540"/>
        <w:jc w:val="both"/>
        <w:rPr>
          <w:szCs w:val="16"/>
        </w:rPr>
      </w:pPr>
      <w:hyperlink w:anchor="bureaucration_au_sein_I_d" w:history="1">
        <w:r w:rsidRPr="00681975">
          <w:rPr>
            <w:rStyle w:val="Lienhypertexte"/>
            <w:bCs/>
            <w:szCs w:val="16"/>
          </w:rPr>
          <w:t>Le Nigeria </w:t>
        </w:r>
      </w:hyperlink>
      <w:r w:rsidRPr="004A69B0">
        <w:rPr>
          <w:bCs/>
          <w:szCs w:val="16"/>
        </w:rPr>
        <w:t>: fédéralisme et communautarisme</w:t>
      </w:r>
      <w:r>
        <w:rPr>
          <w:bCs/>
          <w:szCs w:val="16"/>
        </w:rPr>
        <w:t xml:space="preserve"> [297]</w:t>
      </w:r>
    </w:p>
    <w:p w:rsidR="00F0581C" w:rsidRDefault="00F0581C" w:rsidP="00F0581C">
      <w:pPr>
        <w:spacing w:before="60" w:after="60"/>
        <w:ind w:left="540" w:hanging="540"/>
        <w:jc w:val="both"/>
        <w:rPr>
          <w:szCs w:val="16"/>
        </w:rPr>
      </w:pPr>
    </w:p>
    <w:p w:rsidR="00F0581C" w:rsidRPr="004A69B0" w:rsidRDefault="00F0581C" w:rsidP="00F0581C">
      <w:pPr>
        <w:spacing w:before="60" w:after="60"/>
        <w:ind w:left="540" w:hanging="540"/>
        <w:jc w:val="both"/>
        <w:rPr>
          <w:szCs w:val="16"/>
        </w:rPr>
      </w:pPr>
      <w:hyperlink w:anchor="bureaucration_au_sein_II" w:history="1">
        <w:r w:rsidRPr="00681975">
          <w:rPr>
            <w:rStyle w:val="Lienhypertexte"/>
            <w:bCs/>
            <w:szCs w:val="16"/>
          </w:rPr>
          <w:t>LA FONCTION PUBLIQUE DANS QUATRE ÉTATS MULTIN</w:t>
        </w:r>
        <w:r w:rsidRPr="00681975">
          <w:rPr>
            <w:rStyle w:val="Lienhypertexte"/>
            <w:bCs/>
            <w:szCs w:val="16"/>
          </w:rPr>
          <w:t>A</w:t>
        </w:r>
        <w:r w:rsidRPr="00681975">
          <w:rPr>
            <w:rStyle w:val="Lienhypertexte"/>
            <w:bCs/>
            <w:szCs w:val="16"/>
          </w:rPr>
          <w:t>TIONAUX</w:t>
        </w:r>
      </w:hyperlink>
      <w:r>
        <w:rPr>
          <w:bCs/>
          <w:szCs w:val="16"/>
        </w:rPr>
        <w:t xml:space="preserve"> [298]</w:t>
      </w:r>
    </w:p>
    <w:p w:rsidR="00F0581C" w:rsidRDefault="00F0581C" w:rsidP="00F0581C">
      <w:pPr>
        <w:spacing w:before="60" w:after="60"/>
        <w:ind w:left="1170" w:hanging="540"/>
        <w:jc w:val="both"/>
        <w:rPr>
          <w:bCs/>
          <w:szCs w:val="16"/>
        </w:rPr>
      </w:pPr>
    </w:p>
    <w:p w:rsidR="00F0581C" w:rsidRPr="004A69B0" w:rsidRDefault="00F0581C" w:rsidP="00F0581C">
      <w:pPr>
        <w:spacing w:before="60" w:after="60"/>
        <w:ind w:left="1170" w:hanging="540"/>
        <w:jc w:val="both"/>
        <w:rPr>
          <w:bCs/>
          <w:szCs w:val="16"/>
        </w:rPr>
      </w:pPr>
      <w:hyperlink w:anchor="bureaucration_au_sein_II_a" w:history="1">
        <w:r w:rsidRPr="00681975">
          <w:rPr>
            <w:rStyle w:val="Lienhypertexte"/>
            <w:bCs/>
            <w:szCs w:val="16"/>
          </w:rPr>
          <w:t>La Turquie</w:t>
        </w:r>
      </w:hyperlink>
      <w:r>
        <w:rPr>
          <w:bCs/>
          <w:szCs w:val="16"/>
        </w:rPr>
        <w:t xml:space="preserve"> [298]</w:t>
      </w:r>
    </w:p>
    <w:p w:rsidR="00F0581C" w:rsidRPr="004A69B0" w:rsidRDefault="00F0581C" w:rsidP="00F0581C">
      <w:pPr>
        <w:spacing w:before="60" w:after="60"/>
        <w:ind w:left="1170" w:hanging="540"/>
        <w:jc w:val="both"/>
        <w:rPr>
          <w:bCs/>
          <w:szCs w:val="16"/>
        </w:rPr>
      </w:pPr>
      <w:hyperlink w:anchor="bureaucration_au_sein_II_b" w:history="1">
        <w:r w:rsidRPr="00681975">
          <w:rPr>
            <w:rStyle w:val="Lienhypertexte"/>
            <w:bCs/>
            <w:szCs w:val="16"/>
          </w:rPr>
          <w:t>Le Royaume-Uni</w:t>
        </w:r>
      </w:hyperlink>
      <w:r>
        <w:rPr>
          <w:bCs/>
          <w:szCs w:val="16"/>
        </w:rPr>
        <w:t xml:space="preserve"> [300]</w:t>
      </w:r>
    </w:p>
    <w:p w:rsidR="00F0581C" w:rsidRPr="004A69B0" w:rsidRDefault="00F0581C" w:rsidP="00F0581C">
      <w:pPr>
        <w:spacing w:before="60" w:after="60"/>
        <w:ind w:left="1170" w:hanging="540"/>
        <w:jc w:val="both"/>
        <w:rPr>
          <w:bCs/>
          <w:szCs w:val="16"/>
        </w:rPr>
      </w:pPr>
      <w:hyperlink w:anchor="bureaucration_au_sein_II_c" w:history="1">
        <w:r w:rsidRPr="00681975">
          <w:rPr>
            <w:rStyle w:val="Lienhypertexte"/>
            <w:bCs/>
            <w:szCs w:val="16"/>
          </w:rPr>
          <w:t>Le Canada</w:t>
        </w:r>
      </w:hyperlink>
      <w:r>
        <w:rPr>
          <w:bCs/>
          <w:szCs w:val="16"/>
        </w:rPr>
        <w:t xml:space="preserve"> [301]</w:t>
      </w:r>
    </w:p>
    <w:p w:rsidR="00F0581C" w:rsidRPr="004A69B0" w:rsidRDefault="00F0581C" w:rsidP="00F0581C">
      <w:pPr>
        <w:spacing w:before="60" w:after="60"/>
        <w:ind w:left="1170" w:hanging="540"/>
        <w:jc w:val="both"/>
        <w:rPr>
          <w:szCs w:val="16"/>
        </w:rPr>
      </w:pPr>
      <w:hyperlink w:anchor="bureaucration_au_sein_II_d" w:history="1">
        <w:r w:rsidRPr="00681975">
          <w:rPr>
            <w:rStyle w:val="Lienhypertexte"/>
            <w:bCs/>
            <w:szCs w:val="16"/>
          </w:rPr>
          <w:t>Le Nigeria</w:t>
        </w:r>
      </w:hyperlink>
      <w:r>
        <w:rPr>
          <w:bCs/>
          <w:szCs w:val="16"/>
        </w:rPr>
        <w:t xml:space="preserve"> [303]</w:t>
      </w:r>
    </w:p>
    <w:p w:rsidR="00F0581C" w:rsidRDefault="00F0581C" w:rsidP="00F0581C">
      <w:pPr>
        <w:spacing w:before="60" w:after="60"/>
        <w:ind w:left="540" w:hanging="540"/>
        <w:jc w:val="both"/>
        <w:rPr>
          <w:szCs w:val="16"/>
        </w:rPr>
      </w:pPr>
    </w:p>
    <w:p w:rsidR="00F0581C" w:rsidRPr="004A69B0" w:rsidRDefault="00F0581C" w:rsidP="00F0581C">
      <w:pPr>
        <w:spacing w:before="60" w:after="60"/>
        <w:ind w:left="540" w:hanging="540"/>
        <w:jc w:val="both"/>
        <w:rPr>
          <w:szCs w:val="16"/>
        </w:rPr>
      </w:pPr>
      <w:hyperlink w:anchor="bureaucration_au_sein_III" w:history="1">
        <w:r w:rsidRPr="00681975">
          <w:rPr>
            <w:rStyle w:val="Lienhypertexte"/>
            <w:bCs/>
            <w:szCs w:val="16"/>
          </w:rPr>
          <w:t>UNE PERSPECTIVE COMPARÉE</w:t>
        </w:r>
      </w:hyperlink>
      <w:r>
        <w:rPr>
          <w:bCs/>
          <w:szCs w:val="16"/>
        </w:rPr>
        <w:t xml:space="preserve"> [305]</w:t>
      </w:r>
    </w:p>
    <w:p w:rsidR="00F0581C" w:rsidRDefault="00F0581C">
      <w:pPr>
        <w:ind w:left="360" w:firstLine="340"/>
      </w:pPr>
    </w:p>
    <w:p w:rsidR="00F0581C" w:rsidRDefault="00F0581C" w:rsidP="00F0581C">
      <w:pPr>
        <w:pStyle w:val="p"/>
      </w:pPr>
      <w:r>
        <w:br w:type="page"/>
      </w:r>
      <w:r>
        <w:lastRenderedPageBreak/>
        <w:t>[291]</w:t>
      </w:r>
    </w:p>
    <w:p w:rsidR="00F0581C" w:rsidRDefault="00F0581C">
      <w:pPr>
        <w:jc w:val="both"/>
      </w:pPr>
    </w:p>
    <w:p w:rsidR="00F0581C" w:rsidRDefault="00F0581C">
      <w:pPr>
        <w:jc w:val="both"/>
      </w:pPr>
    </w:p>
    <w:p w:rsidR="00F0581C" w:rsidRPr="00270781" w:rsidRDefault="00F0581C" w:rsidP="00F0581C">
      <w:pPr>
        <w:ind w:left="20" w:firstLine="0"/>
        <w:jc w:val="center"/>
      </w:pPr>
      <w:r w:rsidRPr="00270781">
        <w:t>Alain-G. Gagnon</w:t>
      </w:r>
      <w:r>
        <w:t>,</w:t>
      </w:r>
      <w:r>
        <w:br/>
        <w:t>Luc Turgeon et Olivier de Champlain</w:t>
      </w:r>
    </w:p>
    <w:p w:rsidR="00F0581C" w:rsidRPr="00270781" w:rsidRDefault="00F0581C" w:rsidP="00F0581C">
      <w:pPr>
        <w:ind w:firstLine="0"/>
        <w:jc w:val="center"/>
      </w:pPr>
    </w:p>
    <w:p w:rsidR="00F0581C" w:rsidRDefault="00F0581C" w:rsidP="00F0581C">
      <w:pPr>
        <w:spacing w:before="120" w:after="120"/>
        <w:ind w:firstLine="0"/>
        <w:jc w:val="center"/>
        <w:rPr>
          <w:szCs w:val="28"/>
        </w:rPr>
      </w:pPr>
      <w:r>
        <w:rPr>
          <w:szCs w:val="28"/>
        </w:rPr>
        <w:t>“</w:t>
      </w:r>
      <w:r w:rsidRPr="005C4A1A">
        <w:rPr>
          <w:b/>
          <w:szCs w:val="28"/>
        </w:rPr>
        <w:t>La bureaucratie représentative</w:t>
      </w:r>
      <w:r>
        <w:rPr>
          <w:b/>
          <w:szCs w:val="28"/>
        </w:rPr>
        <w:br/>
      </w:r>
      <w:r w:rsidRPr="005C4A1A">
        <w:rPr>
          <w:b/>
          <w:szCs w:val="28"/>
        </w:rPr>
        <w:t>au sein des États multinati</w:t>
      </w:r>
      <w:r w:rsidRPr="005C4A1A">
        <w:rPr>
          <w:b/>
          <w:szCs w:val="28"/>
        </w:rPr>
        <w:t>o</w:t>
      </w:r>
      <w:r w:rsidRPr="005C4A1A">
        <w:rPr>
          <w:b/>
          <w:szCs w:val="28"/>
        </w:rPr>
        <w:t>naux</w:t>
      </w:r>
      <w:r>
        <w:rPr>
          <w:szCs w:val="28"/>
        </w:rPr>
        <w:t>.”</w:t>
      </w:r>
    </w:p>
    <w:p w:rsidR="00F0581C" w:rsidRPr="00CE2C5F" w:rsidRDefault="00F0581C" w:rsidP="00F0581C">
      <w:pPr>
        <w:jc w:val="both"/>
        <w:rPr>
          <w:sz w:val="24"/>
        </w:rPr>
      </w:pPr>
    </w:p>
    <w:p w:rsidR="00F0581C" w:rsidRPr="00671BEF" w:rsidRDefault="00F0581C" w:rsidP="00F0581C">
      <w:pPr>
        <w:jc w:val="both"/>
        <w:rPr>
          <w:sz w:val="24"/>
        </w:rPr>
      </w:pPr>
      <w:r>
        <w:t xml:space="preserve">In </w:t>
      </w:r>
      <w:r w:rsidRPr="00C74739">
        <w:rPr>
          <w:i/>
        </w:rPr>
        <w:t>Revue française d'adm</w:t>
      </w:r>
      <w:r w:rsidRPr="00C74739">
        <w:rPr>
          <w:i/>
        </w:rPr>
        <w:t>i</w:t>
      </w:r>
      <w:r w:rsidRPr="00C74739">
        <w:rPr>
          <w:i/>
        </w:rPr>
        <w:t>nistration publique</w:t>
      </w:r>
      <w:r>
        <w:t xml:space="preserve">, </w:t>
      </w:r>
      <w:r w:rsidRPr="00BB0438">
        <w:t>2006/2 n°118</w:t>
      </w:r>
      <w:r>
        <w:t>, pp.</w:t>
      </w:r>
      <w:r w:rsidRPr="00BB0438">
        <w:t xml:space="preserve"> 291 à 306</w:t>
      </w:r>
      <w:r>
        <w:t>. École National d’administration.</w:t>
      </w:r>
    </w:p>
    <w:p w:rsidR="00F0581C" w:rsidRDefault="00F0581C" w:rsidP="00F0581C">
      <w:pPr>
        <w:jc w:val="both"/>
      </w:pPr>
    </w:p>
    <w:p w:rsidR="00F0581C" w:rsidRDefault="00F0581C" w:rsidP="00F0581C">
      <w:pPr>
        <w:jc w:val="both"/>
      </w:pPr>
    </w:p>
    <w:p w:rsidR="00F0581C" w:rsidRPr="008C2BDD" w:rsidRDefault="00F0581C" w:rsidP="00F0581C">
      <w:pPr>
        <w:pStyle w:val="planche"/>
      </w:pPr>
      <w:bookmarkStart w:id="2" w:name="bureaucration_au_sein_intro"/>
      <w:r w:rsidRPr="008C2BDD">
        <w:t>Introduction</w:t>
      </w:r>
    </w:p>
    <w:bookmarkEnd w:id="2"/>
    <w:p w:rsidR="00F0581C" w:rsidRDefault="00F0581C" w:rsidP="00F0581C">
      <w:pPr>
        <w:jc w:val="both"/>
      </w:pPr>
    </w:p>
    <w:p w:rsidR="00F0581C" w:rsidRDefault="00F0581C" w:rsidP="00F0581C">
      <w:pPr>
        <w:jc w:val="both"/>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Les États multinationaux et les minorités nation</w:t>
      </w:r>
      <w:r w:rsidRPr="00BB0438">
        <w:rPr>
          <w:szCs w:val="16"/>
        </w:rPr>
        <w:t>a</w:t>
      </w:r>
      <w:r w:rsidRPr="00BB0438">
        <w:rPr>
          <w:szCs w:val="16"/>
        </w:rPr>
        <w:t>les ont été, au cours de la dernière décennie, l'objet d'un nombre considérable d'ét</w:t>
      </w:r>
      <w:r w:rsidRPr="00BB0438">
        <w:rPr>
          <w:szCs w:val="16"/>
        </w:rPr>
        <w:t>u</w:t>
      </w:r>
      <w:r w:rsidRPr="00BB0438">
        <w:rPr>
          <w:szCs w:val="16"/>
        </w:rPr>
        <w:t>des de toutes sortes. Dans le champ de la théorie politique, nombreux sont les auteurs qui se sont penchés sur les fondements moraux et p</w:t>
      </w:r>
      <w:r w:rsidRPr="00BB0438">
        <w:rPr>
          <w:szCs w:val="16"/>
        </w:rPr>
        <w:t>o</w:t>
      </w:r>
      <w:r w:rsidRPr="00BB0438">
        <w:rPr>
          <w:szCs w:val="16"/>
        </w:rPr>
        <w:t>litiques de l'État multinational</w:t>
      </w:r>
      <w:r>
        <w:rPr>
          <w:szCs w:val="16"/>
        </w:rPr>
        <w:t> </w:t>
      </w:r>
      <w:r>
        <w:rPr>
          <w:rStyle w:val="Appelnotedebasdep"/>
          <w:szCs w:val="16"/>
        </w:rPr>
        <w:footnoteReference w:id="1"/>
      </w:r>
      <w:r>
        <w:rPr>
          <w:szCs w:val="16"/>
        </w:rPr>
        <w:t xml:space="preserve"> </w:t>
      </w:r>
      <w:r w:rsidRPr="00BB0438">
        <w:rPr>
          <w:szCs w:val="16"/>
        </w:rPr>
        <w:t>ou encore sur le caractère libéral et i</w:t>
      </w:r>
      <w:r w:rsidRPr="00BB0438">
        <w:rPr>
          <w:szCs w:val="16"/>
        </w:rPr>
        <w:t>n</w:t>
      </w:r>
      <w:r w:rsidRPr="00BB0438">
        <w:rPr>
          <w:szCs w:val="16"/>
        </w:rPr>
        <w:t>finiment moderne des nationalismes minoritaires</w:t>
      </w:r>
      <w:r>
        <w:rPr>
          <w:szCs w:val="16"/>
        </w:rPr>
        <w:t> </w:t>
      </w:r>
      <w:r>
        <w:rPr>
          <w:rStyle w:val="Appelnotedebasdep"/>
          <w:szCs w:val="16"/>
        </w:rPr>
        <w:footnoteReference w:id="2"/>
      </w:r>
      <w:r w:rsidRPr="00BB0438">
        <w:rPr>
          <w:szCs w:val="16"/>
        </w:rPr>
        <w:t>. Les analystes des relations internationales ont exploré les activités intern</w:t>
      </w:r>
      <w:r w:rsidRPr="00BB0438">
        <w:rPr>
          <w:szCs w:val="16"/>
        </w:rPr>
        <w:t>a</w:t>
      </w:r>
      <w:r w:rsidRPr="00BB0438">
        <w:rPr>
          <w:szCs w:val="16"/>
        </w:rPr>
        <w:t>tionales des minorités nationales et le rôle de la mondialisation dans leur r</w:t>
      </w:r>
      <w:r w:rsidRPr="00BB0438">
        <w:rPr>
          <w:szCs w:val="16"/>
        </w:rPr>
        <w:t>é</w:t>
      </w:r>
      <w:r w:rsidRPr="00BB0438">
        <w:rPr>
          <w:szCs w:val="16"/>
        </w:rPr>
        <w:t>surge</w:t>
      </w:r>
      <w:r w:rsidRPr="00BB0438">
        <w:rPr>
          <w:szCs w:val="16"/>
        </w:rPr>
        <w:t>n</w:t>
      </w:r>
      <w:r w:rsidRPr="00BB0438">
        <w:rPr>
          <w:szCs w:val="16"/>
        </w:rPr>
        <w:t>ce</w:t>
      </w:r>
      <w:r>
        <w:rPr>
          <w:szCs w:val="16"/>
        </w:rPr>
        <w:t> </w:t>
      </w:r>
      <w:r>
        <w:rPr>
          <w:rStyle w:val="Appelnotedebasdep"/>
          <w:szCs w:val="16"/>
        </w:rPr>
        <w:footnoteReference w:id="3"/>
      </w:r>
      <w:r w:rsidRPr="00BB0438">
        <w:rPr>
          <w:szCs w:val="16"/>
        </w:rPr>
        <w:t>. Les spécialistes de la politique comparée se sont quant à eux penchés sur les cas canadien, belge, espagnol ou encore britan</w:t>
      </w:r>
      <w:r w:rsidRPr="00BB0438">
        <w:rPr>
          <w:szCs w:val="16"/>
        </w:rPr>
        <w:lastRenderedPageBreak/>
        <w:t>n</w:t>
      </w:r>
      <w:r w:rsidRPr="00BB0438">
        <w:rPr>
          <w:szCs w:val="16"/>
        </w:rPr>
        <w:t>i</w:t>
      </w:r>
      <w:r w:rsidRPr="00BB0438">
        <w:rPr>
          <w:szCs w:val="16"/>
        </w:rPr>
        <w:t>que, s'attardant à l'analyse des différences et des sim</w:t>
      </w:r>
      <w:r w:rsidRPr="00BB0438">
        <w:rPr>
          <w:szCs w:val="16"/>
        </w:rPr>
        <w:t>i</w:t>
      </w:r>
      <w:r w:rsidRPr="00BB0438">
        <w:rPr>
          <w:szCs w:val="16"/>
        </w:rPr>
        <w:t>larités dans les méc</w:t>
      </w:r>
      <w:r w:rsidRPr="00BB0438">
        <w:rPr>
          <w:szCs w:val="16"/>
        </w:rPr>
        <w:t>a</w:t>
      </w:r>
      <w:r w:rsidRPr="00BB0438">
        <w:rPr>
          <w:szCs w:val="16"/>
        </w:rPr>
        <w:t>nismes institutionnels de gestion de la diversité, à l'exploration des liens entre nation</w:t>
      </w:r>
      <w:r w:rsidRPr="00BB0438">
        <w:rPr>
          <w:szCs w:val="16"/>
        </w:rPr>
        <w:t>a</w:t>
      </w:r>
      <w:r w:rsidRPr="00BB0438">
        <w:rPr>
          <w:szCs w:val="16"/>
        </w:rPr>
        <w:t>lisme minoritaire et État-providence, ou encore aux types de mobilisations nationalistes</w:t>
      </w:r>
      <w:r>
        <w:rPr>
          <w:szCs w:val="16"/>
        </w:rPr>
        <w:t> </w:t>
      </w:r>
      <w:r>
        <w:rPr>
          <w:rStyle w:val="Appelnotedebasdep"/>
          <w:szCs w:val="16"/>
        </w:rPr>
        <w:footnoteReference w:id="4"/>
      </w:r>
      <w:r w:rsidRPr="00BB0438">
        <w:rPr>
          <w:szCs w:val="16"/>
        </w:rPr>
        <w:t>.</w:t>
      </w:r>
    </w:p>
    <w:p w:rsidR="00F0581C" w:rsidRPr="00BB0438" w:rsidRDefault="00F0581C" w:rsidP="00F0581C">
      <w:pPr>
        <w:spacing w:before="120" w:after="120"/>
        <w:jc w:val="both"/>
      </w:pPr>
      <w:r w:rsidRPr="00BB0438">
        <w:rPr>
          <w:szCs w:val="16"/>
        </w:rPr>
        <w:t>Bien que la dimension institutionnelle de l'aménagement de la d</w:t>
      </w:r>
      <w:r w:rsidRPr="00BB0438">
        <w:rPr>
          <w:szCs w:val="16"/>
        </w:rPr>
        <w:t>i</w:t>
      </w:r>
      <w:r w:rsidRPr="00BB0438">
        <w:rPr>
          <w:szCs w:val="16"/>
        </w:rPr>
        <w:t>versité ait été une source importante d'interrogation, le rôle de l'adm</w:t>
      </w:r>
      <w:r w:rsidRPr="00BB0438">
        <w:rPr>
          <w:szCs w:val="16"/>
        </w:rPr>
        <w:t>i</w:t>
      </w:r>
      <w:r w:rsidRPr="00BB0438">
        <w:rPr>
          <w:szCs w:val="16"/>
        </w:rPr>
        <w:t>nistration publique dans la gestion de la</w:t>
      </w:r>
      <w:r>
        <w:rPr>
          <w:szCs w:val="16"/>
        </w:rPr>
        <w:t xml:space="preserve"> </w:t>
      </w:r>
      <w:r>
        <w:t>[</w:t>
      </w:r>
      <w:r w:rsidRPr="00BB0438">
        <w:rPr>
          <w:szCs w:val="16"/>
        </w:rPr>
        <w:t>292</w:t>
      </w:r>
      <w:r>
        <w:rPr>
          <w:szCs w:val="16"/>
        </w:rPr>
        <w:t xml:space="preserve">] </w:t>
      </w:r>
      <w:r w:rsidRPr="00BB0438">
        <w:rPr>
          <w:szCs w:val="16"/>
        </w:rPr>
        <w:t>diversité plurinationale a été négligé. Les spécialistes de cette question ont en effet plutôt e</w:t>
      </w:r>
      <w:r w:rsidRPr="00BB0438">
        <w:rPr>
          <w:szCs w:val="16"/>
        </w:rPr>
        <w:t>x</w:t>
      </w:r>
      <w:r w:rsidRPr="00BB0438">
        <w:rPr>
          <w:szCs w:val="16"/>
        </w:rPr>
        <w:t>ploré l'impact du cadre juridique, du système électoral, de l'organis</w:t>
      </w:r>
      <w:r w:rsidRPr="00BB0438">
        <w:rPr>
          <w:szCs w:val="16"/>
        </w:rPr>
        <w:t>a</w:t>
      </w:r>
      <w:r w:rsidRPr="00BB0438">
        <w:rPr>
          <w:szCs w:val="16"/>
        </w:rPr>
        <w:t>tion territoriale de l'État ou encore du pouvoir ex</w:t>
      </w:r>
      <w:r w:rsidRPr="00BB0438">
        <w:rPr>
          <w:szCs w:val="16"/>
        </w:rPr>
        <w:t>é</w:t>
      </w:r>
      <w:r w:rsidRPr="00BB0438">
        <w:rPr>
          <w:szCs w:val="16"/>
        </w:rPr>
        <w:t>cutif. Pourtant, l'administration publique joue un rôle de premier plan dans les conflits qui marquent parfois les États multin</w:t>
      </w:r>
      <w:r w:rsidRPr="00BB0438">
        <w:rPr>
          <w:szCs w:val="16"/>
        </w:rPr>
        <w:t>a</w:t>
      </w:r>
      <w:r w:rsidRPr="00BB0438">
        <w:rPr>
          <w:szCs w:val="16"/>
        </w:rPr>
        <w:t>tionaux.</w:t>
      </w:r>
    </w:p>
    <w:p w:rsidR="00F0581C" w:rsidRPr="00BB0438" w:rsidRDefault="00F0581C" w:rsidP="00F0581C">
      <w:pPr>
        <w:spacing w:before="120" w:after="120"/>
        <w:jc w:val="both"/>
      </w:pPr>
      <w:r w:rsidRPr="00BB0438">
        <w:rPr>
          <w:szCs w:val="16"/>
        </w:rPr>
        <w:t>En effet, la relation des citoyens avec l'État passe souvent par leur contact avec les fonctionnaires de première ligne, ceux que les analy</w:t>
      </w:r>
      <w:r w:rsidRPr="00BB0438">
        <w:rPr>
          <w:szCs w:val="16"/>
        </w:rPr>
        <w:t>s</w:t>
      </w:r>
      <w:r w:rsidRPr="00BB0438">
        <w:rPr>
          <w:szCs w:val="16"/>
        </w:rPr>
        <w:t xml:space="preserve">tes anglo-saxons désignent comme les </w:t>
      </w:r>
      <w:r w:rsidRPr="00BB0438">
        <w:rPr>
          <w:i/>
          <w:iCs/>
          <w:szCs w:val="16"/>
        </w:rPr>
        <w:t>street-level bureaucrats</w:t>
      </w:r>
      <w:r>
        <w:rPr>
          <w:iCs/>
          <w:szCs w:val="16"/>
        </w:rPr>
        <w:t> </w:t>
      </w:r>
      <w:r>
        <w:rPr>
          <w:rStyle w:val="Appelnotedebasdep"/>
          <w:iCs/>
          <w:szCs w:val="16"/>
        </w:rPr>
        <w:footnoteReference w:id="5"/>
      </w:r>
      <w:r w:rsidRPr="00BB0438">
        <w:rPr>
          <w:szCs w:val="16"/>
        </w:rPr>
        <w:t>. La faible présence, sinon l'absence de membres des m</w:t>
      </w:r>
      <w:r w:rsidRPr="00BB0438">
        <w:rPr>
          <w:szCs w:val="16"/>
        </w:rPr>
        <w:t>i</w:t>
      </w:r>
      <w:r w:rsidRPr="00BB0438">
        <w:rPr>
          <w:szCs w:val="16"/>
        </w:rPr>
        <w:t>norités nationales dans l'appareil bureaucratique et l'incapacité des membres d'une min</w:t>
      </w:r>
      <w:r w:rsidRPr="00BB0438">
        <w:rPr>
          <w:szCs w:val="16"/>
        </w:rPr>
        <w:t>o</w:t>
      </w:r>
      <w:r w:rsidRPr="00BB0438">
        <w:rPr>
          <w:szCs w:val="16"/>
        </w:rPr>
        <w:t>rité linguistique d'être servis dans leur propre langue peuvent série</w:t>
      </w:r>
      <w:r w:rsidRPr="00BB0438">
        <w:rPr>
          <w:szCs w:val="16"/>
        </w:rPr>
        <w:t>u</w:t>
      </w:r>
      <w:r w:rsidRPr="00BB0438">
        <w:rPr>
          <w:szCs w:val="16"/>
        </w:rPr>
        <w:t>sement contribuer à remettre en question la légitimité de l'État. D'autre part, l'exclusion ou la sous-représentation des minorités nationales dans les postes administratifs de l'État peuvent être une source impo</w:t>
      </w:r>
      <w:r w:rsidRPr="00BB0438">
        <w:rPr>
          <w:szCs w:val="16"/>
        </w:rPr>
        <w:t>r</w:t>
      </w:r>
      <w:r w:rsidRPr="00BB0438">
        <w:rPr>
          <w:szCs w:val="16"/>
        </w:rPr>
        <w:t>tante de conflits ou encore de ressentiment, dans la mesure où de tels postes sont recherchés compte tenu des salaires avantageux et des b</w:t>
      </w:r>
      <w:r w:rsidRPr="00BB0438">
        <w:rPr>
          <w:szCs w:val="16"/>
        </w:rPr>
        <w:t>é</w:t>
      </w:r>
      <w:r w:rsidRPr="00BB0438">
        <w:rPr>
          <w:szCs w:val="16"/>
        </w:rPr>
        <w:t xml:space="preserve">néfices sociaux qu'ils garantissent. Enfin, comme l'affirme Milton Esman, les fonctionnaires peuvent favoriser les membres d'un groupe national particulier dans la mise en œuvre des programmes </w:t>
      </w:r>
      <w:r w:rsidRPr="00BB0438">
        <w:rPr>
          <w:szCs w:val="16"/>
        </w:rPr>
        <w:lastRenderedPageBreak/>
        <w:t>gouve</w:t>
      </w:r>
      <w:r w:rsidRPr="00BB0438">
        <w:rPr>
          <w:szCs w:val="16"/>
        </w:rPr>
        <w:t>r</w:t>
      </w:r>
      <w:r w:rsidRPr="00BB0438">
        <w:rPr>
          <w:szCs w:val="16"/>
        </w:rPr>
        <w:t>nementaux, et ainsi contribuer au mécontentement des citoyens ne pouvant jouir de tels bénéfices</w:t>
      </w:r>
      <w:r>
        <w:rPr>
          <w:szCs w:val="16"/>
        </w:rPr>
        <w:t> </w:t>
      </w:r>
      <w:r>
        <w:rPr>
          <w:rStyle w:val="Appelnotedebasdep"/>
          <w:szCs w:val="16"/>
        </w:rPr>
        <w:footnoteReference w:id="6"/>
      </w:r>
      <w:r w:rsidRPr="00BB0438">
        <w:rPr>
          <w:szCs w:val="16"/>
        </w:rPr>
        <w:t>.</w:t>
      </w:r>
    </w:p>
    <w:p w:rsidR="00F0581C" w:rsidRPr="00BB0438" w:rsidRDefault="00F0581C" w:rsidP="00F0581C">
      <w:pPr>
        <w:spacing w:before="120" w:after="120"/>
        <w:jc w:val="both"/>
      </w:pPr>
      <w:r w:rsidRPr="00BB0438">
        <w:rPr>
          <w:szCs w:val="16"/>
        </w:rPr>
        <w:t>L'importance de la représentation bureaucratique pour les groupes minoritaires ne surprendra cependant guère les spécialistes de l'adm</w:t>
      </w:r>
      <w:r w:rsidRPr="00BB0438">
        <w:rPr>
          <w:szCs w:val="16"/>
        </w:rPr>
        <w:t>i</w:t>
      </w:r>
      <w:r w:rsidRPr="00BB0438">
        <w:rPr>
          <w:szCs w:val="16"/>
        </w:rPr>
        <w:t>nistration publ</w:t>
      </w:r>
      <w:r w:rsidRPr="00BB0438">
        <w:rPr>
          <w:szCs w:val="16"/>
        </w:rPr>
        <w:t>i</w:t>
      </w:r>
      <w:r w:rsidRPr="00BB0438">
        <w:rPr>
          <w:szCs w:val="16"/>
        </w:rPr>
        <w:t>que, en particulier ceux et celles qui sont familiers avec la littérature sur la bureaucratie représentative. Depuis la public</w:t>
      </w:r>
      <w:r w:rsidRPr="00BB0438">
        <w:rPr>
          <w:szCs w:val="16"/>
        </w:rPr>
        <w:t>a</w:t>
      </w:r>
      <w:r w:rsidRPr="00BB0438">
        <w:rPr>
          <w:szCs w:val="16"/>
        </w:rPr>
        <w:t xml:space="preserve">tion, en 1944, de l'ouvrage fondateur de Donald Kingsley, </w:t>
      </w:r>
      <w:r w:rsidRPr="00BB0438">
        <w:rPr>
          <w:i/>
          <w:iCs/>
          <w:szCs w:val="16"/>
        </w:rPr>
        <w:t>Repr</w:t>
      </w:r>
      <w:r>
        <w:rPr>
          <w:i/>
          <w:iCs/>
          <w:szCs w:val="16"/>
        </w:rPr>
        <w:t>e</w:t>
      </w:r>
      <w:r w:rsidRPr="00BB0438">
        <w:rPr>
          <w:i/>
          <w:iCs/>
          <w:szCs w:val="16"/>
        </w:rPr>
        <w:t>sent</w:t>
      </w:r>
      <w:r w:rsidRPr="00BB0438">
        <w:rPr>
          <w:i/>
          <w:iCs/>
          <w:szCs w:val="16"/>
        </w:rPr>
        <w:t>a</w:t>
      </w:r>
      <w:r w:rsidRPr="00BB0438">
        <w:rPr>
          <w:i/>
          <w:iCs/>
          <w:szCs w:val="16"/>
        </w:rPr>
        <w:t xml:space="preserve">tive Bureaucracy, </w:t>
      </w:r>
      <w:r w:rsidRPr="00BB0438">
        <w:rPr>
          <w:szCs w:val="16"/>
        </w:rPr>
        <w:t>de nombreux analystes se sont penchés sur l'amén</w:t>
      </w:r>
      <w:r w:rsidRPr="00BB0438">
        <w:rPr>
          <w:szCs w:val="16"/>
        </w:rPr>
        <w:t>a</w:t>
      </w:r>
      <w:r w:rsidRPr="00BB0438">
        <w:rPr>
          <w:szCs w:val="16"/>
        </w:rPr>
        <w:t>gement de la diversité dans la fonction publique. Dom</w:t>
      </w:r>
      <w:r w:rsidRPr="00BB0438">
        <w:rPr>
          <w:szCs w:val="16"/>
        </w:rPr>
        <w:t>i</w:t>
      </w:r>
      <w:r w:rsidRPr="00BB0438">
        <w:rPr>
          <w:szCs w:val="16"/>
        </w:rPr>
        <w:t>nées par les analystes anglo-saxons, les études portant sur le caractère représentatif des institutions burea</w:t>
      </w:r>
      <w:r w:rsidRPr="00BB0438">
        <w:rPr>
          <w:szCs w:val="16"/>
        </w:rPr>
        <w:t>u</w:t>
      </w:r>
      <w:r w:rsidRPr="00BB0438">
        <w:rPr>
          <w:szCs w:val="16"/>
        </w:rPr>
        <w:t>cratiques ont exploré la présence et le rôle au sein de l'administration publique de différentes classes soci</w:t>
      </w:r>
      <w:r w:rsidRPr="00BB0438">
        <w:rPr>
          <w:szCs w:val="16"/>
        </w:rPr>
        <w:t>a</w:t>
      </w:r>
      <w:r w:rsidRPr="00BB0438">
        <w:rPr>
          <w:szCs w:val="16"/>
        </w:rPr>
        <w:t>les, des femmes et des groupes ethniques, la relation entre la diversité burea</w:t>
      </w:r>
      <w:r w:rsidRPr="00BB0438">
        <w:rPr>
          <w:szCs w:val="16"/>
        </w:rPr>
        <w:t>u</w:t>
      </w:r>
      <w:r w:rsidRPr="00BB0438">
        <w:rPr>
          <w:szCs w:val="16"/>
        </w:rPr>
        <w:t xml:space="preserve">cratique, l'efficacité et l'imputabilité, ou encore l'impact de différents types de représentation, en particulier la présence de </w:t>
      </w:r>
      <w:r w:rsidRPr="00BB0438">
        <w:rPr>
          <w:i/>
          <w:iCs/>
          <w:szCs w:val="16"/>
        </w:rPr>
        <w:t>spécial représe</w:t>
      </w:r>
      <w:r w:rsidRPr="00BB0438">
        <w:rPr>
          <w:i/>
          <w:iCs/>
          <w:szCs w:val="16"/>
        </w:rPr>
        <w:t>n</w:t>
      </w:r>
      <w:r w:rsidRPr="00BB0438">
        <w:rPr>
          <w:i/>
          <w:iCs/>
          <w:szCs w:val="16"/>
        </w:rPr>
        <w:t>tative agencies</w:t>
      </w:r>
      <w:r>
        <w:rPr>
          <w:iCs/>
          <w:szCs w:val="16"/>
        </w:rPr>
        <w:t> </w:t>
      </w:r>
      <w:r>
        <w:rPr>
          <w:rStyle w:val="Appelnotedebasdep"/>
          <w:iCs/>
          <w:szCs w:val="16"/>
        </w:rPr>
        <w:footnoteReference w:id="7"/>
      </w:r>
      <w:r w:rsidRPr="00BB0438">
        <w:rPr>
          <w:szCs w:val="16"/>
        </w:rPr>
        <w:t>.</w:t>
      </w:r>
    </w:p>
    <w:p w:rsidR="00F0581C" w:rsidRPr="00BB0438" w:rsidRDefault="00F0581C" w:rsidP="00F0581C">
      <w:pPr>
        <w:spacing w:before="120" w:after="120"/>
        <w:jc w:val="both"/>
      </w:pPr>
      <w:r w:rsidRPr="00BB0438">
        <w:rPr>
          <w:szCs w:val="16"/>
        </w:rPr>
        <w:t>La plupart des études portant sur la bureaucratie représentative, malgré leur diversité, ont en commun de prendre pour cadre d'analyse la politique de la repr</w:t>
      </w:r>
      <w:r w:rsidRPr="00BB0438">
        <w:rPr>
          <w:szCs w:val="16"/>
        </w:rPr>
        <w:t>é</w:t>
      </w:r>
      <w:r w:rsidRPr="00BB0438">
        <w:rPr>
          <w:szCs w:val="16"/>
        </w:rPr>
        <w:t>sentation au sein des structures administratives de l'État-nation. Le présent article se concentre sur l'analyse de la r</w:t>
      </w:r>
      <w:r w:rsidRPr="00BB0438">
        <w:rPr>
          <w:szCs w:val="16"/>
        </w:rPr>
        <w:t>e</w:t>
      </w:r>
      <w:r w:rsidRPr="00BB0438">
        <w:rPr>
          <w:szCs w:val="16"/>
        </w:rPr>
        <w:t>présentation bureaucratique au sein des États multinationaux. En plus d'assurer la représent</w:t>
      </w:r>
      <w:r w:rsidRPr="00BB0438">
        <w:rPr>
          <w:szCs w:val="16"/>
        </w:rPr>
        <w:t>a</w:t>
      </w:r>
      <w:r w:rsidRPr="00BB0438">
        <w:rPr>
          <w:szCs w:val="16"/>
        </w:rPr>
        <w:t>tion de groupes minoritaires (femmes, gais et lesbie</w:t>
      </w:r>
      <w:r w:rsidRPr="00BB0438">
        <w:rPr>
          <w:szCs w:val="16"/>
        </w:rPr>
        <w:t>n</w:t>
      </w:r>
      <w:r w:rsidRPr="00BB0438">
        <w:rPr>
          <w:szCs w:val="16"/>
        </w:rPr>
        <w:t>nes, handicapés) et des minorités ethniques (groupes issus de l'immigration), l'État multinational doit également assurer la représe</w:t>
      </w:r>
      <w:r w:rsidRPr="00BB0438">
        <w:rPr>
          <w:szCs w:val="16"/>
        </w:rPr>
        <w:t>n</w:t>
      </w:r>
      <w:r w:rsidRPr="00BB0438">
        <w:rPr>
          <w:szCs w:val="16"/>
        </w:rPr>
        <w:t>tation d'un troisième groupe, négligé dans la littérature sur la burea</w:t>
      </w:r>
      <w:r w:rsidRPr="00BB0438">
        <w:rPr>
          <w:szCs w:val="16"/>
        </w:rPr>
        <w:t>u</w:t>
      </w:r>
      <w:r w:rsidRPr="00BB0438">
        <w:rPr>
          <w:szCs w:val="16"/>
        </w:rPr>
        <w:t>cratie r</w:t>
      </w:r>
      <w:r w:rsidRPr="00BB0438">
        <w:rPr>
          <w:szCs w:val="16"/>
        </w:rPr>
        <w:t>e</w:t>
      </w:r>
      <w:r w:rsidRPr="00BB0438">
        <w:rPr>
          <w:szCs w:val="16"/>
        </w:rPr>
        <w:t>présentative</w:t>
      </w:r>
      <w:r>
        <w:rPr>
          <w:szCs w:val="16"/>
        </w:rPr>
        <w:t> :</w:t>
      </w:r>
      <w:r w:rsidRPr="00BB0438">
        <w:rPr>
          <w:szCs w:val="16"/>
        </w:rPr>
        <w:t xml:space="preserve"> les minorités nationales.</w:t>
      </w:r>
    </w:p>
    <w:p w:rsidR="00F0581C" w:rsidRPr="00BB0438" w:rsidRDefault="00F0581C" w:rsidP="00F0581C">
      <w:pPr>
        <w:spacing w:before="120" w:after="120"/>
        <w:jc w:val="both"/>
      </w:pPr>
      <w:r w:rsidRPr="00BB0438">
        <w:rPr>
          <w:szCs w:val="16"/>
        </w:rPr>
        <w:t>Dans des États multinationaux, comme le Canada, la littérature sur la bureaucratie représentative se lim</w:t>
      </w:r>
      <w:r w:rsidRPr="00BB0438">
        <w:rPr>
          <w:szCs w:val="16"/>
        </w:rPr>
        <w:t>i</w:t>
      </w:r>
      <w:r w:rsidRPr="00BB0438">
        <w:rPr>
          <w:szCs w:val="16"/>
        </w:rPr>
        <w:t>te habituellement à la question des coûts et bénéfices de mesures visant à assurer une représentation équitable des groupes linguistiques, ou encore aux</w:t>
      </w:r>
      <w:r>
        <w:rPr>
          <w:szCs w:val="16"/>
        </w:rPr>
        <w:t xml:space="preserve"> </w:t>
      </w:r>
      <w:r>
        <w:rPr>
          <w:szCs w:val="14"/>
        </w:rPr>
        <w:t>[</w:t>
      </w:r>
      <w:r w:rsidRPr="00BB0438">
        <w:rPr>
          <w:szCs w:val="16"/>
        </w:rPr>
        <w:t>293</w:t>
      </w:r>
      <w:r>
        <w:rPr>
          <w:szCs w:val="16"/>
        </w:rPr>
        <w:t xml:space="preserve">] </w:t>
      </w:r>
      <w:r w:rsidRPr="00BB0438">
        <w:rPr>
          <w:szCs w:val="16"/>
        </w:rPr>
        <w:t>aspects no</w:t>
      </w:r>
      <w:r w:rsidRPr="00BB0438">
        <w:rPr>
          <w:szCs w:val="16"/>
        </w:rPr>
        <w:t>r</w:t>
      </w:r>
      <w:r w:rsidRPr="00BB0438">
        <w:rPr>
          <w:szCs w:val="16"/>
        </w:rPr>
        <w:lastRenderedPageBreak/>
        <w:t>matifs sous-tendant les enjeux éthiques de telles mes</w:t>
      </w:r>
      <w:r w:rsidRPr="00BB0438">
        <w:rPr>
          <w:szCs w:val="16"/>
        </w:rPr>
        <w:t>u</w:t>
      </w:r>
      <w:r w:rsidRPr="00BB0438">
        <w:rPr>
          <w:szCs w:val="16"/>
        </w:rPr>
        <w:t>res</w:t>
      </w:r>
      <w:r>
        <w:rPr>
          <w:szCs w:val="16"/>
        </w:rPr>
        <w:t> </w:t>
      </w:r>
      <w:r>
        <w:rPr>
          <w:rStyle w:val="Appelnotedebasdep"/>
          <w:szCs w:val="16"/>
        </w:rPr>
        <w:footnoteReference w:id="8"/>
      </w:r>
      <w:r w:rsidRPr="00BB0438">
        <w:rPr>
          <w:szCs w:val="16"/>
        </w:rPr>
        <w:t>. Très peu d'études adoptent une perspective comparée pour év</w:t>
      </w:r>
      <w:r w:rsidRPr="00BB0438">
        <w:rPr>
          <w:szCs w:val="16"/>
        </w:rPr>
        <w:t>a</w:t>
      </w:r>
      <w:r w:rsidRPr="00BB0438">
        <w:rPr>
          <w:szCs w:val="16"/>
        </w:rPr>
        <w:t>luer l'importance des mécanismes utilisés dans différents États mult</w:t>
      </w:r>
      <w:r w:rsidRPr="00BB0438">
        <w:rPr>
          <w:szCs w:val="16"/>
        </w:rPr>
        <w:t>i</w:t>
      </w:r>
      <w:r w:rsidRPr="00BB0438">
        <w:rPr>
          <w:szCs w:val="16"/>
        </w:rPr>
        <w:t>nationaux en vue de favoriser la mise en place d'une bureaucratie pleinement représe</w:t>
      </w:r>
      <w:r w:rsidRPr="00BB0438">
        <w:rPr>
          <w:szCs w:val="16"/>
        </w:rPr>
        <w:t>n</w:t>
      </w:r>
      <w:r w:rsidRPr="00BB0438">
        <w:rPr>
          <w:szCs w:val="16"/>
        </w:rPr>
        <w:t>tative.</w:t>
      </w:r>
    </w:p>
    <w:p w:rsidR="00F0581C" w:rsidRDefault="00F0581C" w:rsidP="00F0581C">
      <w:pPr>
        <w:spacing w:before="120" w:after="120"/>
        <w:jc w:val="both"/>
        <w:rPr>
          <w:szCs w:val="16"/>
        </w:rPr>
      </w:pPr>
      <w:r w:rsidRPr="00BB0438">
        <w:rPr>
          <w:szCs w:val="16"/>
        </w:rPr>
        <w:t>La thèse centrale avancée dans cet article veut que l'auto-représentation que se fait un État multinational de sa propre diversité nationale, de même que son organisation territoriale, influence le type de mesures adoptées pour affirmer le caractère représentatif de l'app</w:t>
      </w:r>
      <w:r w:rsidRPr="00BB0438">
        <w:rPr>
          <w:szCs w:val="16"/>
        </w:rPr>
        <w:t>a</w:t>
      </w:r>
      <w:r w:rsidRPr="00BB0438">
        <w:rPr>
          <w:szCs w:val="16"/>
        </w:rPr>
        <w:t>reil bureaucratique. La première partie de l'article traite des caractéri</w:t>
      </w:r>
      <w:r w:rsidRPr="00BB0438">
        <w:rPr>
          <w:szCs w:val="16"/>
        </w:rPr>
        <w:t>s</w:t>
      </w:r>
      <w:r w:rsidRPr="00BB0438">
        <w:rPr>
          <w:szCs w:val="16"/>
        </w:rPr>
        <w:t>tiques et des défis spécifiques à l'État multinational. Dans la deuxième partie, nous explorons les mécanismes mis en place dans ces qu</w:t>
      </w:r>
      <w:r w:rsidRPr="00BB0438">
        <w:rPr>
          <w:szCs w:val="16"/>
        </w:rPr>
        <w:t>a</w:t>
      </w:r>
      <w:r w:rsidRPr="00BB0438">
        <w:rPr>
          <w:szCs w:val="16"/>
        </w:rPr>
        <w:t>tre pays que sont la Turquie, le Royaume-Uni, le C</w:t>
      </w:r>
      <w:r w:rsidRPr="00BB0438">
        <w:rPr>
          <w:szCs w:val="16"/>
        </w:rPr>
        <w:t>a</w:t>
      </w:r>
      <w:r w:rsidRPr="00BB0438">
        <w:rPr>
          <w:szCs w:val="16"/>
        </w:rPr>
        <w:t>nada et le Nigeria, afin d'assurer une certaine repr</w:t>
      </w:r>
      <w:r w:rsidRPr="00BB0438">
        <w:rPr>
          <w:szCs w:val="16"/>
        </w:rPr>
        <w:t>é</w:t>
      </w:r>
      <w:r w:rsidRPr="00BB0438">
        <w:rPr>
          <w:szCs w:val="16"/>
        </w:rPr>
        <w:t>sentation des minorités nationales au sein des appareils d'État. Comme nous le verrons, les résultats o</w:t>
      </w:r>
      <w:r w:rsidRPr="00BB0438">
        <w:rPr>
          <w:szCs w:val="16"/>
        </w:rPr>
        <w:t>b</w:t>
      </w:r>
      <w:r w:rsidRPr="00BB0438">
        <w:rPr>
          <w:szCs w:val="16"/>
        </w:rPr>
        <w:t>tenus en vue de concilier justice et stabilité varient de façon substantielle d'un contexte politique à un autre.</w:t>
      </w:r>
    </w:p>
    <w:p w:rsidR="00F0581C" w:rsidRPr="00BB0438" w:rsidRDefault="00F0581C" w:rsidP="00F0581C">
      <w:pPr>
        <w:spacing w:before="120" w:after="120"/>
        <w:jc w:val="both"/>
      </w:pPr>
    </w:p>
    <w:p w:rsidR="00F0581C" w:rsidRPr="008C2BDD" w:rsidRDefault="00F0581C" w:rsidP="00F0581C">
      <w:pPr>
        <w:pStyle w:val="planche"/>
      </w:pPr>
      <w:bookmarkStart w:id="3" w:name="bureaucration_au_sein_I"/>
      <w:r w:rsidRPr="008C2BDD">
        <w:t>LES ÉTATS MUTINATIONAUX :</w:t>
      </w:r>
      <w:r>
        <w:br/>
      </w:r>
      <w:r w:rsidRPr="008C2BDD">
        <w:t>UNE TYPOL</w:t>
      </w:r>
      <w:r w:rsidRPr="008C2BDD">
        <w:t>O</w:t>
      </w:r>
      <w:r w:rsidRPr="008C2BDD">
        <w:t>GIE</w:t>
      </w:r>
    </w:p>
    <w:bookmarkEnd w:id="3"/>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L'État multinational peut être défini comme un État qui comporte plus d'un groupe se définissant comme une nation. Dans cette perspe</w:t>
      </w:r>
      <w:r w:rsidRPr="00BB0438">
        <w:rPr>
          <w:szCs w:val="16"/>
        </w:rPr>
        <w:t>c</w:t>
      </w:r>
      <w:r w:rsidRPr="00BB0438">
        <w:rPr>
          <w:szCs w:val="16"/>
        </w:rPr>
        <w:t>tive, bien que certains pays comme la Turquie nient leur caractère pl</w:t>
      </w:r>
      <w:r w:rsidRPr="00BB0438">
        <w:rPr>
          <w:szCs w:val="16"/>
        </w:rPr>
        <w:t>u</w:t>
      </w:r>
      <w:r w:rsidRPr="00BB0438">
        <w:rPr>
          <w:szCs w:val="16"/>
        </w:rPr>
        <w:t>rinational, ils sont tout de même sociologiquement des entités mult</w:t>
      </w:r>
      <w:r w:rsidRPr="00BB0438">
        <w:rPr>
          <w:szCs w:val="16"/>
        </w:rPr>
        <w:t>i</w:t>
      </w:r>
      <w:r w:rsidRPr="00BB0438">
        <w:rPr>
          <w:szCs w:val="16"/>
        </w:rPr>
        <w:t>nationales. Les États multinationaux sont souvent des fédérations, comme l'illustrent les cas du Canada, de la Belgique, de l'Inde, de la Malaisie, de l'Espagne, de l'Ethiopie et du Nigeria. Il y a donc eu hi</w:t>
      </w:r>
      <w:r w:rsidRPr="00BB0438">
        <w:rPr>
          <w:szCs w:val="16"/>
        </w:rPr>
        <w:t>s</w:t>
      </w:r>
      <w:r w:rsidRPr="00BB0438">
        <w:rPr>
          <w:szCs w:val="16"/>
        </w:rPr>
        <w:t>toriquement, entre autres à la suite de la mobilis</w:t>
      </w:r>
      <w:r w:rsidRPr="00BB0438">
        <w:rPr>
          <w:szCs w:val="16"/>
        </w:rPr>
        <w:t>a</w:t>
      </w:r>
      <w:r w:rsidRPr="00BB0438">
        <w:rPr>
          <w:szCs w:val="16"/>
        </w:rPr>
        <w:t>tion des minorités nationales, une tendance à établir une certaine congruence entre la d</w:t>
      </w:r>
      <w:r w:rsidRPr="00BB0438">
        <w:rPr>
          <w:szCs w:val="16"/>
        </w:rPr>
        <w:t>i</w:t>
      </w:r>
      <w:r w:rsidRPr="00BB0438">
        <w:rPr>
          <w:szCs w:val="16"/>
        </w:rPr>
        <w:t>versité sociétale et les institutions politiques par le biais de la réorg</w:t>
      </w:r>
      <w:r w:rsidRPr="00BB0438">
        <w:rPr>
          <w:szCs w:val="16"/>
        </w:rPr>
        <w:t>a</w:t>
      </w:r>
      <w:r w:rsidRPr="00BB0438">
        <w:rPr>
          <w:szCs w:val="16"/>
        </w:rPr>
        <w:t>nisation territoriale de l'État et de son appareil bureaucr</w:t>
      </w:r>
      <w:r w:rsidRPr="00BB0438">
        <w:rPr>
          <w:szCs w:val="16"/>
        </w:rPr>
        <w:t>a</w:t>
      </w:r>
      <w:r w:rsidRPr="00BB0438">
        <w:rPr>
          <w:szCs w:val="16"/>
        </w:rPr>
        <w:t>tique.</w:t>
      </w:r>
    </w:p>
    <w:p w:rsidR="00F0581C" w:rsidRPr="00BB0438" w:rsidRDefault="00F0581C" w:rsidP="00F0581C">
      <w:pPr>
        <w:spacing w:before="120" w:after="120"/>
        <w:jc w:val="both"/>
      </w:pPr>
      <w:r w:rsidRPr="00BB0438">
        <w:rPr>
          <w:szCs w:val="16"/>
        </w:rPr>
        <w:t>De nombreux États multinationaux sont aussi des États multicult</w:t>
      </w:r>
      <w:r w:rsidRPr="00BB0438">
        <w:rPr>
          <w:szCs w:val="16"/>
        </w:rPr>
        <w:t>u</w:t>
      </w:r>
      <w:r>
        <w:rPr>
          <w:szCs w:val="16"/>
        </w:rPr>
        <w:t>rels ou polyethni</w:t>
      </w:r>
      <w:r w:rsidRPr="00BB0438">
        <w:rPr>
          <w:szCs w:val="16"/>
        </w:rPr>
        <w:t>ques, c'est-à-dire qu'ils servent de foyer aux minor</w:t>
      </w:r>
      <w:r w:rsidRPr="00BB0438">
        <w:rPr>
          <w:szCs w:val="16"/>
        </w:rPr>
        <w:t>i</w:t>
      </w:r>
      <w:r w:rsidRPr="00BB0438">
        <w:rPr>
          <w:szCs w:val="16"/>
        </w:rPr>
        <w:t>tés ethniques, constituées à la suite de vagues successives d'immigr</w:t>
      </w:r>
      <w:r w:rsidRPr="00BB0438">
        <w:rPr>
          <w:szCs w:val="16"/>
        </w:rPr>
        <w:t>a</w:t>
      </w:r>
      <w:r w:rsidRPr="00BB0438">
        <w:rPr>
          <w:szCs w:val="16"/>
        </w:rPr>
        <w:t>tion. La diversité d'un pays comme le Canada est le fruit non seul</w:t>
      </w:r>
      <w:r w:rsidRPr="00BB0438">
        <w:rPr>
          <w:szCs w:val="16"/>
        </w:rPr>
        <w:t>e</w:t>
      </w:r>
      <w:r w:rsidRPr="00BB0438">
        <w:rPr>
          <w:szCs w:val="16"/>
        </w:rPr>
        <w:t>ment de la présence de la minorité nationale québécoise, mais égal</w:t>
      </w:r>
      <w:r w:rsidRPr="00BB0438">
        <w:rPr>
          <w:szCs w:val="16"/>
        </w:rPr>
        <w:t>e</w:t>
      </w:r>
      <w:r w:rsidRPr="00BB0438">
        <w:rPr>
          <w:szCs w:val="16"/>
        </w:rPr>
        <w:t>ment de communautés issues de l'immigration, que ce soit les co</w:t>
      </w:r>
      <w:r w:rsidRPr="00BB0438">
        <w:rPr>
          <w:szCs w:val="16"/>
        </w:rPr>
        <w:t>m</w:t>
      </w:r>
      <w:r w:rsidRPr="00BB0438">
        <w:rPr>
          <w:szCs w:val="16"/>
        </w:rPr>
        <w:t>munautés port</w:t>
      </w:r>
      <w:r w:rsidRPr="00BB0438">
        <w:rPr>
          <w:szCs w:val="16"/>
        </w:rPr>
        <w:t>u</w:t>
      </w:r>
      <w:r w:rsidRPr="00BB0438">
        <w:rPr>
          <w:szCs w:val="16"/>
        </w:rPr>
        <w:t>gaise, haïtienne, chinoise, algérienne, jamaïcaine ou indienne. Il y a cependant une différence importante entre la polyet</w:t>
      </w:r>
      <w:r w:rsidRPr="00BB0438">
        <w:rPr>
          <w:szCs w:val="16"/>
        </w:rPr>
        <w:t>h</w:t>
      </w:r>
      <w:r w:rsidRPr="00BB0438">
        <w:rPr>
          <w:szCs w:val="16"/>
        </w:rPr>
        <w:t xml:space="preserve">nicité et la multinationalité. Selon Alain Dieckhoff, </w:t>
      </w:r>
      <w:r>
        <w:rPr>
          <w:szCs w:val="16"/>
        </w:rPr>
        <w:t>« </w:t>
      </w:r>
      <w:r w:rsidRPr="00BB0438">
        <w:rPr>
          <w:szCs w:val="16"/>
        </w:rPr>
        <w:t>le premier terme fait réf</w:t>
      </w:r>
      <w:r w:rsidRPr="00BB0438">
        <w:rPr>
          <w:szCs w:val="16"/>
        </w:rPr>
        <w:t>é</w:t>
      </w:r>
      <w:r w:rsidRPr="00BB0438">
        <w:rPr>
          <w:szCs w:val="16"/>
        </w:rPr>
        <w:t>rence à la diversité interne des sociétés du fait du développ</w:t>
      </w:r>
      <w:r w:rsidRPr="00BB0438">
        <w:rPr>
          <w:szCs w:val="16"/>
        </w:rPr>
        <w:t>e</w:t>
      </w:r>
      <w:r w:rsidRPr="00BB0438">
        <w:rPr>
          <w:szCs w:val="16"/>
        </w:rPr>
        <w:t>ment des migrations internationales</w:t>
      </w:r>
      <w:r>
        <w:rPr>
          <w:szCs w:val="16"/>
        </w:rPr>
        <w:t> »</w:t>
      </w:r>
      <w:r w:rsidRPr="00BB0438">
        <w:rPr>
          <w:szCs w:val="16"/>
        </w:rPr>
        <w:t xml:space="preserve">, alors que </w:t>
      </w:r>
      <w:r>
        <w:rPr>
          <w:szCs w:val="16"/>
        </w:rPr>
        <w:t>« </w:t>
      </w:r>
      <w:r w:rsidRPr="00BB0438">
        <w:rPr>
          <w:szCs w:val="16"/>
        </w:rPr>
        <w:t>le second terme évoque, lui, la coexistence au sein d'un même État, de communautés historiques différentes, disposant de cultures propres, réunies par conquête ou par consentement plus ou moins volontaire</w:t>
      </w:r>
      <w:r>
        <w:rPr>
          <w:szCs w:val="16"/>
        </w:rPr>
        <w:t> » </w:t>
      </w:r>
      <w:r>
        <w:rPr>
          <w:rStyle w:val="Appelnotedebasdep"/>
          <w:szCs w:val="16"/>
        </w:rPr>
        <w:footnoteReference w:id="9"/>
      </w:r>
      <w:r w:rsidRPr="00BB0438">
        <w:rPr>
          <w:szCs w:val="16"/>
        </w:rPr>
        <w:t>. De plus, l'organisation communautaire, culturelle et terr</w:t>
      </w:r>
      <w:r w:rsidRPr="00BB0438">
        <w:rPr>
          <w:szCs w:val="16"/>
        </w:rPr>
        <w:t>i</w:t>
      </w:r>
      <w:r w:rsidRPr="00BB0438">
        <w:rPr>
          <w:szCs w:val="16"/>
        </w:rPr>
        <w:t xml:space="preserve">toriale de ces types de communautés est fort différente. Selon W. Kymlicka, </w:t>
      </w:r>
      <w:r>
        <w:rPr>
          <w:szCs w:val="16"/>
        </w:rPr>
        <w:t>« </w:t>
      </w:r>
      <w:r w:rsidRPr="00BB0438">
        <w:rPr>
          <w:szCs w:val="16"/>
        </w:rPr>
        <w:t>les groupes issus de l'imm</w:t>
      </w:r>
      <w:r w:rsidRPr="00BB0438">
        <w:rPr>
          <w:szCs w:val="16"/>
        </w:rPr>
        <w:t>i</w:t>
      </w:r>
      <w:r w:rsidRPr="00BB0438">
        <w:rPr>
          <w:szCs w:val="16"/>
        </w:rPr>
        <w:t>gration ne constituent pas des 'nations'</w:t>
      </w:r>
      <w:r>
        <w:rPr>
          <w:szCs w:val="16"/>
        </w:rPr>
        <w:t xml:space="preserve"> </w:t>
      </w:r>
      <w:r w:rsidRPr="00BB0438">
        <w:rPr>
          <w:szCs w:val="16"/>
        </w:rPr>
        <w:t>et ne rés</w:t>
      </w:r>
      <w:r w:rsidRPr="00BB0438">
        <w:rPr>
          <w:szCs w:val="16"/>
        </w:rPr>
        <w:t>i</w:t>
      </w:r>
      <w:r w:rsidRPr="00BB0438">
        <w:rPr>
          <w:szCs w:val="16"/>
        </w:rPr>
        <w:t>dent pas sur leur terre d'origine. Leur spécificité, qui se manifeste essentiell</w:t>
      </w:r>
      <w:r w:rsidRPr="00BB0438">
        <w:rPr>
          <w:szCs w:val="16"/>
        </w:rPr>
        <w:t>e</w:t>
      </w:r>
      <w:r w:rsidRPr="00BB0438">
        <w:rPr>
          <w:szCs w:val="16"/>
        </w:rPr>
        <w:t>ment dans leur vie de famille et au sein des associations auxquelles ils adhèrent, ne s'oppose pas à leur intégration institutionnelle</w:t>
      </w:r>
      <w:r>
        <w:rPr>
          <w:szCs w:val="16"/>
        </w:rPr>
        <w:t> » </w:t>
      </w:r>
      <w:r>
        <w:rPr>
          <w:rStyle w:val="Appelnotedebasdep"/>
          <w:szCs w:val="16"/>
        </w:rPr>
        <w:footnoteReference w:id="10"/>
      </w:r>
      <w:r w:rsidRPr="00BB0438">
        <w:rPr>
          <w:szCs w:val="16"/>
        </w:rPr>
        <w:t>. À l'opposé, les m</w:t>
      </w:r>
      <w:r w:rsidRPr="00BB0438">
        <w:rPr>
          <w:szCs w:val="16"/>
        </w:rPr>
        <w:t>i</w:t>
      </w:r>
      <w:r w:rsidRPr="00BB0438">
        <w:rPr>
          <w:szCs w:val="16"/>
        </w:rPr>
        <w:t xml:space="preserve">norités nationales sont dotées de ce que W. Kymlicka qualifie de </w:t>
      </w:r>
      <w:r>
        <w:rPr>
          <w:szCs w:val="16"/>
        </w:rPr>
        <w:t>« </w:t>
      </w:r>
      <w:r w:rsidRPr="00BB0438">
        <w:rPr>
          <w:szCs w:val="16"/>
        </w:rPr>
        <w:t>culture sociétale</w:t>
      </w:r>
      <w:r>
        <w:rPr>
          <w:szCs w:val="16"/>
        </w:rPr>
        <w:t> »</w:t>
      </w:r>
      <w:r w:rsidRPr="00BB0438">
        <w:rPr>
          <w:szCs w:val="16"/>
        </w:rPr>
        <w:t xml:space="preserve">, c'est-à-dire </w:t>
      </w:r>
      <w:r>
        <w:rPr>
          <w:szCs w:val="16"/>
        </w:rPr>
        <w:t>« </w:t>
      </w:r>
      <w:r w:rsidRPr="00BB0438">
        <w:rPr>
          <w:szCs w:val="16"/>
        </w:rPr>
        <w:t>une culture qui offre à</w:t>
      </w:r>
      <w:r>
        <w:rPr>
          <w:szCs w:val="16"/>
        </w:rPr>
        <w:t xml:space="preserve"> </w:t>
      </w:r>
      <w:r>
        <w:t>[</w:t>
      </w:r>
      <w:r w:rsidRPr="00BB0438">
        <w:rPr>
          <w:szCs w:val="16"/>
        </w:rPr>
        <w:t>294</w:t>
      </w:r>
      <w:r>
        <w:rPr>
          <w:szCs w:val="16"/>
        </w:rPr>
        <w:t xml:space="preserve">] </w:t>
      </w:r>
      <w:r w:rsidRPr="00BB0438">
        <w:rPr>
          <w:szCs w:val="16"/>
        </w:rPr>
        <w:t>ses membres des modes de vie, porteur de sens, qui modulent l'e</w:t>
      </w:r>
      <w:r w:rsidRPr="00BB0438">
        <w:rPr>
          <w:szCs w:val="16"/>
        </w:rPr>
        <w:t>n</w:t>
      </w:r>
      <w:r w:rsidRPr="00BB0438">
        <w:rPr>
          <w:szCs w:val="16"/>
        </w:rPr>
        <w:t>semble des activités humaines, au n</w:t>
      </w:r>
      <w:r w:rsidRPr="00BB0438">
        <w:rPr>
          <w:szCs w:val="16"/>
        </w:rPr>
        <w:t>i</w:t>
      </w:r>
      <w:r w:rsidRPr="00BB0438">
        <w:rPr>
          <w:szCs w:val="16"/>
        </w:rPr>
        <w:t>veau de la société, de l'éducation, de la religion, des loisirs et de la vie économique dans les sphères p</w:t>
      </w:r>
      <w:r w:rsidRPr="00BB0438">
        <w:rPr>
          <w:szCs w:val="16"/>
        </w:rPr>
        <w:t>u</w:t>
      </w:r>
      <w:r w:rsidRPr="00BB0438">
        <w:rPr>
          <w:szCs w:val="16"/>
        </w:rPr>
        <w:t>blique et privée. Ces cultures tendent à être territorialement conce</w:t>
      </w:r>
      <w:r w:rsidRPr="00BB0438">
        <w:rPr>
          <w:szCs w:val="16"/>
        </w:rPr>
        <w:t>n</w:t>
      </w:r>
      <w:r w:rsidRPr="00BB0438">
        <w:rPr>
          <w:szCs w:val="16"/>
        </w:rPr>
        <w:t>trées et fondées sur une communauté linguistique</w:t>
      </w:r>
      <w:r>
        <w:rPr>
          <w:szCs w:val="16"/>
        </w:rPr>
        <w:t> » </w:t>
      </w:r>
      <w:r>
        <w:rPr>
          <w:rStyle w:val="Appelnotedebasdep"/>
          <w:szCs w:val="16"/>
        </w:rPr>
        <w:footnoteReference w:id="11"/>
      </w:r>
      <w:r w:rsidRPr="00BB0438">
        <w:rPr>
          <w:szCs w:val="16"/>
        </w:rPr>
        <w:t>.</w:t>
      </w:r>
    </w:p>
    <w:p w:rsidR="00F0581C" w:rsidRPr="00BB0438" w:rsidRDefault="00F0581C" w:rsidP="00F0581C">
      <w:pPr>
        <w:spacing w:before="120" w:after="120"/>
        <w:jc w:val="both"/>
      </w:pPr>
      <w:r w:rsidRPr="00BB0438">
        <w:rPr>
          <w:szCs w:val="16"/>
        </w:rPr>
        <w:t>Dans la mesure où les minorités nationales sont concentrées terr</w:t>
      </w:r>
      <w:r w:rsidRPr="00BB0438">
        <w:rPr>
          <w:szCs w:val="16"/>
        </w:rPr>
        <w:t>i</w:t>
      </w:r>
      <w:r w:rsidRPr="00BB0438">
        <w:rPr>
          <w:szCs w:val="16"/>
        </w:rPr>
        <w:t>torialement et qu'elles ont un pouvoir de mobilisation avéré qui les distingue des communautés ethniques issues de l'immigration, elles peuvent menacer l'intégrité territoriale de l'État et le bon fonctionn</w:t>
      </w:r>
      <w:r w:rsidRPr="00BB0438">
        <w:rPr>
          <w:szCs w:val="16"/>
        </w:rPr>
        <w:t>e</w:t>
      </w:r>
      <w:r w:rsidRPr="00BB0438">
        <w:rPr>
          <w:szCs w:val="16"/>
        </w:rPr>
        <w:t>ment des institutions centrales en optant, selon les cas, pour la séce</w:t>
      </w:r>
      <w:r w:rsidRPr="00BB0438">
        <w:rPr>
          <w:szCs w:val="16"/>
        </w:rPr>
        <w:t>s</w:t>
      </w:r>
      <w:r w:rsidRPr="00BB0438">
        <w:rPr>
          <w:szCs w:val="16"/>
        </w:rPr>
        <w:t>sion, ou encore en refusant de participer pleinement à la vie politique commune. Dans les cas les plus extrêmes, en particulier lorsque les droits de ces minorités sont bafoués et qu'elles sont incapables d'e</w:t>
      </w:r>
      <w:r w:rsidRPr="00BB0438">
        <w:rPr>
          <w:szCs w:val="16"/>
        </w:rPr>
        <w:t>x</w:t>
      </w:r>
      <w:r w:rsidRPr="00BB0438">
        <w:rPr>
          <w:szCs w:val="16"/>
        </w:rPr>
        <w:t>primer leur mécontentement à l'intérieur du cadre politique, elles pe</w:t>
      </w:r>
      <w:r w:rsidRPr="00BB0438">
        <w:rPr>
          <w:szCs w:val="16"/>
        </w:rPr>
        <w:t>u</w:t>
      </w:r>
      <w:r w:rsidRPr="00BB0438">
        <w:rPr>
          <w:szCs w:val="16"/>
        </w:rPr>
        <w:t>vent en venir à favoriser le recours à la violence.</w:t>
      </w:r>
    </w:p>
    <w:p w:rsidR="00F0581C" w:rsidRPr="00BB0438" w:rsidRDefault="00F0581C" w:rsidP="00F0581C">
      <w:pPr>
        <w:spacing w:before="120" w:after="120"/>
        <w:jc w:val="both"/>
      </w:pPr>
      <w:r w:rsidRPr="00BB0438">
        <w:rPr>
          <w:szCs w:val="16"/>
        </w:rPr>
        <w:t>Notre typologie des États multinationaux s'inscrit dans le sillon des travaux de Stein Rokkan et de D</w:t>
      </w:r>
      <w:r w:rsidRPr="00BB0438">
        <w:rPr>
          <w:szCs w:val="16"/>
        </w:rPr>
        <w:t>e</w:t>
      </w:r>
      <w:r w:rsidRPr="00BB0438">
        <w:rPr>
          <w:szCs w:val="16"/>
        </w:rPr>
        <w:t>rek Urwin</w:t>
      </w:r>
      <w:r>
        <w:rPr>
          <w:szCs w:val="16"/>
        </w:rPr>
        <w:t> </w:t>
      </w:r>
      <w:r>
        <w:rPr>
          <w:rStyle w:val="Appelnotedebasdep"/>
          <w:szCs w:val="16"/>
        </w:rPr>
        <w:footnoteReference w:id="12"/>
      </w:r>
      <w:r w:rsidRPr="00BB0438">
        <w:rPr>
          <w:szCs w:val="16"/>
        </w:rPr>
        <w:t>. Ces auteurs proposent quatre modèles de l'État territorial — unitaire, unioniste, fédéralisme mécanique et fédéralisme organique — auxquels nous ajoutons la ph</w:t>
      </w:r>
      <w:r w:rsidRPr="00BB0438">
        <w:rPr>
          <w:szCs w:val="16"/>
        </w:rPr>
        <w:t>i</w:t>
      </w:r>
      <w:r w:rsidRPr="00BB0438">
        <w:rPr>
          <w:szCs w:val="16"/>
        </w:rPr>
        <w:t>losophie de reconnaissance de la dive</w:t>
      </w:r>
      <w:r w:rsidRPr="00BB0438">
        <w:rPr>
          <w:szCs w:val="16"/>
        </w:rPr>
        <w:t>r</w:t>
      </w:r>
      <w:r w:rsidRPr="00BB0438">
        <w:rPr>
          <w:szCs w:val="16"/>
        </w:rPr>
        <w:t>sité de chacun de ces États.</w:t>
      </w:r>
    </w:p>
    <w:p w:rsidR="00F0581C" w:rsidRPr="00BB0438" w:rsidRDefault="00F0581C" w:rsidP="00F0581C">
      <w:pPr>
        <w:spacing w:before="120" w:after="120"/>
        <w:jc w:val="both"/>
      </w:pPr>
      <w:r w:rsidRPr="00BB0438">
        <w:rPr>
          <w:szCs w:val="16"/>
        </w:rPr>
        <w:t>L'État unitaire républicain est construit autour d'un pouvoir central unique et se caractérise par une uniformité politique et juridique. L'a</w:t>
      </w:r>
      <w:r w:rsidRPr="00BB0438">
        <w:rPr>
          <w:szCs w:val="16"/>
        </w:rPr>
        <w:t>c</w:t>
      </w:r>
      <w:r w:rsidRPr="00BB0438">
        <w:rPr>
          <w:szCs w:val="16"/>
        </w:rPr>
        <w:t xml:space="preserve">cent est mis sur une identité nationale prédominante surplombant tout autre forme d'identité. L'État unioniste </w:t>
      </w:r>
      <w:r w:rsidRPr="00BB0438">
        <w:rPr>
          <w:i/>
          <w:iCs/>
          <w:szCs w:val="16"/>
        </w:rPr>
        <w:t xml:space="preserve">(Union State) </w:t>
      </w:r>
      <w:r w:rsidRPr="00BB0438">
        <w:rPr>
          <w:szCs w:val="16"/>
        </w:rPr>
        <w:t>ne peut se récl</w:t>
      </w:r>
      <w:r w:rsidRPr="00BB0438">
        <w:rPr>
          <w:szCs w:val="16"/>
        </w:rPr>
        <w:t>a</w:t>
      </w:r>
      <w:r w:rsidRPr="00BB0438">
        <w:rPr>
          <w:szCs w:val="16"/>
        </w:rPr>
        <w:t>mer que d'un seul centre d'autorité, mais reconnaît des droits histor</w:t>
      </w:r>
      <w:r w:rsidRPr="00BB0438">
        <w:rPr>
          <w:szCs w:val="16"/>
        </w:rPr>
        <w:t>i</w:t>
      </w:r>
      <w:r w:rsidRPr="00BB0438">
        <w:rPr>
          <w:szCs w:val="16"/>
        </w:rPr>
        <w:t>ques aux diverses régions possédant une certaine conscience nation</w:t>
      </w:r>
      <w:r w:rsidRPr="00BB0438">
        <w:rPr>
          <w:szCs w:val="16"/>
        </w:rPr>
        <w:t>a</w:t>
      </w:r>
      <w:r w:rsidRPr="00BB0438">
        <w:rPr>
          <w:szCs w:val="16"/>
        </w:rPr>
        <w:t>le. L'État fédéral libéral divise son territoire en unités fédérales, pe</w:t>
      </w:r>
      <w:r w:rsidRPr="00BB0438">
        <w:rPr>
          <w:szCs w:val="16"/>
        </w:rPr>
        <w:t>r</w:t>
      </w:r>
      <w:r w:rsidRPr="00BB0438">
        <w:rPr>
          <w:szCs w:val="16"/>
        </w:rPr>
        <w:t>mettant l'expression d'une certaine diversité à l'échelle régionale, mais rejetant l'expression formelle de cette même diversité au niveau des institutions centrales lui préférant une citoyenneté libérale. Quant à l'État fédéral communautarien, il se fonde sur les régions préexista</w:t>
      </w:r>
      <w:r w:rsidRPr="00BB0438">
        <w:rPr>
          <w:szCs w:val="16"/>
        </w:rPr>
        <w:t>n</w:t>
      </w:r>
      <w:r w:rsidRPr="00BB0438">
        <w:rPr>
          <w:szCs w:val="16"/>
        </w:rPr>
        <w:t>tes, et les institutions centrales cherchent à refléter cet état de fait au sein de ses pr</w:t>
      </w:r>
      <w:r w:rsidRPr="00BB0438">
        <w:rPr>
          <w:szCs w:val="16"/>
        </w:rPr>
        <w:t>o</w:t>
      </w:r>
      <w:r>
        <w:rPr>
          <w:szCs w:val="16"/>
        </w:rPr>
        <w:t>pres structures organisation</w:t>
      </w:r>
      <w:r w:rsidRPr="00BB0438">
        <w:rPr>
          <w:szCs w:val="16"/>
        </w:rPr>
        <w:t>nelles.</w:t>
      </w:r>
    </w:p>
    <w:p w:rsidR="00F0581C" w:rsidRPr="00BB0438" w:rsidRDefault="00F0581C" w:rsidP="00F0581C">
      <w:pPr>
        <w:spacing w:before="120" w:after="120"/>
        <w:jc w:val="both"/>
      </w:pPr>
      <w:r w:rsidRPr="00BB0438">
        <w:rPr>
          <w:szCs w:val="16"/>
        </w:rPr>
        <w:t>Il importe de noter que ces catégories sont des idéaux-types, et qu'il n'est pas rare, comme l'affirme Michael Keating, de voir différe</w:t>
      </w:r>
      <w:r w:rsidRPr="00BB0438">
        <w:rPr>
          <w:szCs w:val="16"/>
        </w:rPr>
        <w:t>n</w:t>
      </w:r>
      <w:r w:rsidRPr="00BB0438">
        <w:rPr>
          <w:szCs w:val="16"/>
        </w:rPr>
        <w:t>tes conceptions de l'identité nationale cohabiter au sein de l'espace public, en particulier entre les différents groupes nationaux. Il est ég</w:t>
      </w:r>
      <w:r w:rsidRPr="00BB0438">
        <w:rPr>
          <w:szCs w:val="16"/>
        </w:rPr>
        <w:t>a</w:t>
      </w:r>
      <w:r w:rsidRPr="00BB0438">
        <w:rPr>
          <w:szCs w:val="16"/>
        </w:rPr>
        <w:t>lement possible qu'un pays puisse pa</w:t>
      </w:r>
      <w:r w:rsidRPr="00BB0438">
        <w:rPr>
          <w:szCs w:val="16"/>
        </w:rPr>
        <w:t>s</w:t>
      </w:r>
      <w:r w:rsidRPr="00BB0438">
        <w:rPr>
          <w:szCs w:val="16"/>
        </w:rPr>
        <w:t>ser d'une conception à une autre sur une certaine p</w:t>
      </w:r>
      <w:r w:rsidRPr="00BB0438">
        <w:rPr>
          <w:szCs w:val="16"/>
        </w:rPr>
        <w:t>é</w:t>
      </w:r>
      <w:r w:rsidRPr="00BB0438">
        <w:rPr>
          <w:szCs w:val="16"/>
        </w:rPr>
        <w:t>riode de temps. Dans la mesure où le fédéralisme permet une certaine forme de bureaucratie représent</w:t>
      </w:r>
      <w:r w:rsidRPr="00BB0438">
        <w:rPr>
          <w:szCs w:val="16"/>
        </w:rPr>
        <w:t>a</w:t>
      </w:r>
      <w:r w:rsidRPr="00BB0438">
        <w:rPr>
          <w:szCs w:val="16"/>
        </w:rPr>
        <w:t>tive au niveau des États-membres, nous limitons ici notre analyse aux institutions et aux organisations de l'État central. Nous avons sélectionné quatre di</w:t>
      </w:r>
      <w:r w:rsidRPr="00BB0438">
        <w:rPr>
          <w:szCs w:val="16"/>
        </w:rPr>
        <w:t>f</w:t>
      </w:r>
      <w:r w:rsidRPr="00BB0438">
        <w:rPr>
          <w:szCs w:val="16"/>
        </w:rPr>
        <w:t>férents États multinationaux où une conception partic</w:t>
      </w:r>
      <w:r w:rsidRPr="00BB0438">
        <w:rPr>
          <w:szCs w:val="16"/>
        </w:rPr>
        <w:t>u</w:t>
      </w:r>
      <w:r w:rsidRPr="00BB0438">
        <w:rPr>
          <w:szCs w:val="16"/>
        </w:rPr>
        <w:t>lière de l'État s'est graduellement imposée</w:t>
      </w:r>
      <w:r>
        <w:rPr>
          <w:szCs w:val="16"/>
        </w:rPr>
        <w:t> :</w:t>
      </w:r>
      <w:r w:rsidRPr="00BB0438">
        <w:rPr>
          <w:szCs w:val="16"/>
        </w:rPr>
        <w:t xml:space="preserve"> la Tu</w:t>
      </w:r>
      <w:r w:rsidRPr="00BB0438">
        <w:rPr>
          <w:szCs w:val="16"/>
        </w:rPr>
        <w:t>r</w:t>
      </w:r>
      <w:r w:rsidRPr="00BB0438">
        <w:rPr>
          <w:szCs w:val="16"/>
        </w:rPr>
        <w:t xml:space="preserve">quie (État unitaire), le Royaume-Uni </w:t>
      </w:r>
      <w:r>
        <w:rPr>
          <w:szCs w:val="16"/>
        </w:rPr>
        <w:t>« </w:t>
      </w:r>
      <w:r w:rsidRPr="00BB0438">
        <w:rPr>
          <w:szCs w:val="16"/>
        </w:rPr>
        <w:t>pré-dévolution</w:t>
      </w:r>
      <w:r>
        <w:rPr>
          <w:szCs w:val="16"/>
        </w:rPr>
        <w:t> »</w:t>
      </w:r>
      <w:r w:rsidRPr="00BB0438">
        <w:rPr>
          <w:szCs w:val="16"/>
        </w:rPr>
        <w:t xml:space="preserve"> (État unioniste), le Canada (État fédéral lib</w:t>
      </w:r>
      <w:r w:rsidRPr="00BB0438">
        <w:rPr>
          <w:szCs w:val="16"/>
        </w:rPr>
        <w:t>é</w:t>
      </w:r>
      <w:r w:rsidRPr="00BB0438">
        <w:rPr>
          <w:szCs w:val="16"/>
        </w:rPr>
        <w:t>ral) et le Nigeria (État fédéral communautarien). L'étude de ces mod</w:t>
      </w:r>
      <w:r w:rsidRPr="00BB0438">
        <w:rPr>
          <w:szCs w:val="16"/>
        </w:rPr>
        <w:t>è</w:t>
      </w:r>
      <w:r w:rsidRPr="00BB0438">
        <w:rPr>
          <w:szCs w:val="16"/>
        </w:rPr>
        <w:t>les permettra de mettre en valeur les strat</w:t>
      </w:r>
      <w:r w:rsidRPr="00BB0438">
        <w:rPr>
          <w:szCs w:val="16"/>
        </w:rPr>
        <w:t>é</w:t>
      </w:r>
      <w:r w:rsidRPr="00BB0438">
        <w:rPr>
          <w:szCs w:val="16"/>
        </w:rPr>
        <w:t>gies mobilisatrices en cours, de même que les efforts faits pour surseoir aux revendications ident</w:t>
      </w:r>
      <w:r w:rsidRPr="00BB0438">
        <w:rPr>
          <w:szCs w:val="16"/>
        </w:rPr>
        <w:t>i</w:t>
      </w:r>
      <w:r w:rsidRPr="00BB0438">
        <w:rPr>
          <w:szCs w:val="16"/>
        </w:rPr>
        <w:t>taires émanant des minorités nationales.</w:t>
      </w:r>
    </w:p>
    <w:p w:rsidR="00F0581C" w:rsidRDefault="00F0581C" w:rsidP="00F0581C">
      <w:pPr>
        <w:spacing w:before="120" w:after="120"/>
        <w:jc w:val="both"/>
        <w:rPr>
          <w:szCs w:val="16"/>
        </w:rPr>
      </w:pPr>
      <w:r>
        <w:rPr>
          <w:szCs w:val="14"/>
        </w:rPr>
        <w:t>[</w:t>
      </w:r>
      <w:r w:rsidRPr="00BB0438">
        <w:rPr>
          <w:szCs w:val="16"/>
        </w:rPr>
        <w:t>295</w:t>
      </w:r>
      <w:r>
        <w:rPr>
          <w:szCs w:val="16"/>
        </w:rPr>
        <w:t>]</w:t>
      </w:r>
    </w:p>
    <w:p w:rsidR="00F0581C" w:rsidRPr="00BB0438" w:rsidRDefault="00F0581C" w:rsidP="00F0581C">
      <w:pPr>
        <w:spacing w:before="120" w:after="120"/>
        <w:jc w:val="both"/>
      </w:pPr>
    </w:p>
    <w:p w:rsidR="00F0581C" w:rsidRPr="00BB0438" w:rsidRDefault="00F0581C" w:rsidP="00F0581C">
      <w:pPr>
        <w:pStyle w:val="a"/>
      </w:pPr>
      <w:bookmarkStart w:id="4" w:name="bureaucration_au_sein_I_a"/>
      <w:r w:rsidRPr="00BB0438">
        <w:t>La Turquie</w:t>
      </w:r>
      <w:r>
        <w:t> :</w:t>
      </w:r>
      <w:r w:rsidRPr="00BB0438">
        <w:t xml:space="preserve"> l'idéologie kémaliste en héritage</w:t>
      </w:r>
    </w:p>
    <w:bookmarkEnd w:id="4"/>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Avec une communauté kurde représentant plus de 20% de la pop</w:t>
      </w:r>
      <w:r w:rsidRPr="00BB0438">
        <w:rPr>
          <w:szCs w:val="16"/>
        </w:rPr>
        <w:t>u</w:t>
      </w:r>
      <w:r w:rsidRPr="00BB0438">
        <w:rPr>
          <w:szCs w:val="16"/>
        </w:rPr>
        <w:t>lation, la Turquie est empiriquement un État multinational. Or, le fonctionnement de l'État unitaire turque est fondé, depuis sa fondation au cours des années 1920, sur l'absence de reconnaissance permanente de cette diversité nationale. Inspiré par le modèle de l'État-nation un</w:t>
      </w:r>
      <w:r w:rsidRPr="00BB0438">
        <w:rPr>
          <w:szCs w:val="16"/>
        </w:rPr>
        <w:t>i</w:t>
      </w:r>
      <w:r w:rsidRPr="00BB0438">
        <w:rPr>
          <w:szCs w:val="16"/>
        </w:rPr>
        <w:t>taire européen (en particulier la France), le père de la Turquie mode</w:t>
      </w:r>
      <w:r w:rsidRPr="00BB0438">
        <w:rPr>
          <w:szCs w:val="16"/>
        </w:rPr>
        <w:t>r</w:t>
      </w:r>
      <w:r w:rsidRPr="00BB0438">
        <w:rPr>
          <w:szCs w:val="16"/>
        </w:rPr>
        <w:t>ne Mustafa Kemal (Atatürk) jeta les bases d'un nouvelle comm</w:t>
      </w:r>
      <w:r w:rsidRPr="00BB0438">
        <w:rPr>
          <w:szCs w:val="16"/>
        </w:rPr>
        <w:t>u</w:t>
      </w:r>
      <w:r w:rsidRPr="00BB0438">
        <w:rPr>
          <w:szCs w:val="16"/>
        </w:rPr>
        <w:t>nauté nationale animée par trois principes</w:t>
      </w:r>
      <w:r>
        <w:rPr>
          <w:szCs w:val="16"/>
        </w:rPr>
        <w:t> :</w:t>
      </w:r>
      <w:r w:rsidRPr="00BB0438">
        <w:rPr>
          <w:szCs w:val="16"/>
        </w:rPr>
        <w:t xml:space="preserve"> le républicanisme, le nationali</w:t>
      </w:r>
      <w:r w:rsidRPr="00BB0438">
        <w:rPr>
          <w:szCs w:val="16"/>
        </w:rPr>
        <w:t>s</w:t>
      </w:r>
      <w:r w:rsidRPr="00BB0438">
        <w:rPr>
          <w:szCs w:val="16"/>
        </w:rPr>
        <w:t>me et la laïcité. Les deux premiers principes sont particulièrement i</w:t>
      </w:r>
      <w:r w:rsidRPr="00BB0438">
        <w:rPr>
          <w:szCs w:val="16"/>
        </w:rPr>
        <w:t>m</w:t>
      </w:r>
      <w:r w:rsidRPr="00BB0438">
        <w:rPr>
          <w:szCs w:val="16"/>
        </w:rPr>
        <w:t>portants pour comprendre la gestion de la diversité nationale en Tu</w:t>
      </w:r>
      <w:r w:rsidRPr="00BB0438">
        <w:rPr>
          <w:szCs w:val="16"/>
        </w:rPr>
        <w:t>r</w:t>
      </w:r>
      <w:r w:rsidRPr="00BB0438">
        <w:rPr>
          <w:szCs w:val="16"/>
        </w:rPr>
        <w:t>quie.</w:t>
      </w:r>
    </w:p>
    <w:p w:rsidR="00F0581C" w:rsidRPr="00BB0438" w:rsidRDefault="00F0581C" w:rsidP="00F0581C">
      <w:pPr>
        <w:spacing w:before="120" w:after="120"/>
        <w:jc w:val="both"/>
      </w:pPr>
      <w:r w:rsidRPr="00BB0438">
        <w:rPr>
          <w:szCs w:val="16"/>
        </w:rPr>
        <w:t>L'objectif du nouvel État turc était principalement de moderniser cette société agricole, de libérer le peuple de la tradition. En oppos</w:t>
      </w:r>
      <w:r w:rsidRPr="00BB0438">
        <w:rPr>
          <w:szCs w:val="16"/>
        </w:rPr>
        <w:t>i</w:t>
      </w:r>
      <w:r w:rsidRPr="00BB0438">
        <w:rPr>
          <w:szCs w:val="16"/>
        </w:rPr>
        <w:t>tion à l'attachement local et communautaire qui avait longtemps ma</w:t>
      </w:r>
      <w:r w:rsidRPr="00BB0438">
        <w:rPr>
          <w:szCs w:val="16"/>
        </w:rPr>
        <w:t>r</w:t>
      </w:r>
      <w:r w:rsidRPr="00BB0438">
        <w:rPr>
          <w:szCs w:val="16"/>
        </w:rPr>
        <w:t>qué dans les faits l'Empire Ottoman, le nouvel État turc proposait la liberté que procure la citoyenneté. La Turquie invitait ainsi ses c</w:t>
      </w:r>
      <w:r w:rsidRPr="00BB0438">
        <w:rPr>
          <w:szCs w:val="16"/>
        </w:rPr>
        <w:t>i</w:t>
      </w:r>
      <w:r w:rsidRPr="00BB0438">
        <w:rPr>
          <w:szCs w:val="16"/>
        </w:rPr>
        <w:t>toyens à se départir de leur identité ethnique, à adopter une nouvelle identité c</w:t>
      </w:r>
      <w:r w:rsidRPr="00BB0438">
        <w:rPr>
          <w:szCs w:val="16"/>
        </w:rPr>
        <w:t>i</w:t>
      </w:r>
      <w:r w:rsidRPr="00BB0438">
        <w:rPr>
          <w:szCs w:val="16"/>
        </w:rPr>
        <w:t>vique et à rejeter leur attachement communautaire en faveur d'une loyauté à l'État-nation séculaire turc.</w:t>
      </w:r>
    </w:p>
    <w:p w:rsidR="00F0581C" w:rsidRPr="00BB0438" w:rsidRDefault="00F0581C" w:rsidP="00F0581C">
      <w:pPr>
        <w:spacing w:before="120" w:after="120"/>
        <w:jc w:val="both"/>
      </w:pPr>
      <w:r w:rsidRPr="00BB0438">
        <w:rPr>
          <w:szCs w:val="16"/>
        </w:rPr>
        <w:t>Le républicanisme a pour principal objectif la prom</w:t>
      </w:r>
      <w:r w:rsidRPr="00BB0438">
        <w:rPr>
          <w:szCs w:val="16"/>
        </w:rPr>
        <w:t>o</w:t>
      </w:r>
      <w:r w:rsidRPr="00BB0438">
        <w:rPr>
          <w:szCs w:val="16"/>
        </w:rPr>
        <w:t>tion active du bien commun et la mise en place d'une citoyenneté garantissant l'ég</w:t>
      </w:r>
      <w:r w:rsidRPr="00BB0438">
        <w:rPr>
          <w:szCs w:val="16"/>
        </w:rPr>
        <w:t>a</w:t>
      </w:r>
      <w:r w:rsidRPr="00BB0438">
        <w:rPr>
          <w:szCs w:val="16"/>
        </w:rPr>
        <w:t xml:space="preserve">lité des droits et le confinement des identités particulières à la sphère privée. Comme l'affirme Alain Dieckhoff, </w:t>
      </w:r>
      <w:r>
        <w:rPr>
          <w:szCs w:val="16"/>
        </w:rPr>
        <w:t>« </w:t>
      </w:r>
      <w:r w:rsidRPr="00BB0438">
        <w:rPr>
          <w:szCs w:val="16"/>
        </w:rPr>
        <w:t>la citoyenneté est en thé</w:t>
      </w:r>
      <w:r w:rsidRPr="00BB0438">
        <w:rPr>
          <w:szCs w:val="16"/>
        </w:rPr>
        <w:t>o</w:t>
      </w:r>
      <w:r w:rsidRPr="00BB0438">
        <w:rPr>
          <w:szCs w:val="16"/>
        </w:rPr>
        <w:t>rie un principe de dépassement des ancrages concrets. Toutefois, sa pleine réalisation requiert, dans le cadre du républicanisme classique, une forte homogénéisation de l'espace public</w:t>
      </w:r>
      <w:r>
        <w:rPr>
          <w:szCs w:val="16"/>
        </w:rPr>
        <w:t> » </w:t>
      </w:r>
      <w:r>
        <w:rPr>
          <w:rStyle w:val="Appelnotedebasdep"/>
          <w:szCs w:val="16"/>
        </w:rPr>
        <w:footnoteReference w:id="13"/>
      </w:r>
      <w:r w:rsidRPr="00BB0438">
        <w:rPr>
          <w:szCs w:val="16"/>
        </w:rPr>
        <w:t>. Il n'y a ainsi aucune place pour la revendication de d</w:t>
      </w:r>
      <w:r w:rsidRPr="00BB0438">
        <w:rPr>
          <w:szCs w:val="16"/>
        </w:rPr>
        <w:t>e</w:t>
      </w:r>
      <w:r w:rsidRPr="00BB0438">
        <w:rPr>
          <w:szCs w:val="16"/>
        </w:rPr>
        <w:t>mandes fondées sur l'appartenance à une minorité nationale, puisque tous les citoyens turcs sont égaux e</w:t>
      </w:r>
      <w:r w:rsidRPr="00BB0438">
        <w:rPr>
          <w:szCs w:val="16"/>
        </w:rPr>
        <w:t>n</w:t>
      </w:r>
      <w:r w:rsidRPr="00BB0438">
        <w:rPr>
          <w:szCs w:val="16"/>
        </w:rPr>
        <w:t>tre eux.</w:t>
      </w:r>
    </w:p>
    <w:p w:rsidR="00F0581C" w:rsidRDefault="00F0581C" w:rsidP="00F0581C">
      <w:pPr>
        <w:spacing w:before="120" w:after="120"/>
        <w:jc w:val="both"/>
        <w:rPr>
          <w:szCs w:val="16"/>
        </w:rPr>
      </w:pPr>
      <w:r w:rsidRPr="00BB0438">
        <w:rPr>
          <w:szCs w:val="16"/>
        </w:rPr>
        <w:t>Le principe du nationalisme est principalement défini comme l'i</w:t>
      </w:r>
      <w:r w:rsidRPr="00BB0438">
        <w:rPr>
          <w:szCs w:val="16"/>
        </w:rPr>
        <w:t>n</w:t>
      </w:r>
      <w:r w:rsidRPr="00BB0438">
        <w:rPr>
          <w:szCs w:val="16"/>
        </w:rPr>
        <w:t>divisibilité de la nation et du territoire de l'État turc. Le préambule de la Constitution turque réitère d'ailleurs l'existence éternelle de la n</w:t>
      </w:r>
      <w:r w:rsidRPr="00BB0438">
        <w:rPr>
          <w:szCs w:val="16"/>
        </w:rPr>
        <w:t>a</w:t>
      </w:r>
      <w:r w:rsidRPr="00BB0438">
        <w:rPr>
          <w:szCs w:val="16"/>
        </w:rPr>
        <w:t>tion et de la patrie turque ainsi que l'indivisible unité de l'État turc. Une telle conception nationale empêche toute forme de reconnaissa</w:t>
      </w:r>
      <w:r w:rsidRPr="00BB0438">
        <w:rPr>
          <w:szCs w:val="16"/>
        </w:rPr>
        <w:t>n</w:t>
      </w:r>
      <w:r w:rsidRPr="00BB0438">
        <w:rPr>
          <w:szCs w:val="16"/>
        </w:rPr>
        <w:t>ce de la réalité kurde. Comme l'affirme Heinz Kramer</w:t>
      </w:r>
      <w:r>
        <w:rPr>
          <w:szCs w:val="16"/>
        </w:rPr>
        <w:t> :</w:t>
      </w:r>
      <w:r w:rsidRPr="00BB0438">
        <w:rPr>
          <w:szCs w:val="16"/>
        </w:rPr>
        <w:t xml:space="preserve"> </w:t>
      </w:r>
      <w:r>
        <w:rPr>
          <w:szCs w:val="16"/>
        </w:rPr>
        <w:t>« </w:t>
      </w:r>
      <w:r w:rsidRPr="00BB0438">
        <w:rPr>
          <w:szCs w:val="16"/>
        </w:rPr>
        <w:t>Pour les turcs partisans de la ligne dure, la reconnaissance de la question kurde et la possibilité d'octroyer à ces derniers certains droits relatifs à l'e</w:t>
      </w:r>
      <w:r w:rsidRPr="00BB0438">
        <w:rPr>
          <w:szCs w:val="16"/>
        </w:rPr>
        <w:t>x</w:t>
      </w:r>
      <w:r w:rsidRPr="00BB0438">
        <w:rPr>
          <w:szCs w:val="16"/>
        </w:rPr>
        <w:t>pression de leurs droits culturels représentent le début de la fin pour l'État nation turc unifié. Certains droits culturels, comme celui de r</w:t>
      </w:r>
      <w:r w:rsidRPr="00BB0438">
        <w:rPr>
          <w:szCs w:val="16"/>
        </w:rPr>
        <w:t>e</w:t>
      </w:r>
      <w:r w:rsidRPr="00BB0438">
        <w:rPr>
          <w:szCs w:val="16"/>
        </w:rPr>
        <w:t>courir à la langue kurde lors d'occasions spéciales, pourraient, selon certains, mener inévitablement à des demandes pour des droits polit</w:t>
      </w:r>
      <w:r w:rsidRPr="00BB0438">
        <w:rPr>
          <w:szCs w:val="16"/>
        </w:rPr>
        <w:t>i</w:t>
      </w:r>
      <w:r w:rsidRPr="00BB0438">
        <w:rPr>
          <w:szCs w:val="16"/>
        </w:rPr>
        <w:t>ques desquelles découleraient des demandes afin de réorganiser la r</w:t>
      </w:r>
      <w:r w:rsidRPr="00BB0438">
        <w:rPr>
          <w:szCs w:val="16"/>
        </w:rPr>
        <w:t>é</w:t>
      </w:r>
      <w:r w:rsidRPr="00BB0438">
        <w:rPr>
          <w:szCs w:val="16"/>
        </w:rPr>
        <w:t>p</w:t>
      </w:r>
      <w:r w:rsidRPr="00BB0438">
        <w:rPr>
          <w:szCs w:val="16"/>
        </w:rPr>
        <w:t>u</w:t>
      </w:r>
      <w:r w:rsidRPr="00BB0438">
        <w:rPr>
          <w:szCs w:val="16"/>
        </w:rPr>
        <w:t>blique selon les principes du fédéralisme. De là, la séparation serait la prochaine étape à franchir...</w:t>
      </w:r>
      <w:r>
        <w:rPr>
          <w:szCs w:val="16"/>
        </w:rPr>
        <w:t> » </w:t>
      </w:r>
      <w:r>
        <w:rPr>
          <w:rStyle w:val="Appelnotedebasdep"/>
          <w:szCs w:val="16"/>
        </w:rPr>
        <w:footnoteReference w:id="14"/>
      </w:r>
      <w:r w:rsidRPr="00BB0438">
        <w:rPr>
          <w:szCs w:val="16"/>
        </w:rPr>
        <w:t>.</w:t>
      </w:r>
    </w:p>
    <w:p w:rsidR="00F0581C" w:rsidRPr="00BB0438" w:rsidRDefault="00F0581C" w:rsidP="00F0581C">
      <w:pPr>
        <w:spacing w:before="120" w:after="120"/>
        <w:jc w:val="both"/>
      </w:pPr>
    </w:p>
    <w:p w:rsidR="00F0581C" w:rsidRPr="00BB0438" w:rsidRDefault="00F0581C" w:rsidP="00F0581C">
      <w:pPr>
        <w:pStyle w:val="a"/>
      </w:pPr>
      <w:bookmarkStart w:id="5" w:name="bureaucration_au_sein_I_b"/>
      <w:r w:rsidRPr="00BB0438">
        <w:t>Le Royaume-Uni</w:t>
      </w:r>
      <w:r>
        <w:t> :</w:t>
      </w:r>
      <w:r>
        <w:br/>
      </w:r>
      <w:r w:rsidRPr="00BB0438">
        <w:t>l'unionisme comme principe d'incorpor</w:t>
      </w:r>
      <w:r w:rsidRPr="00BB0438">
        <w:t>a</w:t>
      </w:r>
      <w:r w:rsidRPr="00BB0438">
        <w:t>tion</w:t>
      </w:r>
    </w:p>
    <w:bookmarkEnd w:id="5"/>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Le deuxième modèle d'État multinational est le mod</w:t>
      </w:r>
      <w:r w:rsidRPr="00BB0438">
        <w:rPr>
          <w:szCs w:val="16"/>
        </w:rPr>
        <w:t>è</w:t>
      </w:r>
      <w:r w:rsidRPr="00BB0438">
        <w:rPr>
          <w:szCs w:val="16"/>
        </w:rPr>
        <w:t>le unioniste, dont le principal exemple demeure le Royaume-Uni. Le modèle uni</w:t>
      </w:r>
      <w:r w:rsidRPr="00BB0438">
        <w:rPr>
          <w:szCs w:val="16"/>
        </w:rPr>
        <w:t>o</w:t>
      </w:r>
      <w:r w:rsidRPr="00BB0438">
        <w:rPr>
          <w:szCs w:val="16"/>
        </w:rPr>
        <w:t>niste combine une structure politique unitaire et l'attachement à une identité britannique, de même qu'une reconnaissance des différents groupes nationaux préexistant à l'Union et de leurs institutions locales et civiles. Plus partic</w:t>
      </w:r>
      <w:r w:rsidRPr="00BB0438">
        <w:rPr>
          <w:szCs w:val="16"/>
        </w:rPr>
        <w:t>u</w:t>
      </w:r>
      <w:r w:rsidRPr="00BB0438">
        <w:rPr>
          <w:szCs w:val="16"/>
        </w:rPr>
        <w:t>lièrement, l'identité britannique a été superposée à des identités régionales anglaise, écossaise, galloise et irlandaise.  S. Rokkan et D.  Urwin définissent l'État</w:t>
      </w:r>
      <w:r>
        <w:rPr>
          <w:szCs w:val="16"/>
        </w:rPr>
        <w:t xml:space="preserve"> </w:t>
      </w:r>
      <w:r>
        <w:rPr>
          <w:szCs w:val="14"/>
        </w:rPr>
        <w:t>[</w:t>
      </w:r>
      <w:r w:rsidRPr="00BB0438">
        <w:rPr>
          <w:szCs w:val="16"/>
        </w:rPr>
        <w:t>296</w:t>
      </w:r>
      <w:r>
        <w:rPr>
          <w:szCs w:val="16"/>
        </w:rPr>
        <w:t xml:space="preserve">] </w:t>
      </w:r>
      <w:r w:rsidRPr="00BB0438">
        <w:rPr>
          <w:szCs w:val="16"/>
        </w:rPr>
        <w:t>unioniste comme suit</w:t>
      </w:r>
      <w:r>
        <w:rPr>
          <w:szCs w:val="16"/>
        </w:rPr>
        <w:t> :</w:t>
      </w:r>
      <w:r w:rsidRPr="00BB0438">
        <w:rPr>
          <w:szCs w:val="16"/>
        </w:rPr>
        <w:t xml:space="preserve"> </w:t>
      </w:r>
      <w:r>
        <w:rPr>
          <w:szCs w:val="16"/>
        </w:rPr>
        <w:t>« </w:t>
      </w:r>
      <w:r w:rsidRPr="00BB0438">
        <w:rPr>
          <w:szCs w:val="16"/>
        </w:rPr>
        <w:t>L'intégration d'au moins quelques parties de son territoire fat réal</w:t>
      </w:r>
      <w:r w:rsidRPr="00BB0438">
        <w:rPr>
          <w:szCs w:val="16"/>
        </w:rPr>
        <w:t>i</w:t>
      </w:r>
      <w:r w:rsidRPr="00BB0438">
        <w:rPr>
          <w:szCs w:val="16"/>
        </w:rPr>
        <w:t>sée par le biais de mariages, d'héritages, de traités issus d'unions d</w:t>
      </w:r>
      <w:r w:rsidRPr="00BB0438">
        <w:rPr>
          <w:szCs w:val="16"/>
        </w:rPr>
        <w:t>y</w:t>
      </w:r>
      <w:r w:rsidRPr="00BB0438">
        <w:rPr>
          <w:szCs w:val="16"/>
        </w:rPr>
        <w:t>nastiques. Bien qu'imparfaites, de telles unions contribuent à la sta</w:t>
      </w:r>
      <w:r w:rsidRPr="00BB0438">
        <w:rPr>
          <w:szCs w:val="16"/>
        </w:rPr>
        <w:t>n</w:t>
      </w:r>
      <w:r w:rsidRPr="00BB0438">
        <w:rPr>
          <w:szCs w:val="16"/>
        </w:rPr>
        <w:t>dardisation administrative sur presque tout le territoire. Les cons</w:t>
      </w:r>
      <w:r w:rsidRPr="00BB0438">
        <w:rPr>
          <w:szCs w:val="16"/>
        </w:rPr>
        <w:t>é</w:t>
      </w:r>
      <w:r w:rsidRPr="00BB0438">
        <w:rPr>
          <w:szCs w:val="16"/>
        </w:rPr>
        <w:t>quences de certaines de ces unions personnelles entraînent, dans ce</w:t>
      </w:r>
      <w:r w:rsidRPr="00BB0438">
        <w:rPr>
          <w:szCs w:val="16"/>
        </w:rPr>
        <w:t>r</w:t>
      </w:r>
      <w:r w:rsidRPr="00BB0438">
        <w:rPr>
          <w:szCs w:val="16"/>
        </w:rPr>
        <w:t>tains cas, la survivance de droits datant de la période précédant l'union ainsi que de structures institutionnelles qui prése</w:t>
      </w:r>
      <w:r w:rsidRPr="00BB0438">
        <w:rPr>
          <w:szCs w:val="16"/>
        </w:rPr>
        <w:t>r</w:t>
      </w:r>
      <w:r w:rsidRPr="00BB0438">
        <w:rPr>
          <w:szCs w:val="16"/>
        </w:rPr>
        <w:t>vent un certain degré d'autonomie régionale et servent de bassin pour le recrutement d'une élite locale</w:t>
      </w:r>
      <w:r>
        <w:rPr>
          <w:szCs w:val="16"/>
        </w:rPr>
        <w:t> » </w:t>
      </w:r>
      <w:r>
        <w:rPr>
          <w:rStyle w:val="Appelnotedebasdep"/>
          <w:szCs w:val="16"/>
        </w:rPr>
        <w:footnoteReference w:id="15"/>
      </w:r>
      <w:r w:rsidRPr="00BB0438">
        <w:rPr>
          <w:szCs w:val="16"/>
        </w:rPr>
        <w:t>.</w:t>
      </w:r>
    </w:p>
    <w:p w:rsidR="00F0581C" w:rsidRPr="00BB0438" w:rsidRDefault="00F0581C" w:rsidP="00F0581C">
      <w:pPr>
        <w:spacing w:before="120" w:after="120"/>
        <w:jc w:val="both"/>
      </w:pPr>
      <w:r w:rsidRPr="00BB0438">
        <w:rPr>
          <w:szCs w:val="16"/>
        </w:rPr>
        <w:t>Longtemps entité politique autonome, possédant son propre Parl</w:t>
      </w:r>
      <w:r w:rsidRPr="00BB0438">
        <w:rPr>
          <w:szCs w:val="16"/>
        </w:rPr>
        <w:t>e</w:t>
      </w:r>
      <w:r w:rsidRPr="00BB0438">
        <w:rPr>
          <w:szCs w:val="16"/>
        </w:rPr>
        <w:t>ment, son propre cadre légal et ses propres institutions civiles, l'Eco</w:t>
      </w:r>
      <w:r w:rsidRPr="00BB0438">
        <w:rPr>
          <w:szCs w:val="16"/>
        </w:rPr>
        <w:t>s</w:t>
      </w:r>
      <w:r w:rsidRPr="00BB0438">
        <w:rPr>
          <w:szCs w:val="16"/>
        </w:rPr>
        <w:t>se se joint l'Angl</w:t>
      </w:r>
      <w:r w:rsidRPr="00BB0438">
        <w:rPr>
          <w:szCs w:val="16"/>
        </w:rPr>
        <w:t>e</w:t>
      </w:r>
      <w:r w:rsidRPr="00BB0438">
        <w:rPr>
          <w:szCs w:val="16"/>
        </w:rPr>
        <w:t>terre en 1707 au sein d'une nouvelle entité politique, la Grande-Bretagne, à la suite de la ratification du Traité d'union. C</w:t>
      </w:r>
      <w:r w:rsidRPr="00BB0438">
        <w:rPr>
          <w:szCs w:val="16"/>
        </w:rPr>
        <w:t>e</w:t>
      </w:r>
      <w:r w:rsidRPr="00BB0438">
        <w:rPr>
          <w:szCs w:val="16"/>
        </w:rPr>
        <w:t>pendant, cette union était à pl</w:t>
      </w:r>
      <w:r w:rsidRPr="00BB0438">
        <w:rPr>
          <w:szCs w:val="16"/>
        </w:rPr>
        <w:t>u</w:t>
      </w:r>
      <w:r w:rsidRPr="00BB0438">
        <w:rPr>
          <w:szCs w:val="16"/>
        </w:rPr>
        <w:t>sieurs égards différentes des États qui allaient se former par la suite et qui cherchaient à intégrer les struct</w:t>
      </w:r>
      <w:r w:rsidRPr="00BB0438">
        <w:rPr>
          <w:szCs w:val="16"/>
        </w:rPr>
        <w:t>u</w:t>
      </w:r>
      <w:r w:rsidRPr="00BB0438">
        <w:rPr>
          <w:szCs w:val="16"/>
        </w:rPr>
        <w:t>res économiques, culturelles et politiques au cadre de l'État nation un</w:t>
      </w:r>
      <w:r w:rsidRPr="00BB0438">
        <w:rPr>
          <w:szCs w:val="16"/>
        </w:rPr>
        <w:t>i</w:t>
      </w:r>
      <w:r w:rsidRPr="00BB0438">
        <w:rPr>
          <w:szCs w:val="16"/>
        </w:rPr>
        <w:t>taire (on peut penser ici au cas de l'Espagne, de la France et de la Tu</w:t>
      </w:r>
      <w:r w:rsidRPr="00BB0438">
        <w:rPr>
          <w:szCs w:val="16"/>
        </w:rPr>
        <w:t>r</w:t>
      </w:r>
      <w:r w:rsidRPr="00BB0438">
        <w:rPr>
          <w:szCs w:val="16"/>
        </w:rPr>
        <w:t>quie). Le fait que l'Union ait dû être négociée et que l'Ecosse ait a</w:t>
      </w:r>
      <w:r w:rsidRPr="00BB0438">
        <w:rPr>
          <w:szCs w:val="16"/>
        </w:rPr>
        <w:t>f</w:t>
      </w:r>
      <w:r w:rsidRPr="00BB0438">
        <w:rPr>
          <w:szCs w:val="16"/>
        </w:rPr>
        <w:t>firmé, durant les négociations, son identité distincte, signifiait que p</w:t>
      </w:r>
      <w:r w:rsidRPr="00BB0438">
        <w:rPr>
          <w:szCs w:val="16"/>
        </w:rPr>
        <w:t>a</w:t>
      </w:r>
      <w:r w:rsidRPr="00BB0438">
        <w:rPr>
          <w:szCs w:val="16"/>
        </w:rPr>
        <w:t>reille union pouvait être qualifiée d'unitaire dans sa gestion politique et économique, mais aussi de pluraliste dans ses composantes légales, nationales et ecclésiastiques</w:t>
      </w:r>
      <w:r>
        <w:rPr>
          <w:szCs w:val="16"/>
        </w:rPr>
        <w:t> </w:t>
      </w:r>
      <w:r>
        <w:rPr>
          <w:rStyle w:val="Appelnotedebasdep"/>
          <w:szCs w:val="16"/>
        </w:rPr>
        <w:footnoteReference w:id="16"/>
      </w:r>
      <w:r w:rsidRPr="00BB0438">
        <w:rPr>
          <w:szCs w:val="16"/>
        </w:rPr>
        <w:t>. En effet, l'élite éco</w:t>
      </w:r>
      <w:r w:rsidRPr="00BB0438">
        <w:rPr>
          <w:szCs w:val="16"/>
        </w:rPr>
        <w:t>s</w:t>
      </w:r>
      <w:r w:rsidRPr="00BB0438">
        <w:rPr>
          <w:szCs w:val="16"/>
        </w:rPr>
        <w:t>saise insista pour conserver et promouvoir les instit</w:t>
      </w:r>
      <w:r w:rsidRPr="00BB0438">
        <w:rPr>
          <w:szCs w:val="16"/>
        </w:rPr>
        <w:t>u</w:t>
      </w:r>
      <w:r w:rsidRPr="00BB0438">
        <w:rPr>
          <w:szCs w:val="16"/>
        </w:rPr>
        <w:t>tions qu'elle considérait essentielles au maintien de l'identité écossaise</w:t>
      </w:r>
      <w:r>
        <w:rPr>
          <w:szCs w:val="16"/>
        </w:rPr>
        <w:t> :</w:t>
      </w:r>
      <w:r w:rsidRPr="00BB0438">
        <w:rPr>
          <w:szCs w:val="16"/>
        </w:rPr>
        <w:t xml:space="preserve"> l'Église presbytérienne, le syst</w:t>
      </w:r>
      <w:r w:rsidRPr="00BB0438">
        <w:rPr>
          <w:szCs w:val="16"/>
        </w:rPr>
        <w:t>è</w:t>
      </w:r>
      <w:r w:rsidRPr="00BB0438">
        <w:rPr>
          <w:szCs w:val="16"/>
        </w:rPr>
        <w:t>me juridique et un contrôle sur le système d'ense</w:t>
      </w:r>
      <w:r w:rsidRPr="00BB0438">
        <w:rPr>
          <w:szCs w:val="16"/>
        </w:rPr>
        <w:t>i</w:t>
      </w:r>
      <w:r w:rsidRPr="00BB0438">
        <w:rPr>
          <w:szCs w:val="16"/>
        </w:rPr>
        <w:t>gnement.</w:t>
      </w:r>
    </w:p>
    <w:p w:rsidR="00F0581C" w:rsidRPr="00BB0438" w:rsidRDefault="00F0581C" w:rsidP="00F0581C">
      <w:pPr>
        <w:spacing w:before="120" w:after="120"/>
        <w:jc w:val="both"/>
      </w:pPr>
      <w:r w:rsidRPr="00BB0438">
        <w:rPr>
          <w:szCs w:val="16"/>
        </w:rPr>
        <w:t>Vu sous cet angle, il n'y avait pas au Royaume-Uni de contradi</w:t>
      </w:r>
      <w:r w:rsidRPr="00BB0438">
        <w:rPr>
          <w:szCs w:val="16"/>
        </w:rPr>
        <w:t>c</w:t>
      </w:r>
      <w:r w:rsidRPr="00BB0438">
        <w:rPr>
          <w:szCs w:val="16"/>
        </w:rPr>
        <w:t>tion entre un fort attachement à l'identité collective locale et la partic</w:t>
      </w:r>
      <w:r w:rsidRPr="00BB0438">
        <w:rPr>
          <w:szCs w:val="16"/>
        </w:rPr>
        <w:t>i</w:t>
      </w:r>
      <w:r w:rsidRPr="00BB0438">
        <w:rPr>
          <w:szCs w:val="16"/>
        </w:rPr>
        <w:t>pation aux inst</w:t>
      </w:r>
      <w:r w:rsidRPr="00BB0438">
        <w:rPr>
          <w:szCs w:val="16"/>
        </w:rPr>
        <w:t>i</w:t>
      </w:r>
      <w:r w:rsidRPr="00BB0438">
        <w:rPr>
          <w:szCs w:val="16"/>
        </w:rPr>
        <w:t xml:space="preserve">tutions communes, malgré le caractère unitaire de l'État. Comme l'affirme Lindsay Paterson, </w:t>
      </w:r>
      <w:r>
        <w:rPr>
          <w:szCs w:val="16"/>
        </w:rPr>
        <w:t>« </w:t>
      </w:r>
      <w:r w:rsidRPr="00BB0438">
        <w:rPr>
          <w:szCs w:val="16"/>
        </w:rPr>
        <w:t>les Éco</w:t>
      </w:r>
      <w:r w:rsidRPr="00BB0438">
        <w:rPr>
          <w:szCs w:val="16"/>
        </w:rPr>
        <w:t>s</w:t>
      </w:r>
      <w:r w:rsidRPr="00BB0438">
        <w:rPr>
          <w:szCs w:val="16"/>
        </w:rPr>
        <w:t>sais se sentirent privilégiés de pouvoir participer, d'égal à égal, à la construction de la Grande Bretagne ainsi qu'à l'établissement des premiers jalons d'un empire. Ils pouvaient également continuer de se pe</w:t>
      </w:r>
      <w:r w:rsidRPr="00BB0438">
        <w:rPr>
          <w:szCs w:val="16"/>
        </w:rPr>
        <w:t>r</w:t>
      </w:r>
      <w:r w:rsidRPr="00BB0438">
        <w:rPr>
          <w:szCs w:val="16"/>
        </w:rPr>
        <w:t>cevoir d'abord comme Écossais, puisque le contexte était celui d'une union et non d'une conquête. Ils étaient donc assurés que l'Angleterre respecterait l'Ecosse comme le partenaire qu'elle souhaitait être</w:t>
      </w:r>
      <w:r>
        <w:rPr>
          <w:szCs w:val="16"/>
        </w:rPr>
        <w:t> » </w:t>
      </w:r>
      <w:r>
        <w:rPr>
          <w:rStyle w:val="Appelnotedebasdep"/>
          <w:szCs w:val="16"/>
        </w:rPr>
        <w:footnoteReference w:id="17"/>
      </w:r>
      <w:r w:rsidRPr="00BB0438">
        <w:rPr>
          <w:szCs w:val="16"/>
        </w:rPr>
        <w:t>.</w:t>
      </w:r>
    </w:p>
    <w:p w:rsidR="00F0581C" w:rsidRDefault="00F0581C" w:rsidP="00F0581C">
      <w:pPr>
        <w:spacing w:before="120" w:after="120"/>
        <w:jc w:val="both"/>
        <w:rPr>
          <w:szCs w:val="16"/>
        </w:rPr>
      </w:pPr>
      <w:r w:rsidRPr="00BB0438">
        <w:rPr>
          <w:szCs w:val="16"/>
        </w:rPr>
        <w:t>Le modèle britannique permet donc la reconnaissance des différe</w:t>
      </w:r>
      <w:r w:rsidRPr="00BB0438">
        <w:rPr>
          <w:szCs w:val="16"/>
        </w:rPr>
        <w:t>n</w:t>
      </w:r>
      <w:r w:rsidRPr="00BB0438">
        <w:rPr>
          <w:szCs w:val="16"/>
        </w:rPr>
        <w:t>ces nationales et même, dans une certaine mesure, la cohabitation de différents projets de con</w:t>
      </w:r>
      <w:r w:rsidRPr="00BB0438">
        <w:rPr>
          <w:szCs w:val="16"/>
        </w:rPr>
        <w:t>s</w:t>
      </w:r>
      <w:r w:rsidRPr="00BB0438">
        <w:rPr>
          <w:szCs w:val="16"/>
        </w:rPr>
        <w:t>truction nationalitaire. La revendication du droit à la différence écossaise et le respect des instit</w:t>
      </w:r>
      <w:r w:rsidRPr="00BB0438">
        <w:rPr>
          <w:szCs w:val="16"/>
        </w:rPr>
        <w:t>u</w:t>
      </w:r>
      <w:r w:rsidRPr="00BB0438">
        <w:rPr>
          <w:szCs w:val="16"/>
        </w:rPr>
        <w:t>tions écossaises constituent des garanties de sauv</w:t>
      </w:r>
      <w:r w:rsidRPr="00BB0438">
        <w:rPr>
          <w:szCs w:val="16"/>
        </w:rPr>
        <w:t>e</w:t>
      </w:r>
      <w:r w:rsidRPr="00BB0438">
        <w:rPr>
          <w:szCs w:val="16"/>
        </w:rPr>
        <w:t>garde de l'Union, cette dernière étant explicitement fondée sur le maintien des différences nationales. Le défi dém</w:t>
      </w:r>
      <w:r w:rsidRPr="00BB0438">
        <w:rPr>
          <w:szCs w:val="16"/>
        </w:rPr>
        <w:t>o</w:t>
      </w:r>
      <w:r w:rsidRPr="00BB0438">
        <w:rPr>
          <w:szCs w:val="16"/>
        </w:rPr>
        <w:t>cratique de l'État multinational unioniste a dès lors été de réconcilier l'existence de cette divers</w:t>
      </w:r>
      <w:r w:rsidRPr="00BB0438">
        <w:rPr>
          <w:szCs w:val="16"/>
        </w:rPr>
        <w:t>i</w:t>
      </w:r>
      <w:r w:rsidRPr="00BB0438">
        <w:rPr>
          <w:szCs w:val="16"/>
        </w:rPr>
        <w:t>té nationale avec une structure politique et bureaucratique unita</w:t>
      </w:r>
      <w:r w:rsidRPr="00BB0438">
        <w:rPr>
          <w:szCs w:val="16"/>
        </w:rPr>
        <w:t>i</w:t>
      </w:r>
      <w:r w:rsidRPr="00BB0438">
        <w:rPr>
          <w:szCs w:val="16"/>
        </w:rPr>
        <w:t>re.</w:t>
      </w:r>
    </w:p>
    <w:p w:rsidR="00F0581C" w:rsidRPr="00BB0438" w:rsidRDefault="00F0581C" w:rsidP="00F0581C">
      <w:pPr>
        <w:spacing w:before="120" w:after="120"/>
        <w:jc w:val="both"/>
      </w:pPr>
    </w:p>
    <w:p w:rsidR="00F0581C" w:rsidRPr="00BB0438" w:rsidRDefault="00F0581C" w:rsidP="00F0581C">
      <w:pPr>
        <w:pStyle w:val="a"/>
      </w:pPr>
      <w:bookmarkStart w:id="6" w:name="bureaucration_au_sein_I_c"/>
      <w:r w:rsidRPr="00BB0438">
        <w:t>Le Canada</w:t>
      </w:r>
      <w:r>
        <w:t> :</w:t>
      </w:r>
      <w:r>
        <w:br/>
      </w:r>
      <w:r w:rsidRPr="00BB0438">
        <w:t>fédéralisme, libéralisme et mult</w:t>
      </w:r>
      <w:r w:rsidRPr="00BB0438">
        <w:t>i</w:t>
      </w:r>
      <w:r w:rsidRPr="00BB0438">
        <w:t>culturalisme</w:t>
      </w:r>
    </w:p>
    <w:bookmarkEnd w:id="6"/>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Le Canada a souvent été perçu comme étant le fruit d'un pacte e</w:t>
      </w:r>
      <w:r w:rsidRPr="00BB0438">
        <w:rPr>
          <w:szCs w:val="16"/>
        </w:rPr>
        <w:t>n</w:t>
      </w:r>
      <w:r w:rsidRPr="00BB0438">
        <w:rPr>
          <w:szCs w:val="16"/>
        </w:rPr>
        <w:t>tre deux nations. Cette définition plutôt organique du fédéralisme c</w:t>
      </w:r>
      <w:r w:rsidRPr="00BB0438">
        <w:rPr>
          <w:szCs w:val="16"/>
        </w:rPr>
        <w:t>a</w:t>
      </w:r>
      <w:r w:rsidRPr="00BB0438">
        <w:rPr>
          <w:szCs w:val="16"/>
        </w:rPr>
        <w:t>nadien est toujours d'ai</w:t>
      </w:r>
      <w:r w:rsidRPr="00BB0438">
        <w:rPr>
          <w:szCs w:val="16"/>
        </w:rPr>
        <w:t>l</w:t>
      </w:r>
      <w:r w:rsidRPr="00BB0438">
        <w:rPr>
          <w:szCs w:val="16"/>
        </w:rPr>
        <w:t>leurs l'interprétation dominante au Québec. C'est ce pacte, entériné par</w:t>
      </w:r>
      <w:r>
        <w:rPr>
          <w:szCs w:val="16"/>
        </w:rPr>
        <w:t xml:space="preserve"> </w:t>
      </w:r>
      <w:r w:rsidRPr="00BB0438">
        <w:rPr>
          <w:szCs w:val="16"/>
        </w:rPr>
        <w:t>l'Acte constitutionnel de 1867, qui a pe</w:t>
      </w:r>
      <w:r w:rsidRPr="00BB0438">
        <w:rPr>
          <w:szCs w:val="16"/>
        </w:rPr>
        <w:t>r</w:t>
      </w:r>
      <w:r w:rsidRPr="00BB0438">
        <w:rPr>
          <w:szCs w:val="16"/>
        </w:rPr>
        <w:t>mis aux Québécois d'obtenir à l'époque leur propre gouvernement provi</w:t>
      </w:r>
      <w:r w:rsidRPr="00BB0438">
        <w:rPr>
          <w:szCs w:val="16"/>
        </w:rPr>
        <w:t>n</w:t>
      </w:r>
      <w:r w:rsidRPr="00BB0438">
        <w:rPr>
          <w:szCs w:val="16"/>
        </w:rPr>
        <w:t>cial et la</w:t>
      </w:r>
      <w:r>
        <w:rPr>
          <w:szCs w:val="16"/>
        </w:rPr>
        <w:t xml:space="preserve"> </w:t>
      </w:r>
      <w:r>
        <w:rPr>
          <w:szCs w:val="14"/>
        </w:rPr>
        <w:t>[</w:t>
      </w:r>
      <w:r w:rsidRPr="00BB0438">
        <w:rPr>
          <w:szCs w:val="16"/>
        </w:rPr>
        <w:t>297</w:t>
      </w:r>
      <w:r>
        <w:rPr>
          <w:szCs w:val="16"/>
        </w:rPr>
        <w:t xml:space="preserve">] </w:t>
      </w:r>
      <w:r w:rsidRPr="00BB0438">
        <w:rPr>
          <w:szCs w:val="16"/>
        </w:rPr>
        <w:t>protection constitutionnelle de leur langue, de leur religion</w:t>
      </w:r>
      <w:r>
        <w:rPr>
          <w:szCs w:val="16"/>
        </w:rPr>
        <w:t> </w:t>
      </w:r>
      <w:r>
        <w:rPr>
          <w:rStyle w:val="Appelnotedebasdep"/>
          <w:szCs w:val="16"/>
        </w:rPr>
        <w:footnoteReference w:id="18"/>
      </w:r>
      <w:r w:rsidRPr="00BB0438">
        <w:rPr>
          <w:szCs w:val="16"/>
        </w:rPr>
        <w:t xml:space="preserve"> et de leur code civil, malgré la préférence de certains hommes politiques anglophones pour un État unitaire. Cela ne signifie par pour autant que les pères de la fédération canadienne n'avaient pas l'intention de forger un nouveau sentiment national. S</w:t>
      </w:r>
      <w:r w:rsidRPr="00BB0438">
        <w:rPr>
          <w:szCs w:val="16"/>
        </w:rPr>
        <w:t>e</w:t>
      </w:r>
      <w:r w:rsidRPr="00BB0438">
        <w:rPr>
          <w:szCs w:val="16"/>
        </w:rPr>
        <w:t xml:space="preserve">lon Samuel LaSelva, </w:t>
      </w:r>
      <w:r>
        <w:rPr>
          <w:szCs w:val="16"/>
        </w:rPr>
        <w:t>« </w:t>
      </w:r>
      <w:r w:rsidRPr="00BB0438">
        <w:rPr>
          <w:szCs w:val="16"/>
        </w:rPr>
        <w:t>les pères de la Confédération ne crurent pas seulement que différents groupes nationaux pouvaient coexister dans un même État, ils che</w:t>
      </w:r>
      <w:r w:rsidRPr="00BB0438">
        <w:rPr>
          <w:szCs w:val="16"/>
        </w:rPr>
        <w:t>r</w:t>
      </w:r>
      <w:r w:rsidRPr="00BB0438">
        <w:rPr>
          <w:szCs w:val="16"/>
        </w:rPr>
        <w:t>chèrent également à créer une grande et seule nation, unie par un go</w:t>
      </w:r>
      <w:r w:rsidRPr="00BB0438">
        <w:rPr>
          <w:szCs w:val="16"/>
        </w:rPr>
        <w:t>u</w:t>
      </w:r>
      <w:r w:rsidRPr="00BB0438">
        <w:rPr>
          <w:szCs w:val="16"/>
        </w:rPr>
        <w:t>vernement central fort et une nationalité commune</w:t>
      </w:r>
      <w:r>
        <w:rPr>
          <w:szCs w:val="16"/>
        </w:rPr>
        <w:t> » </w:t>
      </w:r>
      <w:r>
        <w:rPr>
          <w:rStyle w:val="Appelnotedebasdep"/>
          <w:szCs w:val="16"/>
        </w:rPr>
        <w:footnoteReference w:id="19"/>
      </w:r>
      <w:r w:rsidRPr="00BB0438">
        <w:rPr>
          <w:szCs w:val="16"/>
        </w:rPr>
        <w:t>. Ces deux v</w:t>
      </w:r>
      <w:r w:rsidRPr="00BB0438">
        <w:rPr>
          <w:szCs w:val="16"/>
        </w:rPr>
        <w:t>i</w:t>
      </w:r>
      <w:r w:rsidRPr="00BB0438">
        <w:rPr>
          <w:szCs w:val="16"/>
        </w:rPr>
        <w:t>sions du Canada allaient cohabiter jusqu'à l'arrivée au pouvoir de Pie</w:t>
      </w:r>
      <w:r w:rsidRPr="00BB0438">
        <w:rPr>
          <w:szCs w:val="16"/>
        </w:rPr>
        <w:t>r</w:t>
      </w:r>
      <w:r w:rsidRPr="00BB0438">
        <w:rPr>
          <w:szCs w:val="16"/>
        </w:rPr>
        <w:t>re Elliott Trudeau en 1968.</w:t>
      </w:r>
    </w:p>
    <w:p w:rsidR="00F0581C" w:rsidRPr="00BB0438" w:rsidRDefault="00F0581C" w:rsidP="00F0581C">
      <w:pPr>
        <w:spacing w:before="120" w:after="120"/>
        <w:jc w:val="both"/>
      </w:pPr>
      <w:r w:rsidRPr="00BB0438">
        <w:rPr>
          <w:szCs w:val="16"/>
        </w:rPr>
        <w:t>Une nouvelle tentative de cimenter l'existence d'une nation can</w:t>
      </w:r>
      <w:r w:rsidRPr="00BB0438">
        <w:rPr>
          <w:szCs w:val="16"/>
        </w:rPr>
        <w:t>a</w:t>
      </w:r>
      <w:r w:rsidRPr="00BB0438">
        <w:rPr>
          <w:szCs w:val="16"/>
        </w:rPr>
        <w:t xml:space="preserve">dienne prit graduellement forme sous le </w:t>
      </w:r>
      <w:r w:rsidRPr="00BB0438">
        <w:rPr>
          <w:i/>
          <w:iCs/>
          <w:szCs w:val="16"/>
        </w:rPr>
        <w:t xml:space="preserve">leadership </w:t>
      </w:r>
      <w:r w:rsidRPr="00BB0438">
        <w:rPr>
          <w:szCs w:val="16"/>
        </w:rPr>
        <w:t>de Trudeau, alors que les canadiens anglais abandonnaient leur attachement à l'ide</w:t>
      </w:r>
      <w:r w:rsidRPr="00BB0438">
        <w:rPr>
          <w:szCs w:val="16"/>
        </w:rPr>
        <w:t>n</w:t>
      </w:r>
      <w:r w:rsidRPr="00BB0438">
        <w:rPr>
          <w:szCs w:val="16"/>
        </w:rPr>
        <w:t>tité britannique. Une étape importante est celle du rapatri</w:t>
      </w:r>
      <w:r w:rsidRPr="00BB0438">
        <w:rPr>
          <w:szCs w:val="16"/>
        </w:rPr>
        <w:t>e</w:t>
      </w:r>
      <w:r w:rsidRPr="00BB0438">
        <w:rPr>
          <w:szCs w:val="16"/>
        </w:rPr>
        <w:t>ment de la Constitution canadienne en 1982</w:t>
      </w:r>
      <w:r>
        <w:rPr>
          <w:szCs w:val="16"/>
        </w:rPr>
        <w:t> </w:t>
      </w:r>
      <w:r>
        <w:rPr>
          <w:rStyle w:val="Appelnotedebasdep"/>
          <w:szCs w:val="16"/>
        </w:rPr>
        <w:footnoteReference w:id="20"/>
      </w:r>
      <w:r w:rsidRPr="00BB0438">
        <w:rPr>
          <w:szCs w:val="16"/>
        </w:rPr>
        <w:t>, réalisé sans le consentement pr</w:t>
      </w:r>
      <w:r w:rsidRPr="00BB0438">
        <w:rPr>
          <w:szCs w:val="16"/>
        </w:rPr>
        <w:t>é</w:t>
      </w:r>
      <w:r w:rsidRPr="00BB0438">
        <w:rPr>
          <w:szCs w:val="16"/>
        </w:rPr>
        <w:t>alable du gouvernement du Québec. En outre, on y enchâssa une cha</w:t>
      </w:r>
      <w:r w:rsidRPr="00BB0438">
        <w:rPr>
          <w:szCs w:val="16"/>
        </w:rPr>
        <w:t>r</w:t>
      </w:r>
      <w:r w:rsidRPr="00BB0438">
        <w:rPr>
          <w:szCs w:val="16"/>
        </w:rPr>
        <w:t>te des droits et libertés et on se garda bien de faire quelque référence que ce soit au caractère multinati</w:t>
      </w:r>
      <w:r w:rsidRPr="00BB0438">
        <w:rPr>
          <w:szCs w:val="16"/>
        </w:rPr>
        <w:t>o</w:t>
      </w:r>
      <w:r w:rsidRPr="00BB0438">
        <w:rPr>
          <w:szCs w:val="16"/>
        </w:rPr>
        <w:t>nal du Canada. En fait, la charte insiste sur le caractère mult</w:t>
      </w:r>
      <w:r w:rsidRPr="00BB0438">
        <w:rPr>
          <w:szCs w:val="16"/>
        </w:rPr>
        <w:t>i</w:t>
      </w:r>
      <w:r w:rsidRPr="00BB0438">
        <w:rPr>
          <w:szCs w:val="16"/>
        </w:rPr>
        <w:t>culturel du Canada. À la fin des années 1960, le gouvernement libéral avait également instauré le bili</w:t>
      </w:r>
      <w:r w:rsidRPr="00BB0438">
        <w:rPr>
          <w:szCs w:val="16"/>
        </w:rPr>
        <w:t>n</w:t>
      </w:r>
      <w:r w:rsidRPr="00BB0438">
        <w:rPr>
          <w:szCs w:val="16"/>
        </w:rPr>
        <w:t>guisme au sein des institutions fédérales, tout en s'opposant aux efforts d</w:t>
      </w:r>
      <w:r w:rsidRPr="00BB0438">
        <w:rPr>
          <w:szCs w:val="16"/>
        </w:rPr>
        <w:t>é</w:t>
      </w:r>
      <w:r w:rsidRPr="00BB0438">
        <w:rPr>
          <w:szCs w:val="16"/>
        </w:rPr>
        <w:t>ployés par les différents gouvernements québécois pour faire du fra</w:t>
      </w:r>
      <w:r w:rsidRPr="00BB0438">
        <w:rPr>
          <w:szCs w:val="16"/>
        </w:rPr>
        <w:t>n</w:t>
      </w:r>
      <w:r w:rsidRPr="00BB0438">
        <w:rPr>
          <w:szCs w:val="16"/>
        </w:rPr>
        <w:t>çais la langue commune au Québec. Selon Michael Keating, une telle mesure était une façon de protéger l'usage du français, tout en niant son statut de langue nation</w:t>
      </w:r>
      <w:r w:rsidRPr="00BB0438">
        <w:rPr>
          <w:szCs w:val="16"/>
        </w:rPr>
        <w:t>a</w:t>
      </w:r>
      <w:r w:rsidRPr="00BB0438">
        <w:rPr>
          <w:szCs w:val="16"/>
        </w:rPr>
        <w:t xml:space="preserve">le du Québec. La vision trudeauiste du Canada est ainsi fortement </w:t>
      </w:r>
      <w:r>
        <w:rPr>
          <w:szCs w:val="16"/>
        </w:rPr>
        <w:t>« </w:t>
      </w:r>
      <w:r w:rsidRPr="00BB0438">
        <w:rPr>
          <w:szCs w:val="16"/>
        </w:rPr>
        <w:t>enracinée dans une forme de fédér</w:t>
      </w:r>
      <w:r w:rsidRPr="00BB0438">
        <w:rPr>
          <w:szCs w:val="16"/>
        </w:rPr>
        <w:t>a</w:t>
      </w:r>
      <w:r w:rsidRPr="00BB0438">
        <w:rPr>
          <w:szCs w:val="16"/>
        </w:rPr>
        <w:t>lisme mécanique où tous les citoyens ont des droits égaux et où tous ont la même relation avec le gouve</w:t>
      </w:r>
      <w:r w:rsidRPr="00BB0438">
        <w:rPr>
          <w:szCs w:val="16"/>
        </w:rPr>
        <w:t>r</w:t>
      </w:r>
      <w:r w:rsidRPr="00BB0438">
        <w:rPr>
          <w:szCs w:val="16"/>
        </w:rPr>
        <w:t>nement fédéral. Aucune province ne se voit accorder un statut particulier et seul les droits individuels sont reconnus</w:t>
      </w:r>
      <w:r>
        <w:rPr>
          <w:szCs w:val="16"/>
        </w:rPr>
        <w:t> » </w:t>
      </w:r>
      <w:r>
        <w:rPr>
          <w:rStyle w:val="Appelnotedebasdep"/>
          <w:szCs w:val="16"/>
        </w:rPr>
        <w:footnoteReference w:id="21"/>
      </w:r>
      <w:r w:rsidRPr="00BB0438">
        <w:rPr>
          <w:szCs w:val="16"/>
        </w:rPr>
        <w:t>.</w:t>
      </w:r>
    </w:p>
    <w:p w:rsidR="00F0581C" w:rsidRPr="00BB0438" w:rsidRDefault="00F0581C" w:rsidP="00F0581C">
      <w:pPr>
        <w:spacing w:before="120" w:after="120"/>
        <w:jc w:val="both"/>
      </w:pPr>
      <w:r w:rsidRPr="00BB0438">
        <w:rPr>
          <w:szCs w:val="16"/>
        </w:rPr>
        <w:t>Le gouvernement conservateur de Brian Mulroney a tenté à deux occasions, à la fin des années 1980 et au début des années 1990, d'i</w:t>
      </w:r>
      <w:r w:rsidRPr="00BB0438">
        <w:rPr>
          <w:szCs w:val="16"/>
        </w:rPr>
        <w:t>n</w:t>
      </w:r>
      <w:r w:rsidRPr="00BB0438">
        <w:rPr>
          <w:szCs w:val="16"/>
        </w:rPr>
        <w:t>troduire dans la constit</w:t>
      </w:r>
      <w:r w:rsidRPr="00BB0438">
        <w:rPr>
          <w:szCs w:val="16"/>
        </w:rPr>
        <w:t>u</w:t>
      </w:r>
      <w:r w:rsidRPr="00BB0438">
        <w:rPr>
          <w:szCs w:val="16"/>
        </w:rPr>
        <w:t>tion canadienne une clause reconnaissant le Québec en tant que société distincte. Mais ces réformes se sont heu</w:t>
      </w:r>
      <w:r w:rsidRPr="00BB0438">
        <w:rPr>
          <w:szCs w:val="16"/>
        </w:rPr>
        <w:t>r</w:t>
      </w:r>
      <w:r w:rsidRPr="00BB0438">
        <w:rPr>
          <w:szCs w:val="16"/>
        </w:rPr>
        <w:t>tées à une interprétation uniformisatrice de l'identité canadienne. Cette incapacité canadienne à reconnaître son propre caractère plurinational peut apparaître étrange compte tenu de la politique officielle de mult</w:t>
      </w:r>
      <w:r w:rsidRPr="00BB0438">
        <w:rPr>
          <w:szCs w:val="16"/>
        </w:rPr>
        <w:t>i</w:t>
      </w:r>
      <w:r w:rsidRPr="00BB0438">
        <w:rPr>
          <w:szCs w:val="16"/>
        </w:rPr>
        <w:t>culturalisme. Or, le multiculturalisme est fondamentalement un projet d'égalisation des conditions s'appliquant à l'ensemble des citoyens c</w:t>
      </w:r>
      <w:r w:rsidRPr="00BB0438">
        <w:rPr>
          <w:szCs w:val="16"/>
        </w:rPr>
        <w:t>a</w:t>
      </w:r>
      <w:r w:rsidRPr="00BB0438">
        <w:rPr>
          <w:szCs w:val="16"/>
        </w:rPr>
        <w:t>nadiens, et s'accommode mal des demandes de reconnaissance en pr</w:t>
      </w:r>
      <w:r w:rsidRPr="00BB0438">
        <w:rPr>
          <w:szCs w:val="16"/>
        </w:rPr>
        <w:t>o</w:t>
      </w:r>
      <w:r w:rsidRPr="00BB0438">
        <w:rPr>
          <w:szCs w:val="16"/>
        </w:rPr>
        <w:t>venance de la minorité nationale québécoise.</w:t>
      </w:r>
    </w:p>
    <w:p w:rsidR="00F0581C" w:rsidRPr="00BB0438" w:rsidRDefault="00F0581C" w:rsidP="00F0581C">
      <w:pPr>
        <w:spacing w:before="120" w:after="120"/>
        <w:jc w:val="both"/>
      </w:pPr>
      <w:r w:rsidRPr="00BB0438">
        <w:rPr>
          <w:szCs w:val="16"/>
        </w:rPr>
        <w:t>Un État multiculturel libéral comme le Canada peut très bien s'a</w:t>
      </w:r>
      <w:r w:rsidRPr="00BB0438">
        <w:rPr>
          <w:szCs w:val="16"/>
        </w:rPr>
        <w:t>c</w:t>
      </w:r>
      <w:r w:rsidRPr="00BB0438">
        <w:rPr>
          <w:szCs w:val="16"/>
        </w:rPr>
        <w:t>commoder de la mise en place d'in</w:t>
      </w:r>
      <w:r w:rsidRPr="00BB0438">
        <w:rPr>
          <w:szCs w:val="16"/>
        </w:rPr>
        <w:t>s</w:t>
      </w:r>
      <w:r w:rsidRPr="00BB0438">
        <w:rPr>
          <w:szCs w:val="16"/>
        </w:rPr>
        <w:t>titutions locales permettant une certaine zone d'auton</w:t>
      </w:r>
      <w:r w:rsidRPr="00BB0438">
        <w:rPr>
          <w:szCs w:val="16"/>
        </w:rPr>
        <w:t>o</w:t>
      </w:r>
      <w:r w:rsidRPr="00BB0438">
        <w:rPr>
          <w:szCs w:val="16"/>
        </w:rPr>
        <w:t xml:space="preserve">mie pour les minorités nationales. Cependant, la </w:t>
      </w:r>
      <w:r>
        <w:rPr>
          <w:szCs w:val="16"/>
        </w:rPr>
        <w:t>« </w:t>
      </w:r>
      <w:r w:rsidRPr="00BB0438">
        <w:rPr>
          <w:szCs w:val="16"/>
        </w:rPr>
        <w:t>neutralité</w:t>
      </w:r>
      <w:r>
        <w:rPr>
          <w:szCs w:val="16"/>
        </w:rPr>
        <w:t> »</w:t>
      </w:r>
      <w:r w:rsidRPr="00BB0438">
        <w:rPr>
          <w:szCs w:val="16"/>
        </w:rPr>
        <w:t xml:space="preserve"> de l'État libéral l'empêche de reconnaître au sein des in</w:t>
      </w:r>
      <w:r w:rsidRPr="00BB0438">
        <w:rPr>
          <w:szCs w:val="16"/>
        </w:rPr>
        <w:t>s</w:t>
      </w:r>
      <w:r w:rsidRPr="00BB0438">
        <w:rPr>
          <w:szCs w:val="16"/>
        </w:rPr>
        <w:t>titutions centrales son caractère plurinational puisqu'il perçoit sa t</w:t>
      </w:r>
      <w:r w:rsidRPr="00BB0438">
        <w:rPr>
          <w:szCs w:val="16"/>
        </w:rPr>
        <w:t>â</w:t>
      </w:r>
      <w:r w:rsidRPr="00BB0438">
        <w:rPr>
          <w:szCs w:val="16"/>
        </w:rPr>
        <w:t>che, non sous l'opt</w:t>
      </w:r>
      <w:r w:rsidRPr="00BB0438">
        <w:rPr>
          <w:szCs w:val="16"/>
        </w:rPr>
        <w:t>i</w:t>
      </w:r>
      <w:r w:rsidRPr="00BB0438">
        <w:rPr>
          <w:szCs w:val="16"/>
        </w:rPr>
        <w:t xml:space="preserve">que de l'organisation des rapports communautaires, </w:t>
      </w:r>
      <w:r>
        <w:rPr>
          <w:szCs w:val="16"/>
        </w:rPr>
        <w:t>« </w:t>
      </w:r>
      <w:r w:rsidRPr="00BB0438">
        <w:rPr>
          <w:szCs w:val="16"/>
        </w:rPr>
        <w:t>mais plutôt comme organisant des rapports égalitaires avec l'ense</w:t>
      </w:r>
      <w:r w:rsidRPr="00BB0438">
        <w:rPr>
          <w:szCs w:val="16"/>
        </w:rPr>
        <w:t>m</w:t>
      </w:r>
      <w:r w:rsidRPr="00BB0438">
        <w:rPr>
          <w:szCs w:val="16"/>
        </w:rPr>
        <w:t>ble des citoyens</w:t>
      </w:r>
      <w:r>
        <w:rPr>
          <w:szCs w:val="16"/>
        </w:rPr>
        <w:t> » </w:t>
      </w:r>
      <w:r>
        <w:rPr>
          <w:rStyle w:val="Appelnotedebasdep"/>
          <w:szCs w:val="16"/>
        </w:rPr>
        <w:footnoteReference w:id="22"/>
      </w:r>
      <w:r w:rsidRPr="00BB0438">
        <w:rPr>
          <w:szCs w:val="16"/>
        </w:rPr>
        <w:t>.</w:t>
      </w:r>
    </w:p>
    <w:p w:rsidR="00F0581C" w:rsidRDefault="00F0581C" w:rsidP="00F0581C">
      <w:pPr>
        <w:spacing w:before="120" w:after="120"/>
        <w:jc w:val="both"/>
        <w:rPr>
          <w:szCs w:val="16"/>
        </w:rPr>
      </w:pPr>
      <w:r>
        <w:rPr>
          <w:szCs w:val="14"/>
        </w:rPr>
        <w:t>[</w:t>
      </w:r>
      <w:r w:rsidRPr="00BB0438">
        <w:rPr>
          <w:szCs w:val="16"/>
        </w:rPr>
        <w:t>298</w:t>
      </w:r>
      <w:r>
        <w:rPr>
          <w:szCs w:val="16"/>
        </w:rPr>
        <w:t>]</w:t>
      </w:r>
    </w:p>
    <w:p w:rsidR="00F0581C" w:rsidRPr="00BB0438" w:rsidRDefault="00F0581C" w:rsidP="00F0581C">
      <w:pPr>
        <w:spacing w:before="120" w:after="120"/>
        <w:jc w:val="both"/>
      </w:pPr>
    </w:p>
    <w:p w:rsidR="00F0581C" w:rsidRPr="00BB0438" w:rsidRDefault="00F0581C" w:rsidP="00F0581C">
      <w:pPr>
        <w:pStyle w:val="a"/>
      </w:pPr>
      <w:bookmarkStart w:id="7" w:name="bureaucration_au_sein_I_d"/>
      <w:r w:rsidRPr="00BB0438">
        <w:t>Le Nigeria</w:t>
      </w:r>
      <w:r>
        <w:t> :</w:t>
      </w:r>
      <w:r>
        <w:br/>
      </w:r>
      <w:r w:rsidRPr="00BB0438">
        <w:t>fédéralisme et communautarisme</w:t>
      </w:r>
    </w:p>
    <w:bookmarkEnd w:id="7"/>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Dans le cas nigérian, nous sommes en présence d'un État fédéral communautarien, fondé sur la reconnaissance et sur l'institutionnalis</w:t>
      </w:r>
      <w:r w:rsidRPr="00BB0438">
        <w:rPr>
          <w:szCs w:val="16"/>
        </w:rPr>
        <w:t>a</w:t>
      </w:r>
      <w:r w:rsidRPr="00BB0438">
        <w:rPr>
          <w:szCs w:val="16"/>
        </w:rPr>
        <w:t>tion des formes d'appa</w:t>
      </w:r>
      <w:r w:rsidRPr="00BB0438">
        <w:rPr>
          <w:szCs w:val="16"/>
        </w:rPr>
        <w:t>r</w:t>
      </w:r>
      <w:r w:rsidRPr="00BB0438">
        <w:rPr>
          <w:szCs w:val="16"/>
        </w:rPr>
        <w:t>tenance infra-étatiques ou communautaires, sur lesquelles on tente de superposer un certain patriotisme constitutio</w:t>
      </w:r>
      <w:r w:rsidRPr="00BB0438">
        <w:rPr>
          <w:szCs w:val="16"/>
        </w:rPr>
        <w:t>n</w:t>
      </w:r>
      <w:r w:rsidRPr="00BB0438">
        <w:rPr>
          <w:szCs w:val="16"/>
        </w:rPr>
        <w:t>nel. Un quasi-consociationnalisme guide souvent le développement de cet État, dans la mesure où les postes politiques sont accordés en fon</w:t>
      </w:r>
      <w:r w:rsidRPr="00BB0438">
        <w:rPr>
          <w:szCs w:val="16"/>
        </w:rPr>
        <w:t>c</w:t>
      </w:r>
      <w:r w:rsidRPr="00BB0438">
        <w:rPr>
          <w:szCs w:val="16"/>
        </w:rPr>
        <w:t>tion de l'appartenance à une communauté particulière. Cette forme étatique, tout comme dans le cas du modèle unioniste, résulte de l'i</w:t>
      </w:r>
      <w:r w:rsidRPr="00BB0438">
        <w:rPr>
          <w:szCs w:val="16"/>
        </w:rPr>
        <w:t>n</w:t>
      </w:r>
      <w:r w:rsidRPr="00BB0438">
        <w:rPr>
          <w:szCs w:val="16"/>
        </w:rPr>
        <w:t>corporation, volontaire ou non, de groupes nati</w:t>
      </w:r>
      <w:r w:rsidRPr="00BB0438">
        <w:rPr>
          <w:szCs w:val="16"/>
        </w:rPr>
        <w:t>o</w:t>
      </w:r>
      <w:r w:rsidRPr="00BB0438">
        <w:rPr>
          <w:szCs w:val="16"/>
        </w:rPr>
        <w:t>naux possédant une longue histoire d'autonomie n</w:t>
      </w:r>
      <w:r w:rsidRPr="00BB0438">
        <w:rPr>
          <w:szCs w:val="16"/>
        </w:rPr>
        <w:t>a</w:t>
      </w:r>
      <w:r w:rsidRPr="00BB0438">
        <w:rPr>
          <w:szCs w:val="16"/>
        </w:rPr>
        <w:t>tionale.</w:t>
      </w:r>
    </w:p>
    <w:p w:rsidR="00F0581C" w:rsidRPr="00BB0438" w:rsidRDefault="00F0581C" w:rsidP="00F0581C">
      <w:pPr>
        <w:spacing w:before="120" w:after="120"/>
        <w:jc w:val="both"/>
      </w:pPr>
      <w:r w:rsidRPr="00BB0438">
        <w:rPr>
          <w:szCs w:val="16"/>
        </w:rPr>
        <w:t>Le Nigeria a été formé à l'origine à partir de trois régions distin</w:t>
      </w:r>
      <w:r w:rsidRPr="00BB0438">
        <w:rPr>
          <w:szCs w:val="16"/>
        </w:rPr>
        <w:t>c</w:t>
      </w:r>
      <w:r w:rsidRPr="00BB0438">
        <w:rPr>
          <w:szCs w:val="16"/>
        </w:rPr>
        <w:t>tes, lesquelles relevaient distinctement de l'administration coloniale britannique (deux r</w:t>
      </w:r>
      <w:r w:rsidRPr="00BB0438">
        <w:rPr>
          <w:szCs w:val="16"/>
        </w:rPr>
        <w:t>é</w:t>
      </w:r>
      <w:r w:rsidRPr="00BB0438">
        <w:rPr>
          <w:szCs w:val="16"/>
        </w:rPr>
        <w:t>gions à partir de 1906). Le dualisme institutionnel et ident</w:t>
      </w:r>
      <w:r w:rsidRPr="00BB0438">
        <w:rPr>
          <w:szCs w:val="16"/>
        </w:rPr>
        <w:t>i</w:t>
      </w:r>
      <w:r w:rsidRPr="00BB0438">
        <w:rPr>
          <w:szCs w:val="16"/>
        </w:rPr>
        <w:t>taire était en fait encouragé par l'administration britannique. Ainsi que l'affirme J. A. A. Ayoade, l'i</w:t>
      </w:r>
      <w:r w:rsidRPr="00BB0438">
        <w:rPr>
          <w:szCs w:val="16"/>
        </w:rPr>
        <w:t>n</w:t>
      </w:r>
      <w:r w:rsidRPr="00BB0438">
        <w:rPr>
          <w:szCs w:val="16"/>
        </w:rPr>
        <w:t>tégration de ces différentes régions au sein de la Fédération nigériane lors de l'obtention de l'ind</w:t>
      </w:r>
      <w:r w:rsidRPr="00BB0438">
        <w:rPr>
          <w:szCs w:val="16"/>
        </w:rPr>
        <w:t>é</w:t>
      </w:r>
      <w:r w:rsidRPr="00BB0438">
        <w:rPr>
          <w:szCs w:val="16"/>
        </w:rPr>
        <w:t>pendance en 1960 ne peut être considérée que comme une cohabit</w:t>
      </w:r>
      <w:r w:rsidRPr="00BB0438">
        <w:rPr>
          <w:szCs w:val="16"/>
        </w:rPr>
        <w:t>a</w:t>
      </w:r>
      <w:r w:rsidRPr="00BB0438">
        <w:rPr>
          <w:szCs w:val="16"/>
        </w:rPr>
        <w:t xml:space="preserve">tion forcée, qui a depuis été le </w:t>
      </w:r>
      <w:r>
        <w:rPr>
          <w:szCs w:val="16"/>
        </w:rPr>
        <w:t>« </w:t>
      </w:r>
      <w:r w:rsidRPr="00BB0438">
        <w:rPr>
          <w:szCs w:val="16"/>
        </w:rPr>
        <w:t>théâtre de to</w:t>
      </w:r>
      <w:r w:rsidRPr="00BB0438">
        <w:rPr>
          <w:szCs w:val="16"/>
        </w:rPr>
        <w:t>u</w:t>
      </w:r>
      <w:r w:rsidRPr="00BB0438">
        <w:rPr>
          <w:szCs w:val="16"/>
        </w:rPr>
        <w:t>tes sortes de tractations, de tergiversations et de tent</w:t>
      </w:r>
      <w:r w:rsidRPr="00BB0438">
        <w:rPr>
          <w:szCs w:val="16"/>
        </w:rPr>
        <w:t>a</w:t>
      </w:r>
      <w:r w:rsidRPr="00BB0438">
        <w:rPr>
          <w:szCs w:val="16"/>
        </w:rPr>
        <w:t>tives de dissolution</w:t>
      </w:r>
      <w:r>
        <w:rPr>
          <w:szCs w:val="16"/>
        </w:rPr>
        <w:t> » </w:t>
      </w:r>
      <w:r>
        <w:rPr>
          <w:rStyle w:val="Appelnotedebasdep"/>
          <w:szCs w:val="16"/>
        </w:rPr>
        <w:footnoteReference w:id="23"/>
      </w:r>
      <w:r w:rsidRPr="00BB0438">
        <w:rPr>
          <w:szCs w:val="16"/>
        </w:rPr>
        <w:t>.</w:t>
      </w:r>
    </w:p>
    <w:p w:rsidR="00F0581C" w:rsidRDefault="00F0581C" w:rsidP="00F0581C">
      <w:pPr>
        <w:spacing w:before="120" w:after="120"/>
        <w:jc w:val="both"/>
        <w:rPr>
          <w:szCs w:val="16"/>
        </w:rPr>
      </w:pPr>
      <w:r w:rsidRPr="00BB0438">
        <w:rPr>
          <w:szCs w:val="16"/>
        </w:rPr>
        <w:t>Il est important de saisir l'impact de la géographie et de la dém</w:t>
      </w:r>
      <w:r w:rsidRPr="00BB0438">
        <w:rPr>
          <w:szCs w:val="16"/>
        </w:rPr>
        <w:t>o</w:t>
      </w:r>
      <w:r w:rsidRPr="00BB0438">
        <w:rPr>
          <w:szCs w:val="16"/>
        </w:rPr>
        <w:t>graphie sur le vivre-ensemble nigérian. Bien que le pays compte près de 250 groupes ethn</w:t>
      </w:r>
      <w:r w:rsidRPr="00BB0438">
        <w:rPr>
          <w:szCs w:val="16"/>
        </w:rPr>
        <w:t>i</w:t>
      </w:r>
      <w:r w:rsidRPr="00BB0438">
        <w:rPr>
          <w:szCs w:val="16"/>
        </w:rPr>
        <w:t>ques différemment répartis sur son territoire, trois groupes majoritaires participent au difficile équilibre nord-sud du pays</w:t>
      </w:r>
      <w:r>
        <w:rPr>
          <w:szCs w:val="16"/>
        </w:rPr>
        <w:t> :</w:t>
      </w:r>
      <w:r w:rsidRPr="00BB0438">
        <w:rPr>
          <w:szCs w:val="16"/>
        </w:rPr>
        <w:t xml:space="preserve"> les haoussas-fulanis, associé au nord, majoritairement de confession musulmane, qui représentent 27,57% de la population</w:t>
      </w:r>
      <w:r>
        <w:rPr>
          <w:szCs w:val="16"/>
        </w:rPr>
        <w:t> ;</w:t>
      </w:r>
      <w:r w:rsidRPr="00BB0438">
        <w:rPr>
          <w:szCs w:val="16"/>
        </w:rPr>
        <w:t xml:space="preserve"> les yorubas, concentrés dans le sud-est et chrétiens en majorité, représe</w:t>
      </w:r>
      <w:r w:rsidRPr="00BB0438">
        <w:rPr>
          <w:szCs w:val="16"/>
        </w:rPr>
        <w:t>n</w:t>
      </w:r>
      <w:r w:rsidRPr="00BB0438">
        <w:rPr>
          <w:szCs w:val="16"/>
        </w:rPr>
        <w:t>tant 16,20% de la population</w:t>
      </w:r>
      <w:r>
        <w:rPr>
          <w:szCs w:val="16"/>
        </w:rPr>
        <w:t> ;</w:t>
      </w:r>
      <w:r w:rsidRPr="00BB0438">
        <w:rPr>
          <w:szCs w:val="16"/>
        </w:rPr>
        <w:t xml:space="preserve"> et finalement, les ibos du sud-est, maj</w:t>
      </w:r>
      <w:r w:rsidRPr="00BB0438">
        <w:rPr>
          <w:szCs w:val="16"/>
        </w:rPr>
        <w:t>o</w:t>
      </w:r>
      <w:r w:rsidRPr="00BB0438">
        <w:rPr>
          <w:szCs w:val="16"/>
        </w:rPr>
        <w:t>ritairement chrétiens et formant 17,60 % de la population</w:t>
      </w:r>
      <w:r>
        <w:rPr>
          <w:szCs w:val="16"/>
        </w:rPr>
        <w:t> </w:t>
      </w:r>
      <w:r>
        <w:rPr>
          <w:rStyle w:val="Appelnotedebasdep"/>
          <w:szCs w:val="16"/>
        </w:rPr>
        <w:footnoteReference w:id="24"/>
      </w:r>
      <w:r w:rsidRPr="00BB0438">
        <w:rPr>
          <w:szCs w:val="16"/>
        </w:rPr>
        <w:t>. Le Nig</w:t>
      </w:r>
      <w:r w:rsidRPr="00BB0438">
        <w:rPr>
          <w:szCs w:val="16"/>
        </w:rPr>
        <w:t>e</w:t>
      </w:r>
      <w:r w:rsidRPr="00BB0438">
        <w:rPr>
          <w:szCs w:val="16"/>
        </w:rPr>
        <w:t>ria s'est ainsi constitué sur une sorte de concept implicite d'un pays constitué de plusieurs peuples.</w:t>
      </w:r>
    </w:p>
    <w:p w:rsidR="00F0581C" w:rsidRPr="00BB0438" w:rsidRDefault="00F0581C" w:rsidP="00F0581C">
      <w:pPr>
        <w:spacing w:before="120" w:after="120"/>
        <w:jc w:val="both"/>
      </w:pPr>
    </w:p>
    <w:p w:rsidR="00F0581C" w:rsidRPr="00BB0438" w:rsidRDefault="00F0581C" w:rsidP="00F0581C">
      <w:pPr>
        <w:pStyle w:val="planche"/>
      </w:pPr>
      <w:bookmarkStart w:id="8" w:name="bureaucration_au_sein_II"/>
      <w:r w:rsidRPr="00BB0438">
        <w:t>LA</w:t>
      </w:r>
      <w:r>
        <w:t xml:space="preserve"> FONCTION PUBLIQUE DANS</w:t>
      </w:r>
      <w:r>
        <w:br/>
        <w:t>QUATRE É</w:t>
      </w:r>
      <w:r w:rsidRPr="00BB0438">
        <w:t>TATS MU</w:t>
      </w:r>
      <w:r w:rsidRPr="00BB0438">
        <w:t>L</w:t>
      </w:r>
      <w:r w:rsidRPr="00BB0438">
        <w:t>TINATIONAUX</w:t>
      </w:r>
    </w:p>
    <w:bookmarkEnd w:id="8"/>
    <w:p w:rsidR="00F0581C" w:rsidRDefault="00F0581C" w:rsidP="00F0581C">
      <w:pPr>
        <w:spacing w:before="120" w:after="120"/>
        <w:jc w:val="both"/>
        <w:rPr>
          <w:b/>
          <w:bCs/>
          <w:szCs w:val="16"/>
        </w:rPr>
      </w:pPr>
    </w:p>
    <w:p w:rsidR="00F0581C" w:rsidRDefault="00F0581C" w:rsidP="00F0581C">
      <w:pPr>
        <w:pStyle w:val="a"/>
      </w:pPr>
      <w:bookmarkStart w:id="9" w:name="bureaucration_au_sein_II_a"/>
      <w:r>
        <w:t>La Turquie</w:t>
      </w:r>
    </w:p>
    <w:bookmarkEnd w:id="9"/>
    <w:p w:rsidR="00F0581C" w:rsidRPr="008C2BDD" w:rsidRDefault="00F0581C" w:rsidP="00F0581C">
      <w:pPr>
        <w:spacing w:before="120" w:after="120"/>
        <w:jc w:val="both"/>
        <w:rPr>
          <w:bCs/>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La minorité nationale kurde représente environ 20% de la popul</w:t>
      </w:r>
      <w:r w:rsidRPr="00BB0438">
        <w:rPr>
          <w:szCs w:val="16"/>
        </w:rPr>
        <w:t>a</w:t>
      </w:r>
      <w:r w:rsidRPr="00BB0438">
        <w:rPr>
          <w:szCs w:val="16"/>
        </w:rPr>
        <w:t>tion de la Turquie. Cette minorité, dont la moitié des habitants vit dans le sud-est du pays, s'est inscrite en porte-à-faux avec les politiques territoriales et linguistiques de la République turque depuis sa fond</w:t>
      </w:r>
      <w:r w:rsidRPr="00BB0438">
        <w:rPr>
          <w:szCs w:val="16"/>
        </w:rPr>
        <w:t>a</w:t>
      </w:r>
      <w:r w:rsidRPr="00BB0438">
        <w:rPr>
          <w:szCs w:val="16"/>
        </w:rPr>
        <w:t>tion au début des années 1920. De no</w:t>
      </w:r>
      <w:r w:rsidRPr="00BB0438">
        <w:rPr>
          <w:szCs w:val="16"/>
        </w:rPr>
        <w:t>m</w:t>
      </w:r>
      <w:r w:rsidRPr="00BB0438">
        <w:rPr>
          <w:szCs w:val="16"/>
        </w:rPr>
        <w:t>breux kurdes se sont en effet soulevés à plusieurs o</w:t>
      </w:r>
      <w:r w:rsidRPr="00BB0438">
        <w:rPr>
          <w:szCs w:val="16"/>
        </w:rPr>
        <w:t>c</w:t>
      </w:r>
      <w:r w:rsidRPr="00BB0438">
        <w:rPr>
          <w:szCs w:val="16"/>
        </w:rPr>
        <w:t>casions contre les nombreuses restrictions à l'utilisation publique de leur langue. Bien que certaines r</w:t>
      </w:r>
      <w:r w:rsidRPr="00BB0438">
        <w:rPr>
          <w:szCs w:val="16"/>
        </w:rPr>
        <w:t>é</w:t>
      </w:r>
      <w:r w:rsidRPr="00BB0438">
        <w:rPr>
          <w:szCs w:val="16"/>
        </w:rPr>
        <w:t>formes aient été adoptées ces dernières années, la langue kurde a été bannie de l'e</w:t>
      </w:r>
      <w:r w:rsidRPr="00BB0438">
        <w:rPr>
          <w:szCs w:val="16"/>
        </w:rPr>
        <w:t>s</w:t>
      </w:r>
      <w:r w:rsidRPr="00BB0438">
        <w:rPr>
          <w:szCs w:val="16"/>
        </w:rPr>
        <w:t>pace public. La question kurde est devenue un obstacle à la consolid</w:t>
      </w:r>
      <w:r w:rsidRPr="00BB0438">
        <w:rPr>
          <w:szCs w:val="16"/>
        </w:rPr>
        <w:t>a</w:t>
      </w:r>
      <w:r w:rsidRPr="00BB0438">
        <w:rPr>
          <w:szCs w:val="16"/>
        </w:rPr>
        <w:t>tion de la démocratie turque et à l'intégration de la Tu</w:t>
      </w:r>
      <w:r w:rsidRPr="00BB0438">
        <w:rPr>
          <w:szCs w:val="16"/>
        </w:rPr>
        <w:t>r</w:t>
      </w:r>
      <w:r w:rsidRPr="00BB0438">
        <w:rPr>
          <w:szCs w:val="16"/>
        </w:rPr>
        <w:t>quie au sein de l'Union européenne.</w:t>
      </w:r>
    </w:p>
    <w:p w:rsidR="00F0581C" w:rsidRPr="00BB0438" w:rsidRDefault="00F0581C" w:rsidP="00F0581C">
      <w:pPr>
        <w:spacing w:before="120" w:after="120"/>
        <w:jc w:val="both"/>
      </w:pPr>
      <w:r>
        <w:rPr>
          <w:szCs w:val="14"/>
        </w:rPr>
        <w:t>[</w:t>
      </w:r>
      <w:r w:rsidRPr="00BB0438">
        <w:rPr>
          <w:szCs w:val="16"/>
        </w:rPr>
        <w:t>299</w:t>
      </w:r>
      <w:r>
        <w:rPr>
          <w:szCs w:val="16"/>
        </w:rPr>
        <w:t>]</w:t>
      </w:r>
    </w:p>
    <w:p w:rsidR="00F0581C" w:rsidRPr="00BB0438" w:rsidRDefault="00F0581C" w:rsidP="00F0581C">
      <w:pPr>
        <w:spacing w:before="120" w:after="120"/>
        <w:jc w:val="both"/>
      </w:pPr>
      <w:r w:rsidRPr="00BB0438">
        <w:rPr>
          <w:szCs w:val="16"/>
        </w:rPr>
        <w:t>S'il ne fait pas de doute que la minorité nationale kurde vit une s</w:t>
      </w:r>
      <w:r w:rsidRPr="00BB0438">
        <w:rPr>
          <w:szCs w:val="16"/>
        </w:rPr>
        <w:t>i</w:t>
      </w:r>
      <w:r w:rsidRPr="00BB0438">
        <w:rPr>
          <w:szCs w:val="16"/>
        </w:rPr>
        <w:t>tuation d'aliénation par rapport à l'État turc, il ne s'agit pas pour autant d'une situation expl</w:t>
      </w:r>
      <w:r w:rsidRPr="00BB0438">
        <w:rPr>
          <w:szCs w:val="16"/>
        </w:rPr>
        <w:t>i</w:t>
      </w:r>
      <w:r w:rsidRPr="00BB0438">
        <w:rPr>
          <w:szCs w:val="16"/>
        </w:rPr>
        <w:t>cite de domination d'un groupe ethnique sur un autre. Contrairement à de nombreuses situations de domination ethn</w:t>
      </w:r>
      <w:r w:rsidRPr="00BB0438">
        <w:rPr>
          <w:szCs w:val="16"/>
        </w:rPr>
        <w:t>i</w:t>
      </w:r>
      <w:r w:rsidRPr="00BB0438">
        <w:rPr>
          <w:szCs w:val="16"/>
        </w:rPr>
        <w:t>que radicale, l'État turc n'a pas tant insisté sur les différences qui sép</w:t>
      </w:r>
      <w:r w:rsidRPr="00BB0438">
        <w:rPr>
          <w:szCs w:val="16"/>
        </w:rPr>
        <w:t>a</w:t>
      </w:r>
      <w:r w:rsidRPr="00BB0438">
        <w:rPr>
          <w:szCs w:val="16"/>
        </w:rPr>
        <w:t>rent les turcs et les kurdes, mais plutôt sur leur origine commune. Comme l'a</w:t>
      </w:r>
      <w:r w:rsidRPr="00BB0438">
        <w:rPr>
          <w:szCs w:val="16"/>
        </w:rPr>
        <w:t>f</w:t>
      </w:r>
      <w:r w:rsidRPr="00BB0438">
        <w:rPr>
          <w:szCs w:val="16"/>
        </w:rPr>
        <w:t xml:space="preserve">firme Christopher Houston, </w:t>
      </w:r>
      <w:r>
        <w:rPr>
          <w:szCs w:val="16"/>
        </w:rPr>
        <w:t>« </w:t>
      </w:r>
      <w:r w:rsidRPr="00BB0438">
        <w:rPr>
          <w:szCs w:val="16"/>
        </w:rPr>
        <w:t>le discours nationaliste turc et les politiques de l'État n'avaient pas pour o</w:t>
      </w:r>
      <w:r w:rsidRPr="00BB0438">
        <w:rPr>
          <w:szCs w:val="16"/>
        </w:rPr>
        <w:t>b</w:t>
      </w:r>
      <w:r w:rsidRPr="00BB0438">
        <w:rPr>
          <w:szCs w:val="16"/>
        </w:rPr>
        <w:t>jectif de souligner les différences et l'infériorité des kurdes, mais plutôt de les forcer à int</w:t>
      </w:r>
      <w:r w:rsidRPr="00BB0438">
        <w:rPr>
          <w:szCs w:val="16"/>
        </w:rPr>
        <w:t>é</w:t>
      </w:r>
      <w:r w:rsidRPr="00BB0438">
        <w:rPr>
          <w:szCs w:val="16"/>
        </w:rPr>
        <w:t>grer la grande communauté turque</w:t>
      </w:r>
      <w:r>
        <w:rPr>
          <w:szCs w:val="16"/>
        </w:rPr>
        <w:t> » </w:t>
      </w:r>
      <w:r>
        <w:rPr>
          <w:rStyle w:val="Appelnotedebasdep"/>
          <w:szCs w:val="16"/>
        </w:rPr>
        <w:footnoteReference w:id="25"/>
      </w:r>
      <w:r w:rsidRPr="00BB0438">
        <w:rPr>
          <w:szCs w:val="16"/>
        </w:rPr>
        <w:t>. Ainsi, une partie significat</w:t>
      </w:r>
      <w:r w:rsidRPr="00BB0438">
        <w:rPr>
          <w:szCs w:val="16"/>
        </w:rPr>
        <w:t>i</w:t>
      </w:r>
      <w:r w:rsidRPr="00BB0438">
        <w:rPr>
          <w:szCs w:val="16"/>
        </w:rPr>
        <w:t>ve de l'élite politique et économique de la Turquie est d'origine kurde. Les postes de la fonction publique ne sont pas explicitement réservés au groupe majoritaire. Or, bien que la Turquie ait élu des présidents et des députés d'origine kurde, leur origine distincte n'est pas reconnue. Il est même impossible de connaître le nombre exact de citoyens d'origine kurde puisque le recensement turc ne contient aucune que</w:t>
      </w:r>
      <w:r w:rsidRPr="00BB0438">
        <w:rPr>
          <w:szCs w:val="16"/>
        </w:rPr>
        <w:t>s</w:t>
      </w:r>
      <w:r w:rsidRPr="00BB0438">
        <w:rPr>
          <w:szCs w:val="16"/>
        </w:rPr>
        <w:t>tion sur l'origine ethnique des citoyens. Il est également i</w:t>
      </w:r>
      <w:r w:rsidRPr="00BB0438">
        <w:rPr>
          <w:szCs w:val="16"/>
        </w:rPr>
        <w:t>m</w:t>
      </w:r>
      <w:r w:rsidRPr="00BB0438">
        <w:rPr>
          <w:szCs w:val="16"/>
        </w:rPr>
        <w:t>possible de trouver des données portant sur la présence des kurdes au sein de l'a</w:t>
      </w:r>
      <w:r w:rsidRPr="00BB0438">
        <w:rPr>
          <w:szCs w:val="16"/>
        </w:rPr>
        <w:t>p</w:t>
      </w:r>
      <w:r w:rsidRPr="00BB0438">
        <w:rPr>
          <w:szCs w:val="16"/>
        </w:rPr>
        <w:t>pareil bureaucratique.</w:t>
      </w:r>
    </w:p>
    <w:p w:rsidR="00F0581C" w:rsidRPr="00BB0438" w:rsidRDefault="00F0581C" w:rsidP="00F0581C">
      <w:pPr>
        <w:spacing w:before="120" w:after="120"/>
        <w:jc w:val="both"/>
      </w:pPr>
      <w:r w:rsidRPr="00BB0438">
        <w:rPr>
          <w:szCs w:val="16"/>
        </w:rPr>
        <w:t>Dans cette perspective, les kurdes qui rejettent l'int</w:t>
      </w:r>
      <w:r w:rsidRPr="00BB0438">
        <w:rPr>
          <w:szCs w:val="16"/>
        </w:rPr>
        <w:t>é</w:t>
      </w:r>
      <w:r w:rsidRPr="00BB0438">
        <w:rPr>
          <w:szCs w:val="16"/>
        </w:rPr>
        <w:t>gration forcée à la nation turque, ou qui n'ont pas une excellente maîtrise de la la</w:t>
      </w:r>
      <w:r w:rsidRPr="00BB0438">
        <w:rPr>
          <w:szCs w:val="16"/>
        </w:rPr>
        <w:t>n</w:t>
      </w:r>
      <w:r w:rsidRPr="00BB0438">
        <w:rPr>
          <w:szCs w:val="16"/>
        </w:rPr>
        <w:t>gue turque sont, dans les faits, exclus de l'appareil de l'État.</w:t>
      </w:r>
    </w:p>
    <w:p w:rsidR="00F0581C" w:rsidRPr="00BB0438" w:rsidRDefault="00F0581C" w:rsidP="00F0581C">
      <w:pPr>
        <w:spacing w:before="120" w:after="120"/>
        <w:jc w:val="both"/>
      </w:pPr>
      <w:r w:rsidRPr="00BB0438">
        <w:rPr>
          <w:szCs w:val="16"/>
        </w:rPr>
        <w:t>À la lumière des principes sous-tendant le nationalisme et le rép</w:t>
      </w:r>
      <w:r w:rsidRPr="00BB0438">
        <w:rPr>
          <w:szCs w:val="16"/>
        </w:rPr>
        <w:t>u</w:t>
      </w:r>
      <w:r w:rsidRPr="00BB0438">
        <w:rPr>
          <w:szCs w:val="16"/>
        </w:rPr>
        <w:t>blicanisme, il n'est guère surprenant que la Turquie n'ait pas adopté de mécanismes fo</w:t>
      </w:r>
      <w:r w:rsidRPr="00BB0438">
        <w:rPr>
          <w:szCs w:val="16"/>
        </w:rPr>
        <w:t>r</w:t>
      </w:r>
      <w:r w:rsidRPr="00BB0438">
        <w:rPr>
          <w:szCs w:val="16"/>
        </w:rPr>
        <w:t>mels visant à assurer une juste représentation de la minorité nationale kurde au sein de l'administration publ</w:t>
      </w:r>
      <w:r w:rsidRPr="00BB0438">
        <w:rPr>
          <w:szCs w:val="16"/>
        </w:rPr>
        <w:t>i</w:t>
      </w:r>
      <w:r w:rsidRPr="00BB0438">
        <w:rPr>
          <w:szCs w:val="16"/>
        </w:rPr>
        <w:t>que. En fait, les principes du mérite et de la non-discrimination ont été enchâssés dans la constitution turque. L'article 70 dispose que chaque ressorti</w:t>
      </w:r>
      <w:r w:rsidRPr="00BB0438">
        <w:rPr>
          <w:szCs w:val="16"/>
        </w:rPr>
        <w:t>s</w:t>
      </w:r>
      <w:r w:rsidRPr="00BB0438">
        <w:rPr>
          <w:szCs w:val="16"/>
        </w:rPr>
        <w:t>sant turc a le droit de se joindre à la fonction publique et qu'aucun a</w:t>
      </w:r>
      <w:r w:rsidRPr="00BB0438">
        <w:rPr>
          <w:szCs w:val="16"/>
        </w:rPr>
        <w:t>u</w:t>
      </w:r>
      <w:r w:rsidRPr="00BB0438">
        <w:rPr>
          <w:szCs w:val="16"/>
        </w:rPr>
        <w:t>tre critère que celui des qualifications de l'individu ne peut être pris en considération dans l'embauche des fonctionnaires. L'utilisation de la la</w:t>
      </w:r>
      <w:r w:rsidRPr="00BB0438">
        <w:rPr>
          <w:szCs w:val="16"/>
        </w:rPr>
        <w:t>n</w:t>
      </w:r>
      <w:r w:rsidRPr="00BB0438">
        <w:rPr>
          <w:szCs w:val="16"/>
        </w:rPr>
        <w:t>gue kurde au sein de la fonction publique et dans les relations de cette dernière avec les citoyens est proh</w:t>
      </w:r>
      <w:r w:rsidRPr="00BB0438">
        <w:rPr>
          <w:szCs w:val="16"/>
        </w:rPr>
        <w:t>i</w:t>
      </w:r>
      <w:r w:rsidRPr="00BB0438">
        <w:rPr>
          <w:szCs w:val="16"/>
        </w:rPr>
        <w:t>bée. Dès 1926, l'État adopta une loi imposant l'usage exclusif de la langue turque dans toutes les correspondances de l'État. De nombreux organismes inte</w:t>
      </w:r>
      <w:r w:rsidRPr="00BB0438">
        <w:rPr>
          <w:szCs w:val="16"/>
        </w:rPr>
        <w:t>r</w:t>
      </w:r>
      <w:r w:rsidRPr="00BB0438">
        <w:rPr>
          <w:szCs w:val="16"/>
        </w:rPr>
        <w:t>nationaux ont dénoncé l'impossibilité pour les c</w:t>
      </w:r>
      <w:r w:rsidRPr="00BB0438">
        <w:rPr>
          <w:szCs w:val="16"/>
        </w:rPr>
        <w:t>i</w:t>
      </w:r>
      <w:r w:rsidRPr="00BB0438">
        <w:rPr>
          <w:szCs w:val="16"/>
        </w:rPr>
        <w:t>toyens kurdes de se faire servir dans la langue de leur choix, en particulier dans le secteur de la sa</w:t>
      </w:r>
      <w:r w:rsidRPr="00BB0438">
        <w:rPr>
          <w:szCs w:val="16"/>
        </w:rPr>
        <w:t>n</w:t>
      </w:r>
      <w:r w:rsidRPr="00BB0438">
        <w:rPr>
          <w:szCs w:val="16"/>
        </w:rPr>
        <w:t>té</w:t>
      </w:r>
      <w:r>
        <w:rPr>
          <w:szCs w:val="16"/>
        </w:rPr>
        <w:t> </w:t>
      </w:r>
      <w:r>
        <w:rPr>
          <w:rStyle w:val="Appelnotedebasdep"/>
          <w:szCs w:val="16"/>
        </w:rPr>
        <w:footnoteReference w:id="26"/>
      </w:r>
      <w:r w:rsidRPr="00BB0438">
        <w:rPr>
          <w:szCs w:val="16"/>
        </w:rPr>
        <w:t>.</w:t>
      </w:r>
    </w:p>
    <w:p w:rsidR="00F0581C" w:rsidRPr="00BB0438" w:rsidRDefault="00F0581C" w:rsidP="00F0581C">
      <w:pPr>
        <w:spacing w:before="120" w:after="120"/>
        <w:jc w:val="both"/>
      </w:pPr>
      <w:r w:rsidRPr="00BB0438">
        <w:rPr>
          <w:szCs w:val="16"/>
        </w:rPr>
        <w:t>Le système républicain turc garantit en principe l'égalité des cha</w:t>
      </w:r>
      <w:r w:rsidRPr="00BB0438">
        <w:rPr>
          <w:szCs w:val="16"/>
        </w:rPr>
        <w:t>n</w:t>
      </w:r>
      <w:r w:rsidRPr="00BB0438">
        <w:rPr>
          <w:szCs w:val="16"/>
        </w:rPr>
        <w:t>ces des citoyens, sans égard pour leur origine ethnique. Il n'en deme</w:t>
      </w:r>
      <w:r w:rsidRPr="00BB0438">
        <w:rPr>
          <w:szCs w:val="16"/>
        </w:rPr>
        <w:t>u</w:t>
      </w:r>
      <w:r w:rsidRPr="00BB0438">
        <w:rPr>
          <w:szCs w:val="16"/>
        </w:rPr>
        <w:t>re pas moins que contrairement aux cas du Canada, de la Belgique ou du Royaume-Uni, la Turquie n'a pas aménagé d'espace politique aut</w:t>
      </w:r>
      <w:r w:rsidRPr="00BB0438">
        <w:rPr>
          <w:szCs w:val="16"/>
        </w:rPr>
        <w:t>o</w:t>
      </w:r>
      <w:r w:rsidRPr="00BB0438">
        <w:rPr>
          <w:szCs w:val="16"/>
        </w:rPr>
        <w:t>nome pour sa principale minorité nationale. Les provinces du sud-est sont dirigées par des bureaucrates turcs qui leur ont été imposés. L'a</w:t>
      </w:r>
      <w:r w:rsidRPr="00BB0438">
        <w:rPr>
          <w:szCs w:val="16"/>
        </w:rPr>
        <w:t>d</w:t>
      </w:r>
      <w:r w:rsidRPr="00BB0438">
        <w:rPr>
          <w:szCs w:val="16"/>
        </w:rPr>
        <w:t>ministration locale est composée de fonctionnaires nommés par l'État central et par un maire élu.</w:t>
      </w:r>
    </w:p>
    <w:p w:rsidR="00F0581C" w:rsidRPr="00BB0438" w:rsidRDefault="00F0581C" w:rsidP="00F0581C">
      <w:pPr>
        <w:spacing w:before="120" w:after="120"/>
        <w:jc w:val="both"/>
      </w:pPr>
      <w:r w:rsidRPr="00BB0438">
        <w:rPr>
          <w:szCs w:val="16"/>
        </w:rPr>
        <w:t>Toute discussion d'une solution fédérale au pr</w:t>
      </w:r>
      <w:r w:rsidRPr="00BB0438">
        <w:rPr>
          <w:szCs w:val="16"/>
        </w:rPr>
        <w:t>o</w:t>
      </w:r>
      <w:r w:rsidRPr="00BB0438">
        <w:rPr>
          <w:szCs w:val="16"/>
        </w:rPr>
        <w:t>blème turc est et a longtemps été prohibée. De plus, l'article 81 de la loi sur les partis p</w:t>
      </w:r>
      <w:r w:rsidRPr="00BB0438">
        <w:rPr>
          <w:szCs w:val="16"/>
        </w:rPr>
        <w:t>o</w:t>
      </w:r>
      <w:r w:rsidRPr="00BB0438">
        <w:rPr>
          <w:szCs w:val="16"/>
        </w:rPr>
        <w:t xml:space="preserve">litiques, portant sur </w:t>
      </w:r>
      <w:r>
        <w:rPr>
          <w:szCs w:val="16"/>
        </w:rPr>
        <w:t>« </w:t>
      </w:r>
      <w:r w:rsidRPr="00BB0438">
        <w:rPr>
          <w:szCs w:val="16"/>
        </w:rPr>
        <w:t>la prévention de création de minorités</w:t>
      </w:r>
      <w:r>
        <w:rPr>
          <w:szCs w:val="16"/>
        </w:rPr>
        <w:t> »</w:t>
      </w:r>
      <w:r w:rsidRPr="00BB0438">
        <w:rPr>
          <w:szCs w:val="16"/>
        </w:rPr>
        <w:t>, établit que les partis politiques</w:t>
      </w:r>
      <w:r>
        <w:rPr>
          <w:szCs w:val="16"/>
        </w:rPr>
        <w:t> :</w:t>
      </w:r>
      <w:r w:rsidRPr="00BB0438">
        <w:rPr>
          <w:szCs w:val="16"/>
        </w:rPr>
        <w:t xml:space="preserve"> a) ne peuvent affirmer qu'il existe sur le te</w:t>
      </w:r>
      <w:r w:rsidRPr="00BB0438">
        <w:rPr>
          <w:szCs w:val="16"/>
        </w:rPr>
        <w:t>r</w:t>
      </w:r>
      <w:r w:rsidRPr="00BB0438">
        <w:rPr>
          <w:szCs w:val="16"/>
        </w:rPr>
        <w:t>ritoire de la république de Turquie des minorités fondées sur une di</w:t>
      </w:r>
      <w:r w:rsidRPr="00BB0438">
        <w:rPr>
          <w:szCs w:val="16"/>
        </w:rPr>
        <w:t>f</w:t>
      </w:r>
      <w:r w:rsidRPr="00BB0438">
        <w:rPr>
          <w:szCs w:val="16"/>
        </w:rPr>
        <w:t>férence nationale ou religieuse, culturelle ou confessionnelle ou raci</w:t>
      </w:r>
      <w:r w:rsidRPr="00BB0438">
        <w:rPr>
          <w:szCs w:val="16"/>
        </w:rPr>
        <w:t>a</w:t>
      </w:r>
      <w:r w:rsidRPr="00BB0438">
        <w:rPr>
          <w:szCs w:val="16"/>
        </w:rPr>
        <w:t>le ou lingui</w:t>
      </w:r>
      <w:r w:rsidRPr="00BB0438">
        <w:rPr>
          <w:szCs w:val="16"/>
        </w:rPr>
        <w:t>s</w:t>
      </w:r>
      <w:r w:rsidRPr="00BB0438">
        <w:rPr>
          <w:szCs w:val="16"/>
        </w:rPr>
        <w:t>tique</w:t>
      </w:r>
      <w:r>
        <w:rPr>
          <w:szCs w:val="16"/>
        </w:rPr>
        <w:t> ;</w:t>
      </w:r>
      <w:r w:rsidRPr="00BB0438">
        <w:rPr>
          <w:szCs w:val="16"/>
        </w:rPr>
        <w:t xml:space="preserve"> et b) ne peuvent avoir pour objectif et mener des activités visant à saper l'unité nationale en créant des minorités sur le territoire de la république de Turquie par la protection, le développ</w:t>
      </w:r>
      <w:r w:rsidRPr="00BB0438">
        <w:rPr>
          <w:szCs w:val="16"/>
        </w:rPr>
        <w:t>e</w:t>
      </w:r>
      <w:r w:rsidRPr="00BB0438">
        <w:rPr>
          <w:szCs w:val="16"/>
        </w:rPr>
        <w:t>ment et la diff</w:t>
      </w:r>
      <w:r w:rsidRPr="00BB0438">
        <w:rPr>
          <w:szCs w:val="16"/>
        </w:rPr>
        <w:t>u</w:t>
      </w:r>
      <w:r w:rsidRPr="00BB0438">
        <w:rPr>
          <w:szCs w:val="16"/>
        </w:rPr>
        <w:t>sion d'une langue et d'une culture autre que la langue et la culture turques.</w:t>
      </w:r>
    </w:p>
    <w:p w:rsidR="00F0581C" w:rsidRPr="00BB0438" w:rsidRDefault="00F0581C" w:rsidP="00F0581C">
      <w:pPr>
        <w:spacing w:before="120" w:after="120"/>
        <w:jc w:val="both"/>
      </w:pPr>
      <w:r>
        <w:rPr>
          <w:szCs w:val="14"/>
        </w:rPr>
        <w:t>[</w:t>
      </w:r>
      <w:r w:rsidRPr="00BB0438">
        <w:rPr>
          <w:rFonts w:cs="Arial"/>
          <w:szCs w:val="16"/>
        </w:rPr>
        <w:t>300</w:t>
      </w:r>
      <w:r>
        <w:rPr>
          <w:rFonts w:cs="Arial"/>
          <w:szCs w:val="16"/>
        </w:rPr>
        <w:t>]</w:t>
      </w:r>
    </w:p>
    <w:p w:rsidR="00F0581C" w:rsidRDefault="00F0581C" w:rsidP="00F0581C">
      <w:pPr>
        <w:spacing w:before="120" w:after="120"/>
        <w:jc w:val="both"/>
        <w:rPr>
          <w:szCs w:val="16"/>
        </w:rPr>
      </w:pPr>
      <w:r w:rsidRPr="00BB0438">
        <w:rPr>
          <w:szCs w:val="16"/>
        </w:rPr>
        <w:t>La Turquie rejette donc explicitement la mise en place d'une b</w:t>
      </w:r>
      <w:r w:rsidRPr="00BB0438">
        <w:rPr>
          <w:szCs w:val="16"/>
        </w:rPr>
        <w:t>u</w:t>
      </w:r>
      <w:r w:rsidRPr="00BB0438">
        <w:rPr>
          <w:szCs w:val="16"/>
        </w:rPr>
        <w:t>reaucratie représentative. Un tel rejet ne se limite pas seulement à la mise en place de mécani</w:t>
      </w:r>
      <w:r w:rsidRPr="00BB0438">
        <w:rPr>
          <w:szCs w:val="16"/>
        </w:rPr>
        <w:t>s</w:t>
      </w:r>
      <w:r w:rsidRPr="00BB0438">
        <w:rPr>
          <w:szCs w:val="16"/>
        </w:rPr>
        <w:t>mes visant une meilleure représentation de la population kurde au sein de l'appareil public. Il signifie ég</w:t>
      </w:r>
      <w:r w:rsidRPr="00BB0438">
        <w:rPr>
          <w:szCs w:val="16"/>
        </w:rPr>
        <w:t>a</w:t>
      </w:r>
      <w:r w:rsidRPr="00BB0438">
        <w:rPr>
          <w:szCs w:val="16"/>
        </w:rPr>
        <w:t>lement l'impossibilité pour la minorité kurde de voir sa culture et sa langue prise en considération par l'a</w:t>
      </w:r>
      <w:r w:rsidRPr="00BB0438">
        <w:rPr>
          <w:szCs w:val="16"/>
        </w:rPr>
        <w:t>p</w:t>
      </w:r>
      <w:r w:rsidRPr="00BB0438">
        <w:rPr>
          <w:szCs w:val="16"/>
        </w:rPr>
        <w:t>pareil bureaucratique. À plusieurs égards, la Turquie a tenté, comme la France au XIX</w:t>
      </w:r>
      <w:r w:rsidRPr="00BB0438">
        <w:rPr>
          <w:szCs w:val="16"/>
          <w:vertAlign w:val="superscript"/>
        </w:rPr>
        <w:t>e</w:t>
      </w:r>
      <w:r w:rsidRPr="00BB0438">
        <w:rPr>
          <w:szCs w:val="16"/>
        </w:rPr>
        <w:t xml:space="preserve"> siècle avec ses propres groupes linguistiques minoritaires, de tran</w:t>
      </w:r>
      <w:r w:rsidRPr="00BB0438">
        <w:rPr>
          <w:szCs w:val="16"/>
        </w:rPr>
        <w:t>s</w:t>
      </w:r>
      <w:r w:rsidRPr="00BB0438">
        <w:rPr>
          <w:szCs w:val="16"/>
        </w:rPr>
        <w:t>former les paysans kurdes en citoyens turcs</w:t>
      </w:r>
      <w:r>
        <w:rPr>
          <w:szCs w:val="16"/>
        </w:rPr>
        <w:t> </w:t>
      </w:r>
      <w:r>
        <w:rPr>
          <w:rStyle w:val="Appelnotedebasdep"/>
          <w:szCs w:val="16"/>
        </w:rPr>
        <w:footnoteReference w:id="27"/>
      </w:r>
      <w:r w:rsidRPr="00BB0438">
        <w:rPr>
          <w:szCs w:val="16"/>
        </w:rPr>
        <w:t>.</w:t>
      </w:r>
    </w:p>
    <w:p w:rsidR="00F0581C" w:rsidRPr="00BB0438" w:rsidRDefault="00F0581C" w:rsidP="00F0581C">
      <w:pPr>
        <w:spacing w:before="120" w:after="120"/>
        <w:jc w:val="both"/>
      </w:pPr>
    </w:p>
    <w:p w:rsidR="00F0581C" w:rsidRPr="00BB0438" w:rsidRDefault="00F0581C" w:rsidP="00F0581C">
      <w:pPr>
        <w:pStyle w:val="a"/>
      </w:pPr>
      <w:bookmarkStart w:id="10" w:name="bureaucration_au_sein_II_b"/>
      <w:r w:rsidRPr="00BB0438">
        <w:t>Le Royaume-Uni</w:t>
      </w:r>
    </w:p>
    <w:bookmarkEnd w:id="10"/>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Dans la mesure où la question linguistique ne se pose pas en Eco</w:t>
      </w:r>
      <w:r w:rsidRPr="00BB0438">
        <w:rPr>
          <w:szCs w:val="16"/>
        </w:rPr>
        <w:t>s</w:t>
      </w:r>
      <w:r w:rsidRPr="00BB0438">
        <w:rPr>
          <w:szCs w:val="16"/>
        </w:rPr>
        <w:t>se et que le Royaume-Uni est le fruit d'une union plutôt qu'une inco</w:t>
      </w:r>
      <w:r w:rsidRPr="00BB0438">
        <w:rPr>
          <w:szCs w:val="16"/>
        </w:rPr>
        <w:t>r</w:t>
      </w:r>
      <w:r w:rsidRPr="00BB0438">
        <w:rPr>
          <w:szCs w:val="16"/>
        </w:rPr>
        <w:t>poration forcée, l'intégration des écossais à la fonction publique br</w:t>
      </w:r>
      <w:r w:rsidRPr="00BB0438">
        <w:rPr>
          <w:szCs w:val="16"/>
        </w:rPr>
        <w:t>i</w:t>
      </w:r>
      <w:r w:rsidRPr="00BB0438">
        <w:rPr>
          <w:szCs w:val="16"/>
        </w:rPr>
        <w:t>tann</w:t>
      </w:r>
      <w:r w:rsidRPr="00BB0438">
        <w:rPr>
          <w:szCs w:val="16"/>
        </w:rPr>
        <w:t>i</w:t>
      </w:r>
      <w:r w:rsidRPr="00BB0438">
        <w:rPr>
          <w:szCs w:val="16"/>
        </w:rPr>
        <w:t>que n'a jamais posé problème. Les écossais ont au contraire joué un rôle prédominant au sein de l'administration britannique, en part</w:t>
      </w:r>
      <w:r w:rsidRPr="00BB0438">
        <w:rPr>
          <w:szCs w:val="16"/>
        </w:rPr>
        <w:t>i</w:t>
      </w:r>
      <w:r w:rsidRPr="00BB0438">
        <w:rPr>
          <w:szCs w:val="16"/>
        </w:rPr>
        <w:t>culier au sein de l'app</w:t>
      </w:r>
      <w:r w:rsidRPr="00BB0438">
        <w:rPr>
          <w:szCs w:val="16"/>
        </w:rPr>
        <w:t>a</w:t>
      </w:r>
      <w:r w:rsidRPr="00BB0438">
        <w:rPr>
          <w:szCs w:val="16"/>
        </w:rPr>
        <w:t xml:space="preserve">reil colonial et des forces armées. Comme le souligne David Miller, </w:t>
      </w:r>
      <w:r>
        <w:rPr>
          <w:szCs w:val="16"/>
        </w:rPr>
        <w:t>« </w:t>
      </w:r>
      <w:r w:rsidRPr="00BB0438">
        <w:rPr>
          <w:szCs w:val="16"/>
        </w:rPr>
        <w:t>dans la mesure où l'identité nationale brita</w:t>
      </w:r>
      <w:r w:rsidRPr="00BB0438">
        <w:rPr>
          <w:szCs w:val="16"/>
        </w:rPr>
        <w:t>n</w:t>
      </w:r>
      <w:r w:rsidRPr="00BB0438">
        <w:rPr>
          <w:szCs w:val="16"/>
        </w:rPr>
        <w:t>nique a été façonnée par l'expérience impériale, par le sentiment de participer à une mission unique, et par les victoires et les défaites qui inévitablement l'ont accompagné, les anglais et les écossais sont unis dans une communauté de mémoire</w:t>
      </w:r>
      <w:r>
        <w:rPr>
          <w:szCs w:val="16"/>
        </w:rPr>
        <w:t> » </w:t>
      </w:r>
      <w:r>
        <w:rPr>
          <w:rStyle w:val="Appelnotedebasdep"/>
          <w:szCs w:val="16"/>
        </w:rPr>
        <w:footnoteReference w:id="28"/>
      </w:r>
      <w:r w:rsidRPr="00BB0438">
        <w:rPr>
          <w:szCs w:val="16"/>
        </w:rPr>
        <w:t>.</w:t>
      </w:r>
    </w:p>
    <w:p w:rsidR="00F0581C" w:rsidRPr="00BB0438" w:rsidRDefault="00F0581C" w:rsidP="00F0581C">
      <w:pPr>
        <w:spacing w:before="120" w:after="120"/>
        <w:jc w:val="both"/>
      </w:pPr>
      <w:r w:rsidRPr="00BB0438">
        <w:rPr>
          <w:szCs w:val="16"/>
        </w:rPr>
        <w:t>Cependant, à partir de la deuxième moitié du XIX</w:t>
      </w:r>
      <w:r w:rsidRPr="00BB0438">
        <w:rPr>
          <w:szCs w:val="16"/>
          <w:vertAlign w:val="superscript"/>
        </w:rPr>
        <w:t>e</w:t>
      </w:r>
      <w:r w:rsidRPr="00BB0438">
        <w:rPr>
          <w:szCs w:val="16"/>
        </w:rPr>
        <w:t xml:space="preserve"> siècle, influe</w:t>
      </w:r>
      <w:r w:rsidRPr="00BB0438">
        <w:rPr>
          <w:szCs w:val="16"/>
        </w:rPr>
        <w:t>n</w:t>
      </w:r>
      <w:r w:rsidRPr="00BB0438">
        <w:rPr>
          <w:szCs w:val="16"/>
        </w:rPr>
        <w:t>cés par la montée du nationalisme sur le continent européen, de no</w:t>
      </w:r>
      <w:r w:rsidRPr="00BB0438">
        <w:rPr>
          <w:szCs w:val="16"/>
        </w:rPr>
        <w:t>m</w:t>
      </w:r>
      <w:r w:rsidRPr="00BB0438">
        <w:rPr>
          <w:szCs w:val="16"/>
        </w:rPr>
        <w:t>breux députés écossais réclamèrent la nomination d'un secrétaire éco</w:t>
      </w:r>
      <w:r w:rsidRPr="00BB0438">
        <w:rPr>
          <w:szCs w:val="16"/>
        </w:rPr>
        <w:t>s</w:t>
      </w:r>
      <w:r w:rsidRPr="00BB0438">
        <w:rPr>
          <w:szCs w:val="16"/>
        </w:rPr>
        <w:t>sais au cabinet. En 1884, le Premier ministre Gladstone do</w:t>
      </w:r>
      <w:r w:rsidRPr="00BB0438">
        <w:rPr>
          <w:szCs w:val="16"/>
        </w:rPr>
        <w:t>n</w:t>
      </w:r>
      <w:r w:rsidRPr="00BB0438">
        <w:rPr>
          <w:szCs w:val="16"/>
        </w:rPr>
        <w:t>na suite aux revendications écossaises et accepta la mise en place d'un secr</w:t>
      </w:r>
      <w:r w:rsidRPr="00BB0438">
        <w:rPr>
          <w:szCs w:val="16"/>
        </w:rPr>
        <w:t>é</w:t>
      </w:r>
      <w:r w:rsidRPr="00BB0438">
        <w:rPr>
          <w:szCs w:val="16"/>
        </w:rPr>
        <w:t>taire écossais et d'une struct</w:t>
      </w:r>
      <w:r w:rsidRPr="00BB0438">
        <w:rPr>
          <w:szCs w:val="16"/>
        </w:rPr>
        <w:t>u</w:t>
      </w:r>
      <w:r w:rsidRPr="00BB0438">
        <w:rPr>
          <w:szCs w:val="16"/>
        </w:rPr>
        <w:t xml:space="preserve">re administrative, le </w:t>
      </w:r>
      <w:r w:rsidRPr="00BB0438">
        <w:rPr>
          <w:i/>
          <w:iCs/>
          <w:szCs w:val="16"/>
        </w:rPr>
        <w:t xml:space="preserve">Scottish Office. </w:t>
      </w:r>
      <w:r w:rsidRPr="00BB0438">
        <w:rPr>
          <w:szCs w:val="16"/>
        </w:rPr>
        <w:t xml:space="preserve">Au cours des décennies suivantes, le </w:t>
      </w:r>
      <w:r w:rsidRPr="00BB0438">
        <w:rPr>
          <w:i/>
          <w:iCs/>
          <w:szCs w:val="16"/>
        </w:rPr>
        <w:t xml:space="preserve">Scottish Office </w:t>
      </w:r>
      <w:r w:rsidRPr="00BB0438">
        <w:rPr>
          <w:szCs w:val="16"/>
        </w:rPr>
        <w:t>prit la respons</w:t>
      </w:r>
      <w:r w:rsidRPr="00BB0438">
        <w:rPr>
          <w:szCs w:val="16"/>
        </w:rPr>
        <w:t>a</w:t>
      </w:r>
      <w:r w:rsidRPr="00BB0438">
        <w:rPr>
          <w:szCs w:val="16"/>
        </w:rPr>
        <w:t>bilité de plusieurs secteurs assumés jusqu'alors par la fonction publique br</w:t>
      </w:r>
      <w:r w:rsidRPr="00BB0438">
        <w:rPr>
          <w:szCs w:val="16"/>
        </w:rPr>
        <w:t>i</w:t>
      </w:r>
      <w:r w:rsidRPr="00BB0438">
        <w:rPr>
          <w:szCs w:val="16"/>
        </w:rPr>
        <w:t xml:space="preserve">tannique </w:t>
      </w:r>
      <w:r w:rsidRPr="00BB0438">
        <w:rPr>
          <w:i/>
          <w:iCs/>
          <w:szCs w:val="16"/>
        </w:rPr>
        <w:t xml:space="preserve">(Whitehall), </w:t>
      </w:r>
      <w:r w:rsidRPr="00BB0438">
        <w:rPr>
          <w:szCs w:val="16"/>
        </w:rPr>
        <w:t>entre a</w:t>
      </w:r>
      <w:r w:rsidRPr="00BB0438">
        <w:rPr>
          <w:szCs w:val="16"/>
        </w:rPr>
        <w:t>u</w:t>
      </w:r>
      <w:r w:rsidRPr="00BB0438">
        <w:rPr>
          <w:szCs w:val="16"/>
        </w:rPr>
        <w:t>tres la supervision des commissions chargées des affaires sociales, municipales et de l'éducation au n</w:t>
      </w:r>
      <w:r w:rsidRPr="00BB0438">
        <w:rPr>
          <w:szCs w:val="16"/>
        </w:rPr>
        <w:t>i</w:t>
      </w:r>
      <w:r w:rsidRPr="00BB0438">
        <w:rPr>
          <w:szCs w:val="16"/>
        </w:rPr>
        <w:t>veau local. Au début des années 1920, l'Ecosse était la seule région du Royaume-Uni à être administrée par un tel système de commissions locales à l'ext</w:t>
      </w:r>
      <w:r w:rsidRPr="00BB0438">
        <w:rPr>
          <w:szCs w:val="16"/>
        </w:rPr>
        <w:t>é</w:t>
      </w:r>
      <w:r w:rsidRPr="00BB0438">
        <w:rPr>
          <w:szCs w:val="16"/>
        </w:rPr>
        <w:t xml:space="preserve">rieur de la fonction publique britannique. L'existence du </w:t>
      </w:r>
      <w:r w:rsidRPr="00BB0438">
        <w:rPr>
          <w:i/>
          <w:iCs/>
          <w:szCs w:val="16"/>
        </w:rPr>
        <w:t xml:space="preserve">Scottish Office </w:t>
      </w:r>
      <w:r w:rsidRPr="00BB0438">
        <w:rPr>
          <w:szCs w:val="16"/>
        </w:rPr>
        <w:t xml:space="preserve">a permis de mettre en place une fonction publique écossaise distincte et éviter ainsi </w:t>
      </w:r>
      <w:r>
        <w:rPr>
          <w:szCs w:val="16"/>
        </w:rPr>
        <w:t>« </w:t>
      </w:r>
      <w:r w:rsidRPr="00BB0438">
        <w:rPr>
          <w:szCs w:val="16"/>
        </w:rPr>
        <w:t>l'anglicisation</w:t>
      </w:r>
      <w:r>
        <w:rPr>
          <w:szCs w:val="16"/>
        </w:rPr>
        <w:t> »</w:t>
      </w:r>
      <w:r w:rsidRPr="00BB0438">
        <w:rPr>
          <w:szCs w:val="16"/>
        </w:rPr>
        <w:t xml:space="preserve"> de l'appareil adm</w:t>
      </w:r>
      <w:r w:rsidRPr="00BB0438">
        <w:rPr>
          <w:szCs w:val="16"/>
        </w:rPr>
        <w:t>i</w:t>
      </w:r>
      <w:r w:rsidRPr="00BB0438">
        <w:rPr>
          <w:szCs w:val="16"/>
        </w:rPr>
        <w:t>nistratif.</w:t>
      </w:r>
    </w:p>
    <w:p w:rsidR="00F0581C" w:rsidRPr="00BB0438" w:rsidRDefault="00F0581C" w:rsidP="00F0581C">
      <w:pPr>
        <w:spacing w:before="120" w:after="120"/>
        <w:jc w:val="both"/>
      </w:pPr>
      <w:r w:rsidRPr="00BB0438">
        <w:rPr>
          <w:szCs w:val="16"/>
        </w:rPr>
        <w:t>En 1937, le comité Gilmour recommanda de rasse</w:t>
      </w:r>
      <w:r w:rsidRPr="00BB0438">
        <w:rPr>
          <w:szCs w:val="16"/>
        </w:rPr>
        <w:t>m</w:t>
      </w:r>
      <w:r w:rsidRPr="00BB0438">
        <w:rPr>
          <w:szCs w:val="16"/>
        </w:rPr>
        <w:t xml:space="preserve">bler tout le personnel du </w:t>
      </w:r>
      <w:r w:rsidRPr="00BB0438">
        <w:rPr>
          <w:i/>
          <w:iCs/>
          <w:szCs w:val="16"/>
        </w:rPr>
        <w:t xml:space="preserve">Scottish Office </w:t>
      </w:r>
      <w:r w:rsidRPr="00BB0438">
        <w:rPr>
          <w:szCs w:val="16"/>
        </w:rPr>
        <w:t>sous un m</w:t>
      </w:r>
      <w:r w:rsidRPr="00BB0438">
        <w:rPr>
          <w:szCs w:val="16"/>
        </w:rPr>
        <w:t>ê</w:t>
      </w:r>
      <w:r w:rsidRPr="00BB0438">
        <w:rPr>
          <w:szCs w:val="16"/>
        </w:rPr>
        <w:t xml:space="preserve">me toit, à Edimbourg, et de faire en sorte que tous les départements relèvent du Secrétaire d'État pour l'Ecosse. Le </w:t>
      </w:r>
      <w:r w:rsidRPr="00BB0438">
        <w:rPr>
          <w:i/>
          <w:iCs/>
          <w:szCs w:val="16"/>
        </w:rPr>
        <w:t xml:space="preserve">Scottish Office </w:t>
      </w:r>
      <w:r w:rsidRPr="00BB0438">
        <w:rPr>
          <w:szCs w:val="16"/>
        </w:rPr>
        <w:t>fut ainsi transféré à Edimbourg et incorpora graduellement cinq minist</w:t>
      </w:r>
      <w:r w:rsidRPr="00BB0438">
        <w:rPr>
          <w:szCs w:val="16"/>
        </w:rPr>
        <w:t>è</w:t>
      </w:r>
      <w:r w:rsidRPr="00BB0438">
        <w:rPr>
          <w:szCs w:val="16"/>
        </w:rPr>
        <w:t>res</w:t>
      </w:r>
      <w:r>
        <w:rPr>
          <w:szCs w:val="16"/>
        </w:rPr>
        <w:t> :</w:t>
      </w:r>
      <w:r w:rsidRPr="00BB0438">
        <w:rPr>
          <w:szCs w:val="16"/>
        </w:rPr>
        <w:t xml:space="preserve"> affaires internes et santé, développement, éducation, agriculture et pêcheries, industrie. Le </w:t>
      </w:r>
      <w:r w:rsidRPr="00BB0438">
        <w:rPr>
          <w:i/>
          <w:iCs/>
          <w:szCs w:val="16"/>
        </w:rPr>
        <w:t>Sco</w:t>
      </w:r>
      <w:r w:rsidRPr="00BB0438">
        <w:rPr>
          <w:i/>
          <w:iCs/>
          <w:szCs w:val="16"/>
        </w:rPr>
        <w:t>t</w:t>
      </w:r>
      <w:r w:rsidRPr="00BB0438">
        <w:rPr>
          <w:i/>
          <w:iCs/>
          <w:szCs w:val="16"/>
        </w:rPr>
        <w:t xml:space="preserve">tish Office </w:t>
      </w:r>
      <w:r w:rsidRPr="00BB0438">
        <w:rPr>
          <w:szCs w:val="16"/>
        </w:rPr>
        <w:t>développa des liens étroits avec la société civ</w:t>
      </w:r>
      <w:r w:rsidRPr="00BB0438">
        <w:rPr>
          <w:szCs w:val="16"/>
        </w:rPr>
        <w:t>i</w:t>
      </w:r>
      <w:r w:rsidRPr="00BB0438">
        <w:rPr>
          <w:szCs w:val="16"/>
        </w:rPr>
        <w:t>le écossaise, à un point tel que certains analystes en sont venus à parler d'un vérit</w:t>
      </w:r>
      <w:r w:rsidRPr="00BB0438">
        <w:rPr>
          <w:szCs w:val="16"/>
        </w:rPr>
        <w:t>a</w:t>
      </w:r>
      <w:r w:rsidRPr="00BB0438">
        <w:rPr>
          <w:szCs w:val="16"/>
        </w:rPr>
        <w:t xml:space="preserve">ble </w:t>
      </w:r>
      <w:r>
        <w:rPr>
          <w:szCs w:val="16"/>
        </w:rPr>
        <w:t>« </w:t>
      </w:r>
      <w:r w:rsidRPr="00BB0438">
        <w:rPr>
          <w:szCs w:val="16"/>
        </w:rPr>
        <w:t>système politique écossais</w:t>
      </w:r>
      <w:r>
        <w:rPr>
          <w:szCs w:val="16"/>
        </w:rPr>
        <w:t> » </w:t>
      </w:r>
      <w:r>
        <w:rPr>
          <w:rStyle w:val="Appelnotedebasdep"/>
          <w:szCs w:val="16"/>
        </w:rPr>
        <w:footnoteReference w:id="29"/>
      </w:r>
      <w:r w:rsidRPr="00BB0438">
        <w:rPr>
          <w:szCs w:val="16"/>
        </w:rPr>
        <w:t>.</w:t>
      </w:r>
    </w:p>
    <w:p w:rsidR="00F0581C" w:rsidRPr="00BB0438" w:rsidRDefault="00F0581C" w:rsidP="00F0581C">
      <w:pPr>
        <w:spacing w:before="120" w:after="120"/>
        <w:jc w:val="both"/>
      </w:pPr>
      <w:r w:rsidRPr="00BB0438">
        <w:rPr>
          <w:szCs w:val="16"/>
        </w:rPr>
        <w:t>L'existence, au cours du XX</w:t>
      </w:r>
      <w:r w:rsidRPr="00BB0438">
        <w:rPr>
          <w:szCs w:val="16"/>
          <w:vertAlign w:val="superscript"/>
        </w:rPr>
        <w:t>e</w:t>
      </w:r>
      <w:r w:rsidRPr="00BB0438">
        <w:rPr>
          <w:szCs w:val="16"/>
        </w:rPr>
        <w:t xml:space="preserve"> siècle, d'un système politique éco</w:t>
      </w:r>
      <w:r w:rsidRPr="00BB0438">
        <w:rPr>
          <w:szCs w:val="16"/>
        </w:rPr>
        <w:t>s</w:t>
      </w:r>
      <w:r w:rsidRPr="00BB0438">
        <w:rPr>
          <w:szCs w:val="16"/>
        </w:rPr>
        <w:t>sais autonome demeure l'objet de débats importants parmi les spéci</w:t>
      </w:r>
      <w:r w:rsidRPr="00BB0438">
        <w:rPr>
          <w:szCs w:val="16"/>
        </w:rPr>
        <w:t>a</w:t>
      </w:r>
      <w:r w:rsidRPr="00BB0438">
        <w:rPr>
          <w:szCs w:val="16"/>
        </w:rPr>
        <w:t>listes de la politique éco</w:t>
      </w:r>
      <w:r w:rsidRPr="00BB0438">
        <w:rPr>
          <w:szCs w:val="16"/>
        </w:rPr>
        <w:t>s</w:t>
      </w:r>
      <w:r w:rsidRPr="00BB0438">
        <w:rPr>
          <w:szCs w:val="16"/>
        </w:rPr>
        <w:t xml:space="preserve">saise. Le débat tourne principalement autour du degré de discrétion à la disposition des fonctionnaires du </w:t>
      </w:r>
      <w:r w:rsidRPr="00BB0438">
        <w:rPr>
          <w:i/>
          <w:iCs/>
          <w:szCs w:val="16"/>
        </w:rPr>
        <w:t xml:space="preserve">Scottish Office, </w:t>
      </w:r>
      <w:r w:rsidRPr="00BB0438">
        <w:rPr>
          <w:szCs w:val="16"/>
        </w:rPr>
        <w:t>c'est-à-dire leur capacité à impla</w:t>
      </w:r>
      <w:r w:rsidRPr="00BB0438">
        <w:rPr>
          <w:szCs w:val="16"/>
        </w:rPr>
        <w:t>n</w:t>
      </w:r>
      <w:r w:rsidRPr="00BB0438">
        <w:rPr>
          <w:szCs w:val="16"/>
        </w:rPr>
        <w:t>ter des solutions typiquement écossaises aux probl</w:t>
      </w:r>
      <w:r w:rsidRPr="00BB0438">
        <w:rPr>
          <w:szCs w:val="16"/>
        </w:rPr>
        <w:t>è</w:t>
      </w:r>
      <w:r w:rsidRPr="00BB0438">
        <w:rPr>
          <w:szCs w:val="16"/>
        </w:rPr>
        <w:t>mes socio-économiques de la région, ou encore de l'existence d'une culture bureaucratique typiquement éco</w:t>
      </w:r>
      <w:r w:rsidRPr="00BB0438">
        <w:rPr>
          <w:szCs w:val="16"/>
        </w:rPr>
        <w:t>s</w:t>
      </w:r>
      <w:r w:rsidRPr="00BB0438">
        <w:rPr>
          <w:szCs w:val="16"/>
        </w:rPr>
        <w:t>saise.</w:t>
      </w:r>
    </w:p>
    <w:p w:rsidR="00F0581C" w:rsidRPr="00BB0438" w:rsidRDefault="00F0581C" w:rsidP="00F0581C">
      <w:pPr>
        <w:spacing w:before="120" w:after="120"/>
        <w:jc w:val="both"/>
      </w:pPr>
      <w:r>
        <w:rPr>
          <w:szCs w:val="14"/>
        </w:rPr>
        <w:t>[</w:t>
      </w:r>
      <w:r w:rsidRPr="00BB0438">
        <w:rPr>
          <w:rFonts w:cs="Arial"/>
          <w:szCs w:val="16"/>
        </w:rPr>
        <w:t>301</w:t>
      </w:r>
      <w:r>
        <w:rPr>
          <w:rFonts w:cs="Arial"/>
          <w:szCs w:val="16"/>
        </w:rPr>
        <w:t>]</w:t>
      </w:r>
    </w:p>
    <w:p w:rsidR="00F0581C" w:rsidRPr="00BB0438" w:rsidRDefault="00F0581C" w:rsidP="00F0581C">
      <w:pPr>
        <w:spacing w:before="120" w:after="120"/>
        <w:jc w:val="both"/>
      </w:pPr>
      <w:r w:rsidRPr="00BB0438">
        <w:rPr>
          <w:szCs w:val="16"/>
        </w:rPr>
        <w:t>Les analystes s'entendent tout de même sur les principales fon</w:t>
      </w:r>
      <w:r w:rsidRPr="00BB0438">
        <w:rPr>
          <w:szCs w:val="16"/>
        </w:rPr>
        <w:t>c</w:t>
      </w:r>
      <w:r w:rsidRPr="00BB0438">
        <w:rPr>
          <w:szCs w:val="16"/>
        </w:rPr>
        <w:t xml:space="preserve">tions du </w:t>
      </w:r>
      <w:r w:rsidRPr="00BB0438">
        <w:rPr>
          <w:i/>
          <w:iCs/>
          <w:szCs w:val="16"/>
        </w:rPr>
        <w:t xml:space="preserve">Scottish Office. </w:t>
      </w:r>
      <w:r w:rsidRPr="00BB0438">
        <w:rPr>
          <w:szCs w:val="16"/>
        </w:rPr>
        <w:t>James Mitchell présente ainsi les responsab</w:t>
      </w:r>
      <w:r w:rsidRPr="00BB0438">
        <w:rPr>
          <w:szCs w:val="16"/>
        </w:rPr>
        <w:t>i</w:t>
      </w:r>
      <w:r w:rsidRPr="00BB0438">
        <w:rPr>
          <w:szCs w:val="16"/>
        </w:rPr>
        <w:t xml:space="preserve">lités du </w:t>
      </w:r>
      <w:r w:rsidRPr="00BB0438">
        <w:rPr>
          <w:i/>
          <w:iCs/>
          <w:szCs w:val="16"/>
        </w:rPr>
        <w:t>Scottish O</w:t>
      </w:r>
      <w:r w:rsidRPr="00BB0438">
        <w:rPr>
          <w:i/>
          <w:iCs/>
          <w:szCs w:val="16"/>
        </w:rPr>
        <w:t>f</w:t>
      </w:r>
      <w:r w:rsidRPr="00BB0438">
        <w:rPr>
          <w:i/>
          <w:iCs/>
          <w:szCs w:val="16"/>
        </w:rPr>
        <w:t>fice</w:t>
      </w:r>
      <w:r>
        <w:rPr>
          <w:i/>
          <w:iCs/>
          <w:szCs w:val="16"/>
        </w:rPr>
        <w:t> :</w:t>
      </w:r>
      <w:r w:rsidRPr="00BB0438">
        <w:rPr>
          <w:szCs w:val="16"/>
        </w:rPr>
        <w:t xml:space="preserve"> 1) il s'agit de l'expression institutionnelle de l'État d'union, démontrant ainsi que l'Ecosse serait traitée distinct</w:t>
      </w:r>
      <w:r w:rsidRPr="00BB0438">
        <w:rPr>
          <w:szCs w:val="16"/>
        </w:rPr>
        <w:t>e</w:t>
      </w:r>
      <w:r w:rsidRPr="00BB0438">
        <w:rPr>
          <w:szCs w:val="16"/>
        </w:rPr>
        <w:t>ment au sein d'un État centralisé</w:t>
      </w:r>
      <w:r>
        <w:rPr>
          <w:szCs w:val="16"/>
        </w:rPr>
        <w:t> ;</w:t>
      </w:r>
      <w:r w:rsidRPr="00BB0438">
        <w:rPr>
          <w:szCs w:val="16"/>
        </w:rPr>
        <w:t xml:space="preserve"> 2) il a pour but d'articuler les int</w:t>
      </w:r>
      <w:r w:rsidRPr="00BB0438">
        <w:rPr>
          <w:szCs w:val="16"/>
        </w:rPr>
        <w:t>é</w:t>
      </w:r>
      <w:r w:rsidRPr="00BB0438">
        <w:rPr>
          <w:szCs w:val="16"/>
        </w:rPr>
        <w:t xml:space="preserve">rêts écossais au cœur même du gouvernement et plus spécifiquement au cabinet et à </w:t>
      </w:r>
      <w:r w:rsidRPr="00BB0438">
        <w:rPr>
          <w:i/>
          <w:iCs/>
          <w:szCs w:val="16"/>
        </w:rPr>
        <w:t>Whitehall</w:t>
      </w:r>
      <w:r>
        <w:rPr>
          <w:i/>
          <w:iCs/>
          <w:szCs w:val="16"/>
        </w:rPr>
        <w:t> ;</w:t>
      </w:r>
      <w:r w:rsidRPr="00BB0438">
        <w:rPr>
          <w:szCs w:val="16"/>
        </w:rPr>
        <w:t xml:space="preserve"> 3) il administre un nombre grandissant de responsabilités</w:t>
      </w:r>
      <w:r>
        <w:rPr>
          <w:szCs w:val="16"/>
        </w:rPr>
        <w:t> </w:t>
      </w:r>
      <w:r>
        <w:rPr>
          <w:rStyle w:val="Appelnotedebasdep"/>
          <w:szCs w:val="16"/>
        </w:rPr>
        <w:footnoteReference w:id="30"/>
      </w:r>
      <w:r w:rsidRPr="00BB0438">
        <w:rPr>
          <w:szCs w:val="16"/>
        </w:rPr>
        <w:t>.</w:t>
      </w:r>
    </w:p>
    <w:p w:rsidR="00F0581C" w:rsidRDefault="00F0581C" w:rsidP="00F0581C">
      <w:pPr>
        <w:spacing w:before="120" w:after="120"/>
        <w:jc w:val="both"/>
        <w:rPr>
          <w:szCs w:val="16"/>
        </w:rPr>
      </w:pPr>
      <w:r w:rsidRPr="00BB0438">
        <w:rPr>
          <w:szCs w:val="16"/>
        </w:rPr>
        <w:t>Dans les faits, tant que l'Ecosse votait majorita</w:t>
      </w:r>
      <w:r w:rsidRPr="00BB0438">
        <w:rPr>
          <w:szCs w:val="16"/>
        </w:rPr>
        <w:t>i</w:t>
      </w:r>
      <w:r w:rsidRPr="00BB0438">
        <w:rPr>
          <w:szCs w:val="16"/>
        </w:rPr>
        <w:t xml:space="preserve">rement pour le parti au pouvoir et partageait les valeurs du gouvernement, le </w:t>
      </w:r>
      <w:r w:rsidRPr="00BB0438">
        <w:rPr>
          <w:i/>
          <w:iCs/>
          <w:szCs w:val="16"/>
        </w:rPr>
        <w:t>Scottish Off</w:t>
      </w:r>
      <w:r w:rsidRPr="00BB0438">
        <w:rPr>
          <w:i/>
          <w:iCs/>
          <w:szCs w:val="16"/>
        </w:rPr>
        <w:t>i</w:t>
      </w:r>
      <w:r w:rsidRPr="00BB0438">
        <w:rPr>
          <w:i/>
          <w:iCs/>
          <w:szCs w:val="16"/>
        </w:rPr>
        <w:t xml:space="preserve">ce </w:t>
      </w:r>
      <w:r w:rsidRPr="00BB0438">
        <w:rPr>
          <w:szCs w:val="16"/>
        </w:rPr>
        <w:t>était en mesure de représenter activement et de façon légitime les i</w:t>
      </w:r>
      <w:r w:rsidRPr="00BB0438">
        <w:rPr>
          <w:szCs w:val="16"/>
        </w:rPr>
        <w:t>n</w:t>
      </w:r>
      <w:r w:rsidRPr="00BB0438">
        <w:rPr>
          <w:szCs w:val="16"/>
        </w:rPr>
        <w:t xml:space="preserve">térêts écossais au sein du cabinet et à </w:t>
      </w:r>
      <w:r w:rsidRPr="00BB0438">
        <w:rPr>
          <w:i/>
          <w:iCs/>
          <w:szCs w:val="16"/>
        </w:rPr>
        <w:t xml:space="preserve">Whitehall. </w:t>
      </w:r>
      <w:r w:rsidRPr="00BB0438">
        <w:rPr>
          <w:szCs w:val="16"/>
        </w:rPr>
        <w:t>Or, avec l'arrivée au pouvoir des conservateurs de Marg</w:t>
      </w:r>
      <w:r w:rsidRPr="00BB0438">
        <w:rPr>
          <w:szCs w:val="16"/>
        </w:rPr>
        <w:t>a</w:t>
      </w:r>
      <w:r w:rsidRPr="00BB0438">
        <w:rPr>
          <w:szCs w:val="16"/>
        </w:rPr>
        <w:t xml:space="preserve">ret Thatcher en 1979 — dont le parti pouvait compter sur peu d'appuis en Ecosse — le </w:t>
      </w:r>
      <w:r w:rsidRPr="00BB0438">
        <w:rPr>
          <w:i/>
          <w:iCs/>
          <w:szCs w:val="16"/>
        </w:rPr>
        <w:t>Scottish O</w:t>
      </w:r>
      <w:r w:rsidRPr="00BB0438">
        <w:rPr>
          <w:i/>
          <w:iCs/>
          <w:szCs w:val="16"/>
        </w:rPr>
        <w:t>f</w:t>
      </w:r>
      <w:r w:rsidRPr="00BB0438">
        <w:rPr>
          <w:i/>
          <w:iCs/>
          <w:szCs w:val="16"/>
        </w:rPr>
        <w:t xml:space="preserve">fice, </w:t>
      </w:r>
      <w:r w:rsidRPr="00BB0438">
        <w:rPr>
          <w:szCs w:val="16"/>
        </w:rPr>
        <w:t>chargé d'administrer les réformes rejetées par une pa</w:t>
      </w:r>
      <w:r w:rsidRPr="00BB0438">
        <w:rPr>
          <w:szCs w:val="16"/>
        </w:rPr>
        <w:t>r</w:t>
      </w:r>
      <w:r w:rsidRPr="00BB0438">
        <w:rPr>
          <w:szCs w:val="16"/>
        </w:rPr>
        <w:t>tie importante de l'opinion publique écossaise, vit sa légitimité s'effriter auprès de la population. Les lim</w:t>
      </w:r>
      <w:r w:rsidRPr="00BB0438">
        <w:rPr>
          <w:szCs w:val="16"/>
        </w:rPr>
        <w:t>i</w:t>
      </w:r>
      <w:r w:rsidRPr="00BB0438">
        <w:rPr>
          <w:szCs w:val="16"/>
        </w:rPr>
        <w:t>tes de la dévolution administrative, dans le contexte d'un gouvernement impopulaire, contribua à une campagne majeure en faveur du rétablissement d'un Parlement autonome et d</w:t>
      </w:r>
      <w:r w:rsidRPr="00BB0438">
        <w:rPr>
          <w:szCs w:val="16"/>
        </w:rPr>
        <w:t>é</w:t>
      </w:r>
      <w:r w:rsidRPr="00BB0438">
        <w:rPr>
          <w:szCs w:val="16"/>
        </w:rPr>
        <w:t>mocratique pour l'Ecosse et pouvant véritablement garantir la repr</w:t>
      </w:r>
      <w:r w:rsidRPr="00BB0438">
        <w:rPr>
          <w:szCs w:val="16"/>
        </w:rPr>
        <w:t>é</w:t>
      </w:r>
      <w:r w:rsidRPr="00BB0438">
        <w:rPr>
          <w:szCs w:val="16"/>
        </w:rPr>
        <w:t>sentation des intérêts de la région. C'est cette camp</w:t>
      </w:r>
      <w:r w:rsidRPr="00BB0438">
        <w:rPr>
          <w:szCs w:val="16"/>
        </w:rPr>
        <w:t>a</w:t>
      </w:r>
      <w:r w:rsidRPr="00BB0438">
        <w:rPr>
          <w:szCs w:val="16"/>
        </w:rPr>
        <w:t>gne qui mena en 1997 à un référendum gagné qui conduisit à la mise en place du Pa</w:t>
      </w:r>
      <w:r w:rsidRPr="00BB0438">
        <w:rPr>
          <w:szCs w:val="16"/>
        </w:rPr>
        <w:t>r</w:t>
      </w:r>
      <w:r w:rsidRPr="00BB0438">
        <w:rPr>
          <w:szCs w:val="16"/>
        </w:rPr>
        <w:t>lement écossais.</w:t>
      </w:r>
    </w:p>
    <w:p w:rsidR="00F0581C" w:rsidRPr="00BB0438" w:rsidRDefault="00F0581C" w:rsidP="00F0581C">
      <w:pPr>
        <w:spacing w:before="120" w:after="120"/>
        <w:jc w:val="both"/>
      </w:pPr>
    </w:p>
    <w:p w:rsidR="00F0581C" w:rsidRPr="00BB0438" w:rsidRDefault="00F0581C" w:rsidP="00F0581C">
      <w:pPr>
        <w:pStyle w:val="a"/>
      </w:pPr>
      <w:bookmarkStart w:id="11" w:name="bureaucration_au_sein_II_c"/>
      <w:r w:rsidRPr="004A69B0">
        <w:t xml:space="preserve">Le </w:t>
      </w:r>
      <w:r>
        <w:t>Canada</w:t>
      </w:r>
    </w:p>
    <w:bookmarkEnd w:id="11"/>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Historiquement, la question de la représentation des Canadiens français au sein des institutions go</w:t>
      </w:r>
      <w:r w:rsidRPr="00BB0438">
        <w:rPr>
          <w:szCs w:val="16"/>
        </w:rPr>
        <w:t>u</w:t>
      </w:r>
      <w:r w:rsidRPr="00BB0438">
        <w:rPr>
          <w:szCs w:val="16"/>
        </w:rPr>
        <w:t>vernementales ne se posait pas. Dans les faits, l'existence d'une représentation proportionnelle des francophones facilita, au milieu du XIX</w:t>
      </w:r>
      <w:r w:rsidRPr="00BB0438">
        <w:rPr>
          <w:szCs w:val="16"/>
          <w:vertAlign w:val="superscript"/>
        </w:rPr>
        <w:t>e</w:t>
      </w:r>
      <w:r w:rsidRPr="00BB0438">
        <w:rPr>
          <w:szCs w:val="16"/>
        </w:rPr>
        <w:t xml:space="preserve"> siècle, l'émergence d'un ce</w:t>
      </w:r>
      <w:r w:rsidRPr="00BB0438">
        <w:rPr>
          <w:szCs w:val="16"/>
        </w:rPr>
        <w:t>r</w:t>
      </w:r>
      <w:r w:rsidRPr="00BB0438">
        <w:rPr>
          <w:szCs w:val="16"/>
        </w:rPr>
        <w:t>tain consensus autour de l'idée de féd</w:t>
      </w:r>
      <w:r w:rsidRPr="00BB0438">
        <w:rPr>
          <w:szCs w:val="16"/>
        </w:rPr>
        <w:t>é</w:t>
      </w:r>
      <w:r w:rsidRPr="00BB0438">
        <w:rPr>
          <w:szCs w:val="16"/>
        </w:rPr>
        <w:t>ration. À la signature de l'Acte de l'Amérique du nord britannique en 1867, qui venait instaurer la f</w:t>
      </w:r>
      <w:r w:rsidRPr="00BB0438">
        <w:rPr>
          <w:szCs w:val="16"/>
        </w:rPr>
        <w:t>é</w:t>
      </w:r>
      <w:r w:rsidRPr="00BB0438">
        <w:rPr>
          <w:szCs w:val="16"/>
        </w:rPr>
        <w:t xml:space="preserve">dération canadienne, plusieurs secteurs administratifs de l'État, dont l'éducation et la justice, </w:t>
      </w:r>
      <w:r>
        <w:rPr>
          <w:szCs w:val="16"/>
        </w:rPr>
        <w:t>« </w:t>
      </w:r>
      <w:r w:rsidRPr="00BB0438">
        <w:rPr>
          <w:szCs w:val="16"/>
        </w:rPr>
        <w:t>maintenaient des structures bilingues int</w:t>
      </w:r>
      <w:r w:rsidRPr="00BB0438">
        <w:rPr>
          <w:szCs w:val="16"/>
        </w:rPr>
        <w:t>é</w:t>
      </w:r>
      <w:r w:rsidRPr="00BB0438">
        <w:rPr>
          <w:szCs w:val="16"/>
        </w:rPr>
        <w:t>grées, alors que d'autres étaient séparées sur une base linguistique de haut en bas de la hiérarchie et s'étendaient aux différentes bra</w:t>
      </w:r>
      <w:r w:rsidRPr="00BB0438">
        <w:rPr>
          <w:szCs w:val="16"/>
        </w:rPr>
        <w:t>n</w:t>
      </w:r>
      <w:r w:rsidRPr="00BB0438">
        <w:rPr>
          <w:szCs w:val="16"/>
        </w:rPr>
        <w:t>ches</w:t>
      </w:r>
      <w:r>
        <w:rPr>
          <w:szCs w:val="16"/>
        </w:rPr>
        <w:t> » </w:t>
      </w:r>
      <w:r>
        <w:rPr>
          <w:rStyle w:val="Appelnotedebasdep"/>
          <w:szCs w:val="16"/>
        </w:rPr>
        <w:footnoteReference w:id="31"/>
      </w:r>
      <w:r w:rsidRPr="00BB0438">
        <w:rPr>
          <w:szCs w:val="16"/>
        </w:rPr>
        <w:t>. De façon étonnante, la question de la représentation, bien qu'elle soit de nos jours fort</w:t>
      </w:r>
      <w:r w:rsidRPr="00BB0438">
        <w:rPr>
          <w:szCs w:val="16"/>
        </w:rPr>
        <w:t>e</w:t>
      </w:r>
      <w:r w:rsidRPr="00BB0438">
        <w:rPr>
          <w:szCs w:val="16"/>
        </w:rPr>
        <w:t>ment liée au critère linguistique, voire culturel, fut au d</w:t>
      </w:r>
      <w:r w:rsidRPr="00BB0438">
        <w:rPr>
          <w:szCs w:val="16"/>
        </w:rPr>
        <w:t>é</w:t>
      </w:r>
      <w:r w:rsidRPr="00BB0438">
        <w:rPr>
          <w:szCs w:val="16"/>
        </w:rPr>
        <w:t>part intimement liée à la dimension géographique</w:t>
      </w:r>
      <w:r>
        <w:rPr>
          <w:szCs w:val="16"/>
        </w:rPr>
        <w:t> </w:t>
      </w:r>
      <w:r>
        <w:rPr>
          <w:rStyle w:val="Appelnotedebasdep"/>
          <w:szCs w:val="16"/>
        </w:rPr>
        <w:footnoteReference w:id="32"/>
      </w:r>
      <w:r w:rsidRPr="00BB0438">
        <w:rPr>
          <w:szCs w:val="16"/>
        </w:rPr>
        <w:t>. En fait, le problème de la représentation ne vint pas du Canada fra</w:t>
      </w:r>
      <w:r w:rsidRPr="00BB0438">
        <w:rPr>
          <w:szCs w:val="16"/>
        </w:rPr>
        <w:t>n</w:t>
      </w:r>
      <w:r w:rsidRPr="00BB0438">
        <w:rPr>
          <w:szCs w:val="16"/>
        </w:rPr>
        <w:t>çais, mais plutôt des provinces de l'Atlantique nouvell</w:t>
      </w:r>
      <w:r w:rsidRPr="00BB0438">
        <w:rPr>
          <w:szCs w:val="16"/>
        </w:rPr>
        <w:t>e</w:t>
      </w:r>
      <w:r w:rsidRPr="00BB0438">
        <w:rPr>
          <w:szCs w:val="16"/>
        </w:rPr>
        <w:t>ment admises au sein de la Confédération canadienne et, par la suite, des provi</w:t>
      </w:r>
      <w:r w:rsidRPr="00BB0438">
        <w:rPr>
          <w:szCs w:val="16"/>
        </w:rPr>
        <w:t>n</w:t>
      </w:r>
      <w:r w:rsidRPr="00BB0438">
        <w:rPr>
          <w:szCs w:val="16"/>
        </w:rPr>
        <w:t>ces de l'ouest canadien au fur et à mesure où elles se joignaient au pays.</w:t>
      </w:r>
    </w:p>
    <w:p w:rsidR="00F0581C" w:rsidRPr="00BB0438" w:rsidRDefault="00F0581C" w:rsidP="00F0581C">
      <w:pPr>
        <w:spacing w:before="120" w:after="120"/>
        <w:jc w:val="both"/>
      </w:pPr>
      <w:r w:rsidRPr="00BB0438">
        <w:rPr>
          <w:szCs w:val="16"/>
        </w:rPr>
        <w:t>Au tournant du XX</w:t>
      </w:r>
      <w:r w:rsidRPr="00BB0438">
        <w:rPr>
          <w:szCs w:val="16"/>
          <w:vertAlign w:val="superscript"/>
        </w:rPr>
        <w:t>e</w:t>
      </w:r>
      <w:r w:rsidRPr="00BB0438">
        <w:rPr>
          <w:szCs w:val="16"/>
        </w:rPr>
        <w:t xml:space="preserve"> siècle, le dualisme canadien était perçu par l'élite québécoise comme une cond</w:t>
      </w:r>
      <w:r w:rsidRPr="00BB0438">
        <w:rPr>
          <w:szCs w:val="16"/>
        </w:rPr>
        <w:t>i</w:t>
      </w:r>
      <w:r w:rsidRPr="00BB0438">
        <w:rPr>
          <w:szCs w:val="16"/>
        </w:rPr>
        <w:t xml:space="preserve">tion </w:t>
      </w:r>
      <w:r w:rsidRPr="00BB0438">
        <w:rPr>
          <w:i/>
          <w:iCs/>
          <w:szCs w:val="16"/>
        </w:rPr>
        <w:t xml:space="preserve">sine qua non </w:t>
      </w:r>
      <w:r w:rsidRPr="00BB0438">
        <w:rPr>
          <w:szCs w:val="16"/>
        </w:rPr>
        <w:t>à la protection de la langue et de la culture francophone au Canada et plus particuli</w:t>
      </w:r>
      <w:r w:rsidRPr="00BB0438">
        <w:rPr>
          <w:szCs w:val="16"/>
        </w:rPr>
        <w:t>è</w:t>
      </w:r>
      <w:r w:rsidRPr="00BB0438">
        <w:rPr>
          <w:szCs w:val="16"/>
        </w:rPr>
        <w:t>rement au Québec. Cependant, la proportion de franc</w:t>
      </w:r>
      <w:r w:rsidRPr="00BB0438">
        <w:rPr>
          <w:szCs w:val="16"/>
        </w:rPr>
        <w:t>o</w:t>
      </w:r>
      <w:r w:rsidRPr="00BB0438">
        <w:rPr>
          <w:szCs w:val="16"/>
        </w:rPr>
        <w:t>phones œuvrant au sein de la fonction publique féd</w:t>
      </w:r>
      <w:r w:rsidRPr="00BB0438">
        <w:rPr>
          <w:szCs w:val="16"/>
        </w:rPr>
        <w:t>é</w:t>
      </w:r>
      <w:r w:rsidRPr="00BB0438">
        <w:rPr>
          <w:szCs w:val="16"/>
        </w:rPr>
        <w:t>rale, qui se situait à 21,58% en 1918, avait chuté à 12,5% en 1944-1945</w:t>
      </w:r>
      <w:r>
        <w:rPr>
          <w:szCs w:val="16"/>
        </w:rPr>
        <w:t> </w:t>
      </w:r>
      <w:r>
        <w:rPr>
          <w:rStyle w:val="Appelnotedebasdep"/>
          <w:szCs w:val="16"/>
        </w:rPr>
        <w:footnoteReference w:id="33"/>
      </w:r>
      <w:r w:rsidRPr="00BB0438">
        <w:rPr>
          <w:szCs w:val="16"/>
        </w:rPr>
        <w:t>. Au niveau de la haute fonction publique, les chiffres étaient encore plus ala</w:t>
      </w:r>
      <w:r w:rsidRPr="00BB0438">
        <w:rPr>
          <w:szCs w:val="16"/>
        </w:rPr>
        <w:t>r</w:t>
      </w:r>
      <w:r w:rsidRPr="00BB0438">
        <w:rPr>
          <w:szCs w:val="16"/>
        </w:rPr>
        <w:t>mants. Alors qu'en 1918,</w:t>
      </w:r>
      <w:r>
        <w:rPr>
          <w:szCs w:val="16"/>
        </w:rPr>
        <w:t xml:space="preserve"> </w:t>
      </w:r>
      <w:r w:rsidRPr="00BB0438">
        <w:rPr>
          <w:szCs w:val="16"/>
        </w:rPr>
        <w:t>14,28% des postes de hauts fonctionnaires</w:t>
      </w:r>
      <w:r>
        <w:rPr>
          <w:szCs w:val="16"/>
        </w:rPr>
        <w:t xml:space="preserve"> </w:t>
      </w:r>
      <w:r>
        <w:rPr>
          <w:szCs w:val="14"/>
        </w:rPr>
        <w:t>[</w:t>
      </w:r>
      <w:r w:rsidRPr="00BB0438">
        <w:rPr>
          <w:rFonts w:cs="Arial"/>
          <w:szCs w:val="16"/>
        </w:rPr>
        <w:t>302</w:t>
      </w:r>
      <w:r>
        <w:rPr>
          <w:rFonts w:cs="Arial"/>
          <w:szCs w:val="16"/>
        </w:rPr>
        <w:t xml:space="preserve">] </w:t>
      </w:r>
      <w:r w:rsidRPr="00BB0438">
        <w:rPr>
          <w:szCs w:val="16"/>
        </w:rPr>
        <w:t>au n</w:t>
      </w:r>
      <w:r w:rsidRPr="00BB0438">
        <w:rPr>
          <w:szCs w:val="16"/>
        </w:rPr>
        <w:t>i</w:t>
      </w:r>
      <w:r w:rsidRPr="00BB0438">
        <w:rPr>
          <w:szCs w:val="16"/>
        </w:rPr>
        <w:t>veau fédéral étaient occupés par des francophones, ces de</w:t>
      </w:r>
      <w:r w:rsidRPr="00BB0438">
        <w:rPr>
          <w:szCs w:val="16"/>
        </w:rPr>
        <w:t>r</w:t>
      </w:r>
      <w:r w:rsidRPr="00BB0438">
        <w:rPr>
          <w:szCs w:val="16"/>
        </w:rPr>
        <w:t>niers ont graduellement été écartés de ces fonctions, si bien qu'en 1946 on ne trouvait aucun haut fonctionnaire francophone dans la fonction publ</w:t>
      </w:r>
      <w:r w:rsidRPr="00BB0438">
        <w:rPr>
          <w:szCs w:val="16"/>
        </w:rPr>
        <w:t>i</w:t>
      </w:r>
      <w:r w:rsidRPr="00BB0438">
        <w:rPr>
          <w:szCs w:val="16"/>
        </w:rPr>
        <w:t>que fédérale</w:t>
      </w:r>
      <w:r>
        <w:rPr>
          <w:szCs w:val="16"/>
        </w:rPr>
        <w:t> </w:t>
      </w:r>
      <w:r>
        <w:rPr>
          <w:rStyle w:val="Appelnotedebasdep"/>
          <w:szCs w:val="16"/>
        </w:rPr>
        <w:footnoteReference w:id="34"/>
      </w:r>
      <w:r w:rsidRPr="00BB0438">
        <w:rPr>
          <w:szCs w:val="16"/>
        </w:rPr>
        <w:t>.</w:t>
      </w:r>
    </w:p>
    <w:p w:rsidR="00F0581C" w:rsidRPr="00BB0438" w:rsidRDefault="00F0581C" w:rsidP="00F0581C">
      <w:pPr>
        <w:spacing w:before="120" w:after="120"/>
        <w:jc w:val="both"/>
      </w:pPr>
      <w:r w:rsidRPr="00BB0438">
        <w:rPr>
          <w:szCs w:val="16"/>
        </w:rPr>
        <w:t>Par la suite, le problème de la représentativité b</w:t>
      </w:r>
      <w:r w:rsidRPr="00BB0438">
        <w:rPr>
          <w:szCs w:val="16"/>
        </w:rPr>
        <w:t>u</w:t>
      </w:r>
      <w:r w:rsidRPr="00BB0438">
        <w:rPr>
          <w:szCs w:val="16"/>
        </w:rPr>
        <w:t>reaucratique, mais aussi économique et culturelle, se polarisa sur la question linguistique. Au cours des années 1960, et face à la montée du mouvement ind</w:t>
      </w:r>
      <w:r w:rsidRPr="00BB0438">
        <w:rPr>
          <w:szCs w:val="16"/>
        </w:rPr>
        <w:t>é</w:t>
      </w:r>
      <w:r w:rsidRPr="00BB0438">
        <w:rPr>
          <w:szCs w:val="16"/>
        </w:rPr>
        <w:t>pendantiste au Québec, le gouvernement fédéral orchestra une répl</w:t>
      </w:r>
      <w:r w:rsidRPr="00BB0438">
        <w:rPr>
          <w:szCs w:val="16"/>
        </w:rPr>
        <w:t>i</w:t>
      </w:r>
      <w:r w:rsidRPr="00BB0438">
        <w:rPr>
          <w:szCs w:val="16"/>
        </w:rPr>
        <w:t>que qui allait culminer par l'adoption de la loi sur les langues officie</w:t>
      </w:r>
      <w:r w:rsidRPr="00BB0438">
        <w:rPr>
          <w:szCs w:val="16"/>
        </w:rPr>
        <w:t>l</w:t>
      </w:r>
      <w:r w:rsidRPr="00BB0438">
        <w:rPr>
          <w:szCs w:val="16"/>
        </w:rPr>
        <w:t>les en 1969</w:t>
      </w:r>
      <w:r>
        <w:rPr>
          <w:szCs w:val="16"/>
        </w:rPr>
        <w:t> </w:t>
      </w:r>
      <w:r>
        <w:rPr>
          <w:rStyle w:val="Appelnotedebasdep"/>
          <w:szCs w:val="16"/>
        </w:rPr>
        <w:footnoteReference w:id="35"/>
      </w:r>
      <w:r w:rsidRPr="00BB0438">
        <w:rPr>
          <w:szCs w:val="16"/>
        </w:rPr>
        <w:t>. La loi reconnaît formellement le statut égal du français et de l'anglais, et crée la position de Commissaire aux langues officie</w:t>
      </w:r>
      <w:r w:rsidRPr="00BB0438">
        <w:rPr>
          <w:szCs w:val="16"/>
        </w:rPr>
        <w:t>l</w:t>
      </w:r>
      <w:r w:rsidRPr="00BB0438">
        <w:rPr>
          <w:szCs w:val="16"/>
        </w:rPr>
        <w:t>les, dont la tâche est de veiller à la mise en place des principes sur le</w:t>
      </w:r>
      <w:r w:rsidRPr="00BB0438">
        <w:rPr>
          <w:szCs w:val="16"/>
        </w:rPr>
        <w:t>s</w:t>
      </w:r>
      <w:r w:rsidRPr="00BB0438">
        <w:rPr>
          <w:szCs w:val="16"/>
        </w:rPr>
        <w:t xml:space="preserve">quels elle se fonde. Le Commissaire produit un rapport annuel sur l'état du bilinguisme, ce qui s'apparente à un exercice de </w:t>
      </w:r>
      <w:r w:rsidRPr="00BB0438">
        <w:rPr>
          <w:i/>
          <w:iCs/>
          <w:szCs w:val="16"/>
        </w:rPr>
        <w:t xml:space="preserve">nome and shame </w:t>
      </w:r>
      <w:r w:rsidRPr="00BB0438">
        <w:rPr>
          <w:szCs w:val="16"/>
        </w:rPr>
        <w:t>des pratiques linguistiques du gouvern</w:t>
      </w:r>
      <w:r w:rsidRPr="00BB0438">
        <w:rPr>
          <w:szCs w:val="16"/>
        </w:rPr>
        <w:t>e</w:t>
      </w:r>
      <w:r w:rsidRPr="00BB0438">
        <w:rPr>
          <w:szCs w:val="16"/>
        </w:rPr>
        <w:t>ment fédéral. Il invite d'autre part les autorités politiques à apporter des correctifs pour att</w:t>
      </w:r>
      <w:r w:rsidRPr="00BB0438">
        <w:rPr>
          <w:szCs w:val="16"/>
        </w:rPr>
        <w:t>é</w:t>
      </w:r>
      <w:r w:rsidRPr="00BB0438">
        <w:rPr>
          <w:szCs w:val="16"/>
        </w:rPr>
        <w:t>nuer les problèmes identifiés. En ce qui a trait à la fonction p</w:t>
      </w:r>
      <w:r w:rsidRPr="00BB0438">
        <w:rPr>
          <w:szCs w:val="16"/>
        </w:rPr>
        <w:t>u</w:t>
      </w:r>
      <w:r w:rsidRPr="00BB0438">
        <w:rPr>
          <w:szCs w:val="16"/>
        </w:rPr>
        <w:t>blique, l'objectif de la loi est le suivant</w:t>
      </w:r>
      <w:r>
        <w:rPr>
          <w:szCs w:val="16"/>
        </w:rPr>
        <w:t> :</w:t>
      </w:r>
      <w:r w:rsidRPr="00BB0438">
        <w:rPr>
          <w:szCs w:val="16"/>
        </w:rPr>
        <w:t xml:space="preserve"> </w:t>
      </w:r>
      <w:r>
        <w:rPr>
          <w:szCs w:val="16"/>
        </w:rPr>
        <w:t>« </w:t>
      </w:r>
      <w:r w:rsidRPr="00BB0438">
        <w:rPr>
          <w:szCs w:val="16"/>
        </w:rPr>
        <w:t>Les Can</w:t>
      </w:r>
      <w:r w:rsidRPr="00BB0438">
        <w:rPr>
          <w:szCs w:val="16"/>
        </w:rPr>
        <w:t>a</w:t>
      </w:r>
      <w:r w:rsidRPr="00BB0438">
        <w:rPr>
          <w:szCs w:val="16"/>
        </w:rPr>
        <w:t>diens des deux groupes linguistiques devraient participer équitablement à l'administration f</w:t>
      </w:r>
      <w:r w:rsidRPr="00BB0438">
        <w:rPr>
          <w:szCs w:val="16"/>
        </w:rPr>
        <w:t>é</w:t>
      </w:r>
      <w:r w:rsidRPr="00BB0438">
        <w:rPr>
          <w:szCs w:val="16"/>
        </w:rPr>
        <w:t>dérale et jouir de chances égales d'obtenir un emploi et de faire carri</w:t>
      </w:r>
      <w:r w:rsidRPr="00BB0438">
        <w:rPr>
          <w:szCs w:val="16"/>
        </w:rPr>
        <w:t>è</w:t>
      </w:r>
      <w:r w:rsidRPr="00BB0438">
        <w:rPr>
          <w:szCs w:val="16"/>
        </w:rPr>
        <w:t>re au sein des institutions fédérales</w:t>
      </w:r>
      <w:r>
        <w:rPr>
          <w:szCs w:val="16"/>
        </w:rPr>
        <w:t> »</w:t>
      </w:r>
      <w:r w:rsidRPr="00BB0438">
        <w:rPr>
          <w:szCs w:val="16"/>
        </w:rPr>
        <w:t xml:space="preserve">. De plus, </w:t>
      </w:r>
      <w:r>
        <w:rPr>
          <w:szCs w:val="16"/>
        </w:rPr>
        <w:t>« </w:t>
      </w:r>
      <w:r w:rsidRPr="00BB0438">
        <w:rPr>
          <w:szCs w:val="16"/>
        </w:rPr>
        <w:t>les employés du go</w:t>
      </w:r>
      <w:r w:rsidRPr="00BB0438">
        <w:rPr>
          <w:szCs w:val="16"/>
        </w:rPr>
        <w:t>u</w:t>
      </w:r>
      <w:r w:rsidRPr="00BB0438">
        <w:rPr>
          <w:szCs w:val="16"/>
        </w:rPr>
        <w:t>vernement fédéral devraient po</w:t>
      </w:r>
      <w:r w:rsidRPr="00BB0438">
        <w:rPr>
          <w:szCs w:val="16"/>
        </w:rPr>
        <w:t>u</w:t>
      </w:r>
      <w:r w:rsidRPr="00BB0438">
        <w:rPr>
          <w:szCs w:val="16"/>
        </w:rPr>
        <w:t>voir travailler dans la langue officielle de leur choix à l'intérieur des régions désignées</w:t>
      </w:r>
      <w:r>
        <w:rPr>
          <w:szCs w:val="16"/>
        </w:rPr>
        <w:t> » </w:t>
      </w:r>
      <w:r>
        <w:rPr>
          <w:rStyle w:val="Appelnotedebasdep"/>
          <w:szCs w:val="16"/>
        </w:rPr>
        <w:footnoteReference w:id="36"/>
      </w:r>
      <w:r w:rsidRPr="00BB0438">
        <w:rPr>
          <w:szCs w:val="16"/>
        </w:rPr>
        <w:t>.</w:t>
      </w:r>
    </w:p>
    <w:p w:rsidR="00F0581C" w:rsidRPr="00BB0438" w:rsidRDefault="00F0581C" w:rsidP="00F0581C">
      <w:pPr>
        <w:spacing w:before="120" w:after="120"/>
        <w:jc w:val="both"/>
      </w:pPr>
      <w:r w:rsidRPr="00BB0438">
        <w:rPr>
          <w:szCs w:val="16"/>
        </w:rPr>
        <w:t>Dans le but de répondre aux objectifs de la loi sur les langues off</w:t>
      </w:r>
      <w:r w:rsidRPr="00BB0438">
        <w:rPr>
          <w:szCs w:val="16"/>
        </w:rPr>
        <w:t>i</w:t>
      </w:r>
      <w:r w:rsidRPr="00BB0438">
        <w:rPr>
          <w:szCs w:val="16"/>
        </w:rPr>
        <w:t>cielles, le gouvernement fédéral adopta une stratégie à multiples v</w:t>
      </w:r>
      <w:r w:rsidRPr="00BB0438">
        <w:rPr>
          <w:szCs w:val="16"/>
        </w:rPr>
        <w:t>o</w:t>
      </w:r>
      <w:r w:rsidRPr="00BB0438">
        <w:rPr>
          <w:szCs w:val="16"/>
        </w:rPr>
        <w:t>lets</w:t>
      </w:r>
      <w:r>
        <w:rPr>
          <w:szCs w:val="16"/>
        </w:rPr>
        <w:t> :</w:t>
      </w:r>
      <w:r w:rsidRPr="00BB0438">
        <w:rPr>
          <w:szCs w:val="16"/>
        </w:rPr>
        <w:t xml:space="preserve"> le recrutement actif de francophones, la désignation de postes bili</w:t>
      </w:r>
      <w:r w:rsidRPr="00BB0438">
        <w:rPr>
          <w:szCs w:val="16"/>
        </w:rPr>
        <w:t>n</w:t>
      </w:r>
      <w:r w:rsidRPr="00BB0438">
        <w:rPr>
          <w:szCs w:val="16"/>
        </w:rPr>
        <w:t>gues dans la fonction publique, et le développement de cours de langue visant à mettre sur pied une fon</w:t>
      </w:r>
      <w:r w:rsidRPr="00BB0438">
        <w:rPr>
          <w:szCs w:val="16"/>
        </w:rPr>
        <w:t>c</w:t>
      </w:r>
      <w:r w:rsidRPr="00BB0438">
        <w:rPr>
          <w:szCs w:val="16"/>
        </w:rPr>
        <w:t>tion publique bilingue. Les mesures mises en avant ont été maintes fois critiquées par plusieurs personn</w:t>
      </w:r>
      <w:r w:rsidRPr="00BB0438">
        <w:rPr>
          <w:szCs w:val="16"/>
        </w:rPr>
        <w:t>a</w:t>
      </w:r>
      <w:r w:rsidRPr="00BB0438">
        <w:rPr>
          <w:szCs w:val="16"/>
        </w:rPr>
        <w:t>lités politiques et par les syndicats, qui y voient une violation flagrante du principe du mérite et qui y décèlent une forme de discr</w:t>
      </w:r>
      <w:r w:rsidRPr="00BB0438">
        <w:rPr>
          <w:szCs w:val="16"/>
        </w:rPr>
        <w:t>i</w:t>
      </w:r>
      <w:r w:rsidRPr="00BB0438">
        <w:rPr>
          <w:szCs w:val="16"/>
        </w:rPr>
        <w:t>mination à l'égard des anglophones. Le gouvernement fédéral, en r</w:t>
      </w:r>
      <w:r w:rsidRPr="00BB0438">
        <w:rPr>
          <w:szCs w:val="16"/>
        </w:rPr>
        <w:t>é</w:t>
      </w:r>
      <w:r w:rsidRPr="00BB0438">
        <w:rPr>
          <w:szCs w:val="16"/>
        </w:rPr>
        <w:t>ponse à ces acc</w:t>
      </w:r>
      <w:r w:rsidRPr="00BB0438">
        <w:rPr>
          <w:szCs w:val="16"/>
        </w:rPr>
        <w:t>u</w:t>
      </w:r>
      <w:r w:rsidRPr="00BB0438">
        <w:rPr>
          <w:szCs w:val="16"/>
        </w:rPr>
        <w:t>sations, s'est borné à dire que le bilinguisme est en tant que tel un élément de mérite. Ainsi, en augme</w:t>
      </w:r>
      <w:r w:rsidRPr="00BB0438">
        <w:rPr>
          <w:szCs w:val="16"/>
        </w:rPr>
        <w:t>n</w:t>
      </w:r>
      <w:r w:rsidRPr="00BB0438">
        <w:rPr>
          <w:szCs w:val="16"/>
        </w:rPr>
        <w:t>tant le nombre de postes exigeant la maîtrise des deux langues officielles, les occasions d'emploi pour les travailleurs francophones qualifiés augme</w:t>
      </w:r>
      <w:r w:rsidRPr="00BB0438">
        <w:rPr>
          <w:szCs w:val="16"/>
        </w:rPr>
        <w:t>n</w:t>
      </w:r>
      <w:r w:rsidRPr="00BB0438">
        <w:rPr>
          <w:szCs w:val="16"/>
        </w:rPr>
        <w:t>tent elles aussi.</w:t>
      </w:r>
    </w:p>
    <w:p w:rsidR="00F0581C" w:rsidRPr="00BB0438" w:rsidRDefault="00F0581C" w:rsidP="00F0581C">
      <w:pPr>
        <w:spacing w:before="120" w:after="120"/>
        <w:jc w:val="both"/>
      </w:pPr>
      <w:r w:rsidRPr="00BB0438">
        <w:rPr>
          <w:szCs w:val="16"/>
        </w:rPr>
        <w:t>Les postes bilingues, qui ne représentaient que 14% des emplois dans l'administration fédérale en 1978, comptent aujourd'hui pour 38 % des postes de la fonction publique</w:t>
      </w:r>
      <w:r>
        <w:rPr>
          <w:szCs w:val="16"/>
        </w:rPr>
        <w:t> </w:t>
      </w:r>
      <w:r>
        <w:rPr>
          <w:rStyle w:val="Appelnotedebasdep"/>
          <w:szCs w:val="16"/>
        </w:rPr>
        <w:footnoteReference w:id="37"/>
      </w:r>
      <w:r w:rsidRPr="00BB0438">
        <w:rPr>
          <w:szCs w:val="16"/>
        </w:rPr>
        <w:t>. Dans la mesure où il y a beaucoup plus de francophones que d'anglophones bilingues au Can</w:t>
      </w:r>
      <w:r w:rsidRPr="00BB0438">
        <w:rPr>
          <w:szCs w:val="16"/>
        </w:rPr>
        <w:t>a</w:t>
      </w:r>
      <w:r w:rsidRPr="00BB0438">
        <w:rPr>
          <w:szCs w:val="16"/>
        </w:rPr>
        <w:t>da, cette mesure favorise les francoph</w:t>
      </w:r>
      <w:r w:rsidRPr="00BB0438">
        <w:rPr>
          <w:szCs w:val="16"/>
        </w:rPr>
        <w:t>o</w:t>
      </w:r>
      <w:r w:rsidRPr="00BB0438">
        <w:rPr>
          <w:szCs w:val="16"/>
        </w:rPr>
        <w:t>nes, qui occupent d'ailleurs la très grande majorité (78 %) des postes bilingues. La loi sur les langues officielles a ainsi eu pour effet d'augmenter significativement la repr</w:t>
      </w:r>
      <w:r w:rsidRPr="00BB0438">
        <w:rPr>
          <w:szCs w:val="16"/>
        </w:rPr>
        <w:t>é</w:t>
      </w:r>
      <w:r w:rsidRPr="00BB0438">
        <w:rPr>
          <w:szCs w:val="16"/>
        </w:rPr>
        <w:t>sentation francophone au sein de la fonction publique fédérale. Du maigre 12,25% des postes qu'ils occupaient en 1946 pour une popul</w:t>
      </w:r>
      <w:r w:rsidRPr="00BB0438">
        <w:rPr>
          <w:szCs w:val="16"/>
        </w:rPr>
        <w:t>a</w:t>
      </w:r>
      <w:r w:rsidRPr="00BB0438">
        <w:rPr>
          <w:szCs w:val="16"/>
        </w:rPr>
        <w:t>tion représentant 29% de la population canadienne (r</w:t>
      </w:r>
      <w:r w:rsidRPr="00BB0438">
        <w:rPr>
          <w:szCs w:val="16"/>
        </w:rPr>
        <w:t>e</w:t>
      </w:r>
      <w:r w:rsidRPr="00BB0438">
        <w:rPr>
          <w:szCs w:val="16"/>
        </w:rPr>
        <w:t>censement de 1951), les francophones occupaient 27% des postes en 2004, pour une population franc</w:t>
      </w:r>
      <w:r w:rsidRPr="00BB0438">
        <w:rPr>
          <w:szCs w:val="16"/>
        </w:rPr>
        <w:t>o</w:t>
      </w:r>
      <w:r w:rsidRPr="00BB0438">
        <w:rPr>
          <w:szCs w:val="16"/>
        </w:rPr>
        <w:t>phone s'établissant à 22,9% (recensement de 2001).</w:t>
      </w:r>
    </w:p>
    <w:p w:rsidR="00F0581C" w:rsidRPr="00BB0438" w:rsidRDefault="00F0581C" w:rsidP="00F0581C">
      <w:pPr>
        <w:spacing w:before="120" w:after="120"/>
        <w:jc w:val="both"/>
      </w:pPr>
      <w:r w:rsidRPr="00BB0438">
        <w:rPr>
          <w:szCs w:val="16"/>
        </w:rPr>
        <w:t>Bien que les données récentes tendent à montrer que les franc</w:t>
      </w:r>
      <w:r w:rsidRPr="00BB0438">
        <w:rPr>
          <w:szCs w:val="16"/>
        </w:rPr>
        <w:t>o</w:t>
      </w:r>
      <w:r w:rsidRPr="00BB0438">
        <w:rPr>
          <w:szCs w:val="16"/>
        </w:rPr>
        <w:t>phones sont présents dans l'ensemble des postes dans une proportion excédant légèrement leur poids démographique, il n'en demeure pas moins que la langue et la culture organisationnelle dans</w:t>
      </w:r>
      <w:r>
        <w:rPr>
          <w:szCs w:val="16"/>
        </w:rPr>
        <w:t xml:space="preserve"> </w:t>
      </w:r>
      <w:r>
        <w:rPr>
          <w:szCs w:val="14"/>
        </w:rPr>
        <w:t>[</w:t>
      </w:r>
      <w:r w:rsidRPr="00BB0438">
        <w:rPr>
          <w:rFonts w:cs="Arial"/>
          <w:szCs w:val="16"/>
        </w:rPr>
        <w:t>303</w:t>
      </w:r>
      <w:r>
        <w:rPr>
          <w:rFonts w:cs="Arial"/>
          <w:szCs w:val="16"/>
        </w:rPr>
        <w:t xml:space="preserve">] </w:t>
      </w:r>
      <w:r w:rsidRPr="00BB0438">
        <w:rPr>
          <w:szCs w:val="16"/>
        </w:rPr>
        <w:t>laquelle ils sont appelés à travailler est anglophone. L'environn</w:t>
      </w:r>
      <w:r w:rsidRPr="00BB0438">
        <w:rPr>
          <w:szCs w:val="16"/>
        </w:rPr>
        <w:t>e</w:t>
      </w:r>
      <w:r w:rsidRPr="00BB0438">
        <w:rPr>
          <w:szCs w:val="16"/>
        </w:rPr>
        <w:t xml:space="preserve">ment de travail des hauts fonctionnaires, quant à lui, est </w:t>
      </w:r>
      <w:r>
        <w:rPr>
          <w:szCs w:val="16"/>
        </w:rPr>
        <w:t>« </w:t>
      </w:r>
      <w:r w:rsidRPr="00BB0438">
        <w:rPr>
          <w:szCs w:val="16"/>
        </w:rPr>
        <w:t>perçu co</w:t>
      </w:r>
      <w:r w:rsidRPr="00BB0438">
        <w:rPr>
          <w:szCs w:val="16"/>
        </w:rPr>
        <w:t>m</w:t>
      </w:r>
      <w:r w:rsidRPr="00BB0438">
        <w:rPr>
          <w:szCs w:val="16"/>
        </w:rPr>
        <w:t>me unilingue, même si la plupart des cadres satisfont aux exigences linguist</w:t>
      </w:r>
      <w:r w:rsidRPr="00BB0438">
        <w:rPr>
          <w:szCs w:val="16"/>
        </w:rPr>
        <w:t>i</w:t>
      </w:r>
      <w:r w:rsidRPr="00BB0438">
        <w:rPr>
          <w:szCs w:val="16"/>
        </w:rPr>
        <w:t>ques de leur poste. Bon nombre d'entre eux communiquent rarement dans les deux langues officielles. La culture organisationnelle de leur instit</w:t>
      </w:r>
      <w:r w:rsidRPr="00BB0438">
        <w:rPr>
          <w:szCs w:val="16"/>
        </w:rPr>
        <w:t>u</w:t>
      </w:r>
      <w:r w:rsidRPr="00BB0438">
        <w:rPr>
          <w:szCs w:val="16"/>
        </w:rPr>
        <w:t>tion respective se modèle, bien souvent, sur leur compo</w:t>
      </w:r>
      <w:r w:rsidRPr="00BB0438">
        <w:rPr>
          <w:szCs w:val="16"/>
        </w:rPr>
        <w:t>r</w:t>
      </w:r>
      <w:r w:rsidRPr="00BB0438">
        <w:rPr>
          <w:szCs w:val="16"/>
        </w:rPr>
        <w:t>tement</w:t>
      </w:r>
      <w:r>
        <w:rPr>
          <w:szCs w:val="16"/>
        </w:rPr>
        <w:t> » </w:t>
      </w:r>
      <w:r>
        <w:rPr>
          <w:rStyle w:val="Appelnotedebasdep"/>
          <w:szCs w:val="16"/>
        </w:rPr>
        <w:footnoteReference w:id="38"/>
      </w:r>
      <w:r w:rsidRPr="00BB0438">
        <w:rPr>
          <w:szCs w:val="16"/>
        </w:rPr>
        <w:t>.</w:t>
      </w:r>
    </w:p>
    <w:p w:rsidR="00F0581C" w:rsidRPr="00BB0438" w:rsidRDefault="00F0581C" w:rsidP="00F0581C">
      <w:pPr>
        <w:spacing w:before="120" w:after="120"/>
        <w:jc w:val="both"/>
      </w:pPr>
      <w:r w:rsidRPr="00BB0438">
        <w:rPr>
          <w:szCs w:val="16"/>
        </w:rPr>
        <w:t>Plus étonnant encore est la nature arbitraire caractérisant l'emba</w:t>
      </w:r>
      <w:r w:rsidRPr="00BB0438">
        <w:rPr>
          <w:szCs w:val="16"/>
        </w:rPr>
        <w:t>u</w:t>
      </w:r>
      <w:r w:rsidRPr="00BB0438">
        <w:rPr>
          <w:szCs w:val="16"/>
        </w:rPr>
        <w:t>che des hauts fonctionnaires, soit les sous-ministres, les sous-ministres adjoints et les dir</w:t>
      </w:r>
      <w:r w:rsidRPr="00BB0438">
        <w:rPr>
          <w:szCs w:val="16"/>
        </w:rPr>
        <w:t>i</w:t>
      </w:r>
      <w:r w:rsidRPr="00BB0438">
        <w:rPr>
          <w:szCs w:val="16"/>
        </w:rPr>
        <w:t>geants de sociétés de la Couronne. Si le bilinguisme fut incorporé aux critères méritocratiques d'embauché au cours des années 1960 pour un certain nombre de postes, il importe de noter la volatilité de la représe</w:t>
      </w:r>
      <w:r w:rsidRPr="00BB0438">
        <w:rPr>
          <w:szCs w:val="16"/>
        </w:rPr>
        <w:t>n</w:t>
      </w:r>
      <w:r w:rsidRPr="00BB0438">
        <w:rPr>
          <w:szCs w:val="16"/>
        </w:rPr>
        <w:t>tation francophone aux postes de sous-ministres depuis deux décennies</w:t>
      </w:r>
      <w:r>
        <w:rPr>
          <w:szCs w:val="16"/>
        </w:rPr>
        <w:t> </w:t>
      </w:r>
      <w:r>
        <w:rPr>
          <w:rStyle w:val="Appelnotedebasdep"/>
          <w:szCs w:val="16"/>
        </w:rPr>
        <w:footnoteReference w:id="39"/>
      </w:r>
      <w:r w:rsidRPr="00BB0438">
        <w:rPr>
          <w:szCs w:val="16"/>
        </w:rPr>
        <w:t>. Si la volatilité de la représe</w:t>
      </w:r>
      <w:r w:rsidRPr="00BB0438">
        <w:rPr>
          <w:szCs w:val="16"/>
        </w:rPr>
        <w:t>n</w:t>
      </w:r>
      <w:r w:rsidRPr="00BB0438">
        <w:rPr>
          <w:szCs w:val="16"/>
        </w:rPr>
        <w:t>tation de ceux que l'on désigne comme les mandarins semble avoir favorisé les francophones depuis vingt ans, il y a pour certains une réalité qu'occultent ces données</w:t>
      </w:r>
      <w:r>
        <w:rPr>
          <w:szCs w:val="16"/>
        </w:rPr>
        <w:t> :</w:t>
      </w:r>
      <w:r w:rsidRPr="00BB0438">
        <w:rPr>
          <w:szCs w:val="16"/>
        </w:rPr>
        <w:t xml:space="preserve"> non seulement la présence de ministres et de sous-ministres unilingues favorise l'usage de l'a</w:t>
      </w:r>
      <w:r w:rsidRPr="00BB0438">
        <w:rPr>
          <w:szCs w:val="16"/>
        </w:rPr>
        <w:t>n</w:t>
      </w:r>
      <w:r w:rsidRPr="00BB0438">
        <w:rPr>
          <w:szCs w:val="16"/>
        </w:rPr>
        <w:t>glais, mais le type d'emplois occupés par les franc</w:t>
      </w:r>
      <w:r w:rsidRPr="00BB0438">
        <w:rPr>
          <w:szCs w:val="16"/>
        </w:rPr>
        <w:t>o</w:t>
      </w:r>
      <w:r w:rsidRPr="00BB0438">
        <w:rPr>
          <w:szCs w:val="16"/>
        </w:rPr>
        <w:t>phones tend à refléter une réalité que l'on croyait r</w:t>
      </w:r>
      <w:r w:rsidRPr="00BB0438">
        <w:rPr>
          <w:szCs w:val="16"/>
        </w:rPr>
        <w:t>é</w:t>
      </w:r>
      <w:r w:rsidRPr="00BB0438">
        <w:rPr>
          <w:szCs w:val="16"/>
        </w:rPr>
        <w:t>volue, à savoir la surreprésentation des anglophones dans les fonctions de commandement (finances, commerce, industrie, recherche) et des francophones aux fonctions symboliques (culture, cour de justice, patrimoine)</w:t>
      </w:r>
      <w:r>
        <w:rPr>
          <w:szCs w:val="16"/>
        </w:rPr>
        <w:t> </w:t>
      </w:r>
      <w:r>
        <w:rPr>
          <w:rStyle w:val="Appelnotedebasdep"/>
          <w:szCs w:val="16"/>
        </w:rPr>
        <w:footnoteReference w:id="40"/>
      </w:r>
      <w:r w:rsidRPr="00BB0438">
        <w:rPr>
          <w:szCs w:val="16"/>
        </w:rPr>
        <w:t>.</w:t>
      </w:r>
    </w:p>
    <w:p w:rsidR="00F0581C" w:rsidRDefault="00F0581C" w:rsidP="00F0581C">
      <w:pPr>
        <w:spacing w:before="120" w:after="120"/>
        <w:jc w:val="both"/>
        <w:rPr>
          <w:szCs w:val="16"/>
        </w:rPr>
      </w:pPr>
      <w:r w:rsidRPr="00BB0438">
        <w:rPr>
          <w:szCs w:val="16"/>
        </w:rPr>
        <w:t>Bref, si le Canada se refuse toujours à reconnaître son caractère multinational, il appert tout de même que le pays a su se doter d'une administration relativement représentative, et ce, sans remettre en question le principe du mérite si cher aux bureaucraties mode</w:t>
      </w:r>
      <w:r w:rsidRPr="00BB0438">
        <w:rPr>
          <w:szCs w:val="16"/>
        </w:rPr>
        <w:t>r</w:t>
      </w:r>
      <w:r w:rsidRPr="00BB0438">
        <w:rPr>
          <w:szCs w:val="16"/>
        </w:rPr>
        <w:t>nes.</w:t>
      </w:r>
    </w:p>
    <w:p w:rsidR="00F0581C" w:rsidRPr="00BB0438" w:rsidRDefault="00F0581C" w:rsidP="00F0581C">
      <w:pPr>
        <w:spacing w:before="120" w:after="120"/>
        <w:jc w:val="both"/>
      </w:pPr>
      <w:r>
        <w:br w:type="page"/>
      </w:r>
    </w:p>
    <w:p w:rsidR="00F0581C" w:rsidRPr="00BB0438" w:rsidRDefault="00F0581C" w:rsidP="00F0581C">
      <w:pPr>
        <w:pStyle w:val="a"/>
      </w:pPr>
      <w:bookmarkStart w:id="12" w:name="bureaucration_au_sein_II_d"/>
      <w:r w:rsidRPr="00BB0438">
        <w:t>Le Nigeria</w:t>
      </w:r>
    </w:p>
    <w:bookmarkEnd w:id="12"/>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Contre-exemple parfait du cas turc, le Nigeria a, depuis 1979, d</w:t>
      </w:r>
      <w:r w:rsidRPr="00BB0438">
        <w:rPr>
          <w:szCs w:val="16"/>
        </w:rPr>
        <w:t>é</w:t>
      </w:r>
      <w:r w:rsidRPr="00BB0438">
        <w:rPr>
          <w:szCs w:val="16"/>
        </w:rPr>
        <w:t>cidé de prévoir à l'intérieur même de sa constitution des dispositions qui exigent que toute embauche ou toute nomination dans les services p</w:t>
      </w:r>
      <w:r w:rsidRPr="00BB0438">
        <w:rPr>
          <w:szCs w:val="16"/>
        </w:rPr>
        <w:t>u</w:t>
      </w:r>
      <w:r w:rsidRPr="00BB0438">
        <w:rPr>
          <w:szCs w:val="16"/>
        </w:rPr>
        <w:t>blics puissent favoriser la représentation de toutes les portions de son territoire et de toutes les ethnies y v</w:t>
      </w:r>
      <w:r w:rsidRPr="00BB0438">
        <w:rPr>
          <w:szCs w:val="16"/>
        </w:rPr>
        <w:t>i</w:t>
      </w:r>
      <w:r w:rsidRPr="00BB0438">
        <w:rPr>
          <w:szCs w:val="16"/>
        </w:rPr>
        <w:t xml:space="preserve">vant. L'article 14 (3) de la Constitution nigériane de 1979 prévoit ainsi que </w:t>
      </w:r>
      <w:r>
        <w:rPr>
          <w:szCs w:val="16"/>
        </w:rPr>
        <w:t>« </w:t>
      </w:r>
      <w:r w:rsidRPr="00BB0438">
        <w:rPr>
          <w:szCs w:val="16"/>
        </w:rPr>
        <w:t>la composition du Gouve</w:t>
      </w:r>
      <w:r w:rsidRPr="00BB0438">
        <w:rPr>
          <w:szCs w:val="16"/>
        </w:rPr>
        <w:t>r</w:t>
      </w:r>
      <w:r w:rsidRPr="00BB0438">
        <w:rPr>
          <w:szCs w:val="16"/>
        </w:rPr>
        <w:t>nement de la Fédération ou de l'une de ses agences, de même que la conduite de ses activités, doit refléter le caractère fédéral du Nigeria et le besoin de promouvoir l'unité nationale</w:t>
      </w:r>
      <w:r>
        <w:rPr>
          <w:szCs w:val="16"/>
        </w:rPr>
        <w:t> »</w:t>
      </w:r>
      <w:r w:rsidRPr="00BB0438">
        <w:rPr>
          <w:szCs w:val="16"/>
        </w:rPr>
        <w:t>. Cette dispos</w:t>
      </w:r>
      <w:r w:rsidRPr="00BB0438">
        <w:rPr>
          <w:szCs w:val="16"/>
        </w:rPr>
        <w:t>i</w:t>
      </w:r>
      <w:r w:rsidRPr="00BB0438">
        <w:rPr>
          <w:szCs w:val="16"/>
        </w:rPr>
        <w:t>tion const</w:t>
      </w:r>
      <w:r w:rsidRPr="00BB0438">
        <w:rPr>
          <w:szCs w:val="16"/>
        </w:rPr>
        <w:t>i</w:t>
      </w:r>
      <w:r w:rsidRPr="00BB0438">
        <w:rPr>
          <w:szCs w:val="16"/>
        </w:rPr>
        <w:t xml:space="preserve">tutionnelle s'oppose à ce que </w:t>
      </w:r>
      <w:r>
        <w:rPr>
          <w:szCs w:val="16"/>
        </w:rPr>
        <w:t>« </w:t>
      </w:r>
      <w:r w:rsidRPr="00BB0438">
        <w:rPr>
          <w:szCs w:val="16"/>
        </w:rPr>
        <w:t>prédominent</w:t>
      </w:r>
      <w:r>
        <w:rPr>
          <w:szCs w:val="16"/>
        </w:rPr>
        <w:t> »</w:t>
      </w:r>
      <w:r w:rsidRPr="00BB0438">
        <w:rPr>
          <w:szCs w:val="16"/>
        </w:rPr>
        <w:t xml:space="preserve">, au sein du gouvernement ou de l'une de ses agences, </w:t>
      </w:r>
      <w:r>
        <w:rPr>
          <w:szCs w:val="16"/>
        </w:rPr>
        <w:t>« </w:t>
      </w:r>
      <w:r w:rsidRPr="00BB0438">
        <w:rPr>
          <w:szCs w:val="16"/>
        </w:rPr>
        <w:t>des personnes issues de certains États, de certains groupes ethniques, ou de tout autre section du peuple</w:t>
      </w:r>
      <w:r>
        <w:rPr>
          <w:szCs w:val="16"/>
        </w:rPr>
        <w:t> » </w:t>
      </w:r>
      <w:r>
        <w:rPr>
          <w:rStyle w:val="Appelnotedebasdep"/>
          <w:szCs w:val="16"/>
        </w:rPr>
        <w:footnoteReference w:id="41"/>
      </w:r>
      <w:r w:rsidRPr="00BB0438">
        <w:rPr>
          <w:szCs w:val="16"/>
        </w:rPr>
        <w:t>.</w:t>
      </w:r>
    </w:p>
    <w:p w:rsidR="00F0581C" w:rsidRPr="00BB0438" w:rsidRDefault="00F0581C" w:rsidP="00F0581C">
      <w:pPr>
        <w:spacing w:before="120" w:after="120"/>
        <w:jc w:val="both"/>
      </w:pPr>
      <w:r w:rsidRPr="00BB0438">
        <w:rPr>
          <w:szCs w:val="16"/>
        </w:rPr>
        <w:t xml:space="preserve">Cette clause mena à la création, en 1996, de la </w:t>
      </w:r>
      <w:r w:rsidRPr="00BB0438">
        <w:rPr>
          <w:i/>
          <w:iCs/>
          <w:szCs w:val="16"/>
        </w:rPr>
        <w:t>F</w:t>
      </w:r>
      <w:r>
        <w:rPr>
          <w:i/>
          <w:iCs/>
          <w:szCs w:val="16"/>
        </w:rPr>
        <w:t>e</w:t>
      </w:r>
      <w:r w:rsidRPr="00BB0438">
        <w:rPr>
          <w:i/>
          <w:iCs/>
          <w:szCs w:val="16"/>
        </w:rPr>
        <w:t>d</w:t>
      </w:r>
      <w:r>
        <w:rPr>
          <w:i/>
          <w:iCs/>
          <w:szCs w:val="16"/>
        </w:rPr>
        <w:t>e</w:t>
      </w:r>
      <w:r w:rsidRPr="00BB0438">
        <w:rPr>
          <w:i/>
          <w:iCs/>
          <w:szCs w:val="16"/>
        </w:rPr>
        <w:t xml:space="preserve">ral Character Commission </w:t>
      </w:r>
      <w:r w:rsidRPr="00BB0438">
        <w:rPr>
          <w:szCs w:val="16"/>
        </w:rPr>
        <w:t>afin de mettre en place des mesures visant à assurer la juste représentation des différents groupes culturels du Nigeria</w:t>
      </w:r>
      <w:r>
        <w:rPr>
          <w:szCs w:val="16"/>
        </w:rPr>
        <w:t> </w:t>
      </w:r>
      <w:r>
        <w:rPr>
          <w:rStyle w:val="Appelnotedebasdep"/>
          <w:szCs w:val="16"/>
        </w:rPr>
        <w:footnoteReference w:id="42"/>
      </w:r>
      <w:r w:rsidRPr="00BB0438">
        <w:rPr>
          <w:szCs w:val="16"/>
        </w:rPr>
        <w:t>. La Constitution de 1999 identifie de la manière suivante les pri</w:t>
      </w:r>
      <w:r w:rsidRPr="00BB0438">
        <w:rPr>
          <w:szCs w:val="16"/>
        </w:rPr>
        <w:t>n</w:t>
      </w:r>
      <w:r w:rsidRPr="00BB0438">
        <w:rPr>
          <w:szCs w:val="16"/>
        </w:rPr>
        <w:t>cipales fonctions de cette commission</w:t>
      </w:r>
      <w:r>
        <w:rPr>
          <w:szCs w:val="16"/>
        </w:rPr>
        <w:t> :</w:t>
      </w:r>
      <w:r w:rsidRPr="00BB0438">
        <w:rPr>
          <w:szCs w:val="16"/>
        </w:rPr>
        <w:t xml:space="preserve"> a) formuler des arrangements, soumis à</w:t>
      </w:r>
      <w:r>
        <w:rPr>
          <w:szCs w:val="16"/>
        </w:rPr>
        <w:t xml:space="preserve"> </w:t>
      </w:r>
      <w:r>
        <w:rPr>
          <w:szCs w:val="14"/>
        </w:rPr>
        <w:t>[</w:t>
      </w:r>
      <w:r w:rsidRPr="00BB0438">
        <w:rPr>
          <w:rFonts w:cs="Arial"/>
          <w:szCs w:val="16"/>
        </w:rPr>
        <w:t>304</w:t>
      </w:r>
      <w:r>
        <w:rPr>
          <w:rFonts w:cs="Arial"/>
          <w:szCs w:val="16"/>
        </w:rPr>
        <w:t xml:space="preserve">] </w:t>
      </w:r>
      <w:r w:rsidRPr="00BB0438">
        <w:rPr>
          <w:szCs w:val="16"/>
        </w:rPr>
        <w:t>l'approbation de l'Assemblée nationale, pour la r</w:t>
      </w:r>
      <w:r w:rsidRPr="00BB0438">
        <w:rPr>
          <w:szCs w:val="16"/>
        </w:rPr>
        <w:t>é</w:t>
      </w:r>
      <w:r w:rsidRPr="00BB0438">
        <w:rPr>
          <w:szCs w:val="16"/>
        </w:rPr>
        <w:t>partition de tous les postes de cadres au sein du serv</w:t>
      </w:r>
      <w:r w:rsidRPr="00BB0438">
        <w:rPr>
          <w:szCs w:val="16"/>
        </w:rPr>
        <w:t>i</w:t>
      </w:r>
      <w:r w:rsidRPr="00BB0438">
        <w:rPr>
          <w:szCs w:val="16"/>
        </w:rPr>
        <w:t>ce public de la Fédération et des États, des forces armées de la Fédération, de la police nigériane et autres agences gouvernementales de sécurité (...)</w:t>
      </w:r>
      <w:r>
        <w:rPr>
          <w:szCs w:val="16"/>
        </w:rPr>
        <w:t> ;</w:t>
      </w:r>
      <w:r w:rsidRPr="00BB0438">
        <w:rPr>
          <w:szCs w:val="16"/>
        </w:rPr>
        <w:t xml:space="preserve"> b) promo</w:t>
      </w:r>
      <w:r w:rsidRPr="00BB0438">
        <w:rPr>
          <w:szCs w:val="16"/>
        </w:rPr>
        <w:t>u</w:t>
      </w:r>
      <w:r w:rsidRPr="00BB0438">
        <w:rPr>
          <w:szCs w:val="16"/>
        </w:rPr>
        <w:t>voir, veiller et assurer l'application du principe de proportionnalité dans toutes les fonctions liées à l'a</w:t>
      </w:r>
      <w:r w:rsidRPr="00BB0438">
        <w:rPr>
          <w:szCs w:val="16"/>
        </w:rPr>
        <w:t>d</w:t>
      </w:r>
      <w:r w:rsidRPr="00BB0438">
        <w:rPr>
          <w:szCs w:val="16"/>
        </w:rPr>
        <w:t>ministration, à l'économie, aux médias ainsi qu'aux nominations politiques, et ce à tous les niveaux du go</w:t>
      </w:r>
      <w:r w:rsidRPr="00BB0438">
        <w:rPr>
          <w:szCs w:val="16"/>
        </w:rPr>
        <w:t>u</w:t>
      </w:r>
      <w:r w:rsidRPr="00BB0438">
        <w:rPr>
          <w:szCs w:val="16"/>
        </w:rPr>
        <w:t>vern</w:t>
      </w:r>
      <w:r w:rsidRPr="00BB0438">
        <w:rPr>
          <w:szCs w:val="16"/>
        </w:rPr>
        <w:t>e</w:t>
      </w:r>
      <w:r w:rsidRPr="00BB0438">
        <w:rPr>
          <w:szCs w:val="16"/>
        </w:rPr>
        <w:t>ment</w:t>
      </w:r>
      <w:r>
        <w:rPr>
          <w:szCs w:val="16"/>
        </w:rPr>
        <w:t> ;</w:t>
      </w:r>
      <w:r w:rsidRPr="00BB0438">
        <w:rPr>
          <w:szCs w:val="16"/>
        </w:rPr>
        <w:t xml:space="preserve"> c) prendre des moyens légaux, entre autres la poursuite judiciaire des dirigeants ou des membres des ministères ou des age</w:t>
      </w:r>
      <w:r w:rsidRPr="00BB0438">
        <w:rPr>
          <w:szCs w:val="16"/>
        </w:rPr>
        <w:t>n</w:t>
      </w:r>
      <w:r w:rsidRPr="00BB0438">
        <w:rPr>
          <w:szCs w:val="16"/>
        </w:rPr>
        <w:t>ces gouvernementales qui ne respectent pas le principe du caractère fédéral ou les politiques prescrites ou ado</w:t>
      </w:r>
      <w:r w:rsidRPr="00BB0438">
        <w:rPr>
          <w:szCs w:val="16"/>
        </w:rPr>
        <w:t>p</w:t>
      </w:r>
      <w:r w:rsidRPr="00BB0438">
        <w:rPr>
          <w:szCs w:val="16"/>
        </w:rPr>
        <w:t>tées par la Commission</w:t>
      </w:r>
      <w:r>
        <w:rPr>
          <w:szCs w:val="16"/>
        </w:rPr>
        <w:t> </w:t>
      </w:r>
      <w:r>
        <w:rPr>
          <w:rStyle w:val="Appelnotedebasdep"/>
          <w:szCs w:val="16"/>
        </w:rPr>
        <w:footnoteReference w:id="43"/>
      </w:r>
      <w:r w:rsidRPr="00BB0438">
        <w:rPr>
          <w:szCs w:val="16"/>
        </w:rPr>
        <w:t>.</w:t>
      </w:r>
    </w:p>
    <w:p w:rsidR="00F0581C" w:rsidRPr="00BB0438" w:rsidRDefault="00F0581C" w:rsidP="00F0581C">
      <w:pPr>
        <w:spacing w:before="120" w:after="120"/>
        <w:jc w:val="both"/>
      </w:pPr>
      <w:r w:rsidRPr="00BB0438">
        <w:rPr>
          <w:szCs w:val="16"/>
        </w:rPr>
        <w:t>Cette clause portant sur la nature proprement féd</w:t>
      </w:r>
      <w:r w:rsidRPr="00BB0438">
        <w:rPr>
          <w:szCs w:val="16"/>
        </w:rPr>
        <w:t>é</w:t>
      </w:r>
      <w:r w:rsidRPr="00BB0438">
        <w:rPr>
          <w:szCs w:val="16"/>
        </w:rPr>
        <w:t>rale de l'État fait l'objet de nombreux débats au Nigeria. Ses partisans pointent ses e</w:t>
      </w:r>
      <w:r w:rsidRPr="00BB0438">
        <w:rPr>
          <w:szCs w:val="16"/>
        </w:rPr>
        <w:t>f</w:t>
      </w:r>
      <w:r w:rsidRPr="00BB0438">
        <w:rPr>
          <w:szCs w:val="16"/>
        </w:rPr>
        <w:t xml:space="preserve">fets positifs. À titre d'exemple, les données de 1996 publiées par la </w:t>
      </w:r>
      <w:r w:rsidRPr="00BB0438">
        <w:rPr>
          <w:i/>
          <w:iCs/>
          <w:szCs w:val="16"/>
        </w:rPr>
        <w:t>F</w:t>
      </w:r>
      <w:r>
        <w:rPr>
          <w:i/>
          <w:iCs/>
          <w:szCs w:val="16"/>
        </w:rPr>
        <w:t>e</w:t>
      </w:r>
      <w:r w:rsidRPr="00BB0438">
        <w:rPr>
          <w:i/>
          <w:iCs/>
          <w:szCs w:val="16"/>
        </w:rPr>
        <w:t>d</w:t>
      </w:r>
      <w:r>
        <w:rPr>
          <w:i/>
          <w:iCs/>
          <w:szCs w:val="16"/>
        </w:rPr>
        <w:t>e</w:t>
      </w:r>
      <w:r w:rsidRPr="00BB0438">
        <w:rPr>
          <w:i/>
          <w:iCs/>
          <w:szCs w:val="16"/>
        </w:rPr>
        <w:t xml:space="preserve">ral Character Commission </w:t>
      </w:r>
      <w:r w:rsidRPr="00BB0438">
        <w:rPr>
          <w:szCs w:val="16"/>
        </w:rPr>
        <w:t>relatives à l'origine des membres de la fonction publique et des organisations parapubliques nigérianes, mo</w:t>
      </w:r>
      <w:r w:rsidRPr="00BB0438">
        <w:rPr>
          <w:szCs w:val="16"/>
        </w:rPr>
        <w:t>n</w:t>
      </w:r>
      <w:r w:rsidRPr="00BB0438">
        <w:rPr>
          <w:szCs w:val="16"/>
        </w:rPr>
        <w:t>trent que les popul</w:t>
      </w:r>
      <w:r w:rsidRPr="00BB0438">
        <w:rPr>
          <w:szCs w:val="16"/>
        </w:rPr>
        <w:t>a</w:t>
      </w:r>
      <w:r w:rsidRPr="00BB0438">
        <w:rPr>
          <w:szCs w:val="16"/>
        </w:rPr>
        <w:t>tions du nord (55</w:t>
      </w:r>
      <w:r>
        <w:rPr>
          <w:szCs w:val="16"/>
        </w:rPr>
        <w:t>% de la population) occupent 41</w:t>
      </w:r>
      <w:r w:rsidRPr="00BB0438">
        <w:rPr>
          <w:szCs w:val="16"/>
        </w:rPr>
        <w:t>% des emplois publics, contre 10% en 1960, au moment de l'ind</w:t>
      </w:r>
      <w:r w:rsidRPr="00BB0438">
        <w:rPr>
          <w:szCs w:val="16"/>
        </w:rPr>
        <w:t>é</w:t>
      </w:r>
      <w:r w:rsidRPr="00BB0438">
        <w:rPr>
          <w:szCs w:val="16"/>
        </w:rPr>
        <w:t>pe</w:t>
      </w:r>
      <w:r w:rsidRPr="00BB0438">
        <w:rPr>
          <w:szCs w:val="16"/>
        </w:rPr>
        <w:t>n</w:t>
      </w:r>
      <w:r w:rsidRPr="00BB0438">
        <w:rPr>
          <w:szCs w:val="16"/>
        </w:rPr>
        <w:t>dance du pays.</w:t>
      </w:r>
    </w:p>
    <w:p w:rsidR="00F0581C" w:rsidRPr="00BB0438" w:rsidRDefault="00F0581C" w:rsidP="00F0581C">
      <w:pPr>
        <w:spacing w:before="120" w:after="120"/>
        <w:jc w:val="both"/>
      </w:pPr>
      <w:r w:rsidRPr="00BB0438">
        <w:rPr>
          <w:szCs w:val="16"/>
        </w:rPr>
        <w:t>Pour les opposants à cette clause, la mise en place de quotas d'e</w:t>
      </w:r>
      <w:r w:rsidRPr="00BB0438">
        <w:rPr>
          <w:szCs w:val="16"/>
        </w:rPr>
        <w:t>m</w:t>
      </w:r>
      <w:r w:rsidRPr="00BB0438">
        <w:rPr>
          <w:szCs w:val="16"/>
        </w:rPr>
        <w:t xml:space="preserve">bauché et le respect du </w:t>
      </w:r>
      <w:r w:rsidRPr="00BB0438">
        <w:rPr>
          <w:i/>
          <w:iCs/>
          <w:szCs w:val="16"/>
        </w:rPr>
        <w:t>F</w:t>
      </w:r>
      <w:r>
        <w:rPr>
          <w:i/>
          <w:iCs/>
          <w:szCs w:val="16"/>
        </w:rPr>
        <w:t>e</w:t>
      </w:r>
      <w:r w:rsidRPr="00BB0438">
        <w:rPr>
          <w:i/>
          <w:iCs/>
          <w:szCs w:val="16"/>
        </w:rPr>
        <w:t>d</w:t>
      </w:r>
      <w:r>
        <w:rPr>
          <w:i/>
          <w:iCs/>
          <w:szCs w:val="16"/>
        </w:rPr>
        <w:t>e</w:t>
      </w:r>
      <w:r w:rsidRPr="00BB0438">
        <w:rPr>
          <w:i/>
          <w:iCs/>
          <w:szCs w:val="16"/>
        </w:rPr>
        <w:t>ral Ch</w:t>
      </w:r>
      <w:r w:rsidRPr="00BB0438">
        <w:rPr>
          <w:i/>
          <w:iCs/>
          <w:szCs w:val="16"/>
        </w:rPr>
        <w:t>a</w:t>
      </w:r>
      <w:r w:rsidRPr="00BB0438">
        <w:rPr>
          <w:i/>
          <w:iCs/>
          <w:szCs w:val="16"/>
        </w:rPr>
        <w:t xml:space="preserve">racter </w:t>
      </w:r>
      <w:r w:rsidRPr="00BB0438">
        <w:rPr>
          <w:szCs w:val="16"/>
        </w:rPr>
        <w:t xml:space="preserve">de l'État ne permettent pas de s'attaquer aux racines du problème. En fait, plusieurs analystes de la société nigériane craignent que le concept même de </w:t>
      </w:r>
      <w:r w:rsidRPr="00BB0438">
        <w:rPr>
          <w:i/>
          <w:iCs/>
          <w:szCs w:val="16"/>
        </w:rPr>
        <w:t>F</w:t>
      </w:r>
      <w:r>
        <w:rPr>
          <w:i/>
          <w:iCs/>
          <w:szCs w:val="16"/>
        </w:rPr>
        <w:t>e</w:t>
      </w:r>
      <w:r w:rsidRPr="00BB0438">
        <w:rPr>
          <w:i/>
          <w:iCs/>
          <w:szCs w:val="16"/>
        </w:rPr>
        <w:t>d</w:t>
      </w:r>
      <w:r>
        <w:rPr>
          <w:i/>
          <w:iCs/>
          <w:szCs w:val="16"/>
        </w:rPr>
        <w:t>e</w:t>
      </w:r>
      <w:r w:rsidRPr="00BB0438">
        <w:rPr>
          <w:i/>
          <w:iCs/>
          <w:szCs w:val="16"/>
        </w:rPr>
        <w:t>ral Ch</w:t>
      </w:r>
      <w:r w:rsidRPr="00BB0438">
        <w:rPr>
          <w:i/>
          <w:iCs/>
          <w:szCs w:val="16"/>
        </w:rPr>
        <w:t>a</w:t>
      </w:r>
      <w:r w:rsidRPr="00BB0438">
        <w:rPr>
          <w:i/>
          <w:iCs/>
          <w:szCs w:val="16"/>
        </w:rPr>
        <w:t xml:space="preserve">racter </w:t>
      </w:r>
      <w:r w:rsidRPr="00BB0438">
        <w:rPr>
          <w:szCs w:val="16"/>
        </w:rPr>
        <w:t>devienne une obsession nationale, qui pourrait contribuer à la démoralisation de l'appareil bureaucratique tout en remettant en que</w:t>
      </w:r>
      <w:r w:rsidRPr="00BB0438">
        <w:rPr>
          <w:szCs w:val="16"/>
        </w:rPr>
        <w:t>s</w:t>
      </w:r>
      <w:r w:rsidRPr="00BB0438">
        <w:rPr>
          <w:szCs w:val="16"/>
        </w:rPr>
        <w:t>tion son eff</w:t>
      </w:r>
      <w:r w:rsidRPr="00BB0438">
        <w:rPr>
          <w:szCs w:val="16"/>
        </w:rPr>
        <w:t>i</w:t>
      </w:r>
      <w:r w:rsidRPr="00BB0438">
        <w:rPr>
          <w:szCs w:val="16"/>
        </w:rPr>
        <w:t>cacité</w:t>
      </w:r>
      <w:r>
        <w:rPr>
          <w:szCs w:val="16"/>
        </w:rPr>
        <w:t> </w:t>
      </w:r>
      <w:r>
        <w:rPr>
          <w:rStyle w:val="Appelnotedebasdep"/>
          <w:szCs w:val="16"/>
        </w:rPr>
        <w:footnoteReference w:id="44"/>
      </w:r>
      <w:r w:rsidRPr="00BB0438">
        <w:rPr>
          <w:szCs w:val="16"/>
        </w:rPr>
        <w:t>. Au-delà des entorses aux principes qui sont à la base du fonctionnement des bureaucraties modernes, comme le mérite et l'ancienneté, ses opp</w:t>
      </w:r>
      <w:r w:rsidRPr="00BB0438">
        <w:rPr>
          <w:szCs w:val="16"/>
        </w:rPr>
        <w:t>o</w:t>
      </w:r>
      <w:r w:rsidRPr="00BB0438">
        <w:rPr>
          <w:szCs w:val="16"/>
        </w:rPr>
        <w:t>sants voient dans l'application du principe de représentativité, tel que mis en avant au Nigeria, un simple nép</w:t>
      </w:r>
      <w:r w:rsidRPr="00BB0438">
        <w:rPr>
          <w:szCs w:val="16"/>
        </w:rPr>
        <w:t>o</w:t>
      </w:r>
      <w:r w:rsidRPr="00BB0438">
        <w:rPr>
          <w:szCs w:val="16"/>
        </w:rPr>
        <w:t>tisme à visage ethnique.</w:t>
      </w:r>
    </w:p>
    <w:p w:rsidR="00F0581C" w:rsidRPr="00BB0438" w:rsidRDefault="00F0581C" w:rsidP="00F0581C">
      <w:pPr>
        <w:spacing w:before="120" w:after="120"/>
        <w:jc w:val="both"/>
      </w:pPr>
      <w:r w:rsidRPr="00BB0438">
        <w:rPr>
          <w:szCs w:val="16"/>
        </w:rPr>
        <w:t xml:space="preserve">Enfin, un troisième type d'analyse présente l'inégalité que la </w:t>
      </w:r>
      <w:r w:rsidRPr="00BB0438">
        <w:rPr>
          <w:i/>
          <w:iCs/>
          <w:szCs w:val="16"/>
        </w:rPr>
        <w:t>F</w:t>
      </w:r>
      <w:r>
        <w:rPr>
          <w:i/>
          <w:iCs/>
          <w:szCs w:val="16"/>
        </w:rPr>
        <w:t>e</w:t>
      </w:r>
      <w:r w:rsidRPr="00BB0438">
        <w:rPr>
          <w:i/>
          <w:iCs/>
          <w:szCs w:val="16"/>
        </w:rPr>
        <w:t>d</w:t>
      </w:r>
      <w:r>
        <w:rPr>
          <w:i/>
          <w:iCs/>
          <w:szCs w:val="16"/>
        </w:rPr>
        <w:t>e</w:t>
      </w:r>
      <w:r w:rsidRPr="00BB0438">
        <w:rPr>
          <w:i/>
          <w:iCs/>
          <w:szCs w:val="16"/>
        </w:rPr>
        <w:t xml:space="preserve">ral Character Commission </w:t>
      </w:r>
      <w:r w:rsidRPr="00BB0438">
        <w:rPr>
          <w:szCs w:val="16"/>
        </w:rPr>
        <w:t>tente d'e</w:t>
      </w:r>
      <w:r w:rsidRPr="00BB0438">
        <w:rPr>
          <w:szCs w:val="16"/>
        </w:rPr>
        <w:t>n</w:t>
      </w:r>
      <w:r w:rsidRPr="00BB0438">
        <w:rPr>
          <w:szCs w:val="16"/>
        </w:rPr>
        <w:t>rayer, non comme le fruit d'une discrimination syst</w:t>
      </w:r>
      <w:r w:rsidRPr="00BB0438">
        <w:rPr>
          <w:szCs w:val="16"/>
        </w:rPr>
        <w:t>é</w:t>
      </w:r>
      <w:r w:rsidRPr="00BB0438">
        <w:rPr>
          <w:szCs w:val="16"/>
        </w:rPr>
        <w:t>matique, mais plutôt comme le résultat d'un taux de diplômés de l'enseignement supérieur historiqu</w:t>
      </w:r>
      <w:r w:rsidRPr="00BB0438">
        <w:rPr>
          <w:szCs w:val="16"/>
        </w:rPr>
        <w:t>e</w:t>
      </w:r>
      <w:r w:rsidRPr="00BB0438">
        <w:rPr>
          <w:szCs w:val="16"/>
        </w:rPr>
        <w:t>ment plus élevé dans le sud du pays que dans les régions du nord. Les données relat</w:t>
      </w:r>
      <w:r w:rsidRPr="00BB0438">
        <w:rPr>
          <w:szCs w:val="16"/>
        </w:rPr>
        <w:t>i</w:t>
      </w:r>
      <w:r w:rsidRPr="00BB0438">
        <w:rPr>
          <w:szCs w:val="16"/>
        </w:rPr>
        <w:t>ves à l'origine des étudiants tendent à démontrer que cet écart existe toujours. Ainsi, pour l'année scolaire 2000-2001, 80% des ét</w:t>
      </w:r>
      <w:r w:rsidRPr="00BB0438">
        <w:rPr>
          <w:szCs w:val="16"/>
        </w:rPr>
        <w:t>u</w:t>
      </w:r>
      <w:r w:rsidRPr="00BB0438">
        <w:rPr>
          <w:szCs w:val="16"/>
        </w:rPr>
        <w:t>diants admis à l'université provenaient du sud du pays. Ces analystes affi</w:t>
      </w:r>
      <w:r w:rsidRPr="00BB0438">
        <w:rPr>
          <w:szCs w:val="16"/>
        </w:rPr>
        <w:t>r</w:t>
      </w:r>
      <w:r w:rsidRPr="00BB0438">
        <w:rPr>
          <w:szCs w:val="16"/>
        </w:rPr>
        <w:t>ment de plus qu'une telle sur-représentation du sud au sein de l'app</w:t>
      </w:r>
      <w:r w:rsidRPr="00BB0438">
        <w:rPr>
          <w:szCs w:val="16"/>
        </w:rPr>
        <w:t>a</w:t>
      </w:r>
      <w:r w:rsidRPr="00BB0438">
        <w:rPr>
          <w:szCs w:val="16"/>
        </w:rPr>
        <w:t>reil bureaucratique compense en quelque sorte la prédom</w:t>
      </w:r>
      <w:r w:rsidRPr="00BB0438">
        <w:rPr>
          <w:szCs w:val="16"/>
        </w:rPr>
        <w:t>i</w:t>
      </w:r>
      <w:r w:rsidRPr="00BB0438">
        <w:rPr>
          <w:szCs w:val="16"/>
        </w:rPr>
        <w:t>nance du nord au sein des institutions politiques</w:t>
      </w:r>
      <w:r>
        <w:rPr>
          <w:szCs w:val="16"/>
        </w:rPr>
        <w:t> </w:t>
      </w:r>
      <w:r>
        <w:rPr>
          <w:rStyle w:val="Appelnotedebasdep"/>
          <w:szCs w:val="16"/>
        </w:rPr>
        <w:footnoteReference w:id="45"/>
      </w:r>
      <w:r w:rsidRPr="00BB0438">
        <w:rPr>
          <w:szCs w:val="16"/>
        </w:rPr>
        <w:t xml:space="preserve">. Dans cette perspective, la </w:t>
      </w:r>
      <w:r>
        <w:rPr>
          <w:szCs w:val="16"/>
        </w:rPr>
        <w:t>« </w:t>
      </w:r>
      <w:r w:rsidRPr="00BB0438">
        <w:rPr>
          <w:szCs w:val="16"/>
        </w:rPr>
        <w:t>représentation bureaucr</w:t>
      </w:r>
      <w:r w:rsidRPr="00BB0438">
        <w:rPr>
          <w:szCs w:val="16"/>
        </w:rPr>
        <w:t>a</w:t>
      </w:r>
      <w:r w:rsidRPr="00BB0438">
        <w:rPr>
          <w:szCs w:val="16"/>
        </w:rPr>
        <w:t>tique</w:t>
      </w:r>
      <w:r>
        <w:rPr>
          <w:szCs w:val="16"/>
        </w:rPr>
        <w:t> »</w:t>
      </w:r>
      <w:r w:rsidRPr="00BB0438">
        <w:rPr>
          <w:szCs w:val="16"/>
        </w:rPr>
        <w:t xml:space="preserve"> n'est donc qu'un moyen pour le nord d'exercer son influence sur le sud dans la sphère bureaucrat</w:t>
      </w:r>
      <w:r w:rsidRPr="00BB0438">
        <w:rPr>
          <w:szCs w:val="16"/>
        </w:rPr>
        <w:t>i</w:t>
      </w:r>
      <w:r w:rsidRPr="00BB0438">
        <w:rPr>
          <w:szCs w:val="16"/>
        </w:rPr>
        <w:t>que.</w:t>
      </w:r>
    </w:p>
    <w:p w:rsidR="00F0581C" w:rsidRPr="00BB0438" w:rsidRDefault="00F0581C" w:rsidP="00F0581C">
      <w:pPr>
        <w:spacing w:before="120" w:after="120"/>
        <w:jc w:val="both"/>
      </w:pPr>
      <w:r w:rsidRPr="00BB0438">
        <w:rPr>
          <w:szCs w:val="16"/>
        </w:rPr>
        <w:t>Il est tout aussi paradoxal de constater les conséquences inatte</w:t>
      </w:r>
      <w:r w:rsidRPr="00BB0438">
        <w:rPr>
          <w:szCs w:val="16"/>
        </w:rPr>
        <w:t>n</w:t>
      </w:r>
      <w:r w:rsidRPr="00BB0438">
        <w:rPr>
          <w:szCs w:val="16"/>
        </w:rPr>
        <w:t xml:space="preserve">dues de l'action étatique. On serait porté à penser que la mise en place d'une mesure comme celle du </w:t>
      </w:r>
      <w:r w:rsidRPr="00BB0438">
        <w:rPr>
          <w:i/>
          <w:iCs/>
          <w:szCs w:val="16"/>
        </w:rPr>
        <w:t>F</w:t>
      </w:r>
      <w:r>
        <w:rPr>
          <w:i/>
          <w:iCs/>
          <w:szCs w:val="16"/>
        </w:rPr>
        <w:t>e</w:t>
      </w:r>
      <w:r w:rsidRPr="00BB0438">
        <w:rPr>
          <w:i/>
          <w:iCs/>
          <w:szCs w:val="16"/>
        </w:rPr>
        <w:t>d</w:t>
      </w:r>
      <w:r>
        <w:rPr>
          <w:i/>
          <w:iCs/>
          <w:szCs w:val="16"/>
        </w:rPr>
        <w:t>e</w:t>
      </w:r>
      <w:r w:rsidRPr="00BB0438">
        <w:rPr>
          <w:i/>
          <w:iCs/>
          <w:szCs w:val="16"/>
        </w:rPr>
        <w:t xml:space="preserve">ral Character </w:t>
      </w:r>
      <w:r w:rsidRPr="00BB0438">
        <w:rPr>
          <w:szCs w:val="16"/>
        </w:rPr>
        <w:t>favoriserait l'att</w:t>
      </w:r>
      <w:r w:rsidRPr="00BB0438">
        <w:rPr>
          <w:szCs w:val="16"/>
        </w:rPr>
        <w:t>a</w:t>
      </w:r>
      <w:r w:rsidRPr="00BB0438">
        <w:rPr>
          <w:szCs w:val="16"/>
        </w:rPr>
        <w:t>chement aux institutions centrales plutôt qu'aux groupes communa</w:t>
      </w:r>
      <w:r w:rsidRPr="00BB0438">
        <w:rPr>
          <w:szCs w:val="16"/>
        </w:rPr>
        <w:t>u</w:t>
      </w:r>
      <w:r w:rsidRPr="00BB0438">
        <w:rPr>
          <w:szCs w:val="16"/>
        </w:rPr>
        <w:t>taires. Or, selon J.A.A. Ayoade, l'i</w:t>
      </w:r>
      <w:r w:rsidRPr="00BB0438">
        <w:rPr>
          <w:szCs w:val="16"/>
        </w:rPr>
        <w:t>m</w:t>
      </w:r>
      <w:r w:rsidRPr="00BB0438">
        <w:rPr>
          <w:szCs w:val="16"/>
        </w:rPr>
        <w:t>portant degré de centralisation caractérisant la fédération nigériane accentue l'importance de la repr</w:t>
      </w:r>
      <w:r w:rsidRPr="00BB0438">
        <w:rPr>
          <w:szCs w:val="16"/>
        </w:rPr>
        <w:t>é</w:t>
      </w:r>
      <w:r w:rsidRPr="00BB0438">
        <w:rPr>
          <w:szCs w:val="16"/>
        </w:rPr>
        <w:t>sent</w:t>
      </w:r>
      <w:r w:rsidRPr="00BB0438">
        <w:rPr>
          <w:szCs w:val="16"/>
        </w:rPr>
        <w:t>a</w:t>
      </w:r>
      <w:r w:rsidRPr="00BB0438">
        <w:rPr>
          <w:szCs w:val="16"/>
        </w:rPr>
        <w:t>tion des régions au sein du gouvernement central, y compris la fonction publique, afin de garantir à ch</w:t>
      </w:r>
      <w:r w:rsidRPr="00BB0438">
        <w:rPr>
          <w:szCs w:val="16"/>
        </w:rPr>
        <w:t>a</w:t>
      </w:r>
      <w:r w:rsidRPr="00BB0438">
        <w:rPr>
          <w:szCs w:val="16"/>
        </w:rPr>
        <w:t>cune de ces régions sa juste part des ressources fina</w:t>
      </w:r>
      <w:r w:rsidRPr="00BB0438">
        <w:rPr>
          <w:szCs w:val="16"/>
        </w:rPr>
        <w:t>n</w:t>
      </w:r>
      <w:r w:rsidRPr="00BB0438">
        <w:rPr>
          <w:szCs w:val="16"/>
        </w:rPr>
        <w:t>cières. Aussi, les fonctionnaires ne seraient pas tant les représentants de l'État central auprès de la popul</w:t>
      </w:r>
      <w:r w:rsidRPr="00BB0438">
        <w:rPr>
          <w:szCs w:val="16"/>
        </w:rPr>
        <w:t>a</w:t>
      </w:r>
      <w:r w:rsidRPr="00BB0438">
        <w:rPr>
          <w:szCs w:val="16"/>
        </w:rPr>
        <w:t>tion que des intermédiaires</w:t>
      </w:r>
      <w:r>
        <w:rPr>
          <w:szCs w:val="16"/>
        </w:rPr>
        <w:t xml:space="preserve"> </w:t>
      </w:r>
      <w:r>
        <w:rPr>
          <w:szCs w:val="14"/>
        </w:rPr>
        <w:t>[</w:t>
      </w:r>
      <w:r w:rsidRPr="00BB0438">
        <w:rPr>
          <w:rFonts w:cs="Arial"/>
          <w:szCs w:val="16"/>
        </w:rPr>
        <w:t>305</w:t>
      </w:r>
      <w:r>
        <w:rPr>
          <w:rFonts w:cs="Arial"/>
          <w:szCs w:val="16"/>
        </w:rPr>
        <w:t xml:space="preserve">] </w:t>
      </w:r>
      <w:r w:rsidRPr="00BB0438">
        <w:rPr>
          <w:szCs w:val="16"/>
        </w:rPr>
        <w:t>politisés faisant le pont entre le gouvern</w:t>
      </w:r>
      <w:r w:rsidRPr="00BB0438">
        <w:rPr>
          <w:szCs w:val="16"/>
        </w:rPr>
        <w:t>e</w:t>
      </w:r>
      <w:r w:rsidRPr="00BB0438">
        <w:rPr>
          <w:szCs w:val="16"/>
        </w:rPr>
        <w:t>ment central et leur gro</w:t>
      </w:r>
      <w:r w:rsidRPr="00BB0438">
        <w:rPr>
          <w:szCs w:val="16"/>
        </w:rPr>
        <w:t>u</w:t>
      </w:r>
      <w:r w:rsidRPr="00BB0438">
        <w:rPr>
          <w:szCs w:val="16"/>
        </w:rPr>
        <w:t>pe ethno-régional respectif</w:t>
      </w:r>
      <w:r>
        <w:rPr>
          <w:szCs w:val="16"/>
        </w:rPr>
        <w:t> </w:t>
      </w:r>
      <w:r>
        <w:rPr>
          <w:rStyle w:val="Appelnotedebasdep"/>
          <w:szCs w:val="16"/>
        </w:rPr>
        <w:footnoteReference w:id="46"/>
      </w:r>
      <w:r w:rsidRPr="00BB0438">
        <w:rPr>
          <w:szCs w:val="16"/>
        </w:rPr>
        <w:t>.</w:t>
      </w:r>
    </w:p>
    <w:p w:rsidR="00F0581C" w:rsidRDefault="00F0581C" w:rsidP="00F0581C">
      <w:pPr>
        <w:spacing w:before="120" w:after="120"/>
        <w:jc w:val="both"/>
        <w:rPr>
          <w:szCs w:val="16"/>
        </w:rPr>
      </w:pPr>
      <w:r w:rsidRPr="00BB0438">
        <w:rPr>
          <w:szCs w:val="16"/>
        </w:rPr>
        <w:t xml:space="preserve">En somme, la bureaucratie nigériane se présente comme un univers fortement politisé où le principe du mérite est marginalisé au nom de celui de la </w:t>
      </w:r>
      <w:r>
        <w:rPr>
          <w:szCs w:val="16"/>
        </w:rPr>
        <w:t>« </w:t>
      </w:r>
      <w:r w:rsidRPr="00BB0438">
        <w:rPr>
          <w:szCs w:val="16"/>
        </w:rPr>
        <w:t>repr</w:t>
      </w:r>
      <w:r w:rsidRPr="00BB0438">
        <w:rPr>
          <w:szCs w:val="16"/>
        </w:rPr>
        <w:t>é</w:t>
      </w:r>
      <w:r w:rsidRPr="00BB0438">
        <w:rPr>
          <w:szCs w:val="16"/>
        </w:rPr>
        <w:t>sentativité</w:t>
      </w:r>
      <w:r>
        <w:rPr>
          <w:szCs w:val="16"/>
        </w:rPr>
        <w:t> »</w:t>
      </w:r>
      <w:r w:rsidRPr="00BB0438">
        <w:rPr>
          <w:szCs w:val="16"/>
        </w:rPr>
        <w:t xml:space="preserve"> avec toutes les conséquences au plan de l'efficacité et de l'économie que cela peut e</w:t>
      </w:r>
      <w:r w:rsidRPr="00BB0438">
        <w:rPr>
          <w:szCs w:val="16"/>
        </w:rPr>
        <w:t>n</w:t>
      </w:r>
      <w:r w:rsidRPr="00BB0438">
        <w:rPr>
          <w:szCs w:val="16"/>
        </w:rPr>
        <w:t>gendrer.</w:t>
      </w:r>
    </w:p>
    <w:p w:rsidR="00F0581C" w:rsidRPr="00BB0438" w:rsidRDefault="00F0581C" w:rsidP="00F0581C">
      <w:pPr>
        <w:spacing w:before="120" w:after="120"/>
        <w:jc w:val="center"/>
      </w:pPr>
      <w:r>
        <w:br w:type="page"/>
      </w:r>
      <w:r w:rsidRPr="00BB0438">
        <w:t>Tableau 1</w:t>
      </w:r>
      <w:r>
        <w:t>.</w:t>
      </w:r>
      <w:r>
        <w:br/>
      </w:r>
      <w:r w:rsidRPr="00BB0438">
        <w:t xml:space="preserve">Représentation bureaucratique au sein des </w:t>
      </w:r>
      <w:r>
        <w:t>É</w:t>
      </w:r>
      <w:r w:rsidRPr="00BB0438">
        <w:t>tats multinationaux</w:t>
      </w:r>
    </w:p>
    <w:tbl>
      <w:tblPr>
        <w:tblW w:w="0" w:type="auto"/>
        <w:tblInd w:w="-1220" w:type="dxa"/>
        <w:tblLayout w:type="fixed"/>
        <w:tblCellMar>
          <w:left w:w="40" w:type="dxa"/>
          <w:right w:w="40" w:type="dxa"/>
        </w:tblCellMar>
        <w:tblLook w:val="0000" w:firstRow="0" w:lastRow="0" w:firstColumn="0" w:lastColumn="0" w:noHBand="0" w:noVBand="0"/>
      </w:tblPr>
      <w:tblGrid>
        <w:gridCol w:w="1620"/>
        <w:gridCol w:w="1620"/>
        <w:gridCol w:w="2070"/>
        <w:gridCol w:w="1620"/>
        <w:gridCol w:w="2250"/>
      </w:tblGrid>
      <w:tr w:rsidR="00F0581C" w:rsidRPr="00BB0438">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shd w:val="clear" w:color="auto" w:fill="EAF1DD"/>
          </w:tcPr>
          <w:p w:rsidR="00F0581C" w:rsidRPr="004F698A" w:rsidRDefault="00F0581C" w:rsidP="00F0581C">
            <w:pPr>
              <w:spacing w:before="120" w:after="120"/>
              <w:ind w:firstLine="0"/>
              <w:jc w:val="both"/>
              <w:rPr>
                <w:sz w:val="24"/>
              </w:rPr>
            </w:pPr>
            <w:r>
              <w:rPr>
                <w:sz w:val="24"/>
              </w:rPr>
              <w:t>3</w:t>
            </w:r>
          </w:p>
        </w:tc>
        <w:tc>
          <w:tcPr>
            <w:tcW w:w="1620" w:type="dxa"/>
            <w:tcBorders>
              <w:top w:val="single" w:sz="6" w:space="0" w:color="auto"/>
              <w:left w:val="single" w:sz="6" w:space="0" w:color="auto"/>
              <w:bottom w:val="single" w:sz="6" w:space="0" w:color="auto"/>
              <w:right w:val="single" w:sz="6" w:space="0" w:color="auto"/>
            </w:tcBorders>
            <w:shd w:val="clear" w:color="auto" w:fill="EAF1DD"/>
          </w:tcPr>
          <w:p w:rsidR="00F0581C" w:rsidRPr="004F698A" w:rsidRDefault="00F0581C" w:rsidP="00F0581C">
            <w:pPr>
              <w:spacing w:before="120" w:after="120"/>
              <w:ind w:firstLine="0"/>
              <w:jc w:val="center"/>
              <w:rPr>
                <w:sz w:val="24"/>
              </w:rPr>
            </w:pPr>
            <w:r w:rsidRPr="004F698A">
              <w:rPr>
                <w:bCs/>
                <w:sz w:val="24"/>
                <w:szCs w:val="14"/>
              </w:rPr>
              <w:t>État</w:t>
            </w:r>
          </w:p>
        </w:tc>
        <w:tc>
          <w:tcPr>
            <w:tcW w:w="2070" w:type="dxa"/>
            <w:tcBorders>
              <w:top w:val="single" w:sz="6" w:space="0" w:color="auto"/>
              <w:left w:val="single" w:sz="6" w:space="0" w:color="auto"/>
              <w:bottom w:val="single" w:sz="6" w:space="0" w:color="auto"/>
              <w:right w:val="single" w:sz="6" w:space="0" w:color="auto"/>
            </w:tcBorders>
            <w:shd w:val="clear" w:color="auto" w:fill="EAF1DD"/>
          </w:tcPr>
          <w:p w:rsidR="00F0581C" w:rsidRPr="004F698A" w:rsidRDefault="00F0581C" w:rsidP="00F0581C">
            <w:pPr>
              <w:spacing w:before="120" w:after="120"/>
              <w:ind w:firstLine="0"/>
              <w:jc w:val="center"/>
              <w:rPr>
                <w:sz w:val="24"/>
              </w:rPr>
            </w:pPr>
            <w:r w:rsidRPr="004F698A">
              <w:rPr>
                <w:bCs/>
                <w:sz w:val="24"/>
                <w:szCs w:val="14"/>
              </w:rPr>
              <w:t>Idéologie</w:t>
            </w:r>
            <w:r>
              <w:rPr>
                <w:bCs/>
                <w:sz w:val="24"/>
                <w:szCs w:val="14"/>
              </w:rPr>
              <w:br/>
            </w:r>
            <w:r w:rsidRPr="004F698A">
              <w:rPr>
                <w:bCs/>
                <w:sz w:val="24"/>
                <w:szCs w:val="14"/>
              </w:rPr>
              <w:t>d'i</w:t>
            </w:r>
            <w:r w:rsidRPr="004F698A">
              <w:rPr>
                <w:bCs/>
                <w:sz w:val="24"/>
                <w:szCs w:val="14"/>
              </w:rPr>
              <w:t>n</w:t>
            </w:r>
            <w:r w:rsidRPr="004F698A">
              <w:rPr>
                <w:bCs/>
                <w:sz w:val="24"/>
                <w:szCs w:val="14"/>
              </w:rPr>
              <w:t>tégration</w:t>
            </w:r>
          </w:p>
        </w:tc>
        <w:tc>
          <w:tcPr>
            <w:tcW w:w="1620" w:type="dxa"/>
            <w:tcBorders>
              <w:top w:val="single" w:sz="6" w:space="0" w:color="auto"/>
              <w:left w:val="single" w:sz="6" w:space="0" w:color="auto"/>
              <w:bottom w:val="single" w:sz="6" w:space="0" w:color="auto"/>
              <w:right w:val="single" w:sz="6" w:space="0" w:color="auto"/>
            </w:tcBorders>
            <w:shd w:val="clear" w:color="auto" w:fill="EAF1DD"/>
          </w:tcPr>
          <w:p w:rsidR="00F0581C" w:rsidRPr="004F698A" w:rsidRDefault="00F0581C" w:rsidP="00F0581C">
            <w:pPr>
              <w:spacing w:before="120" w:after="120"/>
              <w:ind w:firstLine="0"/>
              <w:jc w:val="center"/>
              <w:rPr>
                <w:sz w:val="24"/>
              </w:rPr>
            </w:pPr>
            <w:r w:rsidRPr="004F698A">
              <w:rPr>
                <w:sz w:val="24"/>
                <w:szCs w:val="14"/>
              </w:rPr>
              <w:t xml:space="preserve">Type </w:t>
            </w:r>
            <w:r w:rsidRPr="004F698A">
              <w:rPr>
                <w:bCs/>
                <w:sz w:val="24"/>
                <w:szCs w:val="14"/>
              </w:rPr>
              <w:t>de</w:t>
            </w:r>
            <w:r>
              <w:rPr>
                <w:bCs/>
                <w:sz w:val="24"/>
                <w:szCs w:val="14"/>
              </w:rPr>
              <w:br/>
            </w:r>
            <w:r w:rsidRPr="004F698A">
              <w:rPr>
                <w:bCs/>
                <w:sz w:val="24"/>
                <w:szCs w:val="14"/>
              </w:rPr>
              <w:t>représe</w:t>
            </w:r>
            <w:r w:rsidRPr="004F698A">
              <w:rPr>
                <w:bCs/>
                <w:sz w:val="24"/>
                <w:szCs w:val="14"/>
              </w:rPr>
              <w:t>n</w:t>
            </w:r>
            <w:r w:rsidRPr="004F698A">
              <w:rPr>
                <w:bCs/>
                <w:sz w:val="24"/>
                <w:szCs w:val="14"/>
              </w:rPr>
              <w:t>tation</w:t>
            </w:r>
          </w:p>
        </w:tc>
        <w:tc>
          <w:tcPr>
            <w:tcW w:w="2250" w:type="dxa"/>
            <w:tcBorders>
              <w:top w:val="single" w:sz="6" w:space="0" w:color="auto"/>
              <w:left w:val="single" w:sz="6" w:space="0" w:color="auto"/>
              <w:bottom w:val="single" w:sz="6" w:space="0" w:color="auto"/>
              <w:right w:val="single" w:sz="6" w:space="0" w:color="auto"/>
            </w:tcBorders>
            <w:shd w:val="clear" w:color="auto" w:fill="EAF1DD"/>
          </w:tcPr>
          <w:p w:rsidR="00F0581C" w:rsidRPr="004F698A" w:rsidRDefault="00F0581C" w:rsidP="00F0581C">
            <w:pPr>
              <w:spacing w:before="120" w:after="120"/>
              <w:ind w:firstLine="0"/>
              <w:jc w:val="center"/>
              <w:rPr>
                <w:sz w:val="24"/>
              </w:rPr>
            </w:pPr>
            <w:r w:rsidRPr="004F698A">
              <w:rPr>
                <w:bCs/>
                <w:sz w:val="24"/>
                <w:szCs w:val="14"/>
              </w:rPr>
              <w:t>Principal</w:t>
            </w:r>
            <w:r>
              <w:rPr>
                <w:bCs/>
                <w:sz w:val="24"/>
                <w:szCs w:val="14"/>
              </w:rPr>
              <w:br/>
            </w:r>
            <w:r w:rsidRPr="004F698A">
              <w:rPr>
                <w:bCs/>
                <w:sz w:val="24"/>
                <w:szCs w:val="14"/>
              </w:rPr>
              <w:t>in</w:t>
            </w:r>
            <w:r w:rsidRPr="004F698A">
              <w:rPr>
                <w:bCs/>
                <w:sz w:val="24"/>
                <w:szCs w:val="14"/>
              </w:rPr>
              <w:t>s</w:t>
            </w:r>
            <w:r w:rsidRPr="004F698A">
              <w:rPr>
                <w:bCs/>
                <w:sz w:val="24"/>
                <w:szCs w:val="14"/>
              </w:rPr>
              <w:t>trument</w:t>
            </w:r>
          </w:p>
        </w:tc>
      </w:tr>
      <w:tr w:rsidR="00F0581C" w:rsidRPr="00BB0438">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jc w:val="both"/>
              <w:rPr>
                <w:sz w:val="24"/>
              </w:rPr>
            </w:pPr>
            <w:r w:rsidRPr="004F698A">
              <w:rPr>
                <w:sz w:val="24"/>
                <w:szCs w:val="14"/>
              </w:rPr>
              <w:t>Tu</w:t>
            </w:r>
            <w:r w:rsidRPr="004F698A">
              <w:rPr>
                <w:sz w:val="24"/>
                <w:szCs w:val="14"/>
              </w:rPr>
              <w:t>r</w:t>
            </w:r>
            <w:r w:rsidRPr="004F698A">
              <w:rPr>
                <w:sz w:val="24"/>
                <w:szCs w:val="14"/>
              </w:rPr>
              <w:t>quie</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Un</w:t>
            </w:r>
            <w:r w:rsidRPr="004F698A">
              <w:rPr>
                <w:sz w:val="24"/>
                <w:szCs w:val="14"/>
              </w:rPr>
              <w:t>i</w:t>
            </w:r>
            <w:r w:rsidRPr="004F698A">
              <w:rPr>
                <w:sz w:val="24"/>
                <w:szCs w:val="14"/>
              </w:rPr>
              <w:t>taire</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Républicani</w:t>
            </w:r>
            <w:r w:rsidRPr="004F698A">
              <w:rPr>
                <w:sz w:val="24"/>
                <w:szCs w:val="14"/>
              </w:rPr>
              <w:t>s</w:t>
            </w:r>
            <w:r w:rsidRPr="004F698A">
              <w:rPr>
                <w:sz w:val="24"/>
                <w:szCs w:val="14"/>
              </w:rPr>
              <w:t>me</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Pass</w:t>
            </w:r>
            <w:r w:rsidRPr="004F698A">
              <w:rPr>
                <w:sz w:val="24"/>
                <w:szCs w:val="14"/>
              </w:rPr>
              <w:t>i</w:t>
            </w:r>
            <w:r w:rsidRPr="004F698A">
              <w:rPr>
                <w:sz w:val="24"/>
                <w:szCs w:val="14"/>
              </w:rPr>
              <w:t>ve</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Clause constitutio</w:t>
            </w:r>
            <w:r w:rsidRPr="004F698A">
              <w:rPr>
                <w:sz w:val="24"/>
                <w:szCs w:val="14"/>
              </w:rPr>
              <w:t>n</w:t>
            </w:r>
            <w:r w:rsidRPr="004F698A">
              <w:rPr>
                <w:sz w:val="24"/>
                <w:szCs w:val="14"/>
              </w:rPr>
              <w:t>nelle de non-discrimin</w:t>
            </w:r>
            <w:r w:rsidRPr="004F698A">
              <w:rPr>
                <w:sz w:val="24"/>
                <w:szCs w:val="14"/>
              </w:rPr>
              <w:t>a</w:t>
            </w:r>
            <w:r w:rsidRPr="004F698A">
              <w:rPr>
                <w:sz w:val="24"/>
                <w:szCs w:val="14"/>
              </w:rPr>
              <w:t>tion</w:t>
            </w:r>
          </w:p>
        </w:tc>
      </w:tr>
      <w:tr w:rsidR="00F0581C" w:rsidRPr="00BB0438">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jc w:val="both"/>
              <w:rPr>
                <w:sz w:val="24"/>
              </w:rPr>
            </w:pPr>
            <w:r w:rsidRPr="004F698A">
              <w:rPr>
                <w:sz w:val="24"/>
                <w:szCs w:val="14"/>
              </w:rPr>
              <w:t>Roya</w:t>
            </w:r>
            <w:r w:rsidRPr="004F698A">
              <w:rPr>
                <w:sz w:val="24"/>
                <w:szCs w:val="14"/>
              </w:rPr>
              <w:t>u</w:t>
            </w:r>
            <w:r w:rsidRPr="004F698A">
              <w:rPr>
                <w:sz w:val="24"/>
                <w:szCs w:val="14"/>
              </w:rPr>
              <w:t>me-Uni</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Uni</w:t>
            </w:r>
            <w:r w:rsidRPr="004F698A">
              <w:rPr>
                <w:sz w:val="24"/>
                <w:szCs w:val="14"/>
              </w:rPr>
              <w:t>o</w:t>
            </w:r>
            <w:r w:rsidRPr="004F698A">
              <w:rPr>
                <w:sz w:val="24"/>
                <w:szCs w:val="14"/>
              </w:rPr>
              <w:t>niste</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Uni</w:t>
            </w:r>
            <w:r w:rsidRPr="004F698A">
              <w:rPr>
                <w:sz w:val="24"/>
                <w:szCs w:val="14"/>
              </w:rPr>
              <w:t>o</w:t>
            </w:r>
            <w:r w:rsidRPr="004F698A">
              <w:rPr>
                <w:sz w:val="24"/>
                <w:szCs w:val="14"/>
              </w:rPr>
              <w:t>nisme</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Act</w:t>
            </w:r>
            <w:r w:rsidRPr="004F698A">
              <w:rPr>
                <w:sz w:val="24"/>
                <w:szCs w:val="14"/>
              </w:rPr>
              <w:t>i</w:t>
            </w:r>
            <w:r w:rsidRPr="004F698A">
              <w:rPr>
                <w:sz w:val="24"/>
                <w:szCs w:val="14"/>
              </w:rPr>
              <w:t>ve</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Département</w:t>
            </w:r>
            <w:r>
              <w:rPr>
                <w:sz w:val="24"/>
                <w:szCs w:val="14"/>
              </w:rPr>
              <w:br/>
            </w:r>
            <w:r w:rsidRPr="004F698A">
              <w:rPr>
                <w:sz w:val="24"/>
                <w:szCs w:val="14"/>
              </w:rPr>
              <w:t>territ</w:t>
            </w:r>
            <w:r w:rsidRPr="004F698A">
              <w:rPr>
                <w:sz w:val="24"/>
                <w:szCs w:val="14"/>
              </w:rPr>
              <w:t>o</w:t>
            </w:r>
            <w:r w:rsidRPr="004F698A">
              <w:rPr>
                <w:sz w:val="24"/>
                <w:szCs w:val="14"/>
              </w:rPr>
              <w:t>rial</w:t>
            </w:r>
          </w:p>
        </w:tc>
      </w:tr>
      <w:tr w:rsidR="00F0581C" w:rsidRPr="00BB0438">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jc w:val="both"/>
              <w:rPr>
                <w:sz w:val="24"/>
              </w:rPr>
            </w:pPr>
            <w:r w:rsidRPr="004F698A">
              <w:rPr>
                <w:sz w:val="24"/>
                <w:szCs w:val="14"/>
              </w:rPr>
              <w:t>Can</w:t>
            </w:r>
            <w:r w:rsidRPr="004F698A">
              <w:rPr>
                <w:sz w:val="24"/>
                <w:szCs w:val="14"/>
              </w:rPr>
              <w:t>a</w:t>
            </w:r>
            <w:r w:rsidRPr="004F698A">
              <w:rPr>
                <w:sz w:val="24"/>
                <w:szCs w:val="14"/>
              </w:rPr>
              <w:t>da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Fédér</w:t>
            </w:r>
            <w:r w:rsidRPr="004F698A">
              <w:rPr>
                <w:sz w:val="24"/>
                <w:szCs w:val="14"/>
              </w:rPr>
              <w:t>a</w:t>
            </w:r>
            <w:r w:rsidRPr="004F698A">
              <w:rPr>
                <w:sz w:val="24"/>
                <w:szCs w:val="14"/>
              </w:rPr>
              <w:t>lisme</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Libér</w:t>
            </w:r>
            <w:r w:rsidRPr="004F698A">
              <w:rPr>
                <w:sz w:val="24"/>
                <w:szCs w:val="14"/>
              </w:rPr>
              <w:t>a</w:t>
            </w:r>
            <w:r w:rsidRPr="004F698A">
              <w:rPr>
                <w:sz w:val="24"/>
                <w:szCs w:val="14"/>
              </w:rPr>
              <w:t>lisme</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Pass</w:t>
            </w:r>
            <w:r w:rsidRPr="004F698A">
              <w:rPr>
                <w:sz w:val="24"/>
                <w:szCs w:val="14"/>
              </w:rPr>
              <w:t>i</w:t>
            </w:r>
            <w:r w:rsidRPr="004F698A">
              <w:rPr>
                <w:sz w:val="24"/>
                <w:szCs w:val="14"/>
              </w:rPr>
              <w:t>ve</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Modific</w:t>
            </w:r>
            <w:r w:rsidRPr="004F698A">
              <w:rPr>
                <w:sz w:val="24"/>
                <w:szCs w:val="14"/>
              </w:rPr>
              <w:t>a</w:t>
            </w:r>
            <w:r w:rsidRPr="004F698A">
              <w:rPr>
                <w:sz w:val="24"/>
                <w:szCs w:val="14"/>
              </w:rPr>
              <w:t>tion du pri</w:t>
            </w:r>
            <w:r w:rsidRPr="004F698A">
              <w:rPr>
                <w:sz w:val="24"/>
                <w:szCs w:val="14"/>
              </w:rPr>
              <w:t>n</w:t>
            </w:r>
            <w:r w:rsidRPr="004F698A">
              <w:rPr>
                <w:sz w:val="24"/>
                <w:szCs w:val="14"/>
              </w:rPr>
              <w:t>cipe du mér</w:t>
            </w:r>
            <w:r w:rsidRPr="004F698A">
              <w:rPr>
                <w:sz w:val="24"/>
                <w:szCs w:val="14"/>
              </w:rPr>
              <w:t>i</w:t>
            </w:r>
            <w:r w:rsidRPr="004F698A">
              <w:rPr>
                <w:sz w:val="24"/>
                <w:szCs w:val="14"/>
              </w:rPr>
              <w:t>te</w:t>
            </w:r>
          </w:p>
        </w:tc>
      </w:tr>
      <w:tr w:rsidR="00F0581C" w:rsidRPr="00BB0438">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jc w:val="both"/>
              <w:rPr>
                <w:sz w:val="24"/>
              </w:rPr>
            </w:pPr>
            <w:r w:rsidRPr="004F698A">
              <w:rPr>
                <w:sz w:val="24"/>
                <w:szCs w:val="14"/>
              </w:rPr>
              <w:t>Nig</w:t>
            </w:r>
            <w:r w:rsidRPr="004F698A">
              <w:rPr>
                <w:sz w:val="24"/>
                <w:szCs w:val="14"/>
              </w:rPr>
              <w:t>e</w:t>
            </w:r>
            <w:r w:rsidRPr="004F698A">
              <w:rPr>
                <w:sz w:val="24"/>
                <w:szCs w:val="14"/>
              </w:rPr>
              <w:t>ria</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Fédér</w:t>
            </w:r>
            <w:r w:rsidRPr="004F698A">
              <w:rPr>
                <w:sz w:val="24"/>
                <w:szCs w:val="14"/>
              </w:rPr>
              <w:t>a</w:t>
            </w:r>
            <w:r w:rsidRPr="004F698A">
              <w:rPr>
                <w:sz w:val="24"/>
                <w:szCs w:val="14"/>
              </w:rPr>
              <w:t>lisme</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Communautari</w:t>
            </w:r>
            <w:r w:rsidRPr="004F698A">
              <w:rPr>
                <w:sz w:val="24"/>
                <w:szCs w:val="14"/>
              </w:rPr>
              <w:t>s</w:t>
            </w:r>
            <w:r w:rsidRPr="004F698A">
              <w:rPr>
                <w:sz w:val="24"/>
                <w:szCs w:val="14"/>
              </w:rPr>
              <w:t>me</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Act</w:t>
            </w:r>
            <w:r w:rsidRPr="004F698A">
              <w:rPr>
                <w:sz w:val="24"/>
                <w:szCs w:val="14"/>
              </w:rPr>
              <w:t>i</w:t>
            </w:r>
            <w:r w:rsidRPr="004F698A">
              <w:rPr>
                <w:sz w:val="24"/>
                <w:szCs w:val="14"/>
              </w:rPr>
              <w:t>ve</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0581C" w:rsidRPr="004F698A" w:rsidRDefault="00F0581C" w:rsidP="00F0581C">
            <w:pPr>
              <w:spacing w:before="120" w:after="120"/>
              <w:ind w:firstLine="0"/>
              <w:rPr>
                <w:sz w:val="24"/>
              </w:rPr>
            </w:pPr>
            <w:r w:rsidRPr="004F698A">
              <w:rPr>
                <w:sz w:val="24"/>
                <w:szCs w:val="14"/>
              </w:rPr>
              <w:t>Quotas</w:t>
            </w:r>
          </w:p>
        </w:tc>
      </w:tr>
    </w:tbl>
    <w:p w:rsidR="00F0581C" w:rsidRDefault="00F0581C" w:rsidP="00F0581C">
      <w:pPr>
        <w:spacing w:before="120" w:after="120"/>
        <w:jc w:val="both"/>
        <w:rPr>
          <w:bCs/>
          <w:szCs w:val="16"/>
        </w:rPr>
      </w:pPr>
    </w:p>
    <w:p w:rsidR="00F0581C" w:rsidRPr="00BB0438" w:rsidRDefault="00F0581C" w:rsidP="00F0581C">
      <w:pPr>
        <w:pStyle w:val="planche"/>
      </w:pPr>
      <w:bookmarkStart w:id="13" w:name="bureaucration_au_sein_III"/>
      <w:r>
        <w:t>UNE PERSPECTIVE COMPARÉ</w:t>
      </w:r>
      <w:r w:rsidRPr="00BB0438">
        <w:t>E</w:t>
      </w:r>
    </w:p>
    <w:bookmarkEnd w:id="13"/>
    <w:p w:rsidR="00F0581C" w:rsidRDefault="00F0581C" w:rsidP="00F0581C">
      <w:pPr>
        <w:spacing w:before="120" w:after="120"/>
        <w:jc w:val="both"/>
        <w:rPr>
          <w:szCs w:val="16"/>
        </w:rPr>
      </w:pPr>
    </w:p>
    <w:p w:rsidR="00F0581C" w:rsidRDefault="00F0581C" w:rsidP="00F0581C">
      <w:pPr>
        <w:ind w:right="90" w:firstLine="0"/>
        <w:jc w:val="both"/>
        <w:rPr>
          <w:sz w:val="20"/>
        </w:rPr>
      </w:pPr>
      <w:hyperlink w:anchor="tdm" w:history="1">
        <w:r>
          <w:rPr>
            <w:rStyle w:val="Lienhypertexte"/>
            <w:sz w:val="20"/>
          </w:rPr>
          <w:t>Retour à la table des matières</w:t>
        </w:r>
      </w:hyperlink>
    </w:p>
    <w:p w:rsidR="00F0581C" w:rsidRPr="00BB0438" w:rsidRDefault="00F0581C" w:rsidP="00F0581C">
      <w:pPr>
        <w:spacing w:before="120" w:after="120"/>
        <w:jc w:val="both"/>
      </w:pPr>
      <w:r w:rsidRPr="00BB0438">
        <w:rPr>
          <w:szCs w:val="16"/>
        </w:rPr>
        <w:t>Les pays qui nient activement leur caractère mu</w:t>
      </w:r>
      <w:r w:rsidRPr="00BB0438">
        <w:rPr>
          <w:szCs w:val="16"/>
        </w:rPr>
        <w:t>l</w:t>
      </w:r>
      <w:r w:rsidRPr="00BB0438">
        <w:rPr>
          <w:szCs w:val="16"/>
        </w:rPr>
        <w:t>tinational, comme la Turquie, ou qui rejettent cette diversité comme base d'organisation de la vie politique, comme le Canada, ont tendance à favoriser la r</w:t>
      </w:r>
      <w:r w:rsidRPr="00BB0438">
        <w:rPr>
          <w:szCs w:val="16"/>
        </w:rPr>
        <w:t>e</w:t>
      </w:r>
      <w:r w:rsidRPr="00BB0438">
        <w:rPr>
          <w:szCs w:val="16"/>
        </w:rPr>
        <w:t>présentation passive des différentes minorités n</w:t>
      </w:r>
      <w:r w:rsidRPr="00BB0438">
        <w:rPr>
          <w:szCs w:val="16"/>
        </w:rPr>
        <w:t>a</w:t>
      </w:r>
      <w:r w:rsidRPr="00BB0438">
        <w:rPr>
          <w:szCs w:val="16"/>
        </w:rPr>
        <w:t>tionales. Ces deux pays souhaitent assurer une certaine représentation des minorités n</w:t>
      </w:r>
      <w:r w:rsidRPr="00BB0438">
        <w:rPr>
          <w:szCs w:val="16"/>
        </w:rPr>
        <w:t>a</w:t>
      </w:r>
      <w:r w:rsidRPr="00BB0438">
        <w:rPr>
          <w:szCs w:val="16"/>
        </w:rPr>
        <w:t>tionales, tout en rejetant o</w:t>
      </w:r>
      <w:r w:rsidRPr="00BB0438">
        <w:rPr>
          <w:szCs w:val="16"/>
        </w:rPr>
        <w:t>f</w:t>
      </w:r>
      <w:r w:rsidRPr="00BB0438">
        <w:rPr>
          <w:szCs w:val="16"/>
        </w:rPr>
        <w:t>ficiellement toute forme de quotas. Il n'en demeure pas moins que des différences importantes existent entre l'idéologie républicaine associée à la Turquie et la perspective libérale sur laquelle se fonde l'État fédéral au Canada. En fait, le modèle lib</w:t>
      </w:r>
      <w:r w:rsidRPr="00BB0438">
        <w:rPr>
          <w:szCs w:val="16"/>
        </w:rPr>
        <w:t>é</w:t>
      </w:r>
      <w:r w:rsidRPr="00BB0438">
        <w:rPr>
          <w:szCs w:val="16"/>
        </w:rPr>
        <w:t>ral canadien, dans la mesure où il s'appuie sur le respect des différe</w:t>
      </w:r>
      <w:r w:rsidRPr="00BB0438">
        <w:rPr>
          <w:szCs w:val="16"/>
        </w:rPr>
        <w:t>n</w:t>
      </w:r>
      <w:r w:rsidRPr="00BB0438">
        <w:rPr>
          <w:szCs w:val="16"/>
        </w:rPr>
        <w:t>ces culturelles, se doit de prendre en considération la dualité linguist</w:t>
      </w:r>
      <w:r w:rsidRPr="00BB0438">
        <w:rPr>
          <w:szCs w:val="16"/>
        </w:rPr>
        <w:t>i</w:t>
      </w:r>
      <w:r w:rsidRPr="00BB0438">
        <w:rPr>
          <w:szCs w:val="16"/>
        </w:rPr>
        <w:t>que afin d'assurer à la fois la participation et l'égalité des chances des c</w:t>
      </w:r>
      <w:r w:rsidRPr="00BB0438">
        <w:rPr>
          <w:szCs w:val="16"/>
        </w:rPr>
        <w:t>i</w:t>
      </w:r>
      <w:r w:rsidRPr="00BB0438">
        <w:rPr>
          <w:szCs w:val="16"/>
        </w:rPr>
        <w:t>toyens de langue française. En faisant de la maîtrise du français un atout nécessaire au moment de l'e</w:t>
      </w:r>
      <w:r w:rsidRPr="00BB0438">
        <w:rPr>
          <w:szCs w:val="16"/>
        </w:rPr>
        <w:t>m</w:t>
      </w:r>
      <w:r w:rsidRPr="00BB0438">
        <w:rPr>
          <w:szCs w:val="16"/>
        </w:rPr>
        <w:t>bauche, le gouvernement canadien encourage la participation de la m</w:t>
      </w:r>
      <w:r w:rsidRPr="00BB0438">
        <w:rPr>
          <w:szCs w:val="16"/>
        </w:rPr>
        <w:t>i</w:t>
      </w:r>
      <w:r w:rsidRPr="00BB0438">
        <w:rPr>
          <w:szCs w:val="16"/>
        </w:rPr>
        <w:t>norité nationale québécoise sans pour autant établir un seuil. À l'opposé, le républic</w:t>
      </w:r>
      <w:r w:rsidRPr="00BB0438">
        <w:rPr>
          <w:szCs w:val="16"/>
        </w:rPr>
        <w:t>a</w:t>
      </w:r>
      <w:r w:rsidRPr="00BB0438">
        <w:rPr>
          <w:szCs w:val="16"/>
        </w:rPr>
        <w:t>nisme turc propose la promotion d'une identité et d'une culture turque co</w:t>
      </w:r>
      <w:r w:rsidRPr="00BB0438">
        <w:rPr>
          <w:szCs w:val="16"/>
        </w:rPr>
        <w:t>m</w:t>
      </w:r>
      <w:r w:rsidRPr="00BB0438">
        <w:rPr>
          <w:szCs w:val="16"/>
        </w:rPr>
        <w:t>mune. Dans cet esprit, l'État turc se doit donc de nier et, dans une certaine mesure, de combattre, l'expression de tout projet politique-culturel pouvant r</w:t>
      </w:r>
      <w:r w:rsidRPr="00BB0438">
        <w:rPr>
          <w:szCs w:val="16"/>
        </w:rPr>
        <w:t>e</w:t>
      </w:r>
      <w:r w:rsidRPr="00BB0438">
        <w:rPr>
          <w:szCs w:val="16"/>
        </w:rPr>
        <w:t>mettre en question la vision unificatrice de la nation. Bien qu'en thé</w:t>
      </w:r>
      <w:r w:rsidRPr="00BB0438">
        <w:rPr>
          <w:szCs w:val="16"/>
        </w:rPr>
        <w:t>o</w:t>
      </w:r>
      <w:r w:rsidRPr="00BB0438">
        <w:rPr>
          <w:szCs w:val="16"/>
        </w:rPr>
        <w:t>rie le modèle turc rejette toute forme de di</w:t>
      </w:r>
      <w:r w:rsidRPr="00BB0438">
        <w:rPr>
          <w:szCs w:val="16"/>
        </w:rPr>
        <w:t>s</w:t>
      </w:r>
      <w:r w:rsidRPr="00BB0438">
        <w:rPr>
          <w:szCs w:val="16"/>
        </w:rPr>
        <w:t>crimination, son refus de reconnaître la langue parlée par plus de 20% de sa population const</w:t>
      </w:r>
      <w:r w:rsidRPr="00BB0438">
        <w:rPr>
          <w:szCs w:val="16"/>
        </w:rPr>
        <w:t>i</w:t>
      </w:r>
      <w:r w:rsidRPr="00BB0438">
        <w:rPr>
          <w:szCs w:val="16"/>
        </w:rPr>
        <w:t>tue un frein évident à la pleine part</w:t>
      </w:r>
      <w:r w:rsidRPr="00BB0438">
        <w:rPr>
          <w:szCs w:val="16"/>
        </w:rPr>
        <w:t>i</w:t>
      </w:r>
      <w:r w:rsidRPr="00BB0438">
        <w:rPr>
          <w:szCs w:val="16"/>
        </w:rPr>
        <w:t>cipation des citoyens kurdes à la fonction publique.</w:t>
      </w:r>
    </w:p>
    <w:p w:rsidR="00F0581C" w:rsidRPr="00BB0438" w:rsidRDefault="00F0581C" w:rsidP="00F0581C">
      <w:pPr>
        <w:spacing w:before="120" w:after="120"/>
        <w:jc w:val="both"/>
      </w:pPr>
      <w:r>
        <w:t>[</w:t>
      </w:r>
      <w:r w:rsidRPr="00BB0438">
        <w:rPr>
          <w:szCs w:val="16"/>
        </w:rPr>
        <w:t>306</w:t>
      </w:r>
      <w:r>
        <w:rPr>
          <w:szCs w:val="16"/>
        </w:rPr>
        <w:t>]</w:t>
      </w:r>
    </w:p>
    <w:p w:rsidR="00F0581C" w:rsidRPr="00BB0438" w:rsidRDefault="00F0581C" w:rsidP="00F0581C">
      <w:pPr>
        <w:spacing w:before="120" w:after="120"/>
        <w:jc w:val="both"/>
      </w:pPr>
      <w:r w:rsidRPr="00BB0438">
        <w:rPr>
          <w:szCs w:val="16"/>
        </w:rPr>
        <w:t>Dans les cas du Nigeria et du Royaume-Uni, la reconnaissance hi</w:t>
      </w:r>
      <w:r w:rsidRPr="00BB0438">
        <w:rPr>
          <w:szCs w:val="16"/>
        </w:rPr>
        <w:t>s</w:t>
      </w:r>
      <w:r w:rsidRPr="00BB0438">
        <w:rPr>
          <w:szCs w:val="16"/>
        </w:rPr>
        <w:t>torique de leur diversité nationale a contribué à l'instauration d'une représentation active des minorités nationales (Royaume-Uni) et de l'e</w:t>
      </w:r>
      <w:r w:rsidRPr="00BB0438">
        <w:rPr>
          <w:szCs w:val="16"/>
        </w:rPr>
        <w:t>n</w:t>
      </w:r>
      <w:r w:rsidRPr="00BB0438">
        <w:rPr>
          <w:szCs w:val="16"/>
        </w:rPr>
        <w:t>semble des groupes régionaux (Nigeria). Dans le cas du Royaume-Uni, la création de ministères à caract</w:t>
      </w:r>
      <w:r w:rsidRPr="00BB0438">
        <w:rPr>
          <w:szCs w:val="16"/>
        </w:rPr>
        <w:t>è</w:t>
      </w:r>
      <w:r w:rsidRPr="00BB0438">
        <w:rPr>
          <w:szCs w:val="16"/>
        </w:rPr>
        <w:t>re régional a constitué un moyen efficace d'assurer une certaine zone d'autonomie où pouvaient s'exprimer les minorités nationales dans le cadre d'une structure pol</w:t>
      </w:r>
      <w:r w:rsidRPr="00BB0438">
        <w:rPr>
          <w:szCs w:val="16"/>
        </w:rPr>
        <w:t>i</w:t>
      </w:r>
      <w:r w:rsidRPr="00BB0438">
        <w:rPr>
          <w:szCs w:val="16"/>
        </w:rPr>
        <w:t>tique et administrative relativement unitaire. Au Nigeria, l'attachement communautaire et l'absence d'une identité proprement nigériane ont contribué à la fois à l'établissement de quotas et à la politisation de la fonction publique, les fonctionnaires ayant pour rôle de défendre les intérêts de leur communauté dans le partage des ressources.</w:t>
      </w:r>
    </w:p>
    <w:p w:rsidR="00F0581C" w:rsidRPr="00BB0438" w:rsidRDefault="00F0581C" w:rsidP="00F0581C">
      <w:pPr>
        <w:spacing w:before="120" w:after="120"/>
        <w:jc w:val="both"/>
      </w:pPr>
      <w:r w:rsidRPr="00BB0438">
        <w:rPr>
          <w:szCs w:val="16"/>
        </w:rPr>
        <w:t>Le Canada et le Royaume-Uni ont réussi dans une certaine mesure à concilier les principes de justice sociale et de stabilité politique, bien qu'il ait fallu attendre au Canada plus de cent ans avant que le gouve</w:t>
      </w:r>
      <w:r w:rsidRPr="00BB0438">
        <w:rPr>
          <w:szCs w:val="16"/>
        </w:rPr>
        <w:t>r</w:t>
      </w:r>
      <w:r w:rsidRPr="00BB0438">
        <w:rPr>
          <w:szCs w:val="16"/>
        </w:rPr>
        <w:t>nement central se préoccupe du problème de la sous-représentation des francophones au sein de la fonction publique. En Turquie, la nég</w:t>
      </w:r>
      <w:r w:rsidRPr="00BB0438">
        <w:rPr>
          <w:szCs w:val="16"/>
        </w:rPr>
        <w:t>a</w:t>
      </w:r>
      <w:r w:rsidRPr="00BB0438">
        <w:rPr>
          <w:szCs w:val="16"/>
        </w:rPr>
        <w:t>tion de la réalité kurde et l'obsession sécuritaire, loin d'assurer la stab</w:t>
      </w:r>
      <w:r w:rsidRPr="00BB0438">
        <w:rPr>
          <w:szCs w:val="16"/>
        </w:rPr>
        <w:t>i</w:t>
      </w:r>
      <w:r w:rsidRPr="00BB0438">
        <w:rPr>
          <w:szCs w:val="16"/>
        </w:rPr>
        <w:t>lité de l'État turc, ont plutôt contribué à affaiblir la légitimité de la fonction publique auprès d'une forte proportion de la population ku</w:t>
      </w:r>
      <w:r w:rsidRPr="00BB0438">
        <w:rPr>
          <w:szCs w:val="16"/>
        </w:rPr>
        <w:t>r</w:t>
      </w:r>
      <w:r w:rsidRPr="00BB0438">
        <w:rPr>
          <w:szCs w:val="16"/>
        </w:rPr>
        <w:t>de. Le cas du Nig</w:t>
      </w:r>
      <w:r w:rsidRPr="00BB0438">
        <w:rPr>
          <w:szCs w:val="16"/>
        </w:rPr>
        <w:t>e</w:t>
      </w:r>
      <w:r w:rsidRPr="00BB0438">
        <w:rPr>
          <w:szCs w:val="16"/>
        </w:rPr>
        <w:t>ria, quant à lui, pose un problème bien différent. L'obsession pour une représentation proportionnelle de l'ensemble des groupes régionaux, censée redresser les injustices de la période col</w:t>
      </w:r>
      <w:r w:rsidRPr="00BB0438">
        <w:rPr>
          <w:szCs w:val="16"/>
        </w:rPr>
        <w:t>o</w:t>
      </w:r>
      <w:r w:rsidRPr="00BB0438">
        <w:rPr>
          <w:szCs w:val="16"/>
        </w:rPr>
        <w:t>niale et les inégalités politiques plus récentes, a eu pour effet de polit</w:t>
      </w:r>
      <w:r w:rsidRPr="00BB0438">
        <w:rPr>
          <w:szCs w:val="16"/>
        </w:rPr>
        <w:t>i</w:t>
      </w:r>
      <w:r w:rsidRPr="00BB0438">
        <w:rPr>
          <w:szCs w:val="16"/>
        </w:rPr>
        <w:t>ser la fonction publique et de mettre en question son efficacité. La stabilité politique du Nigeria en a gra</w:t>
      </w:r>
      <w:r w:rsidRPr="00BB0438">
        <w:rPr>
          <w:szCs w:val="16"/>
        </w:rPr>
        <w:t>n</w:t>
      </w:r>
      <w:r w:rsidRPr="00BB0438">
        <w:rPr>
          <w:szCs w:val="16"/>
        </w:rPr>
        <w:t>dement souffert.</w:t>
      </w:r>
    </w:p>
    <w:p w:rsidR="00F0581C" w:rsidRDefault="00F0581C" w:rsidP="00F0581C">
      <w:pPr>
        <w:spacing w:before="120" w:after="120"/>
        <w:jc w:val="both"/>
      </w:pPr>
      <w:r w:rsidRPr="00BB0438">
        <w:rPr>
          <w:szCs w:val="16"/>
        </w:rPr>
        <w:t>Or l'instauration d'une bureaucratie représentative, si elle est esse</w:t>
      </w:r>
      <w:r w:rsidRPr="00BB0438">
        <w:rPr>
          <w:szCs w:val="16"/>
        </w:rPr>
        <w:t>n</w:t>
      </w:r>
      <w:r w:rsidRPr="00BB0438">
        <w:rPr>
          <w:szCs w:val="16"/>
        </w:rPr>
        <w:t>tielle au bon fonctionnement de l'État, ne doit pas pour autant co</w:t>
      </w:r>
      <w:r w:rsidRPr="00BB0438">
        <w:rPr>
          <w:szCs w:val="16"/>
        </w:rPr>
        <w:t>m</w:t>
      </w:r>
      <w:r w:rsidRPr="00BB0438">
        <w:rPr>
          <w:szCs w:val="16"/>
        </w:rPr>
        <w:t>promettre son efficacité.</w:t>
      </w:r>
    </w:p>
    <w:sectPr w:rsidR="00F0581C" w:rsidSect="00F0581C">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66D" w:rsidRDefault="003A266D">
      <w:r>
        <w:separator/>
      </w:r>
    </w:p>
  </w:endnote>
  <w:endnote w:type="continuationSeparator" w:id="0">
    <w:p w:rsidR="003A266D" w:rsidRDefault="003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66D" w:rsidRDefault="003A266D">
      <w:pPr>
        <w:ind w:firstLine="0"/>
      </w:pPr>
      <w:r>
        <w:separator/>
      </w:r>
    </w:p>
  </w:footnote>
  <w:footnote w:type="continuationSeparator" w:id="0">
    <w:p w:rsidR="003A266D" w:rsidRDefault="003A266D">
      <w:pPr>
        <w:ind w:firstLine="0"/>
      </w:pPr>
      <w:r>
        <w:separator/>
      </w:r>
    </w:p>
  </w:footnote>
  <w:footnote w:id="1">
    <w:p w:rsidR="00F0581C" w:rsidRDefault="00F0581C">
      <w:pPr>
        <w:pStyle w:val="Notedebasdepage"/>
      </w:pPr>
      <w:r>
        <w:rPr>
          <w:rStyle w:val="Appelnotedebasdep"/>
        </w:rPr>
        <w:footnoteRef/>
      </w:r>
      <w:r>
        <w:t xml:space="preserve"> </w:t>
      </w:r>
      <w:r>
        <w:tab/>
      </w:r>
      <w:r w:rsidRPr="00AD1432">
        <w:rPr>
          <w:sz w:val="24"/>
          <w:szCs w:val="14"/>
        </w:rPr>
        <w:t xml:space="preserve">Voir entre autres Kymlicka (W.), </w:t>
      </w:r>
      <w:r w:rsidRPr="00AD1432">
        <w:rPr>
          <w:i/>
          <w:iCs/>
          <w:sz w:val="24"/>
          <w:szCs w:val="14"/>
        </w:rPr>
        <w:t>La citoyenneté multiculturelle. Une théorie libérale du droit des m</w:t>
      </w:r>
      <w:r w:rsidRPr="00AD1432">
        <w:rPr>
          <w:i/>
          <w:iCs/>
          <w:sz w:val="24"/>
          <w:szCs w:val="14"/>
        </w:rPr>
        <w:t>i</w:t>
      </w:r>
      <w:r w:rsidRPr="00AD1432">
        <w:rPr>
          <w:i/>
          <w:iCs/>
          <w:sz w:val="24"/>
          <w:szCs w:val="14"/>
        </w:rPr>
        <w:t xml:space="preserve">norités, </w:t>
      </w:r>
      <w:r w:rsidRPr="00AD1432">
        <w:rPr>
          <w:sz w:val="24"/>
          <w:szCs w:val="14"/>
        </w:rPr>
        <w:t xml:space="preserve">Montréal, Boréal, 2001 ; Tully (J.), « Introduction », </w:t>
      </w:r>
      <w:r w:rsidRPr="00AD1432">
        <w:rPr>
          <w:i/>
          <w:iCs/>
          <w:sz w:val="24"/>
          <w:szCs w:val="14"/>
        </w:rPr>
        <w:t xml:space="preserve">in </w:t>
      </w:r>
      <w:r w:rsidRPr="00AD1432">
        <w:rPr>
          <w:sz w:val="24"/>
          <w:szCs w:val="14"/>
        </w:rPr>
        <w:t xml:space="preserve">Gagnon (A.-G.) et Tully (J.) dir., </w:t>
      </w:r>
      <w:r w:rsidRPr="00AD1432">
        <w:rPr>
          <w:i/>
          <w:iCs/>
          <w:sz w:val="24"/>
          <w:szCs w:val="14"/>
        </w:rPr>
        <w:t>Multinational Democr</w:t>
      </w:r>
      <w:r w:rsidRPr="00AD1432">
        <w:rPr>
          <w:i/>
          <w:iCs/>
          <w:sz w:val="24"/>
          <w:szCs w:val="14"/>
        </w:rPr>
        <w:t>a</w:t>
      </w:r>
      <w:r w:rsidRPr="00AD1432">
        <w:rPr>
          <w:i/>
          <w:iCs/>
          <w:sz w:val="24"/>
          <w:szCs w:val="14"/>
        </w:rPr>
        <w:t xml:space="preserve">cies, </w:t>
      </w:r>
      <w:r w:rsidRPr="00AD1432">
        <w:rPr>
          <w:sz w:val="24"/>
          <w:szCs w:val="14"/>
        </w:rPr>
        <w:t>Cambridge, Cambridge Univers</w:t>
      </w:r>
      <w:r w:rsidRPr="00AD1432">
        <w:rPr>
          <w:sz w:val="24"/>
          <w:szCs w:val="14"/>
        </w:rPr>
        <w:t>i</w:t>
      </w:r>
      <w:r w:rsidRPr="00AD1432">
        <w:rPr>
          <w:sz w:val="24"/>
          <w:szCs w:val="14"/>
        </w:rPr>
        <w:t>ty Press, 2001, pp. 1-33.</w:t>
      </w:r>
    </w:p>
  </w:footnote>
  <w:footnote w:id="2">
    <w:p w:rsidR="00F0581C" w:rsidRDefault="00F0581C">
      <w:pPr>
        <w:pStyle w:val="Notedebasdepage"/>
      </w:pPr>
      <w:r>
        <w:rPr>
          <w:rStyle w:val="Appelnotedebasdep"/>
        </w:rPr>
        <w:footnoteRef/>
      </w:r>
      <w:r>
        <w:t xml:space="preserve"> </w:t>
      </w:r>
      <w:r>
        <w:tab/>
      </w:r>
      <w:r w:rsidRPr="00AD1432">
        <w:rPr>
          <w:sz w:val="24"/>
          <w:szCs w:val="14"/>
        </w:rPr>
        <w:t xml:space="preserve">Carens (J. H.) dir., </w:t>
      </w:r>
      <w:r w:rsidRPr="00AD1432">
        <w:rPr>
          <w:i/>
          <w:iCs/>
          <w:sz w:val="24"/>
          <w:szCs w:val="14"/>
        </w:rPr>
        <w:t>Is Québec Nationalism Just ? Perspectives from Angl</w:t>
      </w:r>
      <w:r w:rsidRPr="00AD1432">
        <w:rPr>
          <w:i/>
          <w:iCs/>
          <w:sz w:val="24"/>
          <w:szCs w:val="14"/>
        </w:rPr>
        <w:t>o</w:t>
      </w:r>
      <w:r w:rsidRPr="00AD1432">
        <w:rPr>
          <w:i/>
          <w:iCs/>
          <w:sz w:val="24"/>
          <w:szCs w:val="14"/>
        </w:rPr>
        <w:t xml:space="preserve">phone Canada, </w:t>
      </w:r>
      <w:r w:rsidRPr="00AD1432">
        <w:rPr>
          <w:sz w:val="24"/>
          <w:szCs w:val="14"/>
        </w:rPr>
        <w:t>Montréal-Kingston, McGill-Queen's Un</w:t>
      </w:r>
      <w:r w:rsidRPr="00AD1432">
        <w:rPr>
          <w:sz w:val="24"/>
          <w:szCs w:val="14"/>
        </w:rPr>
        <w:t>i</w:t>
      </w:r>
      <w:r w:rsidRPr="00AD1432">
        <w:rPr>
          <w:sz w:val="24"/>
          <w:szCs w:val="14"/>
        </w:rPr>
        <w:t xml:space="preserve">versity Press, 1995 ; Tamir (Y.), </w:t>
      </w:r>
      <w:r w:rsidRPr="00AD1432">
        <w:rPr>
          <w:i/>
          <w:iCs/>
          <w:sz w:val="24"/>
          <w:szCs w:val="14"/>
        </w:rPr>
        <w:t xml:space="preserve">Liberal Nationalism, </w:t>
      </w:r>
      <w:r w:rsidRPr="00AD1432">
        <w:rPr>
          <w:sz w:val="24"/>
          <w:szCs w:val="14"/>
        </w:rPr>
        <w:t>Princeton, Pri</w:t>
      </w:r>
      <w:r w:rsidRPr="00AD1432">
        <w:rPr>
          <w:sz w:val="24"/>
          <w:szCs w:val="14"/>
        </w:rPr>
        <w:t>n</w:t>
      </w:r>
      <w:r w:rsidRPr="00AD1432">
        <w:rPr>
          <w:sz w:val="24"/>
          <w:szCs w:val="14"/>
        </w:rPr>
        <w:t>ceton University Press, 1995.</w:t>
      </w:r>
    </w:p>
  </w:footnote>
  <w:footnote w:id="3">
    <w:p w:rsidR="00F0581C" w:rsidRDefault="00F0581C">
      <w:pPr>
        <w:pStyle w:val="Notedebasdepage"/>
      </w:pPr>
      <w:r>
        <w:rPr>
          <w:rStyle w:val="Appelnotedebasdep"/>
        </w:rPr>
        <w:footnoteRef/>
      </w:r>
      <w:r>
        <w:t xml:space="preserve"> </w:t>
      </w:r>
      <w:r>
        <w:tab/>
      </w:r>
      <w:r w:rsidRPr="00AD1432">
        <w:rPr>
          <w:sz w:val="24"/>
          <w:szCs w:val="14"/>
        </w:rPr>
        <w:t xml:space="preserve">Aldecoa (F.) et Keating (M.) dir., </w:t>
      </w:r>
      <w:r w:rsidRPr="00AD1432">
        <w:rPr>
          <w:i/>
          <w:iCs/>
          <w:sz w:val="24"/>
          <w:szCs w:val="14"/>
        </w:rPr>
        <w:t>Paradiplomacy in Action : The Foreign Relations of Subnational G</w:t>
      </w:r>
      <w:r w:rsidRPr="00AD1432">
        <w:rPr>
          <w:i/>
          <w:iCs/>
          <w:sz w:val="24"/>
          <w:szCs w:val="14"/>
        </w:rPr>
        <w:t>o</w:t>
      </w:r>
      <w:r w:rsidRPr="00AD1432">
        <w:rPr>
          <w:i/>
          <w:iCs/>
          <w:sz w:val="24"/>
          <w:szCs w:val="14"/>
        </w:rPr>
        <w:t xml:space="preserve">vernments, </w:t>
      </w:r>
      <w:r w:rsidRPr="00AD1432">
        <w:rPr>
          <w:sz w:val="24"/>
          <w:szCs w:val="14"/>
        </w:rPr>
        <w:t xml:space="preserve">Londres Frank Cass, 1999 ; Keating (M.), </w:t>
      </w:r>
      <w:r w:rsidRPr="00AD1432">
        <w:rPr>
          <w:i/>
          <w:iCs/>
          <w:sz w:val="24"/>
          <w:szCs w:val="14"/>
        </w:rPr>
        <w:t xml:space="preserve">Plurinational Democracy : Stateless Nations in a Post-Sovereignty Era, </w:t>
      </w:r>
      <w:r w:rsidRPr="00AD1432">
        <w:rPr>
          <w:sz w:val="24"/>
          <w:szCs w:val="14"/>
        </w:rPr>
        <w:t>Oxford, Oxford University Press, 2001.</w:t>
      </w:r>
    </w:p>
  </w:footnote>
  <w:footnote w:id="4">
    <w:p w:rsidR="00F0581C" w:rsidRDefault="00F0581C">
      <w:pPr>
        <w:pStyle w:val="Notedebasdepage"/>
      </w:pPr>
      <w:r>
        <w:rPr>
          <w:rStyle w:val="Appelnotedebasdep"/>
        </w:rPr>
        <w:footnoteRef/>
      </w:r>
      <w:r>
        <w:t xml:space="preserve"> </w:t>
      </w:r>
      <w:r>
        <w:tab/>
      </w:r>
      <w:r w:rsidRPr="00AD1432">
        <w:rPr>
          <w:sz w:val="24"/>
          <w:szCs w:val="14"/>
        </w:rPr>
        <w:t xml:space="preserve">Voir, entre autres, Gagnon (A.-G.) </w:t>
      </w:r>
      <w:r w:rsidRPr="00AD1432">
        <w:rPr>
          <w:i/>
          <w:iCs/>
          <w:sz w:val="24"/>
          <w:szCs w:val="14"/>
        </w:rPr>
        <w:t xml:space="preserve">et al </w:t>
      </w:r>
      <w:r w:rsidRPr="00AD1432">
        <w:rPr>
          <w:sz w:val="24"/>
          <w:szCs w:val="14"/>
        </w:rPr>
        <w:t xml:space="preserve">(dir.), </w:t>
      </w:r>
      <w:r w:rsidRPr="00AD1432">
        <w:rPr>
          <w:i/>
          <w:iCs/>
          <w:sz w:val="24"/>
          <w:szCs w:val="14"/>
        </w:rPr>
        <w:t xml:space="preserve">The Conditions of Diversity in Multinational Democracies, </w:t>
      </w:r>
      <w:r w:rsidRPr="00AD1432">
        <w:rPr>
          <w:sz w:val="24"/>
          <w:szCs w:val="14"/>
        </w:rPr>
        <w:t>Montréal, Institut de recherche en politiques p</w:t>
      </w:r>
      <w:r w:rsidRPr="00AD1432">
        <w:rPr>
          <w:sz w:val="24"/>
          <w:szCs w:val="14"/>
        </w:rPr>
        <w:t>u</w:t>
      </w:r>
      <w:r w:rsidRPr="00AD1432">
        <w:rPr>
          <w:sz w:val="24"/>
          <w:szCs w:val="14"/>
        </w:rPr>
        <w:t xml:space="preserve">bliques, 2002 ; McEwen (N.), </w:t>
      </w:r>
      <w:r w:rsidRPr="00AD1432">
        <w:rPr>
          <w:i/>
          <w:iCs/>
          <w:sz w:val="24"/>
          <w:szCs w:val="14"/>
        </w:rPr>
        <w:t>Nationalism and the State : Welfare and Ident</w:t>
      </w:r>
      <w:r w:rsidRPr="00AD1432">
        <w:rPr>
          <w:i/>
          <w:iCs/>
          <w:sz w:val="24"/>
          <w:szCs w:val="14"/>
        </w:rPr>
        <w:t>i</w:t>
      </w:r>
      <w:r w:rsidRPr="00AD1432">
        <w:rPr>
          <w:i/>
          <w:iCs/>
          <w:sz w:val="24"/>
          <w:szCs w:val="14"/>
        </w:rPr>
        <w:t xml:space="preserve">ty in Scotland and Québec, </w:t>
      </w:r>
      <w:r w:rsidRPr="00AD1432">
        <w:rPr>
          <w:sz w:val="24"/>
          <w:szCs w:val="14"/>
        </w:rPr>
        <w:t>Bruxelles, Presses interuniversitaires europée</w:t>
      </w:r>
      <w:r w:rsidRPr="00AD1432">
        <w:rPr>
          <w:sz w:val="24"/>
          <w:szCs w:val="14"/>
        </w:rPr>
        <w:t>n</w:t>
      </w:r>
      <w:r w:rsidRPr="00AD1432">
        <w:rPr>
          <w:sz w:val="24"/>
          <w:szCs w:val="14"/>
        </w:rPr>
        <w:t xml:space="preserve">nes/Peter Lang, 2006 ; Hossay (P.), </w:t>
      </w:r>
      <w:r w:rsidRPr="00AD1432">
        <w:rPr>
          <w:i/>
          <w:iCs/>
          <w:sz w:val="24"/>
          <w:szCs w:val="14"/>
        </w:rPr>
        <w:t>Contentions of Nationhood : Nationalist Movements, Political Conftict, and Social Change in Flanders, Scotland, and French Can</w:t>
      </w:r>
      <w:r w:rsidRPr="00AD1432">
        <w:rPr>
          <w:i/>
          <w:iCs/>
          <w:sz w:val="24"/>
          <w:szCs w:val="14"/>
        </w:rPr>
        <w:t>a</w:t>
      </w:r>
      <w:r w:rsidRPr="00AD1432">
        <w:rPr>
          <w:i/>
          <w:iCs/>
          <w:sz w:val="24"/>
          <w:szCs w:val="14"/>
        </w:rPr>
        <w:t xml:space="preserve">da, </w:t>
      </w:r>
      <w:r w:rsidRPr="00AD1432">
        <w:rPr>
          <w:sz w:val="24"/>
          <w:szCs w:val="14"/>
        </w:rPr>
        <w:t>Lanham, MD, Lexington Books, 2002.</w:t>
      </w:r>
    </w:p>
  </w:footnote>
  <w:footnote w:id="5">
    <w:p w:rsidR="00F0581C" w:rsidRDefault="00F0581C">
      <w:pPr>
        <w:pStyle w:val="Notedebasdepage"/>
      </w:pPr>
      <w:r>
        <w:rPr>
          <w:rStyle w:val="Appelnotedebasdep"/>
        </w:rPr>
        <w:footnoteRef/>
      </w:r>
      <w:r>
        <w:t xml:space="preserve"> </w:t>
      </w:r>
      <w:r>
        <w:tab/>
      </w:r>
      <w:r w:rsidRPr="00AD1432">
        <w:rPr>
          <w:sz w:val="24"/>
          <w:szCs w:val="14"/>
        </w:rPr>
        <w:t xml:space="preserve">Lipsky (M.), </w:t>
      </w:r>
      <w:r w:rsidRPr="00AD1432">
        <w:rPr>
          <w:i/>
          <w:iCs/>
          <w:sz w:val="24"/>
          <w:szCs w:val="14"/>
        </w:rPr>
        <w:t>Street-Level Bureaucracy : Dilemmas of the Ind</w:t>
      </w:r>
      <w:r w:rsidRPr="00AD1432">
        <w:rPr>
          <w:i/>
          <w:iCs/>
          <w:sz w:val="24"/>
          <w:szCs w:val="14"/>
        </w:rPr>
        <w:t>i</w:t>
      </w:r>
      <w:r w:rsidRPr="00AD1432">
        <w:rPr>
          <w:i/>
          <w:iCs/>
          <w:sz w:val="24"/>
          <w:szCs w:val="14"/>
        </w:rPr>
        <w:t xml:space="preserve">vidual in Public Services, </w:t>
      </w:r>
      <w:r w:rsidRPr="00AD1432">
        <w:rPr>
          <w:sz w:val="24"/>
          <w:szCs w:val="14"/>
        </w:rPr>
        <w:t>New York, Russell Sage Foundation, 1980.</w:t>
      </w:r>
    </w:p>
  </w:footnote>
  <w:footnote w:id="6">
    <w:p w:rsidR="00F0581C" w:rsidRDefault="00F0581C">
      <w:pPr>
        <w:pStyle w:val="Notedebasdepage"/>
      </w:pPr>
      <w:r>
        <w:rPr>
          <w:rStyle w:val="Appelnotedebasdep"/>
        </w:rPr>
        <w:footnoteRef/>
      </w:r>
      <w:r>
        <w:t xml:space="preserve"> </w:t>
      </w:r>
      <w:r>
        <w:tab/>
      </w:r>
      <w:r w:rsidRPr="00AD1432">
        <w:rPr>
          <w:sz w:val="24"/>
          <w:szCs w:val="14"/>
        </w:rPr>
        <w:t>Esman (M. J.), « Public Administration and Conflict Manag</w:t>
      </w:r>
      <w:r w:rsidRPr="00AD1432">
        <w:rPr>
          <w:sz w:val="24"/>
          <w:szCs w:val="14"/>
        </w:rPr>
        <w:t>e</w:t>
      </w:r>
      <w:r w:rsidRPr="00AD1432">
        <w:rPr>
          <w:sz w:val="24"/>
          <w:szCs w:val="14"/>
        </w:rPr>
        <w:t xml:space="preserve">ment in Plural Societies : the Case for Representative Bureaucracy », </w:t>
      </w:r>
      <w:r w:rsidRPr="00AD1432">
        <w:rPr>
          <w:i/>
          <w:iCs/>
          <w:sz w:val="24"/>
          <w:szCs w:val="14"/>
        </w:rPr>
        <w:t>Public Administr</w:t>
      </w:r>
      <w:r w:rsidRPr="00AD1432">
        <w:rPr>
          <w:i/>
          <w:iCs/>
          <w:sz w:val="24"/>
          <w:szCs w:val="14"/>
        </w:rPr>
        <w:t>a</w:t>
      </w:r>
      <w:r w:rsidRPr="00AD1432">
        <w:rPr>
          <w:i/>
          <w:iCs/>
          <w:sz w:val="24"/>
          <w:szCs w:val="14"/>
        </w:rPr>
        <w:t xml:space="preserve">tion and Development, </w:t>
      </w:r>
      <w:r w:rsidRPr="00AD1432">
        <w:rPr>
          <w:sz w:val="24"/>
          <w:szCs w:val="14"/>
        </w:rPr>
        <w:t>vol. 19, no. 4, 1999, pp. 353-66.</w:t>
      </w:r>
    </w:p>
  </w:footnote>
  <w:footnote w:id="7">
    <w:p w:rsidR="00F0581C" w:rsidRDefault="00F0581C">
      <w:pPr>
        <w:pStyle w:val="Notedebasdepage"/>
      </w:pPr>
      <w:r>
        <w:rPr>
          <w:rStyle w:val="Appelnotedebasdep"/>
        </w:rPr>
        <w:footnoteRef/>
      </w:r>
      <w:r>
        <w:t xml:space="preserve"> </w:t>
      </w:r>
      <w:r>
        <w:tab/>
      </w:r>
      <w:r w:rsidRPr="00AD1432">
        <w:rPr>
          <w:sz w:val="24"/>
          <w:szCs w:val="14"/>
        </w:rPr>
        <w:t>Pour un aperçu de la littérature sur la bureaucratie représentative, voir Do</w:t>
      </w:r>
      <w:r w:rsidRPr="00AD1432">
        <w:rPr>
          <w:sz w:val="24"/>
          <w:szCs w:val="14"/>
        </w:rPr>
        <w:t>l</w:t>
      </w:r>
      <w:r w:rsidRPr="00AD1432">
        <w:rPr>
          <w:sz w:val="24"/>
          <w:szCs w:val="14"/>
        </w:rPr>
        <w:t xml:space="preserve">han (J.) et Rosenbloom (D.H.), dir., </w:t>
      </w:r>
      <w:r w:rsidRPr="00AD1432">
        <w:rPr>
          <w:i/>
          <w:iCs/>
          <w:sz w:val="24"/>
          <w:szCs w:val="14"/>
        </w:rPr>
        <w:t>Representative Bureaucracy : Classic Re</w:t>
      </w:r>
      <w:r w:rsidRPr="00AD1432">
        <w:rPr>
          <w:i/>
          <w:iCs/>
          <w:sz w:val="24"/>
          <w:szCs w:val="14"/>
        </w:rPr>
        <w:t>a</w:t>
      </w:r>
      <w:r w:rsidRPr="00AD1432">
        <w:rPr>
          <w:i/>
          <w:iCs/>
          <w:sz w:val="24"/>
          <w:szCs w:val="14"/>
        </w:rPr>
        <w:t xml:space="preserve">dings and Continuing Controversies, </w:t>
      </w:r>
      <w:r w:rsidRPr="00AD1432">
        <w:rPr>
          <w:sz w:val="24"/>
          <w:szCs w:val="14"/>
        </w:rPr>
        <w:t>Armonk, NY, M.E. Sharpe, 2003.</w:t>
      </w:r>
    </w:p>
  </w:footnote>
  <w:footnote w:id="8">
    <w:p w:rsidR="00F0581C" w:rsidRDefault="00F0581C">
      <w:pPr>
        <w:pStyle w:val="Notedebasdepage"/>
      </w:pPr>
      <w:r>
        <w:rPr>
          <w:rStyle w:val="Appelnotedebasdep"/>
        </w:rPr>
        <w:footnoteRef/>
      </w:r>
      <w:r>
        <w:t xml:space="preserve"> </w:t>
      </w:r>
      <w:r>
        <w:tab/>
      </w:r>
      <w:r w:rsidRPr="00AD1432">
        <w:rPr>
          <w:sz w:val="24"/>
          <w:szCs w:val="14"/>
        </w:rPr>
        <w:t>Pour un résumé des débats sur cette question au Canada, voir Ke</w:t>
      </w:r>
      <w:r w:rsidRPr="00AD1432">
        <w:rPr>
          <w:sz w:val="24"/>
          <w:szCs w:val="14"/>
        </w:rPr>
        <w:t>r</w:t>
      </w:r>
      <w:r w:rsidRPr="00AD1432">
        <w:rPr>
          <w:sz w:val="24"/>
          <w:szCs w:val="14"/>
        </w:rPr>
        <w:t xml:space="preserve">naghan (K.) et Siegel (D.), </w:t>
      </w:r>
      <w:r w:rsidRPr="00AD1432">
        <w:rPr>
          <w:i/>
          <w:iCs/>
          <w:sz w:val="24"/>
          <w:szCs w:val="14"/>
        </w:rPr>
        <w:t xml:space="preserve">Public Administration in Canada, </w:t>
      </w:r>
      <w:r w:rsidRPr="00AD1432">
        <w:rPr>
          <w:sz w:val="24"/>
          <w:szCs w:val="14"/>
        </w:rPr>
        <w:t>3</w:t>
      </w:r>
      <w:r w:rsidRPr="00AD1432">
        <w:rPr>
          <w:sz w:val="24"/>
          <w:szCs w:val="14"/>
          <w:vertAlign w:val="superscript"/>
        </w:rPr>
        <w:t>e</w:t>
      </w:r>
      <w:r w:rsidRPr="00AD1432">
        <w:rPr>
          <w:sz w:val="24"/>
          <w:szCs w:val="14"/>
        </w:rPr>
        <w:t xml:space="preserve"> édition, Toronto, Ne</w:t>
      </w:r>
      <w:r w:rsidRPr="00AD1432">
        <w:rPr>
          <w:sz w:val="24"/>
          <w:szCs w:val="14"/>
        </w:rPr>
        <w:t>l</w:t>
      </w:r>
      <w:r w:rsidRPr="00AD1432">
        <w:rPr>
          <w:sz w:val="24"/>
          <w:szCs w:val="14"/>
        </w:rPr>
        <w:t>son Canada, 1995, pp. 569-570.</w:t>
      </w:r>
    </w:p>
  </w:footnote>
  <w:footnote w:id="9">
    <w:p w:rsidR="00F0581C" w:rsidRDefault="00F0581C">
      <w:pPr>
        <w:pStyle w:val="Notedebasdepage"/>
      </w:pPr>
      <w:r>
        <w:rPr>
          <w:rStyle w:val="Appelnotedebasdep"/>
        </w:rPr>
        <w:footnoteRef/>
      </w:r>
      <w:r>
        <w:t xml:space="preserve"> </w:t>
      </w:r>
      <w:r>
        <w:tab/>
      </w:r>
      <w:r w:rsidRPr="00AD1432">
        <w:rPr>
          <w:sz w:val="24"/>
          <w:szCs w:val="14"/>
        </w:rPr>
        <w:t xml:space="preserve">Dieckhoff (A.), </w:t>
      </w:r>
      <w:r w:rsidRPr="00AD1432">
        <w:rPr>
          <w:i/>
          <w:iCs/>
          <w:sz w:val="24"/>
          <w:szCs w:val="14"/>
        </w:rPr>
        <w:t>La nation dans tous ses États : les identités n</w:t>
      </w:r>
      <w:r w:rsidRPr="00AD1432">
        <w:rPr>
          <w:i/>
          <w:iCs/>
          <w:sz w:val="24"/>
          <w:szCs w:val="14"/>
        </w:rPr>
        <w:t>a</w:t>
      </w:r>
      <w:r w:rsidRPr="00AD1432">
        <w:rPr>
          <w:i/>
          <w:iCs/>
          <w:sz w:val="24"/>
          <w:szCs w:val="14"/>
        </w:rPr>
        <w:t xml:space="preserve">tionales en mouvement, </w:t>
      </w:r>
      <w:r w:rsidRPr="00AD1432">
        <w:rPr>
          <w:sz w:val="24"/>
          <w:szCs w:val="14"/>
        </w:rPr>
        <w:t>Paris, Flamm</w:t>
      </w:r>
      <w:r w:rsidRPr="00AD1432">
        <w:rPr>
          <w:sz w:val="24"/>
          <w:szCs w:val="14"/>
        </w:rPr>
        <w:t>a</w:t>
      </w:r>
      <w:r w:rsidRPr="00AD1432">
        <w:rPr>
          <w:sz w:val="24"/>
          <w:szCs w:val="14"/>
        </w:rPr>
        <w:t>rion, 2000, pp. 182-183.</w:t>
      </w:r>
    </w:p>
  </w:footnote>
  <w:footnote w:id="10">
    <w:p w:rsidR="00F0581C" w:rsidRDefault="00F0581C">
      <w:pPr>
        <w:pStyle w:val="Notedebasdepage"/>
      </w:pPr>
      <w:r>
        <w:rPr>
          <w:rStyle w:val="Appelnotedebasdep"/>
        </w:rPr>
        <w:footnoteRef/>
      </w:r>
      <w:r>
        <w:t xml:space="preserve"> </w:t>
      </w:r>
      <w:r>
        <w:tab/>
      </w:r>
      <w:r w:rsidRPr="00AD1432">
        <w:rPr>
          <w:sz w:val="24"/>
          <w:szCs w:val="14"/>
        </w:rPr>
        <w:t xml:space="preserve">Kymlicka (W.), </w:t>
      </w:r>
      <w:r w:rsidRPr="00AD1432">
        <w:rPr>
          <w:i/>
          <w:iCs/>
          <w:sz w:val="24"/>
          <w:szCs w:val="14"/>
        </w:rPr>
        <w:t xml:space="preserve">La citoyenneté multiculturelle, op. cit. </w:t>
      </w:r>
      <w:r w:rsidRPr="00AD1432">
        <w:rPr>
          <w:sz w:val="24"/>
          <w:szCs w:val="14"/>
        </w:rPr>
        <w:t>(note 1), p. 29.</w:t>
      </w:r>
    </w:p>
  </w:footnote>
  <w:footnote w:id="11">
    <w:p w:rsidR="00F0581C" w:rsidRDefault="00F0581C">
      <w:pPr>
        <w:pStyle w:val="Notedebasdepage"/>
      </w:pPr>
      <w:r>
        <w:rPr>
          <w:rStyle w:val="Appelnotedebasdep"/>
        </w:rPr>
        <w:footnoteRef/>
      </w:r>
      <w:r>
        <w:t xml:space="preserve"> </w:t>
      </w:r>
      <w:r>
        <w:tab/>
      </w:r>
      <w:r w:rsidRPr="00AD1432">
        <w:rPr>
          <w:i/>
          <w:iCs/>
          <w:sz w:val="24"/>
          <w:szCs w:val="14"/>
        </w:rPr>
        <w:t xml:space="preserve">Ibid., </w:t>
      </w:r>
      <w:r w:rsidRPr="00AD1432">
        <w:rPr>
          <w:sz w:val="24"/>
          <w:szCs w:val="14"/>
        </w:rPr>
        <w:t>p. 115.</w:t>
      </w:r>
    </w:p>
  </w:footnote>
  <w:footnote w:id="12">
    <w:p w:rsidR="00F0581C" w:rsidRDefault="00F0581C">
      <w:pPr>
        <w:pStyle w:val="Notedebasdepage"/>
      </w:pPr>
      <w:r>
        <w:rPr>
          <w:rStyle w:val="Appelnotedebasdep"/>
        </w:rPr>
        <w:footnoteRef/>
      </w:r>
      <w:r>
        <w:t xml:space="preserve"> </w:t>
      </w:r>
      <w:r>
        <w:tab/>
      </w:r>
      <w:r w:rsidRPr="00AD1432">
        <w:rPr>
          <w:sz w:val="24"/>
          <w:szCs w:val="14"/>
        </w:rPr>
        <w:t xml:space="preserve">Rokkan (S.) et Urwin (D.), </w:t>
      </w:r>
      <w:r w:rsidRPr="00AD1432">
        <w:rPr>
          <w:i/>
          <w:iCs/>
          <w:sz w:val="24"/>
          <w:szCs w:val="14"/>
        </w:rPr>
        <w:t>Economy, Territory, Identity. Politics of West E</w:t>
      </w:r>
      <w:r w:rsidRPr="00AD1432">
        <w:rPr>
          <w:i/>
          <w:iCs/>
          <w:sz w:val="24"/>
          <w:szCs w:val="14"/>
        </w:rPr>
        <w:t>u</w:t>
      </w:r>
      <w:r w:rsidRPr="00AD1432">
        <w:rPr>
          <w:i/>
          <w:iCs/>
          <w:sz w:val="24"/>
          <w:szCs w:val="14"/>
        </w:rPr>
        <w:t xml:space="preserve">ropean Péripheries, </w:t>
      </w:r>
      <w:r w:rsidRPr="00AD1432">
        <w:rPr>
          <w:sz w:val="24"/>
          <w:szCs w:val="14"/>
        </w:rPr>
        <w:t>Londres, Sage, 1983. Notre ada</w:t>
      </w:r>
      <w:r w:rsidRPr="00AD1432">
        <w:rPr>
          <w:sz w:val="24"/>
          <w:szCs w:val="14"/>
        </w:rPr>
        <w:t>p</w:t>
      </w:r>
      <w:r w:rsidRPr="00AD1432">
        <w:rPr>
          <w:sz w:val="24"/>
          <w:szCs w:val="14"/>
        </w:rPr>
        <w:t>tation de leur modèle a été influencée par l'analyse de Michael Ke</w:t>
      </w:r>
      <w:r w:rsidRPr="00AD1432">
        <w:rPr>
          <w:sz w:val="24"/>
          <w:szCs w:val="14"/>
        </w:rPr>
        <w:t>a</w:t>
      </w:r>
      <w:r w:rsidRPr="00AD1432">
        <w:rPr>
          <w:sz w:val="24"/>
          <w:szCs w:val="14"/>
        </w:rPr>
        <w:t>ting dans « So Many Nations, So Few States : Territory and Nation</w:t>
      </w:r>
      <w:r w:rsidRPr="00AD1432">
        <w:rPr>
          <w:sz w:val="24"/>
          <w:szCs w:val="14"/>
        </w:rPr>
        <w:t>a</w:t>
      </w:r>
      <w:r w:rsidRPr="00AD1432">
        <w:rPr>
          <w:sz w:val="24"/>
          <w:szCs w:val="14"/>
        </w:rPr>
        <w:t xml:space="preserve">lism in the Global Era », dans Gagnon (A.G.) et Tully (J.), dir., </w:t>
      </w:r>
      <w:r w:rsidRPr="00AD1432">
        <w:rPr>
          <w:i/>
          <w:iCs/>
          <w:sz w:val="24"/>
          <w:szCs w:val="14"/>
        </w:rPr>
        <w:t>Mult</w:t>
      </w:r>
      <w:r w:rsidRPr="00AD1432">
        <w:rPr>
          <w:i/>
          <w:iCs/>
          <w:sz w:val="24"/>
          <w:szCs w:val="14"/>
        </w:rPr>
        <w:t>i</w:t>
      </w:r>
      <w:r w:rsidRPr="00AD1432">
        <w:rPr>
          <w:i/>
          <w:iCs/>
          <w:sz w:val="24"/>
          <w:szCs w:val="14"/>
        </w:rPr>
        <w:t xml:space="preserve">national Democraties, op. cit. </w:t>
      </w:r>
      <w:r w:rsidRPr="00AD1432">
        <w:rPr>
          <w:sz w:val="24"/>
          <w:szCs w:val="14"/>
        </w:rPr>
        <w:t>(note 1), pp. 39-64.</w:t>
      </w:r>
    </w:p>
  </w:footnote>
  <w:footnote w:id="13">
    <w:p w:rsidR="00F0581C" w:rsidRDefault="00F0581C">
      <w:pPr>
        <w:pStyle w:val="Notedebasdepage"/>
      </w:pPr>
      <w:r>
        <w:rPr>
          <w:rStyle w:val="Appelnotedebasdep"/>
        </w:rPr>
        <w:footnoteRef/>
      </w:r>
      <w:r>
        <w:t xml:space="preserve"> </w:t>
      </w:r>
      <w:r>
        <w:tab/>
      </w:r>
      <w:r w:rsidRPr="00AD1432">
        <w:rPr>
          <w:sz w:val="24"/>
          <w:szCs w:val="14"/>
        </w:rPr>
        <w:t xml:space="preserve">Dieckhoff (A.), </w:t>
      </w:r>
      <w:r w:rsidRPr="00AD1432">
        <w:rPr>
          <w:i/>
          <w:iCs/>
          <w:sz w:val="24"/>
          <w:szCs w:val="14"/>
        </w:rPr>
        <w:t xml:space="preserve">La Nation dans tous ses États, op. cit. </w:t>
      </w:r>
      <w:r w:rsidRPr="00AD1432">
        <w:rPr>
          <w:sz w:val="24"/>
          <w:szCs w:val="14"/>
        </w:rPr>
        <w:t>(note 9) p. 163.</w:t>
      </w:r>
    </w:p>
  </w:footnote>
  <w:footnote w:id="14">
    <w:p w:rsidR="00F0581C" w:rsidRDefault="00F0581C">
      <w:pPr>
        <w:pStyle w:val="Notedebasdepage"/>
      </w:pPr>
      <w:r>
        <w:rPr>
          <w:rStyle w:val="Appelnotedebasdep"/>
        </w:rPr>
        <w:footnoteRef/>
      </w:r>
      <w:r>
        <w:t xml:space="preserve"> </w:t>
      </w:r>
      <w:r>
        <w:tab/>
      </w:r>
      <w:r w:rsidRPr="00AD1432">
        <w:rPr>
          <w:sz w:val="24"/>
          <w:szCs w:val="14"/>
        </w:rPr>
        <w:t xml:space="preserve">Kramer (H.), </w:t>
      </w:r>
      <w:r w:rsidRPr="00AD1432">
        <w:rPr>
          <w:i/>
          <w:iCs/>
          <w:sz w:val="24"/>
          <w:szCs w:val="14"/>
        </w:rPr>
        <w:t>A Changing Turkey : The Challenge to Europe and the Un</w:t>
      </w:r>
      <w:r w:rsidRPr="00AD1432">
        <w:rPr>
          <w:i/>
          <w:iCs/>
          <w:sz w:val="24"/>
          <w:szCs w:val="14"/>
        </w:rPr>
        <w:t>i</w:t>
      </w:r>
      <w:r w:rsidRPr="00AD1432">
        <w:rPr>
          <w:i/>
          <w:iCs/>
          <w:sz w:val="24"/>
          <w:szCs w:val="14"/>
        </w:rPr>
        <w:t xml:space="preserve">ted States, </w:t>
      </w:r>
      <w:r w:rsidRPr="00AD1432">
        <w:rPr>
          <w:sz w:val="24"/>
          <w:szCs w:val="14"/>
        </w:rPr>
        <w:t>Washington, Bro</w:t>
      </w:r>
      <w:r w:rsidRPr="00AD1432">
        <w:rPr>
          <w:sz w:val="24"/>
          <w:szCs w:val="14"/>
        </w:rPr>
        <w:t>o</w:t>
      </w:r>
      <w:r w:rsidRPr="00AD1432">
        <w:rPr>
          <w:sz w:val="24"/>
          <w:szCs w:val="14"/>
        </w:rPr>
        <w:t>kings Institute, 2001, p. 43. Notre traduction.</w:t>
      </w:r>
    </w:p>
  </w:footnote>
  <w:footnote w:id="15">
    <w:p w:rsidR="00F0581C" w:rsidRDefault="00F0581C">
      <w:pPr>
        <w:pStyle w:val="Notedebasdepage"/>
      </w:pPr>
      <w:r>
        <w:rPr>
          <w:rStyle w:val="Appelnotedebasdep"/>
        </w:rPr>
        <w:footnoteRef/>
      </w:r>
      <w:r>
        <w:t xml:space="preserve"> </w:t>
      </w:r>
      <w:r>
        <w:tab/>
      </w:r>
      <w:r w:rsidRPr="00AD1432">
        <w:rPr>
          <w:sz w:val="24"/>
          <w:szCs w:val="14"/>
        </w:rPr>
        <w:t xml:space="preserve">Rokkan (S.) et Urwin (D.), </w:t>
      </w:r>
      <w:r w:rsidRPr="00AD1432">
        <w:rPr>
          <w:i/>
          <w:iCs/>
          <w:sz w:val="24"/>
          <w:szCs w:val="14"/>
        </w:rPr>
        <w:t>Economy, Territory, Ide</w:t>
      </w:r>
      <w:r w:rsidRPr="00AD1432">
        <w:rPr>
          <w:i/>
          <w:iCs/>
          <w:sz w:val="24"/>
          <w:szCs w:val="14"/>
        </w:rPr>
        <w:t>n</w:t>
      </w:r>
      <w:r w:rsidRPr="00AD1432">
        <w:rPr>
          <w:i/>
          <w:iCs/>
          <w:sz w:val="24"/>
          <w:szCs w:val="14"/>
        </w:rPr>
        <w:t xml:space="preserve">tity, op. cit. </w:t>
      </w:r>
      <w:r w:rsidRPr="00AD1432">
        <w:rPr>
          <w:sz w:val="24"/>
          <w:szCs w:val="14"/>
        </w:rPr>
        <w:t>(note 12), p. 11. Notre traduction.</w:t>
      </w:r>
    </w:p>
  </w:footnote>
  <w:footnote w:id="16">
    <w:p w:rsidR="00F0581C" w:rsidRDefault="00F0581C">
      <w:pPr>
        <w:pStyle w:val="Notedebasdepage"/>
      </w:pPr>
      <w:r>
        <w:rPr>
          <w:rStyle w:val="Appelnotedebasdep"/>
        </w:rPr>
        <w:footnoteRef/>
      </w:r>
      <w:r>
        <w:t xml:space="preserve"> </w:t>
      </w:r>
      <w:r>
        <w:tab/>
      </w:r>
      <w:r w:rsidRPr="00AD1432">
        <w:rPr>
          <w:sz w:val="24"/>
          <w:szCs w:val="14"/>
        </w:rPr>
        <w:t>Gagnon (A.G.) et Turgeon (L.), « Managing Diversity in Eighteenth and N</w:t>
      </w:r>
      <w:r w:rsidRPr="00AD1432">
        <w:rPr>
          <w:sz w:val="24"/>
          <w:szCs w:val="14"/>
        </w:rPr>
        <w:t>i</w:t>
      </w:r>
      <w:r w:rsidRPr="00AD1432">
        <w:rPr>
          <w:sz w:val="24"/>
          <w:szCs w:val="14"/>
        </w:rPr>
        <w:t>neteenth Century Canada : Québec's Constitutional D</w:t>
      </w:r>
      <w:r w:rsidRPr="00AD1432">
        <w:rPr>
          <w:sz w:val="24"/>
          <w:szCs w:val="14"/>
        </w:rPr>
        <w:t>e</w:t>
      </w:r>
      <w:r w:rsidRPr="00AD1432">
        <w:rPr>
          <w:sz w:val="24"/>
          <w:szCs w:val="14"/>
        </w:rPr>
        <w:t xml:space="preserve">velopment in Light of the Scottish Experience », </w:t>
      </w:r>
      <w:r w:rsidRPr="00AD1432">
        <w:rPr>
          <w:i/>
          <w:iCs/>
          <w:sz w:val="24"/>
          <w:szCs w:val="14"/>
        </w:rPr>
        <w:t>Commonwealth and Compar</w:t>
      </w:r>
      <w:r w:rsidRPr="00AD1432">
        <w:rPr>
          <w:i/>
          <w:iCs/>
          <w:sz w:val="24"/>
          <w:szCs w:val="14"/>
        </w:rPr>
        <w:t>a</w:t>
      </w:r>
      <w:r w:rsidRPr="00AD1432">
        <w:rPr>
          <w:i/>
          <w:iCs/>
          <w:sz w:val="24"/>
          <w:szCs w:val="14"/>
        </w:rPr>
        <w:t xml:space="preserve">tive Politics, </w:t>
      </w:r>
      <w:r w:rsidRPr="00AD1432">
        <w:rPr>
          <w:sz w:val="24"/>
          <w:szCs w:val="14"/>
        </w:rPr>
        <w:t>vol. 41, no. 1, 2003, p</w:t>
      </w:r>
      <w:r>
        <w:rPr>
          <w:sz w:val="24"/>
          <w:szCs w:val="14"/>
        </w:rPr>
        <w:t>p</w:t>
      </w:r>
      <w:r w:rsidRPr="00AD1432">
        <w:rPr>
          <w:sz w:val="24"/>
          <w:szCs w:val="14"/>
        </w:rPr>
        <w:t>. 1-23.</w:t>
      </w:r>
    </w:p>
  </w:footnote>
  <w:footnote w:id="17">
    <w:p w:rsidR="00F0581C" w:rsidRDefault="00F0581C">
      <w:pPr>
        <w:pStyle w:val="Notedebasdepage"/>
      </w:pPr>
      <w:r>
        <w:rPr>
          <w:rStyle w:val="Appelnotedebasdep"/>
        </w:rPr>
        <w:footnoteRef/>
      </w:r>
      <w:r>
        <w:t xml:space="preserve"> </w:t>
      </w:r>
      <w:r>
        <w:tab/>
      </w:r>
      <w:r w:rsidRPr="00AD1432">
        <w:rPr>
          <w:sz w:val="24"/>
          <w:szCs w:val="14"/>
        </w:rPr>
        <w:t xml:space="preserve">Paterson (L.), </w:t>
      </w:r>
      <w:r w:rsidRPr="00AD1432">
        <w:rPr>
          <w:i/>
          <w:iCs/>
          <w:sz w:val="24"/>
          <w:szCs w:val="14"/>
        </w:rPr>
        <w:t xml:space="preserve">The Autonomy of Modern Scotland, </w:t>
      </w:r>
      <w:r w:rsidRPr="00AD1432">
        <w:rPr>
          <w:sz w:val="24"/>
          <w:szCs w:val="14"/>
        </w:rPr>
        <w:t>Edimbourg, Edinburgh University Press, 1994, p. 44. Notre traduction.</w:t>
      </w:r>
    </w:p>
  </w:footnote>
  <w:footnote w:id="18">
    <w:p w:rsidR="00F0581C" w:rsidRDefault="00F0581C">
      <w:pPr>
        <w:pStyle w:val="Notedebasdepage"/>
      </w:pPr>
      <w:r>
        <w:rPr>
          <w:rStyle w:val="Appelnotedebasdep"/>
        </w:rPr>
        <w:footnoteRef/>
      </w:r>
      <w:r>
        <w:t xml:space="preserve"> </w:t>
      </w:r>
      <w:r>
        <w:tab/>
      </w:r>
      <w:r w:rsidRPr="00AD1432">
        <w:rPr>
          <w:sz w:val="24"/>
          <w:szCs w:val="14"/>
        </w:rPr>
        <w:t>À maints égards, la Constitution de 1867 redonnait aux Québ</w:t>
      </w:r>
      <w:r w:rsidRPr="00AD1432">
        <w:rPr>
          <w:sz w:val="24"/>
          <w:szCs w:val="14"/>
        </w:rPr>
        <w:t>é</w:t>
      </w:r>
      <w:r w:rsidRPr="00AD1432">
        <w:rPr>
          <w:sz w:val="24"/>
          <w:szCs w:val="14"/>
        </w:rPr>
        <w:t>cois ce qu'ils avaient acquis au m</w:t>
      </w:r>
      <w:r w:rsidRPr="00AD1432">
        <w:rPr>
          <w:sz w:val="24"/>
          <w:szCs w:val="14"/>
        </w:rPr>
        <w:t>o</w:t>
      </w:r>
      <w:r w:rsidRPr="00AD1432">
        <w:rPr>
          <w:sz w:val="24"/>
          <w:szCs w:val="14"/>
        </w:rPr>
        <w:t>ment de l'Acte de Québec de 1774.</w:t>
      </w:r>
    </w:p>
  </w:footnote>
  <w:footnote w:id="19">
    <w:p w:rsidR="00F0581C" w:rsidRDefault="00F0581C">
      <w:pPr>
        <w:pStyle w:val="Notedebasdepage"/>
      </w:pPr>
      <w:r>
        <w:rPr>
          <w:rStyle w:val="Appelnotedebasdep"/>
        </w:rPr>
        <w:footnoteRef/>
      </w:r>
      <w:r>
        <w:t xml:space="preserve"> </w:t>
      </w:r>
      <w:r>
        <w:tab/>
      </w:r>
      <w:r w:rsidRPr="00AD1432">
        <w:rPr>
          <w:sz w:val="24"/>
          <w:szCs w:val="14"/>
        </w:rPr>
        <w:t xml:space="preserve">LaSelva (S.), </w:t>
      </w:r>
      <w:r w:rsidRPr="00AD1432">
        <w:rPr>
          <w:i/>
          <w:iCs/>
          <w:sz w:val="24"/>
          <w:szCs w:val="14"/>
        </w:rPr>
        <w:t xml:space="preserve">The Moral Foundation of Canadian Federalism, </w:t>
      </w:r>
      <w:r w:rsidRPr="00AD1432">
        <w:rPr>
          <w:sz w:val="24"/>
          <w:szCs w:val="14"/>
        </w:rPr>
        <w:t>Montréal-Kingston, McGill-Queen's Un</w:t>
      </w:r>
      <w:r w:rsidRPr="00AD1432">
        <w:rPr>
          <w:sz w:val="24"/>
          <w:szCs w:val="14"/>
        </w:rPr>
        <w:t>i</w:t>
      </w:r>
      <w:r w:rsidRPr="00AD1432">
        <w:rPr>
          <w:sz w:val="24"/>
          <w:szCs w:val="14"/>
        </w:rPr>
        <w:t>versity Press, 1996, pp. 46-7. Notre traduction.</w:t>
      </w:r>
    </w:p>
  </w:footnote>
  <w:footnote w:id="20">
    <w:p w:rsidR="00F0581C" w:rsidRDefault="00F0581C">
      <w:pPr>
        <w:pStyle w:val="Notedebasdepage"/>
      </w:pPr>
      <w:r>
        <w:rPr>
          <w:rStyle w:val="Appelnotedebasdep"/>
        </w:rPr>
        <w:footnoteRef/>
      </w:r>
      <w:r>
        <w:t xml:space="preserve"> </w:t>
      </w:r>
      <w:r>
        <w:tab/>
      </w:r>
      <w:r w:rsidRPr="00AD1432">
        <w:rPr>
          <w:sz w:val="24"/>
          <w:szCs w:val="14"/>
        </w:rPr>
        <w:t>NDLR : Le rapatriement de la constitution can</w:t>
      </w:r>
      <w:r w:rsidRPr="00AD1432">
        <w:rPr>
          <w:sz w:val="24"/>
          <w:szCs w:val="14"/>
        </w:rPr>
        <w:t>a</w:t>
      </w:r>
      <w:r w:rsidRPr="00AD1432">
        <w:rPr>
          <w:sz w:val="24"/>
          <w:szCs w:val="14"/>
        </w:rPr>
        <w:t>dienne désigne la cession par le Parlement britannique du pouvoir de modification de la Constitution au C</w:t>
      </w:r>
      <w:r w:rsidRPr="00AD1432">
        <w:rPr>
          <w:sz w:val="24"/>
          <w:szCs w:val="14"/>
        </w:rPr>
        <w:t>a</w:t>
      </w:r>
      <w:r w:rsidRPr="00AD1432">
        <w:rPr>
          <w:sz w:val="24"/>
          <w:szCs w:val="14"/>
        </w:rPr>
        <w:t>n</w:t>
      </w:r>
      <w:r w:rsidRPr="00AD1432">
        <w:rPr>
          <w:sz w:val="24"/>
          <w:szCs w:val="14"/>
        </w:rPr>
        <w:t>a</w:t>
      </w:r>
      <w:r w:rsidRPr="00AD1432">
        <w:rPr>
          <w:sz w:val="24"/>
          <w:szCs w:val="14"/>
        </w:rPr>
        <w:t>da.</w:t>
      </w:r>
    </w:p>
  </w:footnote>
  <w:footnote w:id="21">
    <w:p w:rsidR="00F0581C" w:rsidRDefault="00F0581C">
      <w:pPr>
        <w:pStyle w:val="Notedebasdepage"/>
      </w:pPr>
      <w:r>
        <w:rPr>
          <w:rStyle w:val="Appelnotedebasdep"/>
        </w:rPr>
        <w:footnoteRef/>
      </w:r>
      <w:r>
        <w:t xml:space="preserve"> </w:t>
      </w:r>
      <w:r>
        <w:tab/>
      </w:r>
      <w:r w:rsidRPr="00AD1432">
        <w:rPr>
          <w:sz w:val="24"/>
          <w:szCs w:val="14"/>
        </w:rPr>
        <w:t>Keating (M.), « So Many Nations, So Few St</w:t>
      </w:r>
      <w:r w:rsidRPr="00AD1432">
        <w:rPr>
          <w:sz w:val="24"/>
          <w:szCs w:val="14"/>
        </w:rPr>
        <w:t>a</w:t>
      </w:r>
      <w:r w:rsidRPr="00AD1432">
        <w:rPr>
          <w:sz w:val="24"/>
          <w:szCs w:val="14"/>
        </w:rPr>
        <w:t xml:space="preserve">tes », </w:t>
      </w:r>
      <w:r w:rsidRPr="00AD1432">
        <w:rPr>
          <w:i/>
          <w:iCs/>
          <w:sz w:val="24"/>
          <w:szCs w:val="14"/>
        </w:rPr>
        <w:t xml:space="preserve">op. cit. </w:t>
      </w:r>
      <w:r w:rsidRPr="00AD1432">
        <w:rPr>
          <w:sz w:val="24"/>
          <w:szCs w:val="14"/>
        </w:rPr>
        <w:t>(note 1), pp. 53-4. Notre traduction.</w:t>
      </w:r>
    </w:p>
  </w:footnote>
  <w:footnote w:id="22">
    <w:p w:rsidR="00F0581C" w:rsidRDefault="00F0581C">
      <w:pPr>
        <w:pStyle w:val="Notedebasdepage"/>
      </w:pPr>
      <w:r>
        <w:rPr>
          <w:rStyle w:val="Appelnotedebasdep"/>
        </w:rPr>
        <w:footnoteRef/>
      </w:r>
      <w:r>
        <w:t xml:space="preserve"> </w:t>
      </w:r>
      <w:r>
        <w:tab/>
      </w:r>
      <w:r w:rsidRPr="00AD1432">
        <w:rPr>
          <w:sz w:val="24"/>
          <w:szCs w:val="14"/>
        </w:rPr>
        <w:t xml:space="preserve">Dieckhoff (A.), </w:t>
      </w:r>
      <w:r w:rsidRPr="00AD1432">
        <w:rPr>
          <w:i/>
          <w:iCs/>
          <w:sz w:val="24"/>
          <w:szCs w:val="14"/>
        </w:rPr>
        <w:t xml:space="preserve">La Nation dans tous ses États, op. cit. </w:t>
      </w:r>
      <w:r w:rsidRPr="00AD1432">
        <w:rPr>
          <w:sz w:val="24"/>
          <w:szCs w:val="14"/>
        </w:rPr>
        <w:t>(note 9), p. 160.</w:t>
      </w:r>
    </w:p>
  </w:footnote>
  <w:footnote w:id="23">
    <w:p w:rsidR="00F0581C" w:rsidRDefault="00F0581C">
      <w:pPr>
        <w:pStyle w:val="Notedebasdepage"/>
      </w:pPr>
      <w:r>
        <w:rPr>
          <w:rStyle w:val="Appelnotedebasdep"/>
        </w:rPr>
        <w:footnoteRef/>
      </w:r>
      <w:r>
        <w:t xml:space="preserve"> </w:t>
      </w:r>
      <w:r>
        <w:tab/>
      </w:r>
      <w:r w:rsidRPr="00AD1432">
        <w:rPr>
          <w:sz w:val="24"/>
          <w:szCs w:val="14"/>
        </w:rPr>
        <w:t>Ayoade (J.A.A.), « The Fédéral Character Principle and the Search for Nati</w:t>
      </w:r>
      <w:r w:rsidRPr="00AD1432">
        <w:rPr>
          <w:sz w:val="24"/>
          <w:szCs w:val="14"/>
        </w:rPr>
        <w:t>o</w:t>
      </w:r>
      <w:r w:rsidRPr="00AD1432">
        <w:rPr>
          <w:sz w:val="24"/>
          <w:szCs w:val="14"/>
        </w:rPr>
        <w:t xml:space="preserve">nal Integration », dans Amuwo (K.) </w:t>
      </w:r>
      <w:r w:rsidRPr="00AD1432">
        <w:rPr>
          <w:i/>
          <w:iCs/>
          <w:sz w:val="24"/>
          <w:szCs w:val="14"/>
        </w:rPr>
        <w:t xml:space="preserve">et al </w:t>
      </w:r>
      <w:r w:rsidRPr="00AD1432">
        <w:rPr>
          <w:sz w:val="24"/>
          <w:szCs w:val="14"/>
        </w:rPr>
        <w:t xml:space="preserve">(dir.), </w:t>
      </w:r>
      <w:r w:rsidRPr="00AD1432">
        <w:rPr>
          <w:i/>
          <w:iCs/>
          <w:sz w:val="24"/>
          <w:szCs w:val="14"/>
        </w:rPr>
        <w:t>Federalism and Political Re</w:t>
      </w:r>
      <w:r w:rsidRPr="00AD1432">
        <w:rPr>
          <w:i/>
          <w:iCs/>
          <w:sz w:val="24"/>
          <w:szCs w:val="14"/>
        </w:rPr>
        <w:t>s</w:t>
      </w:r>
      <w:r w:rsidRPr="00AD1432">
        <w:rPr>
          <w:i/>
          <w:iCs/>
          <w:sz w:val="24"/>
          <w:szCs w:val="14"/>
        </w:rPr>
        <w:t>tru</w:t>
      </w:r>
      <w:r w:rsidRPr="00AD1432">
        <w:rPr>
          <w:i/>
          <w:iCs/>
          <w:sz w:val="24"/>
          <w:szCs w:val="14"/>
        </w:rPr>
        <w:t>c</w:t>
      </w:r>
      <w:r w:rsidRPr="00AD1432">
        <w:rPr>
          <w:i/>
          <w:iCs/>
          <w:sz w:val="24"/>
          <w:szCs w:val="14"/>
        </w:rPr>
        <w:t xml:space="preserve">turing in Nigeria, </w:t>
      </w:r>
      <w:r w:rsidRPr="00AD1432">
        <w:rPr>
          <w:sz w:val="24"/>
          <w:szCs w:val="14"/>
        </w:rPr>
        <w:t>Ibadan, Spectrum Books, 1999, p. 101.</w:t>
      </w:r>
    </w:p>
  </w:footnote>
  <w:footnote w:id="24">
    <w:p w:rsidR="00F0581C" w:rsidRDefault="00F0581C">
      <w:pPr>
        <w:pStyle w:val="Notedebasdepage"/>
      </w:pPr>
      <w:r>
        <w:rPr>
          <w:rStyle w:val="Appelnotedebasdep"/>
        </w:rPr>
        <w:footnoteRef/>
      </w:r>
      <w:r>
        <w:t xml:space="preserve"> </w:t>
      </w:r>
      <w:r>
        <w:tab/>
      </w:r>
      <w:r w:rsidRPr="00AD1432">
        <w:rPr>
          <w:sz w:val="24"/>
          <w:szCs w:val="14"/>
        </w:rPr>
        <w:t>Il faut cependant traiter les données disponibles avec une gra</w:t>
      </w:r>
      <w:r w:rsidRPr="00AD1432">
        <w:rPr>
          <w:sz w:val="24"/>
          <w:szCs w:val="14"/>
        </w:rPr>
        <w:t>n</w:t>
      </w:r>
      <w:r w:rsidRPr="00AD1432">
        <w:rPr>
          <w:sz w:val="24"/>
          <w:szCs w:val="14"/>
        </w:rPr>
        <w:t xml:space="preserve">de précaution puisqu'elles remontent au recensement de 1952. Ces chiffres sont cités </w:t>
      </w:r>
      <w:r w:rsidRPr="00AD1432">
        <w:rPr>
          <w:i/>
          <w:iCs/>
          <w:sz w:val="24"/>
          <w:szCs w:val="14"/>
        </w:rPr>
        <w:t xml:space="preserve">in </w:t>
      </w:r>
      <w:r w:rsidRPr="00AD1432">
        <w:rPr>
          <w:sz w:val="24"/>
          <w:szCs w:val="14"/>
        </w:rPr>
        <w:t>Mu</w:t>
      </w:r>
      <w:r w:rsidRPr="00AD1432">
        <w:rPr>
          <w:sz w:val="24"/>
          <w:szCs w:val="14"/>
        </w:rPr>
        <w:t>s</w:t>
      </w:r>
      <w:r w:rsidRPr="00AD1432">
        <w:rPr>
          <w:sz w:val="24"/>
          <w:szCs w:val="14"/>
        </w:rPr>
        <w:t xml:space="preserve">tapha (A.R.), </w:t>
      </w:r>
      <w:r w:rsidRPr="00AD1432">
        <w:rPr>
          <w:i/>
          <w:iCs/>
          <w:sz w:val="24"/>
          <w:szCs w:val="14"/>
        </w:rPr>
        <w:t xml:space="preserve">Ethnic Structure, Inequality and Governance of the Public Sector in Nigeria, </w:t>
      </w:r>
      <w:r w:rsidRPr="00AD1432">
        <w:rPr>
          <w:sz w:val="24"/>
          <w:szCs w:val="14"/>
        </w:rPr>
        <w:t>Genève, Institut de recherche des Nations Unies pour le d</w:t>
      </w:r>
      <w:r w:rsidRPr="00AD1432">
        <w:rPr>
          <w:sz w:val="24"/>
          <w:szCs w:val="14"/>
        </w:rPr>
        <w:t>é</w:t>
      </w:r>
      <w:r w:rsidRPr="00AD1432">
        <w:rPr>
          <w:sz w:val="24"/>
          <w:szCs w:val="14"/>
        </w:rPr>
        <w:t>velo</w:t>
      </w:r>
      <w:r w:rsidRPr="00AD1432">
        <w:rPr>
          <w:sz w:val="24"/>
          <w:szCs w:val="14"/>
        </w:rPr>
        <w:t>p</w:t>
      </w:r>
      <w:r w:rsidRPr="00AD1432">
        <w:rPr>
          <w:sz w:val="24"/>
          <w:szCs w:val="14"/>
        </w:rPr>
        <w:t xml:space="preserve">pement social, mars 2004 (disponible à l'adresse </w:t>
      </w:r>
      <w:hyperlink r:id="rId1" w:history="1">
        <w:r w:rsidRPr="00AD1432">
          <w:rPr>
            <w:sz w:val="24"/>
            <w:szCs w:val="14"/>
          </w:rPr>
          <w:t>www.unrisd.org</w:t>
        </w:r>
      </w:hyperlink>
      <w:r w:rsidRPr="00AD1432">
        <w:rPr>
          <w:sz w:val="24"/>
          <w:szCs w:val="14"/>
        </w:rPr>
        <w:t>).</w:t>
      </w:r>
    </w:p>
  </w:footnote>
  <w:footnote w:id="25">
    <w:p w:rsidR="00F0581C" w:rsidRDefault="00F0581C">
      <w:pPr>
        <w:pStyle w:val="Notedebasdepage"/>
      </w:pPr>
      <w:r>
        <w:rPr>
          <w:rStyle w:val="Appelnotedebasdep"/>
        </w:rPr>
        <w:footnoteRef/>
      </w:r>
      <w:r>
        <w:t xml:space="preserve"> </w:t>
      </w:r>
      <w:r>
        <w:tab/>
      </w:r>
      <w:r w:rsidRPr="00AD1432">
        <w:rPr>
          <w:sz w:val="24"/>
          <w:szCs w:val="14"/>
        </w:rPr>
        <w:t xml:space="preserve">Houston (C), </w:t>
      </w:r>
      <w:r w:rsidRPr="00AD1432">
        <w:rPr>
          <w:i/>
          <w:iCs/>
          <w:sz w:val="24"/>
          <w:szCs w:val="14"/>
        </w:rPr>
        <w:t xml:space="preserve">Islam, Kurds and the Turkish Nation-State, </w:t>
      </w:r>
      <w:r w:rsidRPr="00AD1432">
        <w:rPr>
          <w:sz w:val="24"/>
          <w:szCs w:val="14"/>
        </w:rPr>
        <w:t>O</w:t>
      </w:r>
      <w:r w:rsidRPr="00AD1432">
        <w:rPr>
          <w:sz w:val="24"/>
          <w:szCs w:val="14"/>
        </w:rPr>
        <w:t>x</w:t>
      </w:r>
      <w:r w:rsidRPr="00AD1432">
        <w:rPr>
          <w:sz w:val="24"/>
          <w:szCs w:val="14"/>
        </w:rPr>
        <w:t>ford, Berg, 2003, p. 100.</w:t>
      </w:r>
    </w:p>
  </w:footnote>
  <w:footnote w:id="26">
    <w:p w:rsidR="00F0581C" w:rsidRDefault="00F0581C">
      <w:pPr>
        <w:pStyle w:val="Notedebasdepage"/>
      </w:pPr>
      <w:r>
        <w:rPr>
          <w:rStyle w:val="Appelnotedebasdep"/>
        </w:rPr>
        <w:footnoteRef/>
      </w:r>
      <w:r>
        <w:t xml:space="preserve"> </w:t>
      </w:r>
      <w:r>
        <w:tab/>
      </w:r>
      <w:r w:rsidRPr="00AD1432">
        <w:rPr>
          <w:sz w:val="24"/>
          <w:szCs w:val="14"/>
        </w:rPr>
        <w:t xml:space="preserve">Voir, entre autres, Minority Rights Group, </w:t>
      </w:r>
      <w:r w:rsidRPr="00AD1432">
        <w:rPr>
          <w:i/>
          <w:iCs/>
          <w:sz w:val="24"/>
          <w:szCs w:val="14"/>
        </w:rPr>
        <w:t>Minorities in Tu</w:t>
      </w:r>
      <w:r w:rsidRPr="00AD1432">
        <w:rPr>
          <w:i/>
          <w:iCs/>
          <w:sz w:val="24"/>
          <w:szCs w:val="14"/>
        </w:rPr>
        <w:t>r</w:t>
      </w:r>
      <w:r w:rsidRPr="00AD1432">
        <w:rPr>
          <w:i/>
          <w:iCs/>
          <w:sz w:val="24"/>
          <w:szCs w:val="14"/>
        </w:rPr>
        <w:t>key : Submission to the European Union and the Government of Tu</w:t>
      </w:r>
      <w:r w:rsidRPr="00AD1432">
        <w:rPr>
          <w:i/>
          <w:iCs/>
          <w:sz w:val="24"/>
          <w:szCs w:val="14"/>
        </w:rPr>
        <w:t>r</w:t>
      </w:r>
      <w:r w:rsidRPr="00AD1432">
        <w:rPr>
          <w:i/>
          <w:iCs/>
          <w:sz w:val="24"/>
          <w:szCs w:val="14"/>
        </w:rPr>
        <w:t xml:space="preserve">key, </w:t>
      </w:r>
      <w:r w:rsidRPr="00AD1432">
        <w:rPr>
          <w:sz w:val="24"/>
          <w:szCs w:val="14"/>
        </w:rPr>
        <w:t>Londres, Minority Right Groups, 2004.</w:t>
      </w:r>
    </w:p>
  </w:footnote>
  <w:footnote w:id="27">
    <w:p w:rsidR="00F0581C" w:rsidRDefault="00F0581C">
      <w:pPr>
        <w:pStyle w:val="Notedebasdepage"/>
      </w:pPr>
      <w:r>
        <w:rPr>
          <w:rStyle w:val="Appelnotedebasdep"/>
        </w:rPr>
        <w:footnoteRef/>
      </w:r>
      <w:r>
        <w:t xml:space="preserve"> </w:t>
      </w:r>
      <w:r>
        <w:tab/>
      </w:r>
      <w:r w:rsidRPr="00AD1432">
        <w:rPr>
          <w:sz w:val="24"/>
          <w:szCs w:val="14"/>
        </w:rPr>
        <w:t xml:space="preserve">Nous faisons ici référence au célèbre ouvrage de Weber (E. J.), </w:t>
      </w:r>
      <w:r w:rsidRPr="00AD1432">
        <w:rPr>
          <w:i/>
          <w:iCs/>
          <w:sz w:val="24"/>
          <w:szCs w:val="14"/>
        </w:rPr>
        <w:t xml:space="preserve">Peasants into Frenchmen : the Modernization of Rural France, 1870-1914, </w:t>
      </w:r>
      <w:r w:rsidRPr="00AD1432">
        <w:rPr>
          <w:sz w:val="24"/>
          <w:szCs w:val="14"/>
        </w:rPr>
        <w:t>Stanford, Sta</w:t>
      </w:r>
      <w:r w:rsidRPr="00AD1432">
        <w:rPr>
          <w:sz w:val="24"/>
          <w:szCs w:val="14"/>
        </w:rPr>
        <w:t>n</w:t>
      </w:r>
      <w:r w:rsidRPr="00AD1432">
        <w:rPr>
          <w:sz w:val="24"/>
          <w:szCs w:val="14"/>
        </w:rPr>
        <w:t>ford University Press, 1976.</w:t>
      </w:r>
    </w:p>
  </w:footnote>
  <w:footnote w:id="28">
    <w:p w:rsidR="00F0581C" w:rsidRDefault="00F0581C">
      <w:pPr>
        <w:pStyle w:val="Notedebasdepage"/>
      </w:pPr>
      <w:r>
        <w:rPr>
          <w:rStyle w:val="Appelnotedebasdep"/>
        </w:rPr>
        <w:footnoteRef/>
      </w:r>
      <w:r>
        <w:t xml:space="preserve"> </w:t>
      </w:r>
      <w:r>
        <w:tab/>
      </w:r>
      <w:r w:rsidRPr="00AD1432">
        <w:rPr>
          <w:sz w:val="24"/>
          <w:szCs w:val="14"/>
        </w:rPr>
        <w:t xml:space="preserve">Miller (D.), « Nationality in Divided Societies : the Anglo-Scottish Case », dans Alain-G. Gagnon et James Tully (dir.), </w:t>
      </w:r>
      <w:r w:rsidRPr="00AD1432">
        <w:rPr>
          <w:i/>
          <w:iCs/>
          <w:sz w:val="24"/>
          <w:szCs w:val="14"/>
        </w:rPr>
        <w:t>Multin</w:t>
      </w:r>
      <w:r w:rsidRPr="00AD1432">
        <w:rPr>
          <w:i/>
          <w:iCs/>
          <w:sz w:val="24"/>
          <w:szCs w:val="14"/>
        </w:rPr>
        <w:t>a</w:t>
      </w:r>
      <w:r w:rsidRPr="00AD1432">
        <w:rPr>
          <w:i/>
          <w:iCs/>
          <w:sz w:val="24"/>
          <w:szCs w:val="14"/>
        </w:rPr>
        <w:t xml:space="preserve">tional Democraties, op. cit. </w:t>
      </w:r>
      <w:r w:rsidRPr="00AD1432">
        <w:rPr>
          <w:sz w:val="24"/>
          <w:szCs w:val="14"/>
        </w:rPr>
        <w:t>(note 1), p. 312.</w:t>
      </w:r>
    </w:p>
  </w:footnote>
  <w:footnote w:id="29">
    <w:p w:rsidR="00F0581C" w:rsidRDefault="00F0581C">
      <w:pPr>
        <w:pStyle w:val="Notedebasdepage"/>
      </w:pPr>
      <w:r>
        <w:rPr>
          <w:rStyle w:val="Appelnotedebasdep"/>
        </w:rPr>
        <w:footnoteRef/>
      </w:r>
      <w:r>
        <w:t xml:space="preserve"> </w:t>
      </w:r>
      <w:r>
        <w:tab/>
      </w:r>
      <w:r w:rsidRPr="00AD1432">
        <w:rPr>
          <w:sz w:val="24"/>
          <w:szCs w:val="14"/>
        </w:rPr>
        <w:t xml:space="preserve">Kellas (J.), </w:t>
      </w:r>
      <w:r w:rsidRPr="00AD1432">
        <w:rPr>
          <w:i/>
          <w:iCs/>
          <w:sz w:val="24"/>
          <w:szCs w:val="14"/>
        </w:rPr>
        <w:t xml:space="preserve">The Scottish Political System, </w:t>
      </w:r>
      <w:r w:rsidRPr="00AD1432">
        <w:rPr>
          <w:sz w:val="24"/>
          <w:szCs w:val="14"/>
        </w:rPr>
        <w:t>Cambridge, Cambridge Unive</w:t>
      </w:r>
      <w:r w:rsidRPr="00AD1432">
        <w:rPr>
          <w:sz w:val="24"/>
          <w:szCs w:val="14"/>
        </w:rPr>
        <w:t>r</w:t>
      </w:r>
      <w:r w:rsidRPr="00AD1432">
        <w:rPr>
          <w:sz w:val="24"/>
          <w:szCs w:val="14"/>
        </w:rPr>
        <w:t>sity Press, 1984.</w:t>
      </w:r>
    </w:p>
  </w:footnote>
  <w:footnote w:id="30">
    <w:p w:rsidR="00F0581C" w:rsidRDefault="00F0581C">
      <w:pPr>
        <w:pStyle w:val="Notedebasdepage"/>
      </w:pPr>
      <w:r>
        <w:rPr>
          <w:rStyle w:val="Appelnotedebasdep"/>
        </w:rPr>
        <w:footnoteRef/>
      </w:r>
      <w:r>
        <w:t xml:space="preserve"> </w:t>
      </w:r>
      <w:r>
        <w:tab/>
      </w:r>
      <w:r w:rsidRPr="00AD1432">
        <w:rPr>
          <w:sz w:val="24"/>
          <w:szCs w:val="14"/>
        </w:rPr>
        <w:t xml:space="preserve">Mitchell (J.), </w:t>
      </w:r>
      <w:r w:rsidRPr="00AD1432">
        <w:rPr>
          <w:i/>
          <w:iCs/>
          <w:sz w:val="24"/>
          <w:szCs w:val="14"/>
        </w:rPr>
        <w:t>Governing Scotland : The Invention of Administrative Devol</w:t>
      </w:r>
      <w:r w:rsidRPr="00AD1432">
        <w:rPr>
          <w:i/>
          <w:iCs/>
          <w:sz w:val="24"/>
          <w:szCs w:val="14"/>
        </w:rPr>
        <w:t>u</w:t>
      </w:r>
      <w:r w:rsidRPr="00AD1432">
        <w:rPr>
          <w:i/>
          <w:iCs/>
          <w:sz w:val="24"/>
          <w:szCs w:val="14"/>
        </w:rPr>
        <w:t xml:space="preserve">tion, </w:t>
      </w:r>
      <w:r w:rsidRPr="00AD1432">
        <w:rPr>
          <w:sz w:val="24"/>
          <w:szCs w:val="14"/>
        </w:rPr>
        <w:t>Houndmills, Palgrave MacMillan, 2003, p. 214.</w:t>
      </w:r>
    </w:p>
  </w:footnote>
  <w:footnote w:id="31">
    <w:p w:rsidR="00F0581C" w:rsidRDefault="00F0581C">
      <w:pPr>
        <w:pStyle w:val="Notedebasdepage"/>
      </w:pPr>
      <w:r>
        <w:rPr>
          <w:rStyle w:val="Appelnotedebasdep"/>
        </w:rPr>
        <w:footnoteRef/>
      </w:r>
      <w:r>
        <w:t xml:space="preserve"> </w:t>
      </w:r>
      <w:r>
        <w:tab/>
      </w:r>
      <w:r w:rsidRPr="00AD1432">
        <w:rPr>
          <w:sz w:val="24"/>
          <w:szCs w:val="14"/>
        </w:rPr>
        <w:t>V. Wilson (S.) et Mullins (W.A.), « Representative Bureaucracy : Lingui</w:t>
      </w:r>
      <w:r w:rsidRPr="00AD1432">
        <w:rPr>
          <w:sz w:val="24"/>
          <w:szCs w:val="14"/>
        </w:rPr>
        <w:t>s</w:t>
      </w:r>
      <w:r w:rsidRPr="00AD1432">
        <w:rPr>
          <w:sz w:val="24"/>
          <w:szCs w:val="14"/>
        </w:rPr>
        <w:t xml:space="preserve">tic/Ethnic Aspects in Canadian Public Policy », </w:t>
      </w:r>
      <w:r w:rsidRPr="00AD1432">
        <w:rPr>
          <w:i/>
          <w:iCs/>
          <w:sz w:val="24"/>
          <w:szCs w:val="14"/>
        </w:rPr>
        <w:t>Canadian Public Administr</w:t>
      </w:r>
      <w:r w:rsidRPr="00AD1432">
        <w:rPr>
          <w:i/>
          <w:iCs/>
          <w:sz w:val="24"/>
          <w:szCs w:val="14"/>
        </w:rPr>
        <w:t>a</w:t>
      </w:r>
      <w:r w:rsidRPr="00AD1432">
        <w:rPr>
          <w:i/>
          <w:iCs/>
          <w:sz w:val="24"/>
          <w:szCs w:val="14"/>
        </w:rPr>
        <w:t xml:space="preserve">tion, </w:t>
      </w:r>
      <w:r w:rsidRPr="00AD1432">
        <w:rPr>
          <w:sz w:val="24"/>
          <w:szCs w:val="14"/>
        </w:rPr>
        <w:t>vol. 21, n° 4, 1978, p. 517. Notre tr</w:t>
      </w:r>
      <w:r w:rsidRPr="00AD1432">
        <w:rPr>
          <w:sz w:val="24"/>
          <w:szCs w:val="14"/>
        </w:rPr>
        <w:t>a</w:t>
      </w:r>
      <w:r w:rsidRPr="00AD1432">
        <w:rPr>
          <w:sz w:val="24"/>
          <w:szCs w:val="14"/>
        </w:rPr>
        <w:t>duction.</w:t>
      </w:r>
    </w:p>
  </w:footnote>
  <w:footnote w:id="32">
    <w:p w:rsidR="00F0581C" w:rsidRDefault="00F0581C">
      <w:pPr>
        <w:pStyle w:val="Notedebasdepage"/>
      </w:pPr>
      <w:r>
        <w:rPr>
          <w:rStyle w:val="Appelnotedebasdep"/>
        </w:rPr>
        <w:footnoteRef/>
      </w:r>
      <w:r>
        <w:t xml:space="preserve"> </w:t>
      </w:r>
      <w:r>
        <w:tab/>
      </w:r>
      <w:r w:rsidRPr="00AD1432">
        <w:rPr>
          <w:sz w:val="24"/>
          <w:szCs w:val="14"/>
        </w:rPr>
        <w:t>Pour une analyse régionaliste de la représentativité bureaucratique canadie</w:t>
      </w:r>
      <w:r w:rsidRPr="00AD1432">
        <w:rPr>
          <w:sz w:val="24"/>
          <w:szCs w:val="14"/>
        </w:rPr>
        <w:t>n</w:t>
      </w:r>
      <w:r w:rsidRPr="00AD1432">
        <w:rPr>
          <w:sz w:val="24"/>
          <w:szCs w:val="14"/>
        </w:rPr>
        <w:t>ne, voir Savoie (D.J.), « La bureaucratie représentative : une perspective r</w:t>
      </w:r>
      <w:r w:rsidRPr="00AD1432">
        <w:rPr>
          <w:sz w:val="24"/>
          <w:szCs w:val="14"/>
        </w:rPr>
        <w:t>é</w:t>
      </w:r>
      <w:r w:rsidRPr="00AD1432">
        <w:rPr>
          <w:sz w:val="24"/>
          <w:szCs w:val="14"/>
        </w:rPr>
        <w:t>gion</w:t>
      </w:r>
      <w:r w:rsidRPr="00AD1432">
        <w:rPr>
          <w:sz w:val="24"/>
          <w:szCs w:val="14"/>
        </w:rPr>
        <w:t>a</w:t>
      </w:r>
      <w:r w:rsidRPr="00AD1432">
        <w:rPr>
          <w:sz w:val="24"/>
          <w:szCs w:val="14"/>
        </w:rPr>
        <w:t xml:space="preserve">le », </w:t>
      </w:r>
      <w:r w:rsidRPr="00AD1432">
        <w:rPr>
          <w:i/>
          <w:iCs/>
          <w:sz w:val="24"/>
          <w:szCs w:val="14"/>
        </w:rPr>
        <w:t xml:space="preserve">Revue canadienne de science politique, </w:t>
      </w:r>
      <w:r w:rsidRPr="00AD1432">
        <w:rPr>
          <w:sz w:val="24"/>
          <w:szCs w:val="14"/>
        </w:rPr>
        <w:t>vol. 20, n° 4, 1987, pp. 785-811.</w:t>
      </w:r>
    </w:p>
  </w:footnote>
  <w:footnote w:id="33">
    <w:p w:rsidR="00F0581C" w:rsidRDefault="00F0581C">
      <w:pPr>
        <w:pStyle w:val="Notedebasdepage"/>
      </w:pPr>
      <w:r>
        <w:rPr>
          <w:rStyle w:val="Appelnotedebasdep"/>
        </w:rPr>
        <w:footnoteRef/>
      </w:r>
      <w:r>
        <w:t xml:space="preserve"> </w:t>
      </w:r>
      <w:r>
        <w:tab/>
      </w:r>
      <w:r w:rsidRPr="00AD1432">
        <w:rPr>
          <w:sz w:val="24"/>
          <w:szCs w:val="14"/>
        </w:rPr>
        <w:t>V. Wilson (S.) et Mullins (W.A.), « Representative Bureaucr</w:t>
      </w:r>
      <w:r w:rsidRPr="00AD1432">
        <w:rPr>
          <w:sz w:val="24"/>
          <w:szCs w:val="14"/>
        </w:rPr>
        <w:t>a</w:t>
      </w:r>
      <w:r w:rsidRPr="00AD1432">
        <w:rPr>
          <w:sz w:val="24"/>
          <w:szCs w:val="14"/>
        </w:rPr>
        <w:t>cy ... » (note 31), pp. 520-521.</w:t>
      </w:r>
    </w:p>
  </w:footnote>
  <w:footnote w:id="34">
    <w:p w:rsidR="00F0581C" w:rsidRDefault="00F0581C">
      <w:pPr>
        <w:pStyle w:val="Notedebasdepage"/>
      </w:pPr>
      <w:r>
        <w:rPr>
          <w:rStyle w:val="Appelnotedebasdep"/>
        </w:rPr>
        <w:footnoteRef/>
      </w:r>
      <w:r>
        <w:t xml:space="preserve"> </w:t>
      </w:r>
      <w:r>
        <w:tab/>
      </w:r>
      <w:r w:rsidRPr="00AD1432">
        <w:rPr>
          <w:i/>
          <w:iCs/>
          <w:sz w:val="24"/>
          <w:szCs w:val="14"/>
        </w:rPr>
        <w:t xml:space="preserve">Ibid., </w:t>
      </w:r>
      <w:r w:rsidRPr="00AD1432">
        <w:rPr>
          <w:sz w:val="24"/>
          <w:szCs w:val="14"/>
        </w:rPr>
        <w:t>p. 520.</w:t>
      </w:r>
    </w:p>
  </w:footnote>
  <w:footnote w:id="35">
    <w:p w:rsidR="00F0581C" w:rsidRDefault="00F0581C">
      <w:pPr>
        <w:pStyle w:val="Notedebasdepage"/>
      </w:pPr>
      <w:r>
        <w:rPr>
          <w:rStyle w:val="Appelnotedebasdep"/>
        </w:rPr>
        <w:footnoteRef/>
      </w:r>
      <w:r>
        <w:t xml:space="preserve"> </w:t>
      </w:r>
      <w:r>
        <w:tab/>
      </w:r>
      <w:r w:rsidRPr="00AD1432">
        <w:rPr>
          <w:sz w:val="24"/>
          <w:szCs w:val="14"/>
        </w:rPr>
        <w:t>Cette loi, modifiée en 1988, faisait du français et de l'anglais les deux la</w:t>
      </w:r>
      <w:r w:rsidRPr="00AD1432">
        <w:rPr>
          <w:sz w:val="24"/>
          <w:szCs w:val="14"/>
        </w:rPr>
        <w:t>n</w:t>
      </w:r>
      <w:r w:rsidRPr="00AD1432">
        <w:rPr>
          <w:sz w:val="24"/>
          <w:szCs w:val="14"/>
        </w:rPr>
        <w:t>gues officielles du Canada. Pour le texte de la loi, se reporter à l'adresse suiva</w:t>
      </w:r>
      <w:r w:rsidRPr="00AD1432">
        <w:rPr>
          <w:sz w:val="24"/>
          <w:szCs w:val="14"/>
        </w:rPr>
        <w:t>n</w:t>
      </w:r>
      <w:r w:rsidRPr="00AD1432">
        <w:rPr>
          <w:sz w:val="24"/>
          <w:szCs w:val="14"/>
        </w:rPr>
        <w:t>te : http://laws.justice.gc.ca/fr/O-3.01/56614.html</w:t>
      </w:r>
    </w:p>
  </w:footnote>
  <w:footnote w:id="36">
    <w:p w:rsidR="00F0581C" w:rsidRDefault="00F0581C">
      <w:pPr>
        <w:pStyle w:val="Notedebasdepage"/>
      </w:pPr>
      <w:r>
        <w:rPr>
          <w:rStyle w:val="Appelnotedebasdep"/>
        </w:rPr>
        <w:footnoteRef/>
      </w:r>
      <w:r>
        <w:t xml:space="preserve"> </w:t>
      </w:r>
      <w:r>
        <w:tab/>
      </w:r>
      <w:r w:rsidRPr="00AD1432">
        <w:rPr>
          <w:sz w:val="24"/>
          <w:szCs w:val="14"/>
        </w:rPr>
        <w:t xml:space="preserve">Churchill (S.), </w:t>
      </w:r>
      <w:r w:rsidRPr="00AD1432">
        <w:rPr>
          <w:i/>
          <w:iCs/>
          <w:sz w:val="24"/>
          <w:szCs w:val="14"/>
        </w:rPr>
        <w:t xml:space="preserve">Les langues officielles au Canada : transformer le paysage linguistique, </w:t>
      </w:r>
      <w:r w:rsidRPr="00AD1432">
        <w:rPr>
          <w:sz w:val="24"/>
          <w:szCs w:val="14"/>
        </w:rPr>
        <w:t>Ottawa, Patr</w:t>
      </w:r>
      <w:r w:rsidRPr="00AD1432">
        <w:rPr>
          <w:sz w:val="24"/>
          <w:szCs w:val="14"/>
        </w:rPr>
        <w:t>i</w:t>
      </w:r>
      <w:r w:rsidRPr="00AD1432">
        <w:rPr>
          <w:sz w:val="24"/>
          <w:szCs w:val="14"/>
        </w:rPr>
        <w:t>moine Canada, 1998.</w:t>
      </w:r>
    </w:p>
  </w:footnote>
  <w:footnote w:id="37">
    <w:p w:rsidR="00F0581C" w:rsidRDefault="00F0581C">
      <w:pPr>
        <w:pStyle w:val="Notedebasdepage"/>
      </w:pPr>
      <w:r>
        <w:rPr>
          <w:rStyle w:val="Appelnotedebasdep"/>
        </w:rPr>
        <w:footnoteRef/>
      </w:r>
      <w:r>
        <w:t xml:space="preserve"> </w:t>
      </w:r>
      <w:r>
        <w:tab/>
      </w:r>
      <w:r w:rsidRPr="00AD1432">
        <w:rPr>
          <w:sz w:val="24"/>
          <w:szCs w:val="14"/>
        </w:rPr>
        <w:t xml:space="preserve">Commissariat aux langues officielles, </w:t>
      </w:r>
      <w:r w:rsidRPr="00AD1432">
        <w:rPr>
          <w:i/>
          <w:iCs/>
          <w:sz w:val="24"/>
          <w:szCs w:val="14"/>
        </w:rPr>
        <w:t xml:space="preserve">Rapport annuel, </w:t>
      </w:r>
      <w:r w:rsidRPr="00AD1432">
        <w:rPr>
          <w:sz w:val="24"/>
          <w:szCs w:val="14"/>
        </w:rPr>
        <w:t>édition sp</w:t>
      </w:r>
      <w:r w:rsidRPr="00AD1432">
        <w:rPr>
          <w:sz w:val="24"/>
          <w:szCs w:val="14"/>
        </w:rPr>
        <w:t>é</w:t>
      </w:r>
      <w:r w:rsidRPr="00AD1432">
        <w:rPr>
          <w:sz w:val="24"/>
          <w:szCs w:val="14"/>
        </w:rPr>
        <w:t>ciale, 35</w:t>
      </w:r>
      <w:r w:rsidRPr="00AD1432">
        <w:rPr>
          <w:sz w:val="24"/>
          <w:szCs w:val="14"/>
          <w:vertAlign w:val="superscript"/>
        </w:rPr>
        <w:t>e</w:t>
      </w:r>
      <w:r w:rsidRPr="00AD1432">
        <w:rPr>
          <w:sz w:val="24"/>
          <w:szCs w:val="14"/>
        </w:rPr>
        <w:t xml:space="preserve"> anniversaire 1965-2004 (Le tissu social canadien), vol. 1. Les exigences i</w:t>
      </w:r>
      <w:r w:rsidRPr="00AD1432">
        <w:rPr>
          <w:sz w:val="24"/>
          <w:szCs w:val="14"/>
        </w:rPr>
        <w:t>m</w:t>
      </w:r>
      <w:r w:rsidRPr="00AD1432">
        <w:rPr>
          <w:sz w:val="24"/>
          <w:szCs w:val="14"/>
        </w:rPr>
        <w:t>posées sont par ailleurs souvent modestes.</w:t>
      </w:r>
    </w:p>
  </w:footnote>
  <w:footnote w:id="38">
    <w:p w:rsidR="00F0581C" w:rsidRDefault="00F0581C">
      <w:pPr>
        <w:pStyle w:val="Notedebasdepage"/>
      </w:pPr>
      <w:r>
        <w:rPr>
          <w:rStyle w:val="Appelnotedebasdep"/>
        </w:rPr>
        <w:footnoteRef/>
      </w:r>
      <w:r>
        <w:t xml:space="preserve"> </w:t>
      </w:r>
      <w:r>
        <w:tab/>
      </w:r>
      <w:r w:rsidRPr="00AD1432">
        <w:rPr>
          <w:i/>
          <w:iCs/>
          <w:sz w:val="24"/>
          <w:szCs w:val="14"/>
        </w:rPr>
        <w:t>Idem.</w:t>
      </w:r>
    </w:p>
  </w:footnote>
  <w:footnote w:id="39">
    <w:p w:rsidR="00F0581C" w:rsidRDefault="00F0581C">
      <w:pPr>
        <w:pStyle w:val="Notedebasdepage"/>
      </w:pPr>
      <w:r>
        <w:rPr>
          <w:rStyle w:val="Appelnotedebasdep"/>
        </w:rPr>
        <w:footnoteRef/>
      </w:r>
      <w:r>
        <w:t xml:space="preserve"> </w:t>
      </w:r>
      <w:r>
        <w:tab/>
      </w:r>
      <w:r w:rsidRPr="00AD1432">
        <w:rPr>
          <w:sz w:val="24"/>
          <w:szCs w:val="14"/>
        </w:rPr>
        <w:t>La représentation francophone aux postes de sous-ministre a atteint un so</w:t>
      </w:r>
      <w:r w:rsidRPr="00AD1432">
        <w:rPr>
          <w:sz w:val="24"/>
          <w:szCs w:val="14"/>
        </w:rPr>
        <w:t>m</w:t>
      </w:r>
      <w:r w:rsidRPr="00AD1432">
        <w:rPr>
          <w:sz w:val="24"/>
          <w:szCs w:val="14"/>
        </w:rPr>
        <w:t>met en 1994 avec 36,7</w:t>
      </w:r>
      <w:r w:rsidRPr="00AD1432">
        <w:rPr>
          <w:i/>
          <w:iCs/>
          <w:sz w:val="24"/>
          <w:szCs w:val="14"/>
        </w:rPr>
        <w:t xml:space="preserve">% </w:t>
      </w:r>
      <w:r w:rsidRPr="00AD1432">
        <w:rPr>
          <w:sz w:val="24"/>
          <w:szCs w:val="14"/>
        </w:rPr>
        <w:t>avant de retomber à 15,6% en 2000. Pour plus de d</w:t>
      </w:r>
      <w:r w:rsidRPr="00AD1432">
        <w:rPr>
          <w:sz w:val="24"/>
          <w:szCs w:val="14"/>
        </w:rPr>
        <w:t>é</w:t>
      </w:r>
      <w:r w:rsidRPr="00AD1432">
        <w:rPr>
          <w:sz w:val="24"/>
          <w:szCs w:val="14"/>
        </w:rPr>
        <w:t xml:space="preserve">tails, voir, Mattar (S.), </w:t>
      </w:r>
      <w:r w:rsidRPr="00AD1432">
        <w:rPr>
          <w:i/>
          <w:iCs/>
          <w:sz w:val="24"/>
          <w:szCs w:val="14"/>
        </w:rPr>
        <w:t>Une haute fonction publique qui reflète la dualité li</w:t>
      </w:r>
      <w:r w:rsidRPr="00AD1432">
        <w:rPr>
          <w:i/>
          <w:iCs/>
          <w:sz w:val="24"/>
          <w:szCs w:val="14"/>
        </w:rPr>
        <w:t>n</w:t>
      </w:r>
      <w:r w:rsidRPr="00AD1432">
        <w:rPr>
          <w:i/>
          <w:iCs/>
          <w:sz w:val="24"/>
          <w:szCs w:val="14"/>
        </w:rPr>
        <w:t xml:space="preserve">guistique canadienne, </w:t>
      </w:r>
      <w:r w:rsidRPr="00AD1432">
        <w:rPr>
          <w:sz w:val="24"/>
          <w:szCs w:val="14"/>
        </w:rPr>
        <w:t>Ottawa, Co</w:t>
      </w:r>
      <w:r w:rsidRPr="00AD1432">
        <w:rPr>
          <w:sz w:val="24"/>
          <w:szCs w:val="14"/>
        </w:rPr>
        <w:t>m</w:t>
      </w:r>
      <w:r w:rsidRPr="00AD1432">
        <w:rPr>
          <w:sz w:val="24"/>
          <w:szCs w:val="14"/>
        </w:rPr>
        <w:t>missariat aux langues officielles, 2002.</w:t>
      </w:r>
    </w:p>
  </w:footnote>
  <w:footnote w:id="40">
    <w:p w:rsidR="00F0581C" w:rsidRDefault="00F0581C">
      <w:pPr>
        <w:pStyle w:val="Notedebasdepage"/>
      </w:pPr>
      <w:r>
        <w:rPr>
          <w:rStyle w:val="Appelnotedebasdep"/>
        </w:rPr>
        <w:footnoteRef/>
      </w:r>
      <w:r>
        <w:t xml:space="preserve"> </w:t>
      </w:r>
      <w:r>
        <w:tab/>
      </w:r>
      <w:r w:rsidRPr="00AD1432">
        <w:rPr>
          <w:sz w:val="24"/>
          <w:szCs w:val="14"/>
        </w:rPr>
        <w:t>En anglais, cette réalité pourrait être décrite de façon fort évocatrice : les fon</w:t>
      </w:r>
      <w:r w:rsidRPr="00AD1432">
        <w:rPr>
          <w:sz w:val="24"/>
          <w:szCs w:val="14"/>
        </w:rPr>
        <w:t>c</w:t>
      </w:r>
      <w:r w:rsidRPr="00AD1432">
        <w:rPr>
          <w:sz w:val="24"/>
          <w:szCs w:val="14"/>
        </w:rPr>
        <w:t>tions « </w:t>
      </w:r>
      <w:r w:rsidRPr="00AD1432">
        <w:rPr>
          <w:i/>
          <w:iCs/>
          <w:sz w:val="24"/>
          <w:szCs w:val="14"/>
        </w:rPr>
        <w:t>hard »</w:t>
      </w:r>
      <w:r w:rsidRPr="00AD1432">
        <w:rPr>
          <w:sz w:val="24"/>
          <w:szCs w:val="14"/>
        </w:rPr>
        <w:t xml:space="preserve"> sont réservées aux anglophones et les fonctions « </w:t>
      </w:r>
      <w:r w:rsidRPr="00AD1432">
        <w:rPr>
          <w:i/>
          <w:iCs/>
          <w:sz w:val="24"/>
          <w:szCs w:val="14"/>
        </w:rPr>
        <w:t>soft »</w:t>
      </w:r>
      <w:r w:rsidRPr="00AD1432">
        <w:rPr>
          <w:sz w:val="24"/>
          <w:szCs w:val="14"/>
        </w:rPr>
        <w:t xml:space="preserve"> sont attr</w:t>
      </w:r>
      <w:r w:rsidRPr="00AD1432">
        <w:rPr>
          <w:sz w:val="24"/>
          <w:szCs w:val="14"/>
        </w:rPr>
        <w:t>i</w:t>
      </w:r>
      <w:r w:rsidRPr="00AD1432">
        <w:rPr>
          <w:sz w:val="24"/>
          <w:szCs w:val="14"/>
        </w:rPr>
        <w:t>buées aux francophones.</w:t>
      </w:r>
    </w:p>
  </w:footnote>
  <w:footnote w:id="41">
    <w:p w:rsidR="00F0581C" w:rsidRDefault="00F0581C">
      <w:pPr>
        <w:pStyle w:val="Notedebasdepage"/>
      </w:pPr>
      <w:r>
        <w:rPr>
          <w:rStyle w:val="Appelnotedebasdep"/>
        </w:rPr>
        <w:footnoteRef/>
      </w:r>
      <w:r>
        <w:t xml:space="preserve"> </w:t>
      </w:r>
      <w:r>
        <w:tab/>
      </w:r>
      <w:r w:rsidRPr="00AD1432">
        <w:rPr>
          <w:sz w:val="24"/>
          <w:szCs w:val="14"/>
        </w:rPr>
        <w:t>Notre traduction.</w:t>
      </w:r>
    </w:p>
  </w:footnote>
  <w:footnote w:id="42">
    <w:p w:rsidR="00F0581C" w:rsidRDefault="00F0581C">
      <w:pPr>
        <w:pStyle w:val="Notedebasdepage"/>
      </w:pPr>
      <w:r>
        <w:rPr>
          <w:rStyle w:val="Appelnotedebasdep"/>
        </w:rPr>
        <w:footnoteRef/>
      </w:r>
      <w:r>
        <w:t xml:space="preserve"> </w:t>
      </w:r>
      <w:r>
        <w:tab/>
      </w:r>
      <w:r w:rsidRPr="00AD1432">
        <w:rPr>
          <w:sz w:val="24"/>
          <w:szCs w:val="14"/>
        </w:rPr>
        <w:t xml:space="preserve">Pour plus de détails sur les modalités de fonctionnement de la </w:t>
      </w:r>
      <w:r w:rsidRPr="00AD1432">
        <w:rPr>
          <w:i/>
          <w:iCs/>
          <w:sz w:val="24"/>
          <w:szCs w:val="14"/>
        </w:rPr>
        <w:t>Federal Ch</w:t>
      </w:r>
      <w:r w:rsidRPr="00AD1432">
        <w:rPr>
          <w:i/>
          <w:iCs/>
          <w:sz w:val="24"/>
          <w:szCs w:val="14"/>
        </w:rPr>
        <w:t>a</w:t>
      </w:r>
      <w:r w:rsidRPr="00AD1432">
        <w:rPr>
          <w:i/>
          <w:iCs/>
          <w:sz w:val="24"/>
          <w:szCs w:val="14"/>
        </w:rPr>
        <w:t xml:space="preserve">racter Commission, </w:t>
      </w:r>
      <w:r w:rsidRPr="00AD1432">
        <w:rPr>
          <w:sz w:val="24"/>
          <w:szCs w:val="14"/>
        </w:rPr>
        <w:t xml:space="preserve">voir Bande (T. M.), </w:t>
      </w:r>
      <w:r w:rsidRPr="00AD1432">
        <w:rPr>
          <w:i/>
          <w:iCs/>
          <w:sz w:val="24"/>
          <w:szCs w:val="14"/>
        </w:rPr>
        <w:t>Managing Diversity in the Civil Se</w:t>
      </w:r>
      <w:r w:rsidRPr="00AD1432">
        <w:rPr>
          <w:i/>
          <w:iCs/>
          <w:sz w:val="24"/>
          <w:szCs w:val="14"/>
        </w:rPr>
        <w:t>r</w:t>
      </w:r>
      <w:r w:rsidRPr="00AD1432">
        <w:rPr>
          <w:i/>
          <w:iCs/>
          <w:sz w:val="24"/>
          <w:szCs w:val="14"/>
        </w:rPr>
        <w:t xml:space="preserve">vice : A Brief Examination of the Nigerian Case, </w:t>
      </w:r>
      <w:r w:rsidRPr="00AD1432">
        <w:rPr>
          <w:sz w:val="24"/>
          <w:szCs w:val="14"/>
        </w:rPr>
        <w:t>New York, United Nations Online Network in Public Administr</w:t>
      </w:r>
      <w:r w:rsidRPr="00AD1432">
        <w:rPr>
          <w:sz w:val="24"/>
          <w:szCs w:val="14"/>
        </w:rPr>
        <w:t>a</w:t>
      </w:r>
      <w:r w:rsidRPr="00AD1432">
        <w:rPr>
          <w:sz w:val="24"/>
          <w:szCs w:val="14"/>
        </w:rPr>
        <w:t>tion and Finance, mai 2001.</w:t>
      </w:r>
    </w:p>
  </w:footnote>
  <w:footnote w:id="43">
    <w:p w:rsidR="00F0581C" w:rsidRDefault="00F0581C">
      <w:pPr>
        <w:pStyle w:val="Notedebasdepage"/>
      </w:pPr>
      <w:r>
        <w:rPr>
          <w:rStyle w:val="Appelnotedebasdep"/>
        </w:rPr>
        <w:footnoteRef/>
      </w:r>
      <w:r>
        <w:t xml:space="preserve"> </w:t>
      </w:r>
      <w:r>
        <w:tab/>
      </w:r>
      <w:r w:rsidRPr="00AD1432">
        <w:rPr>
          <w:sz w:val="24"/>
          <w:szCs w:val="14"/>
        </w:rPr>
        <w:t>Notre traduction.</w:t>
      </w:r>
    </w:p>
  </w:footnote>
  <w:footnote w:id="44">
    <w:p w:rsidR="00F0581C" w:rsidRDefault="00F0581C">
      <w:pPr>
        <w:pStyle w:val="Notedebasdepage"/>
      </w:pPr>
      <w:r>
        <w:rPr>
          <w:rStyle w:val="Appelnotedebasdep"/>
        </w:rPr>
        <w:footnoteRef/>
      </w:r>
      <w:r>
        <w:t xml:space="preserve"> </w:t>
      </w:r>
      <w:r>
        <w:tab/>
      </w:r>
      <w:r w:rsidRPr="00AD1432">
        <w:rPr>
          <w:sz w:val="24"/>
          <w:szCs w:val="14"/>
        </w:rPr>
        <w:t>Voir, entre autres, Aluko (M.A.O.) et Adesopo (A.A.), « An Appraisal of the Two Faces of Bureaucracy in Relation to the Nig</w:t>
      </w:r>
      <w:r w:rsidRPr="00AD1432">
        <w:rPr>
          <w:sz w:val="24"/>
          <w:szCs w:val="14"/>
        </w:rPr>
        <w:t>é</w:t>
      </w:r>
      <w:r w:rsidRPr="00AD1432">
        <w:rPr>
          <w:sz w:val="24"/>
          <w:szCs w:val="14"/>
        </w:rPr>
        <w:t xml:space="preserve">rian Society », </w:t>
      </w:r>
      <w:r w:rsidRPr="00AD1432">
        <w:rPr>
          <w:i/>
          <w:iCs/>
          <w:sz w:val="24"/>
          <w:szCs w:val="14"/>
        </w:rPr>
        <w:t xml:space="preserve">Journal of Social Science, </w:t>
      </w:r>
      <w:r w:rsidRPr="00AD1432">
        <w:rPr>
          <w:sz w:val="24"/>
          <w:szCs w:val="14"/>
        </w:rPr>
        <w:t>vol. 8, no. 1, 2001, p. 19.</w:t>
      </w:r>
    </w:p>
  </w:footnote>
  <w:footnote w:id="45">
    <w:p w:rsidR="00F0581C" w:rsidRDefault="00F0581C">
      <w:pPr>
        <w:pStyle w:val="Notedebasdepage"/>
      </w:pPr>
      <w:r>
        <w:rPr>
          <w:rStyle w:val="Appelnotedebasdep"/>
        </w:rPr>
        <w:footnoteRef/>
      </w:r>
      <w:r>
        <w:t xml:space="preserve"> </w:t>
      </w:r>
      <w:r>
        <w:tab/>
      </w:r>
      <w:r w:rsidRPr="00AD1432">
        <w:rPr>
          <w:sz w:val="24"/>
          <w:szCs w:val="14"/>
        </w:rPr>
        <w:t>Dauda (B.), « Fallacies and Dilemmas : The Theory of Representative B</w:t>
      </w:r>
      <w:r w:rsidRPr="00AD1432">
        <w:rPr>
          <w:sz w:val="24"/>
          <w:szCs w:val="14"/>
        </w:rPr>
        <w:t>u</w:t>
      </w:r>
      <w:r w:rsidRPr="00AD1432">
        <w:rPr>
          <w:sz w:val="24"/>
          <w:szCs w:val="14"/>
        </w:rPr>
        <w:t>reaucracy with a Particular Reference to the Nigerian P</w:t>
      </w:r>
      <w:r w:rsidRPr="00AD1432">
        <w:rPr>
          <w:sz w:val="24"/>
          <w:szCs w:val="14"/>
        </w:rPr>
        <w:t>u</w:t>
      </w:r>
      <w:r w:rsidRPr="00AD1432">
        <w:rPr>
          <w:sz w:val="24"/>
          <w:szCs w:val="14"/>
        </w:rPr>
        <w:t xml:space="preserve">blic Service 1950 to 1986 », </w:t>
      </w:r>
      <w:r w:rsidRPr="00AD1432">
        <w:rPr>
          <w:i/>
          <w:iCs/>
          <w:sz w:val="24"/>
          <w:szCs w:val="14"/>
        </w:rPr>
        <w:t>International Review of Administrative Scie</w:t>
      </w:r>
      <w:r w:rsidRPr="00AD1432">
        <w:rPr>
          <w:i/>
          <w:iCs/>
          <w:sz w:val="24"/>
          <w:szCs w:val="14"/>
        </w:rPr>
        <w:t>n</w:t>
      </w:r>
      <w:r w:rsidRPr="00AD1432">
        <w:rPr>
          <w:i/>
          <w:iCs/>
          <w:sz w:val="24"/>
          <w:szCs w:val="14"/>
        </w:rPr>
        <w:t xml:space="preserve">ce, </w:t>
      </w:r>
      <w:r w:rsidRPr="00AD1432">
        <w:rPr>
          <w:sz w:val="24"/>
          <w:szCs w:val="14"/>
        </w:rPr>
        <w:t>vol. 56, no. 3, 1990, p. 492.</w:t>
      </w:r>
    </w:p>
  </w:footnote>
  <w:footnote w:id="46">
    <w:p w:rsidR="00F0581C" w:rsidRDefault="00F0581C">
      <w:pPr>
        <w:pStyle w:val="Notedebasdepage"/>
      </w:pPr>
      <w:r>
        <w:rPr>
          <w:rStyle w:val="Appelnotedebasdep"/>
        </w:rPr>
        <w:footnoteRef/>
      </w:r>
      <w:r>
        <w:t xml:space="preserve"> </w:t>
      </w:r>
      <w:r>
        <w:tab/>
      </w:r>
      <w:r w:rsidRPr="00AD1432">
        <w:rPr>
          <w:sz w:val="24"/>
          <w:szCs w:val="14"/>
        </w:rPr>
        <w:t>Ayoade (J.A.A.), « The Federal Character Principle and the Search for Nati</w:t>
      </w:r>
      <w:r w:rsidRPr="00AD1432">
        <w:rPr>
          <w:sz w:val="24"/>
          <w:szCs w:val="14"/>
        </w:rPr>
        <w:t>o</w:t>
      </w:r>
      <w:r w:rsidRPr="00AD1432">
        <w:rPr>
          <w:sz w:val="24"/>
          <w:szCs w:val="14"/>
        </w:rPr>
        <w:t xml:space="preserve">nal Integration », </w:t>
      </w:r>
      <w:r w:rsidRPr="00AD1432">
        <w:rPr>
          <w:i/>
          <w:iCs/>
          <w:sz w:val="24"/>
          <w:szCs w:val="14"/>
        </w:rPr>
        <w:t xml:space="preserve">op. cit. </w:t>
      </w:r>
      <w:r w:rsidRPr="00AD1432">
        <w:rPr>
          <w:sz w:val="24"/>
          <w:szCs w:val="14"/>
        </w:rPr>
        <w:t>(note 23), p. 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81C" w:rsidRDefault="00F0581C" w:rsidP="00F0581C">
    <w:pPr>
      <w:pStyle w:val="En-tte"/>
      <w:tabs>
        <w:tab w:val="clear" w:pos="4320"/>
        <w:tab w:val="clear" w:pos="8640"/>
        <w:tab w:val="right" w:pos="7290"/>
        <w:tab w:val="right" w:pos="7920"/>
      </w:tabs>
      <w:ind w:firstLine="0"/>
      <w:rPr>
        <w:rFonts w:ascii="Times New Roman" w:hAnsi="Times New Roman"/>
      </w:rPr>
    </w:pPr>
    <w:r>
      <w:rPr>
        <w:rFonts w:ascii="Times New Roman" w:hAnsi="Times New Roman"/>
      </w:rPr>
      <w:tab/>
      <w:t>“</w:t>
    </w:r>
    <w:r w:rsidRPr="005C4A1A">
      <w:rPr>
        <w:rFonts w:ascii="Times New Roman" w:hAnsi="Times New Roman"/>
      </w:rPr>
      <w:t>La bureaucratie représentative au sein des États multinationaux</w:t>
    </w:r>
    <w:r>
      <w:rPr>
        <w:rFonts w:ascii="Times New Roman" w:hAnsi="Times New Roman"/>
      </w:rPr>
      <w:t>.”</w:t>
    </w:r>
    <w:r w:rsidRPr="00EC0AB3">
      <w:rPr>
        <w:rFonts w:ascii="Times New Roman" w:hAnsi="Times New Roman"/>
      </w:rPr>
      <w:t xml:space="preserve"> </w:t>
    </w:r>
    <w:r>
      <w:rPr>
        <w:rFonts w:ascii="Times New Roman" w:hAnsi="Times New Roman"/>
      </w:rPr>
      <w:t>(2006)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A266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34</w:t>
    </w:r>
    <w:r>
      <w:rPr>
        <w:rStyle w:val="Numrodepage"/>
        <w:rFonts w:ascii="Times New Roman" w:hAnsi="Times New Roman"/>
      </w:rPr>
      <w:fldChar w:fldCharType="end"/>
    </w:r>
  </w:p>
  <w:p w:rsidR="00F0581C" w:rsidRDefault="00F0581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F8E"/>
    <w:multiLevelType w:val="singleLevel"/>
    <w:tmpl w:val="8046A6A2"/>
    <w:lvl w:ilvl="0">
      <w:start w:val="34"/>
      <w:numFmt w:val="decimal"/>
      <w:lvlText w:val="%1."/>
      <w:legacy w:legacy="1" w:legacySpace="0" w:legacyIndent="225"/>
      <w:lvlJc w:val="left"/>
      <w:rPr>
        <w:rFonts w:ascii="Times New Roman" w:hAnsi="Times New Roman" w:hint="default"/>
      </w:rPr>
    </w:lvl>
  </w:abstractNum>
  <w:abstractNum w:abstractNumId="1" w15:restartNumberingAfterBreak="0">
    <w:nsid w:val="03520426"/>
    <w:multiLevelType w:val="singleLevel"/>
    <w:tmpl w:val="9370B430"/>
    <w:lvl w:ilvl="0">
      <w:start w:val="1"/>
      <w:numFmt w:val="decimal"/>
      <w:lvlText w:val="%1."/>
      <w:legacy w:legacy="1" w:legacySpace="0" w:legacyIndent="163"/>
      <w:lvlJc w:val="left"/>
      <w:rPr>
        <w:rFonts w:ascii="Times New Roman" w:hAnsi="Times New Roman" w:hint="default"/>
      </w:rPr>
    </w:lvl>
  </w:abstractNum>
  <w:abstractNum w:abstractNumId="2" w15:restartNumberingAfterBreak="0">
    <w:nsid w:val="04014ED0"/>
    <w:multiLevelType w:val="singleLevel"/>
    <w:tmpl w:val="9198E046"/>
    <w:lvl w:ilvl="0">
      <w:start w:val="11"/>
      <w:numFmt w:val="decimal"/>
      <w:lvlText w:val="%1."/>
      <w:legacy w:legacy="1" w:legacySpace="0" w:legacyIndent="211"/>
      <w:lvlJc w:val="left"/>
      <w:rPr>
        <w:rFonts w:ascii="Times New Roman" w:hAnsi="Times New Roman" w:hint="default"/>
      </w:rPr>
    </w:lvl>
  </w:abstractNum>
  <w:abstractNum w:abstractNumId="3" w15:restartNumberingAfterBreak="0">
    <w:nsid w:val="120C1BC1"/>
    <w:multiLevelType w:val="singleLevel"/>
    <w:tmpl w:val="C7AC8786"/>
    <w:lvl w:ilvl="0">
      <w:start w:val="23"/>
      <w:numFmt w:val="decimal"/>
      <w:lvlText w:val="%1."/>
      <w:legacy w:legacy="1" w:legacySpace="0" w:legacyIndent="235"/>
      <w:lvlJc w:val="left"/>
      <w:rPr>
        <w:rFonts w:ascii="Times New Roman" w:hAnsi="Times New Roman" w:hint="default"/>
      </w:rPr>
    </w:lvl>
  </w:abstractNum>
  <w:abstractNum w:abstractNumId="4" w15:restartNumberingAfterBreak="0">
    <w:nsid w:val="16E46C5B"/>
    <w:multiLevelType w:val="singleLevel"/>
    <w:tmpl w:val="5FAA83F8"/>
    <w:lvl w:ilvl="0">
      <w:start w:val="5"/>
      <w:numFmt w:val="decimal"/>
      <w:lvlText w:val="%1."/>
      <w:legacy w:legacy="1" w:legacySpace="0" w:legacyIndent="173"/>
      <w:lvlJc w:val="left"/>
      <w:rPr>
        <w:rFonts w:ascii="Times New Roman" w:hAnsi="Times New Roman" w:hint="default"/>
      </w:rPr>
    </w:lvl>
  </w:abstractNum>
  <w:abstractNum w:abstractNumId="5" w15:restartNumberingAfterBreak="0">
    <w:nsid w:val="19CF408A"/>
    <w:multiLevelType w:val="singleLevel"/>
    <w:tmpl w:val="6E16DBAC"/>
    <w:lvl w:ilvl="0">
      <w:start w:val="38"/>
      <w:numFmt w:val="decimal"/>
      <w:lvlText w:val="%1."/>
      <w:legacy w:legacy="1" w:legacySpace="0" w:legacyIndent="231"/>
      <w:lvlJc w:val="left"/>
      <w:rPr>
        <w:rFonts w:ascii="Times New Roman" w:hAnsi="Times New Roman" w:hint="default"/>
      </w:rPr>
    </w:lvl>
  </w:abstractNum>
  <w:abstractNum w:abstractNumId="6" w15:restartNumberingAfterBreak="0">
    <w:nsid w:val="1F135CAB"/>
    <w:multiLevelType w:val="singleLevel"/>
    <w:tmpl w:val="B2305534"/>
    <w:lvl w:ilvl="0">
      <w:start w:val="8"/>
      <w:numFmt w:val="decimal"/>
      <w:lvlText w:val="%1."/>
      <w:legacy w:legacy="1" w:legacySpace="0" w:legacyIndent="163"/>
      <w:lvlJc w:val="left"/>
      <w:rPr>
        <w:rFonts w:ascii="Times New Roman" w:hAnsi="Times New Roman" w:hint="default"/>
      </w:rPr>
    </w:lvl>
  </w:abstractNum>
  <w:abstractNum w:abstractNumId="7" w15:restartNumberingAfterBreak="0">
    <w:nsid w:val="2C1C7BE8"/>
    <w:multiLevelType w:val="singleLevel"/>
    <w:tmpl w:val="968E5840"/>
    <w:lvl w:ilvl="0">
      <w:start w:val="30"/>
      <w:numFmt w:val="decimal"/>
      <w:lvlText w:val="%1."/>
      <w:legacy w:legacy="1" w:legacySpace="0" w:legacyIndent="235"/>
      <w:lvlJc w:val="left"/>
      <w:rPr>
        <w:rFonts w:ascii="Times New Roman" w:hAnsi="Times New Roman" w:hint="default"/>
      </w:rPr>
    </w:lvl>
  </w:abstractNum>
  <w:abstractNum w:abstractNumId="8" w15:restartNumberingAfterBreak="0">
    <w:nsid w:val="3608223E"/>
    <w:multiLevelType w:val="singleLevel"/>
    <w:tmpl w:val="A3F0C46E"/>
    <w:lvl w:ilvl="0">
      <w:start w:val="27"/>
      <w:numFmt w:val="decimal"/>
      <w:lvlText w:val="%1."/>
      <w:legacy w:legacy="1" w:legacySpace="0" w:legacyIndent="235"/>
      <w:lvlJc w:val="left"/>
      <w:rPr>
        <w:rFonts w:ascii="Times New Roman" w:hAnsi="Times New Roman" w:hint="default"/>
      </w:rPr>
    </w:lvl>
  </w:abstractNum>
  <w:abstractNum w:abstractNumId="9" w15:restartNumberingAfterBreak="0">
    <w:nsid w:val="38E866AA"/>
    <w:multiLevelType w:val="singleLevel"/>
    <w:tmpl w:val="AC82ACE6"/>
    <w:lvl w:ilvl="0">
      <w:start w:val="15"/>
      <w:numFmt w:val="decimal"/>
      <w:lvlText w:val="%1."/>
      <w:legacy w:legacy="1" w:legacySpace="0" w:legacyIndent="231"/>
      <w:lvlJc w:val="left"/>
      <w:rPr>
        <w:rFonts w:ascii="Times New Roman" w:hAnsi="Times New Roman" w:hint="default"/>
      </w:rPr>
    </w:lvl>
  </w:abstractNum>
  <w:abstractNum w:abstractNumId="1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67738"/>
    <w:multiLevelType w:val="singleLevel"/>
    <w:tmpl w:val="EA823F7E"/>
    <w:lvl w:ilvl="0">
      <w:start w:val="18"/>
      <w:numFmt w:val="decimal"/>
      <w:lvlText w:val="%1."/>
      <w:legacy w:legacy="1" w:legacySpace="0" w:legacyIndent="235"/>
      <w:lvlJc w:val="left"/>
      <w:rPr>
        <w:rFonts w:ascii="Times New Roman" w:hAnsi="Times New Roman" w:hint="default"/>
      </w:rPr>
    </w:lvl>
  </w:abstractNum>
  <w:abstractNum w:abstractNumId="12" w15:restartNumberingAfterBreak="0">
    <w:nsid w:val="4E776E7D"/>
    <w:multiLevelType w:val="singleLevel"/>
    <w:tmpl w:val="139C8BD2"/>
    <w:lvl w:ilvl="0">
      <w:start w:val="13"/>
      <w:numFmt w:val="decimal"/>
      <w:lvlText w:val="%1."/>
      <w:legacy w:legacy="1" w:legacySpace="0" w:legacyIndent="221"/>
      <w:lvlJc w:val="left"/>
      <w:rPr>
        <w:rFonts w:ascii="Times New Roman" w:hAnsi="Times New Roman" w:hint="default"/>
      </w:rPr>
    </w:lvl>
  </w:abstractNum>
  <w:abstractNum w:abstractNumId="13" w15:restartNumberingAfterBreak="0">
    <w:nsid w:val="4EFB2DA0"/>
    <w:multiLevelType w:val="singleLevel"/>
    <w:tmpl w:val="3AB21C70"/>
    <w:lvl w:ilvl="0">
      <w:start w:val="25"/>
      <w:numFmt w:val="decimal"/>
      <w:lvlText w:val="%1."/>
      <w:legacy w:legacy="1" w:legacySpace="0" w:legacyIndent="235"/>
      <w:lvlJc w:val="left"/>
      <w:rPr>
        <w:rFonts w:ascii="Times New Roman" w:hAnsi="Times New Roman" w:hint="default"/>
      </w:rPr>
    </w:lvl>
  </w:abstractNum>
  <w:abstractNum w:abstractNumId="14" w15:restartNumberingAfterBreak="0">
    <w:nsid w:val="735977BF"/>
    <w:multiLevelType w:val="singleLevel"/>
    <w:tmpl w:val="34227348"/>
    <w:lvl w:ilvl="0">
      <w:start w:val="43"/>
      <w:numFmt w:val="decimal"/>
      <w:lvlText w:val="%1."/>
      <w:legacy w:legacy="1" w:legacySpace="0" w:legacyIndent="236"/>
      <w:lvlJc w:val="left"/>
      <w:rPr>
        <w:rFonts w:ascii="Times New Roman" w:hAnsi="Times New Roman" w:hint="default"/>
      </w:rPr>
    </w:lvl>
  </w:abstractNum>
  <w:num w:numId="1">
    <w:abstractNumId w:val="10"/>
  </w:num>
  <w:num w:numId="2">
    <w:abstractNumId w:val="1"/>
  </w:num>
  <w:num w:numId="3">
    <w:abstractNumId w:val="4"/>
  </w:num>
  <w:num w:numId="4">
    <w:abstractNumId w:val="6"/>
  </w:num>
  <w:num w:numId="5">
    <w:abstractNumId w:val="2"/>
  </w:num>
  <w:num w:numId="6">
    <w:abstractNumId w:val="12"/>
  </w:num>
  <w:num w:numId="7">
    <w:abstractNumId w:val="9"/>
  </w:num>
  <w:num w:numId="8">
    <w:abstractNumId w:val="11"/>
  </w:num>
  <w:num w:numId="9">
    <w:abstractNumId w:val="3"/>
  </w:num>
  <w:num w:numId="10">
    <w:abstractNumId w:val="13"/>
  </w:num>
  <w:num w:numId="11">
    <w:abstractNumId w:val="8"/>
  </w:num>
  <w:num w:numId="12">
    <w:abstractNumId w:val="7"/>
  </w:num>
  <w:num w:numId="13">
    <w:abstractNumId w:val="7"/>
    <w:lvlOverride w:ilvl="0">
      <w:lvl w:ilvl="0">
        <w:start w:val="30"/>
        <w:numFmt w:val="decimal"/>
        <w:lvlText w:val="%1."/>
        <w:legacy w:legacy="1" w:legacySpace="0" w:legacyIndent="236"/>
        <w:lvlJc w:val="left"/>
        <w:rPr>
          <w:rFonts w:ascii="Times New Roman" w:hAnsi="Times New Roman" w:hint="default"/>
        </w:rPr>
      </w:lvl>
    </w:lvlOverride>
  </w:num>
  <w:num w:numId="14">
    <w:abstractNumId w:val="0"/>
  </w:num>
  <w:num w:numId="15">
    <w:abstractNumId w:val="5"/>
  </w:num>
  <w:num w:numId="16">
    <w:abstractNumId w:val="5"/>
    <w:lvlOverride w:ilvl="0">
      <w:lvl w:ilvl="0">
        <w:start w:val="38"/>
        <w:numFmt w:val="decimal"/>
        <w:lvlText w:val="%1."/>
        <w:legacy w:legacy="1" w:legacySpace="0" w:legacyIndent="230"/>
        <w:lvlJc w:val="left"/>
        <w:rPr>
          <w:rFonts w:ascii="Times New Roman" w:hAnsi="Times New Roman" w:hint="default"/>
        </w:rPr>
      </w:lvl>
    </w:lvlOverride>
  </w:num>
  <w:num w:numId="17">
    <w:abstractNumId w:val="14"/>
  </w:num>
  <w:num w:numId="18">
    <w:abstractNumId w:val="14"/>
    <w:lvlOverride w:ilvl="0">
      <w:lvl w:ilvl="0">
        <w:start w:val="43"/>
        <w:numFmt w:val="decimal"/>
        <w:lvlText w:val="%1."/>
        <w:legacy w:legacy="1" w:legacySpace="0" w:legacyIndent="23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321EE"/>
    <w:rsid w:val="003A266D"/>
    <w:rsid w:val="00F0581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5EEBB09-B014-1E4D-959C-5C644CEE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5F"/>
    <w:pPr>
      <w:ind w:firstLine="360"/>
    </w:pPr>
    <w:rPr>
      <w:rFonts w:ascii="Times New Roman" w:eastAsia="Times New Roman" w:hAnsi="Times New Roman"/>
      <w:sz w:val="28"/>
      <w:lang w:eastAsia="en-US"/>
    </w:rPr>
  </w:style>
  <w:style w:type="paragraph" w:styleId="Titre1">
    <w:name w:val="heading 1"/>
    <w:next w:val="Normal"/>
    <w:qFormat/>
    <w:rsid w:val="000C7B9B"/>
    <w:pPr>
      <w:outlineLvl w:val="0"/>
    </w:pPr>
    <w:rPr>
      <w:rFonts w:eastAsia="Times New Roman"/>
      <w:noProof/>
      <w:lang w:eastAsia="en-US"/>
    </w:rPr>
  </w:style>
  <w:style w:type="paragraph" w:styleId="Titre2">
    <w:name w:val="heading 2"/>
    <w:next w:val="Normal"/>
    <w:qFormat/>
    <w:rsid w:val="000C7B9B"/>
    <w:pPr>
      <w:outlineLvl w:val="1"/>
    </w:pPr>
    <w:rPr>
      <w:rFonts w:eastAsia="Times New Roman"/>
      <w:noProof/>
      <w:lang w:eastAsia="en-US"/>
    </w:rPr>
  </w:style>
  <w:style w:type="paragraph" w:styleId="Titre3">
    <w:name w:val="heading 3"/>
    <w:next w:val="Normal"/>
    <w:qFormat/>
    <w:rsid w:val="000C7B9B"/>
    <w:pPr>
      <w:outlineLvl w:val="2"/>
    </w:pPr>
    <w:rPr>
      <w:rFonts w:eastAsia="Times New Roman"/>
      <w:noProof/>
      <w:lang w:eastAsia="en-US"/>
    </w:rPr>
  </w:style>
  <w:style w:type="paragraph" w:styleId="Titre4">
    <w:name w:val="heading 4"/>
    <w:next w:val="Normal"/>
    <w:qFormat/>
    <w:rsid w:val="000C7B9B"/>
    <w:pPr>
      <w:outlineLvl w:val="3"/>
    </w:pPr>
    <w:rPr>
      <w:rFonts w:eastAsia="Times New Roman"/>
      <w:noProof/>
      <w:lang w:eastAsia="en-US"/>
    </w:rPr>
  </w:style>
  <w:style w:type="paragraph" w:styleId="Titre5">
    <w:name w:val="heading 5"/>
    <w:next w:val="Normal"/>
    <w:qFormat/>
    <w:rsid w:val="000C7B9B"/>
    <w:pPr>
      <w:outlineLvl w:val="4"/>
    </w:pPr>
    <w:rPr>
      <w:rFonts w:eastAsia="Times New Roman"/>
      <w:noProof/>
      <w:lang w:eastAsia="en-US"/>
    </w:rPr>
  </w:style>
  <w:style w:type="paragraph" w:styleId="Titre6">
    <w:name w:val="heading 6"/>
    <w:next w:val="Normal"/>
    <w:qFormat/>
    <w:rsid w:val="000C7B9B"/>
    <w:pPr>
      <w:outlineLvl w:val="5"/>
    </w:pPr>
    <w:rPr>
      <w:rFonts w:eastAsia="Times New Roman"/>
      <w:noProof/>
      <w:lang w:eastAsia="en-US"/>
    </w:rPr>
  </w:style>
  <w:style w:type="paragraph" w:styleId="Titre7">
    <w:name w:val="heading 7"/>
    <w:next w:val="Normal"/>
    <w:qFormat/>
    <w:rsid w:val="000C7B9B"/>
    <w:pPr>
      <w:outlineLvl w:val="6"/>
    </w:pPr>
    <w:rPr>
      <w:rFonts w:eastAsia="Times New Roman"/>
      <w:noProof/>
      <w:lang w:eastAsia="en-US"/>
    </w:rPr>
  </w:style>
  <w:style w:type="paragraph" w:styleId="Titre8">
    <w:name w:val="heading 8"/>
    <w:next w:val="Normal"/>
    <w:qFormat/>
    <w:rsid w:val="000C7B9B"/>
    <w:pPr>
      <w:outlineLvl w:val="7"/>
    </w:pPr>
    <w:rPr>
      <w:rFonts w:eastAsia="Times New Roman"/>
      <w:noProof/>
      <w:lang w:eastAsia="en-US"/>
    </w:rPr>
  </w:style>
  <w:style w:type="paragraph" w:styleId="Titre9">
    <w:name w:val="heading 9"/>
    <w:next w:val="Normal"/>
    <w:qFormat/>
    <w:rsid w:val="000C7B9B"/>
    <w:pPr>
      <w:outlineLvl w:val="8"/>
    </w:pPr>
    <w:rPr>
      <w:rFonts w:eastAsia="Times New Roman"/>
      <w:noProof/>
      <w:lang w:eastAsia="en-US"/>
    </w:rPr>
  </w:style>
  <w:style w:type="character" w:default="1" w:styleId="Policepardfaut">
    <w:name w:val="Default Paragraph Font"/>
    <w:rsid w:val="000C7B9B"/>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0C7B9B"/>
  </w:style>
  <w:style w:type="character" w:styleId="Appeldenotedefin">
    <w:name w:val="endnote reference"/>
    <w:basedOn w:val="Policepardfaut"/>
    <w:rsid w:val="000C7B9B"/>
    <w:rPr>
      <w:vertAlign w:val="superscript"/>
    </w:rPr>
  </w:style>
  <w:style w:type="character" w:styleId="Appelnotedebasdep">
    <w:name w:val="footnote reference"/>
    <w:basedOn w:val="Policepardfaut"/>
    <w:autoRedefine/>
    <w:rsid w:val="000C7B9B"/>
    <w:rPr>
      <w:color w:val="FF0000"/>
      <w:position w:val="6"/>
      <w:sz w:val="20"/>
    </w:rPr>
  </w:style>
  <w:style w:type="paragraph" w:styleId="Grillecouleur-Accent1">
    <w:name w:val="Colorful Grid Accent 1"/>
    <w:basedOn w:val="Normal"/>
    <w:autoRedefine/>
    <w:rsid w:val="000C7B9B"/>
    <w:pPr>
      <w:tabs>
        <w:tab w:val="left" w:pos="1080"/>
      </w:tabs>
      <w:ind w:left="720" w:firstLine="0"/>
      <w:jc w:val="both"/>
    </w:pPr>
    <w:rPr>
      <w:color w:val="000080"/>
      <w:sz w:val="24"/>
    </w:rPr>
  </w:style>
  <w:style w:type="paragraph" w:customStyle="1" w:styleId="Niveau1">
    <w:name w:val="Niveau 1"/>
    <w:basedOn w:val="Normal"/>
    <w:rsid w:val="000C7B9B"/>
    <w:pPr>
      <w:ind w:firstLine="0"/>
    </w:pPr>
    <w:rPr>
      <w:b/>
      <w:color w:val="FF0000"/>
      <w:sz w:val="72"/>
    </w:rPr>
  </w:style>
  <w:style w:type="paragraph" w:customStyle="1" w:styleId="Niveau11">
    <w:name w:val="Niveau 1.1"/>
    <w:basedOn w:val="Niveau1"/>
    <w:autoRedefine/>
    <w:rsid w:val="000C7B9B"/>
    <w:rPr>
      <w:color w:val="008000"/>
      <w:sz w:val="60"/>
    </w:rPr>
  </w:style>
  <w:style w:type="paragraph" w:customStyle="1" w:styleId="Niveau12">
    <w:name w:val="Niveau 1.2"/>
    <w:basedOn w:val="Niveau11"/>
    <w:autoRedefine/>
    <w:rsid w:val="000C7B9B"/>
    <w:pPr>
      <w:jc w:val="center"/>
    </w:pPr>
    <w:rPr>
      <w:i/>
      <w:color w:val="000080"/>
      <w:sz w:val="28"/>
    </w:rPr>
  </w:style>
  <w:style w:type="paragraph" w:customStyle="1" w:styleId="Niveau2">
    <w:name w:val="Niveau 2"/>
    <w:basedOn w:val="Normal"/>
    <w:rsid w:val="000C7B9B"/>
    <w:rPr>
      <w:rFonts w:ascii="GillSans" w:hAnsi="GillSans"/>
      <w:sz w:val="20"/>
    </w:rPr>
  </w:style>
  <w:style w:type="paragraph" w:customStyle="1" w:styleId="Niveau3">
    <w:name w:val="Niveau 3"/>
    <w:basedOn w:val="Normal"/>
    <w:autoRedefine/>
    <w:rsid w:val="000C7B9B"/>
    <w:pPr>
      <w:ind w:left="1080" w:hanging="720"/>
    </w:pPr>
    <w:rPr>
      <w:b/>
    </w:rPr>
  </w:style>
  <w:style w:type="paragraph" w:customStyle="1" w:styleId="Titreniveau1">
    <w:name w:val="Titre niveau 1"/>
    <w:basedOn w:val="Niveau1"/>
    <w:autoRedefine/>
    <w:rsid w:val="000C7B9B"/>
    <w:pPr>
      <w:pBdr>
        <w:bottom w:val="single" w:sz="4" w:space="1" w:color="auto"/>
      </w:pBdr>
      <w:ind w:left="1440" w:right="1440"/>
      <w:jc w:val="center"/>
    </w:pPr>
    <w:rPr>
      <w:b w:val="0"/>
      <w:sz w:val="60"/>
    </w:rPr>
  </w:style>
  <w:style w:type="paragraph" w:customStyle="1" w:styleId="Titreniveau2">
    <w:name w:val="Titre niveau 2"/>
    <w:basedOn w:val="Titreniveau1"/>
    <w:autoRedefine/>
    <w:rsid w:val="00CE2C5F"/>
    <w:pPr>
      <w:widowControl w:val="0"/>
      <w:pBdr>
        <w:bottom w:val="none" w:sz="0" w:space="0" w:color="auto"/>
      </w:pBdr>
      <w:ind w:left="0" w:right="0"/>
    </w:pPr>
    <w:rPr>
      <w:color w:val="auto"/>
      <w:sz w:val="48"/>
    </w:rPr>
  </w:style>
  <w:style w:type="paragraph" w:styleId="Corpsdetexte">
    <w:name w:val="Body Text"/>
    <w:basedOn w:val="Normal"/>
    <w:rsid w:val="000C7B9B"/>
    <w:pPr>
      <w:spacing w:before="360" w:after="240"/>
      <w:ind w:firstLine="0"/>
      <w:jc w:val="center"/>
    </w:pPr>
    <w:rPr>
      <w:sz w:val="72"/>
    </w:rPr>
  </w:style>
  <w:style w:type="paragraph" w:styleId="Corpsdetexte2">
    <w:name w:val="Body Text 2"/>
    <w:basedOn w:val="Normal"/>
    <w:rsid w:val="000C7B9B"/>
    <w:pPr>
      <w:ind w:firstLine="0"/>
      <w:jc w:val="both"/>
    </w:pPr>
    <w:rPr>
      <w:rFonts w:ascii="Arial" w:hAnsi="Arial"/>
    </w:rPr>
  </w:style>
  <w:style w:type="paragraph" w:styleId="Corpsdetexte3">
    <w:name w:val="Body Text 3"/>
    <w:basedOn w:val="Normal"/>
    <w:rsid w:val="000C7B9B"/>
    <w:pPr>
      <w:tabs>
        <w:tab w:val="left" w:pos="510"/>
        <w:tab w:val="left" w:pos="510"/>
      </w:tabs>
      <w:ind w:firstLine="0"/>
      <w:jc w:val="both"/>
    </w:pPr>
    <w:rPr>
      <w:rFonts w:ascii="Arial" w:hAnsi="Arial"/>
      <w:sz w:val="20"/>
    </w:rPr>
  </w:style>
  <w:style w:type="paragraph" w:styleId="En-tte">
    <w:name w:val="header"/>
    <w:basedOn w:val="Normal"/>
    <w:rsid w:val="000C7B9B"/>
    <w:pPr>
      <w:tabs>
        <w:tab w:val="center" w:pos="4320"/>
        <w:tab w:val="right" w:pos="8640"/>
      </w:tabs>
    </w:pPr>
    <w:rPr>
      <w:rFonts w:ascii="GillSans" w:hAnsi="GillSans"/>
      <w:sz w:val="20"/>
    </w:rPr>
  </w:style>
  <w:style w:type="paragraph" w:customStyle="1" w:styleId="En-tteimpaire">
    <w:name w:val="En-tÍte impaire"/>
    <w:basedOn w:val="En-tte"/>
    <w:rsid w:val="000C7B9B"/>
    <w:pPr>
      <w:tabs>
        <w:tab w:val="right" w:pos="8280"/>
        <w:tab w:val="right" w:pos="9000"/>
      </w:tabs>
      <w:ind w:firstLine="0"/>
    </w:pPr>
  </w:style>
  <w:style w:type="paragraph" w:customStyle="1" w:styleId="En-ttepaire">
    <w:name w:val="En-tÍte paire"/>
    <w:basedOn w:val="En-tte"/>
    <w:rsid w:val="000C7B9B"/>
    <w:pPr>
      <w:tabs>
        <w:tab w:val="left" w:pos="720"/>
      </w:tabs>
      <w:ind w:firstLine="0"/>
    </w:pPr>
  </w:style>
  <w:style w:type="paragraph" w:styleId="Lgende">
    <w:name w:val="caption"/>
    <w:basedOn w:val="Normal"/>
    <w:next w:val="Normal"/>
    <w:qFormat/>
    <w:rsid w:val="000C7B9B"/>
    <w:pPr>
      <w:spacing w:before="120" w:after="120"/>
    </w:pPr>
    <w:rPr>
      <w:rFonts w:ascii="GillSans" w:hAnsi="GillSans"/>
      <w:b/>
      <w:sz w:val="20"/>
    </w:rPr>
  </w:style>
  <w:style w:type="character" w:styleId="Lienhypertexte">
    <w:name w:val="Hyperlink"/>
    <w:basedOn w:val="Policepardfaut"/>
    <w:uiPriority w:val="99"/>
    <w:rsid w:val="000C7B9B"/>
    <w:rPr>
      <w:color w:val="0000FF"/>
      <w:u w:val="single"/>
    </w:rPr>
  </w:style>
  <w:style w:type="character" w:styleId="Lienhypertextesuivivisit">
    <w:name w:val="FollowedHyperlink"/>
    <w:basedOn w:val="Policepardfaut"/>
    <w:rsid w:val="000C7B9B"/>
    <w:rPr>
      <w:color w:val="800080"/>
      <w:u w:val="single"/>
    </w:rPr>
  </w:style>
  <w:style w:type="paragraph" w:customStyle="1" w:styleId="Niveau10">
    <w:name w:val="Niveau 1.0"/>
    <w:basedOn w:val="Niveau11"/>
    <w:autoRedefine/>
    <w:rsid w:val="000C7B9B"/>
    <w:pPr>
      <w:jc w:val="center"/>
    </w:pPr>
    <w:rPr>
      <w:b w:val="0"/>
      <w:sz w:val="48"/>
    </w:rPr>
  </w:style>
  <w:style w:type="paragraph" w:customStyle="1" w:styleId="Niveau13">
    <w:name w:val="Niveau 1.3"/>
    <w:basedOn w:val="Niveau12"/>
    <w:autoRedefine/>
    <w:rsid w:val="000C7B9B"/>
    <w:rPr>
      <w:b w:val="0"/>
      <w:i w:val="0"/>
      <w:color w:val="800080"/>
      <w:sz w:val="48"/>
    </w:rPr>
  </w:style>
  <w:style w:type="paragraph" w:styleId="Notedebasdepage">
    <w:name w:val="footnote text"/>
    <w:basedOn w:val="Normal"/>
    <w:autoRedefine/>
    <w:rsid w:val="000C7B9B"/>
    <w:pPr>
      <w:ind w:left="360" w:hanging="360"/>
      <w:jc w:val="both"/>
    </w:pPr>
    <w:rPr>
      <w:color w:val="000000"/>
    </w:rPr>
  </w:style>
  <w:style w:type="character" w:styleId="Numrodepage">
    <w:name w:val="page number"/>
    <w:basedOn w:val="Policepardfaut"/>
    <w:rsid w:val="000C7B9B"/>
  </w:style>
  <w:style w:type="paragraph" w:styleId="Pieddepage">
    <w:name w:val="footer"/>
    <w:basedOn w:val="Normal"/>
    <w:rsid w:val="000C7B9B"/>
    <w:pPr>
      <w:tabs>
        <w:tab w:val="center" w:pos="4320"/>
        <w:tab w:val="right" w:pos="8640"/>
      </w:tabs>
    </w:pPr>
    <w:rPr>
      <w:rFonts w:ascii="GillSans" w:hAnsi="GillSans"/>
      <w:sz w:val="20"/>
    </w:rPr>
  </w:style>
  <w:style w:type="paragraph" w:styleId="Retraitcorpsdetexte">
    <w:name w:val="Body Text Indent"/>
    <w:basedOn w:val="Normal"/>
    <w:rsid w:val="000C7B9B"/>
    <w:pPr>
      <w:ind w:left="20" w:firstLine="400"/>
    </w:pPr>
    <w:rPr>
      <w:rFonts w:ascii="Arial" w:hAnsi="Arial"/>
    </w:rPr>
  </w:style>
  <w:style w:type="paragraph" w:styleId="Retraitcorpsdetexte2">
    <w:name w:val="Body Text Indent 2"/>
    <w:basedOn w:val="Normal"/>
    <w:rsid w:val="000C7B9B"/>
    <w:pPr>
      <w:tabs>
        <w:tab w:val="left" w:pos="840"/>
        <w:tab w:val="right" w:pos="9360"/>
        <w:tab w:val="left" w:pos="840"/>
      </w:tabs>
      <w:ind w:left="20"/>
      <w:jc w:val="both"/>
    </w:pPr>
    <w:rPr>
      <w:rFonts w:ascii="Arial" w:hAnsi="Arial"/>
    </w:rPr>
  </w:style>
  <w:style w:type="paragraph" w:styleId="Retraitcorpsdetexte3">
    <w:name w:val="Body Text Indent 3"/>
    <w:basedOn w:val="Normal"/>
    <w:rsid w:val="000C7B9B"/>
    <w:pPr>
      <w:ind w:left="20" w:firstLine="380"/>
      <w:jc w:val="both"/>
    </w:pPr>
    <w:rPr>
      <w:rFonts w:ascii="Arial" w:hAnsi="Arial"/>
    </w:rPr>
  </w:style>
  <w:style w:type="paragraph" w:customStyle="1" w:styleId="texteenvidence">
    <w:name w:val="texte en évidence"/>
    <w:basedOn w:val="Normal"/>
    <w:rsid w:val="000C7B9B"/>
    <w:pPr>
      <w:widowControl w:val="0"/>
      <w:jc w:val="both"/>
    </w:pPr>
    <w:rPr>
      <w:rFonts w:ascii="Arial" w:hAnsi="Arial"/>
      <w:b/>
      <w:color w:val="FF0000"/>
    </w:rPr>
  </w:style>
  <w:style w:type="paragraph" w:styleId="Titre">
    <w:name w:val="Title"/>
    <w:basedOn w:val="Normal"/>
    <w:autoRedefine/>
    <w:qFormat/>
    <w:rsid w:val="000C7B9B"/>
    <w:pPr>
      <w:ind w:firstLine="0"/>
      <w:jc w:val="center"/>
    </w:pPr>
    <w:rPr>
      <w:b/>
      <w:sz w:val="48"/>
    </w:rPr>
  </w:style>
  <w:style w:type="paragraph" w:customStyle="1" w:styleId="livre">
    <w:name w:val="livre"/>
    <w:basedOn w:val="Normal"/>
    <w:rsid w:val="000C7B9B"/>
    <w:pPr>
      <w:tabs>
        <w:tab w:val="right" w:pos="9360"/>
      </w:tabs>
      <w:ind w:firstLine="0"/>
    </w:pPr>
    <w:rPr>
      <w:b/>
      <w:color w:val="000080"/>
      <w:sz w:val="144"/>
    </w:rPr>
  </w:style>
  <w:style w:type="paragraph" w:customStyle="1" w:styleId="livrest">
    <w:name w:val="livre_st"/>
    <w:basedOn w:val="Normal"/>
    <w:rsid w:val="000C7B9B"/>
    <w:pPr>
      <w:tabs>
        <w:tab w:val="right" w:pos="9360"/>
      </w:tabs>
      <w:ind w:firstLine="0"/>
    </w:pPr>
    <w:rPr>
      <w:b/>
      <w:color w:val="FF0000"/>
      <w:sz w:val="72"/>
    </w:rPr>
  </w:style>
  <w:style w:type="paragraph" w:customStyle="1" w:styleId="tableautitre">
    <w:name w:val="tableau_titre"/>
    <w:basedOn w:val="Normal"/>
    <w:rsid w:val="000C7B9B"/>
    <w:pPr>
      <w:ind w:firstLine="0"/>
      <w:jc w:val="center"/>
    </w:pPr>
    <w:rPr>
      <w:rFonts w:ascii="Times" w:hAnsi="Times"/>
      <w:b/>
    </w:rPr>
  </w:style>
  <w:style w:type="paragraph" w:customStyle="1" w:styleId="planche">
    <w:name w:val="planche"/>
    <w:basedOn w:val="tableautitre"/>
    <w:autoRedefine/>
    <w:rsid w:val="008C2BDD"/>
    <w:pPr>
      <w:widowControl w:val="0"/>
    </w:pPr>
    <w:rPr>
      <w:rFonts w:ascii="Times New Roman" w:hAnsi="Times New Roman"/>
      <w:b w:val="0"/>
      <w:color w:val="000080"/>
      <w:sz w:val="36"/>
    </w:rPr>
  </w:style>
  <w:style w:type="paragraph" w:customStyle="1" w:styleId="tableaust">
    <w:name w:val="tableau_st"/>
    <w:basedOn w:val="Normal"/>
    <w:autoRedefine/>
    <w:rsid w:val="000C7B9B"/>
    <w:pPr>
      <w:ind w:firstLine="0"/>
      <w:jc w:val="center"/>
    </w:pPr>
    <w:rPr>
      <w:i/>
      <w:color w:val="FF0000"/>
    </w:rPr>
  </w:style>
  <w:style w:type="paragraph" w:customStyle="1" w:styleId="planchest">
    <w:name w:val="planche_st"/>
    <w:basedOn w:val="tableaust"/>
    <w:autoRedefine/>
    <w:rsid w:val="00CE2C5F"/>
    <w:rPr>
      <w:i w:val="0"/>
      <w:sz w:val="48"/>
    </w:rPr>
  </w:style>
  <w:style w:type="paragraph" w:customStyle="1" w:styleId="section">
    <w:name w:val="section"/>
    <w:basedOn w:val="Normal"/>
    <w:rsid w:val="000C7B9B"/>
    <w:pPr>
      <w:ind w:firstLine="0"/>
      <w:jc w:val="center"/>
    </w:pPr>
    <w:rPr>
      <w:rFonts w:ascii="Times" w:hAnsi="Times"/>
      <w:b/>
      <w:sz w:val="48"/>
    </w:rPr>
  </w:style>
  <w:style w:type="paragraph" w:customStyle="1" w:styleId="suite">
    <w:name w:val="suite"/>
    <w:basedOn w:val="Normal"/>
    <w:autoRedefine/>
    <w:rsid w:val="000C7B9B"/>
    <w:pPr>
      <w:tabs>
        <w:tab w:val="right" w:pos="9360"/>
      </w:tabs>
      <w:ind w:firstLine="0"/>
      <w:jc w:val="center"/>
    </w:pPr>
    <w:rPr>
      <w:b/>
    </w:rPr>
  </w:style>
  <w:style w:type="paragraph" w:customStyle="1" w:styleId="tdmchap">
    <w:name w:val="tdm_chap"/>
    <w:basedOn w:val="Normal"/>
    <w:rsid w:val="000C7B9B"/>
    <w:pPr>
      <w:tabs>
        <w:tab w:val="left" w:pos="1980"/>
      </w:tabs>
      <w:ind w:firstLine="0"/>
    </w:pPr>
    <w:rPr>
      <w:rFonts w:ascii="Times" w:hAnsi="Times"/>
      <w:b/>
    </w:rPr>
  </w:style>
  <w:style w:type="paragraph" w:customStyle="1" w:styleId="partie">
    <w:name w:val="partie"/>
    <w:basedOn w:val="Normal"/>
    <w:rsid w:val="000C7B9B"/>
    <w:pPr>
      <w:ind w:firstLine="0"/>
      <w:jc w:val="right"/>
    </w:pPr>
    <w:rPr>
      <w:b/>
      <w:sz w:val="120"/>
    </w:rPr>
  </w:style>
  <w:style w:type="paragraph" w:styleId="Normalcentr">
    <w:name w:val="Block Text"/>
    <w:basedOn w:val="Normal"/>
    <w:rsid w:val="000C7B9B"/>
    <w:pPr>
      <w:ind w:left="180" w:right="180"/>
      <w:jc w:val="both"/>
    </w:pPr>
  </w:style>
  <w:style w:type="paragraph" w:customStyle="1" w:styleId="Titlest">
    <w:name w:val="Title_st"/>
    <w:basedOn w:val="Titre"/>
    <w:autoRedefine/>
    <w:rsid w:val="00671BEF"/>
    <w:rPr>
      <w:b w:val="0"/>
      <w:sz w:val="56"/>
    </w:rPr>
  </w:style>
  <w:style w:type="paragraph" w:styleId="TableauGrille2">
    <w:name w:val="Grid Table 2"/>
    <w:basedOn w:val="Normal"/>
    <w:rsid w:val="000C7B9B"/>
    <w:pPr>
      <w:ind w:left="360" w:hanging="360"/>
    </w:pPr>
    <w:rPr>
      <w:sz w:val="20"/>
      <w:lang w:val="fr-FR"/>
    </w:rPr>
  </w:style>
  <w:style w:type="paragraph" w:styleId="Notedefin">
    <w:name w:val="endnote text"/>
    <w:basedOn w:val="Normal"/>
    <w:rsid w:val="000C7B9B"/>
    <w:pPr>
      <w:spacing w:before="240"/>
    </w:pPr>
    <w:rPr>
      <w:sz w:val="20"/>
      <w:lang w:val="fr-FR"/>
    </w:rPr>
  </w:style>
  <w:style w:type="paragraph" w:customStyle="1" w:styleId="niveau14">
    <w:name w:val="niveau 1"/>
    <w:basedOn w:val="Normal"/>
    <w:rsid w:val="000C7B9B"/>
    <w:pPr>
      <w:spacing w:before="240"/>
      <w:ind w:firstLine="0"/>
    </w:pPr>
    <w:rPr>
      <w:rFonts w:ascii="B Times Bold" w:hAnsi="B Times Bold"/>
      <w:lang w:val="fr-FR"/>
    </w:rPr>
  </w:style>
  <w:style w:type="paragraph" w:customStyle="1" w:styleId="Titlest2">
    <w:name w:val="Title_st2"/>
    <w:basedOn w:val="Titlest"/>
    <w:rsid w:val="000C7B9B"/>
  </w:style>
  <w:style w:type="table" w:styleId="Grilledutableau">
    <w:name w:val="Table Grid"/>
    <w:basedOn w:val="TableauNormal"/>
    <w:rsid w:val="00722910"/>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autoRedefine/>
    <w:rsid w:val="00CE2C5F"/>
    <w:pPr>
      <w:ind w:firstLine="0"/>
    </w:pPr>
  </w:style>
  <w:style w:type="paragraph" w:customStyle="1" w:styleId="Normal0">
    <w:name w:val="Normal +"/>
    <w:basedOn w:val="Normal"/>
    <w:rsid w:val="00CE2C5F"/>
    <w:pPr>
      <w:spacing w:before="120" w:after="120"/>
      <w:jc w:val="both"/>
    </w:pPr>
  </w:style>
  <w:style w:type="paragraph" w:customStyle="1" w:styleId="Titlesti">
    <w:name w:val="Title_st i"/>
    <w:basedOn w:val="Titlest"/>
    <w:autoRedefine/>
    <w:rsid w:val="0054520F"/>
    <w:rPr>
      <w:i/>
    </w:rPr>
  </w:style>
  <w:style w:type="paragraph" w:styleId="NormalWeb">
    <w:name w:val="Normal (Web)"/>
    <w:basedOn w:val="Normal"/>
    <w:uiPriority w:val="99"/>
    <w:rsid w:val="0054520F"/>
    <w:pPr>
      <w:spacing w:beforeLines="1" w:afterLines="1"/>
      <w:ind w:firstLine="0"/>
    </w:pPr>
    <w:rPr>
      <w:rFonts w:ascii="Times" w:eastAsia="Times" w:hAnsi="Times"/>
      <w:sz w:val="20"/>
      <w:lang w:val="fr-FR" w:eastAsia="fr-FR"/>
    </w:rPr>
  </w:style>
  <w:style w:type="character" w:customStyle="1" w:styleId="contact-emailto">
    <w:name w:val="contact-emailto"/>
    <w:basedOn w:val="Policepardfaut"/>
    <w:rsid w:val="00627E5C"/>
  </w:style>
  <w:style w:type="paragraph" w:customStyle="1" w:styleId="figtitre">
    <w:name w:val="fig titre"/>
    <w:basedOn w:val="Normal"/>
    <w:autoRedefine/>
    <w:rsid w:val="00AD1432"/>
    <w:pPr>
      <w:spacing w:before="120" w:after="120"/>
      <w:ind w:firstLine="0"/>
      <w:jc w:val="center"/>
    </w:pPr>
    <w:rPr>
      <w:iCs/>
      <w:color w:val="000090"/>
      <w:sz w:val="24"/>
      <w:szCs w:val="16"/>
    </w:rPr>
  </w:style>
  <w:style w:type="paragraph" w:customStyle="1" w:styleId="a">
    <w:name w:val="a"/>
    <w:basedOn w:val="Normal"/>
    <w:autoRedefine/>
    <w:rsid w:val="008C2BDD"/>
    <w:pPr>
      <w:spacing w:before="120" w:after="120"/>
      <w:ind w:firstLine="0"/>
    </w:pPr>
    <w:rPr>
      <w:b/>
      <w:bCs/>
      <w:i/>
      <w:color w:val="FF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gagnon.alain@uqam.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unris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“La bureaucratie représentative au sein des États multinationaux.”</vt:lpstr>
    </vt:vector>
  </TitlesOfParts>
  <Manager>par jean-marie tremblay, bénévole, 2019</Manager>
  <Company>Les Classiques des sciences sociales</Company>
  <LinksUpToDate>false</LinksUpToDate>
  <CharactersWithSpaces>55330</CharactersWithSpaces>
  <SharedDoc>false</SharedDoc>
  <HyperlinkBase/>
  <HLinks>
    <vt:vector size="216" baseType="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655425</vt:i4>
      </vt:variant>
      <vt:variant>
        <vt:i4>51</vt:i4>
      </vt:variant>
      <vt:variant>
        <vt:i4>0</vt:i4>
      </vt:variant>
      <vt:variant>
        <vt:i4>5</vt:i4>
      </vt:variant>
      <vt:variant>
        <vt:lpwstr/>
      </vt:variant>
      <vt:variant>
        <vt:lpwstr>bureaucration_au_sein_III</vt:lpwstr>
      </vt:variant>
      <vt:variant>
        <vt:i4>7209079</vt:i4>
      </vt:variant>
      <vt:variant>
        <vt:i4>48</vt:i4>
      </vt:variant>
      <vt:variant>
        <vt:i4>0</vt:i4>
      </vt:variant>
      <vt:variant>
        <vt:i4>5</vt:i4>
      </vt:variant>
      <vt:variant>
        <vt:lpwstr/>
      </vt:variant>
      <vt:variant>
        <vt:lpwstr>bureaucration_au_sein_II_d</vt:lpwstr>
      </vt:variant>
      <vt:variant>
        <vt:i4>6881399</vt:i4>
      </vt:variant>
      <vt:variant>
        <vt:i4>45</vt:i4>
      </vt:variant>
      <vt:variant>
        <vt:i4>0</vt:i4>
      </vt:variant>
      <vt:variant>
        <vt:i4>5</vt:i4>
      </vt:variant>
      <vt:variant>
        <vt:lpwstr/>
      </vt:variant>
      <vt:variant>
        <vt:lpwstr>bureaucration_au_sein_II_c</vt:lpwstr>
      </vt:variant>
      <vt:variant>
        <vt:i4>6815863</vt:i4>
      </vt:variant>
      <vt:variant>
        <vt:i4>42</vt:i4>
      </vt:variant>
      <vt:variant>
        <vt:i4>0</vt:i4>
      </vt:variant>
      <vt:variant>
        <vt:i4>5</vt:i4>
      </vt:variant>
      <vt:variant>
        <vt:lpwstr/>
      </vt:variant>
      <vt:variant>
        <vt:lpwstr>bureaucration_au_sein_II_b</vt:lpwstr>
      </vt:variant>
      <vt:variant>
        <vt:i4>7012471</vt:i4>
      </vt:variant>
      <vt:variant>
        <vt:i4>39</vt:i4>
      </vt:variant>
      <vt:variant>
        <vt:i4>0</vt:i4>
      </vt:variant>
      <vt:variant>
        <vt:i4>5</vt:i4>
      </vt:variant>
      <vt:variant>
        <vt:lpwstr/>
      </vt:variant>
      <vt:variant>
        <vt:lpwstr>bureaucration_au_sein_II_a</vt:lpwstr>
      </vt:variant>
      <vt:variant>
        <vt:i4>655400</vt:i4>
      </vt:variant>
      <vt:variant>
        <vt:i4>36</vt:i4>
      </vt:variant>
      <vt:variant>
        <vt:i4>0</vt:i4>
      </vt:variant>
      <vt:variant>
        <vt:i4>5</vt:i4>
      </vt:variant>
      <vt:variant>
        <vt:lpwstr/>
      </vt:variant>
      <vt:variant>
        <vt:lpwstr>bureaucration_au_sein_II</vt:lpwstr>
      </vt:variant>
      <vt:variant>
        <vt:i4>3932236</vt:i4>
      </vt:variant>
      <vt:variant>
        <vt:i4>33</vt:i4>
      </vt:variant>
      <vt:variant>
        <vt:i4>0</vt:i4>
      </vt:variant>
      <vt:variant>
        <vt:i4>5</vt:i4>
      </vt:variant>
      <vt:variant>
        <vt:lpwstr/>
      </vt:variant>
      <vt:variant>
        <vt:lpwstr>bureaucration_au_sein_I_d</vt:lpwstr>
      </vt:variant>
      <vt:variant>
        <vt:i4>3932235</vt:i4>
      </vt:variant>
      <vt:variant>
        <vt:i4>30</vt:i4>
      </vt:variant>
      <vt:variant>
        <vt:i4>0</vt:i4>
      </vt:variant>
      <vt:variant>
        <vt:i4>5</vt:i4>
      </vt:variant>
      <vt:variant>
        <vt:lpwstr/>
      </vt:variant>
      <vt:variant>
        <vt:lpwstr>bureaucration_au_sein_I_c</vt:lpwstr>
      </vt:variant>
      <vt:variant>
        <vt:i4>3932234</vt:i4>
      </vt:variant>
      <vt:variant>
        <vt:i4>27</vt:i4>
      </vt:variant>
      <vt:variant>
        <vt:i4>0</vt:i4>
      </vt:variant>
      <vt:variant>
        <vt:i4>5</vt:i4>
      </vt:variant>
      <vt:variant>
        <vt:lpwstr/>
      </vt:variant>
      <vt:variant>
        <vt:lpwstr>bureaucration_au_sein_I_b</vt:lpwstr>
      </vt:variant>
      <vt:variant>
        <vt:i4>3932233</vt:i4>
      </vt:variant>
      <vt:variant>
        <vt:i4>24</vt:i4>
      </vt:variant>
      <vt:variant>
        <vt:i4>0</vt:i4>
      </vt:variant>
      <vt:variant>
        <vt:i4>5</vt:i4>
      </vt:variant>
      <vt:variant>
        <vt:lpwstr/>
      </vt:variant>
      <vt:variant>
        <vt:lpwstr>bureaucration_au_sein_I_a</vt:lpwstr>
      </vt:variant>
      <vt:variant>
        <vt:i4>6488104</vt:i4>
      </vt:variant>
      <vt:variant>
        <vt:i4>21</vt:i4>
      </vt:variant>
      <vt:variant>
        <vt:i4>0</vt:i4>
      </vt:variant>
      <vt:variant>
        <vt:i4>5</vt:i4>
      </vt:variant>
      <vt:variant>
        <vt:lpwstr/>
      </vt:variant>
      <vt:variant>
        <vt:lpwstr>bureaucration_au_sein_I</vt:lpwstr>
      </vt:variant>
      <vt:variant>
        <vt:i4>8323123</vt:i4>
      </vt:variant>
      <vt:variant>
        <vt:i4>18</vt:i4>
      </vt:variant>
      <vt:variant>
        <vt:i4>0</vt:i4>
      </vt:variant>
      <vt:variant>
        <vt:i4>5</vt:i4>
      </vt:variant>
      <vt:variant>
        <vt:lpwstr/>
      </vt:variant>
      <vt:variant>
        <vt:lpwstr>bureaucration_au_sein_intro</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196667</vt:i4>
      </vt:variant>
      <vt:variant>
        <vt:i4>0</vt:i4>
      </vt:variant>
      <vt:variant>
        <vt:i4>0</vt:i4>
      </vt:variant>
      <vt:variant>
        <vt:i4>5</vt:i4>
      </vt:variant>
      <vt:variant>
        <vt:lpwstr>http://www.unrisd.org</vt:lpwstr>
      </vt:variant>
      <vt:variant>
        <vt:lpwstr/>
      </vt:variant>
      <vt:variant>
        <vt:i4>2228293</vt:i4>
      </vt:variant>
      <vt:variant>
        <vt:i4>2333</vt:i4>
      </vt:variant>
      <vt:variant>
        <vt:i4>1025</vt:i4>
      </vt:variant>
      <vt:variant>
        <vt:i4>1</vt:i4>
      </vt:variant>
      <vt:variant>
        <vt:lpwstr>css_logo_gris</vt:lpwstr>
      </vt:variant>
      <vt:variant>
        <vt:lpwstr/>
      </vt:variant>
      <vt:variant>
        <vt:i4>5111880</vt:i4>
      </vt:variant>
      <vt:variant>
        <vt:i4>2622</vt:i4>
      </vt:variant>
      <vt:variant>
        <vt:i4>1026</vt:i4>
      </vt:variant>
      <vt:variant>
        <vt:i4>1</vt:i4>
      </vt:variant>
      <vt:variant>
        <vt:lpwstr>UQAC_logo_2018</vt:lpwstr>
      </vt:variant>
      <vt:variant>
        <vt:lpwstr/>
      </vt:variant>
      <vt:variant>
        <vt:i4>5832793</vt:i4>
      </vt:variant>
      <vt:variant>
        <vt:i4>4764</vt:i4>
      </vt:variant>
      <vt:variant>
        <vt:i4>1028</vt:i4>
      </vt:variant>
      <vt:variant>
        <vt:i4>1</vt:i4>
      </vt:variant>
      <vt:variant>
        <vt:lpwstr>Alain_Gagnon_medaillon</vt:lpwstr>
      </vt:variant>
      <vt:variant>
        <vt:lpwstr/>
      </vt:variant>
      <vt:variant>
        <vt:i4>4194334</vt:i4>
      </vt:variant>
      <vt:variant>
        <vt:i4>5011</vt:i4>
      </vt:variant>
      <vt:variant>
        <vt:i4>1029</vt:i4>
      </vt:variant>
      <vt:variant>
        <vt:i4>1</vt:i4>
      </vt:variant>
      <vt:variant>
        <vt:lpwstr>Boite_aux_lettres_clair</vt:lpwstr>
      </vt:variant>
      <vt:variant>
        <vt:lpwstr/>
      </vt:variant>
      <vt:variant>
        <vt:i4>1703963</vt:i4>
      </vt:variant>
      <vt:variant>
        <vt:i4>5446</vt:i4>
      </vt:variant>
      <vt:variant>
        <vt:i4>1027</vt:i4>
      </vt:variant>
      <vt:variant>
        <vt:i4>1</vt:i4>
      </vt:variant>
      <vt:variant>
        <vt:lpwstr>fait_sur_mac</vt:lpwstr>
      </vt:variant>
      <vt:variant>
        <vt:lpwstr/>
      </vt:variant>
      <vt:variant>
        <vt:i4>7536674</vt:i4>
      </vt:variant>
      <vt:variant>
        <vt:i4>5594</vt:i4>
      </vt:variant>
      <vt:variant>
        <vt:i4>1030</vt:i4>
      </vt:variant>
      <vt:variant>
        <vt:i4>1</vt:i4>
      </vt:variant>
      <vt:variant>
        <vt:lpwstr>RFAP_118_L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bureaucratie représentative au sein des États multinationaux.”</dc:title>
  <dc:subject/>
  <dc:creator>Alain G. Gagnon et Luc Turgeon et Olivier de Champlain, 2006</dc:creator>
  <cp:keywords>classiques.sc.soc@gmail.com</cp:keywords>
  <dc:description>http://classiques.uqac.ca/</dc:description>
  <cp:lastModifiedBy>Microsoft Office User</cp:lastModifiedBy>
  <cp:revision>2</cp:revision>
  <cp:lastPrinted>2001-08-26T19:33:00Z</cp:lastPrinted>
  <dcterms:created xsi:type="dcterms:W3CDTF">2019-09-27T20:15:00Z</dcterms:created>
  <dcterms:modified xsi:type="dcterms:W3CDTF">2019-09-27T20:15:00Z</dcterms:modified>
  <cp:category> Jean marie Tremblay, sociologue, fondateur, 1993</cp:category>
</cp:coreProperties>
</file>