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AD690E" w:rsidRPr="00E07116">
        <w:tblPrEx>
          <w:tblCellMar>
            <w:top w:w="0" w:type="dxa"/>
            <w:bottom w:w="0" w:type="dxa"/>
          </w:tblCellMar>
        </w:tblPrEx>
        <w:tc>
          <w:tcPr>
            <w:tcW w:w="9160" w:type="dxa"/>
            <w:shd w:val="clear" w:color="auto" w:fill="EBE7CF"/>
          </w:tcPr>
          <w:p w:rsidR="00AD690E" w:rsidRPr="00E07116" w:rsidRDefault="00AD690E" w:rsidP="00AD690E">
            <w:pPr>
              <w:pStyle w:val="En-tte"/>
              <w:tabs>
                <w:tab w:val="clear" w:pos="4320"/>
                <w:tab w:val="clear" w:pos="8640"/>
              </w:tabs>
              <w:rPr>
                <w:rFonts w:ascii="Times New Roman" w:hAnsi="Times New Roman"/>
                <w:sz w:val="28"/>
                <w:lang w:val="en-CA" w:bidi="ar-SA"/>
              </w:rPr>
            </w:pPr>
            <w:bookmarkStart w:id="0" w:name="_GoBack"/>
            <w:bookmarkEnd w:id="0"/>
          </w:p>
          <w:p w:rsidR="00AD690E" w:rsidRPr="00E07116" w:rsidRDefault="00AD690E">
            <w:pPr>
              <w:ind w:firstLine="0"/>
              <w:jc w:val="center"/>
              <w:rPr>
                <w:b/>
                <w:lang w:bidi="ar-SA"/>
              </w:rPr>
            </w:pPr>
          </w:p>
          <w:p w:rsidR="00AD690E" w:rsidRPr="00E07116" w:rsidRDefault="00AD690E">
            <w:pPr>
              <w:ind w:firstLine="0"/>
              <w:jc w:val="center"/>
              <w:rPr>
                <w:b/>
                <w:lang w:bidi="ar-SA"/>
              </w:rPr>
            </w:pPr>
          </w:p>
          <w:p w:rsidR="00AD690E" w:rsidRDefault="00AD690E" w:rsidP="00AD690E">
            <w:pPr>
              <w:ind w:firstLine="0"/>
              <w:jc w:val="center"/>
              <w:rPr>
                <w:b/>
                <w:sz w:val="20"/>
                <w:lang w:bidi="ar-SA"/>
              </w:rPr>
            </w:pPr>
          </w:p>
          <w:p w:rsidR="00AD690E" w:rsidRPr="001E7979" w:rsidRDefault="00AD690E" w:rsidP="00AD690E">
            <w:pPr>
              <w:ind w:firstLine="0"/>
              <w:jc w:val="center"/>
              <w:rPr>
                <w:sz w:val="20"/>
                <w:lang w:bidi="ar-SA"/>
              </w:rPr>
            </w:pPr>
            <w:r>
              <w:rPr>
                <w:sz w:val="36"/>
              </w:rPr>
              <w:t>Yves BÉLANGER, Dorval BRUNELLE</w:t>
            </w:r>
            <w:r>
              <w:rPr>
                <w:sz w:val="36"/>
              </w:rPr>
              <w:br/>
              <w:t>et collaborateurs</w:t>
            </w:r>
            <w:r>
              <w:rPr>
                <w:sz w:val="36"/>
              </w:rPr>
              <w:br/>
            </w:r>
          </w:p>
          <w:p w:rsidR="00AD690E" w:rsidRPr="00AA0F60" w:rsidRDefault="00AD690E" w:rsidP="00AD690E">
            <w:pPr>
              <w:pStyle w:val="Corpsdetexte"/>
              <w:widowControl w:val="0"/>
              <w:spacing w:before="0" w:after="0"/>
              <w:rPr>
                <w:sz w:val="44"/>
                <w:lang w:bidi="ar-SA"/>
              </w:rPr>
            </w:pPr>
            <w:r w:rsidRPr="00AA0F60">
              <w:rPr>
                <w:sz w:val="44"/>
                <w:lang w:bidi="ar-SA"/>
              </w:rPr>
              <w:t>(</w:t>
            </w:r>
            <w:r>
              <w:rPr>
                <w:sz w:val="44"/>
                <w:lang w:bidi="ar-SA"/>
              </w:rPr>
              <w:t>1988</w:t>
            </w:r>
            <w:r w:rsidRPr="00AA0F60">
              <w:rPr>
                <w:sz w:val="44"/>
                <w:lang w:bidi="ar-SA"/>
              </w:rPr>
              <w:t>)</w:t>
            </w:r>
          </w:p>
          <w:p w:rsidR="00AD690E" w:rsidRDefault="00AD690E" w:rsidP="00AD690E">
            <w:pPr>
              <w:pStyle w:val="Corpsdetexte"/>
              <w:widowControl w:val="0"/>
              <w:spacing w:before="0" w:after="0"/>
              <w:rPr>
                <w:color w:val="FF0000"/>
                <w:sz w:val="24"/>
                <w:lang w:bidi="ar-SA"/>
              </w:rPr>
            </w:pPr>
          </w:p>
          <w:p w:rsidR="00AD690E" w:rsidRDefault="00AD690E" w:rsidP="00AD690E">
            <w:pPr>
              <w:pStyle w:val="Corpsdetexte"/>
              <w:widowControl w:val="0"/>
              <w:spacing w:before="0" w:after="0"/>
              <w:rPr>
                <w:color w:val="FF0000"/>
                <w:sz w:val="24"/>
                <w:lang w:bidi="ar-SA"/>
              </w:rPr>
            </w:pPr>
          </w:p>
          <w:p w:rsidR="00AD690E" w:rsidRDefault="00AD690E" w:rsidP="00AD690E">
            <w:pPr>
              <w:pStyle w:val="Corpsdetexte"/>
              <w:widowControl w:val="0"/>
              <w:spacing w:before="0" w:after="0"/>
              <w:rPr>
                <w:color w:val="FF0000"/>
                <w:sz w:val="24"/>
                <w:lang w:bidi="ar-SA"/>
              </w:rPr>
            </w:pPr>
          </w:p>
          <w:p w:rsidR="00AD690E" w:rsidRPr="00A32BFB" w:rsidRDefault="00AD690E" w:rsidP="00AD690E">
            <w:pPr>
              <w:pStyle w:val="Titlest"/>
            </w:pPr>
            <w:r w:rsidRPr="00A32BFB">
              <w:t>L’ère des libéraux</w:t>
            </w:r>
          </w:p>
          <w:p w:rsidR="00AD690E" w:rsidRPr="00A32BFB" w:rsidRDefault="00AD690E" w:rsidP="00AD690E">
            <w:pPr>
              <w:pStyle w:val="Titlesti"/>
              <w:rPr>
                <w:sz w:val="56"/>
                <w:lang w:bidi="ar-SA"/>
              </w:rPr>
            </w:pPr>
            <w:r w:rsidRPr="00A32BFB">
              <w:rPr>
                <w:sz w:val="56"/>
                <w:lang w:bidi="ar-SA"/>
              </w:rPr>
              <w:t>Le pouvoir fédéral</w:t>
            </w:r>
            <w:r>
              <w:rPr>
                <w:sz w:val="56"/>
                <w:lang w:bidi="ar-SA"/>
              </w:rPr>
              <w:t xml:space="preserve"> </w:t>
            </w:r>
            <w:r w:rsidRPr="00A32BFB">
              <w:rPr>
                <w:sz w:val="56"/>
                <w:lang w:bidi="ar-SA"/>
              </w:rPr>
              <w:t>de 1963 à 1984</w:t>
            </w:r>
          </w:p>
          <w:p w:rsidR="00AD690E" w:rsidRDefault="00AD690E" w:rsidP="00AD690E">
            <w:pPr>
              <w:widowControl w:val="0"/>
              <w:ind w:firstLine="0"/>
              <w:jc w:val="center"/>
              <w:rPr>
                <w:lang w:bidi="ar-SA"/>
              </w:rPr>
            </w:pPr>
          </w:p>
          <w:p w:rsidR="00AD690E" w:rsidRDefault="00AD690E" w:rsidP="00AD690E">
            <w:pPr>
              <w:widowControl w:val="0"/>
              <w:ind w:firstLine="0"/>
              <w:jc w:val="center"/>
              <w:rPr>
                <w:lang w:bidi="ar-SA"/>
              </w:rPr>
            </w:pPr>
          </w:p>
          <w:p w:rsidR="00AD690E" w:rsidRDefault="00AD690E" w:rsidP="00AD690E">
            <w:pPr>
              <w:widowControl w:val="0"/>
              <w:ind w:firstLine="0"/>
              <w:jc w:val="center"/>
              <w:rPr>
                <w:lang w:bidi="ar-SA"/>
              </w:rPr>
            </w:pPr>
          </w:p>
          <w:p w:rsidR="00AD690E" w:rsidRDefault="00AD690E" w:rsidP="00AD690E">
            <w:pPr>
              <w:widowControl w:val="0"/>
              <w:ind w:firstLine="0"/>
              <w:jc w:val="center"/>
              <w:rPr>
                <w:sz w:val="20"/>
                <w:lang w:bidi="ar-SA"/>
              </w:rPr>
            </w:pPr>
          </w:p>
          <w:p w:rsidR="00AD690E" w:rsidRPr="00384B20" w:rsidRDefault="00AD690E">
            <w:pPr>
              <w:widowControl w:val="0"/>
              <w:ind w:firstLine="0"/>
              <w:jc w:val="center"/>
              <w:rPr>
                <w:sz w:val="20"/>
                <w:lang w:bidi="ar-SA"/>
              </w:rPr>
            </w:pPr>
          </w:p>
          <w:p w:rsidR="00AD690E" w:rsidRPr="00384B20" w:rsidRDefault="00AD690E">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AD690E" w:rsidRPr="00E07116" w:rsidRDefault="00AD690E">
            <w:pPr>
              <w:widowControl w:val="0"/>
              <w:ind w:firstLine="0"/>
              <w:jc w:val="both"/>
              <w:rPr>
                <w:lang w:bidi="ar-SA"/>
              </w:rPr>
            </w:pPr>
          </w:p>
          <w:p w:rsidR="00AD690E" w:rsidRPr="00E07116" w:rsidRDefault="00AD690E">
            <w:pPr>
              <w:widowControl w:val="0"/>
              <w:ind w:firstLine="0"/>
              <w:jc w:val="both"/>
              <w:rPr>
                <w:lang w:bidi="ar-SA"/>
              </w:rPr>
            </w:pPr>
          </w:p>
          <w:p w:rsidR="00AD690E" w:rsidRDefault="00AD690E">
            <w:pPr>
              <w:widowControl w:val="0"/>
              <w:ind w:firstLine="0"/>
              <w:jc w:val="both"/>
              <w:rPr>
                <w:lang w:bidi="ar-SA"/>
              </w:rPr>
            </w:pPr>
          </w:p>
          <w:p w:rsidR="00AD690E" w:rsidRDefault="00AD690E">
            <w:pPr>
              <w:widowControl w:val="0"/>
              <w:ind w:firstLine="0"/>
              <w:jc w:val="both"/>
              <w:rPr>
                <w:lang w:bidi="ar-SA"/>
              </w:rPr>
            </w:pPr>
          </w:p>
          <w:p w:rsidR="00AD690E" w:rsidRDefault="00AD690E">
            <w:pPr>
              <w:widowControl w:val="0"/>
              <w:ind w:firstLine="0"/>
              <w:jc w:val="both"/>
              <w:rPr>
                <w:lang w:bidi="ar-SA"/>
              </w:rPr>
            </w:pPr>
          </w:p>
          <w:p w:rsidR="00AD690E" w:rsidRPr="00E07116" w:rsidRDefault="00AD690E">
            <w:pPr>
              <w:widowControl w:val="0"/>
              <w:ind w:firstLine="0"/>
              <w:jc w:val="both"/>
              <w:rPr>
                <w:lang w:bidi="ar-SA"/>
              </w:rPr>
            </w:pPr>
          </w:p>
          <w:p w:rsidR="00AD690E" w:rsidRPr="00E07116" w:rsidRDefault="00AD690E">
            <w:pPr>
              <w:widowControl w:val="0"/>
              <w:ind w:firstLine="0"/>
              <w:jc w:val="both"/>
              <w:rPr>
                <w:lang w:bidi="ar-SA"/>
              </w:rPr>
            </w:pPr>
          </w:p>
          <w:p w:rsidR="00AD690E" w:rsidRDefault="00AD690E">
            <w:pPr>
              <w:widowControl w:val="0"/>
              <w:ind w:firstLine="0"/>
              <w:jc w:val="both"/>
              <w:rPr>
                <w:lang w:bidi="ar-SA"/>
              </w:rPr>
            </w:pPr>
          </w:p>
          <w:p w:rsidR="00AD690E" w:rsidRPr="00E07116" w:rsidRDefault="00AD690E">
            <w:pPr>
              <w:widowControl w:val="0"/>
              <w:ind w:firstLine="0"/>
              <w:jc w:val="both"/>
              <w:rPr>
                <w:lang w:bidi="ar-SA"/>
              </w:rPr>
            </w:pPr>
          </w:p>
          <w:p w:rsidR="00AD690E" w:rsidRPr="00E07116" w:rsidRDefault="00AD690E">
            <w:pPr>
              <w:ind w:firstLine="0"/>
              <w:jc w:val="both"/>
              <w:rPr>
                <w:lang w:bidi="ar-SA"/>
              </w:rPr>
            </w:pPr>
          </w:p>
        </w:tc>
      </w:tr>
    </w:tbl>
    <w:p w:rsidR="00AD690E" w:rsidRDefault="00AD690E" w:rsidP="00AD690E">
      <w:pPr>
        <w:ind w:firstLine="0"/>
        <w:jc w:val="both"/>
      </w:pPr>
      <w:r w:rsidRPr="00E07116">
        <w:br w:type="page"/>
      </w:r>
    </w:p>
    <w:p w:rsidR="00AD690E" w:rsidRDefault="00AD690E" w:rsidP="00AD690E">
      <w:pPr>
        <w:ind w:firstLine="0"/>
        <w:jc w:val="both"/>
      </w:pPr>
    </w:p>
    <w:p w:rsidR="00AD690E" w:rsidRDefault="00AD690E" w:rsidP="00AD690E">
      <w:pPr>
        <w:ind w:firstLine="0"/>
        <w:jc w:val="both"/>
      </w:pPr>
    </w:p>
    <w:p w:rsidR="00AD690E" w:rsidRDefault="00AD690E" w:rsidP="00AD690E">
      <w:pPr>
        <w:ind w:firstLine="0"/>
        <w:jc w:val="both"/>
      </w:pPr>
    </w:p>
    <w:p w:rsidR="00AD690E" w:rsidRDefault="005E1315" w:rsidP="00AD690E">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AD690E" w:rsidRDefault="00AD690E" w:rsidP="00AD690E">
      <w:pPr>
        <w:ind w:firstLine="0"/>
        <w:jc w:val="right"/>
      </w:pPr>
      <w:hyperlink r:id="rId9" w:history="1">
        <w:r w:rsidRPr="00302466">
          <w:rPr>
            <w:rStyle w:val="Lienhypertexte"/>
          </w:rPr>
          <w:t>http://classiques.uqac.ca/</w:t>
        </w:r>
      </w:hyperlink>
      <w:r>
        <w:t xml:space="preserve"> </w:t>
      </w:r>
    </w:p>
    <w:p w:rsidR="00AD690E" w:rsidRDefault="00AD690E" w:rsidP="00AD690E">
      <w:pPr>
        <w:ind w:firstLine="0"/>
        <w:jc w:val="both"/>
      </w:pPr>
    </w:p>
    <w:p w:rsidR="00AD690E" w:rsidRDefault="00AD690E" w:rsidP="00AD690E">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AD690E" w:rsidRDefault="00AD690E" w:rsidP="00AD690E">
      <w:pPr>
        <w:ind w:firstLine="0"/>
        <w:jc w:val="both"/>
      </w:pPr>
    </w:p>
    <w:p w:rsidR="00AD690E" w:rsidRDefault="00AD690E" w:rsidP="00AD690E">
      <w:pPr>
        <w:ind w:firstLine="0"/>
        <w:jc w:val="both"/>
      </w:pPr>
    </w:p>
    <w:p w:rsidR="00AD690E" w:rsidRDefault="005E1315" w:rsidP="00AD690E">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AD690E" w:rsidRDefault="00AD690E" w:rsidP="00AD690E">
      <w:pPr>
        <w:ind w:firstLine="0"/>
        <w:jc w:val="both"/>
      </w:pPr>
      <w:hyperlink r:id="rId11" w:history="1">
        <w:r w:rsidRPr="00302466">
          <w:rPr>
            <w:rStyle w:val="Lienhypertexte"/>
          </w:rPr>
          <w:t>http://bibliotheque.uqac.ca/</w:t>
        </w:r>
      </w:hyperlink>
      <w:r>
        <w:t xml:space="preserve"> </w:t>
      </w:r>
    </w:p>
    <w:p w:rsidR="00AD690E" w:rsidRDefault="00AD690E" w:rsidP="00AD690E">
      <w:pPr>
        <w:ind w:firstLine="0"/>
        <w:jc w:val="both"/>
      </w:pPr>
    </w:p>
    <w:p w:rsidR="00AD690E" w:rsidRDefault="00AD690E" w:rsidP="00AD690E">
      <w:pPr>
        <w:ind w:firstLine="0"/>
        <w:jc w:val="both"/>
      </w:pPr>
    </w:p>
    <w:p w:rsidR="00AD690E" w:rsidRDefault="00AD690E" w:rsidP="00AD690E">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AD690E" w:rsidRPr="00E07116" w:rsidRDefault="00AD690E" w:rsidP="00AD690E">
      <w:pPr>
        <w:widowControl w:val="0"/>
        <w:autoSpaceDE w:val="0"/>
        <w:autoSpaceDN w:val="0"/>
        <w:adjustRightInd w:val="0"/>
        <w:rPr>
          <w:szCs w:val="32"/>
        </w:rPr>
      </w:pPr>
      <w:r w:rsidRPr="00E07116">
        <w:br w:type="page"/>
      </w:r>
    </w:p>
    <w:p w:rsidR="00AD690E" w:rsidRPr="00241454" w:rsidRDefault="00AD690E">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rsidR="00AD690E" w:rsidRPr="00E07116" w:rsidRDefault="00AD690E">
      <w:pPr>
        <w:widowControl w:val="0"/>
        <w:autoSpaceDE w:val="0"/>
        <w:autoSpaceDN w:val="0"/>
        <w:adjustRightInd w:val="0"/>
        <w:rPr>
          <w:szCs w:val="32"/>
        </w:rPr>
      </w:pPr>
    </w:p>
    <w:p w:rsidR="00AD690E" w:rsidRPr="00E07116" w:rsidRDefault="00AD690E">
      <w:pPr>
        <w:widowControl w:val="0"/>
        <w:autoSpaceDE w:val="0"/>
        <w:autoSpaceDN w:val="0"/>
        <w:adjustRightInd w:val="0"/>
        <w:jc w:val="both"/>
        <w:rPr>
          <w:color w:val="1C1C1C"/>
          <w:szCs w:val="26"/>
        </w:rPr>
      </w:pPr>
    </w:p>
    <w:p w:rsidR="00AD690E" w:rsidRPr="00E07116" w:rsidRDefault="00AD690E">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AD690E" w:rsidRPr="00E07116" w:rsidRDefault="00AD690E">
      <w:pPr>
        <w:widowControl w:val="0"/>
        <w:autoSpaceDE w:val="0"/>
        <w:autoSpaceDN w:val="0"/>
        <w:adjustRightInd w:val="0"/>
        <w:jc w:val="both"/>
        <w:rPr>
          <w:color w:val="1C1C1C"/>
          <w:szCs w:val="26"/>
        </w:rPr>
      </w:pPr>
    </w:p>
    <w:p w:rsidR="00AD690E" w:rsidRPr="00E07116" w:rsidRDefault="00AD690E" w:rsidP="00AD690E">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AD690E" w:rsidRPr="00E07116" w:rsidRDefault="00AD690E" w:rsidP="00AD690E">
      <w:pPr>
        <w:widowControl w:val="0"/>
        <w:autoSpaceDE w:val="0"/>
        <w:autoSpaceDN w:val="0"/>
        <w:adjustRightInd w:val="0"/>
        <w:jc w:val="both"/>
        <w:rPr>
          <w:color w:val="1C1C1C"/>
          <w:szCs w:val="26"/>
        </w:rPr>
      </w:pPr>
    </w:p>
    <w:p w:rsidR="00AD690E" w:rsidRPr="00E07116" w:rsidRDefault="00AD690E" w:rsidP="00AD690E">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AD690E" w:rsidRPr="00E07116" w:rsidRDefault="00AD690E" w:rsidP="00AD690E">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AD690E" w:rsidRPr="00E07116" w:rsidRDefault="00AD690E" w:rsidP="00AD690E">
      <w:pPr>
        <w:widowControl w:val="0"/>
        <w:autoSpaceDE w:val="0"/>
        <w:autoSpaceDN w:val="0"/>
        <w:adjustRightInd w:val="0"/>
        <w:jc w:val="both"/>
        <w:rPr>
          <w:color w:val="1C1C1C"/>
          <w:szCs w:val="26"/>
        </w:rPr>
      </w:pPr>
    </w:p>
    <w:p w:rsidR="00AD690E" w:rsidRPr="00E07116" w:rsidRDefault="00AD690E">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AD690E" w:rsidRPr="00E07116" w:rsidRDefault="00AD690E">
      <w:pPr>
        <w:widowControl w:val="0"/>
        <w:autoSpaceDE w:val="0"/>
        <w:autoSpaceDN w:val="0"/>
        <w:adjustRightInd w:val="0"/>
        <w:jc w:val="both"/>
        <w:rPr>
          <w:color w:val="1C1C1C"/>
          <w:szCs w:val="26"/>
        </w:rPr>
      </w:pPr>
    </w:p>
    <w:p w:rsidR="00AD690E" w:rsidRPr="00E07116" w:rsidRDefault="00AD690E">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AD690E" w:rsidRPr="00E07116" w:rsidRDefault="00AD690E">
      <w:pPr>
        <w:rPr>
          <w:b/>
          <w:color w:val="1C1C1C"/>
          <w:szCs w:val="26"/>
        </w:rPr>
      </w:pPr>
    </w:p>
    <w:p w:rsidR="00AD690E" w:rsidRPr="00E07116" w:rsidRDefault="00AD690E">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AD690E" w:rsidRPr="00E07116" w:rsidRDefault="00AD690E">
      <w:pPr>
        <w:rPr>
          <w:b/>
          <w:color w:val="1C1C1C"/>
          <w:szCs w:val="26"/>
        </w:rPr>
      </w:pPr>
    </w:p>
    <w:p w:rsidR="00AD690E" w:rsidRPr="00E07116" w:rsidRDefault="00AD690E">
      <w:pPr>
        <w:rPr>
          <w:color w:val="1C1C1C"/>
          <w:szCs w:val="26"/>
        </w:rPr>
      </w:pPr>
      <w:r w:rsidRPr="00E07116">
        <w:rPr>
          <w:color w:val="1C1C1C"/>
          <w:szCs w:val="26"/>
        </w:rPr>
        <w:t>Jean-Marie Tremblay, sociologue</w:t>
      </w:r>
    </w:p>
    <w:p w:rsidR="00AD690E" w:rsidRPr="00E07116" w:rsidRDefault="00AD690E">
      <w:pPr>
        <w:rPr>
          <w:color w:val="1C1C1C"/>
          <w:szCs w:val="26"/>
        </w:rPr>
      </w:pPr>
      <w:r w:rsidRPr="00E07116">
        <w:rPr>
          <w:color w:val="1C1C1C"/>
          <w:szCs w:val="26"/>
        </w:rPr>
        <w:t>Fondateur et Président-directeur général,</w:t>
      </w:r>
    </w:p>
    <w:p w:rsidR="00AD690E" w:rsidRPr="00E07116" w:rsidRDefault="00AD690E">
      <w:pPr>
        <w:rPr>
          <w:color w:val="000080"/>
        </w:rPr>
      </w:pPr>
      <w:r w:rsidRPr="00E07116">
        <w:rPr>
          <w:color w:val="000080"/>
          <w:szCs w:val="26"/>
        </w:rPr>
        <w:t>LES CLASSIQUES DES SCIENCES SOCIALES.</w:t>
      </w:r>
    </w:p>
    <w:p w:rsidR="00AD690E" w:rsidRDefault="00AD690E" w:rsidP="00AD690E">
      <w:pPr>
        <w:ind w:left="20" w:hanging="20"/>
        <w:jc w:val="both"/>
        <w:rPr>
          <w:sz w:val="24"/>
        </w:rPr>
      </w:pPr>
      <w:r>
        <w:br w:type="page"/>
      </w:r>
      <w:r w:rsidRPr="00753781">
        <w:rPr>
          <w:sz w:val="24"/>
        </w:rPr>
        <w:lastRenderedPageBreak/>
        <w:t xml:space="preserve">Cette édition électronique a été réalisée par </w:t>
      </w:r>
      <w:r>
        <w:rPr>
          <w:sz w:val="24"/>
        </w:rPr>
        <w:t>mon épouse, Diane Brunet</w:t>
      </w:r>
      <w:r w:rsidRPr="00753781">
        <w:rPr>
          <w:sz w:val="24"/>
        </w:rPr>
        <w:t>, bén</w:t>
      </w:r>
      <w:r w:rsidRPr="00753781">
        <w:rPr>
          <w:sz w:val="24"/>
        </w:rPr>
        <w:t>é</w:t>
      </w:r>
      <w:r w:rsidRPr="00753781">
        <w:rPr>
          <w:sz w:val="24"/>
        </w:rPr>
        <w:t xml:space="preserve">vole, </w:t>
      </w:r>
      <w:r>
        <w:rPr>
          <w:sz w:val="24"/>
        </w:rPr>
        <w:t>guide retraitée du Musée de la Pulperie de Chicoutimi</w:t>
      </w:r>
      <w:r w:rsidRPr="00753781">
        <w:rPr>
          <w:sz w:val="24"/>
        </w:rPr>
        <w:t>:</w:t>
      </w:r>
    </w:p>
    <w:p w:rsidR="00AD690E" w:rsidRDefault="00AD690E" w:rsidP="00AD690E">
      <w:pPr>
        <w:ind w:left="20" w:hanging="20"/>
        <w:jc w:val="both"/>
        <w:rPr>
          <w:sz w:val="24"/>
        </w:rPr>
      </w:pPr>
      <w:r>
        <w:rPr>
          <w:sz w:val="24"/>
        </w:rPr>
        <w:t xml:space="preserve">Page web dans </w:t>
      </w:r>
      <w:r w:rsidRPr="00A32BFB">
        <w:rPr>
          <w:sz w:val="24"/>
        </w:rPr>
        <w:t>Les Classiques des sciences sociales</w:t>
      </w:r>
      <w:r>
        <w:rPr>
          <w:sz w:val="24"/>
        </w:rPr>
        <w:t> :</w:t>
      </w:r>
      <w:r>
        <w:rPr>
          <w:sz w:val="24"/>
        </w:rPr>
        <w:br/>
      </w:r>
      <w:hyperlink r:id="rId12" w:history="1">
        <w:r w:rsidRPr="00BF5BF1">
          <w:rPr>
            <w:rStyle w:val="Lienhypertexte"/>
            <w:sz w:val="24"/>
          </w:rPr>
          <w:t>http://classiques.uqac.ca/inter/benevoles_equipe/liste_brunet_diane.html</w:t>
        </w:r>
      </w:hyperlink>
      <w:r>
        <w:rPr>
          <w:sz w:val="24"/>
        </w:rPr>
        <w:t xml:space="preserve"> </w:t>
      </w:r>
    </w:p>
    <w:p w:rsidR="00AD690E" w:rsidRPr="00753781" w:rsidRDefault="00AD690E" w:rsidP="00AD690E">
      <w:pPr>
        <w:ind w:left="20" w:hanging="20"/>
        <w:jc w:val="both"/>
        <w:rPr>
          <w:sz w:val="24"/>
        </w:rPr>
      </w:pPr>
      <w:r>
        <w:rPr>
          <w:sz w:val="24"/>
        </w:rPr>
        <w:t xml:space="preserve">Courriel : </w:t>
      </w:r>
      <w:hyperlink r:id="rId13" w:history="1">
        <w:r w:rsidRPr="00BF5BF1">
          <w:rPr>
            <w:rStyle w:val="Lienhypertexte"/>
            <w:sz w:val="24"/>
          </w:rPr>
          <w:t>Brunet_diane@hotmail.com</w:t>
        </w:r>
      </w:hyperlink>
      <w:r>
        <w:rPr>
          <w:sz w:val="24"/>
        </w:rPr>
        <w:t xml:space="preserve"> </w:t>
      </w:r>
    </w:p>
    <w:p w:rsidR="00AD690E" w:rsidRDefault="00AD690E" w:rsidP="00AD690E">
      <w:pPr>
        <w:ind w:firstLine="0"/>
        <w:jc w:val="both"/>
        <w:rPr>
          <w:sz w:val="24"/>
        </w:rPr>
      </w:pPr>
    </w:p>
    <w:p w:rsidR="00AD690E" w:rsidRPr="00CF4C8E" w:rsidRDefault="00AD690E" w:rsidP="00AD690E">
      <w:pPr>
        <w:ind w:firstLine="0"/>
        <w:jc w:val="both"/>
        <w:rPr>
          <w:sz w:val="24"/>
        </w:rPr>
      </w:pPr>
      <w:r w:rsidRPr="00CF4C8E">
        <w:rPr>
          <w:sz w:val="24"/>
        </w:rPr>
        <w:t>à partir du texte de :</w:t>
      </w:r>
    </w:p>
    <w:p w:rsidR="00AD690E" w:rsidRPr="00384B20" w:rsidRDefault="00AD690E" w:rsidP="00AD690E">
      <w:pPr>
        <w:ind w:firstLine="0"/>
        <w:jc w:val="both"/>
        <w:rPr>
          <w:sz w:val="24"/>
        </w:rPr>
      </w:pPr>
    </w:p>
    <w:p w:rsidR="00AD690E" w:rsidRPr="00E07116" w:rsidRDefault="00AD690E" w:rsidP="00AD690E">
      <w:pPr>
        <w:ind w:left="20" w:hanging="20"/>
        <w:jc w:val="both"/>
      </w:pPr>
      <w:r>
        <w:t>Yves Bélanger, Dorval Brunel et collaborateurs</w:t>
      </w:r>
    </w:p>
    <w:p w:rsidR="00AD690E" w:rsidRPr="00E07116" w:rsidRDefault="00AD690E" w:rsidP="00AD690E">
      <w:pPr>
        <w:ind w:left="20" w:hanging="20"/>
        <w:jc w:val="both"/>
      </w:pPr>
    </w:p>
    <w:p w:rsidR="00AD690E" w:rsidRPr="00E07116" w:rsidRDefault="00AD690E" w:rsidP="00AD690E">
      <w:pPr>
        <w:ind w:hanging="20"/>
        <w:jc w:val="both"/>
      </w:pPr>
      <w:r>
        <w:rPr>
          <w:b/>
          <w:color w:val="000080"/>
        </w:rPr>
        <w:t>L’ère des libéraux. Le pouvoir fédéral de 1963 à 1984.</w:t>
      </w:r>
    </w:p>
    <w:p w:rsidR="00AD690E" w:rsidRPr="00E07116" w:rsidRDefault="00AD690E" w:rsidP="00AD690E">
      <w:pPr>
        <w:ind w:hanging="20"/>
        <w:jc w:val="both"/>
      </w:pPr>
    </w:p>
    <w:p w:rsidR="00AD690E" w:rsidRPr="00A32BFB" w:rsidRDefault="00AD690E" w:rsidP="00AD690E">
      <w:pPr>
        <w:ind w:hanging="20"/>
        <w:jc w:val="both"/>
      </w:pPr>
      <w:r w:rsidRPr="00A32BFB">
        <w:t>Montréal : Les Presses de l’Université du Québec, 1988, 442 pp.</w:t>
      </w:r>
    </w:p>
    <w:p w:rsidR="00AD690E" w:rsidRPr="00384B20" w:rsidRDefault="00AD690E" w:rsidP="00AD690E">
      <w:pPr>
        <w:ind w:hanging="20"/>
        <w:jc w:val="both"/>
        <w:rPr>
          <w:sz w:val="24"/>
        </w:rPr>
      </w:pPr>
    </w:p>
    <w:p w:rsidR="00AD690E" w:rsidRPr="00384B20" w:rsidRDefault="00AD690E" w:rsidP="00AD690E">
      <w:pPr>
        <w:jc w:val="both"/>
        <w:rPr>
          <w:sz w:val="24"/>
        </w:rPr>
      </w:pPr>
    </w:p>
    <w:p w:rsidR="00AD690E" w:rsidRPr="00384B20" w:rsidRDefault="00AD690E" w:rsidP="00AD690E">
      <w:pPr>
        <w:ind w:left="20"/>
        <w:jc w:val="both"/>
        <w:rPr>
          <w:sz w:val="24"/>
        </w:rPr>
      </w:pPr>
      <w:r>
        <w:rPr>
          <w:sz w:val="24"/>
        </w:rPr>
        <w:t>Le 17 mars 2006, M. Bélanger nous a accordé l’</w:t>
      </w:r>
      <w:r w:rsidRPr="00384B20">
        <w:rPr>
          <w:sz w:val="24"/>
        </w:rPr>
        <w:t>autoris</w:t>
      </w:r>
      <w:r w:rsidRPr="00384B20">
        <w:rPr>
          <w:sz w:val="24"/>
        </w:rPr>
        <w:t>a</w:t>
      </w:r>
      <w:r w:rsidRPr="00384B20">
        <w:rPr>
          <w:sz w:val="24"/>
        </w:rPr>
        <w:t>tion de diffuser en</w:t>
      </w:r>
      <w:r>
        <w:rPr>
          <w:sz w:val="24"/>
        </w:rPr>
        <w:t xml:space="preserve"> l</w:t>
      </w:r>
      <w:r>
        <w:rPr>
          <w:sz w:val="24"/>
        </w:rPr>
        <w:t>i</w:t>
      </w:r>
      <w:r>
        <w:rPr>
          <w:sz w:val="24"/>
        </w:rPr>
        <w:t xml:space="preserve">bre </w:t>
      </w:r>
      <w:r w:rsidRPr="00384B20">
        <w:rPr>
          <w:sz w:val="24"/>
        </w:rPr>
        <w:t xml:space="preserve"> accès libre à tous </w:t>
      </w:r>
      <w:r>
        <w:rPr>
          <w:sz w:val="24"/>
        </w:rPr>
        <w:t>l’ensemble de ses publications</w:t>
      </w:r>
      <w:r w:rsidRPr="00384B20">
        <w:rPr>
          <w:sz w:val="24"/>
        </w:rPr>
        <w:t xml:space="preserve"> dans Les Class</w:t>
      </w:r>
      <w:r w:rsidRPr="00384B20">
        <w:rPr>
          <w:sz w:val="24"/>
        </w:rPr>
        <w:t>i</w:t>
      </w:r>
      <w:r w:rsidRPr="00384B20">
        <w:rPr>
          <w:sz w:val="24"/>
        </w:rPr>
        <w:t>ques des sciences sociales.</w:t>
      </w:r>
      <w:r>
        <w:rPr>
          <w:sz w:val="24"/>
        </w:rPr>
        <w:t xml:space="preserve"> De même pour M. Dorval Brunelle.</w:t>
      </w:r>
    </w:p>
    <w:p w:rsidR="00AD690E" w:rsidRPr="00384B20" w:rsidRDefault="00AD690E" w:rsidP="00AD690E">
      <w:pPr>
        <w:jc w:val="both"/>
        <w:rPr>
          <w:sz w:val="24"/>
        </w:rPr>
      </w:pPr>
    </w:p>
    <w:p w:rsidR="00AD690E" w:rsidRPr="00241454" w:rsidRDefault="005E1315" w:rsidP="00AD690E">
      <w:pPr>
        <w:tabs>
          <w:tab w:val="left" w:pos="3150"/>
        </w:tabs>
        <w:ind w:firstLine="0"/>
        <w:rPr>
          <w:sz w:val="24"/>
        </w:rPr>
      </w:pPr>
      <w:r w:rsidRPr="00241454">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AD690E" w:rsidRPr="00241454">
        <w:rPr>
          <w:sz w:val="24"/>
        </w:rPr>
        <w:t xml:space="preserve"> Courriel</w:t>
      </w:r>
      <w:r w:rsidR="00AD690E">
        <w:rPr>
          <w:sz w:val="24"/>
        </w:rPr>
        <w:t>s</w:t>
      </w:r>
      <w:r w:rsidR="00AD690E" w:rsidRPr="00241454">
        <w:rPr>
          <w:sz w:val="24"/>
        </w:rPr>
        <w:t xml:space="preserve"> : Yves Bélanger : </w:t>
      </w:r>
      <w:hyperlink r:id="rId15" w:history="1">
        <w:r w:rsidR="00AD690E" w:rsidRPr="00241454">
          <w:rPr>
            <w:rStyle w:val="Lienhypertexte"/>
            <w:sz w:val="24"/>
          </w:rPr>
          <w:t>belanger.yves@uqam.ca</w:t>
        </w:r>
      </w:hyperlink>
    </w:p>
    <w:p w:rsidR="00AD690E" w:rsidRPr="00384B20" w:rsidRDefault="00AD690E" w:rsidP="00AD690E">
      <w:pPr>
        <w:tabs>
          <w:tab w:val="left" w:pos="450"/>
          <w:tab w:val="left" w:pos="3150"/>
        </w:tabs>
        <w:ind w:left="20" w:hanging="20"/>
        <w:jc w:val="both"/>
        <w:rPr>
          <w:sz w:val="24"/>
        </w:rPr>
      </w:pPr>
      <w:r>
        <w:rPr>
          <w:sz w:val="24"/>
        </w:rPr>
        <w:t xml:space="preserve">Dorval Brunelle : </w:t>
      </w:r>
      <w:hyperlink r:id="rId16" w:history="1">
        <w:r w:rsidRPr="00BF5BF1">
          <w:rPr>
            <w:rStyle w:val="Lienhypertexte"/>
            <w:sz w:val="24"/>
          </w:rPr>
          <w:t>brunelle.dorval@uqam.ca</w:t>
        </w:r>
      </w:hyperlink>
      <w:r>
        <w:rPr>
          <w:sz w:val="24"/>
        </w:rPr>
        <w:t xml:space="preserve"> </w:t>
      </w:r>
    </w:p>
    <w:p w:rsidR="00AD690E" w:rsidRPr="00384B20" w:rsidRDefault="00AD690E" w:rsidP="00AD690E">
      <w:pPr>
        <w:ind w:left="20"/>
        <w:jc w:val="both"/>
        <w:rPr>
          <w:sz w:val="24"/>
        </w:rPr>
      </w:pPr>
    </w:p>
    <w:p w:rsidR="00AD690E" w:rsidRPr="00384B20" w:rsidRDefault="00AD690E">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AD690E" w:rsidRPr="00384B20" w:rsidRDefault="00AD690E">
      <w:pPr>
        <w:ind w:right="1800" w:firstLine="0"/>
        <w:jc w:val="both"/>
        <w:rPr>
          <w:sz w:val="24"/>
        </w:rPr>
      </w:pPr>
    </w:p>
    <w:p w:rsidR="00AD690E" w:rsidRPr="00384B20" w:rsidRDefault="00AD690E" w:rsidP="00AD690E">
      <w:pPr>
        <w:ind w:left="360" w:right="360" w:firstLine="0"/>
        <w:jc w:val="both"/>
        <w:rPr>
          <w:sz w:val="24"/>
        </w:rPr>
      </w:pPr>
      <w:r w:rsidRPr="00384B20">
        <w:rPr>
          <w:sz w:val="24"/>
        </w:rPr>
        <w:t>Pour le texte: Times New Roman, 14 points.</w:t>
      </w:r>
    </w:p>
    <w:p w:rsidR="00AD690E" w:rsidRPr="00384B20" w:rsidRDefault="00AD690E" w:rsidP="00AD690E">
      <w:pPr>
        <w:ind w:left="360" w:right="360" w:firstLine="0"/>
        <w:jc w:val="both"/>
        <w:rPr>
          <w:sz w:val="24"/>
        </w:rPr>
      </w:pPr>
      <w:r w:rsidRPr="00384B20">
        <w:rPr>
          <w:sz w:val="24"/>
        </w:rPr>
        <w:t>Pour les notes de bas de page : Times New Roman, 12 points.</w:t>
      </w:r>
    </w:p>
    <w:p w:rsidR="00AD690E" w:rsidRPr="00384B20" w:rsidRDefault="00AD690E">
      <w:pPr>
        <w:ind w:left="360" w:right="1800" w:firstLine="0"/>
        <w:jc w:val="both"/>
        <w:rPr>
          <w:sz w:val="24"/>
        </w:rPr>
      </w:pPr>
    </w:p>
    <w:p w:rsidR="00AD690E" w:rsidRPr="00384B20" w:rsidRDefault="00AD690E">
      <w:pPr>
        <w:ind w:right="360" w:firstLine="0"/>
        <w:jc w:val="both"/>
        <w:rPr>
          <w:sz w:val="24"/>
        </w:rPr>
      </w:pPr>
      <w:r w:rsidRPr="00384B20">
        <w:rPr>
          <w:sz w:val="24"/>
        </w:rPr>
        <w:t>Édition électronique réalisée avec le traitement de textes Microsoft Word 2008 pour Macintosh.</w:t>
      </w:r>
    </w:p>
    <w:p w:rsidR="00AD690E" w:rsidRPr="00384B20" w:rsidRDefault="00AD690E">
      <w:pPr>
        <w:ind w:right="1800" w:firstLine="0"/>
        <w:jc w:val="both"/>
        <w:rPr>
          <w:sz w:val="24"/>
        </w:rPr>
      </w:pPr>
    </w:p>
    <w:p w:rsidR="00AD690E" w:rsidRPr="00384B20" w:rsidRDefault="00AD690E" w:rsidP="00AD690E">
      <w:pPr>
        <w:ind w:right="540" w:firstLine="0"/>
        <w:jc w:val="both"/>
        <w:rPr>
          <w:sz w:val="24"/>
        </w:rPr>
      </w:pPr>
      <w:r w:rsidRPr="00384B20">
        <w:rPr>
          <w:sz w:val="24"/>
        </w:rPr>
        <w:t>Mise en page sur papier format : LETTRE US, 8.5’’ x 11’’.</w:t>
      </w:r>
    </w:p>
    <w:p w:rsidR="00AD690E" w:rsidRPr="00384B20" w:rsidRDefault="00AD690E">
      <w:pPr>
        <w:ind w:right="1800" w:firstLine="0"/>
        <w:jc w:val="both"/>
        <w:rPr>
          <w:sz w:val="24"/>
        </w:rPr>
      </w:pPr>
    </w:p>
    <w:p w:rsidR="00AD690E" w:rsidRPr="00384B20" w:rsidRDefault="00AD690E" w:rsidP="00AD690E">
      <w:pPr>
        <w:ind w:firstLine="0"/>
        <w:jc w:val="both"/>
        <w:rPr>
          <w:sz w:val="24"/>
        </w:rPr>
      </w:pPr>
      <w:r w:rsidRPr="00384B20">
        <w:rPr>
          <w:sz w:val="24"/>
        </w:rPr>
        <w:t xml:space="preserve">Édition numérique réalisée le </w:t>
      </w:r>
      <w:r>
        <w:rPr>
          <w:sz w:val="24"/>
        </w:rPr>
        <w:t>5 septembre 2019 à Chicoutimi</w:t>
      </w:r>
      <w:r w:rsidRPr="00384B20">
        <w:rPr>
          <w:sz w:val="24"/>
        </w:rPr>
        <w:t>, Qu</w:t>
      </w:r>
      <w:r w:rsidRPr="00384B20">
        <w:rPr>
          <w:sz w:val="24"/>
        </w:rPr>
        <w:t>é</w:t>
      </w:r>
      <w:r w:rsidRPr="00384B20">
        <w:rPr>
          <w:sz w:val="24"/>
        </w:rPr>
        <w:t>bec.</w:t>
      </w:r>
    </w:p>
    <w:p w:rsidR="00AD690E" w:rsidRPr="00384B20" w:rsidRDefault="00AD690E">
      <w:pPr>
        <w:ind w:right="1800" w:firstLine="0"/>
        <w:jc w:val="both"/>
        <w:rPr>
          <w:sz w:val="24"/>
        </w:rPr>
      </w:pPr>
    </w:p>
    <w:p w:rsidR="00AD690E" w:rsidRPr="00E07116" w:rsidRDefault="005E1315">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AD690E" w:rsidRPr="00E07116" w:rsidRDefault="00AD690E" w:rsidP="00AD690E">
      <w:pPr>
        <w:ind w:left="20"/>
        <w:jc w:val="both"/>
      </w:pPr>
      <w:r w:rsidRPr="00E07116">
        <w:br w:type="page"/>
      </w:r>
    </w:p>
    <w:p w:rsidR="00AD690E" w:rsidRPr="00E07116" w:rsidRDefault="00AD690E" w:rsidP="00AD690E">
      <w:pPr>
        <w:ind w:firstLine="0"/>
        <w:jc w:val="center"/>
      </w:pPr>
      <w:r>
        <w:t>Yves Bélanger, Dorval Brunelle</w:t>
      </w:r>
      <w:r>
        <w:br/>
        <w:t>et collaborateurs</w:t>
      </w:r>
    </w:p>
    <w:p w:rsidR="00AD690E" w:rsidRPr="00E07116" w:rsidRDefault="00AD690E" w:rsidP="00AD690E">
      <w:pPr>
        <w:ind w:firstLine="0"/>
        <w:jc w:val="center"/>
      </w:pPr>
    </w:p>
    <w:p w:rsidR="00AD690E" w:rsidRPr="00E07116" w:rsidRDefault="00AD690E" w:rsidP="00AD690E">
      <w:pPr>
        <w:ind w:firstLine="0"/>
        <w:jc w:val="center"/>
        <w:rPr>
          <w:color w:val="000080"/>
        </w:rPr>
      </w:pPr>
      <w:r>
        <w:rPr>
          <w:color w:val="000080"/>
        </w:rPr>
        <w:t>L’ère des Libéraux</w:t>
      </w:r>
      <w:r w:rsidRPr="00E07116">
        <w:rPr>
          <w:color w:val="000080"/>
        </w:rPr>
        <w:t>.</w:t>
      </w:r>
      <w:r w:rsidRPr="00E07116">
        <w:rPr>
          <w:color w:val="000080"/>
        </w:rPr>
        <w:br/>
      </w:r>
      <w:r>
        <w:rPr>
          <w:i/>
          <w:color w:val="000080"/>
        </w:rPr>
        <w:t>Le pouvoir fédéral de 1963 à 1984</w:t>
      </w:r>
      <w:r w:rsidRPr="00E07116">
        <w:rPr>
          <w:color w:val="000080"/>
        </w:rPr>
        <w:t>.</w:t>
      </w:r>
    </w:p>
    <w:p w:rsidR="00AD690E" w:rsidRPr="00E07116" w:rsidRDefault="00AD690E" w:rsidP="00AD690E">
      <w:pPr>
        <w:ind w:firstLine="0"/>
        <w:jc w:val="center"/>
      </w:pPr>
    </w:p>
    <w:p w:rsidR="00AD690E" w:rsidRPr="00E07116" w:rsidRDefault="005E1315" w:rsidP="00AD690E">
      <w:pPr>
        <w:ind w:firstLine="0"/>
        <w:jc w:val="center"/>
      </w:pPr>
      <w:r>
        <w:rPr>
          <w:noProof/>
        </w:rPr>
        <w:drawing>
          <wp:inline distT="0" distB="0" distL="0" distR="0">
            <wp:extent cx="3733800" cy="5410200"/>
            <wp:effectExtent l="25400" t="25400" r="12700" b="12700"/>
            <wp:docPr id="5" name="Image 5" descr="ere_des_liberaux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re_des_liberaux_L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5410200"/>
                    </a:xfrm>
                    <a:prstGeom prst="rect">
                      <a:avLst/>
                    </a:prstGeom>
                    <a:noFill/>
                    <a:ln w="19050" cmpd="sng">
                      <a:solidFill>
                        <a:srgbClr val="000000"/>
                      </a:solidFill>
                      <a:miter lim="800000"/>
                      <a:headEnd/>
                      <a:tailEnd/>
                    </a:ln>
                    <a:effectLst/>
                  </pic:spPr>
                </pic:pic>
              </a:graphicData>
            </a:graphic>
          </wp:inline>
        </w:drawing>
      </w:r>
    </w:p>
    <w:p w:rsidR="00AD690E" w:rsidRPr="00E07116" w:rsidRDefault="00AD690E" w:rsidP="00AD690E">
      <w:pPr>
        <w:jc w:val="both"/>
      </w:pPr>
    </w:p>
    <w:p w:rsidR="00AD690E" w:rsidRPr="00384B20" w:rsidRDefault="00AD690E" w:rsidP="00AD690E">
      <w:pPr>
        <w:ind w:firstLine="0"/>
        <w:jc w:val="center"/>
        <w:rPr>
          <w:sz w:val="24"/>
        </w:rPr>
      </w:pPr>
      <w:r w:rsidRPr="00A32BFB">
        <w:t>Montréal : Les Presses de l’Université du Québec, 1988, 442 pp.</w:t>
      </w:r>
    </w:p>
    <w:p w:rsidR="00AD690E" w:rsidRPr="00E07116" w:rsidRDefault="00AD690E" w:rsidP="00AD690E">
      <w:pPr>
        <w:pStyle w:val="p"/>
      </w:pPr>
      <w:r w:rsidRPr="00E07116">
        <w:br w:type="page"/>
      </w:r>
    </w:p>
    <w:p w:rsidR="00AD690E" w:rsidRPr="00E07116" w:rsidRDefault="00AD690E" w:rsidP="00AD690E">
      <w:pPr>
        <w:jc w:val="both"/>
      </w:pPr>
    </w:p>
    <w:p w:rsidR="00AD690E" w:rsidRPr="00E07116" w:rsidRDefault="00AD690E" w:rsidP="00AD690E">
      <w:pPr>
        <w:jc w:val="both"/>
      </w:pPr>
    </w:p>
    <w:p w:rsidR="00AD690E" w:rsidRPr="00A32BFB" w:rsidRDefault="00AD690E" w:rsidP="00AD690E">
      <w:pPr>
        <w:spacing w:after="120"/>
        <w:jc w:val="center"/>
        <w:rPr>
          <w:b/>
        </w:rPr>
      </w:pPr>
      <w:bookmarkStart w:id="1" w:name="ere_Liberaux_couverture"/>
      <w:r w:rsidRPr="00A32BFB">
        <w:rPr>
          <w:b/>
        </w:rPr>
        <w:t>L’ère des Libéraux.</w:t>
      </w:r>
      <w:r w:rsidRPr="00A32BFB">
        <w:rPr>
          <w:b/>
        </w:rPr>
        <w:br/>
        <w:t>Le pouvoir fédéral de 1963 à 1984.</w:t>
      </w:r>
    </w:p>
    <w:p w:rsidR="00AD690E" w:rsidRPr="00E07116" w:rsidRDefault="00AD690E" w:rsidP="00AD690E">
      <w:pPr>
        <w:pStyle w:val="planchest"/>
      </w:pPr>
      <w:r w:rsidRPr="00E07116">
        <w:t>Quatrième de couverture</w:t>
      </w:r>
    </w:p>
    <w:bookmarkEnd w:id="1"/>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Default="00AD690E" w:rsidP="00AD690E">
      <w:pPr>
        <w:spacing w:before="120" w:after="120"/>
      </w:pPr>
      <w:r w:rsidRPr="004A0CDF">
        <w:rPr>
          <w:color w:val="333913"/>
        </w:rPr>
        <w:t>Durant vingt et une années, de 1963 à 1984, les libéraux auront dominé la scène politique canadienne.</w:t>
      </w:r>
    </w:p>
    <w:p w:rsidR="00AD690E" w:rsidRDefault="00AD690E" w:rsidP="00AD690E">
      <w:pPr>
        <w:spacing w:before="120" w:after="120"/>
      </w:pPr>
      <w:r w:rsidRPr="004A0CDF">
        <w:rPr>
          <w:color w:val="333913"/>
        </w:rPr>
        <w:t>Cette période importante est étudiée à travers dix-sept dossiers ra</w:t>
      </w:r>
      <w:r w:rsidRPr="004A0CDF">
        <w:rPr>
          <w:color w:val="333913"/>
        </w:rPr>
        <w:t>s</w:t>
      </w:r>
      <w:r w:rsidRPr="004A0CDF">
        <w:rPr>
          <w:color w:val="333913"/>
        </w:rPr>
        <w:t>semblés par vingt-trois collaborateurs et collaboratrices rattachés à l'Université du Québec à Montréal, à l'Université de Montréal et à l'Université d'Ottawa.</w:t>
      </w:r>
    </w:p>
    <w:p w:rsidR="00AD690E" w:rsidRDefault="00AD690E" w:rsidP="00AD690E">
      <w:pPr>
        <w:spacing w:before="120" w:after="120"/>
      </w:pPr>
      <w:r w:rsidRPr="004A0CDF">
        <w:rPr>
          <w:color w:val="333913"/>
        </w:rPr>
        <w:t>Ces travaux couvrent les interventions les plus significatives des gouvernements dirigés successivement par Lester B. Pearson et Pierre E. Trudeau dans les domaines politique, économique, culturel et s</w:t>
      </w:r>
      <w:r w:rsidRPr="004A0CDF">
        <w:rPr>
          <w:color w:val="333913"/>
        </w:rPr>
        <w:t>o</w:t>
      </w:r>
      <w:r w:rsidRPr="004A0CDF">
        <w:rPr>
          <w:color w:val="333913"/>
        </w:rPr>
        <w:t>cial.</w:t>
      </w:r>
    </w:p>
    <w:p w:rsidR="00AD690E" w:rsidRDefault="00AD690E" w:rsidP="00AD690E">
      <w:pPr>
        <w:spacing w:before="120" w:after="120"/>
      </w:pPr>
      <w:r w:rsidRPr="004A0CDF">
        <w:rPr>
          <w:color w:val="333913"/>
        </w:rPr>
        <w:t>Dans L'ÈRE DES LIBÉRAUX, le lecteur et la lectrice trouveront la vision d'ensemble la plus large et la plus documentée des deux d</w:t>
      </w:r>
      <w:r w:rsidRPr="004A0CDF">
        <w:rPr>
          <w:color w:val="333913"/>
        </w:rPr>
        <w:t>é</w:t>
      </w:r>
      <w:r w:rsidRPr="004A0CDF">
        <w:rPr>
          <w:color w:val="333913"/>
        </w:rPr>
        <w:t>cennies qui auront marqué de manière déterminante l'histoire récente.</w:t>
      </w:r>
    </w:p>
    <w:p w:rsidR="00AD690E" w:rsidRDefault="00AD690E" w:rsidP="00AD690E"/>
    <w:p w:rsidR="00AD690E" w:rsidRPr="004130AE" w:rsidRDefault="00AD690E" w:rsidP="00AD690E">
      <w:pPr>
        <w:ind w:firstLine="0"/>
      </w:pPr>
      <w:r w:rsidRPr="004130AE">
        <w:rPr>
          <w:bCs/>
          <w:color w:val="333913"/>
        </w:rPr>
        <w:t>collaborateurs et collaboratrices</w:t>
      </w:r>
    </w:p>
    <w:p w:rsidR="00AD690E" w:rsidRPr="004130AE" w:rsidRDefault="00AD690E" w:rsidP="00AD690E">
      <w:pPr>
        <w:ind w:firstLine="0"/>
      </w:pPr>
    </w:p>
    <w:p w:rsidR="00AD690E" w:rsidRPr="004130AE" w:rsidRDefault="00AD690E" w:rsidP="00AD690E">
      <w:pPr>
        <w:ind w:firstLine="0"/>
      </w:pPr>
      <w:r w:rsidRPr="004130AE">
        <w:rPr>
          <w:bCs/>
          <w:color w:val="333913"/>
          <w:szCs w:val="18"/>
        </w:rPr>
        <w:t>Caroline Andrew</w:t>
      </w:r>
    </w:p>
    <w:p w:rsidR="00AD690E" w:rsidRPr="004130AE" w:rsidRDefault="00AD690E" w:rsidP="00AD690E">
      <w:pPr>
        <w:ind w:firstLine="0"/>
      </w:pPr>
      <w:r w:rsidRPr="004130AE">
        <w:rPr>
          <w:bCs/>
          <w:color w:val="333913"/>
          <w:szCs w:val="18"/>
        </w:rPr>
        <w:t>Yves Bélanger</w:t>
      </w:r>
    </w:p>
    <w:p w:rsidR="00AD690E" w:rsidRPr="004130AE" w:rsidRDefault="00AD690E" w:rsidP="00AD690E">
      <w:pPr>
        <w:ind w:firstLine="0"/>
        <w:rPr>
          <w:bCs/>
          <w:color w:val="333913"/>
          <w:szCs w:val="18"/>
        </w:rPr>
      </w:pPr>
      <w:r w:rsidRPr="004130AE">
        <w:rPr>
          <w:bCs/>
          <w:color w:val="333913"/>
          <w:szCs w:val="18"/>
        </w:rPr>
        <w:t>André Bernard</w:t>
      </w:r>
    </w:p>
    <w:p w:rsidR="00AD690E" w:rsidRPr="004130AE" w:rsidRDefault="00AD690E" w:rsidP="00AD690E">
      <w:pPr>
        <w:ind w:firstLine="0"/>
      </w:pPr>
      <w:r w:rsidRPr="004130AE">
        <w:rPr>
          <w:bCs/>
          <w:color w:val="333913"/>
          <w:szCs w:val="18"/>
        </w:rPr>
        <w:t>Gérard Boismenu</w:t>
      </w:r>
    </w:p>
    <w:p w:rsidR="00AD690E" w:rsidRPr="004130AE" w:rsidRDefault="00AD690E" w:rsidP="00AD690E">
      <w:pPr>
        <w:ind w:firstLine="0"/>
      </w:pPr>
      <w:r w:rsidRPr="004130AE">
        <w:rPr>
          <w:bCs/>
          <w:color w:val="333913"/>
          <w:szCs w:val="18"/>
        </w:rPr>
        <w:t>Michel Boisvert</w:t>
      </w:r>
    </w:p>
    <w:p w:rsidR="00AD690E" w:rsidRPr="004130AE" w:rsidRDefault="00AD690E" w:rsidP="00AD690E">
      <w:pPr>
        <w:ind w:firstLine="0"/>
      </w:pPr>
      <w:r w:rsidRPr="004130AE">
        <w:rPr>
          <w:bCs/>
          <w:color w:val="333913"/>
          <w:szCs w:val="18"/>
        </w:rPr>
        <w:t>Dorval Brunelle</w:t>
      </w:r>
    </w:p>
    <w:p w:rsidR="00AD690E" w:rsidRPr="004130AE" w:rsidRDefault="00AD690E" w:rsidP="00AD690E">
      <w:pPr>
        <w:ind w:firstLine="0"/>
      </w:pPr>
      <w:r w:rsidRPr="004130AE">
        <w:rPr>
          <w:bCs/>
          <w:color w:val="333913"/>
          <w:szCs w:val="18"/>
        </w:rPr>
        <w:t>Christian Deblock</w:t>
      </w:r>
    </w:p>
    <w:p w:rsidR="00AD690E" w:rsidRPr="004130AE" w:rsidRDefault="00AD690E" w:rsidP="00AD690E">
      <w:pPr>
        <w:ind w:firstLine="0"/>
      </w:pPr>
      <w:r w:rsidRPr="004130AE">
        <w:rPr>
          <w:bCs/>
          <w:color w:val="333913"/>
          <w:szCs w:val="18"/>
        </w:rPr>
        <w:t>Roch Denis</w:t>
      </w:r>
    </w:p>
    <w:p w:rsidR="00AD690E" w:rsidRPr="004130AE" w:rsidRDefault="00AD690E" w:rsidP="00AD690E">
      <w:pPr>
        <w:ind w:firstLine="0"/>
      </w:pPr>
      <w:r w:rsidRPr="004130AE">
        <w:rPr>
          <w:bCs/>
          <w:color w:val="333913"/>
          <w:szCs w:val="18"/>
        </w:rPr>
        <w:lastRenderedPageBreak/>
        <w:t>André Donneur</w:t>
      </w:r>
    </w:p>
    <w:p w:rsidR="00AD690E" w:rsidRPr="004130AE" w:rsidRDefault="00AD690E" w:rsidP="00AD690E">
      <w:pPr>
        <w:ind w:firstLine="0"/>
      </w:pPr>
      <w:r w:rsidRPr="004130AE">
        <w:rPr>
          <w:bCs/>
          <w:color w:val="333913"/>
          <w:szCs w:val="18"/>
        </w:rPr>
        <w:t>Michel Duquette</w:t>
      </w:r>
    </w:p>
    <w:p w:rsidR="00AD690E" w:rsidRPr="004130AE" w:rsidRDefault="00AD690E" w:rsidP="00AD690E">
      <w:pPr>
        <w:ind w:firstLine="0"/>
        <w:rPr>
          <w:bCs/>
          <w:color w:val="333913"/>
          <w:szCs w:val="18"/>
        </w:rPr>
      </w:pPr>
      <w:r w:rsidRPr="004130AE">
        <w:rPr>
          <w:bCs/>
          <w:color w:val="333913"/>
          <w:szCs w:val="18"/>
        </w:rPr>
        <w:t>Pierre Fournier</w:t>
      </w:r>
    </w:p>
    <w:p w:rsidR="00AD690E" w:rsidRPr="004130AE" w:rsidRDefault="00AD690E" w:rsidP="00AD690E">
      <w:pPr>
        <w:ind w:firstLine="0"/>
      </w:pPr>
      <w:r w:rsidRPr="004130AE">
        <w:rPr>
          <w:bCs/>
          <w:color w:val="333913"/>
          <w:szCs w:val="18"/>
        </w:rPr>
        <w:t>Pierre Hamel</w:t>
      </w:r>
    </w:p>
    <w:p w:rsidR="00AD690E" w:rsidRPr="004130AE" w:rsidRDefault="00AD690E" w:rsidP="00AD690E">
      <w:pPr>
        <w:ind w:firstLine="0"/>
        <w:rPr>
          <w:bCs/>
          <w:color w:val="333913"/>
          <w:szCs w:val="18"/>
        </w:rPr>
      </w:pPr>
      <w:r w:rsidRPr="004130AE">
        <w:rPr>
          <w:bCs/>
          <w:color w:val="333913"/>
          <w:szCs w:val="18"/>
        </w:rPr>
        <w:t>François Houle</w:t>
      </w:r>
    </w:p>
    <w:p w:rsidR="00AD690E" w:rsidRPr="004130AE" w:rsidRDefault="00AD690E" w:rsidP="00AD690E">
      <w:pPr>
        <w:ind w:firstLine="0"/>
        <w:rPr>
          <w:bCs/>
          <w:color w:val="333913"/>
          <w:szCs w:val="18"/>
        </w:rPr>
      </w:pPr>
      <w:r w:rsidRPr="004130AE">
        <w:rPr>
          <w:bCs/>
          <w:color w:val="333913"/>
          <w:szCs w:val="18"/>
        </w:rPr>
        <w:t>Micheline Labelle</w:t>
      </w:r>
    </w:p>
    <w:p w:rsidR="00AD690E" w:rsidRPr="004130AE" w:rsidRDefault="00AD690E" w:rsidP="00AD690E">
      <w:pPr>
        <w:ind w:firstLine="0"/>
        <w:rPr>
          <w:bCs/>
          <w:color w:val="333913"/>
          <w:szCs w:val="18"/>
        </w:rPr>
      </w:pPr>
      <w:r w:rsidRPr="004130AE">
        <w:rPr>
          <w:bCs/>
          <w:color w:val="333913"/>
          <w:szCs w:val="18"/>
        </w:rPr>
        <w:t>Jean-Guy Lacroix</w:t>
      </w:r>
    </w:p>
    <w:p w:rsidR="00AD690E" w:rsidRPr="004130AE" w:rsidRDefault="00AD690E" w:rsidP="00AD690E">
      <w:pPr>
        <w:ind w:firstLine="0"/>
      </w:pPr>
      <w:r w:rsidRPr="004130AE">
        <w:rPr>
          <w:bCs/>
          <w:color w:val="333913"/>
          <w:szCs w:val="18"/>
        </w:rPr>
        <w:t>Benoît Lévesque</w:t>
      </w:r>
    </w:p>
    <w:p w:rsidR="00AD690E" w:rsidRPr="004130AE" w:rsidRDefault="00AD690E" w:rsidP="00AD690E">
      <w:pPr>
        <w:ind w:firstLine="0"/>
      </w:pPr>
      <w:r w:rsidRPr="004130AE">
        <w:rPr>
          <w:bCs/>
          <w:color w:val="333913"/>
          <w:szCs w:val="18"/>
        </w:rPr>
        <w:t>Pierre Mackay</w:t>
      </w:r>
    </w:p>
    <w:p w:rsidR="00AD690E" w:rsidRPr="004130AE" w:rsidRDefault="00AD690E" w:rsidP="00AD690E">
      <w:pPr>
        <w:ind w:firstLine="0"/>
      </w:pPr>
      <w:r w:rsidRPr="004130AE">
        <w:rPr>
          <w:bCs/>
          <w:color w:val="333913"/>
          <w:szCs w:val="18"/>
        </w:rPr>
        <w:t>Michel Pelletier</w:t>
      </w:r>
    </w:p>
    <w:p w:rsidR="00AD690E" w:rsidRPr="004130AE" w:rsidRDefault="00AD690E" w:rsidP="00AD690E">
      <w:pPr>
        <w:ind w:firstLine="0"/>
        <w:rPr>
          <w:bCs/>
          <w:color w:val="333913"/>
          <w:szCs w:val="18"/>
        </w:rPr>
      </w:pPr>
      <w:r w:rsidRPr="004130AE">
        <w:rPr>
          <w:bCs/>
          <w:color w:val="333913"/>
          <w:szCs w:val="18"/>
        </w:rPr>
        <w:t>Bruno Ramirez</w:t>
      </w:r>
    </w:p>
    <w:p w:rsidR="00AD690E" w:rsidRPr="004130AE" w:rsidRDefault="00AD690E" w:rsidP="00AD690E">
      <w:pPr>
        <w:ind w:firstLine="0"/>
        <w:rPr>
          <w:bCs/>
          <w:color w:val="333913"/>
          <w:szCs w:val="18"/>
        </w:rPr>
      </w:pPr>
      <w:r w:rsidRPr="004130AE">
        <w:rPr>
          <w:bCs/>
          <w:color w:val="333913"/>
          <w:szCs w:val="18"/>
        </w:rPr>
        <w:t>François Rocher</w:t>
      </w:r>
    </w:p>
    <w:p w:rsidR="00AD690E" w:rsidRPr="004130AE" w:rsidRDefault="00AD690E" w:rsidP="00AD690E">
      <w:pPr>
        <w:ind w:firstLine="0"/>
      </w:pPr>
      <w:r w:rsidRPr="004130AE">
        <w:rPr>
          <w:bCs/>
          <w:color w:val="333913"/>
          <w:szCs w:val="18"/>
        </w:rPr>
        <w:t>Francine Senécal</w:t>
      </w:r>
    </w:p>
    <w:p w:rsidR="00AD690E" w:rsidRPr="004130AE" w:rsidRDefault="00AD690E" w:rsidP="00AD690E">
      <w:pPr>
        <w:ind w:firstLine="0"/>
        <w:rPr>
          <w:bCs/>
          <w:color w:val="333913"/>
          <w:szCs w:val="18"/>
        </w:rPr>
      </w:pPr>
      <w:r w:rsidRPr="004130AE">
        <w:rPr>
          <w:bCs/>
          <w:color w:val="333913"/>
          <w:szCs w:val="18"/>
        </w:rPr>
        <w:t>Carolle Simard</w:t>
      </w:r>
    </w:p>
    <w:p w:rsidR="00AD690E" w:rsidRPr="004130AE" w:rsidRDefault="00AD690E" w:rsidP="00AD690E">
      <w:pPr>
        <w:ind w:firstLine="0"/>
      </w:pPr>
      <w:r w:rsidRPr="004130AE">
        <w:rPr>
          <w:bCs/>
          <w:color w:val="333913"/>
          <w:szCs w:val="18"/>
        </w:rPr>
        <w:t>Svlvie Taschereau</w:t>
      </w:r>
    </w:p>
    <w:p w:rsidR="00AD690E" w:rsidRPr="00E07116" w:rsidRDefault="00AD690E" w:rsidP="00AD690E">
      <w:pPr>
        <w:jc w:val="both"/>
      </w:pPr>
    </w:p>
    <w:p w:rsidR="00AD690E" w:rsidRPr="00E07116" w:rsidRDefault="00AD690E" w:rsidP="00AD690E">
      <w:pPr>
        <w:jc w:val="both"/>
      </w:pPr>
      <w:r w:rsidRPr="00E07116">
        <w:br w:type="page"/>
      </w:r>
    </w:p>
    <w:p w:rsidR="00AD690E" w:rsidRPr="00E07116" w:rsidRDefault="00AD690E" w:rsidP="00AD690E">
      <w:pPr>
        <w:jc w:val="both"/>
      </w:pPr>
    </w:p>
    <w:p w:rsidR="00AD690E" w:rsidRPr="00E07116" w:rsidRDefault="00AD690E" w:rsidP="00AD690E">
      <w:pPr>
        <w:jc w:val="both"/>
      </w:pPr>
    </w:p>
    <w:p w:rsidR="00AD690E" w:rsidRPr="00E07116" w:rsidRDefault="00AD690E" w:rsidP="00AD690E">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AD690E" w:rsidRPr="00E07116" w:rsidRDefault="00AD690E" w:rsidP="00AD690E">
      <w:pPr>
        <w:pStyle w:val="NormalWeb"/>
        <w:spacing w:before="2" w:after="2"/>
        <w:jc w:val="both"/>
        <w:rPr>
          <w:rFonts w:ascii="Times New Roman" w:hAnsi="Times New Roman"/>
          <w:sz w:val="28"/>
        </w:rPr>
      </w:pPr>
    </w:p>
    <w:p w:rsidR="00AD690E" w:rsidRPr="00E07116" w:rsidRDefault="00AD690E" w:rsidP="00AD690E">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AD690E" w:rsidRPr="00E07116" w:rsidRDefault="00AD690E" w:rsidP="00AD690E">
      <w:pPr>
        <w:jc w:val="both"/>
        <w:rPr>
          <w:szCs w:val="19"/>
        </w:rPr>
      </w:pPr>
    </w:p>
    <w:p w:rsidR="00AD690E" w:rsidRPr="00E07116" w:rsidRDefault="00AD690E" w:rsidP="00AD690E">
      <w:pPr>
        <w:jc w:val="both"/>
        <w:rPr>
          <w:szCs w:val="19"/>
        </w:rPr>
      </w:pPr>
    </w:p>
    <w:p w:rsidR="00AD690E" w:rsidRDefault="00AD690E" w:rsidP="00AD690E">
      <w:pPr>
        <w:spacing w:before="120" w:after="120"/>
        <w:ind w:firstLine="0"/>
        <w:jc w:val="both"/>
      </w:pPr>
      <w:r w:rsidRPr="00E07116">
        <w:br w:type="page"/>
      </w:r>
      <w:r>
        <w:lastRenderedPageBreak/>
        <w:t>[4]</w:t>
      </w:r>
    </w:p>
    <w:p w:rsidR="00AD690E" w:rsidRDefault="00AD690E" w:rsidP="00AD690E">
      <w:pPr>
        <w:spacing w:before="120" w:after="120"/>
        <w:ind w:firstLine="0"/>
        <w:jc w:val="both"/>
      </w:pPr>
    </w:p>
    <w:p w:rsidR="00AD690E" w:rsidRDefault="00AD690E" w:rsidP="00AD690E">
      <w:pPr>
        <w:spacing w:before="120" w:after="120"/>
        <w:ind w:firstLine="0"/>
        <w:jc w:val="both"/>
      </w:pPr>
    </w:p>
    <w:p w:rsidR="00AD690E" w:rsidRDefault="00AD690E" w:rsidP="00AD690E">
      <w:pPr>
        <w:spacing w:before="120" w:after="120"/>
        <w:ind w:firstLine="0"/>
        <w:jc w:val="both"/>
      </w:pPr>
    </w:p>
    <w:p w:rsidR="00AD690E" w:rsidRDefault="00AD690E" w:rsidP="00AD690E">
      <w:pPr>
        <w:spacing w:before="120" w:after="120"/>
        <w:ind w:firstLine="0"/>
        <w:jc w:val="both"/>
      </w:pPr>
    </w:p>
    <w:p w:rsidR="00AD690E" w:rsidRDefault="00AD690E" w:rsidP="00AD690E">
      <w:pPr>
        <w:spacing w:before="120" w:after="120"/>
        <w:ind w:firstLine="0"/>
        <w:jc w:val="both"/>
      </w:pPr>
    </w:p>
    <w:p w:rsidR="00AD690E" w:rsidRDefault="00AD690E" w:rsidP="00AD690E">
      <w:pPr>
        <w:spacing w:before="120" w:after="120"/>
        <w:ind w:firstLine="0"/>
        <w:jc w:val="both"/>
      </w:pPr>
    </w:p>
    <w:p w:rsidR="00AD690E" w:rsidRDefault="00AD690E" w:rsidP="00AD690E">
      <w:pPr>
        <w:spacing w:before="120" w:after="120"/>
        <w:ind w:firstLine="0"/>
        <w:jc w:val="both"/>
      </w:pPr>
    </w:p>
    <w:p w:rsidR="00AD690E" w:rsidRPr="00675326" w:rsidRDefault="00AD690E" w:rsidP="00AD690E">
      <w:pPr>
        <w:spacing w:before="120" w:after="120"/>
        <w:ind w:firstLine="0"/>
        <w:jc w:val="both"/>
      </w:pPr>
      <w:r w:rsidRPr="00675326">
        <w:rPr>
          <w:szCs w:val="22"/>
        </w:rPr>
        <w:t>ISBN 2-7b :D5-D5Q4-</w:t>
      </w:r>
      <w:r w:rsidRPr="00675326">
        <w:rPr>
          <w:szCs w:val="22"/>
          <w:vertAlign w:val="superscript"/>
        </w:rPr>
        <w:t>t</w:t>
      </w:r>
      <w:r w:rsidRPr="00675326">
        <w:rPr>
          <w:szCs w:val="22"/>
        </w:rPr>
        <w:t>l</w:t>
      </w:r>
    </w:p>
    <w:p w:rsidR="00AD690E" w:rsidRPr="00675326" w:rsidRDefault="00AD690E" w:rsidP="00AD690E">
      <w:pPr>
        <w:spacing w:before="120" w:after="120"/>
        <w:ind w:firstLine="0"/>
        <w:jc w:val="both"/>
      </w:pPr>
      <w:r w:rsidRPr="00675326">
        <w:rPr>
          <w:szCs w:val="18"/>
        </w:rPr>
        <w:t>Dépôt légal — 4e trimestre 1988</w:t>
      </w:r>
    </w:p>
    <w:p w:rsidR="00AD690E" w:rsidRPr="00675326" w:rsidRDefault="00AD690E" w:rsidP="00AD690E">
      <w:pPr>
        <w:spacing w:before="120" w:after="120"/>
        <w:ind w:firstLine="0"/>
        <w:jc w:val="both"/>
      </w:pPr>
      <w:r w:rsidRPr="00675326">
        <w:rPr>
          <w:szCs w:val="18"/>
        </w:rPr>
        <w:t>Bibliothèque nationale du Québec</w:t>
      </w:r>
    </w:p>
    <w:p w:rsidR="00AD690E" w:rsidRPr="00675326" w:rsidRDefault="00AD690E" w:rsidP="00AD690E">
      <w:pPr>
        <w:spacing w:before="120" w:after="120"/>
        <w:ind w:firstLine="0"/>
        <w:jc w:val="both"/>
      </w:pPr>
      <w:r w:rsidRPr="00675326">
        <w:rPr>
          <w:szCs w:val="18"/>
        </w:rPr>
        <w:t>Bibliothèque nationale du Canada</w:t>
      </w:r>
    </w:p>
    <w:p w:rsidR="00AD690E" w:rsidRPr="00675326" w:rsidRDefault="00AD690E" w:rsidP="00AD690E">
      <w:pPr>
        <w:spacing w:before="120" w:after="120"/>
        <w:ind w:firstLine="0"/>
        <w:jc w:val="both"/>
      </w:pPr>
      <w:r w:rsidRPr="00675326">
        <w:rPr>
          <w:szCs w:val="18"/>
        </w:rPr>
        <w:t>Imprimé au Canada</w:t>
      </w:r>
    </w:p>
    <w:p w:rsidR="00AD690E" w:rsidRDefault="00AD690E" w:rsidP="00AD690E">
      <w:pPr>
        <w:pStyle w:val="p"/>
      </w:pPr>
      <w:r>
        <w:br w:type="page"/>
      </w:r>
      <w:r>
        <w:lastRenderedPageBreak/>
        <w:t>[5]</w:t>
      </w:r>
    </w:p>
    <w:p w:rsidR="00AD690E" w:rsidRPr="00E07116" w:rsidRDefault="00AD690E" w:rsidP="00AD690E">
      <w:pPr>
        <w:jc w:val="both"/>
      </w:pPr>
    </w:p>
    <w:p w:rsidR="00AD690E" w:rsidRDefault="00AD690E" w:rsidP="00AD690E">
      <w:pPr>
        <w:jc w:val="both"/>
      </w:pPr>
    </w:p>
    <w:p w:rsidR="00AD690E" w:rsidRPr="00A32BFB" w:rsidRDefault="00AD690E" w:rsidP="00AD690E">
      <w:pPr>
        <w:spacing w:after="120"/>
        <w:jc w:val="center"/>
        <w:rPr>
          <w:b/>
        </w:rPr>
      </w:pPr>
      <w:r w:rsidRPr="00A32BFB">
        <w:rPr>
          <w:b/>
        </w:rPr>
        <w:t>L’ère des Libéraux.</w:t>
      </w:r>
      <w:r w:rsidRPr="00A32BFB">
        <w:rPr>
          <w:b/>
        </w:rPr>
        <w:br/>
        <w:t>Le pouvoir fédéral de 1963 à 1984.</w:t>
      </w:r>
    </w:p>
    <w:p w:rsidR="00AD690E" w:rsidRPr="00384B20" w:rsidRDefault="00AD690E" w:rsidP="00AD690E">
      <w:pPr>
        <w:pStyle w:val="planchest"/>
      </w:pPr>
      <w:bookmarkStart w:id="2" w:name="tdm"/>
      <w:r w:rsidRPr="00384B20">
        <w:t>Table des matières</w:t>
      </w:r>
      <w:bookmarkEnd w:id="2"/>
    </w:p>
    <w:p w:rsidR="00AD690E" w:rsidRPr="00E07116" w:rsidRDefault="00AD690E" w:rsidP="00AD690E">
      <w:pPr>
        <w:ind w:firstLine="0"/>
      </w:pPr>
    </w:p>
    <w:p w:rsidR="00AD690E" w:rsidRPr="00E07116" w:rsidRDefault="00AD690E" w:rsidP="00AD690E">
      <w:pPr>
        <w:ind w:firstLine="0"/>
      </w:pPr>
    </w:p>
    <w:p w:rsidR="00AD690E" w:rsidRDefault="00AD690E" w:rsidP="00AD690E">
      <w:pPr>
        <w:ind w:firstLine="0"/>
        <w:jc w:val="both"/>
      </w:pPr>
      <w:hyperlink w:anchor="ere_Liberaux_couverture" w:history="1">
        <w:r w:rsidRPr="00F711C6">
          <w:rPr>
            <w:rStyle w:val="Lienhypertexte"/>
          </w:rPr>
          <w:t>Quatrième de couverture</w:t>
        </w:r>
      </w:hyperlink>
    </w:p>
    <w:p w:rsidR="00AD690E" w:rsidRPr="00675326" w:rsidRDefault="00AD690E" w:rsidP="00AD690E">
      <w:pPr>
        <w:spacing w:before="120"/>
        <w:ind w:firstLine="0"/>
        <w:jc w:val="both"/>
      </w:pPr>
      <w:hyperlink w:anchor="ere_Liberaux_presentation" w:history="1">
        <w:r w:rsidRPr="00F711C6">
          <w:rPr>
            <w:rStyle w:val="Lienhypertexte"/>
          </w:rPr>
          <w:t>PRÉSENTATION</w:t>
        </w:r>
      </w:hyperlink>
      <w:r>
        <w:t xml:space="preserve"> [</w:t>
      </w:r>
      <w:r w:rsidRPr="00675326">
        <w:t>7</w:t>
      </w:r>
      <w:r>
        <w:t>]</w:t>
      </w:r>
    </w:p>
    <w:p w:rsidR="00AD690E" w:rsidRDefault="00AD690E" w:rsidP="00AD690E">
      <w:pPr>
        <w:jc w:val="both"/>
      </w:pPr>
    </w:p>
    <w:p w:rsidR="00AD690E" w:rsidRPr="00675326" w:rsidRDefault="00AD690E" w:rsidP="00AD690E">
      <w:pPr>
        <w:ind w:firstLine="0"/>
        <w:jc w:val="center"/>
      </w:pPr>
      <w:hyperlink w:anchor="ere_Liberaux_pt1" w:history="1">
        <w:r w:rsidRPr="00F711C6">
          <w:rPr>
            <w:rStyle w:val="Lienhypertexte"/>
            <w:b/>
          </w:rPr>
          <w:t>PREMIÈRE PARTIE</w:t>
        </w:r>
      </w:hyperlink>
      <w:r w:rsidRPr="00F711C6">
        <w:rPr>
          <w:b/>
        </w:rPr>
        <w:t>.</w:t>
      </w:r>
      <w:r w:rsidRPr="00F711C6">
        <w:rPr>
          <w:b/>
        </w:rPr>
        <w:br/>
        <w:t xml:space="preserve"> </w:t>
      </w:r>
      <w:r w:rsidRPr="00F711C6">
        <w:rPr>
          <w:b/>
          <w:color w:val="FF0000"/>
        </w:rPr>
        <w:t>QUESTIONS POLITIQUES</w:t>
      </w:r>
      <w:r>
        <w:t xml:space="preserve"> [</w:t>
      </w:r>
      <w:r w:rsidRPr="00675326">
        <w:t>11</w:t>
      </w:r>
      <w:r>
        <w:t>]</w:t>
      </w:r>
    </w:p>
    <w:p w:rsidR="00AD690E" w:rsidRDefault="00AD690E" w:rsidP="00AD690E">
      <w:pPr>
        <w:jc w:val="both"/>
      </w:pPr>
    </w:p>
    <w:p w:rsidR="00AD690E" w:rsidRPr="00675326" w:rsidRDefault="00AD690E" w:rsidP="00AD690E">
      <w:pPr>
        <w:spacing w:after="120"/>
        <w:jc w:val="both"/>
      </w:pPr>
      <w:r w:rsidRPr="00675326">
        <w:t>André BERNARD</w:t>
      </w:r>
      <w:r>
        <w:t>, “</w:t>
      </w:r>
      <w:hyperlink w:anchor="ere_Liberaux_pt1_texte_01" w:history="1">
        <w:r w:rsidRPr="00F711C6">
          <w:rPr>
            <w:rStyle w:val="Lienhypertexte"/>
            <w:i/>
          </w:rPr>
          <w:t>Vingt ans de pouvoir libéral à Ottawa : la conjoncture politique</w:t>
        </w:r>
      </w:hyperlink>
      <w:r>
        <w:t>.” [13]</w:t>
      </w:r>
    </w:p>
    <w:p w:rsidR="00AD690E" w:rsidRPr="00675326" w:rsidRDefault="00AD690E" w:rsidP="00AD690E">
      <w:pPr>
        <w:spacing w:after="120"/>
        <w:jc w:val="both"/>
      </w:pPr>
      <w:r>
        <w:t>André DONNEUR, “</w:t>
      </w:r>
      <w:hyperlink w:anchor="ere_Liberaux_pt1_texte_02" w:history="1">
        <w:r w:rsidRPr="00F711C6">
          <w:rPr>
            <w:rStyle w:val="Lienhypertexte"/>
            <w:i/>
          </w:rPr>
          <w:t>La politique étrangère de Pearson à Tr</w:t>
        </w:r>
        <w:r w:rsidRPr="00F711C6">
          <w:rPr>
            <w:rStyle w:val="Lienhypertexte"/>
            <w:i/>
          </w:rPr>
          <w:t>u</w:t>
        </w:r>
        <w:r w:rsidRPr="00F711C6">
          <w:rPr>
            <w:rStyle w:val="Lienhypertexte"/>
            <w:i/>
          </w:rPr>
          <w:t>deau : entre l'internationalisme et le réalisme</w:t>
        </w:r>
      </w:hyperlink>
      <w:r>
        <w:t>.” [37]</w:t>
      </w:r>
    </w:p>
    <w:p w:rsidR="00AD690E" w:rsidRPr="00675326" w:rsidRDefault="00AD690E" w:rsidP="00AD690E">
      <w:pPr>
        <w:spacing w:after="120"/>
        <w:jc w:val="both"/>
      </w:pPr>
      <w:r w:rsidRPr="00675326">
        <w:t>Yves BÉLANG</w:t>
      </w:r>
      <w:r>
        <w:t>ER et Pierre FOURNIER, “</w:t>
      </w:r>
      <w:hyperlink w:anchor="ere_Liberaux_pt1_texte_03" w:history="1">
        <w:r w:rsidRPr="00F711C6">
          <w:rPr>
            <w:rStyle w:val="Lienhypertexte"/>
            <w:i/>
          </w:rPr>
          <w:t>Pacifisme et militari</w:t>
        </w:r>
        <w:r w:rsidRPr="00F711C6">
          <w:rPr>
            <w:rStyle w:val="Lienhypertexte"/>
            <w:i/>
          </w:rPr>
          <w:t>s</w:t>
        </w:r>
        <w:r w:rsidRPr="00F711C6">
          <w:rPr>
            <w:rStyle w:val="Lienhypertexte"/>
            <w:i/>
          </w:rPr>
          <w:t>me : illusions et réalités de la politique de défense du Canada</w:t>
        </w:r>
      </w:hyperlink>
      <w:r>
        <w:t>.” [55]</w:t>
      </w:r>
    </w:p>
    <w:p w:rsidR="00AD690E" w:rsidRPr="00675326" w:rsidRDefault="00AD690E" w:rsidP="00AD690E">
      <w:pPr>
        <w:spacing w:after="120"/>
        <w:jc w:val="both"/>
      </w:pPr>
      <w:r w:rsidRPr="00675326">
        <w:t>Gérar</w:t>
      </w:r>
      <w:r>
        <w:t>d BOISMENU et François ROCHER, “</w:t>
      </w:r>
      <w:hyperlink w:anchor="ere_Liberaux_pt1_texte_04" w:history="1">
        <w:r w:rsidRPr="00F711C6">
          <w:rPr>
            <w:rStyle w:val="Lienhypertexte"/>
            <w:i/>
          </w:rPr>
          <w:t>Une réforme constit</w:t>
        </w:r>
        <w:r w:rsidRPr="00F711C6">
          <w:rPr>
            <w:rStyle w:val="Lienhypertexte"/>
            <w:i/>
          </w:rPr>
          <w:t>u</w:t>
        </w:r>
        <w:r w:rsidRPr="00F711C6">
          <w:rPr>
            <w:rStyle w:val="Lienhypertexte"/>
            <w:i/>
          </w:rPr>
          <w:t>tionnelle qui s'impose...</w:t>
        </w:r>
      </w:hyperlink>
      <w:r>
        <w:t>” [71]</w:t>
      </w:r>
    </w:p>
    <w:p w:rsidR="00AD690E" w:rsidRPr="00675326" w:rsidRDefault="00AD690E" w:rsidP="00AD690E">
      <w:pPr>
        <w:spacing w:after="120"/>
        <w:jc w:val="both"/>
      </w:pPr>
      <w:r>
        <w:t>Pierre MACKAY, “</w:t>
      </w:r>
      <w:hyperlink w:anchor="ere_Liberaux_pt1_texte_05" w:history="1">
        <w:r w:rsidRPr="00F711C6">
          <w:rPr>
            <w:rStyle w:val="Lienhypertexte"/>
          </w:rPr>
          <w:t xml:space="preserve">La </w:t>
        </w:r>
        <w:r w:rsidRPr="00F711C6">
          <w:rPr>
            <w:rStyle w:val="Lienhypertexte"/>
            <w:i/>
            <w:iCs/>
          </w:rPr>
          <w:t xml:space="preserve">Charte canadienne des droits et libertés </w:t>
        </w:r>
        <w:r w:rsidRPr="00F711C6">
          <w:rPr>
            <w:rStyle w:val="Lienhypertexte"/>
          </w:rPr>
          <w:t>de 1982 : un phare aveuglant contre la grande noirceur</w:t>
        </w:r>
      </w:hyperlink>
      <w:r>
        <w:t>.” [109]</w:t>
      </w:r>
    </w:p>
    <w:p w:rsidR="00AD690E" w:rsidRPr="00675326" w:rsidRDefault="00AD690E" w:rsidP="00AD690E">
      <w:pPr>
        <w:spacing w:after="120"/>
        <w:jc w:val="both"/>
      </w:pPr>
      <w:r>
        <w:t>François HOULE, “</w:t>
      </w:r>
      <w:hyperlink w:anchor="ere_Liberaux_pt1_texte_06" w:history="1">
        <w:r w:rsidRPr="00F711C6">
          <w:rPr>
            <w:rStyle w:val="Lienhypertexte"/>
            <w:i/>
          </w:rPr>
          <w:t>La centralisation du pouvoir au sein de l'ex</w:t>
        </w:r>
        <w:r w:rsidRPr="00F711C6">
          <w:rPr>
            <w:rStyle w:val="Lienhypertexte"/>
            <w:i/>
          </w:rPr>
          <w:t>é</w:t>
        </w:r>
        <w:r w:rsidRPr="00F711C6">
          <w:rPr>
            <w:rStyle w:val="Lienhypertexte"/>
            <w:i/>
          </w:rPr>
          <w:t>cutif fédéral</w:t>
        </w:r>
      </w:hyperlink>
      <w:r>
        <w:t>.” [127]</w:t>
      </w:r>
    </w:p>
    <w:p w:rsidR="00AD690E" w:rsidRDefault="00AD690E" w:rsidP="00AD690E">
      <w:pPr>
        <w:jc w:val="both"/>
      </w:pPr>
    </w:p>
    <w:p w:rsidR="00AD690E" w:rsidRPr="00675326" w:rsidRDefault="00AD690E" w:rsidP="00AD690E">
      <w:pPr>
        <w:ind w:firstLine="0"/>
        <w:jc w:val="center"/>
      </w:pPr>
      <w:hyperlink w:anchor="ere_Liberaux_pt2" w:history="1">
        <w:r w:rsidRPr="00F711C6">
          <w:rPr>
            <w:rStyle w:val="Lienhypertexte"/>
            <w:b/>
          </w:rPr>
          <w:t>DEUXIÈME PARTIE</w:t>
        </w:r>
      </w:hyperlink>
      <w:r w:rsidRPr="00F711C6">
        <w:rPr>
          <w:b/>
        </w:rPr>
        <w:t>.</w:t>
      </w:r>
      <w:r w:rsidRPr="00F711C6">
        <w:rPr>
          <w:b/>
        </w:rPr>
        <w:br/>
      </w:r>
      <w:r w:rsidRPr="00F711C6">
        <w:rPr>
          <w:b/>
          <w:color w:val="FF0000"/>
        </w:rPr>
        <w:t>QUESTIONS ÉCONOM</w:t>
      </w:r>
      <w:r w:rsidRPr="00F711C6">
        <w:rPr>
          <w:b/>
          <w:color w:val="FF0000"/>
        </w:rPr>
        <w:t>I</w:t>
      </w:r>
      <w:r w:rsidRPr="00F711C6">
        <w:rPr>
          <w:b/>
          <w:color w:val="FF0000"/>
        </w:rPr>
        <w:t>QUES</w:t>
      </w:r>
      <w:r>
        <w:t xml:space="preserve"> [</w:t>
      </w:r>
      <w:r w:rsidRPr="00675326">
        <w:t>157</w:t>
      </w:r>
      <w:r>
        <w:t>]</w:t>
      </w:r>
    </w:p>
    <w:p w:rsidR="00AD690E" w:rsidRDefault="00AD690E" w:rsidP="00AD690E">
      <w:pPr>
        <w:jc w:val="both"/>
      </w:pPr>
    </w:p>
    <w:p w:rsidR="00AD690E" w:rsidRPr="00675326" w:rsidRDefault="00AD690E" w:rsidP="00AD690E">
      <w:pPr>
        <w:spacing w:after="120"/>
        <w:jc w:val="both"/>
      </w:pPr>
      <w:r w:rsidRPr="00675326">
        <w:t>Dorval B</w:t>
      </w:r>
      <w:r>
        <w:t>RUNELLE et Christian DEBLOCK, “</w:t>
      </w:r>
      <w:hyperlink w:anchor="ere_Liberaux_pt2_texte_07" w:history="1">
        <w:r w:rsidRPr="00F711C6">
          <w:rPr>
            <w:rStyle w:val="Lienhypertexte"/>
            <w:i/>
          </w:rPr>
          <w:t>L'économie polit</w:t>
        </w:r>
        <w:r w:rsidRPr="00F711C6">
          <w:rPr>
            <w:rStyle w:val="Lienhypertexte"/>
            <w:i/>
          </w:rPr>
          <w:t>i</w:t>
        </w:r>
        <w:r w:rsidRPr="00F711C6">
          <w:rPr>
            <w:rStyle w:val="Lienhypertexte"/>
            <w:i/>
          </w:rPr>
          <w:t>que du fédéralisme canadien, de 1963 à 1984</w:t>
        </w:r>
      </w:hyperlink>
      <w:r>
        <w:t>.” [159]</w:t>
      </w:r>
    </w:p>
    <w:p w:rsidR="00AD690E" w:rsidRPr="00675326" w:rsidRDefault="00AD690E" w:rsidP="00AD690E">
      <w:pPr>
        <w:spacing w:after="120"/>
        <w:jc w:val="both"/>
      </w:pPr>
      <w:r>
        <w:t>Michel BOISVERT et Pierre HAMEL, “</w:t>
      </w:r>
      <w:hyperlink w:anchor="ere_Liberaux_pt2_texte_08" w:history="1">
        <w:r w:rsidRPr="00F711C6">
          <w:rPr>
            <w:rStyle w:val="Lienhypertexte"/>
            <w:i/>
          </w:rPr>
          <w:t>Les politiques régionales au Canada</w:t>
        </w:r>
      </w:hyperlink>
      <w:r>
        <w:t>.” [191]</w:t>
      </w:r>
    </w:p>
    <w:p w:rsidR="00AD690E" w:rsidRDefault="00AD690E" w:rsidP="00AD690E">
      <w:pPr>
        <w:spacing w:after="120"/>
        <w:jc w:val="both"/>
      </w:pPr>
      <w:r>
        <w:lastRenderedPageBreak/>
        <w:t>Michel DUQUETTE, “</w:t>
      </w:r>
      <w:hyperlink w:anchor="ere_Liberaux_pt2_texte_09" w:history="1">
        <w:r w:rsidRPr="00F711C6">
          <w:rPr>
            <w:rStyle w:val="Lienhypertexte"/>
            <w:i/>
          </w:rPr>
          <w:t>Libéralisme ou nationalisme dans la polit</w:t>
        </w:r>
        <w:r w:rsidRPr="00F711C6">
          <w:rPr>
            <w:rStyle w:val="Lienhypertexte"/>
            <w:i/>
          </w:rPr>
          <w:t>i</w:t>
        </w:r>
        <w:r w:rsidRPr="00F711C6">
          <w:rPr>
            <w:rStyle w:val="Lienhypertexte"/>
            <w:i/>
          </w:rPr>
          <w:t>que énergétique canadienne ?</w:t>
        </w:r>
      </w:hyperlink>
      <w:r>
        <w:t>” [211]</w:t>
      </w:r>
    </w:p>
    <w:p w:rsidR="00AD690E" w:rsidRDefault="00AD690E" w:rsidP="00AD690E">
      <w:pPr>
        <w:spacing w:after="120"/>
        <w:jc w:val="both"/>
      </w:pPr>
      <w:r>
        <w:t>[6]</w:t>
      </w:r>
    </w:p>
    <w:p w:rsidR="00AD690E" w:rsidRPr="00675326" w:rsidRDefault="00AD690E" w:rsidP="00AD690E">
      <w:pPr>
        <w:jc w:val="both"/>
      </w:pPr>
      <w:r w:rsidRPr="00675326">
        <w:t xml:space="preserve">Yves </w:t>
      </w:r>
      <w:r>
        <w:t>BÉLANGER et Francine SÉNÉCAL, “</w:t>
      </w:r>
      <w:hyperlink w:anchor="ere_Liberaux_pt2_texte_10" w:history="1">
        <w:r w:rsidRPr="00F711C6">
          <w:rPr>
            <w:rStyle w:val="Lienhypertexte"/>
          </w:rPr>
          <w:t>La politique fédérale de main-d'œuvre</w:t>
        </w:r>
      </w:hyperlink>
      <w:r>
        <w:t>.” [241]</w:t>
      </w:r>
    </w:p>
    <w:p w:rsidR="00AD690E" w:rsidRDefault="00AD690E" w:rsidP="00AD690E">
      <w:pPr>
        <w:spacing w:before="120" w:after="120"/>
        <w:jc w:val="both"/>
      </w:pPr>
      <w:r>
        <w:t>Roch DENIS, “</w:t>
      </w:r>
      <w:hyperlink w:anchor="ere_Liberaux_pt2_texte_11" w:history="1">
        <w:r w:rsidRPr="00F711C6">
          <w:rPr>
            <w:rStyle w:val="Lienhypertexte"/>
            <w:i/>
          </w:rPr>
          <w:t>État fédéral et syndicalisme</w:t>
        </w:r>
      </w:hyperlink>
      <w:r>
        <w:t>.” [257]</w:t>
      </w:r>
    </w:p>
    <w:p w:rsidR="00AD690E" w:rsidRPr="00675326" w:rsidRDefault="00AD690E" w:rsidP="00AD690E">
      <w:pPr>
        <w:spacing w:after="120"/>
        <w:jc w:val="both"/>
      </w:pPr>
    </w:p>
    <w:p w:rsidR="00AD690E" w:rsidRDefault="00AD690E" w:rsidP="00AD690E">
      <w:pPr>
        <w:ind w:firstLine="0"/>
        <w:jc w:val="center"/>
      </w:pPr>
      <w:hyperlink w:anchor="ere_Liberaux_pt3" w:history="1">
        <w:r w:rsidRPr="00F711C6">
          <w:rPr>
            <w:rStyle w:val="Lienhypertexte"/>
            <w:b/>
          </w:rPr>
          <w:t>TROISIÈME PARTIE</w:t>
        </w:r>
      </w:hyperlink>
      <w:r w:rsidRPr="00F711C6">
        <w:rPr>
          <w:b/>
        </w:rPr>
        <w:t>.</w:t>
      </w:r>
      <w:r w:rsidRPr="00F711C6">
        <w:rPr>
          <w:b/>
        </w:rPr>
        <w:br/>
      </w:r>
      <w:r w:rsidRPr="00F711C6">
        <w:rPr>
          <w:b/>
          <w:color w:val="FF0000"/>
        </w:rPr>
        <w:t>QUESTIONS CULTURE</w:t>
      </w:r>
      <w:r w:rsidRPr="00F711C6">
        <w:rPr>
          <w:b/>
          <w:color w:val="FF0000"/>
        </w:rPr>
        <w:t>L</w:t>
      </w:r>
      <w:r w:rsidRPr="00F711C6">
        <w:rPr>
          <w:b/>
          <w:color w:val="FF0000"/>
        </w:rPr>
        <w:t>LES ET SOCIALES</w:t>
      </w:r>
      <w:r>
        <w:t xml:space="preserve"> [</w:t>
      </w:r>
      <w:r w:rsidRPr="00675326">
        <w:t>295</w:t>
      </w:r>
      <w:r>
        <w:t>]</w:t>
      </w:r>
    </w:p>
    <w:p w:rsidR="00AD690E" w:rsidRPr="00675326" w:rsidRDefault="00AD690E" w:rsidP="00AD690E">
      <w:pPr>
        <w:jc w:val="both"/>
      </w:pPr>
    </w:p>
    <w:p w:rsidR="00AD690E" w:rsidRPr="00675326" w:rsidRDefault="00AD690E" w:rsidP="00AD690E">
      <w:pPr>
        <w:spacing w:after="120"/>
        <w:jc w:val="both"/>
      </w:pPr>
      <w:r>
        <w:t>Michel PELLETIER, “</w:t>
      </w:r>
      <w:r w:rsidRPr="00F711C6">
        <w:rPr>
          <w:i/>
        </w:rPr>
        <w:fldChar w:fldCharType="begin"/>
      </w:r>
      <w:r w:rsidRPr="00F711C6">
        <w:rPr>
          <w:i/>
        </w:rPr>
        <w:instrText xml:space="preserve"> </w:instrText>
      </w:r>
      <w:r w:rsidR="0094470C">
        <w:rPr>
          <w:i/>
        </w:rPr>
        <w:instrText>HYPERLINK</w:instrText>
      </w:r>
      <w:r w:rsidRPr="00F711C6">
        <w:rPr>
          <w:i/>
        </w:rPr>
        <w:instrText xml:space="preserve">  \l "ere_Liberaux_pt3_texte_12" </w:instrText>
      </w:r>
      <w:r w:rsidRPr="00F711C6">
        <w:rPr>
          <w:i/>
        </w:rPr>
      </w:r>
      <w:r w:rsidRPr="00F711C6">
        <w:rPr>
          <w:i/>
        </w:rPr>
        <w:fldChar w:fldCharType="separate"/>
      </w:r>
      <w:r w:rsidRPr="00F711C6">
        <w:rPr>
          <w:rStyle w:val="Lienhypertexte"/>
          <w:i/>
        </w:rPr>
        <w:t>Dynamique étatique dans le champ social : des développements substantiels dans une certaine continuité</w:t>
      </w:r>
      <w:r w:rsidRPr="00F711C6">
        <w:rPr>
          <w:i/>
        </w:rPr>
        <w:fldChar w:fldCharType="end"/>
      </w:r>
      <w:r>
        <w:t>.” [297]</w:t>
      </w:r>
    </w:p>
    <w:p w:rsidR="00AD690E" w:rsidRPr="00675326" w:rsidRDefault="00AD690E" w:rsidP="00AD690E">
      <w:pPr>
        <w:spacing w:after="120"/>
        <w:jc w:val="both"/>
      </w:pPr>
      <w:r>
        <w:t>Micheline LABELLE, “</w:t>
      </w:r>
      <w:hyperlink w:anchor="ere_Liberaux_pt3_texte_13" w:history="1">
        <w:r w:rsidRPr="00F711C6">
          <w:rPr>
            <w:rStyle w:val="Lienhypertexte"/>
            <w:i/>
          </w:rPr>
          <w:t>La gestion fédérale de l'immigration inte</w:t>
        </w:r>
        <w:r w:rsidRPr="00F711C6">
          <w:rPr>
            <w:rStyle w:val="Lienhypertexte"/>
            <w:i/>
          </w:rPr>
          <w:t>r</w:t>
        </w:r>
        <w:r w:rsidRPr="00F711C6">
          <w:rPr>
            <w:rStyle w:val="Lienhypertexte"/>
            <w:i/>
          </w:rPr>
          <w:t>nationale au Canada</w:t>
        </w:r>
      </w:hyperlink>
      <w:r>
        <w:t>.” [313]</w:t>
      </w:r>
    </w:p>
    <w:p w:rsidR="00AD690E" w:rsidRPr="00675326" w:rsidRDefault="00AD690E" w:rsidP="00AD690E">
      <w:pPr>
        <w:spacing w:after="120"/>
        <w:jc w:val="both"/>
      </w:pPr>
      <w:r>
        <w:t>Caroline ANDREW, “</w:t>
      </w:r>
      <w:hyperlink w:anchor="ere_Liberaux_pt3_texte_14" w:history="1">
        <w:r w:rsidRPr="00F711C6">
          <w:rPr>
            <w:rStyle w:val="Lienhypertexte"/>
            <w:i/>
          </w:rPr>
          <w:t>La politique urbaine : ruptures et consta</w:t>
        </w:r>
        <w:r w:rsidRPr="00F711C6">
          <w:rPr>
            <w:rStyle w:val="Lienhypertexte"/>
            <w:i/>
          </w:rPr>
          <w:t>n</w:t>
        </w:r>
        <w:r w:rsidRPr="00F711C6">
          <w:rPr>
            <w:rStyle w:val="Lienhypertexte"/>
            <w:i/>
          </w:rPr>
          <w:t>tes</w:t>
        </w:r>
      </w:hyperlink>
      <w:r>
        <w:t>.” [343]</w:t>
      </w:r>
    </w:p>
    <w:p w:rsidR="00AD690E" w:rsidRPr="00675326" w:rsidRDefault="00AD690E" w:rsidP="00AD690E">
      <w:pPr>
        <w:spacing w:after="120"/>
        <w:jc w:val="both"/>
      </w:pPr>
      <w:r>
        <w:t>Carolle SIMARD, “</w:t>
      </w:r>
      <w:hyperlink w:anchor="ere_Liberaux_pt3_texte_15" w:history="1">
        <w:r w:rsidRPr="00F711C6">
          <w:rPr>
            <w:rStyle w:val="Lienhypertexte"/>
            <w:i/>
          </w:rPr>
          <w:t>Les femmes dans l'État</w:t>
        </w:r>
      </w:hyperlink>
      <w:r>
        <w:t>.” [357]</w:t>
      </w:r>
    </w:p>
    <w:p w:rsidR="00AD690E" w:rsidRPr="00675326" w:rsidRDefault="00AD690E" w:rsidP="00AD690E">
      <w:pPr>
        <w:spacing w:after="120"/>
        <w:jc w:val="both"/>
      </w:pPr>
      <w:r w:rsidRPr="00675326">
        <w:t>Bruno</w:t>
      </w:r>
      <w:r>
        <w:t xml:space="preserve"> RAMIREZ et Sylvie TASCHEREAU, “</w:t>
      </w:r>
      <w:hyperlink w:anchor="ere_Liberaux_pt3_texte_16" w:history="1">
        <w:r w:rsidRPr="00F711C6">
          <w:rPr>
            <w:rStyle w:val="Lienhypertexte"/>
            <w:i/>
          </w:rPr>
          <w:t>Les minorités : le multiculturalisme appliqué</w:t>
        </w:r>
      </w:hyperlink>
      <w:r>
        <w:t>.” [383]</w:t>
      </w:r>
    </w:p>
    <w:p w:rsidR="00AD690E" w:rsidRPr="00675326" w:rsidRDefault="00AD690E" w:rsidP="00AD690E">
      <w:pPr>
        <w:spacing w:after="120"/>
        <w:jc w:val="both"/>
      </w:pPr>
      <w:r w:rsidRPr="00675326">
        <w:t>Jean-Guy LACROIX et Benoît LÉVESQUE</w:t>
      </w:r>
      <w:r>
        <w:t>, “</w:t>
      </w:r>
      <w:hyperlink w:anchor="ere_Liberaux_pt3_texte_17" w:history="1">
        <w:r w:rsidRPr="00F711C6">
          <w:rPr>
            <w:rStyle w:val="Lienhypertexte"/>
            <w:i/>
          </w:rPr>
          <w:t>Les libéraux et la culture : de l'unité nationale à la marchandisation de la culture</w:t>
        </w:r>
      </w:hyperlink>
      <w:r>
        <w:t>.” [405]</w:t>
      </w:r>
    </w:p>
    <w:p w:rsidR="00AD690E" w:rsidRPr="00E07116" w:rsidRDefault="00AD690E" w:rsidP="00AD690E">
      <w:pPr>
        <w:ind w:left="540" w:hanging="540"/>
      </w:pPr>
    </w:p>
    <w:p w:rsidR="00AD690E" w:rsidRPr="00E07116" w:rsidRDefault="00AD690E" w:rsidP="00AD690E">
      <w:pPr>
        <w:pStyle w:val="p"/>
      </w:pPr>
      <w:r w:rsidRPr="00E07116">
        <w:br w:type="page"/>
      </w:r>
      <w:r w:rsidRPr="00E07116">
        <w:lastRenderedPageBreak/>
        <w:t>[</w:t>
      </w:r>
      <w:r>
        <w:t>7</w:t>
      </w:r>
      <w:r w:rsidRPr="00E07116">
        <w:t>]</w:t>
      </w:r>
    </w:p>
    <w:p w:rsidR="00AD690E" w:rsidRPr="00E07116" w:rsidRDefault="00AD690E">
      <w:pPr>
        <w:jc w:val="both"/>
      </w:pPr>
    </w:p>
    <w:p w:rsidR="00AD690E" w:rsidRPr="00E07116" w:rsidRDefault="00AD690E">
      <w:pPr>
        <w:jc w:val="both"/>
      </w:pPr>
    </w:p>
    <w:p w:rsidR="00AD690E" w:rsidRPr="00E07116" w:rsidRDefault="00AD690E">
      <w:pPr>
        <w:jc w:val="both"/>
      </w:pPr>
    </w:p>
    <w:p w:rsidR="00AD690E" w:rsidRPr="00A32BFB" w:rsidRDefault="00AD690E" w:rsidP="00AD690E">
      <w:pPr>
        <w:spacing w:after="120"/>
        <w:jc w:val="center"/>
        <w:rPr>
          <w:b/>
        </w:rPr>
      </w:pPr>
      <w:bookmarkStart w:id="3" w:name="ere_Liberaux_presentation"/>
      <w:r w:rsidRPr="00A32BFB">
        <w:rPr>
          <w:b/>
        </w:rPr>
        <w:t>L’ère des Libéraux.</w:t>
      </w:r>
      <w:r w:rsidRPr="00A32BFB">
        <w:rPr>
          <w:b/>
        </w:rPr>
        <w:br/>
        <w:t>Le pouvoir fédéral de 1963 à 1984.</w:t>
      </w:r>
    </w:p>
    <w:p w:rsidR="00AD690E" w:rsidRPr="00384B20" w:rsidRDefault="00AD690E" w:rsidP="00AD690E">
      <w:pPr>
        <w:pStyle w:val="planchest"/>
      </w:pPr>
      <w:r>
        <w:t>PRÉSENTATION</w:t>
      </w:r>
    </w:p>
    <w:bookmarkEnd w:id="3"/>
    <w:p w:rsidR="00AD690E" w:rsidRPr="00E07116" w:rsidRDefault="00AD690E">
      <w:pPr>
        <w:jc w:val="both"/>
      </w:pPr>
    </w:p>
    <w:p w:rsidR="00AD690E" w:rsidRPr="00E07116" w:rsidRDefault="00AD690E">
      <w:pPr>
        <w:jc w:val="both"/>
      </w:pPr>
    </w:p>
    <w:p w:rsidR="00AD690E" w:rsidRPr="00E07116" w:rsidRDefault="00AD690E">
      <w:pPr>
        <w:jc w:val="both"/>
      </w:pPr>
    </w:p>
    <w:p w:rsidR="00AD690E" w:rsidRPr="00E07116" w:rsidRDefault="00AD690E">
      <w:pPr>
        <w:jc w:val="both"/>
      </w:pPr>
    </w:p>
    <w:p w:rsidR="00AD690E" w:rsidRPr="00E07116" w:rsidRDefault="00AD690E">
      <w:pPr>
        <w:jc w:val="both"/>
      </w:pPr>
    </w:p>
    <w:p w:rsidR="00AD690E" w:rsidRPr="00E07116" w:rsidRDefault="00AD690E">
      <w:pPr>
        <w:jc w:val="both"/>
      </w:pPr>
    </w:p>
    <w:p w:rsidR="00AD690E" w:rsidRPr="00E07116" w:rsidRDefault="00AD690E">
      <w:pPr>
        <w:jc w:val="both"/>
      </w:pPr>
    </w:p>
    <w:p w:rsidR="00AD690E" w:rsidRPr="00384B20" w:rsidRDefault="00AD690E">
      <w:pPr>
        <w:ind w:right="90" w:firstLine="0"/>
        <w:jc w:val="both"/>
        <w:rPr>
          <w:sz w:val="20"/>
        </w:rPr>
      </w:pPr>
      <w:hyperlink w:anchor="tdm" w:history="1">
        <w:r w:rsidRPr="00384B20">
          <w:rPr>
            <w:rStyle w:val="Lienhypertexte"/>
            <w:sz w:val="20"/>
          </w:rPr>
          <w:t>Retour à la table des matières</w:t>
        </w:r>
      </w:hyperlink>
    </w:p>
    <w:p w:rsidR="00AD690E" w:rsidRPr="00675326" w:rsidRDefault="00AD690E" w:rsidP="00AD690E">
      <w:pPr>
        <w:spacing w:before="120" w:after="120"/>
        <w:jc w:val="both"/>
      </w:pPr>
      <w:r w:rsidRPr="00675326">
        <w:t>Durant 21 années, les libéraux fédéraux auront dominé la scène p</w:t>
      </w:r>
      <w:r w:rsidRPr="00675326">
        <w:t>o</w:t>
      </w:r>
      <w:r w:rsidRPr="00675326">
        <w:t>litique canadienne. Cette performance à elle seule constitue un év</w:t>
      </w:r>
      <w:r w:rsidRPr="00675326">
        <w:t>é</w:t>
      </w:r>
      <w:r w:rsidRPr="00675326">
        <w:t>nement historique auquel il convenait d'accorder toute l'attention n</w:t>
      </w:r>
      <w:r w:rsidRPr="00675326">
        <w:t>é</w:t>
      </w:r>
      <w:r w:rsidRPr="00675326">
        <w:t>cessaire.</w:t>
      </w:r>
    </w:p>
    <w:p w:rsidR="00AD690E" w:rsidRPr="00675326" w:rsidRDefault="00AD690E" w:rsidP="00AD690E">
      <w:pPr>
        <w:spacing w:before="120" w:after="120"/>
        <w:jc w:val="both"/>
      </w:pPr>
      <w:r w:rsidRPr="00675326">
        <w:t>Déjà, les analyses, les études et les travaux consacrés à ces deux décennies s'accumulent sans que l'on soit encore en mesure de rendre compte de la richesse de cette péri</w:t>
      </w:r>
      <w:r w:rsidRPr="00675326">
        <w:t>o</w:t>
      </w:r>
      <w:r w:rsidRPr="00675326">
        <w:t>de, une tâche qui pourrait s'avérer vaine avant longtemps étant donné la multiplication des approches et des points de vue. Ce recueil tire donc sa raison d'être d'un besoin de synthèse.</w:t>
      </w:r>
    </w:p>
    <w:p w:rsidR="00AD690E" w:rsidRPr="00675326" w:rsidRDefault="00AD690E" w:rsidP="00AD690E">
      <w:pPr>
        <w:spacing w:before="120" w:after="120"/>
        <w:jc w:val="both"/>
      </w:pPr>
      <w:r w:rsidRPr="00675326">
        <w:t>Précisons que nous nous sommes attaqués à cet ouvrage avec l'i</w:t>
      </w:r>
      <w:r w:rsidRPr="00675326">
        <w:t>n</w:t>
      </w:r>
      <w:r w:rsidRPr="00675326">
        <w:t>tention de nous interroger sur la cohérence de la gestion étatique a</w:t>
      </w:r>
      <w:r w:rsidRPr="00675326">
        <w:t>s</w:t>
      </w:r>
      <w:r w:rsidRPr="00675326">
        <w:t>sumée par les libéraux. Nous avons repéré, bien entendu, plusieurs éléments de cont</w:t>
      </w:r>
      <w:r w:rsidRPr="00675326">
        <w:t>i</w:t>
      </w:r>
      <w:r w:rsidRPr="00675326">
        <w:t>nuité entre les gouvernements Pearson et Trudeau. Mais nous avons également découvert d'importantes ruptures. Ainsi les réponses apportées par l'État canadien aux pre</w:t>
      </w:r>
      <w:r w:rsidRPr="00675326">
        <w:t>s</w:t>
      </w:r>
      <w:r w:rsidRPr="00675326">
        <w:t>sions favorables à l'intégration de l'économie continentale mettent-elles en relief des d</w:t>
      </w:r>
      <w:r w:rsidRPr="00675326">
        <w:t>i</w:t>
      </w:r>
      <w:r w:rsidRPr="00675326">
        <w:t>vergences d'orientations, dont l'importance est soulignée dans pl</w:t>
      </w:r>
      <w:r w:rsidRPr="00675326">
        <w:t>u</w:t>
      </w:r>
      <w:r w:rsidRPr="00675326">
        <w:t>sieurs textes du présent recueil. Plus concrètement, l'approche intégr</w:t>
      </w:r>
      <w:r w:rsidRPr="00675326">
        <w:t>a</w:t>
      </w:r>
      <w:r w:rsidRPr="00675326">
        <w:t>tionniste sélective et prudente, dont un des fruits les plus spectacula</w:t>
      </w:r>
      <w:r w:rsidRPr="00675326">
        <w:t>i</w:t>
      </w:r>
      <w:r w:rsidRPr="00675326">
        <w:t xml:space="preserve">res fut sans doute le </w:t>
      </w:r>
      <w:r w:rsidRPr="00675326">
        <w:rPr>
          <w:i/>
          <w:iCs/>
        </w:rPr>
        <w:t xml:space="preserve">Pacte de l'automobile </w:t>
      </w:r>
      <w:r w:rsidRPr="00675326">
        <w:t xml:space="preserve">a, suite à l'accession au pouvoir de Pierre Trudeau, cédé la place à une ligne de conduite dont </w:t>
      </w:r>
      <w:r w:rsidRPr="00675326">
        <w:lastRenderedPageBreak/>
        <w:t xml:space="preserve">la substance sera puisée dans la tradition nationaliste et protectionniste canadienne, à laquelle on peut rattacher le </w:t>
      </w:r>
      <w:r w:rsidRPr="00675326">
        <w:rPr>
          <w:i/>
          <w:iCs/>
        </w:rPr>
        <w:t xml:space="preserve">Rapport Gray </w:t>
      </w:r>
      <w:r w:rsidRPr="00675326">
        <w:t>et le Pr</w:t>
      </w:r>
      <w:r w:rsidRPr="00675326">
        <w:t>o</w:t>
      </w:r>
      <w:r w:rsidRPr="00675326">
        <w:t>gramme éne</w:t>
      </w:r>
      <w:r w:rsidRPr="00675326">
        <w:t>r</w:t>
      </w:r>
      <w:r w:rsidRPr="00675326">
        <w:t>gétique national, entre autres.</w:t>
      </w:r>
    </w:p>
    <w:p w:rsidR="00AD690E" w:rsidRPr="00675326" w:rsidRDefault="00AD690E" w:rsidP="00AD690E">
      <w:pPr>
        <w:spacing w:before="120" w:after="120"/>
        <w:jc w:val="both"/>
      </w:pPr>
      <w:r w:rsidRPr="00675326">
        <w:t>Rétrospectivement, le choix en faveur du nationalisme économique étonne un peu. À petits pas, le Canada pr</w:t>
      </w:r>
      <w:r w:rsidRPr="00675326">
        <w:t>o</w:t>
      </w:r>
      <w:r w:rsidRPr="00675326">
        <w:t>gressait, en effet, depuis la fin de la guerre, en direction d'une association plus étroite avec les États-Unis, co</w:t>
      </w:r>
      <w:r w:rsidRPr="00675326">
        <w:t>m</w:t>
      </w:r>
      <w:r w:rsidRPr="00675326">
        <w:t>mandée notamment par l'effritement de ses relations avec la Grande-Bretagne, l'exiguïté de son marché national et la vital</w:t>
      </w:r>
      <w:r w:rsidRPr="00675326">
        <w:t>i</w:t>
      </w:r>
      <w:r w:rsidRPr="00675326">
        <w:t>té exceptionnelle de l'économie américaine. Puis, soudainement, la démarche s'est interrompue. Plusieurs ont, dans le passé, imputé au protectionnisme américain la responsabilité de l'émergence d'un point de vue plus nationaliste à Ottawa. Il est vrai que la</w:t>
      </w:r>
      <w:r>
        <w:t xml:space="preserve"> [</w:t>
      </w:r>
      <w:r w:rsidRPr="00675326">
        <w:rPr>
          <w:szCs w:val="18"/>
        </w:rPr>
        <w:t>8</w:t>
      </w:r>
      <w:r>
        <w:rPr>
          <w:szCs w:val="18"/>
        </w:rPr>
        <w:t xml:space="preserve">] </w:t>
      </w:r>
      <w:r w:rsidRPr="00675326">
        <w:rPr>
          <w:szCs w:val="22"/>
        </w:rPr>
        <w:t>démarche am</w:t>
      </w:r>
      <w:r w:rsidRPr="00675326">
        <w:rPr>
          <w:szCs w:val="22"/>
        </w:rPr>
        <w:t>é</w:t>
      </w:r>
      <w:r w:rsidRPr="00675326">
        <w:rPr>
          <w:szCs w:val="22"/>
        </w:rPr>
        <w:t xml:space="preserve">ricaine a forcé le </w:t>
      </w:r>
      <w:r>
        <w:rPr>
          <w:szCs w:val="22"/>
        </w:rPr>
        <w:t>Canada à imaginer un plan de so</w:t>
      </w:r>
      <w:r w:rsidRPr="00675326">
        <w:rPr>
          <w:szCs w:val="22"/>
        </w:rPr>
        <w:t>utien de son écon</w:t>
      </w:r>
      <w:r w:rsidRPr="00675326">
        <w:rPr>
          <w:szCs w:val="22"/>
        </w:rPr>
        <w:t>o</w:t>
      </w:r>
      <w:r w:rsidRPr="00675326">
        <w:rPr>
          <w:szCs w:val="22"/>
        </w:rPr>
        <w:t>mie articulé de façon plus centrale aux forces nati</w:t>
      </w:r>
      <w:r w:rsidRPr="00675326">
        <w:rPr>
          <w:szCs w:val="22"/>
        </w:rPr>
        <w:t>o</w:t>
      </w:r>
      <w:r w:rsidRPr="00675326">
        <w:rPr>
          <w:szCs w:val="22"/>
        </w:rPr>
        <w:t>nales. La lecture des textes qui suivent permet cependant de constater que cela n'expl</w:t>
      </w:r>
      <w:r w:rsidRPr="00675326">
        <w:rPr>
          <w:szCs w:val="22"/>
        </w:rPr>
        <w:t>i</w:t>
      </w:r>
      <w:r w:rsidRPr="00675326">
        <w:rPr>
          <w:szCs w:val="22"/>
        </w:rPr>
        <w:t>que pas tout. La trajectoire économique du gouvern</w:t>
      </w:r>
      <w:r w:rsidRPr="00675326">
        <w:rPr>
          <w:szCs w:val="22"/>
        </w:rPr>
        <w:t>e</w:t>
      </w:r>
      <w:r w:rsidRPr="00675326">
        <w:rPr>
          <w:szCs w:val="22"/>
        </w:rPr>
        <w:t>ment fédéral a été également influencée par le projet constitutionnel des libéraux, ce qui nous amène à identifier un second point de rupt</w:t>
      </w:r>
      <w:r w:rsidRPr="00675326">
        <w:rPr>
          <w:szCs w:val="22"/>
        </w:rPr>
        <w:t>u</w:t>
      </w:r>
      <w:r w:rsidRPr="00675326">
        <w:rPr>
          <w:szCs w:val="22"/>
        </w:rPr>
        <w:t>re.</w:t>
      </w:r>
    </w:p>
    <w:p w:rsidR="00AD690E" w:rsidRPr="00675326" w:rsidRDefault="00AD690E" w:rsidP="00AD690E">
      <w:pPr>
        <w:spacing w:before="120" w:after="120"/>
        <w:jc w:val="both"/>
      </w:pPr>
      <w:r w:rsidRPr="00675326">
        <w:rPr>
          <w:szCs w:val="22"/>
        </w:rPr>
        <w:t>Refusant tout compromis avec les provinces, le go</w:t>
      </w:r>
      <w:r w:rsidRPr="00675326">
        <w:rPr>
          <w:szCs w:val="22"/>
        </w:rPr>
        <w:t>u</w:t>
      </w:r>
      <w:r w:rsidRPr="00675326">
        <w:rPr>
          <w:szCs w:val="22"/>
        </w:rPr>
        <w:t>vernement Trudeau a tourné le dos à l'orientation plus conciliatrice de son préd</w:t>
      </w:r>
      <w:r w:rsidRPr="00675326">
        <w:rPr>
          <w:szCs w:val="22"/>
        </w:rPr>
        <w:t>é</w:t>
      </w:r>
      <w:r w:rsidRPr="00675326">
        <w:rPr>
          <w:szCs w:val="22"/>
        </w:rPr>
        <w:t>ce</w:t>
      </w:r>
      <w:r w:rsidRPr="00675326">
        <w:rPr>
          <w:szCs w:val="22"/>
        </w:rPr>
        <w:t>s</w:t>
      </w:r>
      <w:r w:rsidRPr="00675326">
        <w:rPr>
          <w:szCs w:val="22"/>
        </w:rPr>
        <w:t>seur, pour lui préférer une politique intransigeante, entièrement vouée à la prom</w:t>
      </w:r>
      <w:r w:rsidRPr="00675326">
        <w:rPr>
          <w:szCs w:val="22"/>
        </w:rPr>
        <w:t>o</w:t>
      </w:r>
      <w:r w:rsidRPr="00675326">
        <w:rPr>
          <w:szCs w:val="22"/>
        </w:rPr>
        <w:t xml:space="preserve">tion d'un </w:t>
      </w:r>
      <w:r>
        <w:rPr>
          <w:szCs w:val="22"/>
        </w:rPr>
        <w:t>État</w:t>
      </w:r>
      <w:r w:rsidRPr="00675326">
        <w:rPr>
          <w:szCs w:val="22"/>
        </w:rPr>
        <w:t xml:space="preserve"> fédéral fort. On connaît la suite de l'histoire. Après des négociations longues et peu fructueuses, Ottawa a opté pour une stratégie qui aura finalement eu le m</w:t>
      </w:r>
      <w:r w:rsidRPr="00675326">
        <w:rPr>
          <w:szCs w:val="22"/>
        </w:rPr>
        <w:t>é</w:t>
      </w:r>
      <w:r w:rsidRPr="00675326">
        <w:rPr>
          <w:szCs w:val="22"/>
        </w:rPr>
        <w:t>rite de dénouer l'impasse au plus grand détriment des intérêts du gouvernement qu</w:t>
      </w:r>
      <w:r w:rsidRPr="00675326">
        <w:rPr>
          <w:szCs w:val="22"/>
        </w:rPr>
        <w:t>é</w:t>
      </w:r>
      <w:r w:rsidRPr="00675326">
        <w:rPr>
          <w:szCs w:val="22"/>
        </w:rPr>
        <w:t>bécois. L'épisode un peu scabreux du rapatriement de la Constitution est prob</w:t>
      </w:r>
      <w:r w:rsidRPr="00675326">
        <w:rPr>
          <w:szCs w:val="22"/>
        </w:rPr>
        <w:t>a</w:t>
      </w:r>
      <w:r w:rsidRPr="00675326">
        <w:rPr>
          <w:szCs w:val="22"/>
        </w:rPr>
        <w:t>blement à cet égard le plus éloquent. Il permet de mettre en lumière l'intensité de l'anti-nationalisme québécois du gouvernement fédéral, dont les formes et les modalités ont sans doute été soumises aux aléas de la conjoncture, mais dont le fond trahit incontestablement la pe</w:t>
      </w:r>
      <w:r w:rsidRPr="00675326">
        <w:rPr>
          <w:szCs w:val="22"/>
        </w:rPr>
        <w:t>n</w:t>
      </w:r>
      <w:r w:rsidRPr="00675326">
        <w:rPr>
          <w:szCs w:val="22"/>
        </w:rPr>
        <w:t>sée de Pierre Trudeau.</w:t>
      </w:r>
    </w:p>
    <w:p w:rsidR="00AD690E" w:rsidRPr="00675326" w:rsidRDefault="00AD690E" w:rsidP="00AD690E">
      <w:pPr>
        <w:spacing w:before="120" w:after="120"/>
        <w:jc w:val="both"/>
      </w:pPr>
      <w:r w:rsidRPr="00675326">
        <w:rPr>
          <w:szCs w:val="22"/>
        </w:rPr>
        <w:t>Peu d'hommes politiques canadiens ont marqué avec autant de pr</w:t>
      </w:r>
      <w:r w:rsidRPr="00675326">
        <w:rPr>
          <w:szCs w:val="22"/>
        </w:rPr>
        <w:t>o</w:t>
      </w:r>
      <w:r w:rsidRPr="00675326">
        <w:rPr>
          <w:szCs w:val="22"/>
        </w:rPr>
        <w:t>fondeur que Pierre Trudeau la philosophie gouvernementale fédérale. Pour Trudeau, l'objectif était de bloquer la voie au nationalisme qu</w:t>
      </w:r>
      <w:r w:rsidRPr="00675326">
        <w:rPr>
          <w:szCs w:val="22"/>
        </w:rPr>
        <w:t>é</w:t>
      </w:r>
      <w:r w:rsidRPr="00675326">
        <w:rPr>
          <w:szCs w:val="22"/>
        </w:rPr>
        <w:t>bécois. Pour y parvenir, il s'est consacré pendant presque toute la d</w:t>
      </w:r>
      <w:r w:rsidRPr="00675326">
        <w:rPr>
          <w:szCs w:val="22"/>
        </w:rPr>
        <w:t>u</w:t>
      </w:r>
      <w:r w:rsidRPr="00675326">
        <w:rPr>
          <w:szCs w:val="22"/>
        </w:rPr>
        <w:t>rée de son règne à bâtir une alternative fédérale crédible, allant de la promotion articulée d'un nationalisme canadien à une conception mu</w:t>
      </w:r>
      <w:r w:rsidRPr="00675326">
        <w:rPr>
          <w:szCs w:val="22"/>
        </w:rPr>
        <w:t>l</w:t>
      </w:r>
      <w:r w:rsidRPr="00675326">
        <w:rPr>
          <w:szCs w:val="22"/>
        </w:rPr>
        <w:t xml:space="preserve">ti-ethnique et bilingue du Canada. L'effort économique et politique de </w:t>
      </w:r>
      <w:r w:rsidRPr="00675326">
        <w:rPr>
          <w:szCs w:val="22"/>
        </w:rPr>
        <w:lastRenderedPageBreak/>
        <w:t>l'État a été canalisé dans cette direction. Des centaines de millions de dollars ont été attribués à la défense du bilinguisme et à la promotion de la culture canadienne. Le nationalisme can</w:t>
      </w:r>
      <w:r w:rsidRPr="00675326">
        <w:rPr>
          <w:szCs w:val="22"/>
        </w:rPr>
        <w:t>a</w:t>
      </w:r>
      <w:r w:rsidRPr="00675326">
        <w:rPr>
          <w:szCs w:val="22"/>
        </w:rPr>
        <w:t>dien conçu et mis en application par le gouvernement Trudeau sera d'ailleurs avant toute chose un nationalisme d</w:t>
      </w:r>
      <w:r>
        <w:rPr>
          <w:szCs w:val="22"/>
        </w:rPr>
        <w:t>’</w:t>
      </w:r>
      <w:r w:rsidRPr="00675326">
        <w:rPr>
          <w:szCs w:val="22"/>
        </w:rPr>
        <w:t>État. Bien que ce nationalisme ait laissé des marques indélébiles sur de nombreux dossiers, il apparaît, avec le r</w:t>
      </w:r>
      <w:r w:rsidRPr="00675326">
        <w:rPr>
          <w:szCs w:val="22"/>
        </w:rPr>
        <w:t>e</w:t>
      </w:r>
      <w:r w:rsidRPr="00675326">
        <w:rPr>
          <w:szCs w:val="22"/>
        </w:rPr>
        <w:t>cul du temps, que le projet a éprouvé de nombreuses difficultés suite au départ de son artisan principal. Pierre Trudeau a néanmoins été un facteur politique qui a mené, dans plusieurs dossiers, à la remise en question des orie</w:t>
      </w:r>
      <w:r w:rsidRPr="00675326">
        <w:rPr>
          <w:szCs w:val="22"/>
        </w:rPr>
        <w:t>n</w:t>
      </w:r>
      <w:r w:rsidRPr="00675326">
        <w:rPr>
          <w:szCs w:val="22"/>
        </w:rPr>
        <w:t>tations traditionnelles.</w:t>
      </w:r>
    </w:p>
    <w:p w:rsidR="00AD690E" w:rsidRPr="00675326" w:rsidRDefault="00AD690E" w:rsidP="00AD690E">
      <w:pPr>
        <w:spacing w:before="120" w:after="120"/>
        <w:jc w:val="both"/>
      </w:pPr>
      <w:r w:rsidRPr="00675326">
        <w:rPr>
          <w:szCs w:val="22"/>
        </w:rPr>
        <w:t>Le contexte des années 1980 a donné lieu à un rajustement polit</w:t>
      </w:r>
      <w:r w:rsidRPr="00675326">
        <w:rPr>
          <w:szCs w:val="22"/>
        </w:rPr>
        <w:t>i</w:t>
      </w:r>
      <w:r w:rsidRPr="00675326">
        <w:rPr>
          <w:szCs w:val="22"/>
        </w:rPr>
        <w:t>que qui a remis le continentalisme à l'ordre du jour. L'heure est mai</w:t>
      </w:r>
      <w:r w:rsidRPr="00675326">
        <w:rPr>
          <w:szCs w:val="22"/>
        </w:rPr>
        <w:t>n</w:t>
      </w:r>
      <w:r w:rsidRPr="00675326">
        <w:rPr>
          <w:szCs w:val="22"/>
        </w:rPr>
        <w:t>tenant au libre-échange. L'exacerbation des régionalismes, imputable en bonne partie à la politique des libéraux fédéraux, a pour sa part d</w:t>
      </w:r>
      <w:r w:rsidRPr="00675326">
        <w:rPr>
          <w:szCs w:val="22"/>
        </w:rPr>
        <w:t>é</w:t>
      </w:r>
      <w:r w:rsidRPr="00675326">
        <w:rPr>
          <w:szCs w:val="22"/>
        </w:rPr>
        <w:t>bouché sur la négociation d'un nouveau compromis entre le gouve</w:t>
      </w:r>
      <w:r w:rsidRPr="00675326">
        <w:rPr>
          <w:szCs w:val="22"/>
        </w:rPr>
        <w:t>r</w:t>
      </w:r>
      <w:r w:rsidRPr="00675326">
        <w:rPr>
          <w:szCs w:val="22"/>
        </w:rPr>
        <w:t>nement fédéral et les provinces dont la pièce ma</w:t>
      </w:r>
      <w:r w:rsidRPr="00675326">
        <w:rPr>
          <w:szCs w:val="22"/>
        </w:rPr>
        <w:t>î</w:t>
      </w:r>
      <w:r w:rsidRPr="00675326">
        <w:rPr>
          <w:szCs w:val="22"/>
        </w:rPr>
        <w:t xml:space="preserve">tresse est </w:t>
      </w:r>
      <w:r w:rsidRPr="00F80ACA">
        <w:rPr>
          <w:iCs/>
          <w:szCs w:val="22"/>
        </w:rPr>
        <w:t>l</w:t>
      </w:r>
      <w:r w:rsidRPr="00675326">
        <w:rPr>
          <w:i/>
          <w:iCs/>
          <w:szCs w:val="22"/>
        </w:rPr>
        <w:t xml:space="preserve">'Accord du lac Meech. </w:t>
      </w:r>
      <w:r w:rsidRPr="00675326">
        <w:rPr>
          <w:szCs w:val="22"/>
        </w:rPr>
        <w:t>Un accord auquel Trudeau s'est opposé à cause de son c</w:t>
      </w:r>
      <w:r w:rsidRPr="00675326">
        <w:rPr>
          <w:szCs w:val="22"/>
        </w:rPr>
        <w:t>a</w:t>
      </w:r>
      <w:r w:rsidRPr="00675326">
        <w:rPr>
          <w:szCs w:val="22"/>
        </w:rPr>
        <w:t>ractère décentralis</w:t>
      </w:r>
      <w:r w:rsidRPr="00675326">
        <w:rPr>
          <w:szCs w:val="22"/>
        </w:rPr>
        <w:t>a</w:t>
      </w:r>
      <w:r w:rsidRPr="00675326">
        <w:rPr>
          <w:szCs w:val="22"/>
        </w:rPr>
        <w:t>teur, mais un accord qui a permis de reléguer à l'histoire les déchirements qui ont ponctué les négociations constit</w:t>
      </w:r>
      <w:r w:rsidRPr="00675326">
        <w:rPr>
          <w:szCs w:val="22"/>
        </w:rPr>
        <w:t>u</w:t>
      </w:r>
      <w:r w:rsidRPr="00675326">
        <w:rPr>
          <w:szCs w:val="22"/>
        </w:rPr>
        <w:t>tionnelles au cours des trois dernières décennies.</w:t>
      </w:r>
    </w:p>
    <w:p w:rsidR="00AD690E" w:rsidRPr="00675326" w:rsidRDefault="00AD690E" w:rsidP="00AD690E">
      <w:pPr>
        <w:spacing w:before="120" w:after="120"/>
        <w:jc w:val="both"/>
      </w:pPr>
      <w:r w:rsidRPr="00675326">
        <w:rPr>
          <w:szCs w:val="22"/>
        </w:rPr>
        <w:t>On serait ainsi tenté de conclure que le prix qu'aura f</w:t>
      </w:r>
      <w:r w:rsidRPr="00675326">
        <w:rPr>
          <w:szCs w:val="22"/>
        </w:rPr>
        <w:t>i</w:t>
      </w:r>
      <w:r w:rsidRPr="00675326">
        <w:rPr>
          <w:szCs w:val="22"/>
        </w:rPr>
        <w:t>nalement eu à payer le gouvernement fédéral pour mettre fin à la crise constitutio</w:t>
      </w:r>
      <w:r w:rsidRPr="00675326">
        <w:rPr>
          <w:szCs w:val="22"/>
        </w:rPr>
        <w:t>n</w:t>
      </w:r>
      <w:r w:rsidRPr="00675326">
        <w:rPr>
          <w:szCs w:val="22"/>
        </w:rPr>
        <w:t>nelle et écarter la</w:t>
      </w:r>
      <w:r>
        <w:rPr>
          <w:szCs w:val="22"/>
        </w:rPr>
        <w:t xml:space="preserve"> </w:t>
      </w:r>
      <w:r>
        <w:t xml:space="preserve">[9] </w:t>
      </w:r>
      <w:r w:rsidRPr="00675326">
        <w:rPr>
          <w:szCs w:val="22"/>
        </w:rPr>
        <w:t>menace sécessionniste québécoise aura été celui de r</w:t>
      </w:r>
      <w:r w:rsidRPr="00675326">
        <w:rPr>
          <w:szCs w:val="22"/>
        </w:rPr>
        <w:t>e</w:t>
      </w:r>
      <w:r w:rsidRPr="00675326">
        <w:rPr>
          <w:szCs w:val="22"/>
        </w:rPr>
        <w:t>noncer à une certaine vision de la centralisation au sein de l'État. Finalement, la vi</w:t>
      </w:r>
      <w:r w:rsidRPr="00675326">
        <w:rPr>
          <w:szCs w:val="22"/>
        </w:rPr>
        <w:t>c</w:t>
      </w:r>
      <w:r w:rsidRPr="00675326">
        <w:rPr>
          <w:szCs w:val="22"/>
        </w:rPr>
        <w:t>toire n'aura pas été totale pour Pierre Trudeau.</w:t>
      </w:r>
    </w:p>
    <w:p w:rsidR="00AD690E" w:rsidRPr="00675326" w:rsidRDefault="00AD690E" w:rsidP="00AD690E">
      <w:pPr>
        <w:spacing w:before="120" w:after="120"/>
        <w:jc w:val="both"/>
      </w:pPr>
      <w:r w:rsidRPr="00675326">
        <w:rPr>
          <w:szCs w:val="22"/>
        </w:rPr>
        <w:t>À la lumière de la trajectoire que nous venons de d</w:t>
      </w:r>
      <w:r w:rsidRPr="00675326">
        <w:rPr>
          <w:szCs w:val="22"/>
        </w:rPr>
        <w:t>é</w:t>
      </w:r>
      <w:r w:rsidRPr="00675326">
        <w:rPr>
          <w:szCs w:val="22"/>
        </w:rPr>
        <w:t>crire, il nous apparaît difficile de prêcher en faveur d'une vision intégrée du pouvoir libéral fédéral au cours de la période étudiée. Cette trajectoire n'a pas été linéaire ; elle a été soumise à plusieurs changements d'orientation qui ont mené périodiquement à d'importantes remises en question des options fondamentales du gouvernement. Tous les collaborateurs de ce livre ont préféré une lecture de la période qui met conséquemment en évidence les points de rupture de cette démarche.</w:t>
      </w:r>
    </w:p>
    <w:p w:rsidR="00AD690E" w:rsidRPr="00675326" w:rsidRDefault="00AD690E" w:rsidP="00AD690E">
      <w:pPr>
        <w:spacing w:before="120" w:after="120"/>
        <w:jc w:val="both"/>
      </w:pPr>
      <w:r w:rsidRPr="00675326">
        <w:rPr>
          <w:szCs w:val="22"/>
        </w:rPr>
        <w:t>Le bilan des 21 ans du pouvoir libéral fédéral à Ottawa est néa</w:t>
      </w:r>
      <w:r w:rsidRPr="00675326">
        <w:rPr>
          <w:szCs w:val="22"/>
        </w:rPr>
        <w:t>n</w:t>
      </w:r>
      <w:r w:rsidRPr="00675326">
        <w:rPr>
          <w:szCs w:val="22"/>
        </w:rPr>
        <w:t>moins impressionnant. En six législations, plus de 1</w:t>
      </w:r>
      <w:r>
        <w:rPr>
          <w:szCs w:val="22"/>
        </w:rPr>
        <w:t> </w:t>
      </w:r>
      <w:r w:rsidRPr="00675326">
        <w:rPr>
          <w:szCs w:val="22"/>
        </w:rPr>
        <w:t>000 lois aurons été adoptées, 130 sociétés d</w:t>
      </w:r>
      <w:r>
        <w:rPr>
          <w:szCs w:val="22"/>
        </w:rPr>
        <w:t>’</w:t>
      </w:r>
      <w:r w:rsidRPr="00675326">
        <w:rPr>
          <w:szCs w:val="22"/>
        </w:rPr>
        <w:t>État créées, 36</w:t>
      </w:r>
      <w:r>
        <w:rPr>
          <w:szCs w:val="22"/>
        </w:rPr>
        <w:t> </w:t>
      </w:r>
      <w:r w:rsidRPr="00675326">
        <w:rPr>
          <w:szCs w:val="22"/>
        </w:rPr>
        <w:t>000 nouveaux fonctio</w:t>
      </w:r>
      <w:r w:rsidRPr="00675326">
        <w:rPr>
          <w:szCs w:val="22"/>
        </w:rPr>
        <w:t>n</w:t>
      </w:r>
      <w:r w:rsidRPr="00675326">
        <w:rPr>
          <w:szCs w:val="22"/>
        </w:rPr>
        <w:t xml:space="preserve">naires embauchés. Les structures sociales et économiques du pays ont </w:t>
      </w:r>
      <w:r w:rsidRPr="00675326">
        <w:rPr>
          <w:szCs w:val="22"/>
        </w:rPr>
        <w:lastRenderedPageBreak/>
        <w:t>été totalement bouleversées. La mise en place du régime d'ass</w:t>
      </w:r>
      <w:r w:rsidRPr="00675326">
        <w:rPr>
          <w:szCs w:val="22"/>
        </w:rPr>
        <w:t>u</w:t>
      </w:r>
      <w:r w:rsidRPr="00675326">
        <w:rPr>
          <w:szCs w:val="22"/>
        </w:rPr>
        <w:t>rance sociale, par exemple, a transformé les conditions d'existence de mi</w:t>
      </w:r>
      <w:r w:rsidRPr="00675326">
        <w:rPr>
          <w:szCs w:val="22"/>
        </w:rPr>
        <w:t>l</w:t>
      </w:r>
      <w:r w:rsidRPr="00675326">
        <w:rPr>
          <w:szCs w:val="22"/>
        </w:rPr>
        <w:t>lions d'individus. Il en va de même de l'influence de la politique éc</w:t>
      </w:r>
      <w:r w:rsidRPr="00675326">
        <w:rPr>
          <w:szCs w:val="22"/>
        </w:rPr>
        <w:t>o</w:t>
      </w:r>
      <w:r w:rsidRPr="00675326">
        <w:rPr>
          <w:szCs w:val="22"/>
        </w:rPr>
        <w:t>nomique sur les entreprises. En fait, les libéraux ont forgé le creuset dans lequel s'est formée la nouvelle bourgeoisie canadienne. C'est à l'inst</w:t>
      </w:r>
      <w:r w:rsidRPr="00675326">
        <w:rPr>
          <w:szCs w:val="22"/>
        </w:rPr>
        <w:t>i</w:t>
      </w:r>
      <w:r w:rsidRPr="00675326">
        <w:rPr>
          <w:szCs w:val="22"/>
        </w:rPr>
        <w:t>gation du gouvernement fédéral que se sont constitués la plupart des mégapoles sur lesquels repose présentement la stratégie comme</w:t>
      </w:r>
      <w:r w:rsidRPr="00675326">
        <w:rPr>
          <w:szCs w:val="22"/>
        </w:rPr>
        <w:t>r</w:t>
      </w:r>
      <w:r w:rsidRPr="00675326">
        <w:rPr>
          <w:szCs w:val="22"/>
        </w:rPr>
        <w:t>ciale canadienne. Parallèlement, les milieux syndicaux ont dû faire face à l'effritement de leur influence sociale. Après avoir connu un sommet historique de 31</w:t>
      </w:r>
      <w:r>
        <w:rPr>
          <w:szCs w:val="22"/>
        </w:rPr>
        <w:t>%</w:t>
      </w:r>
      <w:r w:rsidRPr="00675326">
        <w:rPr>
          <w:szCs w:val="22"/>
        </w:rPr>
        <w:t xml:space="preserve"> en 1978, le taux de syndicalisation a décl</w:t>
      </w:r>
      <w:r w:rsidRPr="00675326">
        <w:rPr>
          <w:szCs w:val="22"/>
        </w:rPr>
        <w:t>i</w:t>
      </w:r>
      <w:r w:rsidRPr="00675326">
        <w:rPr>
          <w:szCs w:val="22"/>
        </w:rPr>
        <w:t>né à 26</w:t>
      </w:r>
      <w:r>
        <w:rPr>
          <w:szCs w:val="22"/>
        </w:rPr>
        <w:t>%</w:t>
      </w:r>
      <w:r w:rsidRPr="00675326">
        <w:rPr>
          <w:szCs w:val="22"/>
        </w:rPr>
        <w:t xml:space="preserve"> en 1984. Pendant ce temps, le taux de chômage grimpait de 5</w:t>
      </w:r>
      <w:r>
        <w:rPr>
          <w:szCs w:val="22"/>
        </w:rPr>
        <w:t>%</w:t>
      </w:r>
      <w:r w:rsidRPr="00675326">
        <w:rPr>
          <w:szCs w:val="22"/>
        </w:rPr>
        <w:t xml:space="preserve"> à 11</w:t>
      </w:r>
      <w:r>
        <w:rPr>
          <w:szCs w:val="22"/>
        </w:rPr>
        <w:t>%</w:t>
      </w:r>
      <w:r w:rsidRPr="00675326">
        <w:rPr>
          <w:szCs w:val="22"/>
        </w:rPr>
        <w:t xml:space="preserve"> et le déficit budgétaire connaissait une escalade sans préc</w:t>
      </w:r>
      <w:r w:rsidRPr="00675326">
        <w:rPr>
          <w:szCs w:val="22"/>
        </w:rPr>
        <w:t>é</w:t>
      </w:r>
      <w:r w:rsidRPr="00675326">
        <w:rPr>
          <w:szCs w:val="22"/>
        </w:rPr>
        <w:t>dent. Il faut préciser que les libéraux ont dû affronter entre 1975 et 1984 une décennie entière de déboires économiques. Pendant les pr</w:t>
      </w:r>
      <w:r w:rsidRPr="00675326">
        <w:rPr>
          <w:szCs w:val="22"/>
        </w:rPr>
        <w:t>e</w:t>
      </w:r>
      <w:r w:rsidRPr="00675326">
        <w:rPr>
          <w:szCs w:val="22"/>
        </w:rPr>
        <w:t>mières onze années de pouvoir, le PNB a connu une croissance moyenne réelle de 5,2</w:t>
      </w:r>
      <w:r>
        <w:rPr>
          <w:szCs w:val="22"/>
        </w:rPr>
        <w:t>%</w:t>
      </w:r>
      <w:r w:rsidRPr="00675326">
        <w:rPr>
          <w:szCs w:val="22"/>
        </w:rPr>
        <w:t>, mais a chuté de moitié au cours de la déce</w:t>
      </w:r>
      <w:r w:rsidRPr="00675326">
        <w:rPr>
          <w:szCs w:val="22"/>
        </w:rPr>
        <w:t>n</w:t>
      </w:r>
      <w:r w:rsidRPr="00675326">
        <w:rPr>
          <w:szCs w:val="22"/>
        </w:rPr>
        <w:t>nie ultérieure. C'est donc également sur la toile de fond d'une écon</w:t>
      </w:r>
      <w:r w:rsidRPr="00675326">
        <w:rPr>
          <w:szCs w:val="22"/>
        </w:rPr>
        <w:t>o</w:t>
      </w:r>
      <w:r w:rsidRPr="00675326">
        <w:rPr>
          <w:szCs w:val="22"/>
        </w:rPr>
        <w:t>mie chancelante que se sont posés la plupart des enjeux dont nous avons préc</w:t>
      </w:r>
      <w:r w:rsidRPr="00675326">
        <w:rPr>
          <w:szCs w:val="22"/>
        </w:rPr>
        <w:t>é</w:t>
      </w:r>
      <w:r w:rsidRPr="00675326">
        <w:rPr>
          <w:szCs w:val="22"/>
        </w:rPr>
        <w:t>demment fait état.</w:t>
      </w:r>
    </w:p>
    <w:p w:rsidR="00AD690E" w:rsidRPr="00675326" w:rsidRDefault="00AD690E" w:rsidP="00AD690E">
      <w:pPr>
        <w:spacing w:before="120" w:after="120"/>
        <w:jc w:val="both"/>
      </w:pPr>
      <w:r w:rsidRPr="00675326">
        <w:rPr>
          <w:szCs w:val="22"/>
        </w:rPr>
        <w:t>Le destin du gouvernement libéral fédéral a donc été scellé dans un environnement complexe dont le lecteur sera à même d'accumuler les indices. Entre l'émiettement actuel et les synthèses à venir, les vingt-trois collabor</w:t>
      </w:r>
      <w:r w:rsidRPr="00675326">
        <w:rPr>
          <w:szCs w:val="22"/>
        </w:rPr>
        <w:t>a</w:t>
      </w:r>
      <w:r w:rsidRPr="00675326">
        <w:rPr>
          <w:szCs w:val="22"/>
        </w:rPr>
        <w:t>teurs au présent ouvrage ont accepté de soumettre dix-sept dossiers dans leur domaine d'expertise afin de procéder à un pr</w:t>
      </w:r>
      <w:r w:rsidRPr="00675326">
        <w:rPr>
          <w:szCs w:val="22"/>
        </w:rPr>
        <w:t>e</w:t>
      </w:r>
      <w:r w:rsidRPr="00675326">
        <w:rPr>
          <w:szCs w:val="22"/>
        </w:rPr>
        <w:t>mier rassemblement de nos connaissances de ces années de go</w:t>
      </w:r>
      <w:r w:rsidRPr="00675326">
        <w:rPr>
          <w:szCs w:val="22"/>
        </w:rPr>
        <w:t>u</w:t>
      </w:r>
      <w:r w:rsidRPr="00675326">
        <w:rPr>
          <w:szCs w:val="22"/>
        </w:rPr>
        <w:t>verne. À leur tour, ces dossiers ont été regroupés en trois grands blocs. La première partie est consacrée aux questions politiques et l'on y traite succe</w:t>
      </w:r>
      <w:r w:rsidRPr="00675326">
        <w:rPr>
          <w:szCs w:val="22"/>
        </w:rPr>
        <w:t>s</w:t>
      </w:r>
      <w:r w:rsidRPr="00675326">
        <w:rPr>
          <w:szCs w:val="22"/>
        </w:rPr>
        <w:t>sivement de la conjoncture politique, de la politique étrangère, de la défense, de la réforme constitutionnelle, de la Charte et de la centralisation au sein de l'exécutif ; la seconde partie couvre l'écon</w:t>
      </w:r>
      <w:r w:rsidRPr="00675326">
        <w:rPr>
          <w:szCs w:val="22"/>
        </w:rPr>
        <w:t>o</w:t>
      </w:r>
      <w:r w:rsidRPr="00675326">
        <w:rPr>
          <w:szCs w:val="22"/>
        </w:rPr>
        <w:t>mie politique, les polit</w:t>
      </w:r>
      <w:r w:rsidRPr="00675326">
        <w:rPr>
          <w:szCs w:val="22"/>
        </w:rPr>
        <w:t>i</w:t>
      </w:r>
      <w:r w:rsidRPr="00675326">
        <w:rPr>
          <w:szCs w:val="22"/>
        </w:rPr>
        <w:t>ques régionales, la politique énergétique, la politique de main-d'oeuvre et la syndicalisation ; la troisième rasse</w:t>
      </w:r>
      <w:r w:rsidRPr="00675326">
        <w:rPr>
          <w:szCs w:val="22"/>
        </w:rPr>
        <w:t>m</w:t>
      </w:r>
      <w:r w:rsidRPr="00675326">
        <w:rPr>
          <w:szCs w:val="22"/>
        </w:rPr>
        <w:t>ble les travaux consacrés aux questions sociales et instit</w:t>
      </w:r>
      <w:r w:rsidRPr="00675326">
        <w:rPr>
          <w:szCs w:val="22"/>
        </w:rPr>
        <w:t>u</w:t>
      </w:r>
      <w:r w:rsidRPr="00675326">
        <w:rPr>
          <w:szCs w:val="22"/>
        </w:rPr>
        <w:t>tionnelles avec des textes portant sur la politique sociale, la</w:t>
      </w:r>
      <w:r>
        <w:rPr>
          <w:szCs w:val="22"/>
        </w:rPr>
        <w:t xml:space="preserve"> </w:t>
      </w:r>
      <w:r>
        <w:t>[</w:t>
      </w:r>
      <w:r w:rsidRPr="00675326">
        <w:rPr>
          <w:szCs w:val="22"/>
        </w:rPr>
        <w:t>10</w:t>
      </w:r>
      <w:r>
        <w:rPr>
          <w:szCs w:val="22"/>
        </w:rPr>
        <w:t xml:space="preserve">] </w:t>
      </w:r>
      <w:r w:rsidRPr="00675326">
        <w:rPr>
          <w:szCs w:val="22"/>
        </w:rPr>
        <w:t>politique cult</w:t>
      </w:r>
      <w:r w:rsidRPr="00675326">
        <w:rPr>
          <w:szCs w:val="22"/>
        </w:rPr>
        <w:t>u</w:t>
      </w:r>
      <w:r w:rsidRPr="00675326">
        <w:rPr>
          <w:szCs w:val="22"/>
        </w:rPr>
        <w:t>relle, la politique urbaine, les femmes, l'immigration, et, enfin, les m</w:t>
      </w:r>
      <w:r w:rsidRPr="00675326">
        <w:rPr>
          <w:szCs w:val="22"/>
        </w:rPr>
        <w:t>i</w:t>
      </w:r>
      <w:r w:rsidRPr="00675326">
        <w:rPr>
          <w:szCs w:val="22"/>
        </w:rPr>
        <w:t>norités.</w:t>
      </w:r>
    </w:p>
    <w:p w:rsidR="00AD690E" w:rsidRPr="00675326" w:rsidRDefault="00AD690E" w:rsidP="00AD690E">
      <w:pPr>
        <w:spacing w:before="120" w:after="120"/>
        <w:jc w:val="both"/>
      </w:pPr>
      <w:r w:rsidRPr="00675326">
        <w:rPr>
          <w:szCs w:val="22"/>
        </w:rPr>
        <w:lastRenderedPageBreak/>
        <w:t>Nous n'avons pas la prétention d'avoir couvert l'ensemble de l'act</w:t>
      </w:r>
      <w:r w:rsidRPr="00675326">
        <w:rPr>
          <w:szCs w:val="22"/>
        </w:rPr>
        <w:t>i</w:t>
      </w:r>
      <w:r w:rsidRPr="00675326">
        <w:rPr>
          <w:szCs w:val="22"/>
        </w:rPr>
        <w:t>vité des sept gouvernements qui se sont succédé à Ottawa entre 1963 et 1984.</w:t>
      </w:r>
    </w:p>
    <w:p w:rsidR="00AD690E" w:rsidRPr="00675326" w:rsidRDefault="00AD690E" w:rsidP="00AD690E">
      <w:pPr>
        <w:spacing w:before="120" w:after="120"/>
        <w:jc w:val="both"/>
      </w:pPr>
      <w:r w:rsidRPr="00675326">
        <w:rPr>
          <w:szCs w:val="22"/>
        </w:rPr>
        <w:t>Cependant, l'originalité du projet tient peut-être au fait que tous les collaborateurs ont été priés de constituer leur dossier à partir de gra</w:t>
      </w:r>
      <w:r w:rsidRPr="00675326">
        <w:rPr>
          <w:szCs w:val="22"/>
        </w:rPr>
        <w:t>n</w:t>
      </w:r>
      <w:r w:rsidRPr="00675326">
        <w:rPr>
          <w:szCs w:val="22"/>
        </w:rPr>
        <w:t>des lignes directrices qui ont été suivies et respectées. Aussi, au-delà de la diversité des thèmes abordés, le traitement s'appuie dans chaque cas sur la documentation la plus pertinente et la plus significative. Il ressort ainsi de l'ensemble une étonnante homologie d'un article à l'a</w:t>
      </w:r>
      <w:r w:rsidRPr="00675326">
        <w:rPr>
          <w:szCs w:val="22"/>
        </w:rPr>
        <w:t>u</w:t>
      </w:r>
      <w:r w:rsidRPr="00675326">
        <w:rPr>
          <w:szCs w:val="22"/>
        </w:rPr>
        <w:t>tre et une indéniable continuité dans la poursuite et le développement de ce que nous pourrions appeler une « logique de syst</w:t>
      </w:r>
      <w:r w:rsidRPr="00675326">
        <w:rPr>
          <w:szCs w:val="22"/>
        </w:rPr>
        <w:t>è</w:t>
      </w:r>
      <w:r w:rsidRPr="00675326">
        <w:rPr>
          <w:szCs w:val="22"/>
        </w:rPr>
        <w:t>me ».</w:t>
      </w:r>
    </w:p>
    <w:p w:rsidR="00AD690E" w:rsidRDefault="00AD690E" w:rsidP="00AD690E">
      <w:pPr>
        <w:spacing w:before="120" w:after="120"/>
        <w:jc w:val="both"/>
        <w:rPr>
          <w:szCs w:val="22"/>
        </w:rPr>
      </w:pPr>
      <w:r w:rsidRPr="00675326">
        <w:rPr>
          <w:szCs w:val="22"/>
        </w:rPr>
        <w:t>En particulier, il apparaît de plus en plus clairement à quel point les deux premier ministres qui ont présidé aux destinées du pays — si l'on excepte le court intermède conservateur de 1979 où Joe Clark a assumé cette responsabilité — ont cherché à accroître la marge de manœuvre du Canada dans un monde en constante évolution. Nous sommes conscients des limites du présent ouvrage et, surtout, des ri</w:t>
      </w:r>
      <w:r w:rsidRPr="00675326">
        <w:rPr>
          <w:szCs w:val="22"/>
        </w:rPr>
        <w:t>s</w:t>
      </w:r>
      <w:r w:rsidRPr="00675326">
        <w:rPr>
          <w:szCs w:val="22"/>
        </w:rPr>
        <w:t>ques auxquels nous nous exposions en nous attaquant à des dossiers sur lesquels la poussière n'est pas entièrement retombée. Nous esp</w:t>
      </w:r>
      <w:r w:rsidRPr="00675326">
        <w:rPr>
          <w:szCs w:val="22"/>
        </w:rPr>
        <w:t>é</w:t>
      </w:r>
      <w:r w:rsidRPr="00675326">
        <w:rPr>
          <w:szCs w:val="22"/>
        </w:rPr>
        <w:t>rons toutefois que ce premier effort de synthèse réalisé par des Qu</w:t>
      </w:r>
      <w:r w:rsidRPr="00675326">
        <w:rPr>
          <w:szCs w:val="22"/>
        </w:rPr>
        <w:t>é</w:t>
      </w:r>
      <w:r w:rsidRPr="00675326">
        <w:rPr>
          <w:szCs w:val="22"/>
        </w:rPr>
        <w:t>bécois pourra donner suite à un débat fertile.</w:t>
      </w:r>
    </w:p>
    <w:p w:rsidR="00AD690E" w:rsidRDefault="00AD690E" w:rsidP="00AD690E">
      <w:pPr>
        <w:spacing w:before="120" w:after="120"/>
        <w:jc w:val="both"/>
        <w:rPr>
          <w:szCs w:val="22"/>
        </w:rPr>
      </w:pPr>
    </w:p>
    <w:p w:rsidR="00AD690E" w:rsidRPr="00675326" w:rsidRDefault="00AD690E" w:rsidP="00AD690E">
      <w:pPr>
        <w:spacing w:before="120" w:after="120"/>
        <w:jc w:val="right"/>
      </w:pPr>
      <w:r>
        <w:rPr>
          <w:szCs w:val="22"/>
        </w:rPr>
        <w:t>Yves Bélanger et Dorval Brunelle</w:t>
      </w:r>
    </w:p>
    <w:p w:rsidR="00AD690E" w:rsidRPr="00E07116" w:rsidRDefault="00AD690E" w:rsidP="00AD690E">
      <w:pPr>
        <w:pStyle w:val="Normal0"/>
      </w:pPr>
    </w:p>
    <w:p w:rsidR="00AD690E" w:rsidRPr="00E07116" w:rsidRDefault="00AD690E" w:rsidP="00AD690E">
      <w:pPr>
        <w:pStyle w:val="p"/>
      </w:pPr>
      <w:r w:rsidRPr="00E07116">
        <w:br w:type="page"/>
      </w:r>
      <w:r w:rsidRPr="00E07116">
        <w:lastRenderedPageBreak/>
        <w:t>[</w:t>
      </w:r>
      <w:r>
        <w:t>11</w:t>
      </w:r>
      <w:r w:rsidRPr="00E07116">
        <w:t>]</w:t>
      </w:r>
    </w:p>
    <w:p w:rsidR="00AD690E" w:rsidRPr="00E07116" w:rsidRDefault="00AD690E" w:rsidP="00AD690E">
      <w:pPr>
        <w:jc w:val="both"/>
      </w:pPr>
    </w:p>
    <w:p w:rsidR="00AD690E" w:rsidRPr="00E07116" w:rsidRDefault="00AD690E" w:rsidP="00AD690E"/>
    <w:p w:rsidR="00AD690E" w:rsidRPr="00E07116" w:rsidRDefault="00AD690E" w:rsidP="00AD690E">
      <w:pPr>
        <w:jc w:val="both"/>
      </w:pPr>
    </w:p>
    <w:p w:rsidR="00AD690E" w:rsidRPr="00E07116" w:rsidRDefault="00AD690E" w:rsidP="00AD690E">
      <w:pPr>
        <w:jc w:val="both"/>
      </w:pPr>
    </w:p>
    <w:p w:rsidR="00AD690E" w:rsidRPr="00A32BFB" w:rsidRDefault="00AD690E" w:rsidP="00AD690E">
      <w:pPr>
        <w:spacing w:after="120"/>
        <w:jc w:val="center"/>
        <w:rPr>
          <w:b/>
        </w:rPr>
      </w:pPr>
      <w:bookmarkStart w:id="4" w:name="ere_Liberaux_pt1"/>
      <w:r w:rsidRPr="00A32BFB">
        <w:rPr>
          <w:b/>
        </w:rPr>
        <w:t>L’ère des Libéraux.</w:t>
      </w:r>
      <w:r w:rsidRPr="00A32BFB">
        <w:rPr>
          <w:b/>
        </w:rPr>
        <w:br/>
        <w:t>Le pouvoir fédéral de 1963 à 1984.</w:t>
      </w:r>
    </w:p>
    <w:p w:rsidR="00AD690E" w:rsidRPr="00E07116" w:rsidRDefault="00AD690E" w:rsidP="00AD690E">
      <w:pPr>
        <w:jc w:val="both"/>
      </w:pPr>
    </w:p>
    <w:p w:rsidR="00AD690E" w:rsidRPr="00384B20" w:rsidRDefault="00AD690E" w:rsidP="00AD690E">
      <w:pPr>
        <w:pStyle w:val="partie"/>
        <w:jc w:val="center"/>
        <w:rPr>
          <w:sz w:val="72"/>
        </w:rPr>
      </w:pPr>
      <w:r w:rsidRPr="00384B20">
        <w:rPr>
          <w:sz w:val="72"/>
        </w:rPr>
        <w:t>Première partie</w:t>
      </w:r>
    </w:p>
    <w:p w:rsidR="00AD690E" w:rsidRPr="00E07116" w:rsidRDefault="00AD690E" w:rsidP="00AD690E">
      <w:pPr>
        <w:jc w:val="both"/>
      </w:pPr>
    </w:p>
    <w:p w:rsidR="00AD690E" w:rsidRPr="00384B20" w:rsidRDefault="00AD690E" w:rsidP="00AD690E">
      <w:pPr>
        <w:pStyle w:val="Titreniveau2"/>
      </w:pPr>
      <w:r>
        <w:t>QUESTIONS POLITIQUES</w:t>
      </w:r>
    </w:p>
    <w:bookmarkEnd w:id="4"/>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E07116" w:rsidRDefault="00AD690E" w:rsidP="00AD690E">
      <w:pPr>
        <w:jc w:val="both"/>
      </w:pPr>
    </w:p>
    <w:p w:rsidR="00AD690E" w:rsidRDefault="00AD690E" w:rsidP="00AD690E">
      <w:pPr>
        <w:pStyle w:val="p"/>
      </w:pPr>
    </w:p>
    <w:p w:rsidR="00AD690E" w:rsidRDefault="00AD690E" w:rsidP="00AD690E">
      <w:pPr>
        <w:pStyle w:val="p"/>
      </w:pPr>
      <w:r>
        <w:t>[12]</w:t>
      </w:r>
    </w:p>
    <w:p w:rsidR="00AD690E" w:rsidRPr="00E07116" w:rsidRDefault="00AD690E" w:rsidP="00AD690E">
      <w:pPr>
        <w:pStyle w:val="p"/>
      </w:pPr>
      <w:r w:rsidRPr="00E07116">
        <w:br w:type="page"/>
      </w:r>
      <w:r w:rsidRPr="00E07116">
        <w:lastRenderedPageBreak/>
        <w:t>[</w:t>
      </w:r>
      <w:r>
        <w:t>13</w:t>
      </w:r>
      <w:r w:rsidRPr="00E07116">
        <w:t>]</w:t>
      </w:r>
    </w:p>
    <w:p w:rsidR="00AD690E" w:rsidRDefault="00AD690E">
      <w:pPr>
        <w:jc w:val="both"/>
      </w:pPr>
    </w:p>
    <w:p w:rsidR="00AD690E" w:rsidRPr="00E07116" w:rsidRDefault="00AD690E">
      <w:pPr>
        <w:jc w:val="both"/>
      </w:pPr>
    </w:p>
    <w:p w:rsidR="00AD690E" w:rsidRPr="00E07116" w:rsidRDefault="00AD690E">
      <w:pPr>
        <w:jc w:val="both"/>
      </w:pPr>
    </w:p>
    <w:p w:rsidR="00AD690E" w:rsidRPr="003634E0" w:rsidRDefault="00AD690E" w:rsidP="00AD690E">
      <w:pPr>
        <w:ind w:firstLine="0"/>
        <w:jc w:val="center"/>
        <w:rPr>
          <w:b/>
          <w:color w:val="000080"/>
          <w:sz w:val="24"/>
        </w:rPr>
      </w:pPr>
      <w:bookmarkStart w:id="5" w:name="ere_Liberaux_pt1_texte_01"/>
      <w:r w:rsidRPr="003634E0">
        <w:rPr>
          <w:b/>
          <w:color w:val="000080"/>
          <w:sz w:val="24"/>
        </w:rPr>
        <w:t>PREMIÈRE PARTIE</w:t>
      </w:r>
      <w:r w:rsidRPr="003634E0">
        <w:rPr>
          <w:b/>
          <w:color w:val="000080"/>
          <w:sz w:val="24"/>
        </w:rPr>
        <w:br/>
        <w:t>QUESTIONS POLITIQUES</w:t>
      </w:r>
    </w:p>
    <w:p w:rsidR="00AD690E" w:rsidRPr="00E07116" w:rsidRDefault="00AD690E" w:rsidP="00AD690E">
      <w:pPr>
        <w:jc w:val="both"/>
        <w:rPr>
          <w:szCs w:val="36"/>
        </w:rPr>
      </w:pPr>
    </w:p>
    <w:p w:rsidR="00AD690E" w:rsidRPr="00E07116" w:rsidRDefault="00AD690E" w:rsidP="00AD690E">
      <w:pPr>
        <w:pStyle w:val="planchest"/>
      </w:pPr>
      <w:r>
        <w:t>“Vingt ans de pouvoir libéral à Ottawa :</w:t>
      </w:r>
      <w:r>
        <w:br/>
        <w:t>la conjoncture politique.”</w:t>
      </w:r>
    </w:p>
    <w:bookmarkEnd w:id="5"/>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André BERNARD</w:t>
      </w:r>
    </w:p>
    <w:p w:rsidR="00AD690E" w:rsidRPr="00957619" w:rsidRDefault="00AD690E" w:rsidP="00AD690E">
      <w:pPr>
        <w:spacing w:before="120"/>
        <w:ind w:firstLine="0"/>
        <w:jc w:val="center"/>
        <w:rPr>
          <w:sz w:val="24"/>
        </w:rPr>
      </w:pPr>
      <w:r w:rsidRPr="00957619">
        <w:rPr>
          <w:sz w:val="24"/>
          <w:szCs w:val="22"/>
        </w:rPr>
        <w:t>Département de science politique</w:t>
      </w:r>
      <w:r w:rsidRPr="00957619">
        <w:rPr>
          <w:sz w:val="24"/>
          <w:szCs w:val="22"/>
        </w:rPr>
        <w:br/>
        <w:t>Un</w:t>
      </w:r>
      <w:r w:rsidRPr="00957619">
        <w:rPr>
          <w:sz w:val="24"/>
          <w:szCs w:val="22"/>
        </w:rPr>
        <w:t>i</w:t>
      </w:r>
      <w:r w:rsidRPr="00957619">
        <w:rPr>
          <w:sz w:val="24"/>
          <w:szCs w:val="22"/>
        </w:rPr>
        <w:t>versité du Québec à Montréal</w:t>
      </w:r>
    </w:p>
    <w:p w:rsidR="00AD690E" w:rsidRPr="00E07116" w:rsidRDefault="00AD690E">
      <w:pPr>
        <w:jc w:val="both"/>
      </w:pPr>
    </w:p>
    <w:p w:rsidR="00AD690E" w:rsidRDefault="00AD690E">
      <w:pPr>
        <w:jc w:val="both"/>
      </w:pPr>
    </w:p>
    <w:p w:rsidR="00AD690E" w:rsidRPr="00E07116" w:rsidRDefault="00AD690E">
      <w:pPr>
        <w:jc w:val="both"/>
      </w:pPr>
    </w:p>
    <w:p w:rsidR="00AD690E" w:rsidRPr="00384B20" w:rsidRDefault="00AD690E">
      <w:pPr>
        <w:ind w:right="90" w:firstLine="0"/>
        <w:jc w:val="both"/>
        <w:rPr>
          <w:sz w:val="20"/>
        </w:rPr>
      </w:pPr>
      <w:hyperlink w:anchor="tdm" w:history="1">
        <w:r w:rsidRPr="00384B20">
          <w:rPr>
            <w:rStyle w:val="Lienhypertexte"/>
            <w:sz w:val="20"/>
          </w:rPr>
          <w:t>Retour à la table des matières</w:t>
        </w:r>
      </w:hyperlink>
    </w:p>
    <w:p w:rsidR="00AD690E" w:rsidRPr="00121BC6" w:rsidRDefault="00AD690E" w:rsidP="00AD690E">
      <w:pPr>
        <w:spacing w:before="120" w:after="120"/>
        <w:jc w:val="both"/>
        <w:rPr>
          <w:szCs w:val="22"/>
        </w:rPr>
      </w:pPr>
      <w:r w:rsidRPr="00675326">
        <w:rPr>
          <w:szCs w:val="22"/>
        </w:rPr>
        <w:t>On ne peut expliquer la domination du Parti libéral à la Chambre des communes du Canada, de 1963 à 1984, sans se référer aux années antérieures, d'une part, et sans se référer au comportement électoral des Québécois, d'a</w:t>
      </w:r>
      <w:r w:rsidRPr="00675326">
        <w:rPr>
          <w:szCs w:val="22"/>
        </w:rPr>
        <w:t>u</w:t>
      </w:r>
      <w:r w:rsidRPr="00675326">
        <w:rPr>
          <w:szCs w:val="22"/>
        </w:rPr>
        <w:t>tre part.</w:t>
      </w:r>
    </w:p>
    <w:p w:rsidR="00AD690E" w:rsidRPr="00675326" w:rsidRDefault="00AD690E" w:rsidP="00AD690E">
      <w:pPr>
        <w:spacing w:before="120" w:after="120"/>
        <w:jc w:val="both"/>
      </w:pPr>
      <w:r w:rsidRPr="00675326">
        <w:rPr>
          <w:szCs w:val="22"/>
        </w:rPr>
        <w:t>On ne peut, par ailleurs, comprendre les priorités du gouvernement libéral au pouvoir à Ottawa durant ces années si on ne tient pas com</w:t>
      </w:r>
      <w:r w:rsidRPr="00675326">
        <w:rPr>
          <w:szCs w:val="22"/>
        </w:rPr>
        <w:t>p</w:t>
      </w:r>
      <w:r w:rsidRPr="00675326">
        <w:rPr>
          <w:szCs w:val="22"/>
        </w:rPr>
        <w:t>te des revendications des électeurs francophones du Canada.</w:t>
      </w:r>
    </w:p>
    <w:p w:rsidR="00AD690E" w:rsidRPr="00675326" w:rsidRDefault="00AD690E" w:rsidP="00AD690E">
      <w:pPr>
        <w:spacing w:before="120" w:after="120"/>
        <w:jc w:val="both"/>
      </w:pPr>
      <w:r w:rsidRPr="00675326">
        <w:rPr>
          <w:szCs w:val="22"/>
        </w:rPr>
        <w:t>Certes, de nombreux facteurs ont influencé les décisions des éle</w:t>
      </w:r>
      <w:r w:rsidRPr="00675326">
        <w:rPr>
          <w:szCs w:val="22"/>
        </w:rPr>
        <w:t>c</w:t>
      </w:r>
      <w:r w:rsidRPr="00675326">
        <w:rPr>
          <w:szCs w:val="22"/>
        </w:rPr>
        <w:t>teurs canadiens et celles des membres du gouvernement fédéral au cours de la période, et il ne faut pas sous-estimer l'importance de ce</w:t>
      </w:r>
      <w:r w:rsidRPr="00675326">
        <w:rPr>
          <w:szCs w:val="22"/>
        </w:rPr>
        <w:t>r</w:t>
      </w:r>
      <w:r w:rsidRPr="00675326">
        <w:rPr>
          <w:szCs w:val="22"/>
        </w:rPr>
        <w:t>tains d'entre eux, cependant, aucun de ces facteurs n'a eu un poids au</w:t>
      </w:r>
      <w:r w:rsidRPr="00675326">
        <w:rPr>
          <w:szCs w:val="22"/>
        </w:rPr>
        <w:t>s</w:t>
      </w:r>
      <w:r w:rsidRPr="00675326">
        <w:rPr>
          <w:szCs w:val="22"/>
        </w:rPr>
        <w:t>si considérable que le facteur « Québec ». Là question du Québec a marqué la période au cours de laquelle le Parti libéral a exercé le po</w:t>
      </w:r>
      <w:r w:rsidRPr="00675326">
        <w:rPr>
          <w:szCs w:val="22"/>
        </w:rPr>
        <w:t>u</w:t>
      </w:r>
      <w:r w:rsidRPr="00675326">
        <w:rPr>
          <w:szCs w:val="22"/>
        </w:rPr>
        <w:t>voir à Ottawa, d'abord sous la direction de Lester B. Pearson, puis sous celle de Pierre E</w:t>
      </w:r>
      <w:r w:rsidRPr="00675326">
        <w:rPr>
          <w:szCs w:val="22"/>
        </w:rPr>
        <w:t>l</w:t>
      </w:r>
      <w:r w:rsidRPr="00675326">
        <w:rPr>
          <w:szCs w:val="22"/>
        </w:rPr>
        <w:t>liott Trudeau.</w:t>
      </w:r>
    </w:p>
    <w:p w:rsidR="00AD690E" w:rsidRDefault="00AD690E" w:rsidP="00AD690E">
      <w:pPr>
        <w:spacing w:before="120" w:after="120"/>
        <w:jc w:val="both"/>
        <w:rPr>
          <w:szCs w:val="22"/>
        </w:rPr>
      </w:pPr>
      <w:r>
        <w:rPr>
          <w:szCs w:val="22"/>
        </w:rPr>
        <w:br w:type="page"/>
      </w:r>
    </w:p>
    <w:p w:rsidR="00AD690E" w:rsidRPr="00675326" w:rsidRDefault="00AD690E" w:rsidP="00AD690E">
      <w:pPr>
        <w:pStyle w:val="planche"/>
      </w:pPr>
      <w:r>
        <w:t>LE RETOUR DES LIBÉ</w:t>
      </w:r>
      <w:r w:rsidRPr="00675326">
        <w:t>RAUX AU POUVOIR</w:t>
      </w:r>
      <w:r>
        <w:br/>
        <w:t>À</w:t>
      </w:r>
      <w:r w:rsidRPr="00675326">
        <w:t xml:space="preserve"> OTTAWA EN 1963</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En reprenant le pouvoir à Ottawa en 1963, les libéraux renouaient en effet avec une longue tradition de liens pr</w:t>
      </w:r>
      <w:r w:rsidRPr="00675326">
        <w:rPr>
          <w:szCs w:val="22"/>
        </w:rPr>
        <w:t>i</w:t>
      </w:r>
      <w:r w:rsidRPr="00675326">
        <w:rPr>
          <w:szCs w:val="22"/>
        </w:rPr>
        <w:t>vilégiés avec l'électorat québécois, tradition très proviso</w:t>
      </w:r>
      <w:r w:rsidRPr="00675326">
        <w:rPr>
          <w:szCs w:val="22"/>
        </w:rPr>
        <w:t>i</w:t>
      </w:r>
      <w:r w:rsidRPr="00675326">
        <w:rPr>
          <w:szCs w:val="22"/>
        </w:rPr>
        <w:t>rement délaissée lors des élections générales de 1958.</w:t>
      </w:r>
    </w:p>
    <w:p w:rsidR="00AD690E" w:rsidRPr="00675326" w:rsidRDefault="00AD690E" w:rsidP="00AD690E">
      <w:pPr>
        <w:spacing w:before="120" w:after="120"/>
        <w:jc w:val="both"/>
      </w:pPr>
      <w:r w:rsidRPr="00675326">
        <w:rPr>
          <w:szCs w:val="22"/>
        </w:rPr>
        <w:t>Avec plus de 26</w:t>
      </w:r>
      <w:r>
        <w:rPr>
          <w:szCs w:val="22"/>
        </w:rPr>
        <w:t>%</w:t>
      </w:r>
      <w:r w:rsidRPr="00675326">
        <w:rPr>
          <w:szCs w:val="22"/>
        </w:rPr>
        <w:t xml:space="preserve"> des sièges (28</w:t>
      </w:r>
      <w:r>
        <w:rPr>
          <w:szCs w:val="22"/>
        </w:rPr>
        <w:t>%</w:t>
      </w:r>
      <w:r w:rsidRPr="00675326">
        <w:rPr>
          <w:szCs w:val="22"/>
        </w:rPr>
        <w:t xml:space="preserve"> de 1953 à 1974 inclusivement) à la Chambre des communes du Canada, l'électorat québécois, en se rangeant surtout du côté des candidats libéraux, a généralement donné au Parti libéral un avantage décisif (voir tableau 1).</w:t>
      </w:r>
    </w:p>
    <w:p w:rsidR="00AD690E" w:rsidRPr="00675326" w:rsidRDefault="00AD690E" w:rsidP="00AD690E">
      <w:pPr>
        <w:pStyle w:val="p"/>
      </w:pPr>
      <w:r w:rsidRPr="00675326">
        <w:br w:type="page"/>
      </w:r>
      <w:r>
        <w:lastRenderedPageBreak/>
        <w:t>[</w:t>
      </w:r>
      <w:r w:rsidRPr="00675326">
        <w:rPr>
          <w:szCs w:val="18"/>
        </w:rPr>
        <w:t>14</w:t>
      </w:r>
      <w:r>
        <w:rPr>
          <w:szCs w:val="18"/>
        </w:rPr>
        <w:t>]</w:t>
      </w:r>
    </w:p>
    <w:p w:rsidR="00AD690E" w:rsidRPr="00DE6CAB" w:rsidRDefault="00AD690E" w:rsidP="00AD690E">
      <w:pPr>
        <w:spacing w:before="120" w:after="120"/>
        <w:jc w:val="center"/>
        <w:rPr>
          <w:sz w:val="24"/>
        </w:rPr>
      </w:pPr>
      <w:r w:rsidRPr="00675326">
        <w:rPr>
          <w:szCs w:val="22"/>
        </w:rPr>
        <w:t>Tableau 1</w:t>
      </w:r>
      <w:r>
        <w:rPr>
          <w:szCs w:val="22"/>
        </w:rPr>
        <w:br/>
      </w:r>
      <w:r w:rsidRPr="00DE6CAB">
        <w:rPr>
          <w:sz w:val="24"/>
          <w:szCs w:val="22"/>
        </w:rPr>
        <w:t>Nombre de sièges et pourcentages des voix exprimées obtenus par chacun des deux principaux partis, aux élections générales à la Chambre des communes du Canada, 1896-1984, pour l'ensemble du Canada, pour le Québec et l'Ontario</w:t>
      </w:r>
    </w:p>
    <w:tbl>
      <w:tblPr>
        <w:tblW w:w="9733" w:type="dxa"/>
        <w:tblInd w:w="-1418" w:type="dxa"/>
        <w:tblLayout w:type="fixed"/>
        <w:tblCellMar>
          <w:left w:w="40" w:type="dxa"/>
          <w:right w:w="40" w:type="dxa"/>
        </w:tblCellMar>
        <w:tblLook w:val="0000" w:firstRow="0" w:lastRow="0" w:firstColumn="0" w:lastColumn="0" w:noHBand="0" w:noVBand="0"/>
      </w:tblPr>
      <w:tblGrid>
        <w:gridCol w:w="916"/>
        <w:gridCol w:w="817"/>
        <w:gridCol w:w="568"/>
        <w:gridCol w:w="571"/>
        <w:gridCol w:w="570"/>
        <w:gridCol w:w="572"/>
        <w:gridCol w:w="570"/>
        <w:gridCol w:w="571"/>
        <w:gridCol w:w="571"/>
        <w:gridCol w:w="571"/>
        <w:gridCol w:w="573"/>
        <w:gridCol w:w="574"/>
        <w:gridCol w:w="570"/>
        <w:gridCol w:w="574"/>
        <w:gridCol w:w="572"/>
        <w:gridCol w:w="573"/>
      </w:tblGrid>
      <w:tr w:rsidR="00AD690E" w:rsidRPr="00675326">
        <w:tblPrEx>
          <w:tblCellMar>
            <w:top w:w="0" w:type="dxa"/>
            <w:bottom w:w="0" w:type="dxa"/>
          </w:tblCellMar>
        </w:tblPrEx>
        <w:tc>
          <w:tcPr>
            <w:tcW w:w="918" w:type="dxa"/>
            <w:tcBorders>
              <w:top w:val="single" w:sz="12" w:space="0" w:color="auto"/>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sz w:val="24"/>
                <w:szCs w:val="12"/>
              </w:rPr>
              <w:t>Éle</w:t>
            </w:r>
            <w:r w:rsidRPr="00B85EF5">
              <w:rPr>
                <w:sz w:val="24"/>
                <w:szCs w:val="12"/>
              </w:rPr>
              <w:t>c</w:t>
            </w:r>
            <w:r w:rsidRPr="00B85EF5">
              <w:rPr>
                <w:sz w:val="24"/>
                <w:szCs w:val="12"/>
              </w:rPr>
              <w:t>tion</w:t>
            </w:r>
          </w:p>
        </w:tc>
        <w:tc>
          <w:tcPr>
            <w:tcW w:w="819" w:type="dxa"/>
            <w:tcBorders>
              <w:top w:val="single" w:sz="12" w:space="0" w:color="auto"/>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2853" w:type="dxa"/>
            <w:gridSpan w:val="5"/>
            <w:tcBorders>
              <w:top w:val="single" w:sz="12" w:space="0" w:color="auto"/>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CANADA</w:t>
            </w:r>
          </w:p>
        </w:tc>
        <w:tc>
          <w:tcPr>
            <w:tcW w:w="2857" w:type="dxa"/>
            <w:gridSpan w:val="5"/>
            <w:tcBorders>
              <w:top w:val="single" w:sz="12" w:space="0" w:color="auto"/>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QUÉBEC</w:t>
            </w:r>
          </w:p>
        </w:tc>
        <w:tc>
          <w:tcPr>
            <w:tcW w:w="2286" w:type="dxa"/>
            <w:gridSpan w:val="4"/>
            <w:tcBorders>
              <w:top w:val="single" w:sz="12" w:space="0" w:color="auto"/>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O</w:t>
            </w:r>
            <w:r>
              <w:rPr>
                <w:sz w:val="24"/>
                <w:szCs w:val="12"/>
              </w:rPr>
              <w:t>NT</w:t>
            </w:r>
            <w:r w:rsidRPr="00B85EF5">
              <w:rPr>
                <w:sz w:val="24"/>
                <w:szCs w:val="12"/>
              </w:rPr>
              <w:t>ARIO</w:t>
            </w:r>
          </w:p>
        </w:tc>
      </w:tr>
      <w:tr w:rsidR="00AD690E" w:rsidRPr="00675326">
        <w:tblPrEx>
          <w:tblCellMar>
            <w:top w:w="0" w:type="dxa"/>
            <w:bottom w:w="0" w:type="dxa"/>
          </w:tblCellMar>
        </w:tblPrEx>
        <w:trPr>
          <w:cantSplit/>
          <w:trHeight w:val="1023"/>
        </w:trPr>
        <w:tc>
          <w:tcPr>
            <w:tcW w:w="918"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819"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sz w:val="24"/>
                <w:szCs w:val="12"/>
              </w:rPr>
              <w:t>Effe</w:t>
            </w:r>
            <w:r w:rsidRPr="00B85EF5">
              <w:rPr>
                <w:sz w:val="24"/>
                <w:szCs w:val="12"/>
              </w:rPr>
              <w:t>c</w:t>
            </w:r>
            <w:r w:rsidRPr="00B85EF5">
              <w:rPr>
                <w:sz w:val="24"/>
                <w:szCs w:val="12"/>
              </w:rPr>
              <w:t>tif</w:t>
            </w:r>
          </w:p>
        </w:tc>
        <w:tc>
          <w:tcPr>
            <w:tcW w:w="1141" w:type="dxa"/>
            <w:gridSpan w:val="2"/>
            <w:tcBorders>
              <w:top w:val="nil"/>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Lib</w:t>
            </w:r>
            <w:r w:rsidRPr="00B85EF5">
              <w:rPr>
                <w:sz w:val="24"/>
                <w:szCs w:val="12"/>
              </w:rPr>
              <w:t>é</w:t>
            </w:r>
            <w:r w:rsidRPr="00B85EF5">
              <w:rPr>
                <w:sz w:val="24"/>
                <w:szCs w:val="12"/>
              </w:rPr>
              <w:t>ral</w:t>
            </w:r>
          </w:p>
        </w:tc>
        <w:tc>
          <w:tcPr>
            <w:tcW w:w="1142" w:type="dxa"/>
            <w:gridSpan w:val="2"/>
            <w:tcBorders>
              <w:top w:val="nil"/>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Conser</w:t>
            </w:r>
            <w:r>
              <w:rPr>
                <w:sz w:val="24"/>
                <w:szCs w:val="12"/>
              </w:rPr>
              <w:br/>
              <w:t>v</w:t>
            </w:r>
            <w:r w:rsidRPr="00B85EF5">
              <w:rPr>
                <w:sz w:val="24"/>
                <w:szCs w:val="12"/>
              </w:rPr>
              <w:t>a</w:t>
            </w:r>
            <w:r w:rsidRPr="00B85EF5">
              <w:rPr>
                <w:sz w:val="24"/>
                <w:szCs w:val="12"/>
              </w:rPr>
              <w:t>teur</w:t>
            </w:r>
          </w:p>
        </w:tc>
        <w:tc>
          <w:tcPr>
            <w:tcW w:w="570"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center"/>
              <w:rPr>
                <w:sz w:val="24"/>
              </w:rPr>
            </w:pPr>
            <w:r w:rsidRPr="00B85EF5">
              <w:rPr>
                <w:sz w:val="24"/>
                <w:szCs w:val="12"/>
              </w:rPr>
              <w:t>Effe</w:t>
            </w:r>
            <w:r w:rsidRPr="00B85EF5">
              <w:rPr>
                <w:sz w:val="24"/>
                <w:szCs w:val="12"/>
              </w:rPr>
              <w:t>c</w:t>
            </w:r>
            <w:r w:rsidRPr="00B85EF5">
              <w:rPr>
                <w:sz w:val="24"/>
                <w:szCs w:val="12"/>
              </w:rPr>
              <w:t>tif</w:t>
            </w:r>
          </w:p>
        </w:tc>
        <w:tc>
          <w:tcPr>
            <w:tcW w:w="1142" w:type="dxa"/>
            <w:gridSpan w:val="2"/>
            <w:tcBorders>
              <w:top w:val="nil"/>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Lib</w:t>
            </w:r>
            <w:r w:rsidRPr="00B85EF5">
              <w:rPr>
                <w:sz w:val="24"/>
                <w:szCs w:val="12"/>
              </w:rPr>
              <w:t>é</w:t>
            </w:r>
            <w:r w:rsidRPr="00B85EF5">
              <w:rPr>
                <w:sz w:val="24"/>
                <w:szCs w:val="12"/>
              </w:rPr>
              <w:t>ral</w:t>
            </w:r>
          </w:p>
        </w:tc>
        <w:tc>
          <w:tcPr>
            <w:tcW w:w="1144" w:type="dxa"/>
            <w:gridSpan w:val="2"/>
            <w:tcBorders>
              <w:top w:val="nil"/>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Conser</w:t>
            </w:r>
            <w:r>
              <w:rPr>
                <w:sz w:val="24"/>
                <w:szCs w:val="12"/>
              </w:rPr>
              <w:br/>
            </w:r>
            <w:r w:rsidRPr="00B85EF5">
              <w:rPr>
                <w:sz w:val="24"/>
                <w:szCs w:val="12"/>
              </w:rPr>
              <w:t>v</w:t>
            </w:r>
            <w:r w:rsidRPr="00B85EF5">
              <w:rPr>
                <w:sz w:val="24"/>
                <w:szCs w:val="12"/>
              </w:rPr>
              <w:t>a</w:t>
            </w:r>
            <w:r w:rsidRPr="00B85EF5">
              <w:rPr>
                <w:sz w:val="24"/>
                <w:szCs w:val="12"/>
              </w:rPr>
              <w:t>teur</w:t>
            </w:r>
          </w:p>
        </w:tc>
        <w:tc>
          <w:tcPr>
            <w:tcW w:w="571"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center"/>
              <w:rPr>
                <w:sz w:val="24"/>
              </w:rPr>
            </w:pPr>
            <w:r w:rsidRPr="00B85EF5">
              <w:rPr>
                <w:sz w:val="24"/>
                <w:szCs w:val="12"/>
              </w:rPr>
              <w:t>Effectif</w:t>
            </w:r>
          </w:p>
        </w:tc>
        <w:tc>
          <w:tcPr>
            <w:tcW w:w="1144" w:type="dxa"/>
            <w:gridSpan w:val="2"/>
            <w:tcBorders>
              <w:top w:val="nil"/>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Lib</w:t>
            </w:r>
            <w:r w:rsidRPr="00B85EF5">
              <w:rPr>
                <w:sz w:val="24"/>
                <w:szCs w:val="12"/>
              </w:rPr>
              <w:t>é</w:t>
            </w:r>
            <w:r w:rsidRPr="00B85EF5">
              <w:rPr>
                <w:sz w:val="24"/>
                <w:szCs w:val="12"/>
              </w:rPr>
              <w:t>ral</w:t>
            </w:r>
          </w:p>
        </w:tc>
        <w:tc>
          <w:tcPr>
            <w:tcW w:w="1142" w:type="dxa"/>
            <w:gridSpan w:val="2"/>
            <w:tcBorders>
              <w:top w:val="nil"/>
              <w:left w:val="nil"/>
              <w:bottom w:val="single" w:sz="12" w:space="0" w:color="auto"/>
              <w:right w:val="nil"/>
            </w:tcBorders>
            <w:shd w:val="clear" w:color="auto" w:fill="EAF1DD"/>
          </w:tcPr>
          <w:p w:rsidR="00AD690E" w:rsidRPr="00B85EF5" w:rsidRDefault="00AD690E" w:rsidP="00AD690E">
            <w:pPr>
              <w:ind w:firstLine="0"/>
              <w:jc w:val="center"/>
              <w:rPr>
                <w:sz w:val="24"/>
              </w:rPr>
            </w:pPr>
            <w:r w:rsidRPr="00B85EF5">
              <w:rPr>
                <w:sz w:val="24"/>
                <w:szCs w:val="12"/>
              </w:rPr>
              <w:t>Conser</w:t>
            </w:r>
            <w:r>
              <w:rPr>
                <w:sz w:val="24"/>
                <w:szCs w:val="12"/>
              </w:rPr>
              <w:t>-</w:t>
            </w:r>
            <w:r w:rsidRPr="00B85EF5">
              <w:rPr>
                <w:sz w:val="24"/>
                <w:szCs w:val="12"/>
              </w:rPr>
              <w:t>v</w:t>
            </w:r>
            <w:r w:rsidRPr="00B85EF5">
              <w:rPr>
                <w:sz w:val="24"/>
                <w:szCs w:val="12"/>
              </w:rPr>
              <w:t>a</w:t>
            </w:r>
            <w:r w:rsidRPr="00B85EF5">
              <w:rPr>
                <w:sz w:val="24"/>
                <w:szCs w:val="12"/>
              </w:rPr>
              <w:t>teur</w:t>
            </w:r>
          </w:p>
        </w:tc>
      </w:tr>
      <w:tr w:rsidR="00AD690E" w:rsidRPr="00675326">
        <w:tblPrEx>
          <w:tblCellMar>
            <w:top w:w="0" w:type="dxa"/>
            <w:bottom w:w="0" w:type="dxa"/>
          </w:tblCellMar>
        </w:tblPrEx>
        <w:trPr>
          <w:trHeight w:val="951"/>
        </w:trPr>
        <w:tc>
          <w:tcPr>
            <w:tcW w:w="918"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819"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69"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Votes</w:t>
            </w:r>
          </w:p>
        </w:tc>
        <w:tc>
          <w:tcPr>
            <w:tcW w:w="572"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Sièges</w:t>
            </w:r>
          </w:p>
        </w:tc>
        <w:tc>
          <w:tcPr>
            <w:tcW w:w="570"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Votes</w:t>
            </w:r>
          </w:p>
        </w:tc>
        <w:tc>
          <w:tcPr>
            <w:tcW w:w="572"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Sièges</w:t>
            </w:r>
          </w:p>
        </w:tc>
        <w:tc>
          <w:tcPr>
            <w:tcW w:w="570"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1"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Voles</w:t>
            </w:r>
          </w:p>
        </w:tc>
        <w:tc>
          <w:tcPr>
            <w:tcW w:w="571"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Sièges</w:t>
            </w:r>
          </w:p>
        </w:tc>
        <w:tc>
          <w:tcPr>
            <w:tcW w:w="571"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Votes</w:t>
            </w:r>
          </w:p>
        </w:tc>
        <w:tc>
          <w:tcPr>
            <w:tcW w:w="570"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Sièges</w:t>
            </w:r>
          </w:p>
        </w:tc>
        <w:tc>
          <w:tcPr>
            <w:tcW w:w="574"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0"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Votes</w:t>
            </w:r>
          </w:p>
        </w:tc>
        <w:tc>
          <w:tcPr>
            <w:tcW w:w="571"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Sièges</w:t>
            </w:r>
          </w:p>
        </w:tc>
        <w:tc>
          <w:tcPr>
            <w:tcW w:w="572"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Votes</w:t>
            </w:r>
          </w:p>
        </w:tc>
        <w:tc>
          <w:tcPr>
            <w:tcW w:w="573" w:type="dxa"/>
            <w:tcBorders>
              <w:top w:val="nil"/>
              <w:left w:val="nil"/>
              <w:bottom w:val="single" w:sz="12" w:space="0" w:color="auto"/>
              <w:right w:val="nil"/>
            </w:tcBorders>
            <w:shd w:val="clear" w:color="auto" w:fill="EAF1DD"/>
            <w:textDirection w:val="btLr"/>
          </w:tcPr>
          <w:p w:rsidR="00AD690E" w:rsidRPr="00B85EF5" w:rsidRDefault="00AD690E" w:rsidP="00AD690E">
            <w:pPr>
              <w:ind w:left="113" w:right="113" w:firstLine="0"/>
              <w:jc w:val="both"/>
              <w:rPr>
                <w:sz w:val="24"/>
              </w:rPr>
            </w:pPr>
            <w:r w:rsidRPr="00B85EF5">
              <w:rPr>
                <w:sz w:val="24"/>
                <w:szCs w:val="12"/>
              </w:rPr>
              <w:t>Sièges</w:t>
            </w:r>
          </w:p>
        </w:tc>
      </w:tr>
      <w:tr w:rsidR="00AD690E" w:rsidRPr="00675326">
        <w:tblPrEx>
          <w:tblCellMar>
            <w:top w:w="0" w:type="dxa"/>
            <w:bottom w:w="0" w:type="dxa"/>
          </w:tblCellMar>
        </w:tblPrEx>
        <w:tc>
          <w:tcPr>
            <w:tcW w:w="918"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819"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69"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i/>
                <w:iCs/>
                <w:sz w:val="24"/>
              </w:rPr>
              <w:t>%</w:t>
            </w:r>
          </w:p>
        </w:tc>
        <w:tc>
          <w:tcPr>
            <w:tcW w:w="572"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0"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i/>
                <w:iCs/>
                <w:sz w:val="24"/>
              </w:rPr>
              <w:t>%</w:t>
            </w:r>
          </w:p>
        </w:tc>
        <w:tc>
          <w:tcPr>
            <w:tcW w:w="572"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0"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1"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i/>
                <w:iCs/>
                <w:sz w:val="24"/>
              </w:rPr>
              <w:t>%</w:t>
            </w:r>
          </w:p>
        </w:tc>
        <w:tc>
          <w:tcPr>
            <w:tcW w:w="571"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1"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sz w:val="24"/>
              </w:rPr>
              <w:t>%</w:t>
            </w:r>
          </w:p>
        </w:tc>
        <w:tc>
          <w:tcPr>
            <w:tcW w:w="570"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4"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0"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i/>
                <w:iCs/>
                <w:sz w:val="24"/>
              </w:rPr>
              <w:t>%</w:t>
            </w:r>
          </w:p>
        </w:tc>
        <w:tc>
          <w:tcPr>
            <w:tcW w:w="571"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c>
          <w:tcPr>
            <w:tcW w:w="572"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r w:rsidRPr="00B85EF5">
              <w:rPr>
                <w:i/>
                <w:iCs/>
                <w:sz w:val="24"/>
              </w:rPr>
              <w:t>%</w:t>
            </w:r>
          </w:p>
        </w:tc>
        <w:tc>
          <w:tcPr>
            <w:tcW w:w="573" w:type="dxa"/>
            <w:tcBorders>
              <w:top w:val="nil"/>
              <w:left w:val="nil"/>
              <w:bottom w:val="single" w:sz="12" w:space="0" w:color="auto"/>
              <w:right w:val="nil"/>
            </w:tcBorders>
            <w:shd w:val="clear" w:color="auto" w:fill="EAF1DD"/>
          </w:tcPr>
          <w:p w:rsidR="00AD690E" w:rsidRPr="00B85EF5" w:rsidRDefault="00AD690E" w:rsidP="00AD690E">
            <w:pPr>
              <w:ind w:firstLine="0"/>
              <w:jc w:val="both"/>
              <w:rPr>
                <w:sz w:val="24"/>
              </w:rPr>
            </w:pPr>
          </w:p>
        </w:tc>
      </w:tr>
      <w:tr w:rsidR="00AD690E" w:rsidRPr="00675326">
        <w:tblPrEx>
          <w:tblCellMar>
            <w:top w:w="0" w:type="dxa"/>
            <w:bottom w:w="0" w:type="dxa"/>
          </w:tblCellMar>
        </w:tblPrEx>
        <w:tc>
          <w:tcPr>
            <w:tcW w:w="918"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1896</w:t>
            </w:r>
          </w:p>
        </w:tc>
        <w:tc>
          <w:tcPr>
            <w:tcW w:w="819"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213</w:t>
            </w:r>
          </w:p>
        </w:tc>
        <w:tc>
          <w:tcPr>
            <w:tcW w:w="569"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45</w:t>
            </w:r>
          </w:p>
        </w:tc>
        <w:tc>
          <w:tcPr>
            <w:tcW w:w="572"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118</w:t>
            </w:r>
          </w:p>
        </w:tc>
        <w:tc>
          <w:tcPr>
            <w:tcW w:w="570"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46</w:t>
            </w:r>
          </w:p>
        </w:tc>
        <w:tc>
          <w:tcPr>
            <w:tcW w:w="572"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88</w:t>
            </w:r>
          </w:p>
        </w:tc>
        <w:tc>
          <w:tcPr>
            <w:tcW w:w="570"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65</w:t>
            </w:r>
          </w:p>
        </w:tc>
        <w:tc>
          <w:tcPr>
            <w:tcW w:w="571"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54</w:t>
            </w:r>
          </w:p>
        </w:tc>
        <w:tc>
          <w:tcPr>
            <w:tcW w:w="571"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49</w:t>
            </w:r>
          </w:p>
        </w:tc>
        <w:tc>
          <w:tcPr>
            <w:tcW w:w="571"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46</w:t>
            </w:r>
          </w:p>
        </w:tc>
        <w:tc>
          <w:tcPr>
            <w:tcW w:w="570"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16</w:t>
            </w:r>
          </w:p>
        </w:tc>
        <w:tc>
          <w:tcPr>
            <w:tcW w:w="574"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92</w:t>
            </w:r>
          </w:p>
        </w:tc>
        <w:tc>
          <w:tcPr>
            <w:tcW w:w="570"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40</w:t>
            </w:r>
          </w:p>
        </w:tc>
        <w:tc>
          <w:tcPr>
            <w:tcW w:w="571"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43</w:t>
            </w:r>
          </w:p>
        </w:tc>
        <w:tc>
          <w:tcPr>
            <w:tcW w:w="572"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45</w:t>
            </w:r>
          </w:p>
        </w:tc>
        <w:tc>
          <w:tcPr>
            <w:tcW w:w="573" w:type="dxa"/>
            <w:tcBorders>
              <w:top w:val="single" w:sz="12" w:space="0" w:color="auto"/>
              <w:left w:val="nil"/>
              <w:bottom w:val="nil"/>
              <w:right w:val="nil"/>
            </w:tcBorders>
            <w:shd w:val="clear" w:color="auto" w:fill="FFFFFF"/>
          </w:tcPr>
          <w:p w:rsidR="00AD690E" w:rsidRPr="00B85EF5" w:rsidRDefault="00AD690E" w:rsidP="00AD690E">
            <w:pPr>
              <w:spacing w:before="120"/>
              <w:ind w:firstLine="0"/>
              <w:jc w:val="both"/>
              <w:rPr>
                <w:sz w:val="24"/>
              </w:rPr>
            </w:pPr>
            <w:r w:rsidRPr="00B85EF5">
              <w:rPr>
                <w:sz w:val="24"/>
                <w:szCs w:val="12"/>
              </w:rPr>
              <w:t>43</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1900</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213</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48</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1904</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214</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38</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48</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1908</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221</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58</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48</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1911</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221</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48</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87</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134</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38</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27</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73</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1917</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235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153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62</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63</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74</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1921</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235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1925</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59</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59</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34</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31</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57</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68</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1926</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128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62</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34</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54</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53</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1930</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49</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137</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55</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59</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1935</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173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1940</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181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61</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43</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1945</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245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125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67</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41</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34</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48</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1949</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262</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49</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68</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1953</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49</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171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61</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33</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1957</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105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58</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62</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49</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61</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1958</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34</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54</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208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33</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67</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1962</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100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37</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30</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14</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44</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1963</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129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33</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27</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1965</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265</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97</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34</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1968</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264</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155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31</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72</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64</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32</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17</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1972</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264</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109</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107</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17</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38</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39</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1974</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264</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43</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141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60</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21</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88</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44</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55</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25</w:t>
            </w:r>
          </w:p>
        </w:tc>
      </w:tr>
      <w:tr w:rsidR="00AD690E" w:rsidRPr="00675326">
        <w:tblPrEx>
          <w:tblCellMar>
            <w:top w:w="0" w:type="dxa"/>
            <w:bottom w:w="0" w:type="dxa"/>
          </w:tblCellMar>
        </w:tblPrEx>
        <w:tc>
          <w:tcPr>
            <w:tcW w:w="918"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1979</w:t>
            </w:r>
          </w:p>
        </w:tc>
        <w:tc>
          <w:tcPr>
            <w:tcW w:w="81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282</w:t>
            </w:r>
          </w:p>
        </w:tc>
        <w:tc>
          <w:tcPr>
            <w:tcW w:w="569"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114</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36</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136</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62</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67</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13</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2</w:t>
            </w:r>
          </w:p>
        </w:tc>
        <w:tc>
          <w:tcPr>
            <w:tcW w:w="574"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95</w:t>
            </w:r>
          </w:p>
        </w:tc>
        <w:tc>
          <w:tcPr>
            <w:tcW w:w="570"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36</w:t>
            </w:r>
          </w:p>
        </w:tc>
        <w:tc>
          <w:tcPr>
            <w:tcW w:w="571"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32</w:t>
            </w:r>
          </w:p>
        </w:tc>
        <w:tc>
          <w:tcPr>
            <w:tcW w:w="572"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3" w:type="dxa"/>
            <w:tcBorders>
              <w:top w:val="nil"/>
              <w:left w:val="nil"/>
              <w:bottom w:val="nil"/>
              <w:right w:val="nil"/>
            </w:tcBorders>
            <w:shd w:val="clear" w:color="auto" w:fill="FFFFFF"/>
          </w:tcPr>
          <w:p w:rsidR="00AD690E" w:rsidRPr="00B85EF5" w:rsidRDefault="00AD690E" w:rsidP="00AD690E">
            <w:pPr>
              <w:ind w:firstLine="0"/>
              <w:jc w:val="both"/>
              <w:rPr>
                <w:sz w:val="24"/>
              </w:rPr>
            </w:pPr>
            <w:r w:rsidRPr="00B85EF5">
              <w:rPr>
                <w:sz w:val="24"/>
                <w:szCs w:val="12"/>
              </w:rPr>
              <w:t>57</w:t>
            </w:r>
          </w:p>
        </w:tc>
      </w:tr>
      <w:tr w:rsidR="00AD690E" w:rsidRPr="00675326">
        <w:tblPrEx>
          <w:tblCellMar>
            <w:top w:w="0" w:type="dxa"/>
            <w:bottom w:w="0" w:type="dxa"/>
          </w:tblCellMar>
        </w:tblPrEx>
        <w:tc>
          <w:tcPr>
            <w:tcW w:w="918"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1980</w:t>
            </w:r>
          </w:p>
        </w:tc>
        <w:tc>
          <w:tcPr>
            <w:tcW w:w="819"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282</w:t>
            </w:r>
          </w:p>
        </w:tc>
        <w:tc>
          <w:tcPr>
            <w:tcW w:w="569"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44</w:t>
            </w:r>
          </w:p>
        </w:tc>
        <w:tc>
          <w:tcPr>
            <w:tcW w:w="572"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147</w:t>
            </w:r>
          </w:p>
        </w:tc>
        <w:tc>
          <w:tcPr>
            <w:tcW w:w="570"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32</w:t>
            </w:r>
          </w:p>
        </w:tc>
        <w:tc>
          <w:tcPr>
            <w:tcW w:w="572"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103</w:t>
            </w:r>
          </w:p>
        </w:tc>
        <w:tc>
          <w:tcPr>
            <w:tcW w:w="570"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68</w:t>
            </w:r>
          </w:p>
        </w:tc>
        <w:tc>
          <w:tcPr>
            <w:tcW w:w="571"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74</w:t>
            </w:r>
          </w:p>
        </w:tc>
        <w:tc>
          <w:tcPr>
            <w:tcW w:w="571"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13</w:t>
            </w:r>
          </w:p>
        </w:tc>
        <w:tc>
          <w:tcPr>
            <w:tcW w:w="570"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1</w:t>
            </w:r>
          </w:p>
        </w:tc>
        <w:tc>
          <w:tcPr>
            <w:tcW w:w="574"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95</w:t>
            </w:r>
          </w:p>
        </w:tc>
        <w:tc>
          <w:tcPr>
            <w:tcW w:w="570"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42</w:t>
            </w:r>
          </w:p>
        </w:tc>
        <w:tc>
          <w:tcPr>
            <w:tcW w:w="571"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52</w:t>
            </w:r>
          </w:p>
        </w:tc>
        <w:tc>
          <w:tcPr>
            <w:tcW w:w="572"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3" w:type="dxa"/>
            <w:tcBorders>
              <w:top w:val="nil"/>
              <w:left w:val="nil"/>
              <w:right w:val="nil"/>
            </w:tcBorders>
            <w:shd w:val="clear" w:color="auto" w:fill="FFFFFF"/>
          </w:tcPr>
          <w:p w:rsidR="00AD690E" w:rsidRPr="00B85EF5" w:rsidRDefault="00AD690E" w:rsidP="00AD690E">
            <w:pPr>
              <w:ind w:firstLine="0"/>
              <w:jc w:val="both"/>
              <w:rPr>
                <w:sz w:val="24"/>
              </w:rPr>
            </w:pPr>
            <w:r w:rsidRPr="00B85EF5">
              <w:rPr>
                <w:sz w:val="24"/>
                <w:szCs w:val="12"/>
              </w:rPr>
              <w:t>38</w:t>
            </w:r>
          </w:p>
        </w:tc>
      </w:tr>
      <w:tr w:rsidR="00AD690E" w:rsidRPr="00675326">
        <w:tblPrEx>
          <w:tblCellMar>
            <w:top w:w="0" w:type="dxa"/>
            <w:bottom w:w="0" w:type="dxa"/>
          </w:tblCellMar>
        </w:tblPrEx>
        <w:tc>
          <w:tcPr>
            <w:tcW w:w="918"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1984</w:t>
            </w:r>
          </w:p>
        </w:tc>
        <w:tc>
          <w:tcPr>
            <w:tcW w:w="819"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282</w:t>
            </w:r>
          </w:p>
        </w:tc>
        <w:tc>
          <w:tcPr>
            <w:tcW w:w="569"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28</w:t>
            </w:r>
          </w:p>
        </w:tc>
        <w:tc>
          <w:tcPr>
            <w:tcW w:w="572"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40</w:t>
            </w:r>
          </w:p>
        </w:tc>
        <w:tc>
          <w:tcPr>
            <w:tcW w:w="570"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2"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211</w:t>
            </w:r>
          </w:p>
        </w:tc>
        <w:tc>
          <w:tcPr>
            <w:tcW w:w="570"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75</w:t>
            </w:r>
          </w:p>
        </w:tc>
        <w:tc>
          <w:tcPr>
            <w:tcW w:w="571"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35</w:t>
            </w:r>
          </w:p>
        </w:tc>
        <w:tc>
          <w:tcPr>
            <w:tcW w:w="571"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17</w:t>
            </w:r>
          </w:p>
        </w:tc>
        <w:tc>
          <w:tcPr>
            <w:tcW w:w="571"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50</w:t>
            </w:r>
          </w:p>
        </w:tc>
        <w:tc>
          <w:tcPr>
            <w:tcW w:w="570"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58</w:t>
            </w:r>
          </w:p>
        </w:tc>
        <w:tc>
          <w:tcPr>
            <w:tcW w:w="574"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95</w:t>
            </w:r>
          </w:p>
        </w:tc>
        <w:tc>
          <w:tcPr>
            <w:tcW w:w="570"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30</w:t>
            </w:r>
          </w:p>
        </w:tc>
        <w:tc>
          <w:tcPr>
            <w:tcW w:w="571"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14</w:t>
            </w:r>
          </w:p>
        </w:tc>
        <w:tc>
          <w:tcPr>
            <w:tcW w:w="572"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48</w:t>
            </w:r>
          </w:p>
        </w:tc>
        <w:tc>
          <w:tcPr>
            <w:tcW w:w="573" w:type="dxa"/>
            <w:tcBorders>
              <w:top w:val="nil"/>
              <w:left w:val="nil"/>
              <w:bottom w:val="single" w:sz="12" w:space="0" w:color="auto"/>
              <w:right w:val="nil"/>
            </w:tcBorders>
            <w:shd w:val="clear" w:color="auto" w:fill="FFFFFF"/>
          </w:tcPr>
          <w:p w:rsidR="00AD690E" w:rsidRPr="00B85EF5" w:rsidRDefault="00AD690E" w:rsidP="00AD690E">
            <w:pPr>
              <w:ind w:firstLine="0"/>
              <w:jc w:val="both"/>
              <w:rPr>
                <w:sz w:val="24"/>
              </w:rPr>
            </w:pPr>
            <w:r w:rsidRPr="00B85EF5">
              <w:rPr>
                <w:sz w:val="24"/>
                <w:szCs w:val="12"/>
              </w:rPr>
              <w:t>67</w:t>
            </w:r>
          </w:p>
        </w:tc>
      </w:tr>
    </w:tbl>
    <w:p w:rsidR="00AD690E" w:rsidRPr="00B85EF5" w:rsidRDefault="00AD690E" w:rsidP="00AD690E">
      <w:pPr>
        <w:spacing w:before="120" w:after="120"/>
        <w:jc w:val="both"/>
        <w:rPr>
          <w:sz w:val="24"/>
        </w:rPr>
      </w:pPr>
      <w:r w:rsidRPr="00B85EF5">
        <w:rPr>
          <w:sz w:val="24"/>
          <w:szCs w:val="12"/>
        </w:rPr>
        <w:t>Source : Rapports du directeur gé</w:t>
      </w:r>
      <w:r w:rsidRPr="00B85EF5">
        <w:rPr>
          <w:iCs/>
          <w:sz w:val="24"/>
          <w:szCs w:val="12"/>
        </w:rPr>
        <w:t>néral</w:t>
      </w:r>
      <w:r w:rsidRPr="00B85EF5">
        <w:rPr>
          <w:i/>
          <w:iCs/>
          <w:sz w:val="24"/>
          <w:szCs w:val="12"/>
        </w:rPr>
        <w:t xml:space="preserve"> </w:t>
      </w:r>
      <w:r w:rsidRPr="00B85EF5">
        <w:rPr>
          <w:sz w:val="24"/>
          <w:szCs w:val="12"/>
        </w:rPr>
        <w:t>des élections, Ottawa. Pourcentages calculés par l'auteur.</w:t>
      </w:r>
    </w:p>
    <w:p w:rsidR="00AD690E" w:rsidRDefault="00AD690E" w:rsidP="00AD690E">
      <w:pPr>
        <w:spacing w:before="120" w:after="120"/>
        <w:jc w:val="both"/>
        <w:rPr>
          <w:szCs w:val="22"/>
        </w:rPr>
      </w:pPr>
    </w:p>
    <w:p w:rsidR="00AD690E" w:rsidRDefault="00AD690E" w:rsidP="00AD690E">
      <w:pPr>
        <w:spacing w:before="120" w:after="120"/>
        <w:jc w:val="both"/>
      </w:pPr>
      <w:r w:rsidRPr="00675326">
        <w:rPr>
          <w:szCs w:val="22"/>
        </w:rPr>
        <w:t>On peut évoquer de multiples raisons pour expliquer l'appui acco</w:t>
      </w:r>
      <w:r w:rsidRPr="00675326">
        <w:rPr>
          <w:szCs w:val="22"/>
        </w:rPr>
        <w:t>r</w:t>
      </w:r>
      <w:r w:rsidRPr="00675326">
        <w:rPr>
          <w:szCs w:val="22"/>
        </w:rPr>
        <w:t>dé aux libéraux. Cet appui vient d'abord du fait que, davantage repr</w:t>
      </w:r>
      <w:r w:rsidRPr="00675326">
        <w:rPr>
          <w:szCs w:val="22"/>
        </w:rPr>
        <w:t>é</w:t>
      </w:r>
      <w:r w:rsidRPr="00675326">
        <w:rPr>
          <w:szCs w:val="22"/>
        </w:rPr>
        <w:t>sentatifs du Québec et des fra</w:t>
      </w:r>
      <w:r w:rsidRPr="00675326">
        <w:rPr>
          <w:szCs w:val="22"/>
        </w:rPr>
        <w:t>n</w:t>
      </w:r>
      <w:r w:rsidRPr="00675326">
        <w:rPr>
          <w:szCs w:val="22"/>
        </w:rPr>
        <w:t>cophones que le sont les autres élus, les députés libéraux peuvent, mieux que les autres, solliciter le « vote d'identification » des Québécois et des francophones hors Québec : les Québécois et les francophones hors Québec a</w:t>
      </w:r>
      <w:r w:rsidRPr="00675326">
        <w:rPr>
          <w:szCs w:val="22"/>
        </w:rPr>
        <w:t>p</w:t>
      </w:r>
      <w:r w:rsidRPr="00675326">
        <w:rPr>
          <w:szCs w:val="22"/>
        </w:rPr>
        <w:t>puient d'autant plus le Parti libéral que celui-ci les représente mieux, et le Parti libéral est d'autant plus représentatif des Québécois et des francophones hors Qu</w:t>
      </w:r>
      <w:r w:rsidRPr="00675326">
        <w:rPr>
          <w:szCs w:val="22"/>
        </w:rPr>
        <w:t>é</w:t>
      </w:r>
      <w:r w:rsidRPr="00675326">
        <w:rPr>
          <w:szCs w:val="22"/>
        </w:rPr>
        <w:t>bec que ceux-ci l'appuient davantage. Ce vote d'identification est d'ailleurs renforcé quand le chef du Parti libéral est un francophone (cas de Wilfrid Laurier, premier ministre de 1896 à 1911, et de Louis Stephen Saint-Laurent, premier ministre du 15 novembre 1948 au 21 juin 1957). Il y a aussi le fait que, souvent dominé par des élus unili</w:t>
      </w:r>
      <w:r w:rsidRPr="00675326">
        <w:rPr>
          <w:szCs w:val="22"/>
        </w:rPr>
        <w:t>n</w:t>
      </w:r>
      <w:r w:rsidRPr="00675326">
        <w:rPr>
          <w:szCs w:val="22"/>
        </w:rPr>
        <w:t>gues anglophones, le Parti conservateur (après 1942, ce parti a été a</w:t>
      </w:r>
      <w:r w:rsidRPr="00675326">
        <w:rPr>
          <w:szCs w:val="22"/>
        </w:rPr>
        <w:t>p</w:t>
      </w:r>
      <w:r w:rsidRPr="00675326">
        <w:rPr>
          <w:szCs w:val="22"/>
        </w:rPr>
        <w:t>pelé progressiste conservateur) a parfois soutenu des projets politiques qui n'avaient guère d'appui au Qu</w:t>
      </w:r>
      <w:r w:rsidRPr="00675326">
        <w:rPr>
          <w:szCs w:val="22"/>
        </w:rPr>
        <w:t>é</w:t>
      </w:r>
      <w:r w:rsidRPr="00675326">
        <w:rPr>
          <w:szCs w:val="22"/>
        </w:rPr>
        <w:t>bec, en particulier au cours</w:t>
      </w:r>
      <w:r>
        <w:rPr>
          <w:szCs w:val="22"/>
        </w:rPr>
        <w:t xml:space="preserve"> </w:t>
      </w:r>
      <w:r>
        <w:t xml:space="preserve">[15] </w:t>
      </w:r>
    </w:p>
    <w:p w:rsidR="00AD690E" w:rsidRPr="00675326" w:rsidRDefault="00AD690E" w:rsidP="00AD690E">
      <w:pPr>
        <w:spacing w:before="120" w:after="120"/>
        <w:jc w:val="both"/>
      </w:pPr>
      <w:r w:rsidRPr="00675326">
        <w:rPr>
          <w:szCs w:val="22"/>
        </w:rPr>
        <w:t>des deux grandes guerres mondiales. Il y a enfin, pa</w:t>
      </w:r>
      <w:r w:rsidRPr="00675326">
        <w:rPr>
          <w:szCs w:val="22"/>
        </w:rPr>
        <w:t>r</w:t>
      </w:r>
      <w:r w:rsidRPr="00675326">
        <w:rPr>
          <w:szCs w:val="22"/>
        </w:rPr>
        <w:t>mi les raisons de l'appui accordé aux libéraux fédéraux, le fait de l'organisation lib</w:t>
      </w:r>
      <w:r w:rsidRPr="00675326">
        <w:rPr>
          <w:szCs w:val="22"/>
        </w:rPr>
        <w:t>é</w:t>
      </w:r>
      <w:r w:rsidRPr="00675326">
        <w:rPr>
          <w:szCs w:val="22"/>
        </w:rPr>
        <w:t>rale provinciale au Québec : cette organisation a généralement servi les candidats lib</w:t>
      </w:r>
      <w:r w:rsidRPr="00675326">
        <w:rPr>
          <w:szCs w:val="22"/>
        </w:rPr>
        <w:t>é</w:t>
      </w:r>
      <w:r w:rsidRPr="00675326">
        <w:rPr>
          <w:szCs w:val="22"/>
        </w:rPr>
        <w:t>raux aux élections fédérales, réussissant à faire « sortir le vote libéral », alors que le taux d'abstention, lors de ces élections, était relativement élevé au Québec.</w:t>
      </w:r>
    </w:p>
    <w:p w:rsidR="00AD690E" w:rsidRPr="00675326" w:rsidRDefault="00AD690E" w:rsidP="00AD690E">
      <w:pPr>
        <w:spacing w:before="120" w:after="120"/>
        <w:jc w:val="both"/>
      </w:pPr>
      <w:r w:rsidRPr="00675326">
        <w:rPr>
          <w:szCs w:val="22"/>
        </w:rPr>
        <w:t>Dans ces conditions, le succès des progressistes conservateurs au Québec en 1958 a paru exceptionnel. Et il était exceptionnel en effet, puisqu'il fut sans lendemain. Une explication du comportement élect</w:t>
      </w:r>
      <w:r w:rsidRPr="00675326">
        <w:rPr>
          <w:szCs w:val="22"/>
        </w:rPr>
        <w:t>o</w:t>
      </w:r>
      <w:r w:rsidRPr="00675326">
        <w:rPr>
          <w:szCs w:val="22"/>
        </w:rPr>
        <w:t>ral des Québécois en 1958 peut être trouvée dans le fait que le Parti l</w:t>
      </w:r>
      <w:r w:rsidRPr="00675326">
        <w:rPr>
          <w:szCs w:val="22"/>
        </w:rPr>
        <w:t>i</w:t>
      </w:r>
      <w:r w:rsidRPr="00675326">
        <w:rPr>
          <w:szCs w:val="22"/>
        </w:rPr>
        <w:t>béral avait dorénavant pour chef un anglophone, Lester B. Pearson, qui avait défait l'aspirant Paul Martin au congrès d'investiture de ja</w:t>
      </w:r>
      <w:r w:rsidRPr="00675326">
        <w:rPr>
          <w:szCs w:val="22"/>
        </w:rPr>
        <w:t>n</w:t>
      </w:r>
      <w:r w:rsidRPr="00675326">
        <w:rPr>
          <w:szCs w:val="22"/>
        </w:rPr>
        <w:t>vier 1958, tenu à la suite de l'échec électoral des libéraux le 10 juin 1957 et de la d</w:t>
      </w:r>
      <w:r w:rsidRPr="00675326">
        <w:rPr>
          <w:szCs w:val="22"/>
        </w:rPr>
        <w:t>é</w:t>
      </w:r>
      <w:r w:rsidRPr="00675326">
        <w:rPr>
          <w:szCs w:val="22"/>
        </w:rPr>
        <w:t>mission subséquente de leur chef, Louis Stephen Saint-Laurent. Un sondage réalisé au Québec en décembre 1957 avait indiqué que seulement 27</w:t>
      </w:r>
      <w:r>
        <w:rPr>
          <w:szCs w:val="22"/>
        </w:rPr>
        <w:t>%</w:t>
      </w:r>
      <w:r w:rsidRPr="00675326">
        <w:rPr>
          <w:szCs w:val="22"/>
        </w:rPr>
        <w:t xml:space="preserve"> des répondants québécois estimaient que Pearson ferait un meilleur premier ministre que le progressiste conservateur John Diefenbaker, alors chef du gouvernement minor</w:t>
      </w:r>
      <w:r w:rsidRPr="00675326">
        <w:rPr>
          <w:szCs w:val="22"/>
        </w:rPr>
        <w:t>i</w:t>
      </w:r>
      <w:r w:rsidRPr="00675326">
        <w:rPr>
          <w:szCs w:val="22"/>
        </w:rPr>
        <w:t xml:space="preserve">taire à </w:t>
      </w:r>
      <w:r w:rsidRPr="00675326">
        <w:rPr>
          <w:szCs w:val="22"/>
        </w:rPr>
        <w:lastRenderedPageBreak/>
        <w:t>Ottawa</w:t>
      </w:r>
      <w:r>
        <w:rPr>
          <w:szCs w:val="22"/>
        </w:rPr>
        <w:t> </w:t>
      </w:r>
      <w:r w:rsidRPr="00857900">
        <w:rPr>
          <w:rStyle w:val="Appelnotedebasdep"/>
        </w:rPr>
        <w:footnoteReference w:id="1"/>
      </w:r>
      <w:r w:rsidRPr="00675326">
        <w:rPr>
          <w:szCs w:val="22"/>
        </w:rPr>
        <w:t>- De nombreux électeurs libéraux du Québec et de nombreux francophones hors Québec, en 1958, se réf</w:t>
      </w:r>
      <w:r w:rsidRPr="00675326">
        <w:rPr>
          <w:szCs w:val="22"/>
        </w:rPr>
        <w:t>u</w:t>
      </w:r>
      <w:r w:rsidRPr="00675326">
        <w:rPr>
          <w:szCs w:val="22"/>
        </w:rPr>
        <w:t>gièrent dans l'abstention ou, même, prirent le « risque » d'appuyer un candidat pr</w:t>
      </w:r>
      <w:r w:rsidRPr="00675326">
        <w:rPr>
          <w:szCs w:val="22"/>
        </w:rPr>
        <w:t>o</w:t>
      </w:r>
      <w:r w:rsidRPr="00675326">
        <w:rPr>
          <w:szCs w:val="22"/>
        </w:rPr>
        <w:t>gressiste conservateur. Mais John Diefenbaker manifesta une telle i</w:t>
      </w:r>
      <w:r w:rsidRPr="00675326">
        <w:rPr>
          <w:szCs w:val="22"/>
        </w:rPr>
        <w:t>n</w:t>
      </w:r>
      <w:r w:rsidRPr="00675326">
        <w:rPr>
          <w:szCs w:val="22"/>
        </w:rPr>
        <w:t>compréhe</w:t>
      </w:r>
      <w:r w:rsidRPr="00675326">
        <w:rPr>
          <w:szCs w:val="22"/>
        </w:rPr>
        <w:t>n</w:t>
      </w:r>
      <w:r w:rsidRPr="00675326">
        <w:rPr>
          <w:szCs w:val="22"/>
        </w:rPr>
        <w:t>sion des francophones</w:t>
      </w:r>
      <w:r>
        <w:rPr>
          <w:szCs w:val="22"/>
        </w:rPr>
        <w:t> </w:t>
      </w:r>
      <w:r w:rsidRPr="00857900">
        <w:rPr>
          <w:rStyle w:val="Appelnotedebasdep"/>
        </w:rPr>
        <w:footnoteReference w:id="2"/>
      </w:r>
      <w:r w:rsidRPr="00675326">
        <w:rPr>
          <w:szCs w:val="22"/>
        </w:rPr>
        <w:t xml:space="preserve"> qu'il perdit en 1962 les appuis qu'il avait obtenus en 1958 au Québec et chez les francophones hors Qu</w:t>
      </w:r>
      <w:r w:rsidRPr="00675326">
        <w:rPr>
          <w:szCs w:val="22"/>
        </w:rPr>
        <w:t>é</w:t>
      </w:r>
      <w:r w:rsidRPr="00675326">
        <w:rPr>
          <w:szCs w:val="22"/>
        </w:rPr>
        <w:t>bec. Parmi les voix exprimées au Québec, la proportion recueillie par les progressistes conservateurs en 1957 s'élevait à 31</w:t>
      </w:r>
      <w:r>
        <w:rPr>
          <w:szCs w:val="22"/>
        </w:rPr>
        <w:t>%</w:t>
      </w:r>
      <w:r w:rsidRPr="00675326">
        <w:rPr>
          <w:szCs w:val="22"/>
        </w:rPr>
        <w:t> ; cette propo</w:t>
      </w:r>
      <w:r w:rsidRPr="00675326">
        <w:rPr>
          <w:szCs w:val="22"/>
        </w:rPr>
        <w:t>r</w:t>
      </w:r>
      <w:r w:rsidRPr="00675326">
        <w:rPr>
          <w:szCs w:val="22"/>
        </w:rPr>
        <w:t>tion avait atteint 49</w:t>
      </w:r>
      <w:r>
        <w:rPr>
          <w:szCs w:val="22"/>
        </w:rPr>
        <w:t>%</w:t>
      </w:r>
      <w:r w:rsidRPr="00675326">
        <w:rPr>
          <w:szCs w:val="22"/>
        </w:rPr>
        <w:t xml:space="preserve"> en 1958 ; elle fut réduite à 30</w:t>
      </w:r>
      <w:r>
        <w:rPr>
          <w:szCs w:val="22"/>
        </w:rPr>
        <w:t>%</w:t>
      </w:r>
      <w:r w:rsidRPr="00675326">
        <w:rPr>
          <w:szCs w:val="22"/>
        </w:rPr>
        <w:t xml:space="preserve"> en 1962.</w:t>
      </w:r>
    </w:p>
    <w:p w:rsidR="00AD690E" w:rsidRPr="00675326" w:rsidRDefault="00AD690E" w:rsidP="00AD690E">
      <w:pPr>
        <w:spacing w:before="120" w:after="120"/>
        <w:jc w:val="both"/>
      </w:pPr>
      <w:r w:rsidRPr="00675326">
        <w:rPr>
          <w:szCs w:val="22"/>
        </w:rPr>
        <w:t>Déçus de Diefenbaker et peu enclins à voter pour Pearson, un tiers des francophones qui avaient appuyé des candidats progressistes conservateurs au Québec en 1958 se rangèrent du côté des créditistes aux élections du 18 juin 1962, tout comme le firent quelque 20 à 25</w:t>
      </w:r>
      <w:r>
        <w:rPr>
          <w:szCs w:val="22"/>
        </w:rPr>
        <w:t>%</w:t>
      </w:r>
      <w:r w:rsidRPr="00675326">
        <w:rPr>
          <w:szCs w:val="22"/>
        </w:rPr>
        <w:t xml:space="preserve"> des francophones québécois qui avaient appuyé des candidats libéraux en 1958</w:t>
      </w:r>
      <w:r>
        <w:rPr>
          <w:szCs w:val="22"/>
        </w:rPr>
        <w:t> </w:t>
      </w:r>
      <w:r w:rsidRPr="00857900">
        <w:rPr>
          <w:rStyle w:val="Appelnotedebasdep"/>
        </w:rPr>
        <w:footnoteReference w:id="3"/>
      </w:r>
      <w:r w:rsidRPr="00675326">
        <w:rPr>
          <w:szCs w:val="22"/>
        </w:rPr>
        <w:t>- Les créditistes, dirigés par Real Caouette, obtinrent 26 si</w:t>
      </w:r>
      <w:r w:rsidRPr="00675326">
        <w:rPr>
          <w:szCs w:val="22"/>
        </w:rPr>
        <w:t>è</w:t>
      </w:r>
      <w:r w:rsidRPr="00675326">
        <w:rPr>
          <w:szCs w:val="22"/>
        </w:rPr>
        <w:t>ges au Québec en 1962, avec 26</w:t>
      </w:r>
      <w:r>
        <w:rPr>
          <w:szCs w:val="22"/>
        </w:rPr>
        <w:t>%</w:t>
      </w:r>
      <w:r w:rsidRPr="00675326">
        <w:rPr>
          <w:szCs w:val="22"/>
        </w:rPr>
        <w:t xml:space="preserve"> des voix exprimées. Le succès rel</w:t>
      </w:r>
      <w:r w:rsidRPr="00675326">
        <w:rPr>
          <w:szCs w:val="22"/>
        </w:rPr>
        <w:t>a</w:t>
      </w:r>
      <w:r w:rsidRPr="00675326">
        <w:rPr>
          <w:szCs w:val="22"/>
        </w:rPr>
        <w:t>tif des créditistes aux élections fédérales de 1962 au Québec, qui peut certainement être expliqué de plusieurs manières</w:t>
      </w:r>
      <w:r>
        <w:rPr>
          <w:szCs w:val="22"/>
        </w:rPr>
        <w:t> </w:t>
      </w:r>
      <w:r w:rsidRPr="00857900">
        <w:rPr>
          <w:rStyle w:val="Appelnotedebasdep"/>
        </w:rPr>
        <w:footnoteReference w:id="4"/>
      </w:r>
      <w:r w:rsidRPr="00675326">
        <w:rPr>
          <w:szCs w:val="22"/>
        </w:rPr>
        <w:t>, avait</w:t>
      </w:r>
      <w:r>
        <w:rPr>
          <w:szCs w:val="22"/>
        </w:rPr>
        <w:t xml:space="preserve"> </w:t>
      </w:r>
      <w:r>
        <w:rPr>
          <w:szCs w:val="18"/>
        </w:rPr>
        <w:t>[</w:t>
      </w:r>
      <w:r w:rsidRPr="00675326">
        <w:rPr>
          <w:szCs w:val="18"/>
        </w:rPr>
        <w:t>16</w:t>
      </w:r>
      <w:r>
        <w:rPr>
          <w:szCs w:val="18"/>
        </w:rPr>
        <w:t xml:space="preserve">] </w:t>
      </w:r>
      <w:r w:rsidRPr="00675326">
        <w:rPr>
          <w:szCs w:val="22"/>
        </w:rPr>
        <w:t>pui</w:t>
      </w:r>
      <w:r w:rsidRPr="00675326">
        <w:rPr>
          <w:szCs w:val="22"/>
        </w:rPr>
        <w:t>s</w:t>
      </w:r>
      <w:r w:rsidRPr="00675326">
        <w:rPr>
          <w:szCs w:val="22"/>
        </w:rPr>
        <w:t>samment contribué à la déroute électorale du go</w:t>
      </w:r>
      <w:r w:rsidRPr="00675326">
        <w:rPr>
          <w:szCs w:val="22"/>
        </w:rPr>
        <w:t>u</w:t>
      </w:r>
      <w:r w:rsidRPr="00675326">
        <w:rPr>
          <w:szCs w:val="22"/>
        </w:rPr>
        <w:t>vernement de John Diefenbaker.</w:t>
      </w:r>
    </w:p>
    <w:p w:rsidR="00AD690E" w:rsidRPr="00675326" w:rsidRDefault="00AD690E" w:rsidP="00AD690E">
      <w:pPr>
        <w:spacing w:before="120" w:after="120"/>
        <w:jc w:val="both"/>
      </w:pPr>
      <w:r w:rsidRPr="00675326">
        <w:rPr>
          <w:szCs w:val="22"/>
        </w:rPr>
        <w:t>À la suite de l'élection de 1962, John Diefenbaker n'avait plus de majorité parlementaire. Son parti n'avait obtenu que 116 sièges (avec 2</w:t>
      </w:r>
      <w:r>
        <w:rPr>
          <w:szCs w:val="22"/>
        </w:rPr>
        <w:t> </w:t>
      </w:r>
      <w:r w:rsidRPr="00675326">
        <w:rPr>
          <w:szCs w:val="22"/>
        </w:rPr>
        <w:t>865</w:t>
      </w:r>
      <w:r>
        <w:rPr>
          <w:szCs w:val="22"/>
        </w:rPr>
        <w:t> </w:t>
      </w:r>
      <w:r w:rsidRPr="00675326">
        <w:rPr>
          <w:szCs w:val="22"/>
        </w:rPr>
        <w:t>582 voix), les libéraux en avaient obtenu 100 (avec 2</w:t>
      </w:r>
      <w:r>
        <w:rPr>
          <w:szCs w:val="22"/>
        </w:rPr>
        <w:t> </w:t>
      </w:r>
      <w:r w:rsidRPr="00675326">
        <w:rPr>
          <w:szCs w:val="22"/>
        </w:rPr>
        <w:t>861</w:t>
      </w:r>
      <w:r>
        <w:rPr>
          <w:szCs w:val="22"/>
        </w:rPr>
        <w:t> </w:t>
      </w:r>
      <w:r w:rsidRPr="00675326">
        <w:rPr>
          <w:szCs w:val="22"/>
        </w:rPr>
        <w:t xml:space="preserve">834 </w:t>
      </w:r>
      <w:r w:rsidRPr="00675326">
        <w:rPr>
          <w:szCs w:val="22"/>
        </w:rPr>
        <w:lastRenderedPageBreak/>
        <w:t>voix). Les créd</w:t>
      </w:r>
      <w:r w:rsidRPr="00675326">
        <w:rPr>
          <w:szCs w:val="22"/>
        </w:rPr>
        <w:t>i</w:t>
      </w:r>
      <w:r w:rsidRPr="00675326">
        <w:rPr>
          <w:szCs w:val="22"/>
        </w:rPr>
        <w:t>tistes avaient 26 élus au Québec, deux en Alberta et deux en Colombie-Britannique, alors que le Nouveau Parti démocrat</w:t>
      </w:r>
      <w:r w:rsidRPr="00675326">
        <w:rPr>
          <w:szCs w:val="22"/>
        </w:rPr>
        <w:t>i</w:t>
      </w:r>
      <w:r w:rsidRPr="00675326">
        <w:rPr>
          <w:szCs w:val="22"/>
        </w:rPr>
        <w:t>que, issu en 1961 (31 juillet — 4 août) de la Coopérative Commo</w:t>
      </w:r>
      <w:r w:rsidRPr="00675326">
        <w:rPr>
          <w:szCs w:val="22"/>
        </w:rPr>
        <w:t>n</w:t>
      </w:r>
      <w:r w:rsidRPr="00675326">
        <w:rPr>
          <w:szCs w:val="22"/>
        </w:rPr>
        <w:t>wealth Fédération, elle-même créée en 1932, avait fait élire dix-neuf de ses candidats. Puisque les néo-démocrates dirigés par T.C. Douglas lui étaient hostiles, John Diefenbaker, pour rester au pouvoir, fut obl</w:t>
      </w:r>
      <w:r w:rsidRPr="00675326">
        <w:rPr>
          <w:szCs w:val="22"/>
        </w:rPr>
        <w:t>i</w:t>
      </w:r>
      <w:r w:rsidRPr="00675326">
        <w:rPr>
          <w:szCs w:val="22"/>
        </w:rPr>
        <w:t>gé d'obtenir l'appui des députés créditistes, qui l'avaient combattu pendant la précédente campagne éle</w:t>
      </w:r>
      <w:r w:rsidRPr="00675326">
        <w:rPr>
          <w:szCs w:val="22"/>
        </w:rPr>
        <w:t>c</w:t>
      </w:r>
      <w:r w:rsidRPr="00675326">
        <w:rPr>
          <w:szCs w:val="22"/>
        </w:rPr>
        <w:t>torale et avaient contribué à sa défaite.</w:t>
      </w:r>
    </w:p>
    <w:p w:rsidR="00AD690E" w:rsidRPr="00675326" w:rsidRDefault="00AD690E" w:rsidP="00AD690E">
      <w:pPr>
        <w:spacing w:before="120" w:after="120"/>
        <w:jc w:val="both"/>
      </w:pPr>
      <w:r w:rsidRPr="00675326">
        <w:rPr>
          <w:szCs w:val="22"/>
        </w:rPr>
        <w:t>Le gouvernement Diefenbaker, que les créditistes avaient appuyé à la session d'automne 1962 (ouverte le 27 septembre), tomba le 5 f</w:t>
      </w:r>
      <w:r w:rsidRPr="00675326">
        <w:rPr>
          <w:szCs w:val="22"/>
        </w:rPr>
        <w:t>é</w:t>
      </w:r>
      <w:r w:rsidRPr="00675326">
        <w:rPr>
          <w:szCs w:val="22"/>
        </w:rPr>
        <w:t>vrier 1963, quinze jours après la reprise des travaux (le 21 janvier) : les députés créditistes lui retirèrent leur appui. La chute du gouvern</w:t>
      </w:r>
      <w:r w:rsidRPr="00675326">
        <w:rPr>
          <w:szCs w:val="22"/>
        </w:rPr>
        <w:t>e</w:t>
      </w:r>
      <w:r w:rsidRPr="00675326">
        <w:rPr>
          <w:szCs w:val="22"/>
        </w:rPr>
        <w:t>ment de John Diefenbaker se produisit au terme d'une crise causée par les prises de position contradictoires des ministres progressistes conservateurs au sujet de la politique d'a</w:t>
      </w:r>
      <w:r w:rsidRPr="00675326">
        <w:rPr>
          <w:szCs w:val="22"/>
        </w:rPr>
        <w:t>r</w:t>
      </w:r>
      <w:r w:rsidRPr="00675326">
        <w:rPr>
          <w:szCs w:val="22"/>
        </w:rPr>
        <w:t>mement du Canada, politique qu'avait voulu préciser le général Lauris Norstad, commandant so</w:t>
      </w:r>
      <w:r w:rsidRPr="00675326">
        <w:rPr>
          <w:szCs w:val="22"/>
        </w:rPr>
        <w:t>r</w:t>
      </w:r>
      <w:r w:rsidRPr="00675326">
        <w:rPr>
          <w:szCs w:val="22"/>
        </w:rPr>
        <w:t xml:space="preserve">tant de l'organisation du </w:t>
      </w:r>
      <w:r w:rsidRPr="00675326">
        <w:rPr>
          <w:i/>
          <w:iCs/>
          <w:szCs w:val="22"/>
        </w:rPr>
        <w:t xml:space="preserve">Traité de l'Atlantique Nord </w:t>
      </w:r>
      <w:r w:rsidRPr="00675326">
        <w:rPr>
          <w:szCs w:val="22"/>
        </w:rPr>
        <w:t>(dans une déclaration du 4 janvier 1963). Plusieurs ministres étaient opposés à l'idée de d</w:t>
      </w:r>
      <w:r w:rsidRPr="00675326">
        <w:rPr>
          <w:szCs w:val="22"/>
        </w:rPr>
        <w:t>o</w:t>
      </w:r>
      <w:r w:rsidRPr="00675326">
        <w:rPr>
          <w:szCs w:val="22"/>
        </w:rPr>
        <w:t>ter les forces armées canadiennes d'armes nucléaires (c'était nota</w:t>
      </w:r>
      <w:r w:rsidRPr="00675326">
        <w:rPr>
          <w:szCs w:val="22"/>
        </w:rPr>
        <w:t>m</w:t>
      </w:r>
      <w:r w:rsidRPr="00675326">
        <w:rPr>
          <w:szCs w:val="22"/>
        </w:rPr>
        <w:t>ment le point de vue du s</w:t>
      </w:r>
      <w:r w:rsidRPr="00675326">
        <w:rPr>
          <w:szCs w:val="22"/>
        </w:rPr>
        <w:t>e</w:t>
      </w:r>
      <w:r w:rsidRPr="00675326">
        <w:rPr>
          <w:szCs w:val="22"/>
        </w:rPr>
        <w:t>crétaire d'État aux Affaires extérieures, Howard Green) ; d'autres ministres y étaient favorables (c'était le cas du ministre de la Défense, Douglas Harkness, du ministre du Co</w:t>
      </w:r>
      <w:r w:rsidRPr="00675326">
        <w:rPr>
          <w:szCs w:val="22"/>
        </w:rPr>
        <w:t>m</w:t>
      </w:r>
      <w:r w:rsidRPr="00675326">
        <w:rPr>
          <w:szCs w:val="22"/>
        </w:rPr>
        <w:t>merce, George Hees, et du ministre associé de la Défense, J.P.A. S</w:t>
      </w:r>
      <w:r w:rsidRPr="00675326">
        <w:rPr>
          <w:szCs w:val="22"/>
        </w:rPr>
        <w:t>é</w:t>
      </w:r>
      <w:r w:rsidRPr="00675326">
        <w:rPr>
          <w:szCs w:val="22"/>
        </w:rPr>
        <w:t>vigny). Le 3 février, Douglas Harkness offrit sa démission ; le lend</w:t>
      </w:r>
      <w:r w:rsidRPr="00675326">
        <w:rPr>
          <w:szCs w:val="22"/>
        </w:rPr>
        <w:t>e</w:t>
      </w:r>
      <w:r w:rsidRPr="00675326">
        <w:rPr>
          <w:szCs w:val="22"/>
        </w:rPr>
        <w:t>main, Lester B. Pearson présenta une motion de non-confiance fondée sur l'impre</w:t>
      </w:r>
      <w:r w:rsidRPr="00675326">
        <w:rPr>
          <w:szCs w:val="22"/>
        </w:rPr>
        <w:t>s</w:t>
      </w:r>
      <w:r w:rsidRPr="00675326">
        <w:rPr>
          <w:szCs w:val="22"/>
        </w:rPr>
        <w:t>sion de confusion que donnait le gouvernement ; le 5, les créditistes de R</w:t>
      </w:r>
      <w:r>
        <w:rPr>
          <w:szCs w:val="22"/>
        </w:rPr>
        <w:t>é</w:t>
      </w:r>
      <w:r w:rsidRPr="00675326">
        <w:rPr>
          <w:szCs w:val="22"/>
        </w:rPr>
        <w:t>al Caouette scellèrent la défaite du go</w:t>
      </w:r>
      <w:r w:rsidRPr="00675326">
        <w:rPr>
          <w:szCs w:val="22"/>
        </w:rPr>
        <w:t>u</w:t>
      </w:r>
      <w:r w:rsidRPr="00675326">
        <w:rPr>
          <w:szCs w:val="22"/>
        </w:rPr>
        <w:t>vernement de John Diefenbaker</w:t>
      </w:r>
      <w:r>
        <w:rPr>
          <w:szCs w:val="22"/>
        </w:rPr>
        <w:t> </w:t>
      </w:r>
      <w:r>
        <w:rPr>
          <w:rStyle w:val="Appelnotedebasdep"/>
        </w:rPr>
        <w:footnoteReference w:id="5"/>
      </w:r>
      <w:r w:rsidRPr="00675326">
        <w:rPr>
          <w:szCs w:val="22"/>
        </w:rPr>
        <w:t>.</w:t>
      </w:r>
    </w:p>
    <w:p w:rsidR="00AD690E" w:rsidRPr="00675326" w:rsidRDefault="00AD690E" w:rsidP="00AD690E">
      <w:pPr>
        <w:spacing w:before="120" w:after="120"/>
        <w:jc w:val="both"/>
      </w:pPr>
      <w:r w:rsidRPr="00675326">
        <w:rPr>
          <w:szCs w:val="22"/>
        </w:rPr>
        <w:t>Les élections réclamées par John D</w:t>
      </w:r>
      <w:r>
        <w:rPr>
          <w:sz w:val="24"/>
        </w:rPr>
        <w:t>i</w:t>
      </w:r>
      <w:r w:rsidRPr="00675326">
        <w:t>efenbaker eurent lieu le 8 avril 1963 et eurent pour résultats de porter Lester B. Pearson à la tête d'un nouveau gouvernement minoritaire, les libéraux ayant obtenu 129 si</w:t>
      </w:r>
      <w:r w:rsidRPr="00675326">
        <w:t>è</w:t>
      </w:r>
      <w:r w:rsidRPr="00675326">
        <w:t xml:space="preserve">ges et les progressistes conservateurs 95. Les créditistes avaient perdu six sièges au </w:t>
      </w:r>
      <w:r w:rsidRPr="00675326">
        <w:t>Québec</w:t>
      </w:r>
      <w:r>
        <w:t xml:space="preserve"> </w:t>
      </w:r>
      <w:r w:rsidRPr="00675326">
        <w:rPr>
          <w:szCs w:val="22"/>
        </w:rPr>
        <w:t xml:space="preserve">eurent lieu le 8 avril 1963 et eurent pour </w:t>
      </w:r>
      <w:r w:rsidRPr="00675326">
        <w:rPr>
          <w:szCs w:val="22"/>
        </w:rPr>
        <w:lastRenderedPageBreak/>
        <w:t>résu</w:t>
      </w:r>
      <w:r w:rsidRPr="00675326">
        <w:rPr>
          <w:szCs w:val="22"/>
        </w:rPr>
        <w:t>l</w:t>
      </w:r>
      <w:r w:rsidRPr="00675326">
        <w:rPr>
          <w:szCs w:val="22"/>
        </w:rPr>
        <w:t>tats de porter Le</w:t>
      </w:r>
      <w:r w:rsidRPr="00675326">
        <w:rPr>
          <w:szCs w:val="22"/>
        </w:rPr>
        <w:t>s</w:t>
      </w:r>
      <w:r w:rsidRPr="00675326">
        <w:rPr>
          <w:szCs w:val="22"/>
        </w:rPr>
        <w:t>ter B. Pearson à la tête d'un nouveau gouvernement minoritaire, les libéraux ayant obtenu 129 sièges et les pr</w:t>
      </w:r>
      <w:r w:rsidRPr="00675326">
        <w:rPr>
          <w:szCs w:val="22"/>
        </w:rPr>
        <w:t>o</w:t>
      </w:r>
      <w:r w:rsidRPr="00675326">
        <w:rPr>
          <w:szCs w:val="22"/>
        </w:rPr>
        <w:t>gressistes conservateurs 95. Les créditistes avaient perdu six sièges au</w:t>
      </w:r>
      <w:r>
        <w:rPr>
          <w:szCs w:val="22"/>
        </w:rPr>
        <w:t xml:space="preserve"> Québec</w:t>
      </w:r>
      <w:r w:rsidRPr="00675326">
        <w:rPr>
          <w:szCs w:val="22"/>
        </w:rPr>
        <w:t xml:space="preserve"> </w:t>
      </w:r>
      <w:r>
        <w:t xml:space="preserve">[17] </w:t>
      </w:r>
      <w:r w:rsidRPr="00675326">
        <w:rPr>
          <w:szCs w:val="22"/>
        </w:rPr>
        <w:t>(ils n'en avaient plus que 20), et le Nouveau Parti démocratique avait perdu l'unique siège qu'il avait obtenu précédemment en Nouve</w:t>
      </w:r>
      <w:r w:rsidRPr="00675326">
        <w:rPr>
          <w:szCs w:val="22"/>
        </w:rPr>
        <w:t>l</w:t>
      </w:r>
      <w:r w:rsidRPr="00675326">
        <w:rPr>
          <w:szCs w:val="22"/>
        </w:rPr>
        <w:t>le-</w:t>
      </w:r>
      <w:r>
        <w:rPr>
          <w:szCs w:val="22"/>
        </w:rPr>
        <w:t>É</w:t>
      </w:r>
      <w:r w:rsidRPr="00675326">
        <w:rPr>
          <w:szCs w:val="22"/>
        </w:rPr>
        <w:t>cosse, ainsi qu'un siège en Colombie-Britannique.</w:t>
      </w:r>
    </w:p>
    <w:p w:rsidR="00AD690E" w:rsidRPr="00675326" w:rsidRDefault="00AD690E" w:rsidP="00AD690E">
      <w:pPr>
        <w:spacing w:before="120" w:after="120"/>
        <w:jc w:val="both"/>
      </w:pPr>
      <w:r w:rsidRPr="00675326">
        <w:rPr>
          <w:szCs w:val="22"/>
        </w:rPr>
        <w:t>C'est au Québec surtout que l'élection s'était jouée. Les libéraux y avaient ret</w:t>
      </w:r>
      <w:r>
        <w:rPr>
          <w:szCs w:val="22"/>
        </w:rPr>
        <w:t>r</w:t>
      </w:r>
      <w:r w:rsidRPr="00675326">
        <w:rPr>
          <w:szCs w:val="22"/>
        </w:rPr>
        <w:t>ouvé les 46</w:t>
      </w:r>
      <w:r>
        <w:rPr>
          <w:szCs w:val="22"/>
        </w:rPr>
        <w:t>%</w:t>
      </w:r>
      <w:r w:rsidRPr="00675326">
        <w:rPr>
          <w:szCs w:val="22"/>
        </w:rPr>
        <w:t xml:space="preserve"> des voix qu'ils avaient eues déjà en 1957 (à l'époque de Louis Stephen Saint-Laurent) et ils y avaient augmenté de douze le nombre de leurs sièges (qui passait de 35 à 47). La situation ne fut pas sensiblement modifiée en 1965, lors des élections du 8 n</w:t>
      </w:r>
      <w:r w:rsidRPr="00675326">
        <w:rPr>
          <w:szCs w:val="22"/>
        </w:rPr>
        <w:t>o</w:t>
      </w:r>
      <w:r w:rsidRPr="00675326">
        <w:rPr>
          <w:szCs w:val="22"/>
        </w:rPr>
        <w:t>vembre (voir tableau 2).</w:t>
      </w:r>
    </w:p>
    <w:p w:rsidR="00AD690E" w:rsidRDefault="00AD690E" w:rsidP="00AD690E">
      <w:pPr>
        <w:spacing w:before="120" w:after="120"/>
        <w:jc w:val="both"/>
        <w:rPr>
          <w:szCs w:val="22"/>
        </w:rPr>
      </w:pPr>
      <w:r>
        <w:rPr>
          <w:szCs w:val="22"/>
        </w:rPr>
        <w:br w:type="page"/>
      </w:r>
    </w:p>
    <w:p w:rsidR="00AD690E" w:rsidRDefault="00AD690E" w:rsidP="00AD690E">
      <w:pPr>
        <w:spacing w:before="120" w:after="120"/>
        <w:jc w:val="center"/>
        <w:rPr>
          <w:sz w:val="24"/>
          <w:szCs w:val="22"/>
        </w:rPr>
      </w:pPr>
      <w:r w:rsidRPr="00047F16">
        <w:rPr>
          <w:sz w:val="24"/>
          <w:szCs w:val="22"/>
        </w:rPr>
        <w:t>Tableau 2</w:t>
      </w:r>
    </w:p>
    <w:p w:rsidR="00AD690E" w:rsidRPr="00047F16" w:rsidRDefault="00AD690E" w:rsidP="00AD690E">
      <w:pPr>
        <w:spacing w:before="120" w:after="120"/>
        <w:jc w:val="both"/>
        <w:rPr>
          <w:sz w:val="24"/>
        </w:rPr>
      </w:pPr>
      <w:r w:rsidRPr="00047F16">
        <w:rPr>
          <w:sz w:val="24"/>
          <w:szCs w:val="22"/>
        </w:rPr>
        <w:t>Nombre de sièges et pourcentage des voix exprimées obtenus par les divers partis, par région, élections générales à la Chambre des communes du Canada, 1963, 1965, 1968 et 1972</w:t>
      </w:r>
    </w:p>
    <w:p w:rsidR="00AD690E" w:rsidRDefault="00AD690E" w:rsidP="00AD690E"/>
    <w:tbl>
      <w:tblPr>
        <w:tblW w:w="10062" w:type="dxa"/>
        <w:tblInd w:w="-1580" w:type="dxa"/>
        <w:tblLayout w:type="fixed"/>
        <w:tblCellMar>
          <w:left w:w="40" w:type="dxa"/>
          <w:right w:w="40" w:type="dxa"/>
        </w:tblCellMar>
        <w:tblLook w:val="0000" w:firstRow="0" w:lastRow="0" w:firstColumn="0" w:lastColumn="0" w:noHBand="0" w:noVBand="0"/>
      </w:tblPr>
      <w:tblGrid>
        <w:gridCol w:w="1521"/>
        <w:gridCol w:w="819"/>
        <w:gridCol w:w="882"/>
        <w:gridCol w:w="801"/>
        <w:gridCol w:w="819"/>
        <w:gridCol w:w="837"/>
        <w:gridCol w:w="864"/>
        <w:gridCol w:w="855"/>
        <w:gridCol w:w="846"/>
        <w:gridCol w:w="837"/>
        <w:gridCol w:w="981"/>
      </w:tblGrid>
      <w:tr w:rsidR="00AD690E" w:rsidRPr="00675326">
        <w:tblPrEx>
          <w:tblCellMar>
            <w:top w:w="0" w:type="dxa"/>
            <w:bottom w:w="0" w:type="dxa"/>
          </w:tblCellMar>
        </w:tblPrEx>
        <w:tc>
          <w:tcPr>
            <w:tcW w:w="152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1701" w:type="dxa"/>
            <w:gridSpan w:val="2"/>
            <w:tcBorders>
              <w:top w:val="single" w:sz="12" w:space="0" w:color="auto"/>
              <w:left w:val="nil"/>
              <w:bottom w:val="single" w:sz="12" w:space="0" w:color="auto"/>
              <w:right w:val="nil"/>
            </w:tcBorders>
            <w:shd w:val="clear" w:color="auto" w:fill="EAF1DD"/>
          </w:tcPr>
          <w:p w:rsidR="00AD690E" w:rsidRDefault="00AD690E" w:rsidP="00AD690E">
            <w:pPr>
              <w:spacing w:before="60" w:after="60"/>
              <w:ind w:firstLine="0"/>
              <w:jc w:val="center"/>
              <w:rPr>
                <w:sz w:val="24"/>
                <w:szCs w:val="12"/>
              </w:rPr>
            </w:pPr>
            <w:r w:rsidRPr="00047F16">
              <w:rPr>
                <w:sz w:val="24"/>
                <w:szCs w:val="12"/>
              </w:rPr>
              <w:t>Colombie</w:t>
            </w:r>
            <w:r>
              <w:rPr>
                <w:sz w:val="24"/>
                <w:szCs w:val="12"/>
              </w:rPr>
              <w:br/>
              <w:t>et Territo</w:t>
            </w:r>
            <w:r>
              <w:rPr>
                <w:sz w:val="24"/>
                <w:szCs w:val="12"/>
              </w:rPr>
              <w:t>i</w:t>
            </w:r>
            <w:r>
              <w:rPr>
                <w:sz w:val="24"/>
                <w:szCs w:val="12"/>
              </w:rPr>
              <w:t>res</w:t>
            </w:r>
          </w:p>
        </w:tc>
        <w:tc>
          <w:tcPr>
            <w:tcW w:w="1620" w:type="dxa"/>
            <w:gridSpan w:val="2"/>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center"/>
              <w:rPr>
                <w:sz w:val="24"/>
                <w:szCs w:val="12"/>
              </w:rPr>
            </w:pPr>
            <w:r>
              <w:rPr>
                <w:sz w:val="24"/>
                <w:szCs w:val="12"/>
              </w:rPr>
              <w:t>A</w:t>
            </w:r>
            <w:r>
              <w:rPr>
                <w:sz w:val="24"/>
                <w:szCs w:val="12"/>
              </w:rPr>
              <w:t>l</w:t>
            </w:r>
            <w:r>
              <w:rPr>
                <w:sz w:val="24"/>
                <w:szCs w:val="12"/>
              </w:rPr>
              <w:t>berta,</w:t>
            </w:r>
            <w:r>
              <w:rPr>
                <w:sz w:val="24"/>
                <w:szCs w:val="12"/>
              </w:rPr>
              <w:br/>
              <w:t>Saska</w:t>
            </w:r>
            <w:r>
              <w:rPr>
                <w:sz w:val="24"/>
                <w:szCs w:val="12"/>
              </w:rPr>
              <w:t>t</w:t>
            </w:r>
            <w:r>
              <w:rPr>
                <w:sz w:val="24"/>
                <w:szCs w:val="12"/>
              </w:rPr>
              <w:t>chewan,</w:t>
            </w:r>
            <w:r>
              <w:rPr>
                <w:sz w:val="24"/>
                <w:szCs w:val="12"/>
              </w:rPr>
              <w:br/>
              <w:t>Manit</w:t>
            </w:r>
            <w:r>
              <w:rPr>
                <w:sz w:val="24"/>
                <w:szCs w:val="12"/>
              </w:rPr>
              <w:t>o</w:t>
            </w:r>
            <w:r>
              <w:rPr>
                <w:sz w:val="24"/>
                <w:szCs w:val="12"/>
              </w:rPr>
              <w:t>ba</w:t>
            </w:r>
          </w:p>
        </w:tc>
        <w:tc>
          <w:tcPr>
            <w:tcW w:w="1701" w:type="dxa"/>
            <w:gridSpan w:val="2"/>
            <w:tcBorders>
              <w:top w:val="single" w:sz="12" w:space="0" w:color="auto"/>
              <w:left w:val="nil"/>
              <w:bottom w:val="single" w:sz="12" w:space="0" w:color="auto"/>
              <w:right w:val="nil"/>
            </w:tcBorders>
            <w:shd w:val="clear" w:color="auto" w:fill="EAF1DD"/>
          </w:tcPr>
          <w:p w:rsidR="00AD690E" w:rsidRDefault="00AD690E" w:rsidP="00AD690E">
            <w:pPr>
              <w:spacing w:before="60" w:after="60"/>
              <w:ind w:firstLine="0"/>
              <w:jc w:val="center"/>
              <w:rPr>
                <w:sz w:val="24"/>
                <w:szCs w:val="12"/>
              </w:rPr>
            </w:pPr>
            <w:r>
              <w:rPr>
                <w:sz w:val="24"/>
                <w:szCs w:val="12"/>
              </w:rPr>
              <w:t>O</w:t>
            </w:r>
            <w:r>
              <w:rPr>
                <w:sz w:val="24"/>
                <w:szCs w:val="12"/>
              </w:rPr>
              <w:t>n</w:t>
            </w:r>
            <w:r>
              <w:rPr>
                <w:sz w:val="24"/>
                <w:szCs w:val="12"/>
              </w:rPr>
              <w:t>tario</w:t>
            </w:r>
          </w:p>
        </w:tc>
        <w:tc>
          <w:tcPr>
            <w:tcW w:w="1701" w:type="dxa"/>
            <w:gridSpan w:val="2"/>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center"/>
              <w:rPr>
                <w:sz w:val="24"/>
                <w:szCs w:val="12"/>
              </w:rPr>
            </w:pPr>
            <w:r>
              <w:rPr>
                <w:sz w:val="24"/>
                <w:szCs w:val="12"/>
              </w:rPr>
              <w:t>Québec</w:t>
            </w:r>
          </w:p>
        </w:tc>
        <w:tc>
          <w:tcPr>
            <w:tcW w:w="1818" w:type="dxa"/>
            <w:gridSpan w:val="2"/>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center"/>
              <w:rPr>
                <w:sz w:val="24"/>
                <w:szCs w:val="12"/>
              </w:rPr>
            </w:pPr>
            <w:r w:rsidRPr="00047F16">
              <w:rPr>
                <w:sz w:val="24"/>
                <w:szCs w:val="12"/>
              </w:rPr>
              <w:t>Provinces l'Atla</w:t>
            </w:r>
            <w:r w:rsidRPr="00047F16">
              <w:rPr>
                <w:sz w:val="24"/>
                <w:szCs w:val="12"/>
              </w:rPr>
              <w:t>n</w:t>
            </w:r>
            <w:r w:rsidRPr="00047F16">
              <w:rPr>
                <w:sz w:val="24"/>
                <w:szCs w:val="12"/>
              </w:rPr>
              <w:t>t</w:t>
            </w:r>
            <w:r w:rsidRPr="00047F16">
              <w:rPr>
                <w:sz w:val="24"/>
                <w:szCs w:val="12"/>
              </w:rPr>
              <w:t>i</w:t>
            </w:r>
            <w:r w:rsidRPr="00047F16">
              <w:rPr>
                <w:sz w:val="24"/>
                <w:szCs w:val="12"/>
              </w:rPr>
              <w:t>que</w:t>
            </w:r>
          </w:p>
        </w:tc>
      </w:tr>
      <w:tr w:rsidR="00AD690E" w:rsidRPr="00675326">
        <w:tblPrEx>
          <w:tblCellMar>
            <w:top w:w="0" w:type="dxa"/>
            <w:bottom w:w="0" w:type="dxa"/>
          </w:tblCellMar>
        </w:tblPrEx>
        <w:tc>
          <w:tcPr>
            <w:tcW w:w="152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819"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Si</w:t>
            </w:r>
            <w:r w:rsidRPr="00047F16">
              <w:rPr>
                <w:sz w:val="24"/>
                <w:szCs w:val="12"/>
              </w:rPr>
              <w:t>è</w:t>
            </w:r>
            <w:r w:rsidRPr="00047F16">
              <w:rPr>
                <w:sz w:val="24"/>
                <w:szCs w:val="12"/>
              </w:rPr>
              <w:t>ges</w:t>
            </w:r>
          </w:p>
        </w:tc>
        <w:tc>
          <w:tcPr>
            <w:tcW w:w="882"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Pr>
                <w:sz w:val="24"/>
                <w:szCs w:val="12"/>
              </w:rPr>
              <w:t>Voix</w:t>
            </w:r>
          </w:p>
        </w:tc>
        <w:tc>
          <w:tcPr>
            <w:tcW w:w="80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Si</w:t>
            </w:r>
            <w:r w:rsidRPr="00047F16">
              <w:rPr>
                <w:sz w:val="24"/>
                <w:szCs w:val="12"/>
              </w:rPr>
              <w:t>è</w:t>
            </w:r>
            <w:r w:rsidRPr="00047F16">
              <w:rPr>
                <w:sz w:val="24"/>
                <w:szCs w:val="12"/>
              </w:rPr>
              <w:t>ges</w:t>
            </w:r>
          </w:p>
        </w:tc>
        <w:tc>
          <w:tcPr>
            <w:tcW w:w="819"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Voix</w:t>
            </w:r>
          </w:p>
        </w:tc>
        <w:tc>
          <w:tcPr>
            <w:tcW w:w="837"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Si</w:t>
            </w:r>
            <w:r w:rsidRPr="00047F16">
              <w:rPr>
                <w:sz w:val="24"/>
                <w:szCs w:val="12"/>
              </w:rPr>
              <w:t>è</w:t>
            </w:r>
            <w:r w:rsidRPr="00047F16">
              <w:rPr>
                <w:sz w:val="24"/>
                <w:szCs w:val="12"/>
              </w:rPr>
              <w:t>ges</w:t>
            </w:r>
          </w:p>
        </w:tc>
        <w:tc>
          <w:tcPr>
            <w:tcW w:w="864"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Pr>
                <w:sz w:val="24"/>
                <w:szCs w:val="12"/>
              </w:rPr>
              <w:t>Voix</w:t>
            </w:r>
          </w:p>
        </w:tc>
        <w:tc>
          <w:tcPr>
            <w:tcW w:w="855"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Si</w:t>
            </w:r>
            <w:r w:rsidRPr="00047F16">
              <w:rPr>
                <w:sz w:val="24"/>
                <w:szCs w:val="12"/>
              </w:rPr>
              <w:t>è</w:t>
            </w:r>
            <w:r w:rsidRPr="00047F16">
              <w:rPr>
                <w:sz w:val="24"/>
                <w:szCs w:val="12"/>
              </w:rPr>
              <w:t>ges</w:t>
            </w:r>
          </w:p>
        </w:tc>
        <w:tc>
          <w:tcPr>
            <w:tcW w:w="846"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Voix</w:t>
            </w:r>
          </w:p>
        </w:tc>
        <w:tc>
          <w:tcPr>
            <w:tcW w:w="837"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Si</w:t>
            </w:r>
            <w:r w:rsidRPr="00047F16">
              <w:rPr>
                <w:sz w:val="24"/>
                <w:szCs w:val="12"/>
              </w:rPr>
              <w:t>è</w:t>
            </w:r>
            <w:r w:rsidRPr="00047F16">
              <w:rPr>
                <w:sz w:val="24"/>
                <w:szCs w:val="12"/>
              </w:rPr>
              <w:t>ges</w:t>
            </w:r>
          </w:p>
        </w:tc>
        <w:tc>
          <w:tcPr>
            <w:tcW w:w="98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szCs w:val="12"/>
              </w:rPr>
              <w:t>Voix</w:t>
            </w:r>
          </w:p>
        </w:tc>
      </w:tr>
      <w:tr w:rsidR="00AD690E" w:rsidRPr="00675326">
        <w:tblPrEx>
          <w:tblCellMar>
            <w:top w:w="0" w:type="dxa"/>
            <w:bottom w:w="0" w:type="dxa"/>
          </w:tblCellMar>
        </w:tblPrEx>
        <w:tc>
          <w:tcPr>
            <w:tcW w:w="152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819"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882"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i/>
                <w:iCs/>
                <w:sz w:val="24"/>
              </w:rPr>
              <w:t>%</w:t>
            </w:r>
          </w:p>
        </w:tc>
        <w:tc>
          <w:tcPr>
            <w:tcW w:w="80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819"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i/>
                <w:iCs/>
                <w:sz w:val="24"/>
              </w:rPr>
              <w:t>%</w:t>
            </w:r>
          </w:p>
        </w:tc>
        <w:tc>
          <w:tcPr>
            <w:tcW w:w="837"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864"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sz w:val="24"/>
              </w:rPr>
              <w:t>%</w:t>
            </w:r>
          </w:p>
        </w:tc>
        <w:tc>
          <w:tcPr>
            <w:tcW w:w="855"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846"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i/>
                <w:iCs/>
                <w:sz w:val="24"/>
              </w:rPr>
              <w:t>%</w:t>
            </w:r>
          </w:p>
        </w:tc>
        <w:tc>
          <w:tcPr>
            <w:tcW w:w="837"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p>
        </w:tc>
        <w:tc>
          <w:tcPr>
            <w:tcW w:w="981" w:type="dxa"/>
            <w:tcBorders>
              <w:top w:val="single" w:sz="12" w:space="0" w:color="auto"/>
              <w:left w:val="nil"/>
              <w:bottom w:val="single" w:sz="12" w:space="0" w:color="auto"/>
              <w:right w:val="nil"/>
            </w:tcBorders>
            <w:shd w:val="clear" w:color="auto" w:fill="EAF1DD"/>
          </w:tcPr>
          <w:p w:rsidR="00AD690E" w:rsidRPr="00047F16" w:rsidRDefault="00AD690E" w:rsidP="00AD690E">
            <w:pPr>
              <w:spacing w:before="60" w:after="60"/>
              <w:ind w:firstLine="0"/>
              <w:jc w:val="both"/>
              <w:rPr>
                <w:sz w:val="24"/>
              </w:rPr>
            </w:pPr>
            <w:r w:rsidRPr="00047F16">
              <w:rPr>
                <w:i/>
                <w:iCs/>
                <w:sz w:val="24"/>
              </w:rPr>
              <w:t>%</w:t>
            </w:r>
          </w:p>
        </w:tc>
      </w:tr>
      <w:tr w:rsidR="00AD690E" w:rsidRPr="00675326">
        <w:tblPrEx>
          <w:tblCellMar>
            <w:top w:w="0" w:type="dxa"/>
            <w:bottom w:w="0" w:type="dxa"/>
          </w:tblCellMar>
        </w:tblPrEx>
        <w:tc>
          <w:tcPr>
            <w:tcW w:w="1521"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r w:rsidRPr="00C74B74">
              <w:rPr>
                <w:b/>
                <w:color w:val="FF0000"/>
                <w:sz w:val="24"/>
                <w:szCs w:val="12"/>
              </w:rPr>
              <w:t>1963</w:t>
            </w:r>
            <w:r w:rsidRPr="00047F16">
              <w:rPr>
                <w:sz w:val="24"/>
                <w:szCs w:val="12"/>
              </w:rPr>
              <w:t xml:space="preserve"> (8.04)</w:t>
            </w:r>
          </w:p>
        </w:tc>
        <w:tc>
          <w:tcPr>
            <w:tcW w:w="819"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82"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01"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19"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64"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55"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46"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c>
          <w:tcPr>
            <w:tcW w:w="981" w:type="dxa"/>
            <w:tcBorders>
              <w:top w:val="single" w:sz="12" w:space="0" w:color="auto"/>
              <w:left w:val="nil"/>
              <w:bottom w:val="nil"/>
              <w:right w:val="nil"/>
            </w:tcBorders>
            <w:shd w:val="clear" w:color="auto" w:fill="FFFFFF"/>
          </w:tcPr>
          <w:p w:rsidR="00AD690E" w:rsidRPr="00047F16" w:rsidRDefault="00AD690E" w:rsidP="00AD690E">
            <w:pPr>
              <w:spacing w:before="120"/>
              <w:ind w:firstLine="0"/>
              <w:jc w:val="both"/>
              <w:rPr>
                <w:sz w:val="24"/>
              </w:rPr>
            </w:pP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Lib</w:t>
            </w:r>
            <w:r w:rsidRPr="00047F16">
              <w:rPr>
                <w:sz w:val="24"/>
                <w:szCs w:val="12"/>
              </w:rPr>
              <w:t>é</w:t>
            </w:r>
            <w:r w:rsidRPr="00047F16">
              <w:rPr>
                <w:sz w:val="24"/>
                <w:szCs w:val="12"/>
              </w:rPr>
              <w:t>ral</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7</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32.6</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26.1</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52</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46.3</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47</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45.6</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20</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49.9</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Prog. Cons.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6</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24.1</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41</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47.0</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27</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35.3</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8</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19.5</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13</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42.6</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NFD</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9</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29.6</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13.1</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6</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15.9</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7.1</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4.9</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CS/RC</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13.0</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13.6</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2.0</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20</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27.3</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2.4</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Autres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0.5</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0.2</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0.4</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0.4</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0.2</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r w:rsidRPr="00C74B74">
              <w:rPr>
                <w:b/>
                <w:color w:val="FF0000"/>
                <w:sz w:val="24"/>
                <w:szCs w:val="12"/>
              </w:rPr>
              <w:t>1965</w:t>
            </w:r>
            <w:r>
              <w:rPr>
                <w:sz w:val="24"/>
                <w:szCs w:val="12"/>
              </w:rPr>
              <w:t xml:space="preserve"> </w:t>
            </w:r>
            <w:r w:rsidRPr="00047F16">
              <w:rPr>
                <w:sz w:val="24"/>
                <w:szCs w:val="12"/>
              </w:rPr>
              <w:t>(8.11)</w:t>
            </w:r>
          </w:p>
        </w:tc>
        <w:tc>
          <w:tcPr>
            <w:tcW w:w="819"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0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55"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Lib</w:t>
            </w:r>
            <w:r w:rsidRPr="00047F16">
              <w:rPr>
                <w:sz w:val="24"/>
                <w:szCs w:val="12"/>
              </w:rPr>
              <w:t>é</w:t>
            </w:r>
            <w:r w:rsidRPr="00047F16">
              <w:rPr>
                <w:sz w:val="24"/>
                <w:szCs w:val="12"/>
              </w:rPr>
              <w:t>ral</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8</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30.5</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25.4</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51</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43.6</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56</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45.6</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15</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47.5</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Prog. Cons.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19.8</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42</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45.3</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25</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34.0</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8</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21.3</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18</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44.6</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NPD</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9</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32.3</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18.3</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9</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21.7</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12.0</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7.2</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CS/RC</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17.0</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10.9</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0.4</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9</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17.5</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0.5</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Autres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0.4</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0.1</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0.3</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3.7</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0.2</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r w:rsidRPr="00C74B74">
              <w:rPr>
                <w:b/>
                <w:color w:val="FF0000"/>
                <w:sz w:val="24"/>
                <w:szCs w:val="12"/>
              </w:rPr>
              <w:t>1968</w:t>
            </w:r>
            <w:r w:rsidRPr="00047F16">
              <w:rPr>
                <w:sz w:val="24"/>
                <w:szCs w:val="12"/>
              </w:rPr>
              <w:t xml:space="preserve"> (25.06)</w:t>
            </w:r>
          </w:p>
        </w:tc>
        <w:tc>
          <w:tcPr>
            <w:tcW w:w="819"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0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55"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Lib</w:t>
            </w:r>
            <w:r w:rsidRPr="00047F16">
              <w:rPr>
                <w:sz w:val="24"/>
                <w:szCs w:val="12"/>
              </w:rPr>
              <w:t>é</w:t>
            </w:r>
            <w:r w:rsidRPr="00047F16">
              <w:rPr>
                <w:sz w:val="24"/>
                <w:szCs w:val="12"/>
              </w:rPr>
              <w:t>ral</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17</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42.1</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11</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34.8</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64</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46.6</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56</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53.6</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7</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41.4</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Prog. Cons.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19.7</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25</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40.9</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17</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32.0</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21.3</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25</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52.8</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NPD</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7</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32.3</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9</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21.8</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6</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20.6</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7.5</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5.4</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CS/RC</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5.6</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1.2</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0.1</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14</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16.4</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0.3</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Autres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0.3</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1.3</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0.7</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1.1</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0.1</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r w:rsidRPr="00C74B74">
              <w:rPr>
                <w:b/>
                <w:color w:val="FF0000"/>
                <w:sz w:val="24"/>
                <w:szCs w:val="12"/>
              </w:rPr>
              <w:t>1972</w:t>
            </w:r>
            <w:r>
              <w:rPr>
                <w:sz w:val="24"/>
                <w:szCs w:val="12"/>
              </w:rPr>
              <w:t xml:space="preserve"> </w:t>
            </w:r>
            <w:r w:rsidRPr="00047F16">
              <w:rPr>
                <w:sz w:val="24"/>
                <w:szCs w:val="12"/>
              </w:rPr>
              <w:t>(30.10)</w:t>
            </w:r>
          </w:p>
        </w:tc>
        <w:tc>
          <w:tcPr>
            <w:tcW w:w="819"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82"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0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19"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64"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55"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837"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spacing w:before="120"/>
              <w:ind w:firstLine="0"/>
              <w:jc w:val="both"/>
              <w:rPr>
                <w:sz w:val="24"/>
              </w:rPr>
            </w:pP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Lib</w:t>
            </w:r>
            <w:r w:rsidRPr="00047F16">
              <w:rPr>
                <w:sz w:val="24"/>
                <w:szCs w:val="12"/>
              </w:rPr>
              <w:t>é</w:t>
            </w:r>
            <w:r w:rsidRPr="00047F16">
              <w:rPr>
                <w:sz w:val="24"/>
                <w:szCs w:val="12"/>
              </w:rPr>
              <w:t>ral</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29.0</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26.7</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36</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38.2</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56</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49.1</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10</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39.4</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Prog. Cons.</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9</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33.2</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34</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47.5</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40</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39.1</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w:t>
            </w: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17.4</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22</w:t>
            </w: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49.8</w:t>
            </w:r>
          </w:p>
        </w:tc>
      </w:tr>
      <w:tr w:rsidR="00AD690E" w:rsidRPr="00675326">
        <w:tblPrEx>
          <w:tblCellMar>
            <w:top w:w="0" w:type="dxa"/>
            <w:bottom w:w="0" w:type="dxa"/>
          </w:tblCellMar>
        </w:tblPrEx>
        <w:tc>
          <w:tcPr>
            <w:tcW w:w="152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NPD</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12</w:t>
            </w:r>
          </w:p>
        </w:tc>
        <w:tc>
          <w:tcPr>
            <w:tcW w:w="882"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34.9</w:t>
            </w:r>
          </w:p>
        </w:tc>
        <w:tc>
          <w:tcPr>
            <w:tcW w:w="80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8</w:t>
            </w:r>
          </w:p>
        </w:tc>
        <w:tc>
          <w:tcPr>
            <w:tcW w:w="819"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22.8</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11</w:t>
            </w:r>
          </w:p>
        </w:tc>
        <w:tc>
          <w:tcPr>
            <w:tcW w:w="864"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21.5</w:t>
            </w:r>
          </w:p>
        </w:tc>
        <w:tc>
          <w:tcPr>
            <w:tcW w:w="855"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846"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6.4</w:t>
            </w:r>
          </w:p>
        </w:tc>
        <w:tc>
          <w:tcPr>
            <w:tcW w:w="837" w:type="dxa"/>
            <w:tcBorders>
              <w:top w:val="nil"/>
              <w:left w:val="nil"/>
              <w:bottom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bottom w:val="nil"/>
              <w:right w:val="nil"/>
            </w:tcBorders>
            <w:shd w:val="clear" w:color="auto" w:fill="FFFFFF"/>
          </w:tcPr>
          <w:p w:rsidR="00AD690E" w:rsidRPr="00047F16" w:rsidRDefault="00AD690E" w:rsidP="00AD690E">
            <w:pPr>
              <w:ind w:firstLine="0"/>
              <w:jc w:val="both"/>
              <w:rPr>
                <w:sz w:val="24"/>
              </w:rPr>
            </w:pPr>
            <w:r w:rsidRPr="00047F16">
              <w:rPr>
                <w:sz w:val="24"/>
                <w:szCs w:val="12"/>
              </w:rPr>
              <w:t>8.4</w:t>
            </w:r>
          </w:p>
        </w:tc>
      </w:tr>
      <w:tr w:rsidR="00AD690E" w:rsidRPr="00675326">
        <w:tblPrEx>
          <w:tblCellMar>
            <w:top w:w="0" w:type="dxa"/>
            <w:bottom w:w="0" w:type="dxa"/>
          </w:tblCellMar>
        </w:tblPrEx>
        <w:tc>
          <w:tcPr>
            <w:tcW w:w="1521"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CS/RC</w:t>
            </w:r>
          </w:p>
        </w:tc>
        <w:tc>
          <w:tcPr>
            <w:tcW w:w="819" w:type="dxa"/>
            <w:tcBorders>
              <w:top w:val="nil"/>
              <w:left w:val="nil"/>
              <w:right w:val="nil"/>
            </w:tcBorders>
            <w:shd w:val="clear" w:color="auto" w:fill="FFFFFF"/>
          </w:tcPr>
          <w:p w:rsidR="00AD690E" w:rsidRPr="00047F16" w:rsidRDefault="00AD690E" w:rsidP="00AD690E">
            <w:pPr>
              <w:ind w:firstLine="0"/>
              <w:jc w:val="both"/>
              <w:rPr>
                <w:sz w:val="24"/>
              </w:rPr>
            </w:pPr>
          </w:p>
        </w:tc>
        <w:tc>
          <w:tcPr>
            <w:tcW w:w="882"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2.6</w:t>
            </w:r>
          </w:p>
        </w:tc>
        <w:tc>
          <w:tcPr>
            <w:tcW w:w="801" w:type="dxa"/>
            <w:tcBorders>
              <w:top w:val="nil"/>
              <w:left w:val="nil"/>
              <w:right w:val="nil"/>
            </w:tcBorders>
            <w:shd w:val="clear" w:color="auto" w:fill="FFFFFF"/>
          </w:tcPr>
          <w:p w:rsidR="00AD690E" w:rsidRPr="00047F16" w:rsidRDefault="00AD690E" w:rsidP="00AD690E">
            <w:pPr>
              <w:ind w:firstLine="0"/>
              <w:jc w:val="both"/>
              <w:rPr>
                <w:sz w:val="24"/>
              </w:rPr>
            </w:pPr>
          </w:p>
        </w:tc>
        <w:tc>
          <w:tcPr>
            <w:tcW w:w="819"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27</w:t>
            </w:r>
          </w:p>
        </w:tc>
        <w:tc>
          <w:tcPr>
            <w:tcW w:w="837" w:type="dxa"/>
            <w:tcBorders>
              <w:top w:val="nil"/>
              <w:left w:val="nil"/>
              <w:right w:val="nil"/>
            </w:tcBorders>
            <w:shd w:val="clear" w:color="auto" w:fill="FFFFFF"/>
          </w:tcPr>
          <w:p w:rsidR="00AD690E" w:rsidRPr="00047F16" w:rsidRDefault="00AD690E" w:rsidP="00AD690E">
            <w:pPr>
              <w:ind w:firstLine="0"/>
              <w:jc w:val="both"/>
              <w:rPr>
                <w:sz w:val="24"/>
              </w:rPr>
            </w:pPr>
          </w:p>
        </w:tc>
        <w:tc>
          <w:tcPr>
            <w:tcW w:w="864"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0.4</w:t>
            </w:r>
          </w:p>
        </w:tc>
        <w:tc>
          <w:tcPr>
            <w:tcW w:w="855"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15</w:t>
            </w:r>
          </w:p>
        </w:tc>
        <w:tc>
          <w:tcPr>
            <w:tcW w:w="846"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24.4</w:t>
            </w:r>
          </w:p>
        </w:tc>
        <w:tc>
          <w:tcPr>
            <w:tcW w:w="837" w:type="dxa"/>
            <w:tcBorders>
              <w:top w:val="nil"/>
              <w:left w:val="nil"/>
              <w:right w:val="nil"/>
            </w:tcBorders>
            <w:shd w:val="clear" w:color="auto" w:fill="FFFFFF"/>
          </w:tcPr>
          <w:p w:rsidR="00AD690E" w:rsidRPr="00047F16" w:rsidRDefault="00AD690E" w:rsidP="00AD690E">
            <w:pPr>
              <w:ind w:firstLine="0"/>
              <w:jc w:val="both"/>
              <w:rPr>
                <w:sz w:val="24"/>
              </w:rPr>
            </w:pPr>
          </w:p>
        </w:tc>
        <w:tc>
          <w:tcPr>
            <w:tcW w:w="981" w:type="dxa"/>
            <w:tcBorders>
              <w:top w:val="nil"/>
              <w:left w:val="nil"/>
              <w:right w:val="nil"/>
            </w:tcBorders>
            <w:shd w:val="clear" w:color="auto" w:fill="FFFFFF"/>
          </w:tcPr>
          <w:p w:rsidR="00AD690E" w:rsidRPr="00047F16" w:rsidRDefault="00AD690E" w:rsidP="00AD690E">
            <w:pPr>
              <w:ind w:firstLine="0"/>
              <w:jc w:val="both"/>
              <w:rPr>
                <w:sz w:val="24"/>
              </w:rPr>
            </w:pPr>
            <w:r w:rsidRPr="00047F16">
              <w:rPr>
                <w:sz w:val="24"/>
                <w:szCs w:val="12"/>
              </w:rPr>
              <w:t>2.0</w:t>
            </w:r>
          </w:p>
        </w:tc>
      </w:tr>
      <w:tr w:rsidR="00AD690E" w:rsidRPr="00675326">
        <w:tblPrEx>
          <w:tblCellMar>
            <w:top w:w="0" w:type="dxa"/>
            <w:bottom w:w="0" w:type="dxa"/>
          </w:tblCellMar>
        </w:tblPrEx>
        <w:tc>
          <w:tcPr>
            <w:tcW w:w="1521"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Autres</w:t>
            </w:r>
          </w:p>
        </w:tc>
        <w:tc>
          <w:tcPr>
            <w:tcW w:w="819"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p>
        </w:tc>
        <w:tc>
          <w:tcPr>
            <w:tcW w:w="882"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0.3</w:t>
            </w:r>
          </w:p>
        </w:tc>
        <w:tc>
          <w:tcPr>
            <w:tcW w:w="801"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p>
        </w:tc>
        <w:tc>
          <w:tcPr>
            <w:tcW w:w="819"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0.3</w:t>
            </w:r>
          </w:p>
        </w:tc>
        <w:tc>
          <w:tcPr>
            <w:tcW w:w="837"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1</w:t>
            </w:r>
          </w:p>
        </w:tc>
        <w:tc>
          <w:tcPr>
            <w:tcW w:w="864"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0.8</w:t>
            </w:r>
          </w:p>
        </w:tc>
        <w:tc>
          <w:tcPr>
            <w:tcW w:w="855"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1</w:t>
            </w:r>
          </w:p>
        </w:tc>
        <w:tc>
          <w:tcPr>
            <w:tcW w:w="846"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2.7</w:t>
            </w:r>
          </w:p>
        </w:tc>
        <w:tc>
          <w:tcPr>
            <w:tcW w:w="837"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p>
        </w:tc>
        <w:tc>
          <w:tcPr>
            <w:tcW w:w="981" w:type="dxa"/>
            <w:tcBorders>
              <w:top w:val="nil"/>
              <w:left w:val="nil"/>
              <w:bottom w:val="single" w:sz="12" w:space="0" w:color="auto"/>
              <w:right w:val="nil"/>
            </w:tcBorders>
            <w:shd w:val="clear" w:color="auto" w:fill="FFFFFF"/>
          </w:tcPr>
          <w:p w:rsidR="00AD690E" w:rsidRPr="00047F16" w:rsidRDefault="00AD690E" w:rsidP="00AD690E">
            <w:pPr>
              <w:spacing w:after="120"/>
              <w:ind w:firstLine="0"/>
              <w:jc w:val="both"/>
              <w:rPr>
                <w:sz w:val="24"/>
              </w:rPr>
            </w:pPr>
            <w:r w:rsidRPr="00047F16">
              <w:rPr>
                <w:sz w:val="24"/>
                <w:szCs w:val="12"/>
              </w:rPr>
              <w:t>0.5</w:t>
            </w:r>
          </w:p>
        </w:tc>
      </w:tr>
    </w:tbl>
    <w:p w:rsidR="00AD690E" w:rsidRDefault="00AD690E" w:rsidP="00AD690E">
      <w:pPr>
        <w:spacing w:before="120" w:after="120"/>
        <w:jc w:val="both"/>
        <w:rPr>
          <w:sz w:val="24"/>
          <w:szCs w:val="12"/>
        </w:rPr>
      </w:pPr>
      <w:r w:rsidRPr="00047F16">
        <w:rPr>
          <w:sz w:val="24"/>
          <w:szCs w:val="12"/>
        </w:rPr>
        <w:t>Sources : Rapports du directeur général des élections, Ottawa, nos calculs.</w:t>
      </w:r>
    </w:p>
    <w:p w:rsidR="00AD690E" w:rsidRPr="00047F16" w:rsidRDefault="00AD690E" w:rsidP="00AD690E">
      <w:pPr>
        <w:spacing w:before="120" w:after="120"/>
        <w:jc w:val="both"/>
        <w:rPr>
          <w:sz w:val="24"/>
        </w:rPr>
      </w:pPr>
      <w:r>
        <w:rPr>
          <w:sz w:val="24"/>
        </w:rPr>
        <w:br w:type="page"/>
      </w:r>
    </w:p>
    <w:p w:rsidR="00AD690E" w:rsidRDefault="00AD690E" w:rsidP="00AD690E">
      <w:pPr>
        <w:pStyle w:val="planche"/>
      </w:pPr>
      <w:r w:rsidRPr="00675326">
        <w:t>LA QUESTION DU QUÉBEC :</w:t>
      </w:r>
      <w:r>
        <w:br/>
      </w:r>
      <w:r w:rsidRPr="00675326">
        <w:t>1963, ANNÉE DE FONDATION DU FRONT</w:t>
      </w:r>
      <w:r>
        <w:br/>
      </w:r>
      <w:r w:rsidRPr="00675326">
        <w:t>DE LIBÉRATION DU QUÉBEC ET ANNÉE DE</w:t>
      </w:r>
      <w:r>
        <w:br/>
      </w:r>
      <w:r w:rsidRPr="00675326">
        <w:t>LA TRANSFORMATION DU RASSEMBLEMENT</w:t>
      </w:r>
      <w:r>
        <w:br/>
      </w:r>
      <w:r w:rsidRPr="00675326">
        <w:t>POUR L'INDÉPENDANCE NATIONALE</w:t>
      </w:r>
      <w:r>
        <w:br/>
      </w:r>
      <w:r w:rsidRPr="00675326">
        <w:t>EN PA</w:t>
      </w:r>
      <w:r w:rsidRPr="00675326">
        <w:t>R</w:t>
      </w:r>
      <w:r w:rsidRPr="00675326">
        <w:t>TI POLITIQUE</w:t>
      </w:r>
    </w:p>
    <w:p w:rsidR="00AD690E" w:rsidRPr="00675326" w:rsidRDefault="00AD690E" w:rsidP="00AD690E">
      <w:pPr>
        <w:spacing w:before="120" w:after="120"/>
        <w:jc w:val="both"/>
      </w:pPr>
    </w:p>
    <w:p w:rsidR="00AD690E" w:rsidRPr="00675326" w:rsidRDefault="00AD690E" w:rsidP="00AD690E">
      <w:pPr>
        <w:spacing w:before="120" w:after="120"/>
        <w:jc w:val="both"/>
      </w:pPr>
      <w:r w:rsidRPr="00675326">
        <w:rPr>
          <w:szCs w:val="22"/>
        </w:rPr>
        <w:t>Les élections fédérales du 8 avril 1963 étaient à peine terminées (l'assermentation des ministres n'eut lieu que le 22 avril) quand, le 20 avril, une bombe éclata à</w:t>
      </w:r>
      <w:r>
        <w:rPr>
          <w:szCs w:val="22"/>
        </w:rPr>
        <w:t xml:space="preserve"> </w:t>
      </w:r>
      <w:r>
        <w:t>[</w:t>
      </w:r>
      <w:r w:rsidRPr="00675326">
        <w:t>18</w:t>
      </w:r>
      <w:r>
        <w:t xml:space="preserve">] </w:t>
      </w:r>
      <w:r w:rsidRPr="00675326">
        <w:t>l'arrière du centre de recrutement de l'armée canadienne, rue She</w:t>
      </w:r>
      <w:r w:rsidRPr="00675326">
        <w:t>r</w:t>
      </w:r>
      <w:r w:rsidRPr="00675326">
        <w:t>brooke, à Montréal, et causa la mort de Wi</w:t>
      </w:r>
      <w:r w:rsidRPr="00675326">
        <w:t>l</w:t>
      </w:r>
      <w:r>
        <w:t>liam O’N</w:t>
      </w:r>
      <w:r w:rsidRPr="00675326">
        <w:t>eill, âgé de 65 ans.</w:t>
      </w:r>
    </w:p>
    <w:p w:rsidR="00AD690E" w:rsidRPr="00675326" w:rsidRDefault="00AD690E" w:rsidP="00AD690E">
      <w:pPr>
        <w:spacing w:before="120" w:after="120"/>
        <w:jc w:val="both"/>
      </w:pPr>
      <w:r w:rsidRPr="00675326">
        <w:t>Cet attentat fut immédiatement revendiqué par le Front de libér</w:t>
      </w:r>
      <w:r w:rsidRPr="00675326">
        <w:t>a</w:t>
      </w:r>
      <w:r w:rsidRPr="00675326">
        <w:t>tion du Québec (FLQ), une organisation clandestine créée peu aupar</w:t>
      </w:r>
      <w:r w:rsidRPr="00675326">
        <w:t>a</w:t>
      </w:r>
      <w:r w:rsidRPr="00675326">
        <w:t>vant et dont le grand public ignorait encore l'existence. Cet attentat était le premier acte de violence sanglante à survenir au Québec d</w:t>
      </w:r>
      <w:r w:rsidRPr="00675326">
        <w:t>e</w:t>
      </w:r>
      <w:r w:rsidRPr="00675326">
        <w:t>puis qu'avait recommencé l'agitation indépendantiste quelques années auparavant. Avec l'explosion de cette bombe, la première de ce qui devait être une longue série, la que</w:t>
      </w:r>
      <w:r w:rsidRPr="00675326">
        <w:t>s</w:t>
      </w:r>
      <w:r w:rsidRPr="00675326">
        <w:t>tion du Québec prenait soudain une importance nouvelle.</w:t>
      </w:r>
    </w:p>
    <w:p w:rsidR="00AD690E" w:rsidRPr="00675326" w:rsidRDefault="00AD690E" w:rsidP="00AD690E">
      <w:pPr>
        <w:spacing w:before="120" w:after="120"/>
        <w:jc w:val="both"/>
      </w:pPr>
      <w:r w:rsidRPr="00675326">
        <w:t>Six ans auparavant, en 1957, Raymond Barbeau avait fondé une organisation indépendantiste, l'Alliance laurentienne, et avait fait r</w:t>
      </w:r>
      <w:r w:rsidRPr="00675326">
        <w:t>é</w:t>
      </w:r>
      <w:r w:rsidRPr="00675326">
        <w:t xml:space="preserve">éditer un ouvrage initialement publié en 1938, </w:t>
      </w:r>
      <w:r w:rsidRPr="00675326">
        <w:rPr>
          <w:i/>
          <w:iCs/>
        </w:rPr>
        <w:t>Nos droits à l'indépe</w:t>
      </w:r>
      <w:r w:rsidRPr="00675326">
        <w:rPr>
          <w:i/>
          <w:iCs/>
        </w:rPr>
        <w:t>n</w:t>
      </w:r>
      <w:r w:rsidRPr="00675326">
        <w:rPr>
          <w:i/>
          <w:iCs/>
        </w:rPr>
        <w:t xml:space="preserve">dance politique, </w:t>
      </w:r>
      <w:r w:rsidRPr="00CE13CE">
        <w:rPr>
          <w:iCs/>
        </w:rPr>
        <w:t>de</w:t>
      </w:r>
      <w:r w:rsidRPr="00675326">
        <w:rPr>
          <w:i/>
          <w:iCs/>
        </w:rPr>
        <w:t xml:space="preserve"> </w:t>
      </w:r>
      <w:r w:rsidRPr="00675326">
        <w:t xml:space="preserve">l'abbé Wilfrid Morin. Barbeau lui-même avait, depuis, écrit trois livres préconisant l'indépendance du Québec, le premier intitulé </w:t>
      </w:r>
      <w:r w:rsidRPr="00675326">
        <w:rPr>
          <w:i/>
          <w:iCs/>
        </w:rPr>
        <w:t xml:space="preserve">J'ai choisi l'indépendance, </w:t>
      </w:r>
      <w:r w:rsidRPr="00675326">
        <w:t xml:space="preserve">en 1961, le deuxième, </w:t>
      </w:r>
      <w:r>
        <w:rPr>
          <w:i/>
          <w:iCs/>
        </w:rPr>
        <w:t>Le Québec est-il une colonie ?</w:t>
      </w:r>
      <w:r w:rsidRPr="00675326">
        <w:rPr>
          <w:i/>
          <w:iCs/>
        </w:rPr>
        <w:t xml:space="preserve"> </w:t>
      </w:r>
      <w:r w:rsidRPr="00675326">
        <w:t xml:space="preserve">en 1962, et le troisième, </w:t>
      </w:r>
      <w:r w:rsidRPr="00675326">
        <w:rPr>
          <w:i/>
          <w:iCs/>
        </w:rPr>
        <w:t xml:space="preserve">La libération économique du Québec, </w:t>
      </w:r>
      <w:r w:rsidRPr="00675326">
        <w:t>en février 1963.</w:t>
      </w:r>
    </w:p>
    <w:p w:rsidR="00AD690E" w:rsidRPr="00675326" w:rsidRDefault="00AD690E" w:rsidP="00AD690E">
      <w:pPr>
        <w:spacing w:before="120" w:after="120"/>
        <w:jc w:val="both"/>
      </w:pPr>
      <w:r w:rsidRPr="00675326">
        <w:t>En septembre 1960, deux autres organisations ind</w:t>
      </w:r>
      <w:r w:rsidRPr="00675326">
        <w:t>é</w:t>
      </w:r>
      <w:r w:rsidRPr="00675326">
        <w:t>pendantistes avaient été créées, l'une (le 8 septembre) a</w:t>
      </w:r>
      <w:r w:rsidRPr="00675326">
        <w:t>p</w:t>
      </w:r>
      <w:r w:rsidRPr="00675326">
        <w:t>pelée l'Action socialiste pour l'indépendance du Québec, l'autre (le 10), le Rassemblement pour l'indépendance n</w:t>
      </w:r>
      <w:r w:rsidRPr="00675326">
        <w:t>a</w:t>
      </w:r>
      <w:r w:rsidRPr="00675326">
        <w:t xml:space="preserve">tionale (RIN). Parmi les fondateurs du RIN, se trouvait Marcel Chaput, auteur du livre </w:t>
      </w:r>
      <w:r w:rsidRPr="00675326">
        <w:rPr>
          <w:i/>
          <w:iCs/>
        </w:rPr>
        <w:t>Pourquoi je suis sépar</w:t>
      </w:r>
      <w:r w:rsidRPr="00675326">
        <w:rPr>
          <w:i/>
          <w:iCs/>
        </w:rPr>
        <w:t>a</w:t>
      </w:r>
      <w:r w:rsidRPr="00675326">
        <w:rPr>
          <w:i/>
          <w:iCs/>
        </w:rPr>
        <w:t xml:space="preserve">tiste, </w:t>
      </w:r>
      <w:r w:rsidRPr="00675326">
        <w:t>publié en 1961.</w:t>
      </w:r>
    </w:p>
    <w:p w:rsidR="00AD690E" w:rsidRPr="00675326" w:rsidRDefault="00AD690E" w:rsidP="00AD690E">
      <w:pPr>
        <w:spacing w:before="120" w:after="120"/>
        <w:jc w:val="both"/>
      </w:pPr>
      <w:r w:rsidRPr="00675326">
        <w:lastRenderedPageBreak/>
        <w:t>Le 3 mars 1963, peu avant l'élection fédérale qui avait porté les l</w:t>
      </w:r>
      <w:r w:rsidRPr="00675326">
        <w:t>i</w:t>
      </w:r>
      <w:r w:rsidRPr="00675326">
        <w:t>béraux au pouvoir à Ottawa, le RIN s'était transformé en parti polit</w:t>
      </w:r>
      <w:r w:rsidRPr="00675326">
        <w:t>i</w:t>
      </w:r>
      <w:r w:rsidRPr="00675326">
        <w:t>que afin de porter son action sur l</w:t>
      </w:r>
      <w:r>
        <w:t>a</w:t>
      </w:r>
      <w:r w:rsidRPr="00675326">
        <w:t xml:space="preserve"> scène électorale. En devenant parti politique, le RIN faisait cependant concurrence à une autre formation ind</w:t>
      </w:r>
      <w:r w:rsidRPr="00675326">
        <w:t>é</w:t>
      </w:r>
      <w:r w:rsidRPr="00675326">
        <w:t>pendantiste, le Parti républicain du Québec, créé le 17 décembre 1962 par Marcel Chaput, l'un des fondateurs du RIN qui s'était préc</w:t>
      </w:r>
      <w:r w:rsidRPr="00675326">
        <w:t>é</w:t>
      </w:r>
      <w:r w:rsidRPr="00675326">
        <w:t>demment dissocié du groupe des fondateurs de cette organisation.</w:t>
      </w:r>
    </w:p>
    <w:p w:rsidR="00AD690E" w:rsidRPr="00675326" w:rsidRDefault="00AD690E" w:rsidP="00AD690E">
      <w:pPr>
        <w:spacing w:before="120" w:after="120"/>
        <w:jc w:val="both"/>
      </w:pPr>
      <w:r w:rsidRPr="00675326">
        <w:t>La multiplication des organisations indépendantistes contribuait, paradoxalement, à la vigueur du mouvement parce qu'elle l'ouvrait à toutes les tendances politiques, du socialisme au corporatisme.</w:t>
      </w:r>
    </w:p>
    <w:p w:rsidR="00AD690E" w:rsidRPr="00675326" w:rsidRDefault="00AD690E" w:rsidP="00AD690E">
      <w:pPr>
        <w:spacing w:before="120" w:after="120"/>
        <w:jc w:val="both"/>
      </w:pPr>
      <w:r w:rsidRPr="00675326">
        <w:t>C'est ainsi que l'explosion du 20 avril fut interpr</w:t>
      </w:r>
      <w:r>
        <w:t>é</w:t>
      </w:r>
      <w:r w:rsidRPr="00675326">
        <w:t>tée par les dir</w:t>
      </w:r>
      <w:r w:rsidRPr="00675326">
        <w:t>i</w:t>
      </w:r>
      <w:r w:rsidRPr="00675326">
        <w:t>geants libéraux à Ottawa comme le prolongement inévitable d'une ag</w:t>
      </w:r>
      <w:r w:rsidRPr="00675326">
        <w:t>i</w:t>
      </w:r>
      <w:r w:rsidRPr="00675326">
        <w:t>tation croissante de la part d'organisations autorisées, la liberté d'e</w:t>
      </w:r>
      <w:r w:rsidRPr="00675326">
        <w:t>x</w:t>
      </w:r>
      <w:r w:rsidRPr="00675326">
        <w:t>pression en vigueur au Canada permettant l'action politique (confére</w:t>
      </w:r>
      <w:r w:rsidRPr="00675326">
        <w:t>n</w:t>
      </w:r>
      <w:r w:rsidRPr="00675326">
        <w:t>ces, publications, manifestations pacifiques) de la part des gro</w:t>
      </w:r>
      <w:r w:rsidRPr="00675326">
        <w:t>u</w:t>
      </w:r>
      <w:r w:rsidRPr="00675326">
        <w:t>pes de toutes tendances.</w:t>
      </w:r>
    </w:p>
    <w:p w:rsidR="00AD690E" w:rsidRPr="00675326" w:rsidRDefault="00AD690E" w:rsidP="00AD690E">
      <w:pPr>
        <w:spacing w:before="120" w:after="120"/>
        <w:jc w:val="both"/>
      </w:pPr>
      <w:r w:rsidRPr="00675326">
        <w:t>Les dirigeants fédéraux, dans un premier temps, che</w:t>
      </w:r>
      <w:r w:rsidRPr="00675326">
        <w:t>r</w:t>
      </w:r>
      <w:r w:rsidRPr="00675326">
        <w:t>chèrent à combattre la violence, estimant qu'elle devait être le fait de quelques individus.</w:t>
      </w:r>
    </w:p>
    <w:p w:rsidR="00AD690E" w:rsidRDefault="00AD690E" w:rsidP="00AD690E">
      <w:pPr>
        <w:spacing w:before="120" w:after="120"/>
        <w:jc w:val="both"/>
      </w:pPr>
      <w:r w:rsidRPr="00675326">
        <w:t>À la suite de l'explosion du 20 avril, et plus tard, à la suite d'une s</w:t>
      </w:r>
      <w:r w:rsidRPr="00675326">
        <w:t>é</w:t>
      </w:r>
      <w:r w:rsidRPr="00675326">
        <w:t>rie d'explosions dans des boîtes à lettres à Westmount (où il y eut un blessé, le sergent-major Walter Leja), la collaboration des forces de police, l'offre de r</w:t>
      </w:r>
      <w:r w:rsidRPr="00675326">
        <w:t>é</w:t>
      </w:r>
      <w:r w:rsidRPr="00675326">
        <w:t>compenses et l'inexpérience des jeunes terroristes contribuèrent à l'arrestation, en juin 1963, de plusieurs me</w:t>
      </w:r>
      <w:r w:rsidRPr="00675326">
        <w:t>m</w:t>
      </w:r>
      <w:r w:rsidRPr="00675326">
        <w:t>bres du Front de libération du Québec.</w:t>
      </w:r>
    </w:p>
    <w:p w:rsidR="00AD690E" w:rsidRDefault="00AD690E" w:rsidP="00AD690E">
      <w:pPr>
        <w:spacing w:before="120" w:after="120"/>
        <w:jc w:val="both"/>
      </w:pPr>
      <w:r>
        <w:t>[19]</w:t>
      </w:r>
    </w:p>
    <w:p w:rsidR="00AD690E" w:rsidRPr="00675326" w:rsidRDefault="00AD690E" w:rsidP="00AD690E">
      <w:pPr>
        <w:spacing w:before="120" w:after="120"/>
        <w:jc w:val="both"/>
      </w:pPr>
      <w:r w:rsidRPr="00675326">
        <w:t>Mais ce succès de police devait, selon les dirigeants, être complété, dans une perspective à plus long terme, par des mesures destinées, d'une part, à retirer aux indépendantistes les motifs de leurs revendic</w:t>
      </w:r>
      <w:r w:rsidRPr="00675326">
        <w:t>a</w:t>
      </w:r>
      <w:r w:rsidRPr="00675326">
        <w:t>tions et, d'autre part, à donner aux Canadiens français de nouvelles ra</w:t>
      </w:r>
      <w:r w:rsidRPr="00675326">
        <w:t>i</w:t>
      </w:r>
      <w:r w:rsidRPr="00675326">
        <w:t>sons de se sentir chez eux au Canada.</w:t>
      </w:r>
    </w:p>
    <w:p w:rsidR="00AD690E" w:rsidRPr="00675326" w:rsidRDefault="00AD690E" w:rsidP="00AD690E">
      <w:pPr>
        <w:spacing w:before="120" w:after="120"/>
        <w:jc w:val="both"/>
      </w:pPr>
      <w:r w:rsidRPr="00675326">
        <w:t>Pour agir, il fallait cependant au gouvernement de Lester B. Pea</w:t>
      </w:r>
      <w:r w:rsidRPr="00675326">
        <w:t>r</w:t>
      </w:r>
      <w:r w:rsidRPr="00675326">
        <w:t>son, une meilleure connaissance des griefs des francophones. Pour obtenir cette connaissance, on décida d'avoir recours à une commi</w:t>
      </w:r>
      <w:r w:rsidRPr="00675326">
        <w:t>s</w:t>
      </w:r>
      <w:r w:rsidRPr="00675326">
        <w:t>sion royale, qui fut créée le 19 juillet 1963, sous le nom de Commi</w:t>
      </w:r>
      <w:r w:rsidRPr="00675326">
        <w:t>s</w:t>
      </w:r>
      <w:r w:rsidRPr="00675326">
        <w:lastRenderedPageBreak/>
        <w:t>sion roy</w:t>
      </w:r>
      <w:r w:rsidRPr="00675326">
        <w:t>a</w:t>
      </w:r>
      <w:r w:rsidRPr="00675326">
        <w:t>le d'enquête sur le bilinguisme et le biculturalisme, et co-présidée par André Laurendeau, journaliste au quot</w:t>
      </w:r>
      <w:r w:rsidRPr="00675326">
        <w:t>i</w:t>
      </w:r>
      <w:r w:rsidRPr="00675326">
        <w:t xml:space="preserve">dien </w:t>
      </w:r>
      <w:r w:rsidRPr="00675326">
        <w:rPr>
          <w:i/>
          <w:iCs/>
        </w:rPr>
        <w:t xml:space="preserve">Le Devoir, </w:t>
      </w:r>
      <w:r w:rsidRPr="00675326">
        <w:t>qui en avait préconisé la création en 1962, et A. Davidson Dunton, président de la Canadian Broadcasting Corporation.</w:t>
      </w:r>
    </w:p>
    <w:p w:rsidR="00AD690E" w:rsidRPr="00675326" w:rsidRDefault="00AD690E" w:rsidP="00AD690E">
      <w:pPr>
        <w:spacing w:before="120" w:after="120"/>
        <w:jc w:val="both"/>
      </w:pPr>
      <w:r w:rsidRPr="00675326">
        <w:t>La Commission mit six ans à examiner la question. E</w:t>
      </w:r>
      <w:r w:rsidRPr="00675326">
        <w:t>l</w:t>
      </w:r>
      <w:r w:rsidRPr="00675326">
        <w:t>le publia le premier livre de son rapport en octobre 1967 et, après avoir coûté plus de 7</w:t>
      </w:r>
      <w:r>
        <w:t> </w:t>
      </w:r>
      <w:r w:rsidRPr="00675326">
        <w:t>500</w:t>
      </w:r>
      <w:r>
        <w:t> </w:t>
      </w:r>
      <w:r w:rsidRPr="00675326">
        <w:t>000 en dollars de l'époque, produisit une importante colle</w:t>
      </w:r>
      <w:r w:rsidRPr="00675326">
        <w:t>c</w:t>
      </w:r>
      <w:r w:rsidRPr="00675326">
        <w:t>tion d'études spéciali</w:t>
      </w:r>
      <w:r>
        <w:t>s</w:t>
      </w:r>
      <w:r w:rsidRPr="00675326">
        <w:t>ées dans lesquelles la situation des francophones du Canada était décrite en des termes qui confirmaient les constat</w:t>
      </w:r>
      <w:r w:rsidRPr="00675326">
        <w:t>a</w:t>
      </w:r>
      <w:r w:rsidRPr="00675326">
        <w:t>tions des indépendantistes québécois.</w:t>
      </w:r>
    </w:p>
    <w:p w:rsidR="00AD690E" w:rsidRPr="00675326" w:rsidRDefault="00AD690E" w:rsidP="00AD690E">
      <w:pPr>
        <w:spacing w:before="120" w:after="120"/>
        <w:jc w:val="both"/>
      </w:pPr>
      <w:r w:rsidRPr="00675326">
        <w:t>Estimant que la reconnaissance de la langue française et l'emba</w:t>
      </w:r>
      <w:r w:rsidRPr="00675326">
        <w:t>u</w:t>
      </w:r>
      <w:r w:rsidRPr="00675326">
        <w:t>che de francophones au sein de l'administration fédérale contribu</w:t>
      </w:r>
      <w:r w:rsidRPr="00675326">
        <w:t>e</w:t>
      </w:r>
      <w:r w:rsidRPr="00675326">
        <w:t>raient à apaiser les indépendantistes québécois, le gouvernement de Lester B. Pearson entreprit d'introduire à Ottawa, dès 1963, des mes</w:t>
      </w:r>
      <w:r w:rsidRPr="00675326">
        <w:t>u</w:t>
      </w:r>
      <w:r w:rsidRPr="00675326">
        <w:t>res correctives en faveur du français et des francophones. On eut m</w:t>
      </w:r>
      <w:r w:rsidRPr="00675326">
        <w:t>ê</w:t>
      </w:r>
      <w:r w:rsidRPr="00675326">
        <w:t>me recours aux symboles : ainsi, par exemple, on nomma le général Jean Allard commandant en chef des forces armées canadiennes et, autre exemple, on changea le nom de la société Trans Canada Airlines pour en faire la société Air Canada.</w:t>
      </w:r>
    </w:p>
    <w:p w:rsidR="00AD690E" w:rsidRPr="00675326" w:rsidRDefault="00AD690E" w:rsidP="00AD690E">
      <w:pPr>
        <w:spacing w:before="120" w:after="120"/>
        <w:jc w:val="both"/>
      </w:pPr>
      <w:r w:rsidRPr="00675326">
        <w:t>Il fallut cependant attendre le premier livre du rapport de la Co</w:t>
      </w:r>
      <w:r w:rsidRPr="00675326">
        <w:t>m</w:t>
      </w:r>
      <w:r w:rsidRPr="00675326">
        <w:t xml:space="preserve">mission pour que soit adoptée, en juillet 1969, après l'accession de Pierre Elliott Trudeau au pouvoir, la </w:t>
      </w:r>
      <w:r w:rsidRPr="00675326">
        <w:rPr>
          <w:i/>
          <w:iCs/>
        </w:rPr>
        <w:t xml:space="preserve">Loi canadienne sur les langues officielles </w:t>
      </w:r>
      <w:r w:rsidRPr="00675326">
        <w:t>qui prévoyait notamment la désignation, par le gouvern</w:t>
      </w:r>
      <w:r w:rsidRPr="00675326">
        <w:t>e</w:t>
      </w:r>
      <w:r w:rsidRPr="00675326">
        <w:t>ment fédéral, d'un commissaire aux langues officielles chargé de vei</w:t>
      </w:r>
      <w:r w:rsidRPr="00675326">
        <w:t>l</w:t>
      </w:r>
      <w:r w:rsidRPr="00675326">
        <w:t>ler au respect du statut du français et de l'anglais dans toutes les inst</w:t>
      </w:r>
      <w:r w:rsidRPr="00675326">
        <w:t>i</w:t>
      </w:r>
      <w:r w:rsidRPr="00675326">
        <w:t>tutions fédérales du Canada. La Commission avait constaté que les francophones, qui avaient déjà été plus du tiers de la population du Canada, ne pouvaient pas s'exprimer en français dans la plupart de leurs ra</w:t>
      </w:r>
      <w:r w:rsidRPr="00675326">
        <w:t>p</w:t>
      </w:r>
      <w:r w:rsidRPr="00675326">
        <w:t>ports avec l'administration fédérale du Canada. La loi sur les langues officielles avait pour objectif de donner aux fra</w:t>
      </w:r>
      <w:r w:rsidRPr="00675326">
        <w:t>n</w:t>
      </w:r>
      <w:r w:rsidRPr="00675326">
        <w:t>cophones la possibilité de s'exprimer en français dans toutes leurs communications avec l'administration fédér</w:t>
      </w:r>
      <w:r w:rsidRPr="00675326">
        <w:t>a</w:t>
      </w:r>
      <w:r w:rsidRPr="00675326">
        <w:t>le canadienne.</w:t>
      </w:r>
    </w:p>
    <w:p w:rsidR="00AD690E" w:rsidRPr="00675326" w:rsidRDefault="00AD690E" w:rsidP="00AD690E">
      <w:pPr>
        <w:spacing w:before="120" w:after="120"/>
        <w:jc w:val="both"/>
      </w:pPr>
      <w:r w:rsidRPr="00675326">
        <w:t>Estimant par ailleurs que c'était là un moyen d'enlever aux ind</w:t>
      </w:r>
      <w:r w:rsidRPr="00675326">
        <w:t>é</w:t>
      </w:r>
      <w:r w:rsidRPr="00675326">
        <w:t>pendantistes des motifs de leurs revendications, le gouvernement de Lester B. Pearson entreprit d'acco</w:t>
      </w:r>
      <w:r w:rsidRPr="00675326">
        <w:t>r</w:t>
      </w:r>
      <w:r w:rsidRPr="00675326">
        <w:t>der au Québec une part plus grande des ressources budg</w:t>
      </w:r>
      <w:r w:rsidRPr="00675326">
        <w:t>é</w:t>
      </w:r>
      <w:r w:rsidRPr="00675326">
        <w:t xml:space="preserve">taires fédérales et d'accorder au gouvernement du Québec un certain nombre de « privilèges ». L'équipe de Lester B. </w:t>
      </w:r>
      <w:r w:rsidRPr="00675326">
        <w:lastRenderedPageBreak/>
        <w:t>Pearson fut d'ailleurs encouragée dans cette voie par les conseillers et collègues du premier ministre du Qu</w:t>
      </w:r>
      <w:r w:rsidRPr="00675326">
        <w:t>é</w:t>
      </w:r>
      <w:r w:rsidRPr="00675326">
        <w:t>bec, Jean Lesage, qui avait lui-même été membre du Conseil des ministres présidé par Louis</w:t>
      </w:r>
      <w:r>
        <w:t xml:space="preserve"> [</w:t>
      </w:r>
      <w:r w:rsidRPr="00675326">
        <w:rPr>
          <w:szCs w:val="18"/>
        </w:rPr>
        <w:t>20</w:t>
      </w:r>
      <w:r>
        <w:rPr>
          <w:szCs w:val="18"/>
        </w:rPr>
        <w:t xml:space="preserve">] </w:t>
      </w:r>
      <w:r w:rsidRPr="00675326">
        <w:rPr>
          <w:szCs w:val="22"/>
        </w:rPr>
        <w:t>Stephen Saint-Laurent à l'époque où Lester B. Pearson était secr</w:t>
      </w:r>
      <w:r w:rsidRPr="00675326">
        <w:rPr>
          <w:szCs w:val="22"/>
        </w:rPr>
        <w:t>é</w:t>
      </w:r>
      <w:r w:rsidRPr="00675326">
        <w:rPr>
          <w:szCs w:val="22"/>
        </w:rPr>
        <w:t>taire d'</w:t>
      </w:r>
      <w:r>
        <w:rPr>
          <w:szCs w:val="22"/>
        </w:rPr>
        <w:t>État</w:t>
      </w:r>
      <w:r w:rsidRPr="00675326">
        <w:rPr>
          <w:szCs w:val="22"/>
        </w:rPr>
        <w:t xml:space="preserve"> aux Affaires extérieures.</w:t>
      </w:r>
    </w:p>
    <w:p w:rsidR="00AD690E" w:rsidRPr="00675326" w:rsidRDefault="00AD690E" w:rsidP="00AD690E">
      <w:pPr>
        <w:spacing w:before="120" w:after="120"/>
        <w:jc w:val="both"/>
      </w:pPr>
      <w:r w:rsidRPr="00675326">
        <w:rPr>
          <w:szCs w:val="22"/>
        </w:rPr>
        <w:t>Les actions budgétaires en faveur du Québec furent engagées dès 1963-1964. Ainsi, les paiements de pér</w:t>
      </w:r>
      <w:r w:rsidRPr="00675326">
        <w:rPr>
          <w:szCs w:val="22"/>
        </w:rPr>
        <w:t>é</w:t>
      </w:r>
      <w:r w:rsidRPr="00675326">
        <w:rPr>
          <w:szCs w:val="22"/>
        </w:rPr>
        <w:t>quation furent augmentés et la part du Québec fut accrue. De même divers programmes fédéraux f</w:t>
      </w:r>
      <w:r w:rsidRPr="00675326">
        <w:rPr>
          <w:szCs w:val="22"/>
        </w:rPr>
        <w:t>u</w:t>
      </w:r>
      <w:r w:rsidRPr="00675326">
        <w:rPr>
          <w:szCs w:val="22"/>
        </w:rPr>
        <w:t>rent réaménagés de façon à bénéficier davantage à la population qu</w:t>
      </w:r>
      <w:r w:rsidRPr="00675326">
        <w:rPr>
          <w:szCs w:val="22"/>
        </w:rPr>
        <w:t>é</w:t>
      </w:r>
      <w:r w:rsidRPr="00675326">
        <w:rPr>
          <w:szCs w:val="22"/>
        </w:rPr>
        <w:t>bécoise. Les programmes fédéraux qui déjà favorisaient la p</w:t>
      </w:r>
      <w:r w:rsidRPr="00675326">
        <w:rPr>
          <w:szCs w:val="22"/>
        </w:rPr>
        <w:t>o</w:t>
      </w:r>
      <w:r w:rsidRPr="00675326">
        <w:rPr>
          <w:szCs w:val="22"/>
        </w:rPr>
        <w:t>pulation du Québec (essentiellement des programmes de transferts en faveur des gagne-petit) furent par ailleurs révisés de façon à ce que leur i</w:t>
      </w:r>
      <w:r w:rsidRPr="00675326">
        <w:rPr>
          <w:szCs w:val="22"/>
        </w:rPr>
        <w:t>m</w:t>
      </w:r>
      <w:r w:rsidRPr="00675326">
        <w:rPr>
          <w:szCs w:val="22"/>
        </w:rPr>
        <w:t>pact au Québec soit plus important qu'auparavant.</w:t>
      </w:r>
    </w:p>
    <w:p w:rsidR="00AD690E" w:rsidRPr="00675326" w:rsidRDefault="00AD690E" w:rsidP="00AD690E">
      <w:pPr>
        <w:spacing w:before="120" w:after="120"/>
        <w:jc w:val="both"/>
      </w:pPr>
      <w:r w:rsidRPr="00675326">
        <w:rPr>
          <w:szCs w:val="22"/>
        </w:rPr>
        <w:t>Ces diverses mesures budgétaires, cependant, s'avérèrent lon</w:t>
      </w:r>
      <w:r w:rsidRPr="00675326">
        <w:rPr>
          <w:szCs w:val="22"/>
        </w:rPr>
        <w:t>g</w:t>
      </w:r>
      <w:r w:rsidRPr="00675326">
        <w:rPr>
          <w:szCs w:val="22"/>
        </w:rPr>
        <w:t>temps insuffisantes tant l'écart à combler était considérable</w:t>
      </w:r>
      <w:r>
        <w:rPr>
          <w:szCs w:val="22"/>
        </w:rPr>
        <w:t> </w:t>
      </w:r>
      <w:r w:rsidRPr="00857900">
        <w:rPr>
          <w:rStyle w:val="Appelnotedebasdep"/>
        </w:rPr>
        <w:footnoteReference w:id="6"/>
      </w:r>
      <w:r w:rsidRPr="00675326">
        <w:rPr>
          <w:szCs w:val="22"/>
        </w:rPr>
        <w:t>. Par ai</w:t>
      </w:r>
      <w:r w:rsidRPr="00675326">
        <w:rPr>
          <w:szCs w:val="22"/>
        </w:rPr>
        <w:t>l</w:t>
      </w:r>
      <w:r w:rsidRPr="00675326">
        <w:rPr>
          <w:szCs w:val="22"/>
        </w:rPr>
        <w:t>leurs, elles ne pouvaient complèt</w:t>
      </w:r>
      <w:r w:rsidRPr="00675326">
        <w:rPr>
          <w:szCs w:val="22"/>
        </w:rPr>
        <w:t>e</w:t>
      </w:r>
      <w:r w:rsidRPr="00675326">
        <w:rPr>
          <w:szCs w:val="22"/>
        </w:rPr>
        <w:t>ment compenser les effets de conjoncture qui favorisaient l'Ontario et les provinces de l'Ouest du Canada, effets de conjoncture que le fameux « pacte de l'auto » liant le Canada et les États-Unis devait renforcer, et que la constru</w:t>
      </w:r>
      <w:r w:rsidRPr="00675326">
        <w:rPr>
          <w:szCs w:val="22"/>
        </w:rPr>
        <w:t>c</w:t>
      </w:r>
      <w:r w:rsidRPr="00675326">
        <w:rPr>
          <w:szCs w:val="22"/>
        </w:rPr>
        <w:t>tion de la voie maritime du Saint-Laurent, ouvrant l'Ontario aux navires de ha</w:t>
      </w:r>
      <w:r w:rsidRPr="00675326">
        <w:rPr>
          <w:szCs w:val="22"/>
        </w:rPr>
        <w:t>u</w:t>
      </w:r>
      <w:r w:rsidRPr="00675326">
        <w:rPr>
          <w:szCs w:val="22"/>
        </w:rPr>
        <w:t>te-mer, avait révélés, plusieurs a</w:t>
      </w:r>
      <w:r w:rsidRPr="00675326">
        <w:rPr>
          <w:szCs w:val="22"/>
        </w:rPr>
        <w:t>n</w:t>
      </w:r>
      <w:r w:rsidRPr="00675326">
        <w:rPr>
          <w:szCs w:val="22"/>
        </w:rPr>
        <w:t>nées auparavant.</w:t>
      </w:r>
    </w:p>
    <w:p w:rsidR="00AD690E" w:rsidRPr="00675326" w:rsidRDefault="00AD690E" w:rsidP="00AD690E">
      <w:pPr>
        <w:spacing w:before="120" w:after="120"/>
        <w:jc w:val="both"/>
      </w:pPr>
      <w:r w:rsidRPr="00675326">
        <w:rPr>
          <w:szCs w:val="22"/>
        </w:rPr>
        <w:t>À la longue, néanmoins, ces efforts budgétaires permirent d'attei</w:t>
      </w:r>
      <w:r w:rsidRPr="00675326">
        <w:rPr>
          <w:szCs w:val="22"/>
        </w:rPr>
        <w:t>n</w:t>
      </w:r>
      <w:r w:rsidRPr="00675326">
        <w:rPr>
          <w:szCs w:val="22"/>
        </w:rPr>
        <w:t>dre l'objectif défini par le gouvernement de Lester B. Pearson en 1963. En effet, vers la fin des a</w:t>
      </w:r>
      <w:r w:rsidRPr="00675326">
        <w:rPr>
          <w:szCs w:val="22"/>
        </w:rPr>
        <w:t>n</w:t>
      </w:r>
      <w:r w:rsidRPr="00675326">
        <w:rPr>
          <w:szCs w:val="22"/>
        </w:rPr>
        <w:t>nées 70, la proportion des dépenses fédérales au Québec a finalement dépassé la proportion des revenus fédéraux provenant du Québec, de l'aveu même des indépendanti</w:t>
      </w:r>
      <w:r w:rsidRPr="00675326">
        <w:rPr>
          <w:szCs w:val="22"/>
        </w:rPr>
        <w:t>s</w:t>
      </w:r>
      <w:r w:rsidRPr="00675326">
        <w:rPr>
          <w:szCs w:val="22"/>
        </w:rPr>
        <w:t>tes québécois.</w:t>
      </w:r>
    </w:p>
    <w:p w:rsidR="00AD690E" w:rsidRPr="00675326" w:rsidRDefault="00AD690E" w:rsidP="00AD690E">
      <w:pPr>
        <w:spacing w:before="120" w:after="120"/>
        <w:jc w:val="both"/>
      </w:pPr>
      <w:r w:rsidRPr="00675326">
        <w:rPr>
          <w:szCs w:val="22"/>
        </w:rPr>
        <w:t>Les efforts consentis du point de vue des dépenses f</w:t>
      </w:r>
      <w:r w:rsidRPr="00675326">
        <w:rPr>
          <w:szCs w:val="22"/>
        </w:rPr>
        <w:t>é</w:t>
      </w:r>
      <w:r w:rsidRPr="00675326">
        <w:rPr>
          <w:szCs w:val="22"/>
        </w:rPr>
        <w:t>dérales, tout en étant considérables, n'étaient cependant pas aussi exigeants que les concessions d'ordre constit</w:t>
      </w:r>
      <w:r w:rsidRPr="00675326">
        <w:rPr>
          <w:szCs w:val="22"/>
        </w:rPr>
        <w:t>u</w:t>
      </w:r>
      <w:r w:rsidRPr="00675326">
        <w:rPr>
          <w:szCs w:val="22"/>
        </w:rPr>
        <w:t>tionnel ou quasi constitutionnel qui furent, à l'époque, consenties en faveur du Québec.</w:t>
      </w:r>
    </w:p>
    <w:p w:rsidR="00AD690E" w:rsidRPr="00675326" w:rsidRDefault="00AD690E" w:rsidP="00AD690E">
      <w:pPr>
        <w:spacing w:before="120" w:after="120"/>
        <w:jc w:val="both"/>
      </w:pPr>
      <w:r w:rsidRPr="00675326">
        <w:rPr>
          <w:szCs w:val="22"/>
        </w:rPr>
        <w:t>Parmi les accommodements conclus avec le gouve</w:t>
      </w:r>
      <w:r w:rsidRPr="00675326">
        <w:rPr>
          <w:szCs w:val="22"/>
        </w:rPr>
        <w:t>r</w:t>
      </w:r>
      <w:r w:rsidRPr="00675326">
        <w:rPr>
          <w:szCs w:val="22"/>
        </w:rPr>
        <w:t>nement de la province de Québec, il en est trois qui eurent des conséquences impo</w:t>
      </w:r>
      <w:r w:rsidRPr="00675326">
        <w:rPr>
          <w:szCs w:val="22"/>
        </w:rPr>
        <w:t>r</w:t>
      </w:r>
      <w:r w:rsidRPr="00675326">
        <w:rPr>
          <w:szCs w:val="22"/>
        </w:rPr>
        <w:lastRenderedPageBreak/>
        <w:t xml:space="preserve">tantes. Le premier concernait le régime de pensions du </w:t>
      </w:r>
      <w:r>
        <w:rPr>
          <w:szCs w:val="22"/>
        </w:rPr>
        <w:t>Canada </w:t>
      </w:r>
      <w:r w:rsidRPr="00857900">
        <w:rPr>
          <w:rStyle w:val="Appelnotedebasdep"/>
        </w:rPr>
        <w:footnoteReference w:id="7"/>
      </w:r>
      <w:r w:rsidRPr="00675326">
        <w:rPr>
          <w:szCs w:val="22"/>
        </w:rPr>
        <w:t>. Malgré les oppositions très vives qui avaient été manifestées, le Qu</w:t>
      </w:r>
      <w:r w:rsidRPr="00675326">
        <w:rPr>
          <w:szCs w:val="22"/>
        </w:rPr>
        <w:t>é</w:t>
      </w:r>
      <w:r w:rsidRPr="00675326">
        <w:rPr>
          <w:szCs w:val="22"/>
        </w:rPr>
        <w:t>bec obtenait, au début d'avril 1964, de constituer son propre régime, pour les résidents du Québec, alors que les résidents des autres pr</w:t>
      </w:r>
      <w:r w:rsidRPr="00675326">
        <w:rPr>
          <w:szCs w:val="22"/>
        </w:rPr>
        <w:t>o</w:t>
      </w:r>
      <w:r w:rsidRPr="00675326">
        <w:rPr>
          <w:szCs w:val="22"/>
        </w:rPr>
        <w:t>vinces seraient couverts par le régime fédéral. Cet accommodement allait permettre au gouvernement du Québec d'établir le Régime des rentes du Québec ainsi que la Caisse de dépôts et de placements, deux institutions qui, au cours des années suivantes, s'avérèrent exceptio</w:t>
      </w:r>
      <w:r w:rsidRPr="00675326">
        <w:rPr>
          <w:szCs w:val="22"/>
        </w:rPr>
        <w:t>n</w:t>
      </w:r>
      <w:r w:rsidRPr="00675326">
        <w:rPr>
          <w:szCs w:val="22"/>
        </w:rPr>
        <w:t>nell</w:t>
      </w:r>
      <w:r w:rsidRPr="00675326">
        <w:rPr>
          <w:szCs w:val="22"/>
        </w:rPr>
        <w:t>e</w:t>
      </w:r>
      <w:r w:rsidRPr="00675326">
        <w:rPr>
          <w:szCs w:val="22"/>
        </w:rPr>
        <w:t>ment bénéfiques pour le Québec.</w:t>
      </w:r>
    </w:p>
    <w:p w:rsidR="00AD690E" w:rsidRPr="00675326" w:rsidRDefault="00AD690E" w:rsidP="00AD690E">
      <w:pPr>
        <w:spacing w:before="120" w:after="120"/>
        <w:jc w:val="both"/>
      </w:pPr>
      <w:r w:rsidRPr="00675326">
        <w:rPr>
          <w:szCs w:val="22"/>
        </w:rPr>
        <w:t>Le deuxième accommodement important conclu à ce</w:t>
      </w:r>
      <w:r w:rsidRPr="00675326">
        <w:rPr>
          <w:szCs w:val="22"/>
        </w:rPr>
        <w:t>t</w:t>
      </w:r>
      <w:r w:rsidRPr="00675326">
        <w:rPr>
          <w:szCs w:val="22"/>
        </w:rPr>
        <w:t>te époque en faveur du Québec prit la forme d'une loi fédérale permettant des a</w:t>
      </w:r>
      <w:r w:rsidRPr="00675326">
        <w:rPr>
          <w:szCs w:val="22"/>
        </w:rPr>
        <w:t>r</w:t>
      </w:r>
      <w:r w:rsidRPr="00675326">
        <w:rPr>
          <w:szCs w:val="22"/>
        </w:rPr>
        <w:t>rangements financiers</w:t>
      </w:r>
      <w:r>
        <w:rPr>
          <w:szCs w:val="22"/>
        </w:rPr>
        <w:t xml:space="preserve"> </w:t>
      </w:r>
      <w:r>
        <w:t xml:space="preserve">[21] </w:t>
      </w:r>
      <w:r w:rsidRPr="00675326">
        <w:rPr>
          <w:szCs w:val="22"/>
        </w:rPr>
        <w:t>en faveur des provinces qui ne particip</w:t>
      </w:r>
      <w:r w:rsidRPr="00675326">
        <w:rPr>
          <w:szCs w:val="22"/>
        </w:rPr>
        <w:t>e</w:t>
      </w:r>
      <w:r w:rsidRPr="00675326">
        <w:rPr>
          <w:szCs w:val="22"/>
        </w:rPr>
        <w:t>raient pas aux programmes à frais partagés établis par le gouvern</w:t>
      </w:r>
      <w:r w:rsidRPr="00675326">
        <w:rPr>
          <w:szCs w:val="22"/>
        </w:rPr>
        <w:t>e</w:t>
      </w:r>
      <w:r w:rsidRPr="00675326">
        <w:rPr>
          <w:szCs w:val="22"/>
        </w:rPr>
        <w:t>ment fédéral dans des domaines de juridiction provinciale ou de jur</w:t>
      </w:r>
      <w:r w:rsidRPr="00675326">
        <w:rPr>
          <w:szCs w:val="22"/>
        </w:rPr>
        <w:t>i</w:t>
      </w:r>
      <w:r w:rsidRPr="00675326">
        <w:rPr>
          <w:szCs w:val="22"/>
        </w:rPr>
        <w:t xml:space="preserve">diction partagée. Connue sous le vocable anglais de </w:t>
      </w:r>
      <w:r w:rsidRPr="00675326">
        <w:rPr>
          <w:i/>
          <w:iCs/>
          <w:szCs w:val="22"/>
        </w:rPr>
        <w:t>opting-out form</w:t>
      </w:r>
      <w:r w:rsidRPr="00675326">
        <w:rPr>
          <w:i/>
          <w:iCs/>
          <w:szCs w:val="22"/>
        </w:rPr>
        <w:t>u</w:t>
      </w:r>
      <w:r w:rsidRPr="00675326">
        <w:rPr>
          <w:i/>
          <w:iCs/>
          <w:szCs w:val="22"/>
        </w:rPr>
        <w:t xml:space="preserve">la, </w:t>
      </w:r>
      <w:r w:rsidRPr="00675326">
        <w:rPr>
          <w:szCs w:val="22"/>
        </w:rPr>
        <w:t>cette mesure d'exception ne fut, en pratique, utilisée qu'au Québec et elle permit au gouve</w:t>
      </w:r>
      <w:r w:rsidRPr="00675326">
        <w:rPr>
          <w:szCs w:val="22"/>
        </w:rPr>
        <w:t>r</w:t>
      </w:r>
      <w:r w:rsidRPr="00675326">
        <w:rPr>
          <w:szCs w:val="22"/>
        </w:rPr>
        <w:t>nement de la province du Québec d'accroître sa part des impôts.</w:t>
      </w:r>
    </w:p>
    <w:p w:rsidR="00AD690E" w:rsidRPr="00675326" w:rsidRDefault="00AD690E" w:rsidP="00AD690E">
      <w:pPr>
        <w:spacing w:before="120" w:after="120"/>
        <w:jc w:val="both"/>
      </w:pPr>
      <w:r w:rsidRPr="00675326">
        <w:rPr>
          <w:szCs w:val="22"/>
        </w:rPr>
        <w:t>Le troisième accommodement d'importance consenti à cette ép</w:t>
      </w:r>
      <w:r w:rsidRPr="00675326">
        <w:rPr>
          <w:szCs w:val="22"/>
        </w:rPr>
        <w:t>o</w:t>
      </w:r>
      <w:r w:rsidRPr="00675326">
        <w:rPr>
          <w:szCs w:val="22"/>
        </w:rPr>
        <w:t>que concerne les relations extérieures du Qu</w:t>
      </w:r>
      <w:r w:rsidRPr="00675326">
        <w:rPr>
          <w:szCs w:val="22"/>
        </w:rPr>
        <w:t>é</w:t>
      </w:r>
      <w:r w:rsidRPr="00675326">
        <w:rPr>
          <w:szCs w:val="22"/>
        </w:rPr>
        <w:t>bec. En 1965, le Québec put signer avec la France des ententes en matière d'éducation et de culture et, par la suite, il réussit à occuper une part du champ des rel</w:t>
      </w:r>
      <w:r w:rsidRPr="00675326">
        <w:rPr>
          <w:szCs w:val="22"/>
        </w:rPr>
        <w:t>a</w:t>
      </w:r>
      <w:r w:rsidRPr="00675326">
        <w:rPr>
          <w:szCs w:val="22"/>
        </w:rPr>
        <w:t>tions internationales dans les domaines de juridiction provi</w:t>
      </w:r>
      <w:r w:rsidRPr="00675326">
        <w:rPr>
          <w:szCs w:val="22"/>
        </w:rPr>
        <w:t>n</w:t>
      </w:r>
      <w:r w:rsidRPr="00675326">
        <w:rPr>
          <w:szCs w:val="22"/>
        </w:rPr>
        <w:t>ciale</w:t>
      </w:r>
      <w:r>
        <w:rPr>
          <w:szCs w:val="22"/>
        </w:rPr>
        <w:t> </w:t>
      </w:r>
      <w:r>
        <w:rPr>
          <w:rStyle w:val="Appelnotedebasdep"/>
        </w:rPr>
        <w:footnoteReference w:id="8"/>
      </w:r>
      <w:r w:rsidRPr="00675326">
        <w:rPr>
          <w:szCs w:val="22"/>
        </w:rPr>
        <w:t>.</w:t>
      </w:r>
    </w:p>
    <w:p w:rsidR="00AD690E" w:rsidRPr="00675326" w:rsidRDefault="00AD690E" w:rsidP="00AD690E">
      <w:pPr>
        <w:spacing w:before="120" w:after="120"/>
        <w:jc w:val="both"/>
      </w:pPr>
      <w:r w:rsidRPr="00675326">
        <w:rPr>
          <w:szCs w:val="22"/>
        </w:rPr>
        <w:t>Par ailleurs, en plus des mesures visant à retirer aux indépendanti</w:t>
      </w:r>
      <w:r w:rsidRPr="00675326">
        <w:rPr>
          <w:szCs w:val="22"/>
        </w:rPr>
        <w:t>s</w:t>
      </w:r>
      <w:r w:rsidRPr="00675326">
        <w:rPr>
          <w:szCs w:val="22"/>
        </w:rPr>
        <w:t>tes les motifs de leurs revendications, le gouvernement de Lester B. Pearson engagea diverses a</w:t>
      </w:r>
      <w:r w:rsidRPr="00675326">
        <w:rPr>
          <w:szCs w:val="22"/>
        </w:rPr>
        <w:t>c</w:t>
      </w:r>
      <w:r w:rsidRPr="00675326">
        <w:rPr>
          <w:szCs w:val="22"/>
        </w:rPr>
        <w:t>tions destinées à donner aux francophones du Québec de nouvelles raisons de se sentir chez eux au Canada. Trois principales mesures furent prises à cet égard.</w:t>
      </w:r>
    </w:p>
    <w:p w:rsidR="00AD690E" w:rsidRPr="00675326" w:rsidRDefault="00AD690E" w:rsidP="00AD690E">
      <w:pPr>
        <w:spacing w:before="120" w:after="120"/>
        <w:jc w:val="both"/>
      </w:pPr>
      <w:r w:rsidRPr="00675326">
        <w:rPr>
          <w:szCs w:val="22"/>
        </w:rPr>
        <w:t>La première mesure fut la décision de doter le Canada d'un hymne et d'un drapeau distinctifs</w:t>
      </w:r>
      <w:r>
        <w:rPr>
          <w:szCs w:val="22"/>
        </w:rPr>
        <w:t> </w:t>
      </w:r>
      <w:r w:rsidRPr="00857900">
        <w:rPr>
          <w:rStyle w:val="Appelnotedebasdep"/>
        </w:rPr>
        <w:footnoteReference w:id="9"/>
      </w:r>
      <w:r w:rsidRPr="00675326">
        <w:rPr>
          <w:szCs w:val="22"/>
        </w:rPr>
        <w:t>. Le projet de dr</w:t>
      </w:r>
      <w:r w:rsidRPr="00675326">
        <w:rPr>
          <w:szCs w:val="22"/>
        </w:rPr>
        <w:t>a</w:t>
      </w:r>
      <w:r w:rsidRPr="00675326">
        <w:rPr>
          <w:szCs w:val="22"/>
        </w:rPr>
        <w:t>peau auquel tenaient les Canadiens français fut soumis au début du 1964 à l'attention des c</w:t>
      </w:r>
      <w:r w:rsidRPr="00675326">
        <w:rPr>
          <w:szCs w:val="22"/>
        </w:rPr>
        <w:t>i</w:t>
      </w:r>
      <w:r w:rsidRPr="00675326">
        <w:rPr>
          <w:szCs w:val="22"/>
        </w:rPr>
        <w:t>toyens, mais il a fallu 30 journées de débats, réparties sur plus de six mois de se</w:t>
      </w:r>
      <w:r w:rsidRPr="00675326">
        <w:rPr>
          <w:szCs w:val="22"/>
        </w:rPr>
        <w:t>s</w:t>
      </w:r>
      <w:r w:rsidRPr="00675326">
        <w:rPr>
          <w:szCs w:val="22"/>
        </w:rPr>
        <w:t>sion, et quelque 270 discours des parlementaires, pour en arriver, le 15 décembre 1964, à l'adoption de « l'unifolié » comme drapeau national. Le débat sur le projet de drapeau mena à plus de ci</w:t>
      </w:r>
      <w:r w:rsidRPr="00675326">
        <w:rPr>
          <w:szCs w:val="22"/>
        </w:rPr>
        <w:t>r</w:t>
      </w:r>
      <w:r w:rsidRPr="00675326">
        <w:rPr>
          <w:szCs w:val="22"/>
        </w:rPr>
        <w:t>conspection au moment d'adopter l'hymne national, en 1966, le « O Canada », composé par Calixa Lavallée et exécuté pour la première fois en 1880.</w:t>
      </w:r>
    </w:p>
    <w:p w:rsidR="00AD690E" w:rsidRPr="00675326" w:rsidRDefault="00AD690E" w:rsidP="00AD690E">
      <w:pPr>
        <w:spacing w:before="120" w:after="120"/>
        <w:jc w:val="both"/>
      </w:pPr>
      <w:r w:rsidRPr="00675326">
        <w:rPr>
          <w:szCs w:val="22"/>
        </w:rPr>
        <w:t>La deuxième mesure fut de faire de l'année du cent</w:t>
      </w:r>
      <w:r w:rsidRPr="00675326">
        <w:rPr>
          <w:szCs w:val="22"/>
        </w:rPr>
        <w:t>e</w:t>
      </w:r>
      <w:r w:rsidRPr="00675326">
        <w:rPr>
          <w:szCs w:val="22"/>
        </w:rPr>
        <w:t>naire de la Confédération canadienne, déjà prévue comme une année importante de réjouissances au Canada, une année vraiment exceptionnelle, sp</w:t>
      </w:r>
      <w:r w:rsidRPr="00675326">
        <w:rPr>
          <w:szCs w:val="22"/>
        </w:rPr>
        <w:t>é</w:t>
      </w:r>
      <w:r w:rsidRPr="00675326">
        <w:rPr>
          <w:szCs w:val="22"/>
        </w:rPr>
        <w:t>cialement au Québec où la ville de Montréal serait le site d'une exp</w:t>
      </w:r>
      <w:r w:rsidRPr="00675326">
        <w:rPr>
          <w:szCs w:val="22"/>
        </w:rPr>
        <w:t>o</w:t>
      </w:r>
      <w:r w:rsidRPr="00675326">
        <w:rPr>
          <w:szCs w:val="22"/>
        </w:rPr>
        <w:t>sition un</w:t>
      </w:r>
      <w:r w:rsidRPr="00675326">
        <w:rPr>
          <w:szCs w:val="22"/>
        </w:rPr>
        <w:t>i</w:t>
      </w:r>
      <w:r w:rsidRPr="00675326">
        <w:rPr>
          <w:szCs w:val="22"/>
        </w:rPr>
        <w:t>verselle.</w:t>
      </w:r>
    </w:p>
    <w:p w:rsidR="00AD690E" w:rsidRPr="00675326" w:rsidRDefault="00AD690E" w:rsidP="00AD690E">
      <w:pPr>
        <w:spacing w:before="120" w:after="120"/>
        <w:jc w:val="both"/>
      </w:pPr>
      <w:r w:rsidRPr="00675326">
        <w:rPr>
          <w:szCs w:val="22"/>
        </w:rPr>
        <w:t>On chercha enfin à conclure une entente avec les po</w:t>
      </w:r>
      <w:r w:rsidRPr="00675326">
        <w:rPr>
          <w:szCs w:val="22"/>
        </w:rPr>
        <w:t>r</w:t>
      </w:r>
      <w:r w:rsidRPr="00675326">
        <w:rPr>
          <w:szCs w:val="22"/>
        </w:rPr>
        <w:t>te-parole des gouvernements provinciaux sur la question des amendements aux art</w:t>
      </w:r>
      <w:r w:rsidRPr="00675326">
        <w:rPr>
          <w:szCs w:val="22"/>
        </w:rPr>
        <w:t>i</w:t>
      </w:r>
      <w:r w:rsidRPr="00675326">
        <w:rPr>
          <w:szCs w:val="22"/>
        </w:rPr>
        <w:t xml:space="preserve">cles 91 et 92 de </w:t>
      </w:r>
      <w:r w:rsidRPr="00675326">
        <w:rPr>
          <w:i/>
          <w:iCs/>
          <w:szCs w:val="22"/>
        </w:rPr>
        <w:t xml:space="preserve">l'Acte de l'Amérique du Nord britannique </w:t>
      </w:r>
      <w:r w:rsidRPr="00675326">
        <w:rPr>
          <w:szCs w:val="22"/>
        </w:rPr>
        <w:t>de 1867, articles consacrés au partage des juridictions de la constitution can</w:t>
      </w:r>
      <w:r w:rsidRPr="00675326">
        <w:rPr>
          <w:szCs w:val="22"/>
        </w:rPr>
        <w:t>a</w:t>
      </w:r>
      <w:r w:rsidRPr="00675326">
        <w:rPr>
          <w:szCs w:val="22"/>
        </w:rPr>
        <w:t>dienne, afin de pouvoir obtenir du Parlement britannique que cette constitution puisse dorénavant être modifiée sans son recours. Le m</w:t>
      </w:r>
      <w:r w:rsidRPr="00675326">
        <w:rPr>
          <w:szCs w:val="22"/>
        </w:rPr>
        <w:t>i</w:t>
      </w:r>
      <w:r w:rsidRPr="00675326">
        <w:rPr>
          <w:szCs w:val="22"/>
        </w:rPr>
        <w:t>nistre de la Justice dans le go</w:t>
      </w:r>
      <w:r w:rsidRPr="00675326">
        <w:rPr>
          <w:szCs w:val="22"/>
        </w:rPr>
        <w:t>u</w:t>
      </w:r>
      <w:r w:rsidRPr="00675326">
        <w:rPr>
          <w:szCs w:val="22"/>
        </w:rPr>
        <w:t>vernement de Lester B. Pearson, Guy Favreau, publia en février 1965 un document qui, espérait-on, ferait l'unan</w:t>
      </w:r>
      <w:r w:rsidRPr="00675326">
        <w:rPr>
          <w:szCs w:val="22"/>
        </w:rPr>
        <w:t>i</w:t>
      </w:r>
      <w:r w:rsidRPr="00675326">
        <w:rPr>
          <w:szCs w:val="22"/>
        </w:rPr>
        <w:t xml:space="preserve">mité : </w:t>
      </w:r>
      <w:r w:rsidRPr="00675326">
        <w:rPr>
          <w:i/>
          <w:iCs/>
          <w:szCs w:val="22"/>
        </w:rPr>
        <w:t xml:space="preserve">Modification de la Constitution du Canada. </w:t>
      </w:r>
      <w:r w:rsidRPr="00675326">
        <w:rPr>
          <w:szCs w:val="22"/>
        </w:rPr>
        <w:t>La formule proposée par Guy Favreau avait été acceptée par les procureurs gén</w:t>
      </w:r>
      <w:r w:rsidRPr="00675326">
        <w:rPr>
          <w:szCs w:val="22"/>
        </w:rPr>
        <w:t>é</w:t>
      </w:r>
      <w:r w:rsidRPr="00675326">
        <w:rPr>
          <w:szCs w:val="22"/>
        </w:rPr>
        <w:t>raux des</w:t>
      </w:r>
      <w:r>
        <w:rPr>
          <w:szCs w:val="22"/>
        </w:rPr>
        <w:t xml:space="preserve"> </w:t>
      </w:r>
      <w:r>
        <w:rPr>
          <w:szCs w:val="18"/>
        </w:rPr>
        <w:t>[</w:t>
      </w:r>
      <w:r w:rsidRPr="00675326">
        <w:rPr>
          <w:szCs w:val="18"/>
        </w:rPr>
        <w:t>22</w:t>
      </w:r>
      <w:r>
        <w:rPr>
          <w:szCs w:val="18"/>
        </w:rPr>
        <w:t xml:space="preserve">] </w:t>
      </w:r>
      <w:r w:rsidRPr="00675326">
        <w:rPr>
          <w:szCs w:val="22"/>
        </w:rPr>
        <w:t>provinces le 14 octobre 1964 et soumise à l'approbation des dép</w:t>
      </w:r>
      <w:r w:rsidRPr="00675326">
        <w:rPr>
          <w:szCs w:val="22"/>
        </w:rPr>
        <w:t>u</w:t>
      </w:r>
      <w:r w:rsidRPr="00675326">
        <w:rPr>
          <w:szCs w:val="22"/>
        </w:rPr>
        <w:t>tés fédéraux à la fin d'octobre 1964. Le 21 janvier 1965, dans le discours inaugural de la session parlementaire à Québec, le gouve</w:t>
      </w:r>
      <w:r w:rsidRPr="00675326">
        <w:rPr>
          <w:szCs w:val="22"/>
        </w:rPr>
        <w:t>r</w:t>
      </w:r>
      <w:r w:rsidRPr="00675326">
        <w:rPr>
          <w:szCs w:val="22"/>
        </w:rPr>
        <w:t>n</w:t>
      </w:r>
      <w:r w:rsidRPr="00675326">
        <w:rPr>
          <w:szCs w:val="22"/>
        </w:rPr>
        <w:t>e</w:t>
      </w:r>
      <w:r w:rsidRPr="00675326">
        <w:rPr>
          <w:szCs w:val="22"/>
        </w:rPr>
        <w:t>ment du Québec avait même annoncé son intention de faire ratifier l'entente d'octobre 1964 par l'Assemblée.</w:t>
      </w:r>
    </w:p>
    <w:p w:rsidR="00AD690E" w:rsidRPr="00675326" w:rsidRDefault="00AD690E" w:rsidP="00AD690E">
      <w:pPr>
        <w:spacing w:before="120" w:after="120"/>
        <w:jc w:val="both"/>
      </w:pPr>
      <w:r w:rsidRPr="00675326">
        <w:rPr>
          <w:szCs w:val="22"/>
        </w:rPr>
        <w:t>L'opposition extra-parlementaire à la formule</w:t>
      </w:r>
      <w:r>
        <w:rPr>
          <w:szCs w:val="22"/>
        </w:rPr>
        <w:t> </w:t>
      </w:r>
      <w:r w:rsidRPr="00857900">
        <w:rPr>
          <w:rStyle w:val="Appelnotedebasdep"/>
        </w:rPr>
        <w:footnoteReference w:id="10"/>
      </w:r>
      <w:r w:rsidRPr="00675326">
        <w:rPr>
          <w:szCs w:val="22"/>
        </w:rPr>
        <w:t xml:space="preserve"> prop</w:t>
      </w:r>
      <w:r w:rsidRPr="00675326">
        <w:rPr>
          <w:szCs w:val="22"/>
        </w:rPr>
        <w:t>o</w:t>
      </w:r>
      <w:r w:rsidRPr="00675326">
        <w:rPr>
          <w:szCs w:val="22"/>
        </w:rPr>
        <w:t>sée par Guy Favreau fut cependant si importante que Jean Lesage, un an après avoir annoncé qu'il la ferait ratifier, déclara, le 27 janvier 1966, qu'il avait décidé d'en reme</w:t>
      </w:r>
      <w:r w:rsidRPr="00675326">
        <w:rPr>
          <w:szCs w:val="22"/>
        </w:rPr>
        <w:t>t</w:t>
      </w:r>
      <w:r w:rsidRPr="00675326">
        <w:rPr>
          <w:szCs w:val="22"/>
        </w:rPr>
        <w:t>tre l'étude à plus tard.</w:t>
      </w:r>
    </w:p>
    <w:p w:rsidR="00AD690E" w:rsidRDefault="00AD690E" w:rsidP="00AD690E">
      <w:pPr>
        <w:spacing w:before="120" w:after="120"/>
        <w:jc w:val="both"/>
        <w:rPr>
          <w:szCs w:val="22"/>
        </w:rPr>
      </w:pPr>
    </w:p>
    <w:p w:rsidR="00AD690E" w:rsidRPr="00675326" w:rsidRDefault="00AD690E" w:rsidP="00AD690E">
      <w:pPr>
        <w:pStyle w:val="planche"/>
      </w:pPr>
      <w:r w:rsidRPr="00675326">
        <w:t>LE REMPLACEMENT</w:t>
      </w:r>
      <w:r>
        <w:br/>
      </w:r>
      <w:r w:rsidRPr="00675326">
        <w:t>DE LESTER B. PEARSON</w:t>
      </w:r>
      <w:r>
        <w:br/>
      </w:r>
      <w:r w:rsidRPr="00675326">
        <w:t>PAR UN FRANC</w:t>
      </w:r>
      <w:r w:rsidRPr="00675326">
        <w:t>O</w:t>
      </w:r>
      <w:r w:rsidRPr="00675326">
        <w:t>PHONE DU QUÉBEC,</w:t>
      </w:r>
      <w:r>
        <w:br/>
      </w:r>
      <w:r w:rsidRPr="00675326">
        <w:t>PIERRE ELLIOTT TR</w:t>
      </w:r>
      <w:r w:rsidRPr="00675326">
        <w:t>U</w:t>
      </w:r>
      <w:r w:rsidRPr="00675326">
        <w:t>DEAU, EN 1968.</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Il devint bientôt évident que les mesures conçues pour apaiser les revendications québécoises n'obtenaient pas l'effet désiré. En effet, le mouvement indépendantiste québécois ne cessait de prendre de l'a</w:t>
      </w:r>
      <w:r w:rsidRPr="00675326">
        <w:rPr>
          <w:szCs w:val="22"/>
        </w:rPr>
        <w:t>m</w:t>
      </w:r>
      <w:r w:rsidRPr="00675326">
        <w:rPr>
          <w:szCs w:val="22"/>
        </w:rPr>
        <w:t>pleur.</w:t>
      </w:r>
    </w:p>
    <w:p w:rsidR="00AD690E" w:rsidRPr="00675326" w:rsidRDefault="00AD690E" w:rsidP="00AD690E">
      <w:pPr>
        <w:spacing w:before="120" w:after="120"/>
        <w:jc w:val="both"/>
      </w:pPr>
      <w:r w:rsidRPr="00675326">
        <w:rPr>
          <w:szCs w:val="22"/>
        </w:rPr>
        <w:t>L'année 1967 fut exceptionnelle à cet égard. Le 24 juillet, de pa</w:t>
      </w:r>
      <w:r w:rsidRPr="00675326">
        <w:rPr>
          <w:szCs w:val="22"/>
        </w:rPr>
        <w:t>s</w:t>
      </w:r>
      <w:r w:rsidRPr="00675326">
        <w:rPr>
          <w:szCs w:val="22"/>
        </w:rPr>
        <w:t>sage à Montréal, le président de la Républ</w:t>
      </w:r>
      <w:r w:rsidRPr="00675326">
        <w:rPr>
          <w:szCs w:val="22"/>
        </w:rPr>
        <w:t>i</w:t>
      </w:r>
      <w:r w:rsidRPr="00675326">
        <w:rPr>
          <w:szCs w:val="22"/>
        </w:rPr>
        <w:t>que française, le général Charles de Gaulle, lance à la foule : « Vive le Québec libre ! » Le 29 juillet, François Aquin, député libéral à Québec, quitte son parti pour se déclarer « indépendantiste ». En octobre, ayant été banni du Parti libéral provincial en raison de la thèse souvera</w:t>
      </w:r>
      <w:r w:rsidRPr="00675326">
        <w:rPr>
          <w:szCs w:val="22"/>
        </w:rPr>
        <w:t>i</w:t>
      </w:r>
      <w:r w:rsidRPr="00675326">
        <w:rPr>
          <w:szCs w:val="22"/>
        </w:rPr>
        <w:t>niste qu'il préconisait, un ancien ministre du gouvern</w:t>
      </w:r>
      <w:r w:rsidRPr="00675326">
        <w:rPr>
          <w:szCs w:val="22"/>
        </w:rPr>
        <w:t>e</w:t>
      </w:r>
      <w:r w:rsidRPr="00675326">
        <w:rPr>
          <w:szCs w:val="22"/>
        </w:rPr>
        <w:t>ment de Jean Lesage, René Lévesque, forme, avec un groupe d'anciens libéraux provinciaux, une organis</w:t>
      </w:r>
      <w:r w:rsidRPr="00675326">
        <w:rPr>
          <w:szCs w:val="22"/>
        </w:rPr>
        <w:t>a</w:t>
      </w:r>
      <w:r w:rsidRPr="00675326">
        <w:rPr>
          <w:szCs w:val="22"/>
        </w:rPr>
        <w:t>tion appelée « Mouvement souveraineté-association ». Enfin, du 23 au 26 novembre, quelque 1 500 délégués des org</w:t>
      </w:r>
      <w:r w:rsidRPr="00675326">
        <w:rPr>
          <w:szCs w:val="22"/>
        </w:rPr>
        <w:t>a</w:t>
      </w:r>
      <w:r w:rsidRPr="00675326">
        <w:rPr>
          <w:szCs w:val="22"/>
        </w:rPr>
        <w:t>nisations canadiennes-françaises se réunissent à la Place des Arts de Montréal dans le cadre de ce qu'ils avaient appelé les États généraux du Canada français : à cette occasion, les délégués affirment le droit de la nation can</w:t>
      </w:r>
      <w:r w:rsidRPr="00675326">
        <w:rPr>
          <w:szCs w:val="22"/>
        </w:rPr>
        <w:t>a</w:t>
      </w:r>
      <w:r w:rsidRPr="00675326">
        <w:rPr>
          <w:szCs w:val="22"/>
        </w:rPr>
        <w:t>dienne-française à l'autodétermination.</w:t>
      </w:r>
    </w:p>
    <w:p w:rsidR="00AD690E" w:rsidRPr="00675326" w:rsidRDefault="00AD690E" w:rsidP="00AD690E">
      <w:pPr>
        <w:spacing w:before="120" w:after="120"/>
        <w:jc w:val="both"/>
      </w:pPr>
      <w:r w:rsidRPr="00675326">
        <w:rPr>
          <w:szCs w:val="22"/>
        </w:rPr>
        <w:t>Ces événements retentissants de 1967, ajoutés aux a</w:t>
      </w:r>
      <w:r w:rsidRPr="00675326">
        <w:rPr>
          <w:szCs w:val="22"/>
        </w:rPr>
        <w:t>t</w:t>
      </w:r>
      <w:r w:rsidRPr="00675326">
        <w:rPr>
          <w:szCs w:val="22"/>
        </w:rPr>
        <w:t>tentats répétés du Front de libération du Québec et aux manifestations incessantes du Rassemblement pour l'indépendance nationale, convainquirent pl</w:t>
      </w:r>
      <w:r w:rsidRPr="00675326">
        <w:rPr>
          <w:szCs w:val="22"/>
        </w:rPr>
        <w:t>u</w:t>
      </w:r>
      <w:r w:rsidRPr="00675326">
        <w:rPr>
          <w:szCs w:val="22"/>
        </w:rPr>
        <w:t>sieurs dirigeants fédéraux de l'importance et de l'urgence d'intensifier la lutte contre le mouvement indépendantiste québécois et de faire ét</w:t>
      </w:r>
      <w:r w:rsidRPr="00675326">
        <w:rPr>
          <w:szCs w:val="22"/>
        </w:rPr>
        <w:t>a</w:t>
      </w:r>
      <w:r w:rsidRPr="00675326">
        <w:rPr>
          <w:szCs w:val="22"/>
        </w:rPr>
        <w:t>lage d'une plus grande fermeté.</w:t>
      </w:r>
    </w:p>
    <w:p w:rsidR="00AD690E" w:rsidRDefault="00AD690E" w:rsidP="00AD690E">
      <w:pPr>
        <w:spacing w:before="120" w:after="120"/>
        <w:jc w:val="both"/>
        <w:rPr>
          <w:szCs w:val="22"/>
        </w:rPr>
      </w:pPr>
      <w:r w:rsidRPr="00675326">
        <w:rPr>
          <w:szCs w:val="22"/>
        </w:rPr>
        <w:t>Mais le premier ministre Lester B. Pearson, âgé de 70 ans (il était né en 1897), n'était guère disposé à s'engager dans une nouvelle série d'opérations contre les indépendantistes québécois. Il n'avait ni la sa</w:t>
      </w:r>
      <w:r w:rsidRPr="00675326">
        <w:rPr>
          <w:szCs w:val="22"/>
        </w:rPr>
        <w:t>n</w:t>
      </w:r>
      <w:r w:rsidRPr="00675326">
        <w:rPr>
          <w:szCs w:val="22"/>
        </w:rPr>
        <w:t>té ni l'énergie n</w:t>
      </w:r>
      <w:r w:rsidRPr="00675326">
        <w:rPr>
          <w:szCs w:val="22"/>
        </w:rPr>
        <w:t>é</w:t>
      </w:r>
      <w:r w:rsidRPr="00675326">
        <w:rPr>
          <w:szCs w:val="22"/>
        </w:rPr>
        <w:t>cessaires.</w:t>
      </w:r>
    </w:p>
    <w:p w:rsidR="00AD690E" w:rsidRDefault="00AD690E" w:rsidP="00AD690E">
      <w:pPr>
        <w:spacing w:before="120" w:after="120"/>
        <w:jc w:val="both"/>
      </w:pPr>
      <w:r>
        <w:t>[23]</w:t>
      </w:r>
    </w:p>
    <w:p w:rsidR="00AD690E" w:rsidRPr="00675326" w:rsidRDefault="00AD690E" w:rsidP="00AD690E">
      <w:pPr>
        <w:spacing w:before="120" w:after="120"/>
        <w:jc w:val="both"/>
      </w:pPr>
      <w:r w:rsidRPr="00675326">
        <w:rPr>
          <w:szCs w:val="22"/>
        </w:rPr>
        <w:t>Les progressistes conservateurs, par ailleurs, avaient choisi un nouveau chef pour remplacer John Diefenbaker. Au congrès d'invest</w:t>
      </w:r>
      <w:r w:rsidRPr="00675326">
        <w:rPr>
          <w:szCs w:val="22"/>
        </w:rPr>
        <w:t>i</w:t>
      </w:r>
      <w:r w:rsidRPr="00675326">
        <w:rPr>
          <w:szCs w:val="22"/>
        </w:rPr>
        <w:t>ture de septembre 1967, Robert Sta</w:t>
      </w:r>
      <w:r w:rsidRPr="00675326">
        <w:rPr>
          <w:szCs w:val="22"/>
        </w:rPr>
        <w:t>n</w:t>
      </w:r>
      <w:r w:rsidRPr="00675326">
        <w:rPr>
          <w:szCs w:val="22"/>
        </w:rPr>
        <w:t>field avait pris la direction du Parti progressiste-convervateur et déjà les résultats d'un sondage d'o</w:t>
      </w:r>
      <w:r w:rsidRPr="00675326">
        <w:rPr>
          <w:szCs w:val="22"/>
        </w:rPr>
        <w:t>c</w:t>
      </w:r>
      <w:r w:rsidRPr="00675326">
        <w:rPr>
          <w:szCs w:val="22"/>
        </w:rPr>
        <w:t>tobre sur les intentions de vote avaient indiqué que 43</w:t>
      </w:r>
      <w:r>
        <w:rPr>
          <w:szCs w:val="22"/>
        </w:rPr>
        <w:t>%</w:t>
      </w:r>
      <w:r w:rsidRPr="00675326">
        <w:rPr>
          <w:szCs w:val="22"/>
        </w:rPr>
        <w:t xml:space="preserve"> des Can</w:t>
      </w:r>
      <w:r w:rsidRPr="00675326">
        <w:rPr>
          <w:szCs w:val="22"/>
        </w:rPr>
        <w:t>a</w:t>
      </w:r>
      <w:r w:rsidRPr="00675326">
        <w:rPr>
          <w:szCs w:val="22"/>
        </w:rPr>
        <w:t>diens préféraient dorénavant les progressistes conservateurs, alors que seulement 34</w:t>
      </w:r>
      <w:r>
        <w:rPr>
          <w:szCs w:val="22"/>
        </w:rPr>
        <w:t>%</w:t>
      </w:r>
      <w:r w:rsidRPr="00675326">
        <w:rPr>
          <w:szCs w:val="22"/>
        </w:rPr>
        <w:t xml:space="preserve"> préféraient les libéraux</w:t>
      </w:r>
      <w:r>
        <w:rPr>
          <w:szCs w:val="22"/>
        </w:rPr>
        <w:t> </w:t>
      </w:r>
      <w:r w:rsidRPr="00857900">
        <w:rPr>
          <w:rStyle w:val="Appelnotedebasdep"/>
        </w:rPr>
        <w:footnoteReference w:id="11"/>
      </w:r>
      <w:r w:rsidRPr="00675326">
        <w:rPr>
          <w:szCs w:val="22"/>
        </w:rPr>
        <w:t>.</w:t>
      </w:r>
    </w:p>
    <w:p w:rsidR="00AD690E" w:rsidRPr="00675326" w:rsidRDefault="00AD690E" w:rsidP="00AD690E">
      <w:pPr>
        <w:spacing w:before="120" w:after="120"/>
        <w:jc w:val="both"/>
      </w:pPr>
      <w:r w:rsidRPr="00675326">
        <w:rPr>
          <w:szCs w:val="22"/>
        </w:rPr>
        <w:t>Manifestement, pour rester au pouvoir et pour mener une lutte plus énergique contre le mouvement indépe</w:t>
      </w:r>
      <w:r w:rsidRPr="00675326">
        <w:rPr>
          <w:szCs w:val="22"/>
        </w:rPr>
        <w:t>n</w:t>
      </w:r>
      <w:r w:rsidRPr="00675326">
        <w:rPr>
          <w:szCs w:val="22"/>
        </w:rPr>
        <w:t>dantiste, le Parti libéral devait se choisir un nouveau chef, plus jeune, plus combatif que Pearson. Un jeune francophone, Pierre Elliott Trudeau (né le 18 octobre 1919), m</w:t>
      </w:r>
      <w:r w:rsidRPr="00675326">
        <w:rPr>
          <w:szCs w:val="22"/>
        </w:rPr>
        <w:t>i</w:t>
      </w:r>
      <w:r w:rsidRPr="00675326">
        <w:rPr>
          <w:szCs w:val="22"/>
        </w:rPr>
        <w:t>nistre de la Justice depuis avril</w:t>
      </w:r>
      <w:r>
        <w:t xml:space="preserve"> </w:t>
      </w:r>
      <w:r>
        <w:rPr>
          <w:szCs w:val="22"/>
        </w:rPr>
        <w:t xml:space="preserve">1967, </w:t>
      </w:r>
      <w:r w:rsidRPr="00675326">
        <w:rPr>
          <w:szCs w:val="22"/>
        </w:rPr>
        <w:t>semblait remplir les conditions recherchées. On s'employa alors à</w:t>
      </w:r>
      <w:r>
        <w:rPr>
          <w:szCs w:val="22"/>
        </w:rPr>
        <w:t xml:space="preserve"> </w:t>
      </w:r>
      <w:r w:rsidRPr="00675326">
        <w:rPr>
          <w:szCs w:val="22"/>
        </w:rPr>
        <w:t>organiser la succession</w:t>
      </w:r>
      <w:r>
        <w:rPr>
          <w:szCs w:val="22"/>
        </w:rPr>
        <w:t>. </w:t>
      </w:r>
      <w:r w:rsidRPr="00857900">
        <w:rPr>
          <w:rStyle w:val="Appelnotedebasdep"/>
        </w:rPr>
        <w:footnoteReference w:id="12"/>
      </w:r>
    </w:p>
    <w:p w:rsidR="00AD690E" w:rsidRPr="00675326" w:rsidRDefault="00AD690E" w:rsidP="00AD690E">
      <w:pPr>
        <w:spacing w:before="120" w:after="120"/>
        <w:jc w:val="both"/>
      </w:pPr>
      <w:r w:rsidRPr="00675326">
        <w:rPr>
          <w:szCs w:val="22"/>
        </w:rPr>
        <w:t>Le 14 décembre 1967, après en avoir informé le Conseil des mini</w:t>
      </w:r>
      <w:r w:rsidRPr="00675326">
        <w:rPr>
          <w:szCs w:val="22"/>
        </w:rPr>
        <w:t>s</w:t>
      </w:r>
      <w:r w:rsidRPr="00675326">
        <w:rPr>
          <w:szCs w:val="22"/>
        </w:rPr>
        <w:t>tres, Pearson annonça qu'il céderait son poste au successeur que dés</w:t>
      </w:r>
      <w:r w:rsidRPr="00675326">
        <w:rPr>
          <w:szCs w:val="22"/>
        </w:rPr>
        <w:t>i</w:t>
      </w:r>
      <w:r w:rsidRPr="00675326">
        <w:rPr>
          <w:szCs w:val="22"/>
        </w:rPr>
        <w:t>gnerait le parti. On annonça peu après que le congrès d'investiture a</w:t>
      </w:r>
      <w:r w:rsidRPr="00675326">
        <w:rPr>
          <w:szCs w:val="22"/>
        </w:rPr>
        <w:t>u</w:t>
      </w:r>
      <w:r w:rsidRPr="00675326">
        <w:rPr>
          <w:szCs w:val="22"/>
        </w:rPr>
        <w:t>rait lieu du 4 au 6 avril 1968.</w:t>
      </w:r>
    </w:p>
    <w:p w:rsidR="00AD690E" w:rsidRPr="00675326" w:rsidRDefault="00AD690E" w:rsidP="00AD690E">
      <w:pPr>
        <w:spacing w:before="120" w:after="120"/>
        <w:jc w:val="both"/>
      </w:pPr>
      <w:r w:rsidRPr="00675326">
        <w:rPr>
          <w:szCs w:val="22"/>
        </w:rPr>
        <w:t>Trudeau ne se déclara pas candidat tout de suite. Il ne le fit que le 4 février</w:t>
      </w:r>
      <w:r>
        <w:t xml:space="preserve"> </w:t>
      </w:r>
      <w:r>
        <w:rPr>
          <w:szCs w:val="22"/>
        </w:rPr>
        <w:t xml:space="preserve">1968, </w:t>
      </w:r>
      <w:r w:rsidRPr="00675326">
        <w:rPr>
          <w:szCs w:val="22"/>
        </w:rPr>
        <w:t>après s'être assuré de solides appuis</w:t>
      </w:r>
      <w:r>
        <w:rPr>
          <w:szCs w:val="22"/>
        </w:rPr>
        <w:t> </w:t>
      </w:r>
      <w:r w:rsidRPr="00857900">
        <w:rPr>
          <w:rStyle w:val="Appelnotedebasdep"/>
        </w:rPr>
        <w:footnoteReference w:id="13"/>
      </w:r>
      <w:r>
        <w:rPr>
          <w:szCs w:val="22"/>
        </w:rPr>
        <w:t xml:space="preserve">. </w:t>
      </w:r>
      <w:r w:rsidRPr="00675326">
        <w:rPr>
          <w:szCs w:val="22"/>
        </w:rPr>
        <w:t>Déjà assez pop</w:t>
      </w:r>
      <w:r w:rsidRPr="00675326">
        <w:rPr>
          <w:szCs w:val="22"/>
        </w:rPr>
        <w:t>u</w:t>
      </w:r>
      <w:r w:rsidRPr="00675326">
        <w:rPr>
          <w:szCs w:val="22"/>
        </w:rPr>
        <w:t>laire, en raison des</w:t>
      </w:r>
      <w:r>
        <w:rPr>
          <w:szCs w:val="22"/>
        </w:rPr>
        <w:t xml:space="preserve"> </w:t>
      </w:r>
      <w:r w:rsidRPr="00675326">
        <w:rPr>
          <w:szCs w:val="22"/>
        </w:rPr>
        <w:t>projets de loi qu'il avait parrainés à titre de mini</w:t>
      </w:r>
      <w:r w:rsidRPr="00675326">
        <w:rPr>
          <w:szCs w:val="22"/>
        </w:rPr>
        <w:t>s</w:t>
      </w:r>
      <w:r w:rsidRPr="00675326">
        <w:rPr>
          <w:szCs w:val="22"/>
        </w:rPr>
        <w:t>tre de la Justice, Trudeau réussit</w:t>
      </w:r>
      <w:r>
        <w:rPr>
          <w:szCs w:val="22"/>
        </w:rPr>
        <w:t xml:space="preserve"> </w:t>
      </w:r>
      <w:r w:rsidRPr="00675326">
        <w:rPr>
          <w:szCs w:val="22"/>
        </w:rPr>
        <w:t>revendications du Québec. Il s'en prit au premier ministre du Québec, Daniel</w:t>
      </w:r>
      <w:r>
        <w:rPr>
          <w:szCs w:val="22"/>
        </w:rPr>
        <w:t xml:space="preserve"> </w:t>
      </w:r>
      <w:r w:rsidRPr="00675326">
        <w:rPr>
          <w:szCs w:val="22"/>
        </w:rPr>
        <w:t>Johnson, lors de la conférence constitutionnelle des 5, 6 et 7 février et s'opposa,</w:t>
      </w:r>
      <w:r>
        <w:rPr>
          <w:szCs w:val="22"/>
        </w:rPr>
        <w:t xml:space="preserve"> </w:t>
      </w:r>
      <w:r w:rsidRPr="00675326">
        <w:rPr>
          <w:szCs w:val="22"/>
        </w:rPr>
        <w:t>quelques jours plus tard, à la participation du Québec à une conférence</w:t>
      </w:r>
      <w:r>
        <w:rPr>
          <w:szCs w:val="22"/>
        </w:rPr>
        <w:t xml:space="preserve"> </w:t>
      </w:r>
      <w:r w:rsidRPr="00675326">
        <w:rPr>
          <w:szCs w:val="22"/>
        </w:rPr>
        <w:t>internationale des ministres de l</w:t>
      </w:r>
      <w:r>
        <w:rPr>
          <w:szCs w:val="22"/>
        </w:rPr>
        <w:t>’</w:t>
      </w:r>
      <w:r w:rsidRPr="00675326">
        <w:rPr>
          <w:szCs w:val="22"/>
        </w:rPr>
        <w:t>Éducation des pays francophones au Gabon (le</w:t>
      </w:r>
      <w:r>
        <w:rPr>
          <w:szCs w:val="22"/>
        </w:rPr>
        <w:t xml:space="preserve"> </w:t>
      </w:r>
      <w:r w:rsidRPr="00675326">
        <w:rPr>
          <w:szCs w:val="22"/>
        </w:rPr>
        <w:t>19 f</w:t>
      </w:r>
      <w:r w:rsidRPr="00675326">
        <w:rPr>
          <w:szCs w:val="22"/>
        </w:rPr>
        <w:t>é</w:t>
      </w:r>
      <w:r w:rsidRPr="00675326">
        <w:rPr>
          <w:szCs w:val="22"/>
        </w:rPr>
        <w:t>vrier, les relations diplomatiques entre le Canada et le Gabon furent</w:t>
      </w:r>
      <w:r>
        <w:rPr>
          <w:szCs w:val="22"/>
        </w:rPr>
        <w:t xml:space="preserve"> </w:t>
      </w:r>
      <w:r w:rsidRPr="00675326">
        <w:rPr>
          <w:szCs w:val="22"/>
        </w:rPr>
        <w:t>d'ailleurs rompues).</w:t>
      </w:r>
    </w:p>
    <w:p w:rsidR="00AD690E" w:rsidRPr="00675326" w:rsidRDefault="00AD690E" w:rsidP="00AD690E">
      <w:pPr>
        <w:spacing w:before="120" w:after="120"/>
        <w:jc w:val="both"/>
      </w:pPr>
      <w:r w:rsidRPr="00675326">
        <w:rPr>
          <w:szCs w:val="22"/>
        </w:rPr>
        <w:t xml:space="preserve">Comme l'écrivait un journaliste à l'époque, aux yeux de nombreux Canadiens d'origine britannique, Trudeau apparaissait comme « a </w:t>
      </w:r>
      <w:r w:rsidRPr="00675326">
        <w:rPr>
          <w:i/>
          <w:iCs/>
          <w:szCs w:val="22"/>
        </w:rPr>
        <w:t>Frenchman who could</w:t>
      </w:r>
      <w:r>
        <w:rPr>
          <w:i/>
          <w:iCs/>
          <w:szCs w:val="22"/>
        </w:rPr>
        <w:t xml:space="preserve"> </w:t>
      </w:r>
      <w:r w:rsidRPr="00675326">
        <w:rPr>
          <w:i/>
          <w:iCs/>
          <w:szCs w:val="22"/>
        </w:rPr>
        <w:t>put the trouble-making Frenchmen in their place »</w:t>
      </w:r>
      <w:r>
        <w:rPr>
          <w:iCs/>
          <w:szCs w:val="22"/>
        </w:rPr>
        <w:t> </w:t>
      </w:r>
      <w:r w:rsidRPr="00857900">
        <w:rPr>
          <w:rStyle w:val="Appelnotedebasdep"/>
          <w:i/>
          <w:iCs/>
        </w:rPr>
        <w:footnoteReference w:id="14"/>
      </w:r>
      <w:r w:rsidRPr="00675326">
        <w:rPr>
          <w:i/>
          <w:iCs/>
          <w:szCs w:val="22"/>
        </w:rPr>
        <w:t>.</w:t>
      </w:r>
    </w:p>
    <w:p w:rsidR="00AD690E" w:rsidRPr="00675326" w:rsidRDefault="00AD690E" w:rsidP="00AD690E">
      <w:pPr>
        <w:spacing w:before="120" w:after="120"/>
        <w:jc w:val="both"/>
      </w:pPr>
      <w:r w:rsidRPr="00675326">
        <w:rPr>
          <w:szCs w:val="22"/>
        </w:rPr>
        <w:t>Choisi chef au quatrième tour de scrutin, le 6 avril, Trudeau re</w:t>
      </w:r>
      <w:r w:rsidRPr="00675326">
        <w:rPr>
          <w:szCs w:val="22"/>
        </w:rPr>
        <w:t>m</w:t>
      </w:r>
      <w:r w:rsidRPr="00675326">
        <w:rPr>
          <w:szCs w:val="22"/>
        </w:rPr>
        <w:t>plaça Pearson le 20 et réclama (le 23 avril) de nouvelles élections pour le 25 juin. Cependant, malgré l'attrait que le nouveau chef pouvait susciter (on a parlé de Trudeaumanie), et malgré sa performance lors du débat télévisé du 9 juin auquel participaient également R</w:t>
      </w:r>
      <w:r w:rsidRPr="00675326">
        <w:rPr>
          <w:szCs w:val="22"/>
        </w:rPr>
        <w:t>o</w:t>
      </w:r>
      <w:r w:rsidRPr="00675326">
        <w:rPr>
          <w:szCs w:val="22"/>
        </w:rPr>
        <w:t>bert Stanfield, Real Couette et T.C. Douglas, le Parti lib</w:t>
      </w:r>
      <w:r w:rsidRPr="00675326">
        <w:rPr>
          <w:szCs w:val="22"/>
        </w:rPr>
        <w:t>é</w:t>
      </w:r>
      <w:r w:rsidRPr="00675326">
        <w:rPr>
          <w:szCs w:val="22"/>
        </w:rPr>
        <w:t>ral ne réussit à gagner qu'une quinzaine de sièges, ne progressant que de 40 à 46</w:t>
      </w:r>
      <w:r>
        <w:rPr>
          <w:szCs w:val="22"/>
        </w:rPr>
        <w:t>%</w:t>
      </w:r>
      <w:r w:rsidRPr="00675326">
        <w:rPr>
          <w:szCs w:val="22"/>
        </w:rPr>
        <w:t xml:space="preserve"> des voix exprimées au C</w:t>
      </w:r>
      <w:r w:rsidRPr="00675326">
        <w:rPr>
          <w:szCs w:val="22"/>
        </w:rPr>
        <w:t>a</w:t>
      </w:r>
      <w:r w:rsidRPr="00675326">
        <w:rPr>
          <w:szCs w:val="22"/>
        </w:rPr>
        <w:t>nada. Les libéraux perdirent huit sièges dans les</w:t>
      </w:r>
      <w:r>
        <w:rPr>
          <w:szCs w:val="22"/>
        </w:rPr>
        <w:t xml:space="preserve"> </w:t>
      </w:r>
      <w:r>
        <w:rPr>
          <w:szCs w:val="18"/>
        </w:rPr>
        <w:t>[</w:t>
      </w:r>
      <w:r w:rsidRPr="00675326">
        <w:rPr>
          <w:szCs w:val="18"/>
        </w:rPr>
        <w:t>24</w:t>
      </w:r>
      <w:r>
        <w:rPr>
          <w:szCs w:val="18"/>
        </w:rPr>
        <w:t xml:space="preserve">] </w:t>
      </w:r>
      <w:r w:rsidRPr="00675326">
        <w:rPr>
          <w:szCs w:val="22"/>
        </w:rPr>
        <w:t>provinces de l'Atlantique, où de nombreux électeurs choisirent d'appuyer le chef progressiste conservateur, Robert Stanfield, un gars du pays, ancien premier ministre de Nouvelle-</w:t>
      </w:r>
      <w:r>
        <w:rPr>
          <w:szCs w:val="22"/>
        </w:rPr>
        <w:t>É</w:t>
      </w:r>
      <w:r w:rsidRPr="00675326">
        <w:rPr>
          <w:szCs w:val="22"/>
        </w:rPr>
        <w:t>cosse. Les progressi</w:t>
      </w:r>
      <w:r w:rsidRPr="00675326">
        <w:rPr>
          <w:szCs w:val="22"/>
        </w:rPr>
        <w:t>s</w:t>
      </w:r>
      <w:r w:rsidRPr="00675326">
        <w:rPr>
          <w:szCs w:val="22"/>
        </w:rPr>
        <w:t>tes conservateurs, d'un autre côté, perdirent 20 sièges dans l'Ouest : ce recul découlait de la défection vers l'abstention ou même vers le Parti libéral d'un petit nombre d'anciens électeurs progressistes conserv</w:t>
      </w:r>
      <w:r w:rsidRPr="00675326">
        <w:rPr>
          <w:szCs w:val="22"/>
        </w:rPr>
        <w:t>a</w:t>
      </w:r>
      <w:r w:rsidRPr="00675326">
        <w:rPr>
          <w:szCs w:val="22"/>
        </w:rPr>
        <w:t>teurs déçus de ce qu'un chef de l'Est du pays ait été préféré aux asp</w:t>
      </w:r>
      <w:r w:rsidRPr="00675326">
        <w:rPr>
          <w:szCs w:val="22"/>
        </w:rPr>
        <w:t>i</w:t>
      </w:r>
      <w:r w:rsidRPr="00675326">
        <w:rPr>
          <w:szCs w:val="22"/>
        </w:rPr>
        <w:t>rants de l'ouest lors du congrès d'investiture de septembre 1967, et, à la fois, de petits réalignements aux dépens des créditistes et des néo-démocrates au bénéfice des libéraux. En Colombie-Britannique en particulier, la mobilisation des nouveaux électeurs (les jeunes) et d'a</w:t>
      </w:r>
      <w:r w:rsidRPr="00675326">
        <w:rPr>
          <w:szCs w:val="22"/>
        </w:rPr>
        <w:t>n</w:t>
      </w:r>
      <w:r w:rsidRPr="00675326">
        <w:rPr>
          <w:szCs w:val="22"/>
        </w:rPr>
        <w:t>ciens abstentionnistes favor</w:t>
      </w:r>
      <w:r w:rsidRPr="00675326">
        <w:rPr>
          <w:szCs w:val="22"/>
        </w:rPr>
        <w:t>i</w:t>
      </w:r>
      <w:r w:rsidRPr="00675326">
        <w:rPr>
          <w:szCs w:val="22"/>
        </w:rPr>
        <w:t>sa également les libéraux.</w:t>
      </w:r>
    </w:p>
    <w:p w:rsidR="00AD690E" w:rsidRPr="00675326" w:rsidRDefault="00AD690E" w:rsidP="00AD690E">
      <w:pPr>
        <w:spacing w:before="120" w:after="120"/>
        <w:jc w:val="both"/>
      </w:pPr>
      <w:r w:rsidRPr="00675326">
        <w:rPr>
          <w:szCs w:val="22"/>
        </w:rPr>
        <w:t>Dans le centre du pays, en Ontario et au Québec, où sont conce</w:t>
      </w:r>
      <w:r w:rsidRPr="00675326">
        <w:rPr>
          <w:szCs w:val="22"/>
        </w:rPr>
        <w:t>n</w:t>
      </w:r>
      <w:r w:rsidRPr="00675326">
        <w:rPr>
          <w:szCs w:val="22"/>
        </w:rPr>
        <w:t>trés 60</w:t>
      </w:r>
      <w:r>
        <w:rPr>
          <w:szCs w:val="22"/>
        </w:rPr>
        <w:t>%</w:t>
      </w:r>
      <w:r w:rsidRPr="00675326">
        <w:rPr>
          <w:szCs w:val="22"/>
        </w:rPr>
        <w:t xml:space="preserve"> des circonscriptions fédérales, les progressistes conserv</w:t>
      </w:r>
      <w:r w:rsidRPr="00675326">
        <w:rPr>
          <w:szCs w:val="22"/>
        </w:rPr>
        <w:t>a</w:t>
      </w:r>
      <w:r w:rsidRPr="00675326">
        <w:rPr>
          <w:szCs w:val="22"/>
        </w:rPr>
        <w:t>teurs perdirent douze sièges, non pas à cause d'une chute générale de popularité (car ils conservèrent l'essentiel des appuis dont ils avaient bénéf</w:t>
      </w:r>
      <w:r w:rsidRPr="00675326">
        <w:rPr>
          <w:szCs w:val="22"/>
        </w:rPr>
        <w:t>i</w:t>
      </w:r>
      <w:r w:rsidRPr="00675326">
        <w:rPr>
          <w:szCs w:val="22"/>
        </w:rPr>
        <w:t>cié en 1965), mais plutôt à cause des gains des libéraux auprès des francophones, auprès des nouveaux électeurs et auprès d'anciens abstentionnistes et à cause d'impo</w:t>
      </w:r>
      <w:r w:rsidRPr="00675326">
        <w:rPr>
          <w:szCs w:val="22"/>
        </w:rPr>
        <w:t>r</w:t>
      </w:r>
      <w:r w:rsidRPr="00675326">
        <w:rPr>
          <w:szCs w:val="22"/>
        </w:rPr>
        <w:t>tants déplacements des frontières des circonscriptions électorales (car il y avait eu une révision de la carte éle</w:t>
      </w:r>
      <w:r w:rsidRPr="00675326">
        <w:rPr>
          <w:szCs w:val="22"/>
        </w:rPr>
        <w:t>c</w:t>
      </w:r>
      <w:r w:rsidRPr="00675326">
        <w:rPr>
          <w:szCs w:val="22"/>
        </w:rPr>
        <w:t>torale fédérale avant les élections).</w:t>
      </w:r>
    </w:p>
    <w:p w:rsidR="00AD690E" w:rsidRPr="00675326" w:rsidRDefault="00AD690E" w:rsidP="00AD690E">
      <w:pPr>
        <w:spacing w:before="120" w:after="120"/>
        <w:jc w:val="both"/>
      </w:pPr>
      <w:r w:rsidRPr="00675326">
        <w:rPr>
          <w:szCs w:val="22"/>
        </w:rPr>
        <w:t>Au Québec, 53,6</w:t>
      </w:r>
      <w:r>
        <w:rPr>
          <w:szCs w:val="22"/>
        </w:rPr>
        <w:t>%</w:t>
      </w:r>
      <w:r w:rsidRPr="00675326">
        <w:rPr>
          <w:szCs w:val="22"/>
        </w:rPr>
        <w:t xml:space="preserve"> des votants appuyèrent les cand</w:t>
      </w:r>
      <w:r w:rsidRPr="00675326">
        <w:rPr>
          <w:szCs w:val="22"/>
        </w:rPr>
        <w:t>i</w:t>
      </w:r>
      <w:r w:rsidRPr="00675326">
        <w:rPr>
          <w:szCs w:val="22"/>
        </w:rPr>
        <w:t>dats libéraux (une augmentation par rapport à 1965 alors que seulement 45.6</w:t>
      </w:r>
      <w:r>
        <w:rPr>
          <w:szCs w:val="22"/>
        </w:rPr>
        <w:t>%</w:t>
      </w:r>
      <w:r w:rsidRPr="00675326">
        <w:rPr>
          <w:szCs w:val="22"/>
        </w:rPr>
        <w:t>, l'avaient fait). Trudeau, manifestement, avait été, au Québec, le fa</w:t>
      </w:r>
      <w:r w:rsidRPr="00675326">
        <w:rPr>
          <w:szCs w:val="22"/>
        </w:rPr>
        <w:t>c</w:t>
      </w:r>
      <w:r w:rsidRPr="00675326">
        <w:rPr>
          <w:szCs w:val="22"/>
        </w:rPr>
        <w:t>teur décisif dans la décision électorale de nombreux électeurs, franc</w:t>
      </w:r>
      <w:r w:rsidRPr="00675326">
        <w:rPr>
          <w:szCs w:val="22"/>
        </w:rPr>
        <w:t>o</w:t>
      </w:r>
      <w:r w:rsidRPr="00675326">
        <w:rPr>
          <w:szCs w:val="22"/>
        </w:rPr>
        <w:t>phones et anglophones</w:t>
      </w:r>
      <w:r>
        <w:rPr>
          <w:szCs w:val="22"/>
        </w:rPr>
        <w:t> </w:t>
      </w:r>
      <w:r w:rsidRPr="00857900">
        <w:rPr>
          <w:rStyle w:val="Appelnotedebasdep"/>
        </w:rPr>
        <w:footnoteReference w:id="15"/>
      </w:r>
      <w:r w:rsidRPr="00675326">
        <w:rPr>
          <w:szCs w:val="22"/>
        </w:rPr>
        <w:t>. Mais l'augmentation de l'appui accordé aux libéraux au Québec ne leur donna aucun siège su</w:t>
      </w:r>
      <w:r w:rsidRPr="00675326">
        <w:rPr>
          <w:szCs w:val="22"/>
        </w:rPr>
        <w:t>p</w:t>
      </w:r>
      <w:r w:rsidRPr="00675326">
        <w:rPr>
          <w:szCs w:val="22"/>
        </w:rPr>
        <w:t>plémentaire, par rapport à 1965.</w:t>
      </w:r>
    </w:p>
    <w:p w:rsidR="00AD690E" w:rsidRPr="00675326" w:rsidRDefault="00AD690E" w:rsidP="00AD690E">
      <w:pPr>
        <w:spacing w:before="120" w:after="120"/>
        <w:jc w:val="both"/>
      </w:pPr>
      <w:r w:rsidRPr="00675326">
        <w:rPr>
          <w:szCs w:val="22"/>
        </w:rPr>
        <w:t>Bien qu'elle fut relativement modeste, compte tenu des espoirs qu'avait suscités Trudeau, la victoire libérale n'en était pas moins déc</w:t>
      </w:r>
      <w:r w:rsidRPr="00675326">
        <w:rPr>
          <w:szCs w:val="22"/>
        </w:rPr>
        <w:t>i</w:t>
      </w:r>
      <w:r w:rsidRPr="00675326">
        <w:rPr>
          <w:szCs w:val="22"/>
        </w:rPr>
        <w:t>sive (voir tableau 1 et tableau 2).</w:t>
      </w:r>
    </w:p>
    <w:p w:rsidR="00AD690E" w:rsidRDefault="00AD690E" w:rsidP="00AD690E">
      <w:pPr>
        <w:spacing w:before="120" w:after="120"/>
        <w:jc w:val="both"/>
        <w:rPr>
          <w:szCs w:val="22"/>
        </w:rPr>
      </w:pPr>
      <w:r w:rsidRPr="00675326">
        <w:rPr>
          <w:szCs w:val="22"/>
        </w:rPr>
        <w:t>Cette victoire permit à Pierre Elliott Trudeau de pou</w:t>
      </w:r>
      <w:r w:rsidRPr="00675326">
        <w:rPr>
          <w:szCs w:val="22"/>
        </w:rPr>
        <w:t>r</w:t>
      </w:r>
      <w:r w:rsidRPr="00675326">
        <w:rPr>
          <w:szCs w:val="22"/>
        </w:rPr>
        <w:t>suivre avec vigueur une quantité d'actions, surtout dans le domaine social, qu'il n'aurait peut-être pas pu engager si son parti avait été minoritaire à la Chambre des comm</w:t>
      </w:r>
      <w:r w:rsidRPr="00675326">
        <w:rPr>
          <w:szCs w:val="22"/>
        </w:rPr>
        <w:t>u</w:t>
      </w:r>
      <w:r w:rsidRPr="00675326">
        <w:rPr>
          <w:szCs w:val="22"/>
        </w:rPr>
        <w:t>nes. L'action dans le domaine de la santé fut spectaculaire et elle a contribué à renforcer la présence des provinces dans les perceptions des citoyens. Les mesures fiscales relativement égalitaristes parrainées par le ministre E. Benson ont mené à une r</w:t>
      </w:r>
      <w:r w:rsidRPr="00675326">
        <w:rPr>
          <w:szCs w:val="22"/>
        </w:rPr>
        <w:t>é</w:t>
      </w:r>
      <w:r w:rsidRPr="00675326">
        <w:rPr>
          <w:szCs w:val="22"/>
        </w:rPr>
        <w:t>partition un peu différente du fardeau fiscal entre les provinces, les provinces du Québec et de l'Atlantique se trouvant d'une certaine f</w:t>
      </w:r>
      <w:r w:rsidRPr="00675326">
        <w:rPr>
          <w:szCs w:val="22"/>
        </w:rPr>
        <w:t>a</w:t>
      </w:r>
      <w:r w:rsidRPr="00675326">
        <w:rPr>
          <w:szCs w:val="22"/>
        </w:rPr>
        <w:t>çon légèrement avantagées. Des programmes innovateurs comme « persp</w:t>
      </w:r>
      <w:r>
        <w:rPr>
          <w:szCs w:val="22"/>
        </w:rPr>
        <w:t>ectives-jeunesses » ou « initiati</w:t>
      </w:r>
      <w:r w:rsidRPr="00675326">
        <w:rPr>
          <w:szCs w:val="22"/>
        </w:rPr>
        <w:t>ves loc</w:t>
      </w:r>
      <w:r w:rsidRPr="00675326">
        <w:rPr>
          <w:szCs w:val="22"/>
        </w:rPr>
        <w:t>a</w:t>
      </w:r>
      <w:r w:rsidRPr="00675326">
        <w:rPr>
          <w:szCs w:val="22"/>
        </w:rPr>
        <w:t>les », dont près de 40</w:t>
      </w:r>
      <w:r>
        <w:rPr>
          <w:szCs w:val="22"/>
        </w:rPr>
        <w:t>%</w:t>
      </w:r>
      <w:r w:rsidRPr="00675326">
        <w:rPr>
          <w:i/>
          <w:iCs/>
          <w:szCs w:val="22"/>
        </w:rPr>
        <w:t xml:space="preserve"> </w:t>
      </w:r>
      <w:r w:rsidRPr="00675326">
        <w:rPr>
          <w:szCs w:val="22"/>
        </w:rPr>
        <w:t>des fonds furent dépensés au Québec, furent également importants du point de vue de la démarche de Pierre Trudeau à l'égard du Qu</w:t>
      </w:r>
      <w:r w:rsidRPr="00675326">
        <w:rPr>
          <w:szCs w:val="22"/>
        </w:rPr>
        <w:t>é</w:t>
      </w:r>
      <w:r w:rsidRPr="00675326">
        <w:rPr>
          <w:szCs w:val="22"/>
        </w:rPr>
        <w:t>bec.</w:t>
      </w:r>
    </w:p>
    <w:p w:rsidR="00AD690E" w:rsidRDefault="00AD690E" w:rsidP="00AD690E">
      <w:pPr>
        <w:spacing w:before="120" w:after="120"/>
        <w:jc w:val="both"/>
      </w:pPr>
      <w:r>
        <w:t>[25]</w:t>
      </w:r>
    </w:p>
    <w:p w:rsidR="00AD690E" w:rsidRPr="00675326" w:rsidRDefault="00AD690E" w:rsidP="00AD690E">
      <w:pPr>
        <w:spacing w:before="120" w:after="120"/>
        <w:jc w:val="both"/>
      </w:pPr>
      <w:r w:rsidRPr="00675326">
        <w:rPr>
          <w:szCs w:val="22"/>
        </w:rPr>
        <w:t>La stratégie de Pierre Trudeau se situait dans le pr</w:t>
      </w:r>
      <w:r w:rsidRPr="00675326">
        <w:rPr>
          <w:szCs w:val="22"/>
        </w:rPr>
        <w:t>o</w:t>
      </w:r>
      <w:r w:rsidRPr="00675326">
        <w:rPr>
          <w:szCs w:val="22"/>
        </w:rPr>
        <w:t>longement des décisions prises au cours des années pr</w:t>
      </w:r>
      <w:r w:rsidRPr="00675326">
        <w:rPr>
          <w:szCs w:val="22"/>
        </w:rPr>
        <w:t>é</w:t>
      </w:r>
      <w:r w:rsidRPr="00675326">
        <w:rPr>
          <w:szCs w:val="22"/>
        </w:rPr>
        <w:t xml:space="preserve">cédentes par son prédécesseur, Lester B. Pearson. Le gouvernement Trudeau, notamment avec la </w:t>
      </w:r>
      <w:r w:rsidRPr="00675326">
        <w:rPr>
          <w:i/>
          <w:iCs/>
          <w:szCs w:val="22"/>
        </w:rPr>
        <w:t xml:space="preserve">Loi sur les langues officielles, </w:t>
      </w:r>
      <w:r w:rsidRPr="00675326">
        <w:rPr>
          <w:szCs w:val="22"/>
        </w:rPr>
        <w:t>accentua les efforts déjà engagés afin d'améliorer le sort des francophones au sein de l'administration fédér</w:t>
      </w:r>
      <w:r w:rsidRPr="00675326">
        <w:rPr>
          <w:szCs w:val="22"/>
        </w:rPr>
        <w:t>a</w:t>
      </w:r>
      <w:r w:rsidRPr="00675326">
        <w:rPr>
          <w:szCs w:val="22"/>
        </w:rPr>
        <w:t>le. Grâce aux programmes budgétaires, il poussa encore plus loin l'e</w:t>
      </w:r>
      <w:r w:rsidRPr="00675326">
        <w:rPr>
          <w:szCs w:val="22"/>
        </w:rPr>
        <w:t>f</w:t>
      </w:r>
      <w:r w:rsidRPr="00675326">
        <w:rPr>
          <w:szCs w:val="22"/>
        </w:rPr>
        <w:t>fort consenti afin d'éliminer l'écart séparant le Québec des autres pr</w:t>
      </w:r>
      <w:r w:rsidRPr="00675326">
        <w:rPr>
          <w:szCs w:val="22"/>
        </w:rPr>
        <w:t>o</w:t>
      </w:r>
      <w:r w:rsidRPr="00675326">
        <w:rPr>
          <w:szCs w:val="22"/>
        </w:rPr>
        <w:t xml:space="preserve">vinces du point de vue des dépenses fédérales par habitant. À cet égard, les moyens déjà mis en </w:t>
      </w:r>
      <w:r>
        <w:rPr>
          <w:szCs w:val="22"/>
        </w:rPr>
        <w:t>œuvre</w:t>
      </w:r>
      <w:r w:rsidRPr="00675326">
        <w:rPr>
          <w:szCs w:val="22"/>
        </w:rPr>
        <w:t xml:space="preserve"> par le gouvernement de Lester B. Person furent appliqués par le gouvernement de Pierre Trudeau avec une énergie accrue.</w:t>
      </w:r>
    </w:p>
    <w:p w:rsidR="00AD690E" w:rsidRPr="00675326" w:rsidRDefault="00AD690E" w:rsidP="00AD690E">
      <w:pPr>
        <w:spacing w:before="120" w:after="120"/>
        <w:jc w:val="both"/>
      </w:pPr>
      <w:r w:rsidRPr="00675326">
        <w:rPr>
          <w:szCs w:val="22"/>
        </w:rPr>
        <w:t>L'agitation indépendantiste ne cessait pourtant pas et, en 1970, aux élections provinciales du Québec, 24</w:t>
      </w:r>
      <w:r>
        <w:rPr>
          <w:szCs w:val="22"/>
        </w:rPr>
        <w:t>%</w:t>
      </w:r>
      <w:r w:rsidRPr="00675326">
        <w:rPr>
          <w:szCs w:val="22"/>
        </w:rPr>
        <w:t xml:space="preserve"> des votes étaient allés au parti créé par René Lévesque à pa</w:t>
      </w:r>
      <w:r w:rsidRPr="00675326">
        <w:rPr>
          <w:szCs w:val="22"/>
        </w:rPr>
        <w:t>r</w:t>
      </w:r>
      <w:r w:rsidRPr="00675326">
        <w:rPr>
          <w:szCs w:val="22"/>
        </w:rPr>
        <w:t>tir de l'organisation appelée « Mouvement souveraineté-association ». Cependant, n'ayant obtenu que sept des 108 sièges de l'Assemblée nationale du Québec, le Parti qu</w:t>
      </w:r>
      <w:r w:rsidRPr="00675326">
        <w:rPr>
          <w:szCs w:val="22"/>
        </w:rPr>
        <w:t>é</w:t>
      </w:r>
      <w:r w:rsidRPr="00675326">
        <w:rPr>
          <w:szCs w:val="22"/>
        </w:rPr>
        <w:t>bécois était fortement sous-représenté.</w:t>
      </w:r>
    </w:p>
    <w:p w:rsidR="00AD690E" w:rsidRPr="00675326" w:rsidRDefault="00AD690E" w:rsidP="00AD690E">
      <w:pPr>
        <w:spacing w:before="120" w:after="120"/>
        <w:jc w:val="both"/>
      </w:pPr>
      <w:r w:rsidRPr="00675326">
        <w:rPr>
          <w:szCs w:val="22"/>
        </w:rPr>
        <w:t>La sous-représentation du Parti québécois donna au FLQ un pr</w:t>
      </w:r>
      <w:r w:rsidRPr="00675326">
        <w:rPr>
          <w:szCs w:val="22"/>
        </w:rPr>
        <w:t>é</w:t>
      </w:r>
      <w:r w:rsidRPr="00675326">
        <w:rPr>
          <w:szCs w:val="22"/>
        </w:rPr>
        <w:t>texte supplémentaire pour recourir encore d</w:t>
      </w:r>
      <w:r w:rsidRPr="00675326">
        <w:rPr>
          <w:szCs w:val="22"/>
        </w:rPr>
        <w:t>a</w:t>
      </w:r>
      <w:r w:rsidRPr="00675326">
        <w:rPr>
          <w:szCs w:val="22"/>
        </w:rPr>
        <w:t>vantage à la violence.</w:t>
      </w:r>
    </w:p>
    <w:p w:rsidR="00AD690E" w:rsidRDefault="00AD690E" w:rsidP="00AD690E">
      <w:pPr>
        <w:spacing w:before="120" w:after="120"/>
        <w:jc w:val="both"/>
        <w:rPr>
          <w:szCs w:val="22"/>
        </w:rPr>
      </w:pPr>
    </w:p>
    <w:p w:rsidR="00AD690E" w:rsidRPr="00675326" w:rsidRDefault="00AD690E" w:rsidP="00AD690E">
      <w:pPr>
        <w:pStyle w:val="planche"/>
      </w:pPr>
      <w:r w:rsidRPr="00675326">
        <w:t xml:space="preserve">LA </w:t>
      </w:r>
      <w:r w:rsidRPr="00AA399D">
        <w:rPr>
          <w:i/>
        </w:rPr>
        <w:t>LOI DES MESURES DE GUERRE</w:t>
      </w:r>
      <w:r>
        <w:br/>
      </w:r>
      <w:r w:rsidRPr="00675326">
        <w:t>D'OCTOBRE 1970</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En deux ans, une soixantaine de bombes avaient été posées par le FLQ ; plusieurs d'entre elles avaient expl</w:t>
      </w:r>
      <w:r w:rsidRPr="00675326">
        <w:rPr>
          <w:szCs w:val="22"/>
        </w:rPr>
        <w:t>o</w:t>
      </w:r>
      <w:r w:rsidRPr="00675326">
        <w:rPr>
          <w:szCs w:val="22"/>
        </w:rPr>
        <w:t>sé, parfois avec effusion de sang. Le FLQ avait par ai</w:t>
      </w:r>
      <w:r w:rsidRPr="00675326">
        <w:rPr>
          <w:szCs w:val="22"/>
        </w:rPr>
        <w:t>l</w:t>
      </w:r>
      <w:r w:rsidRPr="00675326">
        <w:rPr>
          <w:szCs w:val="22"/>
        </w:rPr>
        <w:t>leurs été impliqué dans une vingtaine de vols d'armes, de munitions, d'explosifs ou d'argent. De toute évidence, l'action terroriste.</w:t>
      </w:r>
    </w:p>
    <w:p w:rsidR="00AD690E" w:rsidRPr="00675326" w:rsidRDefault="00AD690E" w:rsidP="00AD690E">
      <w:pPr>
        <w:spacing w:before="120" w:after="120"/>
        <w:jc w:val="both"/>
      </w:pPr>
      <w:r w:rsidRPr="00675326">
        <w:rPr>
          <w:szCs w:val="22"/>
        </w:rPr>
        <w:t>Lorsque, le 5 octobre 1970, on apprit que le FLQ avait enlevé J</w:t>
      </w:r>
      <w:r w:rsidRPr="00675326">
        <w:rPr>
          <w:szCs w:val="22"/>
        </w:rPr>
        <w:t>a</w:t>
      </w:r>
      <w:r w:rsidRPr="00675326">
        <w:rPr>
          <w:szCs w:val="22"/>
        </w:rPr>
        <w:t>mes Richard Cross, un diplomate britannique en poste à Montréal, on comprit que cette action avait atteint un degré dont la gravité était i</w:t>
      </w:r>
      <w:r w:rsidRPr="00675326">
        <w:rPr>
          <w:szCs w:val="22"/>
        </w:rPr>
        <w:t>n</w:t>
      </w:r>
      <w:r w:rsidRPr="00675326">
        <w:rPr>
          <w:szCs w:val="22"/>
        </w:rPr>
        <w:t>discutable, comme en t</w:t>
      </w:r>
      <w:r w:rsidRPr="00675326">
        <w:rPr>
          <w:szCs w:val="22"/>
        </w:rPr>
        <w:t>é</w:t>
      </w:r>
      <w:r w:rsidRPr="00675326">
        <w:rPr>
          <w:szCs w:val="22"/>
        </w:rPr>
        <w:t>moignait l'expérience étrangère, en Uruguay notamment.</w:t>
      </w:r>
    </w:p>
    <w:p w:rsidR="00AD690E" w:rsidRPr="00675326" w:rsidRDefault="00AD690E" w:rsidP="00AD690E">
      <w:pPr>
        <w:spacing w:before="120" w:after="120"/>
        <w:jc w:val="both"/>
      </w:pPr>
      <w:r w:rsidRPr="00675326">
        <w:rPr>
          <w:szCs w:val="22"/>
        </w:rPr>
        <w:t>L'enlèvement de Pierre Laporte, ministre dans le go</w:t>
      </w:r>
      <w:r w:rsidRPr="00675326">
        <w:rPr>
          <w:szCs w:val="22"/>
        </w:rPr>
        <w:t>u</w:t>
      </w:r>
      <w:r w:rsidRPr="00675326">
        <w:rPr>
          <w:szCs w:val="22"/>
        </w:rPr>
        <w:t>vernement du Québec, confirma, le 10 octobre, les conclusions de ceux qui avaient compris que le terrori</w:t>
      </w:r>
      <w:r w:rsidRPr="00675326">
        <w:rPr>
          <w:szCs w:val="22"/>
        </w:rPr>
        <w:t>s</w:t>
      </w:r>
      <w:r w:rsidRPr="00675326">
        <w:rPr>
          <w:szCs w:val="22"/>
        </w:rPr>
        <w:t>me québécois suivait la même démarche que celui d'a</w:t>
      </w:r>
      <w:r w:rsidRPr="00675326">
        <w:rPr>
          <w:szCs w:val="22"/>
        </w:rPr>
        <w:t>u</w:t>
      </w:r>
      <w:r w:rsidRPr="00675326">
        <w:rPr>
          <w:szCs w:val="22"/>
        </w:rPr>
        <w:t>tres pays.</w:t>
      </w:r>
    </w:p>
    <w:p w:rsidR="00AD690E" w:rsidRPr="00675326" w:rsidRDefault="00AD690E" w:rsidP="00AD690E">
      <w:pPr>
        <w:spacing w:before="120" w:after="120"/>
        <w:jc w:val="both"/>
      </w:pPr>
      <w:r w:rsidRPr="00675326">
        <w:rPr>
          <w:szCs w:val="22"/>
        </w:rPr>
        <w:t xml:space="preserve">Aussi, en proclamant l'état d'urgence en vertu de la </w:t>
      </w:r>
      <w:r w:rsidRPr="00675326">
        <w:rPr>
          <w:i/>
          <w:iCs/>
          <w:szCs w:val="22"/>
        </w:rPr>
        <w:t>Loi des mes</w:t>
      </w:r>
      <w:r w:rsidRPr="00675326">
        <w:rPr>
          <w:i/>
          <w:iCs/>
          <w:szCs w:val="22"/>
        </w:rPr>
        <w:t>u</w:t>
      </w:r>
      <w:r w:rsidRPr="00675326">
        <w:rPr>
          <w:i/>
          <w:iCs/>
          <w:szCs w:val="22"/>
        </w:rPr>
        <w:t xml:space="preserve">res de guerre, </w:t>
      </w:r>
      <w:r w:rsidRPr="00675326">
        <w:rPr>
          <w:szCs w:val="22"/>
        </w:rPr>
        <w:t>le 16 octobre, le premier ministre Trudeau posa un ge</w:t>
      </w:r>
      <w:r w:rsidRPr="00675326">
        <w:rPr>
          <w:szCs w:val="22"/>
        </w:rPr>
        <w:t>s</w:t>
      </w:r>
      <w:r w:rsidRPr="00675326">
        <w:rPr>
          <w:szCs w:val="22"/>
        </w:rPr>
        <w:t>te qui rassura de nombreuses personnes et qui, à la fois, permit peut-être de démanteler le réseau terroriste.</w:t>
      </w:r>
    </w:p>
    <w:p w:rsidR="00AD690E" w:rsidRPr="00675326" w:rsidRDefault="00AD690E" w:rsidP="00AD690E">
      <w:pPr>
        <w:spacing w:before="120" w:after="120"/>
        <w:jc w:val="both"/>
      </w:pPr>
      <w:r w:rsidRPr="00675326">
        <w:rPr>
          <w:szCs w:val="22"/>
        </w:rPr>
        <w:t>La nouvelle de la mort de Pierre Laporte, le 17 oct</w:t>
      </w:r>
      <w:r w:rsidRPr="00675326">
        <w:rPr>
          <w:szCs w:val="22"/>
        </w:rPr>
        <w:t>o</w:t>
      </w:r>
      <w:r w:rsidRPr="00675326">
        <w:rPr>
          <w:szCs w:val="22"/>
        </w:rPr>
        <w:t>bre, acheva de justifier, aux yeux des indécis, le geste de Trudeau, si bien que, selon les</w:t>
      </w:r>
      <w:r>
        <w:rPr>
          <w:szCs w:val="22"/>
        </w:rPr>
        <w:t xml:space="preserve"> </w:t>
      </w:r>
      <w:r>
        <w:t>[</w:t>
      </w:r>
      <w:r w:rsidRPr="00675326">
        <w:rPr>
          <w:szCs w:val="22"/>
        </w:rPr>
        <w:t>26</w:t>
      </w:r>
      <w:r>
        <w:rPr>
          <w:szCs w:val="22"/>
        </w:rPr>
        <w:t xml:space="preserve">] </w:t>
      </w:r>
      <w:r w:rsidRPr="00675326">
        <w:rPr>
          <w:szCs w:val="22"/>
        </w:rPr>
        <w:t>résultats d'un sondage publiés un peu plus tard, 87</w:t>
      </w:r>
      <w:r>
        <w:rPr>
          <w:szCs w:val="22"/>
        </w:rPr>
        <w:t>%</w:t>
      </w:r>
      <w:r w:rsidRPr="00675326">
        <w:rPr>
          <w:szCs w:val="22"/>
        </w:rPr>
        <w:t xml:space="preserve"> des C</w:t>
      </w:r>
      <w:r w:rsidRPr="00675326">
        <w:rPr>
          <w:szCs w:val="22"/>
        </w:rPr>
        <w:t>a</w:t>
      </w:r>
      <w:r w:rsidRPr="00675326">
        <w:rPr>
          <w:szCs w:val="22"/>
        </w:rPr>
        <w:t xml:space="preserve">nadiens appuyèrent, à l'époque, l'application de la </w:t>
      </w:r>
      <w:r w:rsidRPr="00675326">
        <w:rPr>
          <w:i/>
          <w:iCs/>
          <w:szCs w:val="22"/>
        </w:rPr>
        <w:t>Loi des mesures de gue</w:t>
      </w:r>
      <w:r w:rsidRPr="00675326">
        <w:rPr>
          <w:i/>
          <w:iCs/>
          <w:szCs w:val="22"/>
        </w:rPr>
        <w:t>r</w:t>
      </w:r>
      <w:r w:rsidRPr="00675326">
        <w:rPr>
          <w:i/>
          <w:iCs/>
          <w:szCs w:val="22"/>
        </w:rPr>
        <w:t>re</w:t>
      </w:r>
      <w:r>
        <w:rPr>
          <w:iCs/>
          <w:szCs w:val="22"/>
        </w:rPr>
        <w:t> </w:t>
      </w:r>
      <w:r w:rsidRPr="00857900">
        <w:rPr>
          <w:rStyle w:val="Appelnotedebasdep"/>
          <w:iCs/>
        </w:rPr>
        <w:footnoteReference w:id="16"/>
      </w:r>
      <w:r w:rsidRPr="00675326">
        <w:rPr>
          <w:i/>
          <w:iCs/>
          <w:szCs w:val="22"/>
        </w:rPr>
        <w:t>.</w:t>
      </w:r>
    </w:p>
    <w:p w:rsidR="00AD690E" w:rsidRPr="00675326" w:rsidRDefault="00AD690E" w:rsidP="00AD690E">
      <w:pPr>
        <w:spacing w:before="120" w:after="120"/>
        <w:jc w:val="both"/>
      </w:pPr>
      <w:r w:rsidRPr="00675326">
        <w:rPr>
          <w:szCs w:val="22"/>
        </w:rPr>
        <w:t>Au terme des 453 arrestations, 3</w:t>
      </w:r>
      <w:r>
        <w:rPr>
          <w:szCs w:val="22"/>
        </w:rPr>
        <w:t> </w:t>
      </w:r>
      <w:r w:rsidRPr="00675326">
        <w:rPr>
          <w:szCs w:val="22"/>
        </w:rPr>
        <w:t>068 perquisitions et incalculables interventions policières effectuées sous l'empire des mesures de gue</w:t>
      </w:r>
      <w:r w:rsidRPr="00675326">
        <w:rPr>
          <w:szCs w:val="22"/>
        </w:rPr>
        <w:t>r</w:t>
      </w:r>
      <w:r w:rsidRPr="00675326">
        <w:rPr>
          <w:szCs w:val="22"/>
        </w:rPr>
        <w:t>re</w:t>
      </w:r>
      <w:r>
        <w:rPr>
          <w:szCs w:val="22"/>
        </w:rPr>
        <w:t> </w:t>
      </w:r>
      <w:r w:rsidRPr="00857900">
        <w:rPr>
          <w:rStyle w:val="Appelnotedebasdep"/>
        </w:rPr>
        <w:footnoteReference w:id="17"/>
      </w:r>
      <w:r w:rsidRPr="00675326">
        <w:rPr>
          <w:szCs w:val="22"/>
        </w:rPr>
        <w:t>, on avait repéré suffisamment de suspects pour que cesse le terr</w:t>
      </w:r>
      <w:r w:rsidRPr="00675326">
        <w:rPr>
          <w:szCs w:val="22"/>
        </w:rPr>
        <w:t>o</w:t>
      </w:r>
      <w:r w:rsidRPr="00675326">
        <w:rPr>
          <w:szCs w:val="22"/>
        </w:rPr>
        <w:t>risme au Québec. À la fin de 1970, moins de trois mois après la pr</w:t>
      </w:r>
      <w:r w:rsidRPr="00675326">
        <w:rPr>
          <w:szCs w:val="22"/>
        </w:rPr>
        <w:t>o</w:t>
      </w:r>
      <w:r w:rsidRPr="00675326">
        <w:rPr>
          <w:szCs w:val="22"/>
        </w:rPr>
        <w:t>clamation de l'état d'urgence, c'en était fait du Front de libération du Québec.</w:t>
      </w:r>
    </w:p>
    <w:p w:rsidR="00AD690E" w:rsidRPr="00675326" w:rsidRDefault="00AD690E" w:rsidP="00AD690E">
      <w:pPr>
        <w:spacing w:before="120" w:after="120"/>
        <w:jc w:val="both"/>
      </w:pPr>
      <w:r w:rsidRPr="00675326">
        <w:rPr>
          <w:szCs w:val="22"/>
        </w:rPr>
        <w:t>Très rapidement, les électeurs canadiens oublièrent les événements d'octobre 1970 et en vinrent même à ne plus craindre les indépenda</w:t>
      </w:r>
      <w:r w:rsidRPr="00675326">
        <w:rPr>
          <w:szCs w:val="22"/>
        </w:rPr>
        <w:t>n</w:t>
      </w:r>
      <w:r w:rsidRPr="00675326">
        <w:rPr>
          <w:szCs w:val="22"/>
        </w:rPr>
        <w:t>tistes, dorénavant personnifiés par les députés démocratiquement élus sous la bannière du Parti québécois en 1970 au Québec.</w:t>
      </w:r>
    </w:p>
    <w:p w:rsidR="00AD690E" w:rsidRPr="00675326" w:rsidRDefault="00AD690E" w:rsidP="00AD690E">
      <w:pPr>
        <w:spacing w:before="120" w:after="120"/>
        <w:jc w:val="both"/>
      </w:pPr>
      <w:r w:rsidRPr="00675326">
        <w:rPr>
          <w:szCs w:val="22"/>
        </w:rPr>
        <w:t>Créé en 1968, le Parti québécois avait d'ailleurs unifié le mouv</w:t>
      </w:r>
      <w:r w:rsidRPr="00675326">
        <w:rPr>
          <w:szCs w:val="22"/>
        </w:rPr>
        <w:t>e</w:t>
      </w:r>
      <w:r w:rsidRPr="00675326">
        <w:rPr>
          <w:szCs w:val="22"/>
        </w:rPr>
        <w:t>ment indépendantiste et, après les événements d'octobre 1970, avait contribué à le démocratiser. Les o</w:t>
      </w:r>
      <w:r w:rsidRPr="00675326">
        <w:rPr>
          <w:szCs w:val="22"/>
        </w:rPr>
        <w:t>r</w:t>
      </w:r>
      <w:r w:rsidRPr="00675326">
        <w:rPr>
          <w:szCs w:val="22"/>
        </w:rPr>
        <w:t>ganisations antérieures, telle le Rassemblement pour l'indépendance nationale et le Ralliement nati</w:t>
      </w:r>
      <w:r w:rsidRPr="00675326">
        <w:rPr>
          <w:szCs w:val="22"/>
        </w:rPr>
        <w:t>o</w:t>
      </w:r>
      <w:r w:rsidRPr="00675326">
        <w:rPr>
          <w:szCs w:val="22"/>
        </w:rPr>
        <w:t>nal (parti so</w:t>
      </w:r>
      <w:r w:rsidRPr="00675326">
        <w:rPr>
          <w:szCs w:val="22"/>
        </w:rPr>
        <w:t>u</w:t>
      </w:r>
      <w:r w:rsidRPr="00675326">
        <w:rPr>
          <w:szCs w:val="22"/>
        </w:rPr>
        <w:t>verainiste dirigé par Gilles Grégoire, un ancien député créditiste à Ottawa), avaient disparu au bénéfice du no</w:t>
      </w:r>
      <w:r w:rsidRPr="00675326">
        <w:rPr>
          <w:szCs w:val="22"/>
        </w:rPr>
        <w:t>u</w:t>
      </w:r>
      <w:r w:rsidRPr="00675326">
        <w:rPr>
          <w:szCs w:val="22"/>
        </w:rPr>
        <w:t>veau parti souverainiste animé par René Lévesque, l'a</w:t>
      </w:r>
      <w:r w:rsidRPr="00675326">
        <w:rPr>
          <w:szCs w:val="22"/>
        </w:rPr>
        <w:t>n</w:t>
      </w:r>
      <w:r w:rsidRPr="00675326">
        <w:rPr>
          <w:szCs w:val="22"/>
        </w:rPr>
        <w:t>cien ministre libéral.</w:t>
      </w:r>
    </w:p>
    <w:p w:rsidR="00AD690E" w:rsidRPr="00675326" w:rsidRDefault="00AD690E" w:rsidP="00AD690E">
      <w:pPr>
        <w:spacing w:before="120" w:after="120"/>
        <w:jc w:val="both"/>
      </w:pPr>
      <w:r w:rsidRPr="00675326">
        <w:rPr>
          <w:szCs w:val="22"/>
        </w:rPr>
        <w:t>Le Parti québécois mena un débat de type parleme</w:t>
      </w:r>
      <w:r w:rsidRPr="00675326">
        <w:rPr>
          <w:szCs w:val="22"/>
        </w:rPr>
        <w:t>n</w:t>
      </w:r>
      <w:r w:rsidRPr="00675326">
        <w:rPr>
          <w:szCs w:val="22"/>
        </w:rPr>
        <w:t>taire et se plia aux règles électorales. Il s'opposa, en particulier, aux accords constit</w:t>
      </w:r>
      <w:r w:rsidRPr="00675326">
        <w:rPr>
          <w:szCs w:val="22"/>
        </w:rPr>
        <w:t>u</w:t>
      </w:r>
      <w:r w:rsidRPr="00675326">
        <w:rPr>
          <w:szCs w:val="22"/>
        </w:rPr>
        <w:t>tionnels proposés par le go</w:t>
      </w:r>
      <w:r w:rsidRPr="00675326">
        <w:rPr>
          <w:szCs w:val="22"/>
        </w:rPr>
        <w:t>u</w:t>
      </w:r>
      <w:r w:rsidRPr="00675326">
        <w:rPr>
          <w:szCs w:val="22"/>
        </w:rPr>
        <w:t>vernement de Pierre Trudeau, car ceux-ci lui apparai</w:t>
      </w:r>
      <w:r w:rsidRPr="00675326">
        <w:rPr>
          <w:szCs w:val="22"/>
        </w:rPr>
        <w:t>s</w:t>
      </w:r>
      <w:r w:rsidRPr="00675326">
        <w:rPr>
          <w:szCs w:val="22"/>
        </w:rPr>
        <w:t>saient tout à fait inacceptables pour un Québec en quête d'émancipation.</w:t>
      </w:r>
    </w:p>
    <w:p w:rsidR="00AD690E" w:rsidRPr="00675326" w:rsidRDefault="00AD690E" w:rsidP="00AD690E">
      <w:pPr>
        <w:spacing w:before="120" w:after="120"/>
        <w:jc w:val="both"/>
      </w:pPr>
      <w:r w:rsidRPr="00675326">
        <w:rPr>
          <w:szCs w:val="22"/>
        </w:rPr>
        <w:t>Ainsi, en 1971, l'opposition du Parti québécois au projet de mod</w:t>
      </w:r>
      <w:r w:rsidRPr="00675326">
        <w:rPr>
          <w:szCs w:val="22"/>
        </w:rPr>
        <w:t>i</w:t>
      </w:r>
      <w:r w:rsidRPr="00675326">
        <w:rPr>
          <w:szCs w:val="22"/>
        </w:rPr>
        <w:t>fication de la constitution et au projet de charte constitutionnelle pr</w:t>
      </w:r>
      <w:r w:rsidRPr="00675326">
        <w:rPr>
          <w:szCs w:val="22"/>
        </w:rPr>
        <w:t>o</w:t>
      </w:r>
      <w:r w:rsidRPr="00675326">
        <w:rPr>
          <w:szCs w:val="22"/>
        </w:rPr>
        <w:t>posés par le premier ministre Tr</w:t>
      </w:r>
      <w:r w:rsidRPr="00675326">
        <w:rPr>
          <w:szCs w:val="22"/>
        </w:rPr>
        <w:t>u</w:t>
      </w:r>
      <w:r w:rsidRPr="00675326">
        <w:rPr>
          <w:szCs w:val="22"/>
        </w:rPr>
        <w:t>deau, jointe à l'opposition exprimée par plusieurs perso</w:t>
      </w:r>
      <w:r w:rsidRPr="00675326">
        <w:rPr>
          <w:szCs w:val="22"/>
        </w:rPr>
        <w:t>n</w:t>
      </w:r>
      <w:r w:rsidRPr="00675326">
        <w:rPr>
          <w:szCs w:val="22"/>
        </w:rPr>
        <w:t>nalités du Québec, réussit-elle à convaincre le premier ministre québécois, Robert Bourassa, de refuser d'acce</w:t>
      </w:r>
      <w:r w:rsidRPr="00675326">
        <w:rPr>
          <w:szCs w:val="22"/>
        </w:rPr>
        <w:t>p</w:t>
      </w:r>
      <w:r w:rsidRPr="00675326">
        <w:rPr>
          <w:szCs w:val="22"/>
        </w:rPr>
        <w:t>ter ces projets, que tous les gouvernements provinciaux avaient cependant approuvés à la conférence constit</w:t>
      </w:r>
      <w:r w:rsidRPr="00675326">
        <w:rPr>
          <w:szCs w:val="22"/>
        </w:rPr>
        <w:t>u</w:t>
      </w:r>
      <w:r w:rsidRPr="00675326">
        <w:rPr>
          <w:szCs w:val="22"/>
        </w:rPr>
        <w:t>tionnelle de Victoria les 15 et 16 juin 1971.</w:t>
      </w:r>
    </w:p>
    <w:p w:rsidR="00AD690E" w:rsidRDefault="00AD690E" w:rsidP="00AD690E">
      <w:pPr>
        <w:spacing w:before="120" w:after="120"/>
        <w:jc w:val="both"/>
        <w:rPr>
          <w:szCs w:val="22"/>
        </w:rPr>
      </w:pPr>
    </w:p>
    <w:p w:rsidR="00AD690E" w:rsidRDefault="00AD690E" w:rsidP="00AD690E">
      <w:pPr>
        <w:pStyle w:val="planche"/>
      </w:pPr>
      <w:r w:rsidRPr="00675326">
        <w:t>LES</w:t>
      </w:r>
      <w:r>
        <w:t xml:space="preserve"> </w:t>
      </w:r>
      <w:r w:rsidRPr="00675326">
        <w:t>ÉLECTIONS</w:t>
      </w:r>
      <w:r>
        <w:t xml:space="preserve"> </w:t>
      </w:r>
      <w:r w:rsidRPr="00675326">
        <w:t>DE</w:t>
      </w:r>
      <w:r>
        <w:t xml:space="preserve"> </w:t>
      </w:r>
      <w:r w:rsidRPr="00675326">
        <w:t>1972 :</w:t>
      </w:r>
    </w:p>
    <w:p w:rsidR="00AD690E" w:rsidRDefault="00AD690E" w:rsidP="00AD690E">
      <w:pPr>
        <w:pStyle w:val="planche"/>
      </w:pPr>
      <w:r>
        <w:t>LE PARTI LIBÉ</w:t>
      </w:r>
      <w:r w:rsidRPr="00675326">
        <w:t>RAL, MINOR</w:t>
      </w:r>
      <w:r w:rsidRPr="00675326">
        <w:t>I</w:t>
      </w:r>
      <w:r w:rsidRPr="00675326">
        <w:t>TAIRE PARTOUT,</w:t>
      </w:r>
      <w:r>
        <w:br/>
      </w:r>
      <w:r w:rsidRPr="00675326">
        <w:t>SAUF AU QUÉBEC</w:t>
      </w:r>
    </w:p>
    <w:p w:rsidR="00AD690E" w:rsidRPr="00675326" w:rsidRDefault="00AD690E" w:rsidP="00AD690E">
      <w:pPr>
        <w:spacing w:before="120" w:after="120"/>
        <w:jc w:val="both"/>
      </w:pPr>
    </w:p>
    <w:p w:rsidR="00AD690E" w:rsidRPr="00675326" w:rsidRDefault="00AD690E" w:rsidP="00AD690E">
      <w:pPr>
        <w:spacing w:before="120" w:after="120"/>
        <w:jc w:val="both"/>
      </w:pPr>
      <w:r w:rsidRPr="00675326">
        <w:rPr>
          <w:szCs w:val="22"/>
        </w:rPr>
        <w:t>Dans ces conditions, quand vint le temps d'une no</w:t>
      </w:r>
      <w:r w:rsidRPr="00675326">
        <w:rPr>
          <w:szCs w:val="22"/>
        </w:rPr>
        <w:t>u</w:t>
      </w:r>
      <w:r w:rsidRPr="00675326">
        <w:rPr>
          <w:szCs w:val="22"/>
        </w:rPr>
        <w:t>velle campagne électorale fédérale, à l'automne 1972, non seulement la question du Québec parut-elle</w:t>
      </w:r>
      <w:r>
        <w:rPr>
          <w:szCs w:val="22"/>
        </w:rPr>
        <w:t xml:space="preserve"> </w:t>
      </w:r>
      <w:r>
        <w:t xml:space="preserve">[27] </w:t>
      </w:r>
      <w:r w:rsidRPr="00675326">
        <w:rPr>
          <w:szCs w:val="22"/>
        </w:rPr>
        <w:t>moins prioritaire que jadis aux yeux de la pl</w:t>
      </w:r>
      <w:r w:rsidRPr="00675326">
        <w:rPr>
          <w:szCs w:val="22"/>
        </w:rPr>
        <w:t>u</w:t>
      </w:r>
      <w:r w:rsidRPr="00675326">
        <w:rPr>
          <w:szCs w:val="22"/>
        </w:rPr>
        <w:t>part des électeurs c</w:t>
      </w:r>
      <w:r w:rsidRPr="00675326">
        <w:rPr>
          <w:szCs w:val="22"/>
        </w:rPr>
        <w:t>a</w:t>
      </w:r>
      <w:r w:rsidRPr="00675326">
        <w:rPr>
          <w:szCs w:val="22"/>
        </w:rPr>
        <w:t>nadiens</w:t>
      </w:r>
      <w:r>
        <w:rPr>
          <w:szCs w:val="22"/>
        </w:rPr>
        <w:t> </w:t>
      </w:r>
      <w:r w:rsidRPr="00857900">
        <w:rPr>
          <w:rStyle w:val="Appelnotedebasdep"/>
        </w:rPr>
        <w:footnoteReference w:id="18"/>
      </w:r>
      <w:r w:rsidRPr="00675326">
        <w:rPr>
          <w:szCs w:val="22"/>
        </w:rPr>
        <w:t>, mais encore, Pierre Trudeau lui-même parut-il moins pr</w:t>
      </w:r>
      <w:r w:rsidRPr="00675326">
        <w:rPr>
          <w:szCs w:val="22"/>
        </w:rPr>
        <w:t>o</w:t>
      </w:r>
      <w:r w:rsidRPr="00675326">
        <w:rPr>
          <w:szCs w:val="22"/>
        </w:rPr>
        <w:t>videntiel qu'en 1968.</w:t>
      </w:r>
    </w:p>
    <w:p w:rsidR="00AD690E" w:rsidRPr="00675326" w:rsidRDefault="00AD690E" w:rsidP="00AD690E">
      <w:pPr>
        <w:spacing w:before="120" w:after="120"/>
        <w:jc w:val="both"/>
      </w:pPr>
      <w:r w:rsidRPr="00675326">
        <w:rPr>
          <w:szCs w:val="22"/>
        </w:rPr>
        <w:t>Le style du premier ministre Pierre Elliott Trudeau et son statut de francophone, qui avaient constitué un atout en 1968, devinrent en 1972, hors du Québec, un enjeu électoral qui fit perdre des milliers de voix au Parti lib</w:t>
      </w:r>
      <w:r w:rsidRPr="00675326">
        <w:rPr>
          <w:szCs w:val="22"/>
        </w:rPr>
        <w:t>é</w:t>
      </w:r>
      <w:r w:rsidRPr="00675326">
        <w:rPr>
          <w:szCs w:val="22"/>
        </w:rPr>
        <w:t>ral.</w:t>
      </w:r>
    </w:p>
    <w:p w:rsidR="00AD690E" w:rsidRPr="00675326" w:rsidRDefault="00AD690E" w:rsidP="00AD690E">
      <w:pPr>
        <w:spacing w:before="120" w:after="120"/>
        <w:jc w:val="both"/>
      </w:pPr>
      <w:r w:rsidRPr="00675326">
        <w:rPr>
          <w:szCs w:val="22"/>
        </w:rPr>
        <w:t>À l'issue du scrutin tenu le 30 octobre 1972, le Parti libéral n'avait plus que 106 des 264 sièges de la Chambre des communes, les pr</w:t>
      </w:r>
      <w:r w:rsidRPr="00675326">
        <w:rPr>
          <w:szCs w:val="22"/>
        </w:rPr>
        <w:t>o</w:t>
      </w:r>
      <w:r w:rsidRPr="00675326">
        <w:rPr>
          <w:szCs w:val="22"/>
        </w:rPr>
        <w:t>gressistes conservateurs en ayant 107, le Nouveau Parti démocratique, 31 et les créditistes, 15, deux autres sièges étant détenus par des ind</w:t>
      </w:r>
      <w:r w:rsidRPr="00675326">
        <w:rPr>
          <w:szCs w:val="22"/>
        </w:rPr>
        <w:t>é</w:t>
      </w:r>
      <w:r w:rsidRPr="00675326">
        <w:rPr>
          <w:szCs w:val="22"/>
        </w:rPr>
        <w:t>pendants. Le Parti libéral était partout minoritaire, sauf au Québec (et au Nouveau-Brunswick où cinq sièges sur dix étaient détenus par des libéraux). Bien qu'il ait obtenu 49</w:t>
      </w:r>
      <w:r>
        <w:rPr>
          <w:szCs w:val="22"/>
        </w:rPr>
        <w:t>%</w:t>
      </w:r>
      <w:r w:rsidRPr="00675326">
        <w:rPr>
          <w:szCs w:val="22"/>
        </w:rPr>
        <w:t xml:space="preserve"> des voix au Québec (39 dans les provinces de l'Atlantique, 38 en Ontario, 28 dans les Prairies), le Parti libéral y avait perdu des voix au profit des créditistes (voir tableau 2).</w:t>
      </w:r>
    </w:p>
    <w:p w:rsidR="00AD690E" w:rsidRPr="00675326" w:rsidRDefault="00AD690E" w:rsidP="00AD690E">
      <w:pPr>
        <w:spacing w:before="120" w:after="120"/>
        <w:jc w:val="both"/>
      </w:pPr>
      <w:r w:rsidRPr="00675326">
        <w:rPr>
          <w:szCs w:val="22"/>
        </w:rPr>
        <w:t>L'appui des députés des tiers partis, à tout le moins celui des né</w:t>
      </w:r>
      <w:r w:rsidRPr="00675326">
        <w:rPr>
          <w:szCs w:val="22"/>
        </w:rPr>
        <w:t>o</w:t>
      </w:r>
      <w:r w:rsidRPr="00675326">
        <w:rPr>
          <w:szCs w:val="22"/>
        </w:rPr>
        <w:t>démocrates, était dorénavant nécessaire au gouvernement libéral ; aussi, pour éviter une défaite pa</w:t>
      </w:r>
      <w:r w:rsidRPr="00675326">
        <w:rPr>
          <w:szCs w:val="22"/>
        </w:rPr>
        <w:t>r</w:t>
      </w:r>
      <w:r w:rsidRPr="00675326">
        <w:rPr>
          <w:szCs w:val="22"/>
        </w:rPr>
        <w:t>lementaire précipitée, les libéraux évitèrent-ils, après l'élection de 1972, de s'impliquer dans des projets contr</w:t>
      </w:r>
      <w:r w:rsidRPr="00675326">
        <w:rPr>
          <w:szCs w:val="22"/>
        </w:rPr>
        <w:t>o</w:t>
      </w:r>
      <w:r w:rsidRPr="00675326">
        <w:rPr>
          <w:szCs w:val="22"/>
        </w:rPr>
        <w:t>versés.</w:t>
      </w:r>
    </w:p>
    <w:p w:rsidR="00AD690E" w:rsidRPr="00675326" w:rsidRDefault="00AD690E" w:rsidP="00AD690E">
      <w:pPr>
        <w:spacing w:before="120" w:after="120"/>
        <w:jc w:val="both"/>
      </w:pPr>
      <w:r w:rsidRPr="00675326">
        <w:rPr>
          <w:szCs w:val="22"/>
        </w:rPr>
        <w:t>Ils s'engagèrent néanmoins dans deux domaines qui ne faisaient pas l'unanimité : celui du contrôle des investi</w:t>
      </w:r>
      <w:r w:rsidRPr="00675326">
        <w:rPr>
          <w:szCs w:val="22"/>
        </w:rPr>
        <w:t>s</w:t>
      </w:r>
      <w:r w:rsidRPr="00675326">
        <w:rPr>
          <w:szCs w:val="22"/>
        </w:rPr>
        <w:t>sements étrangers et celui de la politique énergétique.</w:t>
      </w:r>
    </w:p>
    <w:p w:rsidR="00AD690E" w:rsidRPr="00675326" w:rsidRDefault="00AD690E" w:rsidP="00AD690E">
      <w:pPr>
        <w:spacing w:before="120" w:after="120"/>
        <w:jc w:val="both"/>
      </w:pPr>
      <w:r w:rsidRPr="00675326">
        <w:rPr>
          <w:szCs w:val="22"/>
        </w:rPr>
        <w:t>Au printemps de 1970, le ministre Herb Gray avait été chargé de présenter des propositions touchant l'investissement étranger au Can</w:t>
      </w:r>
      <w:r w:rsidRPr="00675326">
        <w:rPr>
          <w:szCs w:val="22"/>
        </w:rPr>
        <w:t>a</w:t>
      </w:r>
      <w:r w:rsidRPr="00675326">
        <w:rPr>
          <w:szCs w:val="22"/>
        </w:rPr>
        <w:t>da. La complexité du sujet mena le ministre à recourir à un groupe d'experts qui produisirent finalement, en 1972, un volumineux ra</w:t>
      </w:r>
      <w:r w:rsidRPr="00675326">
        <w:rPr>
          <w:szCs w:val="22"/>
        </w:rPr>
        <w:t>p</w:t>
      </w:r>
      <w:r w:rsidRPr="00675326">
        <w:rPr>
          <w:szCs w:val="22"/>
        </w:rPr>
        <w:t>port, qu'on se mit à appeler « Rapport Gray », du nom du commandita</w:t>
      </w:r>
      <w:r w:rsidRPr="00675326">
        <w:rPr>
          <w:szCs w:val="22"/>
        </w:rPr>
        <w:t>i</w:t>
      </w:r>
      <w:r w:rsidRPr="00675326">
        <w:rPr>
          <w:szCs w:val="22"/>
        </w:rPr>
        <w:t>re.</w:t>
      </w:r>
    </w:p>
    <w:p w:rsidR="00AD690E" w:rsidRPr="00675326" w:rsidRDefault="00AD690E" w:rsidP="00AD690E">
      <w:pPr>
        <w:spacing w:before="120" w:after="120"/>
        <w:jc w:val="both"/>
      </w:pPr>
      <w:r w:rsidRPr="00675326">
        <w:rPr>
          <w:szCs w:val="22"/>
        </w:rPr>
        <w:t>La constatation essentielle du rapport était la suiva</w:t>
      </w:r>
      <w:r w:rsidRPr="00675326">
        <w:rPr>
          <w:szCs w:val="22"/>
        </w:rPr>
        <w:t>n</w:t>
      </w:r>
      <w:r w:rsidRPr="00675326">
        <w:rPr>
          <w:szCs w:val="22"/>
        </w:rPr>
        <w:t>te : la propriété des entreprises importantes, au Canada, était en train de passer aux mains d'investisseurs étra</w:t>
      </w:r>
      <w:r w:rsidRPr="00675326">
        <w:rPr>
          <w:szCs w:val="22"/>
        </w:rPr>
        <w:t>n</w:t>
      </w:r>
      <w:r w:rsidRPr="00675326">
        <w:rPr>
          <w:szCs w:val="22"/>
        </w:rPr>
        <w:t>gers.</w:t>
      </w:r>
    </w:p>
    <w:p w:rsidR="00AD690E" w:rsidRPr="00675326" w:rsidRDefault="00AD690E" w:rsidP="00AD690E">
      <w:pPr>
        <w:spacing w:before="120" w:after="120"/>
        <w:jc w:val="both"/>
      </w:pPr>
      <w:r w:rsidRPr="00675326">
        <w:rPr>
          <w:szCs w:val="22"/>
        </w:rPr>
        <w:t>Déjà, par une loi du 30 juin 1971, le gouvernement fédéral s'était doté d'un instrument d'intervention destiné à sauvegarder le contrôle canadien sur certaines entrepr</w:t>
      </w:r>
      <w:r w:rsidRPr="00675326">
        <w:rPr>
          <w:szCs w:val="22"/>
        </w:rPr>
        <w:t>i</w:t>
      </w:r>
      <w:r w:rsidRPr="00675326">
        <w:rPr>
          <w:szCs w:val="22"/>
        </w:rPr>
        <w:t>ses : la Corporation de développement du Canada, créée par cette loi, devait effectivement jouer un rôle i</w:t>
      </w:r>
      <w:r w:rsidRPr="00675326">
        <w:rPr>
          <w:szCs w:val="22"/>
        </w:rPr>
        <w:t>m</w:t>
      </w:r>
      <w:r w:rsidRPr="00675326">
        <w:rPr>
          <w:szCs w:val="22"/>
        </w:rPr>
        <w:t>portant, d'autant plus que son action serait appuyée par la polit</w:t>
      </w:r>
      <w:r w:rsidRPr="00675326">
        <w:rPr>
          <w:szCs w:val="22"/>
        </w:rPr>
        <w:t>i</w:t>
      </w:r>
      <w:r w:rsidRPr="00675326">
        <w:rPr>
          <w:szCs w:val="22"/>
        </w:rPr>
        <w:t>que de développement régional destinée à la promotion du Québec et de l'est du pays. Mais puisque l'action de la Corporation de développement du Canada et l'influence de la politique de développement régional n'étaient pas suffisantes, le gouvernement résolut finalement de reco</w:t>
      </w:r>
      <w:r w:rsidRPr="00675326">
        <w:rPr>
          <w:szCs w:val="22"/>
        </w:rPr>
        <w:t>u</w:t>
      </w:r>
      <w:r w:rsidRPr="00675326">
        <w:rPr>
          <w:szCs w:val="22"/>
        </w:rPr>
        <w:t xml:space="preserve">rir au contrôle des projets d'investissement au Canada qui provenaient de l'étranger. Il fit adopter (décembre 1973) une </w:t>
      </w:r>
      <w:r w:rsidRPr="00675326">
        <w:rPr>
          <w:i/>
          <w:iCs/>
          <w:szCs w:val="22"/>
        </w:rPr>
        <w:t>Loi sur l'examen de l'investissement étranger,</w:t>
      </w:r>
      <w:r>
        <w:rPr>
          <w:iCs/>
          <w:szCs w:val="22"/>
        </w:rPr>
        <w:t xml:space="preserve"> </w:t>
      </w:r>
      <w:r>
        <w:t>[</w:t>
      </w:r>
      <w:r w:rsidRPr="00675326">
        <w:rPr>
          <w:szCs w:val="22"/>
        </w:rPr>
        <w:t>28</w:t>
      </w:r>
      <w:r>
        <w:rPr>
          <w:szCs w:val="22"/>
        </w:rPr>
        <w:t xml:space="preserve">] </w:t>
      </w:r>
      <w:r w:rsidRPr="00675326">
        <w:rPr>
          <w:szCs w:val="22"/>
        </w:rPr>
        <w:t>prévoyant la création d'une Agence d'examen de l'i</w:t>
      </w:r>
      <w:r w:rsidRPr="00675326">
        <w:rPr>
          <w:szCs w:val="22"/>
        </w:rPr>
        <w:t>n</w:t>
      </w:r>
      <w:r w:rsidRPr="00675326">
        <w:rPr>
          <w:szCs w:val="22"/>
        </w:rPr>
        <w:t>vestissement étranger chargée d'éviter les prises de contrôle qui ne seraient pas avantageuses pour le Canada.</w:t>
      </w:r>
    </w:p>
    <w:p w:rsidR="00AD690E" w:rsidRPr="00675326" w:rsidRDefault="00AD690E" w:rsidP="00AD690E">
      <w:pPr>
        <w:spacing w:before="120" w:after="120"/>
        <w:jc w:val="both"/>
      </w:pPr>
      <w:r w:rsidRPr="00675326">
        <w:rPr>
          <w:szCs w:val="22"/>
        </w:rPr>
        <w:t>Par ailleurs, peu après l'élection fédérale d'octobre 1972, se produ</w:t>
      </w:r>
      <w:r w:rsidRPr="00675326">
        <w:rPr>
          <w:szCs w:val="22"/>
        </w:rPr>
        <w:t>i</w:t>
      </w:r>
      <w:r w:rsidRPr="00675326">
        <w:rPr>
          <w:szCs w:val="22"/>
        </w:rPr>
        <w:t>sit une première crise du pétrole : le go</w:t>
      </w:r>
      <w:r w:rsidRPr="00675326">
        <w:rPr>
          <w:szCs w:val="22"/>
        </w:rPr>
        <w:t>u</w:t>
      </w:r>
      <w:r w:rsidRPr="00675326">
        <w:rPr>
          <w:szCs w:val="22"/>
        </w:rPr>
        <w:t xml:space="preserve">vernement de Pierre Trudeau essaya d'y faire face en adoptant deux projets de loi. Le premier, la </w:t>
      </w:r>
      <w:r w:rsidRPr="00675326">
        <w:rPr>
          <w:i/>
          <w:iCs/>
          <w:szCs w:val="22"/>
        </w:rPr>
        <w:t xml:space="preserve">Loi d'urgence sur les approvisionnements d'énergie, </w:t>
      </w:r>
      <w:r w:rsidRPr="00675326">
        <w:rPr>
          <w:szCs w:val="22"/>
        </w:rPr>
        <w:t>créait un Office de répartition des approvisionnements d'énergie pour faire face à d'éventuelles pénuries ou perturbations des ma</w:t>
      </w:r>
      <w:r w:rsidRPr="00675326">
        <w:rPr>
          <w:szCs w:val="22"/>
        </w:rPr>
        <w:t>r</w:t>
      </w:r>
      <w:r w:rsidRPr="00675326">
        <w:rPr>
          <w:szCs w:val="22"/>
        </w:rPr>
        <w:t>chés. Le deuxième, adopté le même jour (14 janvier 1974), imposait un droit sur les e</w:t>
      </w:r>
      <w:r w:rsidRPr="00675326">
        <w:rPr>
          <w:szCs w:val="22"/>
        </w:rPr>
        <w:t>x</w:t>
      </w:r>
      <w:r w:rsidRPr="00675326">
        <w:rPr>
          <w:szCs w:val="22"/>
        </w:rPr>
        <w:t>portations de pétrole brut du Canada et une taxe sur les exportations de pétrole, dont les recettes seraient réparties entre le gouvernement fédéral et les gouvernements des provinces exportatrices. Ces législ</w:t>
      </w:r>
      <w:r w:rsidRPr="00675326">
        <w:rPr>
          <w:szCs w:val="22"/>
        </w:rPr>
        <w:t>a</w:t>
      </w:r>
      <w:r w:rsidRPr="00675326">
        <w:rPr>
          <w:szCs w:val="22"/>
        </w:rPr>
        <w:t>tions allaient susciter d'importantes controve</w:t>
      </w:r>
      <w:r w:rsidRPr="00675326">
        <w:rPr>
          <w:szCs w:val="22"/>
        </w:rPr>
        <w:t>r</w:t>
      </w:r>
      <w:r w:rsidRPr="00675326">
        <w:rPr>
          <w:szCs w:val="22"/>
        </w:rPr>
        <w:t xml:space="preserve">ses, tout comme la </w:t>
      </w:r>
      <w:r w:rsidRPr="00675326">
        <w:rPr>
          <w:i/>
          <w:iCs/>
          <w:szCs w:val="22"/>
        </w:rPr>
        <w:t>Loi d'examen de l'investissement étranger.</w:t>
      </w:r>
    </w:p>
    <w:p w:rsidR="00AD690E" w:rsidRPr="00675326" w:rsidRDefault="00AD690E" w:rsidP="00AD690E">
      <w:pPr>
        <w:spacing w:before="120" w:after="120"/>
        <w:jc w:val="both"/>
      </w:pPr>
      <w:r w:rsidRPr="00675326">
        <w:rPr>
          <w:szCs w:val="22"/>
        </w:rPr>
        <w:t>À cet égard, l'annonce, le 6 décembre 1973, de la décision de fo</w:t>
      </w:r>
      <w:r w:rsidRPr="00675326">
        <w:rPr>
          <w:szCs w:val="22"/>
        </w:rPr>
        <w:t>r</w:t>
      </w:r>
      <w:r w:rsidRPr="00675326">
        <w:rPr>
          <w:szCs w:val="22"/>
        </w:rPr>
        <w:t>mer une société pétrolière nationale était a</w:t>
      </w:r>
      <w:r w:rsidRPr="00675326">
        <w:rPr>
          <w:szCs w:val="22"/>
        </w:rPr>
        <w:t>n</w:t>
      </w:r>
      <w:r w:rsidRPr="00675326">
        <w:rPr>
          <w:szCs w:val="22"/>
        </w:rPr>
        <w:t>nonciatrice des débats à venir.</w:t>
      </w:r>
    </w:p>
    <w:p w:rsidR="00AD690E" w:rsidRPr="00675326" w:rsidRDefault="00AD690E" w:rsidP="00AD690E">
      <w:pPr>
        <w:spacing w:before="120" w:after="120"/>
        <w:jc w:val="both"/>
      </w:pPr>
      <w:r w:rsidRPr="00675326">
        <w:rPr>
          <w:szCs w:val="22"/>
        </w:rPr>
        <w:t>Ces débats, pour l'essentiel, concernaient l'apparente préférence accordée par le gouvernement aux consomm</w:t>
      </w:r>
      <w:r w:rsidRPr="00675326">
        <w:rPr>
          <w:szCs w:val="22"/>
        </w:rPr>
        <w:t>a</w:t>
      </w:r>
      <w:r w:rsidRPr="00675326">
        <w:rPr>
          <w:szCs w:val="22"/>
        </w:rPr>
        <w:t>teurs du centre du pays, notamment du Québec, aux d</w:t>
      </w:r>
      <w:r w:rsidRPr="00675326">
        <w:rPr>
          <w:szCs w:val="22"/>
        </w:rPr>
        <w:t>é</w:t>
      </w:r>
      <w:r w:rsidRPr="00675326">
        <w:rPr>
          <w:szCs w:val="22"/>
        </w:rPr>
        <w:t>pens des producteurs de pétrole des provinces de l'Ouest. En intervenant sur la façon de répartir les appr</w:t>
      </w:r>
      <w:r w:rsidRPr="00675326">
        <w:rPr>
          <w:szCs w:val="22"/>
        </w:rPr>
        <w:t>o</w:t>
      </w:r>
      <w:r w:rsidRPr="00675326">
        <w:rPr>
          <w:szCs w:val="22"/>
        </w:rPr>
        <w:t>visionn</w:t>
      </w:r>
      <w:r w:rsidRPr="00675326">
        <w:rPr>
          <w:szCs w:val="22"/>
        </w:rPr>
        <w:t>e</w:t>
      </w:r>
      <w:r w:rsidRPr="00675326">
        <w:rPr>
          <w:szCs w:val="22"/>
        </w:rPr>
        <w:t>ments, le gouvernement fédéral permettait aux raffineries de l'est de Montréal de poursuivre leurs activités (Mo</w:t>
      </w:r>
      <w:r w:rsidRPr="00675326">
        <w:rPr>
          <w:szCs w:val="22"/>
        </w:rPr>
        <w:t>n</w:t>
      </w:r>
      <w:r w:rsidRPr="00675326">
        <w:rPr>
          <w:szCs w:val="22"/>
        </w:rPr>
        <w:t>tréal avait été, au début des années 60, le plus important centre de raffinage en Amér</w:t>
      </w:r>
      <w:r w:rsidRPr="00675326">
        <w:rPr>
          <w:szCs w:val="22"/>
        </w:rPr>
        <w:t>i</w:t>
      </w:r>
      <w:r w:rsidRPr="00675326">
        <w:rPr>
          <w:szCs w:val="22"/>
        </w:rPr>
        <w:t>que du Nord), en dépit de la rationalité économique selon laquelle il aurait fallu localiser l'industrie du raffinage près des sources d'appr</w:t>
      </w:r>
      <w:r w:rsidRPr="00675326">
        <w:rPr>
          <w:szCs w:val="22"/>
        </w:rPr>
        <w:t>o</w:t>
      </w:r>
      <w:r w:rsidRPr="00675326">
        <w:rPr>
          <w:szCs w:val="22"/>
        </w:rPr>
        <w:t>visionnement les moins chères. Le gouvernement fédéral, par ailleurs, permettait ainsi aux consommateurs canadiens dont les deux tiers v</w:t>
      </w:r>
      <w:r w:rsidRPr="00675326">
        <w:rPr>
          <w:szCs w:val="22"/>
        </w:rPr>
        <w:t>i</w:t>
      </w:r>
      <w:r w:rsidRPr="00675326">
        <w:rPr>
          <w:szCs w:val="22"/>
        </w:rPr>
        <w:t>vaient à l'intérieur du corridor industriel du fleuve Saint-Laurent, de payer moins que les étrangers pour les dérivés du pétrole, alors que les producteurs de l'Ouest, dont la production était taxée si elle était e</w:t>
      </w:r>
      <w:r w:rsidRPr="00675326">
        <w:rPr>
          <w:szCs w:val="22"/>
        </w:rPr>
        <w:t>x</w:t>
      </w:r>
      <w:r w:rsidRPr="00675326">
        <w:rPr>
          <w:szCs w:val="22"/>
        </w:rPr>
        <w:t>portée, se trouvaient privés des profits qu'ils a</w:t>
      </w:r>
      <w:r w:rsidRPr="00675326">
        <w:rPr>
          <w:szCs w:val="22"/>
        </w:rPr>
        <w:t>u</w:t>
      </w:r>
      <w:r w:rsidRPr="00675326">
        <w:rPr>
          <w:szCs w:val="22"/>
        </w:rPr>
        <w:t>raient pu réaliser en vendant au prix international un p</w:t>
      </w:r>
      <w:r w:rsidRPr="00675326">
        <w:rPr>
          <w:szCs w:val="22"/>
        </w:rPr>
        <w:t>é</w:t>
      </w:r>
      <w:r w:rsidRPr="00675326">
        <w:rPr>
          <w:szCs w:val="22"/>
        </w:rPr>
        <w:t>trole dont les coûts de production n'avaient pas augmenté.</w:t>
      </w:r>
    </w:p>
    <w:p w:rsidR="00AD690E" w:rsidRPr="00675326" w:rsidRDefault="00AD690E" w:rsidP="00AD690E">
      <w:pPr>
        <w:spacing w:before="120" w:after="120"/>
        <w:jc w:val="both"/>
      </w:pPr>
      <w:r w:rsidRPr="00675326">
        <w:rPr>
          <w:szCs w:val="22"/>
        </w:rPr>
        <w:t>Les députés de l'ouest du pays manifestèrent leur o</w:t>
      </w:r>
      <w:r w:rsidRPr="00675326">
        <w:rPr>
          <w:szCs w:val="22"/>
        </w:rPr>
        <w:t>p</w:t>
      </w:r>
      <w:r w:rsidRPr="00675326">
        <w:rPr>
          <w:szCs w:val="22"/>
        </w:rPr>
        <w:t>position aux projets des libéraux, tant du point de vue de leur choix en matière d'énergie que de leurs choix en m</w:t>
      </w:r>
      <w:r w:rsidRPr="00675326">
        <w:rPr>
          <w:szCs w:val="22"/>
        </w:rPr>
        <w:t>a</w:t>
      </w:r>
      <w:r w:rsidRPr="00675326">
        <w:rPr>
          <w:szCs w:val="22"/>
        </w:rPr>
        <w:t>tière de développement industriel et régional.</w:t>
      </w:r>
    </w:p>
    <w:p w:rsidR="00AD690E" w:rsidRPr="00675326" w:rsidRDefault="00AD690E" w:rsidP="00AD690E">
      <w:pPr>
        <w:spacing w:before="120" w:after="120"/>
        <w:jc w:val="both"/>
      </w:pPr>
      <w:r w:rsidRPr="00675326">
        <w:rPr>
          <w:szCs w:val="22"/>
        </w:rPr>
        <w:t>Les tensions entre les groupes parlementaires s'accentuèrent en e</w:t>
      </w:r>
      <w:r w:rsidRPr="00675326">
        <w:rPr>
          <w:szCs w:val="22"/>
        </w:rPr>
        <w:t>f</w:t>
      </w:r>
      <w:r w:rsidRPr="00675326">
        <w:rPr>
          <w:szCs w:val="22"/>
        </w:rPr>
        <w:t>fet au cours du printemps 1974 et finalement, les 8 et 9 mai 1974, le gouvernement de Trudeau subit la défaite à la Chambre des comm</w:t>
      </w:r>
      <w:r w:rsidRPr="00675326">
        <w:rPr>
          <w:szCs w:val="22"/>
        </w:rPr>
        <w:t>u</w:t>
      </w:r>
      <w:r w:rsidRPr="00675326">
        <w:rPr>
          <w:szCs w:val="22"/>
        </w:rPr>
        <w:t>nes.</w:t>
      </w:r>
    </w:p>
    <w:p w:rsidR="00AD690E" w:rsidRPr="00675326" w:rsidRDefault="00AD690E" w:rsidP="00AD690E">
      <w:pPr>
        <w:spacing w:before="120" w:after="120"/>
        <w:jc w:val="both"/>
      </w:pPr>
      <w:r w:rsidRPr="00675326">
        <w:rPr>
          <w:szCs w:val="22"/>
        </w:rPr>
        <w:t>Il est difficile d'évaluer le poids des divers facteurs qui ont pu jouer sur la décision des électeurs qui ont choisi, aux élections du 8 juillet 1974, d'appuyer les candidats du Parti libéral alors qu'ils ne l'avaient pas fait en 1972</w:t>
      </w:r>
      <w:r>
        <w:rPr>
          <w:szCs w:val="22"/>
        </w:rPr>
        <w:t> </w:t>
      </w:r>
      <w:r w:rsidRPr="00857900">
        <w:rPr>
          <w:rStyle w:val="Appelnotedebasdep"/>
        </w:rPr>
        <w:footnoteReference w:id="19"/>
      </w:r>
      <w:r w:rsidRPr="00675326">
        <w:rPr>
          <w:szCs w:val="22"/>
        </w:rPr>
        <w:t>. Il</w:t>
      </w:r>
      <w:r>
        <w:rPr>
          <w:szCs w:val="22"/>
        </w:rPr>
        <w:t xml:space="preserve"> </w:t>
      </w:r>
      <w:r>
        <w:t xml:space="preserve">[29] </w:t>
      </w:r>
      <w:r w:rsidRPr="00675326">
        <w:rPr>
          <w:szCs w:val="22"/>
        </w:rPr>
        <w:t>apparaît cependant que chez les angloph</w:t>
      </w:r>
      <w:r w:rsidRPr="00675326">
        <w:rPr>
          <w:szCs w:val="22"/>
        </w:rPr>
        <w:t>o</w:t>
      </w:r>
      <w:r w:rsidRPr="00675326">
        <w:rPr>
          <w:szCs w:val="22"/>
        </w:rPr>
        <w:t>nes, comme en 1968, les électeurs qui n'avaient pas voté aux élections précédentes et qui ont voté en 1974 de même que les nouveaux éle</w:t>
      </w:r>
      <w:r w:rsidRPr="00675326">
        <w:rPr>
          <w:szCs w:val="22"/>
        </w:rPr>
        <w:t>c</w:t>
      </w:r>
      <w:r w:rsidRPr="00675326">
        <w:rPr>
          <w:szCs w:val="22"/>
        </w:rPr>
        <w:t>teurs (ceux qui ont voté pour une première fois en 1974) ont été, dans l'ensemble, très favor</w:t>
      </w:r>
      <w:r w:rsidRPr="00675326">
        <w:rPr>
          <w:szCs w:val="22"/>
        </w:rPr>
        <w:t>a</w:t>
      </w:r>
      <w:r w:rsidRPr="00675326">
        <w:rPr>
          <w:szCs w:val="22"/>
        </w:rPr>
        <w:t>bles aux candidats libéraux, pour une variété de raisons, et ont permis à Pierre Trudeau de retrouver une majorité pa</w:t>
      </w:r>
      <w:r w:rsidRPr="00675326">
        <w:rPr>
          <w:szCs w:val="22"/>
        </w:rPr>
        <w:t>r</w:t>
      </w:r>
      <w:r w:rsidRPr="00675326">
        <w:rPr>
          <w:szCs w:val="22"/>
        </w:rPr>
        <w:t>lementaire.</w:t>
      </w:r>
    </w:p>
    <w:p w:rsidR="00AD690E" w:rsidRPr="00675326" w:rsidRDefault="00AD690E" w:rsidP="00AD690E">
      <w:pPr>
        <w:spacing w:before="120" w:after="120"/>
        <w:jc w:val="both"/>
      </w:pPr>
      <w:r w:rsidRPr="00675326">
        <w:rPr>
          <w:szCs w:val="22"/>
        </w:rPr>
        <w:t>À l'issue du scrutin de juillet 1974, les libéraux avaient 141 des 264 sièges de la Chambre des communes : une petite majorité. Grâce à un appui plus marqué des éle</w:t>
      </w:r>
      <w:r w:rsidRPr="00675326">
        <w:rPr>
          <w:szCs w:val="22"/>
        </w:rPr>
        <w:t>c</w:t>
      </w:r>
      <w:r w:rsidRPr="00675326">
        <w:rPr>
          <w:szCs w:val="22"/>
        </w:rPr>
        <w:t>teurs du Québec et des francophones hors Québec, ils avaient progressé dans les provinces de l'Atlantique et au Québec par rapport à 1972 (et même par rapport à 1968). Par ailleurs, ils se voyaient attribuer dix-neuf sièges de plus en Ontario (dix-neuf de plus qu'en 1972, mais neuf de moins qu'en 1968). Ils avaient même réussi à augmenter leurs appuis dans l'Ouest (treize si</w:t>
      </w:r>
      <w:r w:rsidRPr="00675326">
        <w:rPr>
          <w:szCs w:val="22"/>
        </w:rPr>
        <w:t>è</w:t>
      </w:r>
      <w:r w:rsidRPr="00675326">
        <w:rPr>
          <w:szCs w:val="22"/>
        </w:rPr>
        <w:t>ges en 1974, sept seulement en 1972).</w:t>
      </w:r>
    </w:p>
    <w:p w:rsidR="00AD690E" w:rsidRPr="00675326" w:rsidRDefault="00AD690E" w:rsidP="00AD690E">
      <w:pPr>
        <w:spacing w:before="120" w:after="120"/>
        <w:jc w:val="both"/>
      </w:pPr>
      <w:r w:rsidRPr="00675326">
        <w:rPr>
          <w:szCs w:val="22"/>
        </w:rPr>
        <w:t>Une fois de plus, les électeurs du Québec et les fra</w:t>
      </w:r>
      <w:r w:rsidRPr="00675326">
        <w:rPr>
          <w:szCs w:val="22"/>
        </w:rPr>
        <w:t>n</w:t>
      </w:r>
      <w:r w:rsidRPr="00675326">
        <w:rPr>
          <w:szCs w:val="22"/>
        </w:rPr>
        <w:t>cophones hors Québec, de même que les jeunes électeurs anglophones, firent preuve de leur importance considér</w:t>
      </w:r>
      <w:r w:rsidRPr="00675326">
        <w:rPr>
          <w:szCs w:val="22"/>
        </w:rPr>
        <w:t>a</w:t>
      </w:r>
      <w:r w:rsidRPr="00675326">
        <w:rPr>
          <w:szCs w:val="22"/>
        </w:rPr>
        <w:t>ble sur les résultats des élections.</w:t>
      </w:r>
    </w:p>
    <w:p w:rsidR="00AD690E" w:rsidRDefault="00AD690E" w:rsidP="00AD690E">
      <w:pPr>
        <w:spacing w:before="120" w:after="120"/>
        <w:jc w:val="both"/>
        <w:rPr>
          <w:szCs w:val="22"/>
        </w:rPr>
      </w:pPr>
    </w:p>
    <w:p w:rsidR="00AD690E" w:rsidRPr="00675326" w:rsidRDefault="00AD690E" w:rsidP="00AD690E">
      <w:pPr>
        <w:pStyle w:val="planche"/>
      </w:pPr>
      <w:r w:rsidRPr="00675326">
        <w:t xml:space="preserve">DE 1974 </w:t>
      </w:r>
      <w:r>
        <w:t>À 1979 :</w:t>
      </w:r>
      <w:r>
        <w:br/>
      </w:r>
      <w:r w:rsidRPr="00675326">
        <w:t>L'</w:t>
      </w:r>
      <w:r>
        <w:t>ÉROSION DES APPUIS AU PARTI LIB</w:t>
      </w:r>
      <w:r>
        <w:t>É</w:t>
      </w:r>
      <w:r w:rsidRPr="00675326">
        <w:t>RAL</w:t>
      </w:r>
      <w:r>
        <w:br/>
      </w:r>
      <w:r w:rsidRPr="00675326">
        <w:t>HORS DU QUÉBEC</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Les libéraux perdirent rapidement, cependant, une part importante des appuis qui leur avaient été offerts par les anglophones hors du Québec, aux élections générales de 1974</w:t>
      </w:r>
      <w:r>
        <w:rPr>
          <w:szCs w:val="22"/>
        </w:rPr>
        <w:t> </w:t>
      </w:r>
      <w:r w:rsidRPr="00857900">
        <w:rPr>
          <w:rStyle w:val="Appelnotedebasdep"/>
        </w:rPr>
        <w:footnoteReference w:id="20"/>
      </w:r>
      <w:r w:rsidRPr="00675326">
        <w:rPr>
          <w:szCs w:val="22"/>
        </w:rPr>
        <w:t>. Déjà, en 1974, ces éle</w:t>
      </w:r>
      <w:r w:rsidRPr="00675326">
        <w:rPr>
          <w:szCs w:val="22"/>
        </w:rPr>
        <w:t>c</w:t>
      </w:r>
      <w:r w:rsidRPr="00675326">
        <w:rPr>
          <w:szCs w:val="22"/>
        </w:rPr>
        <w:t>teurs avaient, dans l'ensemble, préféré le Parti progressiste conserv</w:t>
      </w:r>
      <w:r w:rsidRPr="00675326">
        <w:rPr>
          <w:szCs w:val="22"/>
        </w:rPr>
        <w:t>a</w:t>
      </w:r>
      <w:r w:rsidRPr="00675326">
        <w:rPr>
          <w:szCs w:val="22"/>
        </w:rPr>
        <w:t>teur au Parti libéral. Mais à compter de 1975, la défection des angl</w:t>
      </w:r>
      <w:r w:rsidRPr="00675326">
        <w:rPr>
          <w:szCs w:val="22"/>
        </w:rPr>
        <w:t>o</w:t>
      </w:r>
      <w:r w:rsidRPr="00675326">
        <w:rPr>
          <w:szCs w:val="22"/>
        </w:rPr>
        <w:t>phones devint dramatique pour le Parti libéral, ainsi que le montrèrent les résultats des sondages consacrés aux intentions de vote.</w:t>
      </w:r>
    </w:p>
    <w:p w:rsidR="00AD690E" w:rsidRPr="00675326" w:rsidRDefault="00AD690E" w:rsidP="00AD690E">
      <w:pPr>
        <w:spacing w:before="120" w:after="120"/>
        <w:jc w:val="both"/>
      </w:pPr>
      <w:r w:rsidRPr="00675326">
        <w:rPr>
          <w:szCs w:val="22"/>
        </w:rPr>
        <w:t>La chute de popularité des libéraux peut être expl</w:t>
      </w:r>
      <w:r w:rsidRPr="00675326">
        <w:rPr>
          <w:szCs w:val="22"/>
        </w:rPr>
        <w:t>i</w:t>
      </w:r>
      <w:r w:rsidRPr="00675326">
        <w:rPr>
          <w:szCs w:val="22"/>
        </w:rPr>
        <w:t>quée de diverses façons. Une première raison, c'est l'insatisfaction suscitée par l'infl</w:t>
      </w:r>
      <w:r w:rsidRPr="00675326">
        <w:rPr>
          <w:szCs w:val="22"/>
        </w:rPr>
        <w:t>a</w:t>
      </w:r>
      <w:r w:rsidRPr="00675326">
        <w:rPr>
          <w:szCs w:val="22"/>
        </w:rPr>
        <w:t>tion et les mesures adoptées pour la combattre (loi anti-inflation ado</w:t>
      </w:r>
      <w:r w:rsidRPr="00675326">
        <w:rPr>
          <w:szCs w:val="22"/>
        </w:rPr>
        <w:t>p</w:t>
      </w:r>
      <w:r w:rsidRPr="00675326">
        <w:rPr>
          <w:szCs w:val="22"/>
        </w:rPr>
        <w:t>tée le 15 décembre 1975, créant la commission de lutte contre l'infl</w:t>
      </w:r>
      <w:r w:rsidRPr="00675326">
        <w:rPr>
          <w:szCs w:val="22"/>
        </w:rPr>
        <w:t>a</w:t>
      </w:r>
      <w:r w:rsidRPr="00675326">
        <w:rPr>
          <w:szCs w:val="22"/>
        </w:rPr>
        <w:t>tion). Il y avait aussi l'insatisfaction des électeurs de l'ouest du pays, déjà très vive en 1974, qu'accentuaient les mesures su</w:t>
      </w:r>
      <w:r w:rsidRPr="00675326">
        <w:rPr>
          <w:szCs w:val="22"/>
        </w:rPr>
        <w:t>p</w:t>
      </w:r>
      <w:r w:rsidRPr="00675326">
        <w:rPr>
          <w:szCs w:val="22"/>
        </w:rPr>
        <w:t>plémentaires adoptées après 1974 suite à l'augment</w:t>
      </w:r>
      <w:r w:rsidRPr="00675326">
        <w:rPr>
          <w:szCs w:val="22"/>
        </w:rPr>
        <w:t>a</w:t>
      </w:r>
      <w:r w:rsidRPr="00675326">
        <w:rPr>
          <w:szCs w:val="22"/>
        </w:rPr>
        <w:t xml:space="preserve">tion du prix international du pétrole </w:t>
      </w:r>
      <w:r w:rsidRPr="00675326">
        <w:rPr>
          <w:i/>
          <w:iCs/>
          <w:szCs w:val="22"/>
        </w:rPr>
        <w:t>(Loi sur l'administr</w:t>
      </w:r>
      <w:r w:rsidRPr="00675326">
        <w:rPr>
          <w:i/>
          <w:iCs/>
          <w:szCs w:val="22"/>
        </w:rPr>
        <w:t>a</w:t>
      </w:r>
      <w:r w:rsidRPr="00675326">
        <w:rPr>
          <w:i/>
          <w:iCs/>
          <w:szCs w:val="22"/>
        </w:rPr>
        <w:t xml:space="preserve">tion du pétrole </w:t>
      </w:r>
      <w:r w:rsidRPr="00675326">
        <w:rPr>
          <w:szCs w:val="22"/>
        </w:rPr>
        <w:t>adoptée le 19 juin</w:t>
      </w:r>
      <w:r>
        <w:rPr>
          <w:szCs w:val="22"/>
        </w:rPr>
        <w:t xml:space="preserve"> </w:t>
      </w:r>
      <w:r>
        <w:t>[</w:t>
      </w:r>
      <w:r w:rsidRPr="00675326">
        <w:rPr>
          <w:szCs w:val="18"/>
        </w:rPr>
        <w:t>30</w:t>
      </w:r>
      <w:r>
        <w:rPr>
          <w:szCs w:val="18"/>
        </w:rPr>
        <w:t xml:space="preserve">] </w:t>
      </w:r>
      <w:r w:rsidRPr="00675326">
        <w:rPr>
          <w:szCs w:val="22"/>
        </w:rPr>
        <w:t xml:space="preserve">1975 et </w:t>
      </w:r>
      <w:r w:rsidRPr="00675326">
        <w:rPr>
          <w:i/>
          <w:iCs/>
          <w:szCs w:val="22"/>
        </w:rPr>
        <w:t xml:space="preserve">Loi créant la Société Pétro-Canada, </w:t>
      </w:r>
      <w:r w:rsidRPr="00675326">
        <w:rPr>
          <w:szCs w:val="22"/>
        </w:rPr>
        <w:t>adoptée le 30 juillet 1975). Dans l'est du pays, enfin, le Parti libéral souffrait de l'insati</w:t>
      </w:r>
      <w:r w:rsidRPr="00675326">
        <w:rPr>
          <w:szCs w:val="22"/>
        </w:rPr>
        <w:t>s</w:t>
      </w:r>
      <w:r w:rsidRPr="00675326">
        <w:rPr>
          <w:szCs w:val="22"/>
        </w:rPr>
        <w:t>faction suscitée par l'augmentation du chômage (loi du 20 décembre 1975 modifiant le rég</w:t>
      </w:r>
      <w:r w:rsidRPr="00675326">
        <w:rPr>
          <w:szCs w:val="22"/>
        </w:rPr>
        <w:t>i</w:t>
      </w:r>
      <w:r w:rsidRPr="00675326">
        <w:rPr>
          <w:szCs w:val="22"/>
        </w:rPr>
        <w:t>me d'assurance-chômage).</w:t>
      </w:r>
    </w:p>
    <w:p w:rsidR="00AD690E" w:rsidRPr="00675326" w:rsidRDefault="00AD690E" w:rsidP="00AD690E">
      <w:pPr>
        <w:spacing w:before="120" w:after="120"/>
        <w:jc w:val="both"/>
      </w:pPr>
      <w:r w:rsidRPr="00675326">
        <w:rPr>
          <w:szCs w:val="22"/>
        </w:rPr>
        <w:t>Les intentions de vote en faveur des progressistes conservateurs s'accrurent encore, à compter de la fin de l'été 1975, après l'annonce de la démission de Robert Stanfield et de la tenue d'un congrès d'i</w:t>
      </w:r>
      <w:r w:rsidRPr="00675326">
        <w:rPr>
          <w:szCs w:val="22"/>
        </w:rPr>
        <w:t>n</w:t>
      </w:r>
      <w:r w:rsidRPr="00675326">
        <w:rPr>
          <w:szCs w:val="22"/>
        </w:rPr>
        <w:t>vestiture pour le choix d'un nouveau chef progressiste conservateur. Les aspirants progressistes conservateurs s'attaquèrent à Pierre Tr</w:t>
      </w:r>
      <w:r w:rsidRPr="00675326">
        <w:rPr>
          <w:szCs w:val="22"/>
        </w:rPr>
        <w:t>u</w:t>
      </w:r>
      <w:r w:rsidRPr="00675326">
        <w:rPr>
          <w:szCs w:val="22"/>
        </w:rPr>
        <w:t>ceau davantage qu'à leurs concurrents et, de la so</w:t>
      </w:r>
      <w:r w:rsidRPr="00675326">
        <w:rPr>
          <w:szCs w:val="22"/>
        </w:rPr>
        <w:t>r</w:t>
      </w:r>
      <w:r w:rsidRPr="00675326">
        <w:rPr>
          <w:szCs w:val="22"/>
        </w:rPr>
        <w:t>te, accentuèrent le mouvement d'opinion qui les favor</w:t>
      </w:r>
      <w:r w:rsidRPr="00675326">
        <w:rPr>
          <w:szCs w:val="22"/>
        </w:rPr>
        <w:t>i</w:t>
      </w:r>
      <w:r w:rsidRPr="00675326">
        <w:rPr>
          <w:szCs w:val="22"/>
        </w:rPr>
        <w:t>sait.</w:t>
      </w:r>
    </w:p>
    <w:p w:rsidR="00AD690E" w:rsidRPr="00675326" w:rsidRDefault="00AD690E" w:rsidP="00AD690E">
      <w:pPr>
        <w:spacing w:before="120" w:after="120"/>
        <w:jc w:val="both"/>
      </w:pPr>
      <w:r w:rsidRPr="00675326">
        <w:rPr>
          <w:szCs w:val="22"/>
        </w:rPr>
        <w:t>Malgré sa jeunesse et son absence de notoriété, le chef progressiste conservateur désigné par les congressistes d'octobre 1975, Joe Clark, fut même capable d'obtenir, mois après mois, un plus fort appui que Pierre Trudeau dans les sondages sur les intentions de vote, sauf au Qu</w:t>
      </w:r>
      <w:r w:rsidRPr="00675326">
        <w:rPr>
          <w:szCs w:val="22"/>
        </w:rPr>
        <w:t>é</w:t>
      </w:r>
      <w:r w:rsidRPr="00675326">
        <w:rPr>
          <w:szCs w:val="22"/>
        </w:rPr>
        <w:t>bec.</w:t>
      </w:r>
    </w:p>
    <w:p w:rsidR="00AD690E" w:rsidRPr="00675326" w:rsidRDefault="00AD690E" w:rsidP="00AD690E">
      <w:pPr>
        <w:spacing w:before="120" w:after="120"/>
        <w:jc w:val="both"/>
      </w:pPr>
      <w:r w:rsidRPr="00675326">
        <w:rPr>
          <w:szCs w:val="22"/>
        </w:rPr>
        <w:t>Le 15 novembre 1976, cependant, la victoire imprévue du Parti québécois aux élections provinciales du Québec remit la question du Québec en évidence et, le mois suivant, les libéraux étaient de no</w:t>
      </w:r>
      <w:r w:rsidRPr="00675326">
        <w:rPr>
          <w:szCs w:val="22"/>
        </w:rPr>
        <w:t>u</w:t>
      </w:r>
      <w:r w:rsidRPr="00675326">
        <w:rPr>
          <w:szCs w:val="22"/>
        </w:rPr>
        <w:t>veau en avance dans les sondages portant sur l'ensemble de l'électorat canadien.</w:t>
      </w:r>
    </w:p>
    <w:p w:rsidR="00AD690E" w:rsidRPr="00675326" w:rsidRDefault="00AD690E" w:rsidP="00AD690E">
      <w:pPr>
        <w:spacing w:before="120" w:after="120"/>
        <w:jc w:val="both"/>
      </w:pPr>
      <w:r w:rsidRPr="00675326">
        <w:rPr>
          <w:szCs w:val="22"/>
        </w:rPr>
        <w:t>L'avance que les libéraux avaient retrouvée à la suite de la victoire du Parti québécois, fut conservée jusqu'en 1979, sauf pour une brève période, au milieu de 1978 (peu après l'adoption du système métrique, à laquelle beaucoup d'anglophones s'étaient opposés, et à l'occasion de la grève des postes, qui suscita beaucoup d'insatisfa</w:t>
      </w:r>
      <w:r w:rsidRPr="00675326">
        <w:rPr>
          <w:szCs w:val="22"/>
        </w:rPr>
        <w:t>c</w:t>
      </w:r>
      <w:r w:rsidRPr="00675326">
        <w:rPr>
          <w:szCs w:val="22"/>
        </w:rPr>
        <w:t>tion). Après 1978, leur avance dépendit cependant de l'appui exceptionnel que les répondants du Québec acco</w:t>
      </w:r>
      <w:r w:rsidRPr="00675326">
        <w:rPr>
          <w:szCs w:val="22"/>
        </w:rPr>
        <w:t>r</w:t>
      </w:r>
      <w:r w:rsidRPr="00675326">
        <w:rPr>
          <w:szCs w:val="22"/>
        </w:rPr>
        <w:t>daient au Parti libéral de Pierre Elliott Trudeau. En dehors du Québec, après 1978, l'avance dans les inte</w:t>
      </w:r>
      <w:r w:rsidRPr="00675326">
        <w:rPr>
          <w:szCs w:val="22"/>
        </w:rPr>
        <w:t>n</w:t>
      </w:r>
      <w:r w:rsidRPr="00675326">
        <w:rPr>
          <w:szCs w:val="22"/>
        </w:rPr>
        <w:t>tions de votre appartenait aux progressistes conservateurs.</w:t>
      </w:r>
    </w:p>
    <w:p w:rsidR="00AD690E" w:rsidRPr="00675326" w:rsidRDefault="00AD690E" w:rsidP="00AD690E">
      <w:pPr>
        <w:spacing w:before="120" w:after="120"/>
        <w:jc w:val="both"/>
      </w:pPr>
      <w:r w:rsidRPr="00675326">
        <w:rPr>
          <w:szCs w:val="22"/>
        </w:rPr>
        <w:t>C'est dans ce contexte que fut tenu le scrutin du 22 mai 1979, pre</w:t>
      </w:r>
      <w:r w:rsidRPr="00675326">
        <w:rPr>
          <w:szCs w:val="22"/>
        </w:rPr>
        <w:t>s</w:t>
      </w:r>
      <w:r w:rsidRPr="00675326">
        <w:rPr>
          <w:szCs w:val="22"/>
        </w:rPr>
        <w:t>que à l'expiration du mandat de cinq ans obtenu aux élections du 8 juillet 1974.</w:t>
      </w:r>
    </w:p>
    <w:p w:rsidR="00AD690E" w:rsidRPr="00675326" w:rsidRDefault="00AD690E" w:rsidP="00AD690E">
      <w:pPr>
        <w:spacing w:before="120" w:after="120"/>
        <w:jc w:val="both"/>
      </w:pPr>
      <w:r w:rsidRPr="00675326">
        <w:rPr>
          <w:szCs w:val="22"/>
        </w:rPr>
        <w:t>L'issue de ce scrutin était prévisible, compte tenu des résultats des sondages préélectoraux : un gouvernement progressiste conservateur minoritaire et une opposition libérale composée pour moitié (67 sur 114) de députés du Québec (voir tableau 3). Les libéraux avaient rec</w:t>
      </w:r>
      <w:r w:rsidRPr="00675326">
        <w:rPr>
          <w:szCs w:val="22"/>
        </w:rPr>
        <w:t>u</w:t>
      </w:r>
      <w:r w:rsidRPr="00675326">
        <w:rPr>
          <w:szCs w:val="22"/>
        </w:rPr>
        <w:t>lé partout, par rapport à 1974, sauf au Québec, où ils avaient progre</w:t>
      </w:r>
      <w:r w:rsidRPr="00675326">
        <w:rPr>
          <w:szCs w:val="22"/>
        </w:rPr>
        <w:t>s</w:t>
      </w:r>
      <w:r w:rsidRPr="00675326">
        <w:rPr>
          <w:szCs w:val="22"/>
        </w:rPr>
        <w:t>sé. Ils ne contrôlaient plus que 23</w:t>
      </w:r>
      <w:r>
        <w:rPr>
          <w:szCs w:val="22"/>
        </w:rPr>
        <w:t>%</w:t>
      </w:r>
      <w:r w:rsidRPr="00675326">
        <w:rPr>
          <w:szCs w:val="22"/>
        </w:rPr>
        <w:t xml:space="preserve"> des suffrages exprimés dans l'ouest du pays (et 3 sièges sur 80) et ils n'avaient remporté leurs vi</w:t>
      </w:r>
      <w:r w:rsidRPr="00675326">
        <w:rPr>
          <w:szCs w:val="22"/>
        </w:rPr>
        <w:t>c</w:t>
      </w:r>
      <w:r w:rsidRPr="00675326">
        <w:rPr>
          <w:szCs w:val="22"/>
        </w:rPr>
        <w:t>toires, en Ontario et dans les provinces de l'Atlantique, que dans les circonscriptions où les francophones et les néo-canadiens const</w:t>
      </w:r>
      <w:r w:rsidRPr="00675326">
        <w:rPr>
          <w:szCs w:val="22"/>
        </w:rPr>
        <w:t>i</w:t>
      </w:r>
      <w:r w:rsidRPr="00675326">
        <w:rPr>
          <w:szCs w:val="22"/>
        </w:rPr>
        <w:t>tuaient une proportion significative de l'électorat</w:t>
      </w:r>
      <w:r>
        <w:rPr>
          <w:szCs w:val="22"/>
        </w:rPr>
        <w:t> </w:t>
      </w:r>
      <w:r w:rsidRPr="00857900">
        <w:rPr>
          <w:rStyle w:val="Appelnotedebasdep"/>
        </w:rPr>
        <w:footnoteReference w:id="21"/>
      </w:r>
      <w:r w:rsidRPr="00675326">
        <w:rPr>
          <w:szCs w:val="22"/>
        </w:rPr>
        <w:t>.</w:t>
      </w:r>
    </w:p>
    <w:p w:rsidR="00AD690E" w:rsidRDefault="00AD690E" w:rsidP="00AD690E">
      <w:pPr>
        <w:spacing w:before="120" w:after="120"/>
        <w:jc w:val="both"/>
        <w:rPr>
          <w:szCs w:val="22"/>
        </w:rPr>
      </w:pPr>
      <w:r w:rsidRPr="00675326">
        <w:rPr>
          <w:szCs w:val="22"/>
        </w:rPr>
        <w:t>Mais, dans l'ensemble du pays, et grâce au Québec, le Parti libéral obtint plus de voix que le Parti progressiste conservateur, même si la répartition des sièges le défav</w:t>
      </w:r>
      <w:r w:rsidRPr="00675326">
        <w:rPr>
          <w:szCs w:val="22"/>
        </w:rPr>
        <w:t>o</w:t>
      </w:r>
      <w:r w:rsidRPr="00675326">
        <w:rPr>
          <w:szCs w:val="22"/>
        </w:rPr>
        <w:t>risait.</w:t>
      </w:r>
    </w:p>
    <w:p w:rsidR="00AD690E" w:rsidRDefault="00AD690E" w:rsidP="00AD690E">
      <w:pPr>
        <w:spacing w:before="120" w:after="120"/>
        <w:jc w:val="both"/>
      </w:pPr>
      <w:r w:rsidRPr="00675326">
        <w:br w:type="page"/>
      </w:r>
      <w:r>
        <w:t>[31]</w:t>
      </w:r>
    </w:p>
    <w:p w:rsidR="00AD690E" w:rsidRPr="00996043" w:rsidRDefault="00AD690E" w:rsidP="00AD690E">
      <w:pPr>
        <w:spacing w:before="120" w:after="120"/>
        <w:jc w:val="both"/>
        <w:rPr>
          <w:sz w:val="24"/>
        </w:rPr>
      </w:pPr>
    </w:p>
    <w:p w:rsidR="00AD690E" w:rsidRDefault="00AD690E" w:rsidP="00AD690E">
      <w:pPr>
        <w:spacing w:before="120" w:after="120"/>
        <w:jc w:val="center"/>
        <w:rPr>
          <w:sz w:val="24"/>
          <w:szCs w:val="22"/>
        </w:rPr>
      </w:pPr>
      <w:r>
        <w:rPr>
          <w:sz w:val="24"/>
          <w:szCs w:val="22"/>
        </w:rPr>
        <w:t>Tableau 3</w:t>
      </w:r>
    </w:p>
    <w:p w:rsidR="00AD690E" w:rsidRPr="00996043" w:rsidRDefault="00AD690E" w:rsidP="00AD690E">
      <w:pPr>
        <w:spacing w:before="120" w:after="120"/>
        <w:jc w:val="both"/>
        <w:rPr>
          <w:sz w:val="24"/>
        </w:rPr>
      </w:pPr>
      <w:r w:rsidRPr="00996043">
        <w:rPr>
          <w:sz w:val="24"/>
          <w:szCs w:val="22"/>
        </w:rPr>
        <w:t>Nombre de sièges et pourcentage des voix exprimées obtenus par les divers partis, par région, élections générales à la Chambre des communes du Canada, 1974, 1979, 1980 et 1984</w:t>
      </w:r>
    </w:p>
    <w:tbl>
      <w:tblPr>
        <w:tblW w:w="10349" w:type="dxa"/>
        <w:tblInd w:w="-1945" w:type="dxa"/>
        <w:shd w:val="clear" w:color="auto" w:fill="EAF1DD"/>
        <w:tblLayout w:type="fixed"/>
        <w:tblCellMar>
          <w:left w:w="40" w:type="dxa"/>
          <w:right w:w="40" w:type="dxa"/>
        </w:tblCellMar>
        <w:tblLook w:val="0000" w:firstRow="0" w:lastRow="0" w:firstColumn="0" w:lastColumn="0" w:noHBand="0" w:noVBand="0"/>
      </w:tblPr>
      <w:tblGrid>
        <w:gridCol w:w="1700"/>
        <w:gridCol w:w="4"/>
        <w:gridCol w:w="705"/>
        <w:gridCol w:w="992"/>
        <w:gridCol w:w="850"/>
        <w:gridCol w:w="709"/>
        <w:gridCol w:w="20"/>
        <w:gridCol w:w="831"/>
        <w:gridCol w:w="992"/>
        <w:gridCol w:w="709"/>
        <w:gridCol w:w="852"/>
        <w:gridCol w:w="992"/>
        <w:gridCol w:w="993"/>
      </w:tblGrid>
      <w:tr w:rsidR="00AD690E" w:rsidRPr="00996043">
        <w:tblPrEx>
          <w:tblCellMar>
            <w:top w:w="0" w:type="dxa"/>
            <w:bottom w:w="0" w:type="dxa"/>
          </w:tblCellMar>
        </w:tblPrEx>
        <w:tc>
          <w:tcPr>
            <w:tcW w:w="1704" w:type="dxa"/>
            <w:gridSpan w:val="2"/>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both"/>
              <w:rPr>
                <w:sz w:val="24"/>
              </w:rPr>
            </w:pPr>
          </w:p>
        </w:tc>
        <w:tc>
          <w:tcPr>
            <w:tcW w:w="1697" w:type="dxa"/>
            <w:gridSpan w:val="2"/>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Colombie-Britann</w:t>
            </w:r>
            <w:r w:rsidRPr="00996043">
              <w:rPr>
                <w:sz w:val="24"/>
                <w:szCs w:val="12"/>
              </w:rPr>
              <w:t>i</w:t>
            </w:r>
            <w:r w:rsidRPr="00996043">
              <w:rPr>
                <w:sz w:val="24"/>
                <w:szCs w:val="12"/>
              </w:rPr>
              <w:t>que</w:t>
            </w:r>
            <w:r>
              <w:rPr>
                <w:sz w:val="24"/>
                <w:szCs w:val="12"/>
              </w:rPr>
              <w:br/>
            </w:r>
            <w:r w:rsidRPr="00996043">
              <w:rPr>
                <w:sz w:val="24"/>
                <w:szCs w:val="12"/>
              </w:rPr>
              <w:t>et Territo</w:t>
            </w:r>
            <w:r w:rsidRPr="00996043">
              <w:rPr>
                <w:sz w:val="24"/>
                <w:szCs w:val="12"/>
              </w:rPr>
              <w:t>i</w:t>
            </w:r>
            <w:r w:rsidRPr="00996043">
              <w:rPr>
                <w:sz w:val="24"/>
                <w:szCs w:val="12"/>
              </w:rPr>
              <w:t>res</w:t>
            </w:r>
          </w:p>
        </w:tc>
        <w:tc>
          <w:tcPr>
            <w:tcW w:w="1579" w:type="dxa"/>
            <w:gridSpan w:val="3"/>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Alberta, Sa</w:t>
            </w:r>
            <w:r w:rsidRPr="00996043">
              <w:rPr>
                <w:sz w:val="24"/>
                <w:szCs w:val="12"/>
              </w:rPr>
              <w:t>s</w:t>
            </w:r>
            <w:r w:rsidRPr="00996043">
              <w:rPr>
                <w:sz w:val="24"/>
                <w:szCs w:val="12"/>
              </w:rPr>
              <w:t>katchewan,</w:t>
            </w:r>
            <w:r>
              <w:rPr>
                <w:sz w:val="24"/>
                <w:szCs w:val="12"/>
              </w:rPr>
              <w:t xml:space="preserve"> </w:t>
            </w:r>
            <w:r w:rsidRPr="00996043">
              <w:rPr>
                <w:sz w:val="24"/>
                <w:szCs w:val="12"/>
              </w:rPr>
              <w:t>Man</w:t>
            </w:r>
            <w:r w:rsidRPr="00996043">
              <w:rPr>
                <w:sz w:val="24"/>
                <w:szCs w:val="12"/>
              </w:rPr>
              <w:t>i</w:t>
            </w:r>
            <w:r w:rsidRPr="00996043">
              <w:rPr>
                <w:sz w:val="24"/>
                <w:szCs w:val="12"/>
              </w:rPr>
              <w:t>toba</w:t>
            </w:r>
          </w:p>
        </w:tc>
        <w:tc>
          <w:tcPr>
            <w:tcW w:w="1823" w:type="dxa"/>
            <w:gridSpan w:val="2"/>
            <w:tcBorders>
              <w:top w:val="single" w:sz="12" w:space="0" w:color="auto"/>
              <w:left w:val="nil"/>
              <w:bottom w:val="single" w:sz="12" w:space="0" w:color="auto"/>
              <w:right w:val="nil"/>
            </w:tcBorders>
            <w:shd w:val="clear" w:color="auto" w:fill="EAF1DD"/>
            <w:vAlign w:val="center"/>
          </w:tcPr>
          <w:p w:rsidR="00AD690E" w:rsidRPr="00996043" w:rsidRDefault="00AD690E" w:rsidP="00AD690E">
            <w:pPr>
              <w:spacing w:before="60" w:after="60"/>
              <w:ind w:firstLine="0"/>
              <w:jc w:val="center"/>
              <w:rPr>
                <w:sz w:val="24"/>
              </w:rPr>
            </w:pPr>
            <w:r w:rsidRPr="00996043">
              <w:rPr>
                <w:sz w:val="24"/>
                <w:szCs w:val="12"/>
              </w:rPr>
              <w:t>Ont</w:t>
            </w:r>
            <w:r w:rsidRPr="00996043">
              <w:rPr>
                <w:sz w:val="24"/>
                <w:szCs w:val="12"/>
              </w:rPr>
              <w:t>a</w:t>
            </w:r>
            <w:r w:rsidRPr="00996043">
              <w:rPr>
                <w:sz w:val="24"/>
                <w:szCs w:val="12"/>
              </w:rPr>
              <w:t>ri</w:t>
            </w:r>
            <w:r>
              <w:rPr>
                <w:sz w:val="24"/>
                <w:szCs w:val="12"/>
              </w:rPr>
              <w:t>o</w:t>
            </w:r>
          </w:p>
        </w:tc>
        <w:tc>
          <w:tcPr>
            <w:tcW w:w="1561" w:type="dxa"/>
            <w:gridSpan w:val="2"/>
            <w:tcBorders>
              <w:top w:val="single" w:sz="12" w:space="0" w:color="auto"/>
              <w:left w:val="nil"/>
              <w:bottom w:val="single" w:sz="12" w:space="0" w:color="auto"/>
              <w:right w:val="nil"/>
            </w:tcBorders>
            <w:shd w:val="clear" w:color="auto" w:fill="EAF1DD"/>
            <w:vAlign w:val="center"/>
          </w:tcPr>
          <w:p w:rsidR="00AD690E" w:rsidRPr="00996043" w:rsidRDefault="00AD690E" w:rsidP="00AD690E">
            <w:pPr>
              <w:spacing w:before="60" w:after="60"/>
              <w:ind w:firstLine="0"/>
              <w:jc w:val="center"/>
              <w:rPr>
                <w:sz w:val="24"/>
              </w:rPr>
            </w:pPr>
            <w:r w:rsidRPr="00996043">
              <w:rPr>
                <w:sz w:val="24"/>
                <w:szCs w:val="12"/>
              </w:rPr>
              <w:t>Qu</w:t>
            </w:r>
            <w:r w:rsidRPr="00996043">
              <w:rPr>
                <w:sz w:val="24"/>
                <w:szCs w:val="12"/>
              </w:rPr>
              <w:t>é</w:t>
            </w:r>
            <w:r w:rsidRPr="00996043">
              <w:rPr>
                <w:sz w:val="24"/>
                <w:szCs w:val="12"/>
              </w:rPr>
              <w:t>bec</w:t>
            </w:r>
          </w:p>
        </w:tc>
        <w:tc>
          <w:tcPr>
            <w:tcW w:w="1985" w:type="dxa"/>
            <w:gridSpan w:val="2"/>
            <w:tcBorders>
              <w:top w:val="single" w:sz="12" w:space="0" w:color="auto"/>
              <w:left w:val="nil"/>
              <w:bottom w:val="single" w:sz="12" w:space="0" w:color="auto"/>
              <w:right w:val="nil"/>
            </w:tcBorders>
            <w:shd w:val="clear" w:color="auto" w:fill="EAF1DD"/>
            <w:vAlign w:val="center"/>
          </w:tcPr>
          <w:p w:rsidR="00AD690E" w:rsidRPr="00996043" w:rsidRDefault="00AD690E" w:rsidP="00AD690E">
            <w:pPr>
              <w:spacing w:before="60" w:after="60"/>
              <w:ind w:firstLine="0"/>
              <w:jc w:val="center"/>
              <w:rPr>
                <w:sz w:val="24"/>
              </w:rPr>
            </w:pPr>
            <w:r w:rsidRPr="00996043">
              <w:rPr>
                <w:sz w:val="24"/>
                <w:szCs w:val="12"/>
              </w:rPr>
              <w:t>Pr</w:t>
            </w:r>
            <w:r w:rsidRPr="00996043">
              <w:rPr>
                <w:sz w:val="24"/>
                <w:szCs w:val="12"/>
              </w:rPr>
              <w:t>o</w:t>
            </w:r>
            <w:r w:rsidRPr="00996043">
              <w:rPr>
                <w:sz w:val="24"/>
                <w:szCs w:val="12"/>
              </w:rPr>
              <w:t>vinces de</w:t>
            </w:r>
            <w:r>
              <w:rPr>
                <w:sz w:val="24"/>
                <w:szCs w:val="12"/>
              </w:rPr>
              <w:t xml:space="preserve"> </w:t>
            </w:r>
            <w:r w:rsidRPr="00996043">
              <w:rPr>
                <w:sz w:val="24"/>
                <w:szCs w:val="12"/>
              </w:rPr>
              <w:t>l'Atlantique</w:t>
            </w:r>
          </w:p>
        </w:tc>
      </w:tr>
      <w:tr w:rsidR="00AD690E" w:rsidRPr="00996043">
        <w:tblPrEx>
          <w:shd w:val="clear" w:color="auto" w:fill="auto"/>
          <w:tblCellMar>
            <w:top w:w="0" w:type="dxa"/>
            <w:bottom w:w="0" w:type="dxa"/>
          </w:tblCellMar>
        </w:tblPrEx>
        <w:tc>
          <w:tcPr>
            <w:tcW w:w="1700" w:type="dxa"/>
            <w:vMerge w:val="restart"/>
            <w:tcBorders>
              <w:top w:val="single" w:sz="12" w:space="0" w:color="auto"/>
              <w:left w:val="nil"/>
              <w:right w:val="nil"/>
            </w:tcBorders>
            <w:shd w:val="clear" w:color="auto" w:fill="EAF1DD"/>
          </w:tcPr>
          <w:p w:rsidR="00AD690E" w:rsidRPr="00996043" w:rsidRDefault="00AD690E" w:rsidP="00AD690E">
            <w:pPr>
              <w:spacing w:before="60" w:after="60"/>
              <w:ind w:firstLine="0"/>
              <w:jc w:val="center"/>
              <w:rPr>
                <w:sz w:val="24"/>
              </w:rPr>
            </w:pPr>
          </w:p>
        </w:tc>
        <w:tc>
          <w:tcPr>
            <w:tcW w:w="709" w:type="dxa"/>
            <w:gridSpan w:val="2"/>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Si</w:t>
            </w:r>
            <w:r w:rsidRPr="00996043">
              <w:rPr>
                <w:sz w:val="24"/>
                <w:szCs w:val="12"/>
              </w:rPr>
              <w:t>è</w:t>
            </w:r>
            <w:r w:rsidRPr="00996043">
              <w:rPr>
                <w:sz w:val="24"/>
                <w:szCs w:val="12"/>
              </w:rPr>
              <w:t>ges</w:t>
            </w:r>
          </w:p>
        </w:tc>
        <w:tc>
          <w:tcPr>
            <w:tcW w:w="99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Voix</w:t>
            </w:r>
          </w:p>
        </w:tc>
        <w:tc>
          <w:tcPr>
            <w:tcW w:w="850"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Si</w:t>
            </w:r>
            <w:r w:rsidRPr="00996043">
              <w:rPr>
                <w:sz w:val="24"/>
                <w:szCs w:val="12"/>
              </w:rPr>
              <w:t>è</w:t>
            </w:r>
            <w:r w:rsidRPr="00996043">
              <w:rPr>
                <w:sz w:val="24"/>
                <w:szCs w:val="12"/>
              </w:rPr>
              <w:t>ges</w:t>
            </w:r>
          </w:p>
        </w:tc>
        <w:tc>
          <w:tcPr>
            <w:tcW w:w="709"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Voix</w:t>
            </w:r>
          </w:p>
        </w:tc>
        <w:tc>
          <w:tcPr>
            <w:tcW w:w="851" w:type="dxa"/>
            <w:gridSpan w:val="2"/>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Si</w:t>
            </w:r>
            <w:r w:rsidRPr="00996043">
              <w:rPr>
                <w:sz w:val="24"/>
                <w:szCs w:val="12"/>
              </w:rPr>
              <w:t>è</w:t>
            </w:r>
            <w:r w:rsidRPr="00996043">
              <w:rPr>
                <w:sz w:val="24"/>
                <w:szCs w:val="12"/>
              </w:rPr>
              <w:t>ges</w:t>
            </w:r>
          </w:p>
        </w:tc>
        <w:tc>
          <w:tcPr>
            <w:tcW w:w="99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Voix</w:t>
            </w:r>
          </w:p>
        </w:tc>
        <w:tc>
          <w:tcPr>
            <w:tcW w:w="709"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Si</w:t>
            </w:r>
            <w:r w:rsidRPr="00996043">
              <w:rPr>
                <w:sz w:val="24"/>
                <w:szCs w:val="12"/>
              </w:rPr>
              <w:t>è</w:t>
            </w:r>
            <w:r w:rsidRPr="00996043">
              <w:rPr>
                <w:sz w:val="24"/>
                <w:szCs w:val="12"/>
              </w:rPr>
              <w:t>ges</w:t>
            </w:r>
          </w:p>
        </w:tc>
        <w:tc>
          <w:tcPr>
            <w:tcW w:w="85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Voix</w:t>
            </w:r>
          </w:p>
        </w:tc>
        <w:tc>
          <w:tcPr>
            <w:tcW w:w="99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Si</w:t>
            </w:r>
            <w:r w:rsidRPr="00996043">
              <w:rPr>
                <w:sz w:val="24"/>
                <w:szCs w:val="12"/>
              </w:rPr>
              <w:t>è</w:t>
            </w:r>
            <w:r w:rsidRPr="00996043">
              <w:rPr>
                <w:sz w:val="24"/>
                <w:szCs w:val="12"/>
              </w:rPr>
              <w:t>ges</w:t>
            </w:r>
          </w:p>
        </w:tc>
        <w:tc>
          <w:tcPr>
            <w:tcW w:w="993"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szCs w:val="12"/>
              </w:rPr>
              <w:t>Voix</w:t>
            </w:r>
          </w:p>
        </w:tc>
      </w:tr>
      <w:tr w:rsidR="00AD690E" w:rsidRPr="00996043">
        <w:tblPrEx>
          <w:shd w:val="clear" w:color="auto" w:fill="auto"/>
          <w:tblCellMar>
            <w:top w:w="0" w:type="dxa"/>
            <w:bottom w:w="0" w:type="dxa"/>
          </w:tblCellMar>
        </w:tblPrEx>
        <w:tc>
          <w:tcPr>
            <w:tcW w:w="1700" w:type="dxa"/>
            <w:vMerge/>
            <w:tcBorders>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p>
        </w:tc>
        <w:tc>
          <w:tcPr>
            <w:tcW w:w="709" w:type="dxa"/>
            <w:gridSpan w:val="2"/>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p>
        </w:tc>
        <w:tc>
          <w:tcPr>
            <w:tcW w:w="99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i/>
                <w:iCs/>
                <w:sz w:val="24"/>
              </w:rPr>
              <w:t>%</w:t>
            </w:r>
          </w:p>
        </w:tc>
        <w:tc>
          <w:tcPr>
            <w:tcW w:w="850"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p>
        </w:tc>
        <w:tc>
          <w:tcPr>
            <w:tcW w:w="709"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rPr>
              <w:t>%</w:t>
            </w:r>
          </w:p>
        </w:tc>
        <w:tc>
          <w:tcPr>
            <w:tcW w:w="851" w:type="dxa"/>
            <w:gridSpan w:val="2"/>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p>
        </w:tc>
        <w:tc>
          <w:tcPr>
            <w:tcW w:w="99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sz w:val="24"/>
              </w:rPr>
              <w:t>%</w:t>
            </w:r>
          </w:p>
        </w:tc>
        <w:tc>
          <w:tcPr>
            <w:tcW w:w="709"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p>
        </w:tc>
        <w:tc>
          <w:tcPr>
            <w:tcW w:w="85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i/>
                <w:iCs/>
                <w:sz w:val="24"/>
              </w:rPr>
              <w:t>%</w:t>
            </w:r>
          </w:p>
        </w:tc>
        <w:tc>
          <w:tcPr>
            <w:tcW w:w="992"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i/>
                <w:iCs/>
                <w:sz w:val="24"/>
              </w:rPr>
              <w:t>%</w:t>
            </w:r>
          </w:p>
        </w:tc>
        <w:tc>
          <w:tcPr>
            <w:tcW w:w="993" w:type="dxa"/>
            <w:tcBorders>
              <w:top w:val="single" w:sz="12" w:space="0" w:color="auto"/>
              <w:left w:val="nil"/>
              <w:bottom w:val="single" w:sz="12" w:space="0" w:color="auto"/>
              <w:right w:val="nil"/>
            </w:tcBorders>
            <w:shd w:val="clear" w:color="auto" w:fill="EAF1DD"/>
          </w:tcPr>
          <w:p w:rsidR="00AD690E" w:rsidRPr="00996043" w:rsidRDefault="00AD690E" w:rsidP="00AD690E">
            <w:pPr>
              <w:spacing w:before="60" w:after="60"/>
              <w:ind w:firstLine="0"/>
              <w:jc w:val="center"/>
              <w:rPr>
                <w:sz w:val="24"/>
              </w:rPr>
            </w:pPr>
            <w:r w:rsidRPr="00996043">
              <w:rPr>
                <w:i/>
                <w:iCs/>
                <w:sz w:val="24"/>
              </w:rPr>
              <w:t>%</w:t>
            </w:r>
          </w:p>
        </w:tc>
      </w:tr>
      <w:tr w:rsidR="00AD690E" w:rsidRPr="00996043">
        <w:tblPrEx>
          <w:shd w:val="clear" w:color="auto" w:fill="auto"/>
          <w:tblCellMar>
            <w:top w:w="0" w:type="dxa"/>
            <w:bottom w:w="0" w:type="dxa"/>
          </w:tblCellMar>
        </w:tblPrEx>
        <w:tc>
          <w:tcPr>
            <w:tcW w:w="1700"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1974(8.07)</w:t>
            </w:r>
          </w:p>
        </w:tc>
        <w:tc>
          <w:tcPr>
            <w:tcW w:w="709" w:type="dxa"/>
            <w:gridSpan w:val="2"/>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850"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851" w:type="dxa"/>
            <w:gridSpan w:val="2"/>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single" w:sz="12" w:space="0" w:color="auto"/>
              <w:left w:val="nil"/>
              <w:bottom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Libéral</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33.2</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27.2</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55</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45.1</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60</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54.3</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13</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44.3</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Prog. Cons.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14</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41.9</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36</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50.6</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25</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35.1</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21.2</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17</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42.3</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NPD</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23.2</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19.3</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19.1</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6.6</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9.6</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Pr>
                <w:sz w:val="24"/>
                <w:szCs w:val="18"/>
              </w:rPr>
              <w:t>C</w:t>
            </w:r>
            <w:r w:rsidRPr="00996043">
              <w:rPr>
                <w:sz w:val="24"/>
                <w:szCs w:val="18"/>
              </w:rPr>
              <w:t>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1.2</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2.1</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0.2</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11</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17.1</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1.1</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Pr>
                <w:sz w:val="24"/>
                <w:szCs w:val="12"/>
              </w:rPr>
              <w:t>Autr</w:t>
            </w:r>
            <w:r w:rsidRPr="00996043">
              <w:rPr>
                <w:sz w:val="24"/>
                <w:szCs w:val="12"/>
              </w:rPr>
              <w:t>es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0.5</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0.8</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0.5</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27</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1979 (22.05)</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Libéral</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23.2</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22.4</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35</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36.4</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67</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61.7</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12</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40.0</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Prog. Cons.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21</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44.2</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38</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53.0</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57</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41.8</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13.5</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18</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41.1</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NPD</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9</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31.9</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9</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23.0</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21.1</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5.1</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18.7</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Pr>
                <w:sz w:val="24"/>
                <w:szCs w:val="18"/>
              </w:rPr>
              <w:t>C</w:t>
            </w:r>
            <w:r w:rsidRPr="00996043">
              <w:rPr>
                <w:sz w:val="24"/>
                <w:szCs w:val="18"/>
              </w:rPr>
              <w:t>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0.1</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0.6</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0.1</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16.0</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Autres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0.6</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0.9</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0.6</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3.7</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0.2</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1980(18.02)</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Libéral</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22.5</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24.3</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52</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41.9</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74</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68.2</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45.1</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Prog. Cons.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41.3</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33</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50.6</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35.5</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12.6</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13</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36.6</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NPD</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13</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35.2</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14</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23.5</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21.9</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9.1</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17.6</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Pr>
                <w:sz w:val="24"/>
                <w:szCs w:val="18"/>
              </w:rPr>
              <w:t>CS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0.1</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0.5</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5.9</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Pr>
                <w:sz w:val="24"/>
                <w:szCs w:val="12"/>
              </w:rPr>
              <w:t>Autr</w:t>
            </w:r>
            <w:r w:rsidRPr="00996043">
              <w:rPr>
                <w:sz w:val="24"/>
                <w:szCs w:val="12"/>
              </w:rPr>
              <w:t>es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0.9</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1.1</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0.7</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4.2</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0.7</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1984 (4.09)</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Libéral</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16.6</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16.4</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14</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29.8</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17</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35.4</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7</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34.1</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Prog. Cons.</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22</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46.7</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39</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55.5</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67</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47.6</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58</w:t>
            </w: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50.2</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25</w:t>
            </w: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53.2</w:t>
            </w:r>
          </w:p>
        </w:tc>
      </w:tr>
      <w:tr w:rsidR="00AD690E" w:rsidRPr="00996043">
        <w:tblPrEx>
          <w:shd w:val="clear" w:color="auto" w:fill="auto"/>
          <w:tblCellMar>
            <w:top w:w="0" w:type="dxa"/>
            <w:bottom w:w="0" w:type="dxa"/>
          </w:tblCellMar>
        </w:tblPrEx>
        <w:tc>
          <w:tcPr>
            <w:tcW w:w="170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NPD</w:t>
            </w:r>
          </w:p>
        </w:tc>
        <w:tc>
          <w:tcPr>
            <w:tcW w:w="709"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34.8</w:t>
            </w:r>
          </w:p>
        </w:tc>
        <w:tc>
          <w:tcPr>
            <w:tcW w:w="850"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9</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23.6</w:t>
            </w:r>
          </w:p>
        </w:tc>
        <w:tc>
          <w:tcPr>
            <w:tcW w:w="851" w:type="dxa"/>
            <w:gridSpan w:val="2"/>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13</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20.8</w:t>
            </w:r>
          </w:p>
        </w:tc>
        <w:tc>
          <w:tcPr>
            <w:tcW w:w="709"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8.8</w:t>
            </w:r>
          </w:p>
        </w:tc>
        <w:tc>
          <w:tcPr>
            <w:tcW w:w="992" w:type="dxa"/>
            <w:tcBorders>
              <w:top w:val="nil"/>
              <w:left w:val="nil"/>
              <w:bottom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bottom w:val="nil"/>
              <w:right w:val="nil"/>
            </w:tcBorders>
            <w:shd w:val="clear" w:color="auto" w:fill="FFFFFF"/>
          </w:tcPr>
          <w:p w:rsidR="00AD690E" w:rsidRPr="00996043" w:rsidRDefault="00AD690E" w:rsidP="00AD690E">
            <w:pPr>
              <w:ind w:firstLine="0"/>
              <w:jc w:val="both"/>
              <w:rPr>
                <w:sz w:val="24"/>
              </w:rPr>
            </w:pPr>
            <w:r w:rsidRPr="00996043">
              <w:rPr>
                <w:sz w:val="24"/>
                <w:szCs w:val="12"/>
              </w:rPr>
              <w:t>12.3</w:t>
            </w:r>
          </w:p>
        </w:tc>
      </w:tr>
      <w:tr w:rsidR="00AD690E" w:rsidRPr="00996043">
        <w:tblPrEx>
          <w:shd w:val="clear" w:color="auto" w:fill="auto"/>
          <w:tblCellMar>
            <w:top w:w="0" w:type="dxa"/>
            <w:bottom w:w="0" w:type="dxa"/>
          </w:tblCellMar>
        </w:tblPrEx>
        <w:tc>
          <w:tcPr>
            <w:tcW w:w="1700" w:type="dxa"/>
            <w:tcBorders>
              <w:top w:val="nil"/>
              <w:left w:val="nil"/>
              <w:right w:val="nil"/>
            </w:tcBorders>
            <w:shd w:val="clear" w:color="auto" w:fill="FFFFFF"/>
          </w:tcPr>
          <w:p w:rsidR="00AD690E" w:rsidRPr="00996043" w:rsidRDefault="00AD690E" w:rsidP="00AD690E">
            <w:pPr>
              <w:ind w:firstLine="0"/>
              <w:jc w:val="both"/>
              <w:rPr>
                <w:sz w:val="24"/>
              </w:rPr>
            </w:pPr>
            <w:r>
              <w:rPr>
                <w:sz w:val="24"/>
                <w:szCs w:val="18"/>
              </w:rPr>
              <w:t>CS</w:t>
            </w:r>
          </w:p>
        </w:tc>
        <w:tc>
          <w:tcPr>
            <w:tcW w:w="709" w:type="dxa"/>
            <w:gridSpan w:val="2"/>
            <w:tcBorders>
              <w:top w:val="nil"/>
              <w:left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right w:val="nil"/>
            </w:tcBorders>
            <w:shd w:val="clear" w:color="auto" w:fill="FFFFFF"/>
          </w:tcPr>
          <w:p w:rsidR="00AD690E" w:rsidRPr="00996043" w:rsidRDefault="00AD690E" w:rsidP="00AD690E">
            <w:pPr>
              <w:ind w:firstLine="0"/>
              <w:jc w:val="both"/>
              <w:rPr>
                <w:sz w:val="24"/>
              </w:rPr>
            </w:pPr>
            <w:r w:rsidRPr="00996043">
              <w:rPr>
                <w:sz w:val="24"/>
                <w:szCs w:val="12"/>
              </w:rPr>
              <w:t>0.2</w:t>
            </w:r>
          </w:p>
        </w:tc>
        <w:tc>
          <w:tcPr>
            <w:tcW w:w="850" w:type="dxa"/>
            <w:tcBorders>
              <w:top w:val="nil"/>
              <w:left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right w:val="nil"/>
            </w:tcBorders>
            <w:shd w:val="clear" w:color="auto" w:fill="FFFFFF"/>
          </w:tcPr>
          <w:p w:rsidR="00AD690E" w:rsidRPr="00996043" w:rsidRDefault="00AD690E" w:rsidP="00AD690E">
            <w:pPr>
              <w:ind w:firstLine="0"/>
              <w:jc w:val="both"/>
              <w:rPr>
                <w:sz w:val="24"/>
              </w:rPr>
            </w:pPr>
            <w:r w:rsidRPr="00996043">
              <w:rPr>
                <w:sz w:val="24"/>
                <w:szCs w:val="12"/>
              </w:rPr>
              <w:t>0.3</w:t>
            </w:r>
          </w:p>
        </w:tc>
        <w:tc>
          <w:tcPr>
            <w:tcW w:w="851" w:type="dxa"/>
            <w:gridSpan w:val="2"/>
            <w:tcBorders>
              <w:top w:val="nil"/>
              <w:left w:val="nil"/>
              <w:right w:val="nil"/>
            </w:tcBorders>
            <w:shd w:val="clear" w:color="auto" w:fill="FFFFFF"/>
          </w:tcPr>
          <w:p w:rsidR="00AD690E" w:rsidRPr="00996043" w:rsidRDefault="00AD690E" w:rsidP="00AD690E">
            <w:pPr>
              <w:ind w:firstLine="0"/>
              <w:jc w:val="both"/>
              <w:rPr>
                <w:sz w:val="24"/>
              </w:rPr>
            </w:pPr>
          </w:p>
        </w:tc>
        <w:tc>
          <w:tcPr>
            <w:tcW w:w="992" w:type="dxa"/>
            <w:tcBorders>
              <w:top w:val="nil"/>
              <w:left w:val="nil"/>
              <w:right w:val="nil"/>
            </w:tcBorders>
            <w:shd w:val="clear" w:color="auto" w:fill="FFFFFF"/>
          </w:tcPr>
          <w:p w:rsidR="00AD690E" w:rsidRPr="00996043" w:rsidRDefault="00AD690E" w:rsidP="00AD690E">
            <w:pPr>
              <w:ind w:firstLine="0"/>
              <w:jc w:val="both"/>
              <w:rPr>
                <w:sz w:val="24"/>
              </w:rPr>
            </w:pPr>
          </w:p>
        </w:tc>
        <w:tc>
          <w:tcPr>
            <w:tcW w:w="709" w:type="dxa"/>
            <w:tcBorders>
              <w:top w:val="nil"/>
              <w:left w:val="nil"/>
              <w:right w:val="nil"/>
            </w:tcBorders>
            <w:shd w:val="clear" w:color="auto" w:fill="FFFFFF"/>
          </w:tcPr>
          <w:p w:rsidR="00AD690E" w:rsidRPr="00996043" w:rsidRDefault="00AD690E" w:rsidP="00AD690E">
            <w:pPr>
              <w:ind w:firstLine="0"/>
              <w:jc w:val="both"/>
              <w:rPr>
                <w:sz w:val="24"/>
              </w:rPr>
            </w:pPr>
          </w:p>
        </w:tc>
        <w:tc>
          <w:tcPr>
            <w:tcW w:w="852" w:type="dxa"/>
            <w:tcBorders>
              <w:top w:val="nil"/>
              <w:left w:val="nil"/>
              <w:right w:val="nil"/>
            </w:tcBorders>
            <w:shd w:val="clear" w:color="auto" w:fill="FFFFFF"/>
          </w:tcPr>
          <w:p w:rsidR="00AD690E" w:rsidRPr="00996043" w:rsidRDefault="00AD690E" w:rsidP="00AD690E">
            <w:pPr>
              <w:ind w:firstLine="0"/>
              <w:jc w:val="both"/>
              <w:rPr>
                <w:sz w:val="24"/>
              </w:rPr>
            </w:pPr>
            <w:r w:rsidRPr="00996043">
              <w:rPr>
                <w:sz w:val="24"/>
                <w:szCs w:val="12"/>
              </w:rPr>
              <w:t>0.2</w:t>
            </w:r>
          </w:p>
        </w:tc>
        <w:tc>
          <w:tcPr>
            <w:tcW w:w="992" w:type="dxa"/>
            <w:tcBorders>
              <w:top w:val="nil"/>
              <w:left w:val="nil"/>
              <w:right w:val="nil"/>
            </w:tcBorders>
            <w:shd w:val="clear" w:color="auto" w:fill="FFFFFF"/>
          </w:tcPr>
          <w:p w:rsidR="00AD690E" w:rsidRPr="00996043" w:rsidRDefault="00AD690E" w:rsidP="00AD690E">
            <w:pPr>
              <w:ind w:firstLine="0"/>
              <w:jc w:val="both"/>
              <w:rPr>
                <w:sz w:val="24"/>
              </w:rPr>
            </w:pPr>
          </w:p>
        </w:tc>
        <w:tc>
          <w:tcPr>
            <w:tcW w:w="993" w:type="dxa"/>
            <w:tcBorders>
              <w:top w:val="nil"/>
              <w:left w:val="nil"/>
              <w:right w:val="nil"/>
            </w:tcBorders>
            <w:shd w:val="clear" w:color="auto" w:fill="FFFFFF"/>
          </w:tcPr>
          <w:p w:rsidR="00AD690E" w:rsidRPr="00996043" w:rsidRDefault="00AD690E" w:rsidP="00AD690E">
            <w:pPr>
              <w:ind w:firstLine="0"/>
              <w:jc w:val="both"/>
              <w:rPr>
                <w:sz w:val="24"/>
              </w:rPr>
            </w:pPr>
          </w:p>
        </w:tc>
      </w:tr>
      <w:tr w:rsidR="00AD690E" w:rsidRPr="00996043">
        <w:tblPrEx>
          <w:shd w:val="clear" w:color="auto" w:fill="auto"/>
          <w:tblCellMar>
            <w:top w:w="0" w:type="dxa"/>
            <w:bottom w:w="0" w:type="dxa"/>
          </w:tblCellMar>
        </w:tblPrEx>
        <w:tc>
          <w:tcPr>
            <w:tcW w:w="1700"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Pr>
                <w:sz w:val="24"/>
                <w:szCs w:val="12"/>
              </w:rPr>
              <w:t>Autr</w:t>
            </w:r>
            <w:r w:rsidRPr="00996043">
              <w:rPr>
                <w:sz w:val="24"/>
                <w:szCs w:val="12"/>
              </w:rPr>
              <w:t>es</w:t>
            </w:r>
          </w:p>
        </w:tc>
        <w:tc>
          <w:tcPr>
            <w:tcW w:w="709" w:type="dxa"/>
            <w:gridSpan w:val="2"/>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p>
        </w:tc>
        <w:tc>
          <w:tcPr>
            <w:tcW w:w="992"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sidRPr="00996043">
              <w:rPr>
                <w:sz w:val="24"/>
                <w:szCs w:val="12"/>
              </w:rPr>
              <w:t>1.7</w:t>
            </w:r>
          </w:p>
        </w:tc>
        <w:tc>
          <w:tcPr>
            <w:tcW w:w="850"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p>
        </w:tc>
        <w:tc>
          <w:tcPr>
            <w:tcW w:w="709"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sidRPr="00996043">
              <w:rPr>
                <w:sz w:val="24"/>
                <w:szCs w:val="12"/>
              </w:rPr>
              <w:t>4.2</w:t>
            </w:r>
          </w:p>
        </w:tc>
        <w:tc>
          <w:tcPr>
            <w:tcW w:w="851" w:type="dxa"/>
            <w:gridSpan w:val="2"/>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sidRPr="00996043">
              <w:rPr>
                <w:sz w:val="24"/>
                <w:szCs w:val="12"/>
              </w:rPr>
              <w:t>1</w:t>
            </w:r>
          </w:p>
        </w:tc>
        <w:tc>
          <w:tcPr>
            <w:tcW w:w="992"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sidRPr="00996043">
              <w:rPr>
                <w:sz w:val="24"/>
                <w:szCs w:val="12"/>
              </w:rPr>
              <w:t>1.8</w:t>
            </w:r>
          </w:p>
        </w:tc>
        <w:tc>
          <w:tcPr>
            <w:tcW w:w="709"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p>
        </w:tc>
        <w:tc>
          <w:tcPr>
            <w:tcW w:w="852"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sidRPr="00996043">
              <w:rPr>
                <w:sz w:val="24"/>
                <w:szCs w:val="12"/>
              </w:rPr>
              <w:t>5.4</w:t>
            </w:r>
          </w:p>
        </w:tc>
        <w:tc>
          <w:tcPr>
            <w:tcW w:w="992"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p>
        </w:tc>
        <w:tc>
          <w:tcPr>
            <w:tcW w:w="993" w:type="dxa"/>
            <w:tcBorders>
              <w:top w:val="nil"/>
              <w:left w:val="nil"/>
              <w:bottom w:val="single" w:sz="12" w:space="0" w:color="auto"/>
              <w:right w:val="nil"/>
            </w:tcBorders>
            <w:shd w:val="clear" w:color="auto" w:fill="FFFFFF"/>
          </w:tcPr>
          <w:p w:rsidR="00AD690E" w:rsidRPr="00996043" w:rsidRDefault="00AD690E" w:rsidP="00AD690E">
            <w:pPr>
              <w:spacing w:after="60"/>
              <w:ind w:firstLine="0"/>
              <w:jc w:val="both"/>
              <w:rPr>
                <w:sz w:val="24"/>
              </w:rPr>
            </w:pPr>
            <w:r w:rsidRPr="00996043">
              <w:rPr>
                <w:sz w:val="24"/>
                <w:szCs w:val="12"/>
              </w:rPr>
              <w:t>0.3</w:t>
            </w:r>
          </w:p>
        </w:tc>
      </w:tr>
    </w:tbl>
    <w:p w:rsidR="00AD690E" w:rsidRPr="00996043" w:rsidRDefault="00AD690E" w:rsidP="00AD690E">
      <w:pPr>
        <w:spacing w:before="120" w:after="120"/>
        <w:jc w:val="both"/>
        <w:rPr>
          <w:sz w:val="24"/>
        </w:rPr>
      </w:pPr>
      <w:r w:rsidRPr="00996043">
        <w:rPr>
          <w:sz w:val="24"/>
          <w:szCs w:val="12"/>
        </w:rPr>
        <w:t>Source : Rapports du directeur général des élections, Ottawa, nos calculs.</w:t>
      </w:r>
    </w:p>
    <w:p w:rsidR="00AD690E" w:rsidRDefault="00AD690E" w:rsidP="00AD690E">
      <w:pPr>
        <w:spacing w:before="120" w:after="120"/>
        <w:jc w:val="both"/>
        <w:rPr>
          <w:szCs w:val="22"/>
        </w:rPr>
      </w:pPr>
      <w:r>
        <w:rPr>
          <w:szCs w:val="22"/>
        </w:rPr>
        <w:br w:type="page"/>
      </w:r>
    </w:p>
    <w:p w:rsidR="00AD690E" w:rsidRPr="00675326" w:rsidRDefault="00AD690E" w:rsidP="00AD690E">
      <w:pPr>
        <w:pStyle w:val="planche"/>
      </w:pPr>
      <w:r>
        <w:t>1980-1982 :</w:t>
      </w:r>
      <w:r>
        <w:br/>
      </w:r>
      <w:r w:rsidRPr="00675326">
        <w:t>L'APOGÉE DU MOUVEMENT</w:t>
      </w:r>
      <w:r>
        <w:br/>
      </w:r>
      <w:r w:rsidRPr="00675326">
        <w:t>IND</w:t>
      </w:r>
      <w:r>
        <w:t>É</w:t>
      </w:r>
      <w:r w:rsidRPr="00675326">
        <w:t>PENDANTI</w:t>
      </w:r>
      <w:r w:rsidRPr="00675326">
        <w:t>S</w:t>
      </w:r>
      <w:r w:rsidRPr="00675326">
        <w:t>TE AU QUÉBEC</w:t>
      </w:r>
      <w:r>
        <w:br/>
      </w:r>
      <w:r w:rsidRPr="00675326">
        <w:t>ET SA DÉFAITE CONSTIT</w:t>
      </w:r>
      <w:r w:rsidRPr="00675326">
        <w:t>U</w:t>
      </w:r>
      <w:r w:rsidRPr="00675326">
        <w:t>TIONNELLE</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Le chef progressiste conservateur, Joe Clark, commença son serv</w:t>
      </w:r>
      <w:r w:rsidRPr="00675326">
        <w:rPr>
          <w:szCs w:val="22"/>
        </w:rPr>
        <w:t>i</w:t>
      </w:r>
      <w:r w:rsidRPr="00675326">
        <w:rPr>
          <w:szCs w:val="22"/>
        </w:rPr>
        <w:t>ce comme premier ministre en comme</w:t>
      </w:r>
      <w:r w:rsidRPr="00675326">
        <w:rPr>
          <w:szCs w:val="22"/>
        </w:rPr>
        <w:t>t</w:t>
      </w:r>
      <w:r w:rsidRPr="00675326">
        <w:rPr>
          <w:szCs w:val="22"/>
        </w:rPr>
        <w:t>tant des erreurs : il dut en effet annuler plusieurs de ses promesses, telle la promesse de vendre la S</w:t>
      </w:r>
      <w:r w:rsidRPr="00675326">
        <w:rPr>
          <w:szCs w:val="22"/>
        </w:rPr>
        <w:t>o</w:t>
      </w:r>
      <w:r w:rsidRPr="00675326">
        <w:rPr>
          <w:szCs w:val="22"/>
        </w:rPr>
        <w:t>ciété Pétro-Canada à l'entreprise privée, celle d'accepter des dédu</w:t>
      </w:r>
      <w:r w:rsidRPr="00675326">
        <w:rPr>
          <w:szCs w:val="22"/>
        </w:rPr>
        <w:t>c</w:t>
      </w:r>
      <w:r w:rsidRPr="00675326">
        <w:rPr>
          <w:szCs w:val="22"/>
        </w:rPr>
        <w:t>tion fiscales pour les intérêts payés sur les prêts hypoth</w:t>
      </w:r>
      <w:r w:rsidRPr="00675326">
        <w:rPr>
          <w:szCs w:val="22"/>
        </w:rPr>
        <w:t>é</w:t>
      </w:r>
      <w:r w:rsidRPr="00675326">
        <w:rPr>
          <w:szCs w:val="22"/>
        </w:rPr>
        <w:t>caires et celle de déménager l'ambassade canadienne en Israël pour la localiser dorén</w:t>
      </w:r>
      <w:r w:rsidRPr="00675326">
        <w:rPr>
          <w:szCs w:val="22"/>
        </w:rPr>
        <w:t>a</w:t>
      </w:r>
      <w:r w:rsidRPr="00675326">
        <w:rPr>
          <w:szCs w:val="22"/>
        </w:rPr>
        <w:t>vant à Jérusalem... Très v</w:t>
      </w:r>
      <w:r w:rsidRPr="00675326">
        <w:rPr>
          <w:szCs w:val="22"/>
        </w:rPr>
        <w:t>i</w:t>
      </w:r>
      <w:r w:rsidRPr="00675326">
        <w:rPr>
          <w:szCs w:val="22"/>
        </w:rPr>
        <w:t>te, par ailleurs, la constitution d'un Conseil des ministres restreint suscita des querelles internes dont les échos pa</w:t>
      </w:r>
      <w:r w:rsidRPr="00675326">
        <w:rPr>
          <w:szCs w:val="22"/>
        </w:rPr>
        <w:t>r</w:t>
      </w:r>
      <w:r w:rsidRPr="00675326">
        <w:rPr>
          <w:szCs w:val="22"/>
        </w:rPr>
        <w:t>vinrent aux journalistes.</w:t>
      </w:r>
    </w:p>
    <w:p w:rsidR="00AD690E" w:rsidRPr="00675326" w:rsidRDefault="00AD690E" w:rsidP="00AD690E">
      <w:pPr>
        <w:spacing w:before="120" w:after="120"/>
        <w:jc w:val="both"/>
      </w:pPr>
      <w:r w:rsidRPr="00675326">
        <w:rPr>
          <w:szCs w:val="22"/>
        </w:rPr>
        <w:t>Plusieurs mesures du nouveau gouvernement furent cependant bien accueillies, notamment la décision de reconnaître la propriété des pr</w:t>
      </w:r>
      <w:r w:rsidRPr="00675326">
        <w:rPr>
          <w:szCs w:val="22"/>
        </w:rPr>
        <w:t>o</w:t>
      </w:r>
      <w:r w:rsidRPr="00675326">
        <w:rPr>
          <w:szCs w:val="22"/>
        </w:rPr>
        <w:t>vinces sur les ressources naturelles du sous-sol dans les zones marit</w:t>
      </w:r>
      <w:r w:rsidRPr="00675326">
        <w:rPr>
          <w:szCs w:val="22"/>
        </w:rPr>
        <w:t>i</w:t>
      </w:r>
      <w:r w:rsidRPr="00675326">
        <w:rPr>
          <w:szCs w:val="22"/>
        </w:rPr>
        <w:t>mes à l'intérieur des</w:t>
      </w:r>
      <w:r>
        <w:rPr>
          <w:szCs w:val="22"/>
        </w:rPr>
        <w:t xml:space="preserve"> </w:t>
      </w:r>
      <w:r>
        <w:t>[</w:t>
      </w:r>
      <w:r w:rsidRPr="00675326">
        <w:rPr>
          <w:szCs w:val="18"/>
        </w:rPr>
        <w:t>32</w:t>
      </w:r>
      <w:r>
        <w:rPr>
          <w:szCs w:val="18"/>
        </w:rPr>
        <w:t xml:space="preserve">] </w:t>
      </w:r>
      <w:r w:rsidRPr="00675326">
        <w:rPr>
          <w:szCs w:val="22"/>
        </w:rPr>
        <w:t>eaux territoriales canadiennes, celle de ret</w:t>
      </w:r>
      <w:r w:rsidRPr="00675326">
        <w:rPr>
          <w:szCs w:val="22"/>
        </w:rPr>
        <w:t>i</w:t>
      </w:r>
      <w:r w:rsidRPr="00675326">
        <w:rPr>
          <w:szCs w:val="22"/>
        </w:rPr>
        <w:t>rer le gouvernement f</w:t>
      </w:r>
      <w:r w:rsidRPr="00675326">
        <w:rPr>
          <w:szCs w:val="22"/>
        </w:rPr>
        <w:t>é</w:t>
      </w:r>
      <w:r w:rsidRPr="00675326">
        <w:rPr>
          <w:szCs w:val="22"/>
        </w:rPr>
        <w:t>déral du champ des loteries de manière à laisser cette juridiction aux provinces et le règlement de la dispute concernant l'usage du français dans les communications entre aviateurs et contr</w:t>
      </w:r>
      <w:r w:rsidRPr="00675326">
        <w:rPr>
          <w:szCs w:val="22"/>
        </w:rPr>
        <w:t>ô</w:t>
      </w:r>
      <w:r w:rsidRPr="00675326">
        <w:rPr>
          <w:szCs w:val="22"/>
        </w:rPr>
        <w:t>leurs aériens au Québec</w:t>
      </w:r>
      <w:r>
        <w:rPr>
          <w:szCs w:val="22"/>
        </w:rPr>
        <w:t> </w:t>
      </w:r>
      <w:r w:rsidRPr="00857900">
        <w:rPr>
          <w:rStyle w:val="Appelnotedebasdep"/>
        </w:rPr>
        <w:footnoteReference w:id="22"/>
      </w:r>
      <w:r w:rsidRPr="00675326">
        <w:rPr>
          <w:szCs w:val="22"/>
        </w:rPr>
        <w:t>.</w:t>
      </w:r>
    </w:p>
    <w:p w:rsidR="00AD690E" w:rsidRPr="00675326" w:rsidRDefault="00AD690E" w:rsidP="00AD690E">
      <w:pPr>
        <w:spacing w:before="120" w:after="120"/>
        <w:jc w:val="both"/>
      </w:pPr>
      <w:r w:rsidRPr="00675326">
        <w:rPr>
          <w:szCs w:val="22"/>
        </w:rPr>
        <w:t>Le gouvernement de Joe Clark devait par ailleurs prendre des m</w:t>
      </w:r>
      <w:r w:rsidRPr="00675326">
        <w:rPr>
          <w:szCs w:val="22"/>
        </w:rPr>
        <w:t>e</w:t>
      </w:r>
      <w:r w:rsidRPr="00675326">
        <w:rPr>
          <w:szCs w:val="22"/>
        </w:rPr>
        <w:t>sures pour satisfaire les producteurs de pétrole de l'Ouest mais, si po</w:t>
      </w:r>
      <w:r w:rsidRPr="00675326">
        <w:rPr>
          <w:szCs w:val="22"/>
        </w:rPr>
        <w:t>s</w:t>
      </w:r>
      <w:r w:rsidRPr="00675326">
        <w:rPr>
          <w:szCs w:val="22"/>
        </w:rPr>
        <w:t>sible, sans perdre les appuis dont il disposait chez les électeurs du Québec et de l'O</w:t>
      </w:r>
      <w:r w:rsidRPr="00675326">
        <w:rPr>
          <w:szCs w:val="22"/>
        </w:rPr>
        <w:t>n</w:t>
      </w:r>
      <w:r w:rsidRPr="00675326">
        <w:rPr>
          <w:szCs w:val="22"/>
        </w:rPr>
        <w:t>tario. Le soutien des prix du pétrole</w:t>
      </w:r>
      <w:r>
        <w:rPr>
          <w:szCs w:val="22"/>
        </w:rPr>
        <w:t> </w:t>
      </w:r>
      <w:r w:rsidRPr="00857900">
        <w:rPr>
          <w:rStyle w:val="Appelnotedebasdep"/>
        </w:rPr>
        <w:footnoteReference w:id="23"/>
      </w:r>
      <w:r w:rsidRPr="00675326">
        <w:rPr>
          <w:szCs w:val="22"/>
        </w:rPr>
        <w:t>, opéré à l'aide de subventions à l'importation et institué précédemment par le go</w:t>
      </w:r>
      <w:r w:rsidRPr="00675326">
        <w:rPr>
          <w:szCs w:val="22"/>
        </w:rPr>
        <w:t>u</w:t>
      </w:r>
      <w:r w:rsidRPr="00675326">
        <w:rPr>
          <w:szCs w:val="22"/>
        </w:rPr>
        <w:t>vernement de Pierre Trudeau, devait coûter plus d'un milliard de do</w:t>
      </w:r>
      <w:r w:rsidRPr="00675326">
        <w:rPr>
          <w:szCs w:val="22"/>
        </w:rPr>
        <w:t>l</w:t>
      </w:r>
      <w:r w:rsidRPr="00675326">
        <w:rPr>
          <w:szCs w:val="22"/>
        </w:rPr>
        <w:t>lars en 1979, mais la décision de me</w:t>
      </w:r>
      <w:r w:rsidRPr="00675326">
        <w:rPr>
          <w:szCs w:val="22"/>
        </w:rPr>
        <w:t>t</w:t>
      </w:r>
      <w:r w:rsidRPr="00675326">
        <w:rPr>
          <w:szCs w:val="22"/>
        </w:rPr>
        <w:t>tre fin à cette pratique ne pouvait être prise sans sacrifier la pétrochimie québécoise</w:t>
      </w:r>
      <w:r>
        <w:rPr>
          <w:szCs w:val="22"/>
        </w:rPr>
        <w:t> </w:t>
      </w:r>
      <w:r w:rsidRPr="00857900">
        <w:rPr>
          <w:rStyle w:val="Appelnotedebasdep"/>
        </w:rPr>
        <w:footnoteReference w:id="24"/>
      </w:r>
      <w:r w:rsidRPr="00675326">
        <w:rPr>
          <w:szCs w:val="22"/>
        </w:rPr>
        <w:t>. Les mois pass</w:t>
      </w:r>
      <w:r w:rsidRPr="00675326">
        <w:rPr>
          <w:szCs w:val="22"/>
        </w:rPr>
        <w:t>è</w:t>
      </w:r>
      <w:r w:rsidRPr="00675326">
        <w:rPr>
          <w:szCs w:val="22"/>
        </w:rPr>
        <w:t>rent sans que le gouvernement de Joe Clark prenne de décision, même si les coûts budgétaires du programme de subventions augmentaient rapidement (on prévoyait déjà qu'il faudrait débourser près de trois milliards de dollars en 1980).</w:t>
      </w:r>
    </w:p>
    <w:p w:rsidR="00AD690E" w:rsidRPr="00675326" w:rsidRDefault="00AD690E" w:rsidP="00AD690E">
      <w:pPr>
        <w:spacing w:before="120" w:after="120"/>
        <w:jc w:val="both"/>
      </w:pPr>
      <w:r w:rsidRPr="00675326">
        <w:rPr>
          <w:szCs w:val="22"/>
        </w:rPr>
        <w:t>En novembre, alors que le Parti québécois faisait di</w:t>
      </w:r>
      <w:r w:rsidRPr="00675326">
        <w:rPr>
          <w:szCs w:val="22"/>
        </w:rPr>
        <w:t>s</w:t>
      </w:r>
      <w:r w:rsidRPr="00675326">
        <w:rPr>
          <w:szCs w:val="22"/>
        </w:rPr>
        <w:t xml:space="preserve">tribuer partout au Québec son </w:t>
      </w:r>
      <w:r w:rsidRPr="00675326">
        <w:rPr>
          <w:i/>
          <w:iCs/>
          <w:szCs w:val="22"/>
        </w:rPr>
        <w:t>Livre blanc sur la souv</w:t>
      </w:r>
      <w:r w:rsidRPr="00675326">
        <w:rPr>
          <w:i/>
          <w:iCs/>
          <w:szCs w:val="22"/>
        </w:rPr>
        <w:t>e</w:t>
      </w:r>
      <w:r w:rsidRPr="00675326">
        <w:rPr>
          <w:i/>
          <w:iCs/>
          <w:szCs w:val="22"/>
        </w:rPr>
        <w:t xml:space="preserve">raineté-association </w:t>
      </w:r>
      <w:r w:rsidRPr="00675326">
        <w:rPr>
          <w:szCs w:val="22"/>
        </w:rPr>
        <w:t>en vue du référendum constitutionnel promis pour 1980, et alors que le Parti l</w:t>
      </w:r>
      <w:r w:rsidRPr="00675326">
        <w:rPr>
          <w:szCs w:val="22"/>
        </w:rPr>
        <w:t>i</w:t>
      </w:r>
      <w:r w:rsidRPr="00675326">
        <w:rPr>
          <w:szCs w:val="22"/>
        </w:rPr>
        <w:t>béral distanciait le Parti progressiste conservateur dans les sondages (re</w:t>
      </w:r>
      <w:r w:rsidRPr="00675326">
        <w:rPr>
          <w:szCs w:val="22"/>
        </w:rPr>
        <w:t>s</w:t>
      </w:r>
      <w:r w:rsidRPr="00675326">
        <w:rPr>
          <w:szCs w:val="22"/>
        </w:rPr>
        <w:t>pectivement 45</w:t>
      </w:r>
      <w:r>
        <w:rPr>
          <w:szCs w:val="22"/>
        </w:rPr>
        <w:t>%</w:t>
      </w:r>
      <w:r w:rsidRPr="00675326">
        <w:rPr>
          <w:szCs w:val="22"/>
        </w:rPr>
        <w:t xml:space="preserve"> et 30</w:t>
      </w:r>
      <w:r>
        <w:rPr>
          <w:szCs w:val="22"/>
        </w:rPr>
        <w:t>%</w:t>
      </w:r>
      <w:r w:rsidRPr="00675326">
        <w:rPr>
          <w:szCs w:val="22"/>
        </w:rPr>
        <w:t>), Pierre Trudeau démissionna. Pourtant préféré à Joe Clark pour régler le problème con</w:t>
      </w:r>
      <w:r w:rsidRPr="00675326">
        <w:rPr>
          <w:szCs w:val="22"/>
        </w:rPr>
        <w:t>s</w:t>
      </w:r>
      <w:r w:rsidRPr="00675326">
        <w:rPr>
          <w:szCs w:val="22"/>
        </w:rPr>
        <w:t>titutionnel québécois, par les deux tiers des répo</w:t>
      </w:r>
      <w:r w:rsidRPr="00675326">
        <w:rPr>
          <w:szCs w:val="22"/>
        </w:rPr>
        <w:t>n</w:t>
      </w:r>
      <w:r w:rsidRPr="00675326">
        <w:rPr>
          <w:szCs w:val="22"/>
        </w:rPr>
        <w:t>dants interviewés lors des sondages de l'époque, il quittait la politique !</w:t>
      </w:r>
    </w:p>
    <w:p w:rsidR="00AD690E" w:rsidRPr="00675326" w:rsidRDefault="00AD690E" w:rsidP="00AD690E">
      <w:pPr>
        <w:spacing w:before="120" w:after="120"/>
        <w:jc w:val="both"/>
      </w:pPr>
      <w:r w:rsidRPr="00675326">
        <w:rPr>
          <w:szCs w:val="22"/>
        </w:rPr>
        <w:t>C'est avec la conviction que les libéraux n'oseraient pas les défaire à la Chambre des communes puisqu'ils n'avaient plus de chef, que les progressistes conservateurs présentèrent leur budget le 11 décembre 1979. Le 12, les néo</w:t>
      </w:r>
      <w:r>
        <w:rPr>
          <w:szCs w:val="22"/>
        </w:rPr>
        <w:t>-</w:t>
      </w:r>
      <w:r w:rsidRPr="00675326">
        <w:rPr>
          <w:szCs w:val="22"/>
        </w:rPr>
        <w:t>démocrates proposèrent un sous-amendement condamnant le gouvernement. On vota le 13. Il y avait 113 libéraux, 26 néo-démocrates, 133 conservateurs et 5</w:t>
      </w:r>
      <w:r>
        <w:rPr>
          <w:szCs w:val="22"/>
        </w:rPr>
        <w:t xml:space="preserve"> </w:t>
      </w:r>
      <w:r>
        <w:t xml:space="preserve">[33] </w:t>
      </w:r>
      <w:r w:rsidRPr="00675326">
        <w:rPr>
          <w:szCs w:val="22"/>
        </w:rPr>
        <w:t>créditistes. Les créd</w:t>
      </w:r>
      <w:r w:rsidRPr="00675326">
        <w:rPr>
          <w:szCs w:val="22"/>
        </w:rPr>
        <w:t>i</w:t>
      </w:r>
      <w:r w:rsidRPr="00675326">
        <w:rPr>
          <w:szCs w:val="22"/>
        </w:rPr>
        <w:t>tistes s'abstinrent ; même s'ils avaient appuyé le gouvernement, celui-ci aurait été défait puisque 139 opposants s'e</w:t>
      </w:r>
      <w:r w:rsidRPr="00675326">
        <w:rPr>
          <w:szCs w:val="22"/>
        </w:rPr>
        <w:t>x</w:t>
      </w:r>
      <w:r w:rsidRPr="00675326">
        <w:rPr>
          <w:szCs w:val="22"/>
        </w:rPr>
        <w:t>primèrent.</w:t>
      </w:r>
    </w:p>
    <w:p w:rsidR="00AD690E" w:rsidRPr="00675326" w:rsidRDefault="00AD690E" w:rsidP="00AD690E">
      <w:pPr>
        <w:spacing w:before="120" w:after="120"/>
        <w:jc w:val="both"/>
      </w:pPr>
      <w:r w:rsidRPr="00675326">
        <w:rPr>
          <w:szCs w:val="22"/>
        </w:rPr>
        <w:t>Il aurait été possible de revenir sur le vote, comme c</w:t>
      </w:r>
      <w:r w:rsidRPr="00675326">
        <w:rPr>
          <w:szCs w:val="22"/>
        </w:rPr>
        <w:t>e</w:t>
      </w:r>
      <w:r w:rsidRPr="00675326">
        <w:rPr>
          <w:szCs w:val="22"/>
        </w:rPr>
        <w:t>la avait été fait en 1968 par le gouvernement de Lester B. Pearson, défait par l'a</w:t>
      </w:r>
      <w:r w:rsidRPr="00675326">
        <w:rPr>
          <w:szCs w:val="22"/>
        </w:rPr>
        <w:t>b</w:t>
      </w:r>
      <w:r w:rsidRPr="00675326">
        <w:rPr>
          <w:szCs w:val="22"/>
        </w:rPr>
        <w:t>sence de certains de ses membres. Effectivement, en comptant tous les députés, y compris les malades et les absents, on obtenait, d'un côté, 140 l</w:t>
      </w:r>
      <w:r w:rsidRPr="00675326">
        <w:rPr>
          <w:szCs w:val="22"/>
        </w:rPr>
        <w:t>i</w:t>
      </w:r>
      <w:r w:rsidRPr="00675326">
        <w:rPr>
          <w:szCs w:val="22"/>
        </w:rPr>
        <w:t>béraux et néo-démocrates, et de l'autre, 141 conservateurs et créditistes. Cependant, il n'était pas réaliste de revenir sur le vote, d'une part, parce que rien ne garantissait que les progressistes conse</w:t>
      </w:r>
      <w:r w:rsidRPr="00675326">
        <w:rPr>
          <w:szCs w:val="22"/>
        </w:rPr>
        <w:t>r</w:t>
      </w:r>
      <w:r w:rsidRPr="00675326">
        <w:rPr>
          <w:szCs w:val="22"/>
        </w:rPr>
        <w:t>vateurs réussiraient à réunir tous leurs députés et à se réconcilier les créditistes, et d'autre part, parce que le sursis que cette manœuvre a</w:t>
      </w:r>
      <w:r w:rsidRPr="00675326">
        <w:rPr>
          <w:szCs w:val="22"/>
        </w:rPr>
        <w:t>u</w:t>
      </w:r>
      <w:r w:rsidRPr="00675326">
        <w:rPr>
          <w:szCs w:val="22"/>
        </w:rPr>
        <w:t>rait pe</w:t>
      </w:r>
      <w:r w:rsidRPr="00675326">
        <w:rPr>
          <w:szCs w:val="22"/>
        </w:rPr>
        <w:t>r</w:t>
      </w:r>
      <w:r w:rsidRPr="00675326">
        <w:rPr>
          <w:szCs w:val="22"/>
        </w:rPr>
        <w:t>mis n'aurait été que de courte durée.</w:t>
      </w:r>
    </w:p>
    <w:p w:rsidR="00AD690E" w:rsidRPr="00675326" w:rsidRDefault="00AD690E" w:rsidP="00AD690E">
      <w:pPr>
        <w:spacing w:before="120" w:after="120"/>
        <w:jc w:val="both"/>
      </w:pPr>
      <w:r w:rsidRPr="00675326">
        <w:rPr>
          <w:szCs w:val="22"/>
        </w:rPr>
        <w:t>Les électeurs furent appelés aux urnes le 18 février 1980. Pierre Trudeau, naturellement, revint diriger le Pa</w:t>
      </w:r>
      <w:r w:rsidRPr="00675326">
        <w:rPr>
          <w:szCs w:val="22"/>
        </w:rPr>
        <w:t>r</w:t>
      </w:r>
      <w:r w:rsidRPr="00675326">
        <w:rPr>
          <w:szCs w:val="22"/>
        </w:rPr>
        <w:t>ti libéral. Le slogan des libéraux au Québec donna le ton de la campagne électorale : « Une équipe pour ramener le bon sens au pouvoir ».</w:t>
      </w:r>
    </w:p>
    <w:p w:rsidR="00AD690E" w:rsidRPr="00675326" w:rsidRDefault="00AD690E" w:rsidP="00AD690E">
      <w:pPr>
        <w:spacing w:before="120" w:after="120"/>
        <w:jc w:val="both"/>
      </w:pPr>
      <w:r w:rsidRPr="00675326">
        <w:rPr>
          <w:szCs w:val="22"/>
        </w:rPr>
        <w:t>Les électeurs du Québec donnèrent une majorité e</w:t>
      </w:r>
      <w:r w:rsidRPr="00675326">
        <w:rPr>
          <w:szCs w:val="22"/>
        </w:rPr>
        <w:t>x</w:t>
      </w:r>
      <w:r w:rsidRPr="00675326">
        <w:rPr>
          <w:szCs w:val="22"/>
        </w:rPr>
        <w:t>cepti</w:t>
      </w:r>
      <w:r>
        <w:rPr>
          <w:szCs w:val="22"/>
        </w:rPr>
        <w:t>onnelle au Parti libéral : 68,2</w:t>
      </w:r>
      <w:r w:rsidRPr="00675326">
        <w:rPr>
          <w:szCs w:val="22"/>
        </w:rPr>
        <w:t>% des voix et 74 des 75 sièges. Comme à l'habitude, un grand nombre d'éle</w:t>
      </w:r>
      <w:r w:rsidRPr="00675326">
        <w:rPr>
          <w:szCs w:val="22"/>
        </w:rPr>
        <w:t>c</w:t>
      </w:r>
      <w:r w:rsidRPr="00675326">
        <w:rPr>
          <w:szCs w:val="22"/>
        </w:rPr>
        <w:t>teurs du Parti québécois s'abstinrent de voter à ces élections fédérales, contribuant ainsi à amplifier la popularité a</w:t>
      </w:r>
      <w:r w:rsidRPr="00675326">
        <w:rPr>
          <w:szCs w:val="22"/>
        </w:rPr>
        <w:t>p</w:t>
      </w:r>
      <w:r w:rsidRPr="00675326">
        <w:rPr>
          <w:szCs w:val="22"/>
        </w:rPr>
        <w:t>parente de Pierre Trudeau au Québec.</w:t>
      </w:r>
    </w:p>
    <w:p w:rsidR="00AD690E" w:rsidRPr="00675326" w:rsidRDefault="00AD690E" w:rsidP="00AD690E">
      <w:pPr>
        <w:spacing w:before="120" w:after="120"/>
        <w:jc w:val="both"/>
      </w:pPr>
      <w:r w:rsidRPr="00675326">
        <w:rPr>
          <w:szCs w:val="22"/>
        </w:rPr>
        <w:t>En Ontario, les libéraux améliorèrent considérablement leur pos</w:t>
      </w:r>
      <w:r w:rsidRPr="00675326">
        <w:rPr>
          <w:szCs w:val="22"/>
        </w:rPr>
        <w:t>i</w:t>
      </w:r>
      <w:r w:rsidRPr="00675326">
        <w:rPr>
          <w:szCs w:val="22"/>
        </w:rPr>
        <w:t xml:space="preserve">tion comparativement à l'élection de </w:t>
      </w:r>
      <w:r>
        <w:rPr>
          <w:szCs w:val="22"/>
        </w:rPr>
        <w:t>1979 : ils obtinrent près de 42</w:t>
      </w:r>
      <w:r w:rsidRPr="00675326">
        <w:rPr>
          <w:szCs w:val="22"/>
        </w:rPr>
        <w:t>% des suffrages alors qu</w:t>
      </w:r>
      <w:r>
        <w:rPr>
          <w:szCs w:val="22"/>
        </w:rPr>
        <w:t>'ils n'en avaient obtenu que 36</w:t>
      </w:r>
      <w:r w:rsidRPr="00675326">
        <w:rPr>
          <w:szCs w:val="22"/>
        </w:rPr>
        <w:t>% en 1979, et ils remportèrent la victoire dans 52 circonscriptions (32 seulement en 1979) ; dans les provinces de l'Atlantique, ils progressèrent ég</w:t>
      </w:r>
      <w:r w:rsidRPr="00675326">
        <w:rPr>
          <w:szCs w:val="22"/>
        </w:rPr>
        <w:t>a</w:t>
      </w:r>
      <w:r>
        <w:rPr>
          <w:szCs w:val="22"/>
        </w:rPr>
        <w:t>lement, passant de 40% des voix (en 1979) à 45</w:t>
      </w:r>
      <w:r w:rsidRPr="00675326">
        <w:rPr>
          <w:szCs w:val="22"/>
        </w:rPr>
        <w:t>%, et de douze à dix-neuf si</w:t>
      </w:r>
      <w:r w:rsidRPr="00675326">
        <w:rPr>
          <w:szCs w:val="22"/>
        </w:rPr>
        <w:t>è</w:t>
      </w:r>
      <w:r w:rsidRPr="00675326">
        <w:rPr>
          <w:szCs w:val="22"/>
        </w:rPr>
        <w:t>ges. Même si le Parti québécois se préparait pour le référendum con</w:t>
      </w:r>
      <w:r w:rsidRPr="00675326">
        <w:rPr>
          <w:szCs w:val="22"/>
        </w:rPr>
        <w:t>s</w:t>
      </w:r>
      <w:r w:rsidRPr="00675326">
        <w:rPr>
          <w:szCs w:val="22"/>
        </w:rPr>
        <w:t>titutionnel, le plupart des électeurs à l'extérieur du Québec estimèrent, à l'ép</w:t>
      </w:r>
      <w:r w:rsidRPr="00675326">
        <w:rPr>
          <w:szCs w:val="22"/>
        </w:rPr>
        <w:t>o</w:t>
      </w:r>
      <w:r w:rsidRPr="00675326">
        <w:rPr>
          <w:szCs w:val="22"/>
        </w:rPr>
        <w:t>que, que les principaux enjeux de l'élection fédérale se situaient dans le champ de la politique économique (lutte contre l'inflation, le problème du déficit budgétaire) ou dans le domaine des politiques énergétiques 0'exploration et l'exploitation des ressources pétrolières, le prix de l'énergie), et non pas dans le secteur constitutionnel</w:t>
      </w:r>
      <w:r>
        <w:rPr>
          <w:szCs w:val="22"/>
        </w:rPr>
        <w:t> </w:t>
      </w:r>
      <w:r w:rsidRPr="00857900">
        <w:rPr>
          <w:rStyle w:val="Appelnotedebasdep"/>
        </w:rPr>
        <w:footnoteReference w:id="25"/>
      </w:r>
      <w:r w:rsidRPr="00675326">
        <w:rPr>
          <w:szCs w:val="22"/>
        </w:rPr>
        <w:t>.</w:t>
      </w:r>
    </w:p>
    <w:p w:rsidR="00AD690E" w:rsidRPr="00675326" w:rsidRDefault="00AD690E" w:rsidP="00AD690E">
      <w:pPr>
        <w:spacing w:before="120" w:after="120"/>
        <w:jc w:val="both"/>
      </w:pPr>
      <w:r w:rsidRPr="00675326">
        <w:rPr>
          <w:szCs w:val="22"/>
        </w:rPr>
        <w:t>Néanmoins, dès leur retour au pouvoir à Ottawa, les libéraux m</w:t>
      </w:r>
      <w:r w:rsidRPr="00675326">
        <w:rPr>
          <w:szCs w:val="22"/>
        </w:rPr>
        <w:t>i</w:t>
      </w:r>
      <w:r w:rsidRPr="00675326">
        <w:rPr>
          <w:szCs w:val="22"/>
        </w:rPr>
        <w:t>rent leur priorité dans l</w:t>
      </w:r>
      <w:r>
        <w:rPr>
          <w:szCs w:val="22"/>
        </w:rPr>
        <w:t>a</w:t>
      </w:r>
      <w:r w:rsidRPr="00675326">
        <w:rPr>
          <w:szCs w:val="22"/>
        </w:rPr>
        <w:t xml:space="preserve"> défense du fédér</w:t>
      </w:r>
      <w:r w:rsidRPr="00675326">
        <w:rPr>
          <w:szCs w:val="22"/>
        </w:rPr>
        <w:t>a</w:t>
      </w:r>
      <w:r w:rsidRPr="00675326">
        <w:rPr>
          <w:szCs w:val="22"/>
        </w:rPr>
        <w:t>lisme canadien, contre les indépendantistes et souvera</w:t>
      </w:r>
      <w:r w:rsidRPr="00675326">
        <w:rPr>
          <w:szCs w:val="22"/>
        </w:rPr>
        <w:t>i</w:t>
      </w:r>
      <w:r w:rsidRPr="00675326">
        <w:rPr>
          <w:szCs w:val="22"/>
        </w:rPr>
        <w:t>nistes québécois. Le premier ministre lui-même intervint publiquement au cours des dernières semaines de la campagne référendaire. L'action des députés fédéraux s'intensifia d'ailleurs pour culminer au moment même du réf</w:t>
      </w:r>
      <w:r w:rsidRPr="00675326">
        <w:rPr>
          <w:szCs w:val="22"/>
        </w:rPr>
        <w:t>é</w:t>
      </w:r>
      <w:r w:rsidRPr="00675326">
        <w:rPr>
          <w:szCs w:val="22"/>
        </w:rPr>
        <w:t>rendum, le</w:t>
      </w:r>
      <w:r>
        <w:rPr>
          <w:szCs w:val="22"/>
        </w:rPr>
        <w:t xml:space="preserve"> </w:t>
      </w:r>
      <w:r>
        <w:t>[</w:t>
      </w:r>
      <w:r w:rsidRPr="00675326">
        <w:rPr>
          <w:szCs w:val="18"/>
        </w:rPr>
        <w:t>34</w:t>
      </w:r>
      <w:r>
        <w:rPr>
          <w:szCs w:val="18"/>
        </w:rPr>
        <w:t xml:space="preserve">] </w:t>
      </w:r>
      <w:r w:rsidRPr="00675326">
        <w:rPr>
          <w:szCs w:val="22"/>
        </w:rPr>
        <w:t>20 mai 1980. Alors que les sondages du début de l'a</w:t>
      </w:r>
      <w:r w:rsidRPr="00675326">
        <w:rPr>
          <w:szCs w:val="22"/>
        </w:rPr>
        <w:t>n</w:t>
      </w:r>
      <w:r w:rsidRPr="00675326">
        <w:rPr>
          <w:szCs w:val="22"/>
        </w:rPr>
        <w:t>née 1980 avaient laissé penser que l'option souverainiste était préférée par une majorité des électeurs québécois, les résultats de la consultation, le 20 mai au soir, indiqu</w:t>
      </w:r>
      <w:r w:rsidRPr="00675326">
        <w:rPr>
          <w:szCs w:val="22"/>
        </w:rPr>
        <w:t>è</w:t>
      </w:r>
      <w:r w:rsidRPr="00675326">
        <w:rPr>
          <w:szCs w:val="22"/>
        </w:rPr>
        <w:t>rent que 60</w:t>
      </w:r>
      <w:r>
        <w:rPr>
          <w:szCs w:val="22"/>
        </w:rPr>
        <w:t>%</w:t>
      </w:r>
      <w:r w:rsidRPr="00675326">
        <w:rPr>
          <w:szCs w:val="22"/>
        </w:rPr>
        <w:t xml:space="preserve"> des votants s'étaient prononcés contre le projet de souveraineté-association du Parti québécois</w:t>
      </w:r>
      <w:r>
        <w:rPr>
          <w:szCs w:val="22"/>
        </w:rPr>
        <w:t> </w:t>
      </w:r>
      <w:r w:rsidRPr="00857900">
        <w:rPr>
          <w:rStyle w:val="Appelnotedebasdep"/>
        </w:rPr>
        <w:footnoteReference w:id="26"/>
      </w:r>
      <w:r w:rsidRPr="00675326">
        <w:rPr>
          <w:szCs w:val="22"/>
        </w:rPr>
        <w:t>.</w:t>
      </w:r>
    </w:p>
    <w:p w:rsidR="00AD690E" w:rsidRPr="00675326" w:rsidRDefault="00AD690E" w:rsidP="00AD690E">
      <w:pPr>
        <w:spacing w:before="120" w:after="120"/>
        <w:jc w:val="both"/>
      </w:pPr>
      <w:r w:rsidRPr="00675326">
        <w:rPr>
          <w:szCs w:val="22"/>
        </w:rPr>
        <w:t>Ayant vaincu le Parti québécois au référendum const</w:t>
      </w:r>
      <w:r w:rsidRPr="00675326">
        <w:rPr>
          <w:szCs w:val="22"/>
        </w:rPr>
        <w:t>i</w:t>
      </w:r>
      <w:r w:rsidRPr="00675326">
        <w:rPr>
          <w:szCs w:val="22"/>
        </w:rPr>
        <w:t>tutionnel du 20 mai 1980, Pierre Trudeau, fort de sa vi</w:t>
      </w:r>
      <w:r w:rsidRPr="00675326">
        <w:rPr>
          <w:szCs w:val="22"/>
        </w:rPr>
        <w:t>c</w:t>
      </w:r>
      <w:r w:rsidRPr="00675326">
        <w:rPr>
          <w:szCs w:val="22"/>
        </w:rPr>
        <w:t>toire, entreprit ensuite de réaliser l'accord des provinces sur un nouveau projet de charte const</w:t>
      </w:r>
      <w:r w:rsidRPr="00675326">
        <w:rPr>
          <w:szCs w:val="22"/>
        </w:rPr>
        <w:t>i</w:t>
      </w:r>
      <w:r w:rsidRPr="00675326">
        <w:rPr>
          <w:szCs w:val="22"/>
        </w:rPr>
        <w:t>tutionnelle.</w:t>
      </w:r>
    </w:p>
    <w:p w:rsidR="00AD690E" w:rsidRPr="00675326" w:rsidRDefault="00AD690E" w:rsidP="00AD690E">
      <w:pPr>
        <w:spacing w:before="120" w:after="120"/>
        <w:jc w:val="both"/>
      </w:pPr>
      <w:r w:rsidRPr="00675326">
        <w:rPr>
          <w:szCs w:val="22"/>
        </w:rPr>
        <w:t>N'ayant pu obtenir jusqu'alors l'approbation du Québec sur les te</w:t>
      </w:r>
      <w:r w:rsidRPr="00675326">
        <w:rPr>
          <w:szCs w:val="22"/>
        </w:rPr>
        <w:t>x</w:t>
      </w:r>
      <w:r w:rsidRPr="00675326">
        <w:rPr>
          <w:szCs w:val="22"/>
        </w:rPr>
        <w:t>tes proposés, le gouvernement imagina une stratégie lui permettant de réaliser l'accord souhaité en dépit du Québec. Cette stratégie, heure</w:t>
      </w:r>
      <w:r w:rsidRPr="00675326">
        <w:rPr>
          <w:szCs w:val="22"/>
        </w:rPr>
        <w:t>u</w:t>
      </w:r>
      <w:r w:rsidRPr="00675326">
        <w:rPr>
          <w:szCs w:val="22"/>
        </w:rPr>
        <w:t>sement soutenue par les tribunaux</w:t>
      </w:r>
      <w:r>
        <w:rPr>
          <w:szCs w:val="22"/>
        </w:rPr>
        <w:t> </w:t>
      </w:r>
      <w:r w:rsidRPr="00857900">
        <w:rPr>
          <w:rStyle w:val="Appelnotedebasdep"/>
        </w:rPr>
        <w:footnoteReference w:id="27"/>
      </w:r>
      <w:r w:rsidRPr="00675326">
        <w:rPr>
          <w:szCs w:val="22"/>
        </w:rPr>
        <w:t>, porta ses fruits et, par la procl</w:t>
      </w:r>
      <w:r w:rsidRPr="00675326">
        <w:rPr>
          <w:szCs w:val="22"/>
        </w:rPr>
        <w:t>a</w:t>
      </w:r>
      <w:r w:rsidRPr="00675326">
        <w:rPr>
          <w:szCs w:val="22"/>
        </w:rPr>
        <w:t xml:space="preserve">mation de la nouvelle </w:t>
      </w:r>
      <w:r w:rsidRPr="00675326">
        <w:rPr>
          <w:i/>
          <w:iCs/>
          <w:szCs w:val="22"/>
        </w:rPr>
        <w:t xml:space="preserve">Loi constitutionnelle </w:t>
      </w:r>
      <w:r w:rsidRPr="00675326">
        <w:rPr>
          <w:szCs w:val="22"/>
        </w:rPr>
        <w:t>du 17 avril 1982, la fédér</w:t>
      </w:r>
      <w:r w:rsidRPr="00675326">
        <w:rPr>
          <w:szCs w:val="22"/>
        </w:rPr>
        <w:t>a</w:t>
      </w:r>
      <w:r w:rsidRPr="00675326">
        <w:rPr>
          <w:szCs w:val="22"/>
        </w:rPr>
        <w:t xml:space="preserve">tion canadienne fut enfin dotée d'une constitution comprenant une </w:t>
      </w:r>
      <w:r w:rsidRPr="00675326">
        <w:rPr>
          <w:i/>
          <w:iCs/>
          <w:szCs w:val="22"/>
        </w:rPr>
        <w:t>Charte des droits et libertés</w:t>
      </w:r>
      <w:r>
        <w:rPr>
          <w:iCs/>
          <w:szCs w:val="22"/>
        </w:rPr>
        <w:t> </w:t>
      </w:r>
      <w:r w:rsidRPr="00857900">
        <w:rPr>
          <w:rStyle w:val="Appelnotedebasdep"/>
          <w:iCs/>
        </w:rPr>
        <w:footnoteReference w:id="28"/>
      </w:r>
      <w:r w:rsidRPr="00675326">
        <w:rPr>
          <w:i/>
          <w:iCs/>
          <w:szCs w:val="22"/>
        </w:rPr>
        <w:t xml:space="preserve">, </w:t>
      </w:r>
      <w:r w:rsidRPr="00675326">
        <w:rPr>
          <w:szCs w:val="22"/>
        </w:rPr>
        <w:t>une con</w:t>
      </w:r>
      <w:r w:rsidRPr="00675326">
        <w:rPr>
          <w:szCs w:val="22"/>
        </w:rPr>
        <w:t>s</w:t>
      </w:r>
      <w:r w:rsidRPr="00675326">
        <w:rPr>
          <w:szCs w:val="22"/>
        </w:rPr>
        <w:t>titution dont les modalités de modification, au Canada, étaient dorénavant clairement établies</w:t>
      </w:r>
      <w:r>
        <w:rPr>
          <w:szCs w:val="22"/>
        </w:rPr>
        <w:t> </w:t>
      </w:r>
      <w:r w:rsidRPr="00857900">
        <w:rPr>
          <w:rStyle w:val="Appelnotedebasdep"/>
        </w:rPr>
        <w:footnoteReference w:id="29"/>
      </w:r>
      <w:r w:rsidRPr="00675326">
        <w:rPr>
          <w:szCs w:val="22"/>
        </w:rPr>
        <w:t>.</w:t>
      </w:r>
    </w:p>
    <w:p w:rsidR="00AD690E" w:rsidRPr="00675326" w:rsidRDefault="00AD690E" w:rsidP="00AD690E">
      <w:pPr>
        <w:spacing w:before="120" w:after="120"/>
        <w:jc w:val="both"/>
      </w:pPr>
      <w:r w:rsidRPr="00675326">
        <w:rPr>
          <w:szCs w:val="22"/>
        </w:rPr>
        <w:t>Pierre Trudeau avait depuis longtemps annoncé qu'il démissionn</w:t>
      </w:r>
      <w:r w:rsidRPr="00675326">
        <w:rPr>
          <w:szCs w:val="22"/>
        </w:rPr>
        <w:t>e</w:t>
      </w:r>
      <w:r w:rsidRPr="00675326">
        <w:rPr>
          <w:szCs w:val="22"/>
        </w:rPr>
        <w:t>rait dès que ce projet constitutionnel aurait été accepté et la perspect</w:t>
      </w:r>
      <w:r w:rsidRPr="00675326">
        <w:rPr>
          <w:szCs w:val="22"/>
        </w:rPr>
        <w:t>i</w:t>
      </w:r>
      <w:r w:rsidRPr="00675326">
        <w:rPr>
          <w:szCs w:val="22"/>
        </w:rPr>
        <w:t>ve de sa démission ne fit bientôt plus aucun doute, car les résultats des sondages, déjà mauvais à la fin de 1980, étaient, en 1983, désastreux.</w:t>
      </w:r>
    </w:p>
    <w:p w:rsidR="00AD690E" w:rsidRPr="00675326" w:rsidRDefault="00AD690E" w:rsidP="00AD690E">
      <w:pPr>
        <w:spacing w:before="120" w:after="120"/>
        <w:jc w:val="both"/>
      </w:pPr>
      <w:r w:rsidRPr="00675326">
        <w:rPr>
          <w:szCs w:val="22"/>
        </w:rPr>
        <w:t>L'appui aux libéraux fédéraux avait décliné progressivement d</w:t>
      </w:r>
      <w:r w:rsidRPr="00675326">
        <w:rPr>
          <w:szCs w:val="22"/>
        </w:rPr>
        <w:t>e</w:t>
      </w:r>
      <w:r w:rsidRPr="00675326">
        <w:rPr>
          <w:szCs w:val="22"/>
        </w:rPr>
        <w:t>puis l'été 1980 et les résultats des sondages laissaient présager une défaite complète</w:t>
      </w:r>
      <w:r>
        <w:rPr>
          <w:szCs w:val="22"/>
        </w:rPr>
        <w:t> </w:t>
      </w:r>
      <w:r w:rsidRPr="00857900">
        <w:rPr>
          <w:rStyle w:val="Appelnotedebasdep"/>
        </w:rPr>
        <w:footnoteReference w:id="30"/>
      </w:r>
      <w:r w:rsidRPr="00675326">
        <w:rPr>
          <w:szCs w:val="22"/>
        </w:rPr>
        <w:t>. Les explications de la chute de popularité des l</w:t>
      </w:r>
      <w:r w:rsidRPr="00675326">
        <w:rPr>
          <w:szCs w:val="22"/>
        </w:rPr>
        <w:t>i</w:t>
      </w:r>
      <w:r w:rsidRPr="00675326">
        <w:rPr>
          <w:szCs w:val="22"/>
        </w:rPr>
        <w:t>béraux entre 1980 et 1984 ressemblaient à celles qui avaient été ava</w:t>
      </w:r>
      <w:r w:rsidRPr="00675326">
        <w:rPr>
          <w:szCs w:val="22"/>
        </w:rPr>
        <w:t>n</w:t>
      </w:r>
      <w:r w:rsidRPr="00675326">
        <w:rPr>
          <w:szCs w:val="22"/>
        </w:rPr>
        <w:t>cées pour expliquer le recul de 1975 : d'abord l'inflation et les m</w:t>
      </w:r>
      <w:r w:rsidRPr="00675326">
        <w:rPr>
          <w:szCs w:val="22"/>
        </w:rPr>
        <w:t>e</w:t>
      </w:r>
      <w:r w:rsidRPr="00675326">
        <w:rPr>
          <w:szCs w:val="22"/>
        </w:rPr>
        <w:t>sures adoptées pour lutter contre l'inflation (le taux</w:t>
      </w:r>
      <w:r>
        <w:rPr>
          <w:szCs w:val="22"/>
        </w:rPr>
        <w:t xml:space="preserve"> </w:t>
      </w:r>
      <w:r>
        <w:t xml:space="preserve">[35] </w:t>
      </w:r>
      <w:r w:rsidRPr="00675326">
        <w:rPr>
          <w:szCs w:val="22"/>
        </w:rPr>
        <w:t>préférentiel au C</w:t>
      </w:r>
      <w:r w:rsidRPr="00675326">
        <w:rPr>
          <w:szCs w:val="22"/>
        </w:rPr>
        <w:t>a</w:t>
      </w:r>
      <w:r w:rsidRPr="00675326">
        <w:rPr>
          <w:szCs w:val="22"/>
        </w:rPr>
        <w:t>nada avait atteint le taux record de 18,25</w:t>
      </w:r>
      <w:r>
        <w:rPr>
          <w:szCs w:val="22"/>
        </w:rPr>
        <w:t>%</w:t>
      </w:r>
      <w:r w:rsidRPr="00675326">
        <w:rPr>
          <w:szCs w:val="22"/>
        </w:rPr>
        <w:t xml:space="preserve"> en décembre 1980), ensu</w:t>
      </w:r>
      <w:r w:rsidRPr="00675326">
        <w:rPr>
          <w:szCs w:val="22"/>
        </w:rPr>
        <w:t>i</w:t>
      </w:r>
      <w:r w:rsidRPr="00675326">
        <w:rPr>
          <w:szCs w:val="22"/>
        </w:rPr>
        <w:t>te l'énergie (pour pe</w:t>
      </w:r>
      <w:r w:rsidRPr="00675326">
        <w:rPr>
          <w:szCs w:val="22"/>
        </w:rPr>
        <w:t>r</w:t>
      </w:r>
      <w:r w:rsidRPr="00675326">
        <w:rPr>
          <w:szCs w:val="22"/>
        </w:rPr>
        <w:t>mettre à Pétro-Canada d'acheter Pétrofina au printemps 1981, on avait augmenté de 0,08</w:t>
      </w:r>
      <w:r>
        <w:rPr>
          <w:szCs w:val="22"/>
        </w:rPr>
        <w:t> $</w:t>
      </w:r>
      <w:r w:rsidRPr="00675326">
        <w:rPr>
          <w:szCs w:val="22"/>
        </w:rPr>
        <w:t xml:space="preserve"> le prix du baril de pétr</w:t>
      </w:r>
      <w:r w:rsidRPr="00675326">
        <w:rPr>
          <w:szCs w:val="22"/>
        </w:rPr>
        <w:t>o</w:t>
      </w:r>
      <w:r w:rsidRPr="00675326">
        <w:rPr>
          <w:szCs w:val="22"/>
        </w:rPr>
        <w:t>le, et, après bien des tergiversations, en décembre 1983, Jean Chr</w:t>
      </w:r>
      <w:r w:rsidRPr="00675326">
        <w:rPr>
          <w:szCs w:val="22"/>
        </w:rPr>
        <w:t>é</w:t>
      </w:r>
      <w:r w:rsidRPr="00675326">
        <w:rPr>
          <w:szCs w:val="22"/>
        </w:rPr>
        <w:t>tien, nouveau responsable du dossier, avait proposé une nouvelle ve</w:t>
      </w:r>
      <w:r w:rsidRPr="00675326">
        <w:rPr>
          <w:szCs w:val="22"/>
        </w:rPr>
        <w:t>r</w:t>
      </w:r>
      <w:r w:rsidRPr="00675326">
        <w:rPr>
          <w:szCs w:val="22"/>
        </w:rPr>
        <w:t>sion de la politique can</w:t>
      </w:r>
      <w:r w:rsidRPr="00675326">
        <w:rPr>
          <w:szCs w:val="22"/>
        </w:rPr>
        <w:t>a</w:t>
      </w:r>
      <w:r w:rsidRPr="00675326">
        <w:rPr>
          <w:szCs w:val="22"/>
        </w:rPr>
        <w:t>dienne d'énergie qui, comme les précédentes, ne faisait pas l'unanimité), enfin le chômage et les conflits de tr</w:t>
      </w:r>
      <w:r w:rsidRPr="00675326">
        <w:rPr>
          <w:szCs w:val="22"/>
        </w:rPr>
        <w:t>a</w:t>
      </w:r>
      <w:r w:rsidRPr="00675326">
        <w:rPr>
          <w:szCs w:val="22"/>
        </w:rPr>
        <w:t>vail dans le secteur public (les postiers, par exemple, avaient été en grève du 30 juin au 11 août 1981).</w:t>
      </w:r>
    </w:p>
    <w:p w:rsidR="00AD690E" w:rsidRPr="00675326" w:rsidRDefault="00AD690E" w:rsidP="00AD690E">
      <w:pPr>
        <w:spacing w:before="120" w:after="120"/>
        <w:jc w:val="both"/>
      </w:pPr>
      <w:r w:rsidRPr="00675326">
        <w:rPr>
          <w:szCs w:val="22"/>
        </w:rPr>
        <w:t>Trudeau démissionna donc et fut remplacé à la dire</w:t>
      </w:r>
      <w:r w:rsidRPr="00675326">
        <w:rPr>
          <w:szCs w:val="22"/>
        </w:rPr>
        <w:t>c</w:t>
      </w:r>
      <w:r w:rsidRPr="00675326">
        <w:rPr>
          <w:szCs w:val="22"/>
        </w:rPr>
        <w:t>tion du Parti libéral par John Turner, ancien ministre des Finances qui s'était retiré de la politique. John Turner d</w:t>
      </w:r>
      <w:r w:rsidRPr="00675326">
        <w:rPr>
          <w:szCs w:val="22"/>
        </w:rPr>
        <w:t>e</w:t>
      </w:r>
      <w:r w:rsidRPr="00675326">
        <w:rPr>
          <w:szCs w:val="22"/>
        </w:rPr>
        <w:t>vient premier ministre le 30 juin 1984, à temps pour s'installer au pouvoir en prévision d'une élection qui d</w:t>
      </w:r>
      <w:r w:rsidRPr="00675326">
        <w:rPr>
          <w:szCs w:val="22"/>
        </w:rPr>
        <w:t>e</w:t>
      </w:r>
      <w:r w:rsidRPr="00675326">
        <w:rPr>
          <w:szCs w:val="22"/>
        </w:rPr>
        <w:t>vait nécessairement être tenue dès l'automne 1984, car l'élection pr</w:t>
      </w:r>
      <w:r w:rsidRPr="00675326">
        <w:rPr>
          <w:szCs w:val="22"/>
        </w:rPr>
        <w:t>é</w:t>
      </w:r>
      <w:r w:rsidRPr="00675326">
        <w:rPr>
          <w:szCs w:val="22"/>
        </w:rPr>
        <w:t>cédente avait eu lieu en février 1980, en plein h</w:t>
      </w:r>
      <w:r w:rsidRPr="00675326">
        <w:rPr>
          <w:szCs w:val="22"/>
        </w:rPr>
        <w:t>i</w:t>
      </w:r>
      <w:r w:rsidRPr="00675326">
        <w:rPr>
          <w:szCs w:val="22"/>
        </w:rPr>
        <w:t>ver.</w:t>
      </w:r>
    </w:p>
    <w:p w:rsidR="00AD690E" w:rsidRPr="00675326" w:rsidRDefault="00AD690E" w:rsidP="00AD690E">
      <w:pPr>
        <w:spacing w:before="120" w:after="120"/>
        <w:jc w:val="both"/>
      </w:pPr>
      <w:r w:rsidRPr="00675326">
        <w:rPr>
          <w:szCs w:val="22"/>
        </w:rPr>
        <w:t>Déjà l'année précédente, Joe Clark, le chef progressiste conserv</w:t>
      </w:r>
      <w:r w:rsidRPr="00675326">
        <w:rPr>
          <w:szCs w:val="22"/>
        </w:rPr>
        <w:t>a</w:t>
      </w:r>
      <w:r w:rsidRPr="00675326">
        <w:rPr>
          <w:szCs w:val="22"/>
        </w:rPr>
        <w:t>teur, avait été forcé de mettre sa fonction en jeu et il avait été lui-même remplacé, à la direction du Parti progressiste conservateur, par un Québécois, Brian Mulroney</w:t>
      </w:r>
      <w:r>
        <w:rPr>
          <w:szCs w:val="22"/>
        </w:rPr>
        <w:t> </w:t>
      </w:r>
      <w:r w:rsidRPr="00857900">
        <w:rPr>
          <w:rStyle w:val="Appelnotedebasdep"/>
        </w:rPr>
        <w:footnoteReference w:id="31"/>
      </w:r>
      <w:r w:rsidRPr="00675326">
        <w:rPr>
          <w:szCs w:val="22"/>
        </w:rPr>
        <w:t>.</w:t>
      </w:r>
    </w:p>
    <w:p w:rsidR="00AD690E" w:rsidRDefault="00AD690E" w:rsidP="00AD690E">
      <w:pPr>
        <w:spacing w:before="120" w:after="120"/>
        <w:jc w:val="both"/>
        <w:rPr>
          <w:szCs w:val="22"/>
        </w:rPr>
      </w:pPr>
      <w:r w:rsidRPr="00675326">
        <w:rPr>
          <w:szCs w:val="22"/>
        </w:rPr>
        <w:t>Aux élections de septembre 1984, c'est deux nouveaux chefs qui représentaient les deux grands partis canadiens. Brian Mulroney était progressiste conservateur, ce qui l'avantageait à l'extérieur du Qu</w:t>
      </w:r>
      <w:r w:rsidRPr="00675326">
        <w:rPr>
          <w:szCs w:val="22"/>
        </w:rPr>
        <w:t>é</w:t>
      </w:r>
      <w:r w:rsidRPr="00675326">
        <w:rPr>
          <w:szCs w:val="22"/>
        </w:rPr>
        <w:t>bec ; il était Québécois, ce qui l'avantageait au Québec. Il remporta la plus éclatante victoire qu'aient connue les électeurs canadiens d</w:t>
      </w:r>
      <w:r w:rsidRPr="00675326">
        <w:rPr>
          <w:szCs w:val="22"/>
        </w:rPr>
        <w:t>e</w:t>
      </w:r>
      <w:r w:rsidRPr="00675326">
        <w:rPr>
          <w:szCs w:val="22"/>
        </w:rPr>
        <w:t>puis la victoire de John Diefenbaker en 1958, ou celle de l'équipe de coal</w:t>
      </w:r>
      <w:r w:rsidRPr="00675326">
        <w:rPr>
          <w:szCs w:val="22"/>
        </w:rPr>
        <w:t>i</w:t>
      </w:r>
      <w:r w:rsidRPr="00675326">
        <w:rPr>
          <w:szCs w:val="22"/>
        </w:rPr>
        <w:t>tion de Robert Borden en 1917.</w:t>
      </w:r>
    </w:p>
    <w:p w:rsidR="00AD690E" w:rsidRPr="00675326" w:rsidRDefault="00AD690E" w:rsidP="00AD690E">
      <w:pPr>
        <w:pStyle w:val="c"/>
      </w:pPr>
      <w:r>
        <w:t>*  *  *</w:t>
      </w:r>
    </w:p>
    <w:p w:rsidR="00AD690E" w:rsidRPr="00675326" w:rsidRDefault="00AD690E" w:rsidP="00AD690E">
      <w:pPr>
        <w:spacing w:before="120" w:after="120"/>
        <w:jc w:val="both"/>
      </w:pPr>
      <w:r w:rsidRPr="00675326">
        <w:rPr>
          <w:szCs w:val="22"/>
        </w:rPr>
        <w:t>Ainsi prenait fin, le 4 septembre 1984, vingt et une années de po</w:t>
      </w:r>
      <w:r w:rsidRPr="00675326">
        <w:rPr>
          <w:szCs w:val="22"/>
        </w:rPr>
        <w:t>u</w:t>
      </w:r>
      <w:r w:rsidRPr="00675326">
        <w:rPr>
          <w:szCs w:val="22"/>
        </w:rPr>
        <w:t>voir libéral à Ottawa.</w:t>
      </w:r>
    </w:p>
    <w:p w:rsidR="00AD690E" w:rsidRPr="00675326" w:rsidRDefault="00AD690E" w:rsidP="00AD690E">
      <w:pPr>
        <w:spacing w:before="120" w:after="120"/>
        <w:jc w:val="both"/>
      </w:pPr>
      <w:r w:rsidRPr="00675326">
        <w:rPr>
          <w:szCs w:val="22"/>
        </w:rPr>
        <w:t>Au cours de ces années, la question du Québec avait été prioritaire aux yeux des dirigeants libéraux à Ottawa, même si, du point de vue des électeurs canadiens, il y avait d'autres priorités. Les actions entr</w:t>
      </w:r>
      <w:r w:rsidRPr="00675326">
        <w:rPr>
          <w:szCs w:val="22"/>
        </w:rPr>
        <w:t>e</w:t>
      </w:r>
      <w:r w:rsidRPr="00675326">
        <w:rPr>
          <w:szCs w:val="22"/>
        </w:rPr>
        <w:t>prises par les d</w:t>
      </w:r>
      <w:r w:rsidRPr="00675326">
        <w:rPr>
          <w:szCs w:val="22"/>
        </w:rPr>
        <w:t>i</w:t>
      </w:r>
      <w:r w:rsidRPr="00675326">
        <w:rPr>
          <w:szCs w:val="22"/>
        </w:rPr>
        <w:t>rigeants libéraux pour donner aux francophones un accès, en français, aux services de l'administration fédérale f</w:t>
      </w:r>
      <w:r w:rsidRPr="00675326">
        <w:rPr>
          <w:szCs w:val="22"/>
        </w:rPr>
        <w:t>u</w:t>
      </w:r>
      <w:r w:rsidRPr="00675326">
        <w:rPr>
          <w:szCs w:val="22"/>
        </w:rPr>
        <w:t>rent clairvoyantes et courageuses puisqu'elles allaient à rencontre d'une très longue tradition d'anglicisation. De même, il y avait beaucoup de courage et de clairvoyance dans la stratégie élaborée par ces</w:t>
      </w:r>
      <w:r>
        <w:rPr>
          <w:szCs w:val="22"/>
        </w:rPr>
        <w:t xml:space="preserve"> </w:t>
      </w:r>
      <w:r>
        <w:t>[</w:t>
      </w:r>
      <w:r w:rsidRPr="00675326">
        <w:rPr>
          <w:szCs w:val="22"/>
        </w:rPr>
        <w:t>36</w:t>
      </w:r>
      <w:r>
        <w:rPr>
          <w:szCs w:val="22"/>
        </w:rPr>
        <w:t xml:space="preserve">] </w:t>
      </w:r>
      <w:r w:rsidRPr="00675326">
        <w:rPr>
          <w:szCs w:val="22"/>
        </w:rPr>
        <w:t>dir</w:t>
      </w:r>
      <w:r w:rsidRPr="00675326">
        <w:rPr>
          <w:szCs w:val="22"/>
        </w:rPr>
        <w:t>i</w:t>
      </w:r>
      <w:r w:rsidRPr="00675326">
        <w:rPr>
          <w:szCs w:val="22"/>
        </w:rPr>
        <w:t>geants libéraux visant à localiser au Québec une part des dépenses f</w:t>
      </w:r>
      <w:r w:rsidRPr="00675326">
        <w:rPr>
          <w:szCs w:val="22"/>
        </w:rPr>
        <w:t>é</w:t>
      </w:r>
      <w:r w:rsidRPr="00675326">
        <w:rPr>
          <w:szCs w:val="22"/>
        </w:rPr>
        <w:t>dérales équivalente à la part des r</w:t>
      </w:r>
      <w:r w:rsidRPr="00675326">
        <w:rPr>
          <w:szCs w:val="22"/>
        </w:rPr>
        <w:t>e</w:t>
      </w:r>
      <w:r w:rsidRPr="00675326">
        <w:rPr>
          <w:szCs w:val="22"/>
        </w:rPr>
        <w:t>cet</w:t>
      </w:r>
      <w:r>
        <w:rPr>
          <w:szCs w:val="22"/>
        </w:rPr>
        <w:t>tes fiscales fédérales originales</w:t>
      </w:r>
      <w:r w:rsidRPr="00675326">
        <w:rPr>
          <w:szCs w:val="22"/>
        </w:rPr>
        <w:t xml:space="preserve"> du Québec. Cette str</w:t>
      </w:r>
      <w:r w:rsidRPr="00675326">
        <w:rPr>
          <w:szCs w:val="22"/>
        </w:rPr>
        <w:t>a</w:t>
      </w:r>
      <w:r w:rsidRPr="00675326">
        <w:rPr>
          <w:szCs w:val="22"/>
        </w:rPr>
        <w:t>tégie pro</w:t>
      </w:r>
      <w:r>
        <w:rPr>
          <w:szCs w:val="22"/>
        </w:rPr>
        <w:t>-</w:t>
      </w:r>
      <w:r w:rsidRPr="00675326">
        <w:rPr>
          <w:szCs w:val="22"/>
        </w:rPr>
        <w:t>québécoise était en vérité une stratégie pro</w:t>
      </w:r>
      <w:r>
        <w:rPr>
          <w:szCs w:val="22"/>
        </w:rPr>
        <w:t>-</w:t>
      </w:r>
      <w:r w:rsidRPr="00675326">
        <w:rPr>
          <w:szCs w:val="22"/>
        </w:rPr>
        <w:t>can</w:t>
      </w:r>
      <w:r w:rsidRPr="00675326">
        <w:rPr>
          <w:szCs w:val="22"/>
        </w:rPr>
        <w:t>a</w:t>
      </w:r>
      <w:r w:rsidRPr="00675326">
        <w:rPr>
          <w:szCs w:val="22"/>
        </w:rPr>
        <w:t>dienne, car elle visait à retirer aux francophones du Québec le motif d'une éventuelle sécession du Québec. Elle fut pourtant conte</w:t>
      </w:r>
      <w:r w:rsidRPr="00675326">
        <w:rPr>
          <w:szCs w:val="22"/>
        </w:rPr>
        <w:t>s</w:t>
      </w:r>
      <w:r w:rsidRPr="00675326">
        <w:rPr>
          <w:szCs w:val="22"/>
        </w:rPr>
        <w:t>tée avec vigueur par les porte-parole des électeurs non qu</w:t>
      </w:r>
      <w:r w:rsidRPr="00675326">
        <w:rPr>
          <w:szCs w:val="22"/>
        </w:rPr>
        <w:t>é</w:t>
      </w:r>
      <w:r w:rsidRPr="00675326">
        <w:rPr>
          <w:szCs w:val="22"/>
        </w:rPr>
        <w:t>bécois, car elle allait dans un sens diamétralement opposé à leurs int</w:t>
      </w:r>
      <w:r w:rsidRPr="00675326">
        <w:rPr>
          <w:szCs w:val="22"/>
        </w:rPr>
        <w:t>é</w:t>
      </w:r>
      <w:r w:rsidRPr="00675326">
        <w:rPr>
          <w:szCs w:val="22"/>
        </w:rPr>
        <w:t>rêts à court terme et contredisait une tendance qui n'avait fait que s'alourdir au cours des années précédentes.</w:t>
      </w:r>
    </w:p>
    <w:p w:rsidR="00AD690E" w:rsidRPr="00675326" w:rsidRDefault="00AD690E" w:rsidP="00AD690E">
      <w:pPr>
        <w:spacing w:before="120" w:after="120"/>
        <w:jc w:val="both"/>
      </w:pPr>
      <w:r w:rsidRPr="00675326">
        <w:rPr>
          <w:szCs w:val="22"/>
        </w:rPr>
        <w:t>La question du Québec, au moment de l'accession de Lester B. Pearson au pouvoir, était déjà préoccupante, des bombes ayant co</w:t>
      </w:r>
      <w:r w:rsidRPr="00675326">
        <w:rPr>
          <w:szCs w:val="22"/>
        </w:rPr>
        <w:t>m</w:t>
      </w:r>
      <w:r w:rsidRPr="00675326">
        <w:rPr>
          <w:szCs w:val="22"/>
        </w:rPr>
        <w:t>mencé à ponctuer les revendications des indépendantistes québécois. Vingt ans plus tard, les choses s'étaient profondément transformées, cette que</w:t>
      </w:r>
      <w:r w:rsidRPr="00675326">
        <w:rPr>
          <w:szCs w:val="22"/>
        </w:rPr>
        <w:t>s</w:t>
      </w:r>
      <w:r w:rsidRPr="00675326">
        <w:rPr>
          <w:szCs w:val="22"/>
        </w:rPr>
        <w:t>tion restait toujours en suspens.</w:t>
      </w:r>
    </w:p>
    <w:p w:rsidR="00AD690E" w:rsidRPr="00675326" w:rsidRDefault="00AD690E" w:rsidP="00AD690E">
      <w:pPr>
        <w:spacing w:before="120" w:after="120"/>
        <w:jc w:val="both"/>
      </w:pPr>
      <w:r w:rsidRPr="00675326">
        <w:rPr>
          <w:szCs w:val="22"/>
        </w:rPr>
        <w:t>Curieusement, c'est grâce aux électeurs francophones que les lib</w:t>
      </w:r>
      <w:r w:rsidRPr="00675326">
        <w:rPr>
          <w:szCs w:val="22"/>
        </w:rPr>
        <w:t>é</w:t>
      </w:r>
      <w:r w:rsidRPr="00675326">
        <w:rPr>
          <w:szCs w:val="22"/>
        </w:rPr>
        <w:t>raux ont été portés au pouvoir et y sont restés. Si les électeurs franc</w:t>
      </w:r>
      <w:r w:rsidRPr="00675326">
        <w:rPr>
          <w:szCs w:val="22"/>
        </w:rPr>
        <w:t>o</w:t>
      </w:r>
      <w:r w:rsidRPr="00675326">
        <w:rPr>
          <w:szCs w:val="22"/>
        </w:rPr>
        <w:t>phones avaient voté comme les électeurs anglophones lors des éle</w:t>
      </w:r>
      <w:r w:rsidRPr="00675326">
        <w:rPr>
          <w:szCs w:val="22"/>
        </w:rPr>
        <w:t>c</w:t>
      </w:r>
      <w:r w:rsidRPr="00675326">
        <w:rPr>
          <w:szCs w:val="22"/>
        </w:rPr>
        <w:t>tions de 1963, 1965, 1972, 1979 et même 1980, c'est le Parti progre</w:t>
      </w:r>
      <w:r w:rsidRPr="00675326">
        <w:rPr>
          <w:szCs w:val="22"/>
        </w:rPr>
        <w:t>s</w:t>
      </w:r>
      <w:r w:rsidRPr="00675326">
        <w:rPr>
          <w:szCs w:val="22"/>
        </w:rPr>
        <w:t>siste conservateur qui aurait gardé le pouvoir.</w:t>
      </w:r>
    </w:p>
    <w:p w:rsidR="00AD690E" w:rsidRPr="00675326" w:rsidRDefault="00AD690E" w:rsidP="00AD690E">
      <w:pPr>
        <w:spacing w:before="120" w:after="120"/>
        <w:jc w:val="both"/>
      </w:pPr>
      <w:r w:rsidRPr="00675326">
        <w:rPr>
          <w:szCs w:val="22"/>
        </w:rPr>
        <w:t>Ainsi, le parti qui a combattu avec succès la volonté souverainiste exprimée par une moitié des Québécois francophones fut le un parti que l'autre moitié des franc</w:t>
      </w:r>
      <w:r w:rsidRPr="00675326">
        <w:rPr>
          <w:szCs w:val="22"/>
        </w:rPr>
        <w:t>o</w:t>
      </w:r>
      <w:r w:rsidRPr="00675326">
        <w:rPr>
          <w:szCs w:val="22"/>
        </w:rPr>
        <w:t>phones contribua à mettre au pouvoir.</w:t>
      </w:r>
    </w:p>
    <w:p w:rsidR="00AD690E" w:rsidRDefault="00AD690E" w:rsidP="00AD690E">
      <w:pPr>
        <w:pStyle w:val="p"/>
      </w:pPr>
      <w:r w:rsidRPr="00675326">
        <w:br w:type="page"/>
      </w:r>
      <w:r>
        <w:t>[37]</w:t>
      </w:r>
    </w:p>
    <w:p w:rsidR="00AD690E"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6" w:name="ere_Liberaux_pt1_texte_02"/>
      <w:r w:rsidRPr="003634E0">
        <w:rPr>
          <w:b/>
          <w:color w:val="000080"/>
          <w:sz w:val="24"/>
        </w:rPr>
        <w:t>PREMIÈRE PARTIE</w:t>
      </w:r>
      <w:r w:rsidRPr="003634E0">
        <w:rPr>
          <w:b/>
          <w:color w:val="000080"/>
          <w:sz w:val="24"/>
        </w:rPr>
        <w:br/>
        <w:t>QUESTIONS POLITIQUES</w:t>
      </w:r>
    </w:p>
    <w:p w:rsidR="00AD690E" w:rsidRPr="00E07116" w:rsidRDefault="00AD690E" w:rsidP="00AD690E">
      <w:pPr>
        <w:jc w:val="both"/>
        <w:rPr>
          <w:szCs w:val="36"/>
        </w:rPr>
      </w:pPr>
    </w:p>
    <w:p w:rsidR="00AD690E" w:rsidRPr="00E07116" w:rsidRDefault="00AD690E" w:rsidP="00AD690E">
      <w:pPr>
        <w:pStyle w:val="planchest"/>
      </w:pPr>
      <w:r>
        <w:t>“La politique étrangère</w:t>
      </w:r>
      <w:r>
        <w:br/>
        <w:t>de Pearson à Trudeau :</w:t>
      </w:r>
      <w:r>
        <w:br/>
        <w:t>Entre l’internationalisme</w:t>
      </w:r>
      <w:r>
        <w:br/>
        <w:t>et le réalisme.”</w:t>
      </w:r>
    </w:p>
    <w:bookmarkEnd w:id="6"/>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André P. DONNEUR</w:t>
      </w:r>
    </w:p>
    <w:p w:rsidR="00AD690E" w:rsidRPr="00957619" w:rsidRDefault="00AD690E" w:rsidP="00AD690E">
      <w:pPr>
        <w:spacing w:before="120"/>
        <w:ind w:firstLine="0"/>
        <w:jc w:val="center"/>
        <w:rPr>
          <w:sz w:val="24"/>
        </w:rPr>
      </w:pPr>
      <w:r w:rsidRPr="00957619">
        <w:rPr>
          <w:sz w:val="24"/>
          <w:szCs w:val="22"/>
        </w:rPr>
        <w:t>Département de science politique</w:t>
      </w:r>
      <w:r w:rsidRPr="00957619">
        <w:rPr>
          <w:sz w:val="24"/>
          <w:szCs w:val="22"/>
        </w:rPr>
        <w:br/>
        <w:t>Un</w:t>
      </w:r>
      <w:r w:rsidRPr="00957619">
        <w:rPr>
          <w:sz w:val="24"/>
          <w:szCs w:val="22"/>
        </w:rPr>
        <w:t>i</w:t>
      </w:r>
      <w:r w:rsidRPr="00957619">
        <w:rPr>
          <w:sz w:val="24"/>
          <w:szCs w:val="22"/>
        </w:rPr>
        <w:t>versité du Québec à Montréal</w:t>
      </w: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675326" w:rsidRDefault="00AD690E" w:rsidP="00AD690E">
      <w:pPr>
        <w:spacing w:before="120" w:after="120"/>
        <w:jc w:val="both"/>
      </w:pPr>
      <w:r w:rsidRPr="00675326">
        <w:rPr>
          <w:szCs w:val="22"/>
        </w:rPr>
        <w:t>Il y a plusieurs paradoxes dans la manière dont la politique étra</w:t>
      </w:r>
      <w:r w:rsidRPr="00675326">
        <w:rPr>
          <w:szCs w:val="22"/>
        </w:rPr>
        <w:t>n</w:t>
      </w:r>
      <w:r w:rsidRPr="00675326">
        <w:rPr>
          <w:szCs w:val="22"/>
        </w:rPr>
        <w:t>gère a été menée durant les vingt ans de po</w:t>
      </w:r>
      <w:r w:rsidRPr="00675326">
        <w:rPr>
          <w:szCs w:val="22"/>
        </w:rPr>
        <w:t>u</w:t>
      </w:r>
      <w:r w:rsidRPr="00675326">
        <w:rPr>
          <w:szCs w:val="22"/>
        </w:rPr>
        <w:t>voir libéral à Ottawa.</w:t>
      </w:r>
    </w:p>
    <w:p w:rsidR="00AD690E" w:rsidRPr="00675326" w:rsidRDefault="00AD690E" w:rsidP="00AD690E">
      <w:pPr>
        <w:spacing w:before="120" w:after="120"/>
        <w:jc w:val="both"/>
      </w:pPr>
      <w:r w:rsidRPr="00675326">
        <w:rPr>
          <w:szCs w:val="22"/>
        </w:rPr>
        <w:t>Tout d'abord, c'est l'homme d'État qui incarnait par excellence l'idée du maintien de la paix, Lester B. Pearson, qui accepta la prése</w:t>
      </w:r>
      <w:r w:rsidRPr="00675326">
        <w:rPr>
          <w:szCs w:val="22"/>
        </w:rPr>
        <w:t>n</w:t>
      </w:r>
      <w:r w:rsidRPr="00675326">
        <w:rPr>
          <w:szCs w:val="22"/>
        </w:rPr>
        <w:t>ce d'armes nucléaires sur le sol canadien ; son futur successeur, qui militait alors aux c</w:t>
      </w:r>
      <w:r w:rsidRPr="00675326">
        <w:rPr>
          <w:szCs w:val="22"/>
        </w:rPr>
        <w:t>ô</w:t>
      </w:r>
      <w:r w:rsidRPr="00675326">
        <w:rPr>
          <w:szCs w:val="22"/>
        </w:rPr>
        <w:t>tés de l'opposition néo-démocrate, n'hésita pas de le qu</w:t>
      </w:r>
      <w:r w:rsidRPr="00675326">
        <w:rPr>
          <w:szCs w:val="22"/>
        </w:rPr>
        <w:t>a</w:t>
      </w:r>
      <w:r w:rsidRPr="00675326">
        <w:rPr>
          <w:szCs w:val="22"/>
        </w:rPr>
        <w:t>lifier fort sévèrement de « défroqué de la paix ».</w:t>
      </w:r>
    </w:p>
    <w:p w:rsidR="00AD690E" w:rsidRPr="00675326" w:rsidRDefault="00AD690E" w:rsidP="00AD690E">
      <w:pPr>
        <w:spacing w:before="120" w:after="120"/>
        <w:jc w:val="both"/>
      </w:pPr>
      <w:r w:rsidRPr="00675326">
        <w:rPr>
          <w:szCs w:val="22"/>
        </w:rPr>
        <w:t>Un autre paradoxe, plus mineur celui-ci, est aussi le fait que Pea</w:t>
      </w:r>
      <w:r w:rsidRPr="00675326">
        <w:rPr>
          <w:szCs w:val="22"/>
        </w:rPr>
        <w:t>r</w:t>
      </w:r>
      <w:r w:rsidRPr="00675326">
        <w:rPr>
          <w:szCs w:val="22"/>
        </w:rPr>
        <w:t>son, le conciliateur par excellence, allait, à propos du Québec, entrer en conflit avec la France gau</w:t>
      </w:r>
      <w:r w:rsidRPr="00675326">
        <w:rPr>
          <w:szCs w:val="22"/>
        </w:rPr>
        <w:t>l</w:t>
      </w:r>
      <w:r w:rsidRPr="00675326">
        <w:rPr>
          <w:szCs w:val="22"/>
        </w:rPr>
        <w:t>liste.</w:t>
      </w:r>
    </w:p>
    <w:p w:rsidR="00AD690E" w:rsidRPr="00675326" w:rsidRDefault="00AD690E" w:rsidP="00AD690E">
      <w:pPr>
        <w:spacing w:before="120" w:after="120"/>
        <w:jc w:val="both"/>
      </w:pPr>
      <w:r w:rsidRPr="00675326">
        <w:rPr>
          <w:szCs w:val="22"/>
        </w:rPr>
        <w:t>Mais le paradoxe majeur fut certainement que Pierre Trudeau, parti avec l'idée bien arrêtée de mener une pol</w:t>
      </w:r>
      <w:r w:rsidRPr="00675326">
        <w:rPr>
          <w:szCs w:val="22"/>
        </w:rPr>
        <w:t>i</w:t>
      </w:r>
      <w:r w:rsidRPr="00675326">
        <w:rPr>
          <w:szCs w:val="22"/>
        </w:rPr>
        <w:t>tique réaliste de défense et de promotion des intérêts c</w:t>
      </w:r>
      <w:r w:rsidRPr="00675326">
        <w:rPr>
          <w:szCs w:val="22"/>
        </w:rPr>
        <w:t>a</w:t>
      </w:r>
      <w:r w:rsidRPr="00675326">
        <w:rPr>
          <w:szCs w:val="22"/>
        </w:rPr>
        <w:t>nadiens, termina sa carrière de premier ministre en apôtre de la paix.</w:t>
      </w:r>
    </w:p>
    <w:p w:rsidR="00AD690E" w:rsidRPr="00675326" w:rsidRDefault="00AD690E" w:rsidP="00AD690E">
      <w:pPr>
        <w:spacing w:before="120" w:after="120"/>
        <w:jc w:val="both"/>
      </w:pPr>
      <w:r w:rsidRPr="00675326">
        <w:rPr>
          <w:szCs w:val="22"/>
        </w:rPr>
        <w:t>On peut chercher les explications de ces paradoxes dans le caract</w:t>
      </w:r>
      <w:r w:rsidRPr="00675326">
        <w:rPr>
          <w:szCs w:val="22"/>
        </w:rPr>
        <w:t>è</w:t>
      </w:r>
      <w:r w:rsidRPr="00675326">
        <w:rPr>
          <w:szCs w:val="22"/>
        </w:rPr>
        <w:t>re ou l'idéologie des hommes. Un fil conducteur plus prometteur me paraît être les contraintes du système international et, plus particuli</w:t>
      </w:r>
      <w:r w:rsidRPr="00675326">
        <w:rPr>
          <w:szCs w:val="22"/>
        </w:rPr>
        <w:t>è</w:t>
      </w:r>
      <w:r w:rsidRPr="00675326">
        <w:rPr>
          <w:szCs w:val="22"/>
        </w:rPr>
        <w:t>rement, la di</w:t>
      </w:r>
      <w:r w:rsidRPr="00675326">
        <w:rPr>
          <w:szCs w:val="22"/>
        </w:rPr>
        <w:t>f</w:t>
      </w:r>
      <w:r w:rsidRPr="00675326">
        <w:rPr>
          <w:szCs w:val="22"/>
        </w:rPr>
        <w:t>ficulté inhérente de vivre à l'ombre de la plus importante puissance du globe. C'est l'hypothèse que nous retie</w:t>
      </w:r>
      <w:r w:rsidRPr="00675326">
        <w:rPr>
          <w:szCs w:val="22"/>
        </w:rPr>
        <w:t>n</w:t>
      </w:r>
      <w:r w:rsidRPr="00675326">
        <w:rPr>
          <w:szCs w:val="22"/>
        </w:rPr>
        <w:t>drons.</w:t>
      </w:r>
    </w:p>
    <w:p w:rsidR="00AD690E" w:rsidRPr="00675326" w:rsidRDefault="00AD690E" w:rsidP="00AD690E">
      <w:pPr>
        <w:spacing w:before="120" w:after="120"/>
        <w:jc w:val="both"/>
      </w:pPr>
      <w:r w:rsidRPr="00675326">
        <w:rPr>
          <w:szCs w:val="22"/>
        </w:rPr>
        <w:t>Est-ce à dire que tout projet d'indépendance ou tout au moins d'a</w:t>
      </w:r>
      <w:r w:rsidRPr="00675326">
        <w:rPr>
          <w:szCs w:val="22"/>
        </w:rPr>
        <w:t>c</w:t>
      </w:r>
      <w:r w:rsidRPr="00675326">
        <w:rPr>
          <w:szCs w:val="22"/>
        </w:rPr>
        <w:t>croissement de l'autonomie de la politique étrangère canadienne par rapport à celle des États-Unis était voué à l'échec ? Nous porterons, sur ce sujet, un j</w:t>
      </w:r>
      <w:r w:rsidRPr="00675326">
        <w:rPr>
          <w:szCs w:val="22"/>
        </w:rPr>
        <w:t>u</w:t>
      </w:r>
      <w:r w:rsidRPr="00675326">
        <w:rPr>
          <w:szCs w:val="22"/>
        </w:rPr>
        <w:t>gement nuancé, tant sur la politique de Pearson que sur celle de Pierre Trudeau.</w:t>
      </w:r>
      <w:r>
        <w:rPr>
          <w:szCs w:val="22"/>
        </w:rPr>
        <w:t xml:space="preserve"> </w:t>
      </w:r>
      <w:r>
        <w:t>[</w:t>
      </w:r>
      <w:r w:rsidRPr="00675326">
        <w:rPr>
          <w:szCs w:val="18"/>
        </w:rPr>
        <w:t>38</w:t>
      </w:r>
      <w:r>
        <w:rPr>
          <w:szCs w:val="18"/>
        </w:rPr>
        <w:t xml:space="preserve">] </w:t>
      </w:r>
      <w:r w:rsidRPr="00675326">
        <w:t>Plus généralement, réaliser intégr</w:t>
      </w:r>
      <w:r w:rsidRPr="00675326">
        <w:t>a</w:t>
      </w:r>
      <w:r w:rsidRPr="00675326">
        <w:t>lement un tel projet est, comme dirait Kipling, une autre histoire.</w:t>
      </w:r>
    </w:p>
    <w:p w:rsidR="00AD690E" w:rsidRDefault="00AD690E" w:rsidP="00AD690E">
      <w:pPr>
        <w:spacing w:before="120" w:after="120"/>
        <w:jc w:val="both"/>
      </w:pPr>
    </w:p>
    <w:p w:rsidR="00AD690E" w:rsidRPr="00675326" w:rsidRDefault="00AD690E" w:rsidP="00AD690E">
      <w:pPr>
        <w:pStyle w:val="planche"/>
      </w:pPr>
      <w:r>
        <w:t>LES OGIVES NUCLÉ</w:t>
      </w:r>
      <w:r w:rsidRPr="00675326">
        <w:t>AIRES</w:t>
      </w:r>
    </w:p>
    <w:p w:rsidR="00AD690E" w:rsidRDefault="00AD690E" w:rsidP="00AD690E">
      <w:pPr>
        <w:spacing w:before="120" w:after="120"/>
        <w:jc w:val="both"/>
      </w:pPr>
    </w:p>
    <w:p w:rsidR="00AD690E" w:rsidRPr="00675326" w:rsidRDefault="00AD690E" w:rsidP="00AD690E">
      <w:pPr>
        <w:spacing w:before="120" w:after="120"/>
        <w:jc w:val="both"/>
      </w:pPr>
      <w:r w:rsidRPr="00675326">
        <w:t>Le gouvernement de Diefenbaker était tombé sur la question des ogives nucléaires. C'est à cette question que Lester B. Pearson s'att</w:t>
      </w:r>
      <w:r w:rsidRPr="00675326">
        <w:t>a</w:t>
      </w:r>
      <w:r w:rsidRPr="00675326">
        <w:t xml:space="preserve">qua immédiatement. Le 22 avril 1963, il devenait premier ministre du </w:t>
      </w:r>
      <w:r>
        <w:t>Canada </w:t>
      </w:r>
      <w:r>
        <w:rPr>
          <w:rStyle w:val="Appelnotedebasdep"/>
        </w:rPr>
        <w:footnoteReference w:id="32"/>
      </w:r>
      <w:r w:rsidRPr="00675326">
        <w:t>. Le 25 avril, le Comité de la défense du Cabinet se réuni</w:t>
      </w:r>
      <w:r w:rsidRPr="00675326">
        <w:t>s</w:t>
      </w:r>
      <w:r w:rsidRPr="00675326">
        <w:t>sait. Les 10 et 11 mai, Pearson rencontrait le président Kenn</w:t>
      </w:r>
      <w:r w:rsidRPr="00675326">
        <w:t>e</w:t>
      </w:r>
      <w:r w:rsidRPr="00675326">
        <w:t>dy, à Hyannis Port, dans la presqu'île de Cape Cod. Les discussions se d</w:t>
      </w:r>
      <w:r w:rsidRPr="00675326">
        <w:t>é</w:t>
      </w:r>
      <w:r w:rsidRPr="00675326">
        <w:t>roulèrent dans la résidence d'été des Kennedy. L'atmosphère était d</w:t>
      </w:r>
      <w:r w:rsidRPr="00675326">
        <w:t>é</w:t>
      </w:r>
      <w:r w:rsidRPr="00675326">
        <w:t>tendue, contrastant avec l'acrimonie qui avait caractérisé les rapports entre Kenn</w:t>
      </w:r>
      <w:r w:rsidRPr="00675326">
        <w:t>e</w:t>
      </w:r>
      <w:r w:rsidRPr="00675326">
        <w:t>dy et Diefenbaker. Le communiqué final des discussions annonçait que des pourparlers entre le Canada et les États-Unis a</w:t>
      </w:r>
      <w:r w:rsidRPr="00675326">
        <w:t>l</w:t>
      </w:r>
      <w:r w:rsidRPr="00675326">
        <w:t>laient commencer afin « de mettre en œuvre sans délai les engag</w:t>
      </w:r>
      <w:r w:rsidRPr="00675326">
        <w:t>e</w:t>
      </w:r>
      <w:r w:rsidRPr="00675326">
        <w:t>ments contractés par le Canada pour la défense de l'Amérique du Nord et de l'Europe, en tenant compte des procédures parlementaires can</w:t>
      </w:r>
      <w:r w:rsidRPr="00675326">
        <w:t>a</w:t>
      </w:r>
      <w:r w:rsidRPr="00675326">
        <w:t>die</w:t>
      </w:r>
      <w:r w:rsidRPr="00675326">
        <w:t>n</w:t>
      </w:r>
      <w:r w:rsidRPr="00675326">
        <w:t>nes »</w:t>
      </w:r>
      <w:r>
        <w:t> </w:t>
      </w:r>
      <w:r w:rsidRPr="00857900">
        <w:rPr>
          <w:rStyle w:val="Appelnotedebasdep"/>
        </w:rPr>
        <w:footnoteReference w:id="33"/>
      </w:r>
      <w:r w:rsidRPr="00675326">
        <w:t xml:space="preserve">. Formule habile, qui permettait l'équipement des fusées </w:t>
      </w:r>
      <w:r w:rsidRPr="00675326">
        <w:rPr>
          <w:i/>
          <w:iCs/>
        </w:rPr>
        <w:t xml:space="preserve">Bomarc </w:t>
      </w:r>
      <w:r w:rsidRPr="00675326">
        <w:t>en ogives nucléaires, tout en laissant un droit de regard à la Chambre des communes où le Parti libéral du premier ministre Pea</w:t>
      </w:r>
      <w:r w:rsidRPr="00675326">
        <w:t>r</w:t>
      </w:r>
      <w:r w:rsidRPr="00675326">
        <w:t>son était minoritaire.</w:t>
      </w:r>
    </w:p>
    <w:p w:rsidR="00AD690E" w:rsidRPr="00675326" w:rsidRDefault="00AD690E" w:rsidP="00AD690E">
      <w:pPr>
        <w:spacing w:before="120" w:after="120"/>
        <w:jc w:val="both"/>
      </w:pPr>
      <w:r w:rsidRPr="00675326">
        <w:t>Pearson, lui-même, était réticent vis-à-vis des ogives nucléaires, mais, du moment que le gouvernement conservateur s'était engagé imprudemment à les acquérir, il estimait que le Canada devait respe</w:t>
      </w:r>
      <w:r w:rsidRPr="00675326">
        <w:t>c</w:t>
      </w:r>
      <w:r w:rsidRPr="00675326">
        <w:t>ter ses engagements. II était fermement appuyé par le ministre de la D</w:t>
      </w:r>
      <w:r w:rsidRPr="00675326">
        <w:t>é</w:t>
      </w:r>
      <w:r w:rsidRPr="00675326">
        <w:t>fense, Paul Hellyer</w:t>
      </w:r>
      <w:r>
        <w:t> </w:t>
      </w:r>
      <w:r w:rsidRPr="00857900">
        <w:rPr>
          <w:rStyle w:val="Appelnotedebasdep"/>
        </w:rPr>
        <w:footnoteReference w:id="34"/>
      </w:r>
      <w:r w:rsidRPr="00675326">
        <w:t>, qui avait déjà suggéré d'acquérir les ogives dans un court délai</w:t>
      </w:r>
      <w:r>
        <w:t> </w:t>
      </w:r>
      <w:r w:rsidRPr="00857900">
        <w:rPr>
          <w:rStyle w:val="Appelnotedebasdep"/>
        </w:rPr>
        <w:footnoteReference w:id="35"/>
      </w:r>
      <w:r w:rsidRPr="00675326">
        <w:t>. Le 21 mai, un amendement néo-démocrate au discours du trône qui condamnait l'a</w:t>
      </w:r>
      <w:r w:rsidRPr="00675326">
        <w:t>c</w:t>
      </w:r>
      <w:r w:rsidRPr="00675326">
        <w:t>quisition d'armes nucléaires par les forces armées du C</w:t>
      </w:r>
      <w:r w:rsidRPr="00675326">
        <w:t>a</w:t>
      </w:r>
      <w:r w:rsidRPr="00675326">
        <w:t>nada, fut repoussé par 171 voix contre 113</w:t>
      </w:r>
      <w:r>
        <w:t> </w:t>
      </w:r>
      <w:r>
        <w:rPr>
          <w:rStyle w:val="Appelnotedebasdep"/>
        </w:rPr>
        <w:footnoteReference w:id="36"/>
      </w:r>
      <w:r>
        <w:rPr>
          <w:vertAlign w:val="superscript"/>
        </w:rPr>
        <w:t xml:space="preserve"> </w:t>
      </w:r>
      <w:r w:rsidRPr="00675326">
        <w:t xml:space="preserve">. Le 16 août, l'accord était conclu avec les États-Unis sous la forme d'un échange de notes signées à Ottawa par le secrétaire d'État aux Affaires extérieures, Paul Martin, et l'ambassadeur des </w:t>
      </w:r>
      <w:r>
        <w:t>États-Unis </w:t>
      </w:r>
      <w:r w:rsidRPr="00857900">
        <w:rPr>
          <w:rStyle w:val="Appelnotedebasdep"/>
        </w:rPr>
        <w:footnoteReference w:id="37"/>
      </w:r>
      <w:r w:rsidRPr="00675326">
        <w:t>. Cet a</w:t>
      </w:r>
      <w:r w:rsidRPr="00675326">
        <w:t>c</w:t>
      </w:r>
      <w:r w:rsidRPr="00675326">
        <w:t>cord fut complété le 9 octobre par un arrangement qui plaçait les a</w:t>
      </w:r>
      <w:r w:rsidRPr="00675326">
        <w:t>r</w:t>
      </w:r>
      <w:r w:rsidRPr="00675326">
        <w:t>mes n</w:t>
      </w:r>
      <w:r w:rsidRPr="00675326">
        <w:t>u</w:t>
      </w:r>
      <w:r w:rsidRPr="00675326">
        <w:t>cléaires sous la responsabilité du commandement conjoint de la d</w:t>
      </w:r>
      <w:r w:rsidRPr="00675326">
        <w:t>é</w:t>
      </w:r>
      <w:r w:rsidRPr="00675326">
        <w:t>fense aérienne nord-américaine</w:t>
      </w:r>
      <w:r>
        <w:t> </w:t>
      </w:r>
      <w:r w:rsidRPr="00857900">
        <w:rPr>
          <w:rStyle w:val="Appelnotedebasdep"/>
        </w:rPr>
        <w:footnoteReference w:id="38"/>
      </w:r>
      <w:r w:rsidRPr="00675326">
        <w:t>.</w:t>
      </w:r>
      <w:r>
        <w:t xml:space="preserve"> [39]</w:t>
      </w:r>
      <w:r w:rsidRPr="00675326">
        <w:t xml:space="preserve"> Le 31 décembre 1963, les premières ogives nucléa</w:t>
      </w:r>
      <w:r w:rsidRPr="00675326">
        <w:t>i</w:t>
      </w:r>
      <w:r w:rsidRPr="00675326">
        <w:t>res destinées aux Bomarcs arrivaient à North Bay, dans le nord de l'Ontario</w:t>
      </w:r>
      <w:r>
        <w:t> </w:t>
      </w:r>
      <w:r>
        <w:rPr>
          <w:rStyle w:val="Appelnotedebasdep"/>
        </w:rPr>
        <w:footnoteReference w:id="39"/>
      </w:r>
      <w:r w:rsidRPr="00675326">
        <w:t>.</w:t>
      </w:r>
    </w:p>
    <w:p w:rsidR="00AD690E" w:rsidRDefault="00AD690E" w:rsidP="00AD690E">
      <w:pPr>
        <w:spacing w:before="120" w:after="120"/>
        <w:jc w:val="both"/>
      </w:pPr>
    </w:p>
    <w:p w:rsidR="00AD690E" w:rsidRPr="00675326" w:rsidRDefault="00AD690E" w:rsidP="00AD690E">
      <w:pPr>
        <w:pStyle w:val="planche"/>
      </w:pPr>
      <w:r w:rsidRPr="00675326">
        <w:t>LA QUESTION VIETNAMIENNE</w:t>
      </w:r>
    </w:p>
    <w:p w:rsidR="00AD690E" w:rsidRDefault="00AD690E" w:rsidP="00AD690E">
      <w:pPr>
        <w:spacing w:before="120" w:after="120"/>
        <w:jc w:val="both"/>
      </w:pPr>
    </w:p>
    <w:p w:rsidR="00AD690E" w:rsidRPr="00675326" w:rsidRDefault="00AD690E" w:rsidP="00AD690E">
      <w:pPr>
        <w:spacing w:before="120" w:after="120"/>
        <w:jc w:val="both"/>
      </w:pPr>
      <w:r w:rsidRPr="00675326">
        <w:t>Pearson, alors même qu'il était secrétaire d'État aux Affaires ext</w:t>
      </w:r>
      <w:r w:rsidRPr="00675326">
        <w:t>é</w:t>
      </w:r>
      <w:r w:rsidRPr="00675326">
        <w:t>rieures de Saint-Laurent, avait fait du mai</w:t>
      </w:r>
      <w:r w:rsidRPr="00675326">
        <w:t>n</w:t>
      </w:r>
      <w:r w:rsidRPr="00675326">
        <w:t xml:space="preserve">tien de la paix son image de marque. </w:t>
      </w:r>
      <w:r w:rsidRPr="00675326">
        <w:rPr>
          <w:i/>
          <w:iCs/>
        </w:rPr>
        <w:t xml:space="preserve">Le Livre blanc sur la défense, </w:t>
      </w:r>
      <w:r w:rsidRPr="00675326">
        <w:t>publié par son gouvern</w:t>
      </w:r>
      <w:r w:rsidRPr="00675326">
        <w:t>e</w:t>
      </w:r>
      <w:r w:rsidRPr="00675326">
        <w:t>ment en 1964, assignait aux opérations de maintien de la paix la pri</w:t>
      </w:r>
      <w:r w:rsidRPr="00675326">
        <w:t>o</w:t>
      </w:r>
      <w:r w:rsidRPr="00675326">
        <w:t>rité.</w:t>
      </w:r>
    </w:p>
    <w:p w:rsidR="00AD690E" w:rsidRPr="00675326" w:rsidRDefault="00AD690E" w:rsidP="00AD690E">
      <w:pPr>
        <w:spacing w:before="120" w:after="120"/>
        <w:jc w:val="both"/>
      </w:pPr>
      <w:r w:rsidRPr="00675326">
        <w:t>Toutefois, cette politique s'engagea dans une impasse au Vietnam. Le Canada avait accepté en 1954, lors de la Conférence de Genève sur l'Indochine, la proposition de la Chine de participer</w:t>
      </w:r>
      <w:r>
        <w:t xml:space="preserve"> </w:t>
      </w:r>
      <w:r w:rsidRPr="00675326">
        <w:t>avec l'Inde et la Pologne aux Commissions internationales de contrôle et de survei</w:t>
      </w:r>
      <w:r w:rsidRPr="00675326">
        <w:t>l</w:t>
      </w:r>
      <w:r w:rsidRPr="00675326">
        <w:t>lance des armistices au Cambodge, au Laos et au Vietnam</w:t>
      </w:r>
      <w:r>
        <w:t> </w:t>
      </w:r>
      <w:r w:rsidRPr="00857900">
        <w:rPr>
          <w:rStyle w:val="Appelnotedebasdep"/>
        </w:rPr>
        <w:footnoteReference w:id="40"/>
      </w:r>
      <w:r w:rsidRPr="00675326">
        <w:t>. Ces commissions jouèrent un rôle utile dans la période qui suivit les ce</w:t>
      </w:r>
      <w:r w:rsidRPr="00675326">
        <w:t>s</w:t>
      </w:r>
      <w:r w:rsidRPr="00675326">
        <w:t>sez-le-feu. La Commission du Vietnam facilita notamment, dans ses premiers 300 jours, le r</w:t>
      </w:r>
      <w:r w:rsidRPr="00675326">
        <w:t>e</w:t>
      </w:r>
      <w:r w:rsidRPr="00675326">
        <w:t>groupement des forces de part et d'autre du 17</w:t>
      </w:r>
      <w:r w:rsidRPr="00675326">
        <w:rPr>
          <w:vertAlign w:val="superscript"/>
        </w:rPr>
        <w:t xml:space="preserve">e </w:t>
      </w:r>
      <w:r w:rsidRPr="00675326">
        <w:t>parallèle, frontière entre le Nord et le Sud, ainsi que le rapatri</w:t>
      </w:r>
      <w:r w:rsidRPr="00675326">
        <w:t>e</w:t>
      </w:r>
      <w:r w:rsidRPr="00675326">
        <w:t>ment des prisonniers et le transfert de réfugiés du Nord vers le Sud</w:t>
      </w:r>
      <w:r>
        <w:t> </w:t>
      </w:r>
      <w:r w:rsidRPr="00857900">
        <w:rPr>
          <w:rStyle w:val="Appelnotedebasdep"/>
        </w:rPr>
        <w:footnoteReference w:id="41"/>
      </w:r>
      <w:r w:rsidRPr="00675326">
        <w:t>. Mais l'impossibilité, due au refus du Sud-Vietnam d'y participer, d'o</w:t>
      </w:r>
      <w:r w:rsidRPr="00675326">
        <w:t>r</w:t>
      </w:r>
      <w:r w:rsidRPr="00675326">
        <w:t>ganiser à la date prévue les élections qui devaient, conformément à la déclaration finale de la Conférence de Genève, réunifier le pays, pr</w:t>
      </w:r>
      <w:r w:rsidRPr="00675326">
        <w:t>o</w:t>
      </w:r>
      <w:r w:rsidRPr="00675326">
        <w:t>longea i</w:t>
      </w:r>
      <w:r w:rsidRPr="00675326">
        <w:t>n</w:t>
      </w:r>
      <w:r w:rsidRPr="00675326">
        <w:t xml:space="preserve">dûment </w:t>
      </w:r>
      <w:r>
        <w:t>s</w:t>
      </w:r>
      <w:r w:rsidRPr="00675326">
        <w:t>a vie de la Commission</w:t>
      </w:r>
      <w:r>
        <w:t> </w:t>
      </w:r>
      <w:r w:rsidRPr="00857900">
        <w:rPr>
          <w:rStyle w:val="Appelnotedebasdep"/>
        </w:rPr>
        <w:footnoteReference w:id="42"/>
      </w:r>
      <w:r w:rsidRPr="00675326">
        <w:t>.</w:t>
      </w:r>
    </w:p>
    <w:p w:rsidR="00AD690E" w:rsidRPr="00675326" w:rsidRDefault="00AD690E" w:rsidP="00AD690E">
      <w:pPr>
        <w:spacing w:before="120" w:after="120"/>
        <w:jc w:val="both"/>
      </w:pPr>
      <w:r w:rsidRPr="00675326">
        <w:t>Pearson retrouva donc, comme chef de gouvernement, la Commi</w:t>
      </w:r>
      <w:r w:rsidRPr="00675326">
        <w:t>s</w:t>
      </w:r>
      <w:r w:rsidRPr="00675326">
        <w:t>sion internationale du Vietnam qui avait été formée alors qu'il était secrétaire d'État aux Affaires ext</w:t>
      </w:r>
      <w:r w:rsidRPr="00675326">
        <w:t>é</w:t>
      </w:r>
      <w:r w:rsidRPr="00675326">
        <w:t>rieures. Dès 1962, la Commission avait dû constater, dans un rapport adressé aux deux États coprés</w:t>
      </w:r>
      <w:r w:rsidRPr="00675326">
        <w:t>i</w:t>
      </w:r>
      <w:r w:rsidRPr="00675326">
        <w:t>dents de la Conférence de Genève, 1TJRSS et le Royaume-Uni, que, contrairement à l'accord de Genève, le Sud-Vietnam r</w:t>
      </w:r>
      <w:r w:rsidRPr="00675326">
        <w:t>e</w:t>
      </w:r>
      <w:r w:rsidRPr="00675326">
        <w:t>cevait une aide militaire des États-Unis, y compris en personnel, tandis que le Nord-Vietnam envoyait au Sud des militaires et du matériel pour y soutenir une insurrection et organiser des attaques</w:t>
      </w:r>
      <w:r>
        <w:t> </w:t>
      </w:r>
      <w:r w:rsidRPr="00857900">
        <w:rPr>
          <w:rStyle w:val="Appelnotedebasdep"/>
        </w:rPr>
        <w:footnoteReference w:id="43"/>
      </w:r>
      <w:r w:rsidRPr="00675326">
        <w:t>. Les années du gouve</w:t>
      </w:r>
      <w:r w:rsidRPr="00675326">
        <w:t>r</w:t>
      </w:r>
      <w:r w:rsidRPr="00675326">
        <w:t>nement Pearson furent particulièrement marquées par le conflit au Vietnam. D'une part, ce gouvernement co</w:t>
      </w:r>
      <w:r w:rsidRPr="00675326">
        <w:t>m</w:t>
      </w:r>
      <w:r w:rsidRPr="00675326">
        <w:t>prenait l'intervention des États-Unis pour soutenir le Sud contre les incursions du Nord ; d'autre part, sa particip</w:t>
      </w:r>
      <w:r w:rsidRPr="00675326">
        <w:t>a</w:t>
      </w:r>
      <w:r w:rsidRPr="00675326">
        <w:t>tion à la Commission</w:t>
      </w:r>
      <w:r>
        <w:t xml:space="preserve"> </w:t>
      </w:r>
      <w:r>
        <w:rPr>
          <w:szCs w:val="18"/>
        </w:rPr>
        <w:t>[</w:t>
      </w:r>
      <w:r w:rsidRPr="00675326">
        <w:rPr>
          <w:szCs w:val="18"/>
        </w:rPr>
        <w:t>40</w:t>
      </w:r>
      <w:r>
        <w:t xml:space="preserve">] </w:t>
      </w:r>
      <w:r w:rsidRPr="00675326">
        <w:t>internationale ainsi que, plus généralement, sa politique en faveur du maintien de la paix l'inc</w:t>
      </w:r>
      <w:r w:rsidRPr="00675326">
        <w:t>i</w:t>
      </w:r>
      <w:r w:rsidRPr="00675326">
        <w:t>taient à prévenir une escalade du conflit et à rechercher un règlement pacifique. C'est dans cette perspective qu'il accepta de dépêcher cinq fois à Hanoï, de juin 1964 à juin 1965, son délégué sur la Commi</w:t>
      </w:r>
      <w:r w:rsidRPr="00675326">
        <w:t>s</w:t>
      </w:r>
      <w:r w:rsidRPr="00675326">
        <w:t>sion ; mais celui-ci ne put que transmettre les menaces de bombard</w:t>
      </w:r>
      <w:r w:rsidRPr="00675326">
        <w:t>e</w:t>
      </w:r>
      <w:r w:rsidRPr="00675326">
        <w:t>ments des États-Unis — qui subordonnaient tout cessez-le-feu et a</w:t>
      </w:r>
      <w:r w:rsidRPr="00675326">
        <w:t>c</w:t>
      </w:r>
      <w:r w:rsidRPr="00675326">
        <w:t>cord de coopération avec le Nord-Vietnam à l'arrêt du soutien de l'i</w:t>
      </w:r>
      <w:r w:rsidRPr="00675326">
        <w:t>n</w:t>
      </w:r>
      <w:r w:rsidRPr="00675326">
        <w:t>surrection au Sud — et, en retour, le refus du Nord-Vietnam de nég</w:t>
      </w:r>
      <w:r w:rsidRPr="00675326">
        <w:t>o</w:t>
      </w:r>
      <w:r w:rsidRPr="00675326">
        <w:t>cier sous la contrainte</w:t>
      </w:r>
      <w:r>
        <w:t> </w:t>
      </w:r>
      <w:r w:rsidRPr="00857900">
        <w:rPr>
          <w:rStyle w:val="Appelnotedebasdep"/>
        </w:rPr>
        <w:footnoteReference w:id="44"/>
      </w:r>
      <w:r w:rsidRPr="00675326">
        <w:t>. En avril 1965, au grand déplaisir des États-Unis, Pearson, dans un discours à Temple University, demandait un arrêt des bombardements du Nord-Vietnam. Enfin, une véritable mi</w:t>
      </w:r>
      <w:r w:rsidRPr="00675326">
        <w:t>s</w:t>
      </w:r>
      <w:r w:rsidRPr="00675326">
        <w:t>sion de paix était entreprise en mars 1966, par l'envoi à Hanoi de Chester Ronning, un ancien diplomate qui avait une grande renommée en Asie orientale. Celui-ci obtint d'Hanoi la pr</w:t>
      </w:r>
      <w:r w:rsidRPr="00675326">
        <w:t>o</w:t>
      </w:r>
      <w:r w:rsidRPr="00675326">
        <w:t>messe de négocier un accord, à la seule condition que les États-Unis cessent leurs bomba</w:t>
      </w:r>
      <w:r w:rsidRPr="00675326">
        <w:t>r</w:t>
      </w:r>
      <w:r w:rsidRPr="00675326">
        <w:t>dements. Mais, comme ceux-ci restèrent sur leurs positions antérie</w:t>
      </w:r>
      <w:r w:rsidRPr="00675326">
        <w:t>u</w:t>
      </w:r>
      <w:r w:rsidRPr="00675326">
        <w:t>res, Ronning ne put, de retour à Hanoi en juin, que transmettre ce r</w:t>
      </w:r>
      <w:r w:rsidRPr="00675326">
        <w:t>e</w:t>
      </w:r>
      <w:r w:rsidRPr="00675326">
        <w:t>fus</w:t>
      </w:r>
      <w:r>
        <w:t> </w:t>
      </w:r>
      <w:r w:rsidRPr="00857900">
        <w:rPr>
          <w:rStyle w:val="Appelnotedebasdep"/>
        </w:rPr>
        <w:footnoteReference w:id="45"/>
      </w:r>
      <w:r w:rsidRPr="00675326">
        <w:t>. Ainsi, les efforts du Canada pour un règlement pacifique du conflit furent un échec, plus durement ressenti encore, parce qu'on avait l'impression que les États-Unis n'avaient pas été prêts à négocier sérieusement. Plus fondamentalement, le Canada se trouva en contr</w:t>
      </w:r>
      <w:r w:rsidRPr="00675326">
        <w:t>a</w:t>
      </w:r>
      <w:r w:rsidRPr="00675326">
        <w:t>diction avec son rôle de puissance moyenne favorable à la paix, à ca</w:t>
      </w:r>
      <w:r w:rsidRPr="00675326">
        <w:t>u</w:t>
      </w:r>
      <w:r w:rsidRPr="00675326">
        <w:t>se de son accord de production commune d'armements avec les États-Unis. Enfin, les vicissitudes de son rôle au Vietnam amoindrirent l'i</w:t>
      </w:r>
      <w:r w:rsidRPr="00675326">
        <w:t>n</w:t>
      </w:r>
      <w:r w:rsidRPr="00675326">
        <w:t>térêt du Canada pour le maintien de la paix</w:t>
      </w:r>
      <w:r>
        <w:t> </w:t>
      </w:r>
      <w:r w:rsidRPr="00857900">
        <w:rPr>
          <w:rStyle w:val="Appelnotedebasdep"/>
        </w:rPr>
        <w:footnoteReference w:id="46"/>
      </w:r>
      <w:r w:rsidRPr="00675326">
        <w:t>, qu'a</w:t>
      </w:r>
      <w:r w:rsidRPr="00675326">
        <w:t>l</w:t>
      </w:r>
      <w:r w:rsidRPr="00675326">
        <w:t>lait encore affaiblir l'obligation de retirer son contingent de la force de paix des Nations unies au Moyen-Orient en 1967. Ces événements serviront de leçon au gouvernement Trudeau, tant dans sa politique vis-à-vis du maintien de la paix — par exemple comme peut en t</w:t>
      </w:r>
      <w:r w:rsidRPr="00675326">
        <w:t>é</w:t>
      </w:r>
      <w:r w:rsidRPr="00675326">
        <w:t>moigner, sa participation limitée à la Commission internationale de contrôle au Vietnam en 1973 — que vis-à-vis des États-Unis, dont le gouvernement Pearson commençait aussi à redouter de l'influence économique.</w:t>
      </w:r>
    </w:p>
    <w:p w:rsidR="00AD690E" w:rsidRDefault="00AD690E" w:rsidP="00AD690E">
      <w:pPr>
        <w:spacing w:before="120" w:after="120"/>
        <w:jc w:val="both"/>
      </w:pPr>
    </w:p>
    <w:p w:rsidR="00AD690E" w:rsidRPr="00675326" w:rsidRDefault="00AD690E" w:rsidP="00AD690E">
      <w:pPr>
        <w:pStyle w:val="planche"/>
      </w:pPr>
      <w:r w:rsidRPr="00675326">
        <w:t>LA CRISE DES RELATIONS</w:t>
      </w:r>
      <w:r>
        <w:br/>
      </w:r>
      <w:r w:rsidRPr="00675326">
        <w:t>AVEC LA FRANCE</w:t>
      </w:r>
    </w:p>
    <w:p w:rsidR="00AD690E" w:rsidRDefault="00AD690E" w:rsidP="00AD690E">
      <w:pPr>
        <w:spacing w:before="120" w:after="120"/>
        <w:jc w:val="both"/>
      </w:pPr>
    </w:p>
    <w:p w:rsidR="00AD690E" w:rsidRPr="00675326" w:rsidRDefault="00AD690E" w:rsidP="00AD690E">
      <w:pPr>
        <w:spacing w:before="120" w:after="120"/>
        <w:jc w:val="both"/>
      </w:pPr>
      <w:r w:rsidRPr="00675326">
        <w:t>La politique conciliatrice de Pearson allait se heurter à un obstacle inattendu : la France du général de Gaulle. Pourtant, le gouvernement Pearson avait accepté la coopération directe qui s'était instituée entre le Québec et la France, surtout dans les domaines de l'éducation et de la culture, mais aussi dans ceux de l'économie, de la science et de la technique. Les ententes franco-québécoises sur l'éducation et</w:t>
      </w:r>
      <w:r>
        <w:t xml:space="preserve"> [41] </w:t>
      </w:r>
      <w:r w:rsidRPr="00675326">
        <w:t>la culture avaient été chapeautées par un accord-cadre franco-canadien et le gouvernement Pearson, convaincu par Jean Lesage, était intervenu pour que la délégation du Québec à Paris bénéficie des privilèges et immunités diplomatiques.</w:t>
      </w:r>
    </w:p>
    <w:p w:rsidR="00AD690E" w:rsidRPr="00675326" w:rsidRDefault="00AD690E" w:rsidP="00AD690E">
      <w:pPr>
        <w:spacing w:before="120" w:after="120"/>
        <w:jc w:val="both"/>
      </w:pPr>
      <w:r w:rsidRPr="00675326">
        <w:t>Cependant, méfiant à l'égard d'un Canada qui — conformément à une politique générale bien établie — avait refusé de livrer sans contrôle de l'uranium à la France, le général de Gaulle privilégia les liens avec le Québec, au point de provoquer une crise des relations franco-canadiennes, en lançant, le 24 juillet 1967 : « Vive le Québec libre ! » du balcon de l'hôtel de ville de Montréal. La réplique du le</w:t>
      </w:r>
      <w:r w:rsidRPr="00675326">
        <w:t>n</w:t>
      </w:r>
      <w:r w:rsidRPr="00675326">
        <w:t>demain de Pearson — « Certaines déclarations faites par le président ont tendance à encourager la faible minorité de notre population qui cherche à détruire le Canada et, comme telles, elles sont inaccept</w:t>
      </w:r>
      <w:r w:rsidRPr="00675326">
        <w:t>a</w:t>
      </w:r>
      <w:r w:rsidRPr="00675326">
        <w:t>bles » — et la rentrée précipité du général de Gaulle à Paris const</w:t>
      </w:r>
      <w:r w:rsidRPr="00675326">
        <w:t>i</w:t>
      </w:r>
      <w:r w:rsidRPr="00675326">
        <w:t>tuent les autres éléments du début de cette crise. Tandis que la coop</w:t>
      </w:r>
      <w:r w:rsidRPr="00675326">
        <w:t>é</w:t>
      </w:r>
      <w:r w:rsidRPr="00675326">
        <w:t>ration franco-québécoise s'intensifiait, la crise franco-canadienne s'a</w:t>
      </w:r>
      <w:r w:rsidRPr="00675326">
        <w:t>p</w:t>
      </w:r>
      <w:r w:rsidRPr="00675326">
        <w:t>profondissait : par conférences de presse et déclarations interposées, le général de Gaulle réaffirmait son soutien à une politique d'émancip</w:t>
      </w:r>
      <w:r w:rsidRPr="00675326">
        <w:t>a</w:t>
      </w:r>
      <w:r w:rsidRPr="00675326">
        <w:t>tion du Québec, tandis que Pearson lui reprochait de s'ingérer dans les affaires intérieures du Canada. L'invitation directe, adressée en février 1968, au Québec par le Gabon, poussé par la France, à participer à une conférence des ministres francophones de l'Éducation, provoqua la rupture des relations diplomatiques avec le Gabon.</w:t>
      </w:r>
    </w:p>
    <w:p w:rsidR="00AD690E" w:rsidRPr="00675326" w:rsidRDefault="00AD690E" w:rsidP="00AD690E">
      <w:pPr>
        <w:spacing w:before="120" w:after="120"/>
        <w:jc w:val="both"/>
      </w:pPr>
      <w:r w:rsidRPr="00675326">
        <w:t>Pierre Trudeau hérita de ce dossier, sur lequel il avait certainement eu l'occasion déjà de se pencher en tant que ministre du gouvernement Pearson. Le général de Gaulle tint à déclarer qu'il ne modifiait pas sa politique à l'égard du Québec, parce que le nouveau premier ministre du Canada était francophone. Quant au premier ministre, il considérait que le président de la République française ne connaissait pas la réal</w:t>
      </w:r>
      <w:r w:rsidRPr="00675326">
        <w:t>i</w:t>
      </w:r>
      <w:r w:rsidRPr="00675326">
        <w:t>té canadienne. En janvier 1969, le Canada avertissait la France que les ententes qu'elle venait de conclure avec le Québec en matière d'inve</w:t>
      </w:r>
      <w:r w:rsidRPr="00675326">
        <w:t>s</w:t>
      </w:r>
      <w:r w:rsidRPr="00675326">
        <w:t>tissements et de satellites de communications, n'avaient aucune valeur. L'arrivée au pouvoir, en juin 1969, du président Pompidou ne modifia pas immédiatement les rapports franco-canadiens. En octobre 1969, un gaulliste orthodoxe, le secrétaire d'État aux affaires étrangères, de Lipkowski, se permit, lors d'une visite à Québec, de déclarer que la politique extérieure de la France était « définitivement d'encourager le droit des peuples à déterminer leur propre destin » et en particulier celui du Québec. Pierre Trudeau le traita d'impoli et d'imp</w:t>
      </w:r>
      <w:r>
        <w:t>ertinent et menaça de dénoncer l’</w:t>
      </w:r>
      <w:r w:rsidRPr="00675326">
        <w:t>accord-cadre franco-canadien de coopération.</w:t>
      </w:r>
    </w:p>
    <w:p w:rsidR="00AD690E" w:rsidRPr="00675326" w:rsidRDefault="00AD690E" w:rsidP="00AD690E">
      <w:pPr>
        <w:spacing w:before="120" w:after="120"/>
        <w:jc w:val="both"/>
      </w:pPr>
      <w:r w:rsidRPr="00675326">
        <w:t>Mais il s'agissait là d'un dernier éclat, probablement un test des m</w:t>
      </w:r>
      <w:r w:rsidRPr="00675326">
        <w:t>i</w:t>
      </w:r>
      <w:r w:rsidRPr="00675326">
        <w:t>lieux gaullistes orthodoxes. La politique de Pompidou se voulait diff</w:t>
      </w:r>
      <w:r w:rsidRPr="00675326">
        <w:t>é</w:t>
      </w:r>
      <w:r w:rsidRPr="00675326">
        <w:t>rente. C'est lors de la réunion ministérielle de l'Alliance atlantique à Bruxelles, en décembre 1969, que les ministres des Affaires étrang</w:t>
      </w:r>
      <w:r w:rsidRPr="00675326">
        <w:t>è</w:t>
      </w:r>
      <w:r w:rsidRPr="00675326">
        <w:t>res des deux pays se mirent d'accord « pour éviter de futurs incidents du genre de ceux qui ont troublé les relations franco-canadiennes dans le passé récent et de les traiter comme de l'histoire ancienne ». La fin de la crise et la normalisation des relations se manifestèrent de</w:t>
      </w:r>
      <w:r>
        <w:t xml:space="preserve"> [</w:t>
      </w:r>
      <w:r w:rsidRPr="00675326">
        <w:rPr>
          <w:szCs w:val="18"/>
        </w:rPr>
        <w:t>42</w:t>
      </w:r>
      <w:r>
        <w:rPr>
          <w:szCs w:val="18"/>
        </w:rPr>
        <w:t xml:space="preserve">] </w:t>
      </w:r>
      <w:r w:rsidRPr="00675326">
        <w:rPr>
          <w:szCs w:val="22"/>
        </w:rPr>
        <w:t>diverses manières : désormais tout représentant de la France s</w:t>
      </w:r>
      <w:r w:rsidRPr="00675326">
        <w:rPr>
          <w:szCs w:val="22"/>
        </w:rPr>
        <w:t>é</w:t>
      </w:r>
      <w:r w:rsidRPr="00675326">
        <w:rPr>
          <w:szCs w:val="22"/>
        </w:rPr>
        <w:t>journe à Ottawa avant de se rendre à Québec ; on constata des mut</w:t>
      </w:r>
      <w:r w:rsidRPr="00675326">
        <w:rPr>
          <w:szCs w:val="22"/>
        </w:rPr>
        <w:t>a</w:t>
      </w:r>
      <w:r w:rsidRPr="00675326">
        <w:rPr>
          <w:szCs w:val="22"/>
        </w:rPr>
        <w:t>tions au Quai d'Orsay parmi les amis du Québec ; les déclarations des respo</w:t>
      </w:r>
      <w:r w:rsidRPr="00675326">
        <w:rPr>
          <w:szCs w:val="22"/>
        </w:rPr>
        <w:t>n</w:t>
      </w:r>
      <w:r w:rsidRPr="00675326">
        <w:rPr>
          <w:szCs w:val="22"/>
        </w:rPr>
        <w:t>sables français se firent amicales, à commencer par celle de Pomp</w:t>
      </w:r>
      <w:r w:rsidRPr="00675326">
        <w:rPr>
          <w:szCs w:val="22"/>
        </w:rPr>
        <w:t>i</w:t>
      </w:r>
      <w:r w:rsidRPr="00675326">
        <w:rPr>
          <w:szCs w:val="22"/>
        </w:rPr>
        <w:t>dou : « Nous essayons de faire marcher ensemble nos liens partic</w:t>
      </w:r>
      <w:r w:rsidRPr="00675326">
        <w:rPr>
          <w:szCs w:val="22"/>
        </w:rPr>
        <w:t>u</w:t>
      </w:r>
      <w:r w:rsidRPr="00675326">
        <w:rPr>
          <w:szCs w:val="22"/>
        </w:rPr>
        <w:t>liers avec le Québec et notre bonne entente avec le Canada » ; un a</w:t>
      </w:r>
      <w:r w:rsidRPr="00675326">
        <w:rPr>
          <w:szCs w:val="22"/>
        </w:rPr>
        <w:t>r</w:t>
      </w:r>
      <w:r w:rsidRPr="00675326">
        <w:rPr>
          <w:szCs w:val="22"/>
        </w:rPr>
        <w:t>rangement permit à la fois la participation du Canada en tant qu'État et du Québec en tant que gouvernement participant aux affaires de la francophonie. Pompidou, toutefois, continuait à juger sévèrement la politique anti-nucléaire du Canada vis-à-vis de la France. Les condamnations par le Canada de tous les essais nucléaires — et n</w:t>
      </w:r>
      <w:r w:rsidRPr="00675326">
        <w:rPr>
          <w:szCs w:val="22"/>
        </w:rPr>
        <w:t>o</w:t>
      </w:r>
      <w:r w:rsidRPr="00675326">
        <w:rPr>
          <w:szCs w:val="22"/>
        </w:rPr>
        <w:t>tamment ceux de la France — étaient considérées par le président français comme infantiles et furent la cause principale du refus de Pompidou d'inviter le premier ministre Trudeau à faire une visite off</w:t>
      </w:r>
      <w:r w:rsidRPr="00675326">
        <w:rPr>
          <w:szCs w:val="22"/>
        </w:rPr>
        <w:t>i</w:t>
      </w:r>
      <w:r w:rsidRPr="00675326">
        <w:rPr>
          <w:szCs w:val="22"/>
        </w:rPr>
        <w:t>cielle en France. Après l'arrivée au pouvoir, en 1974, de M. Giscard d'Estaing, qui a une conception plus souple des relations internation</w:t>
      </w:r>
      <w:r w:rsidRPr="00675326">
        <w:rPr>
          <w:szCs w:val="22"/>
        </w:rPr>
        <w:t>a</w:t>
      </w:r>
      <w:r w:rsidRPr="00675326">
        <w:rPr>
          <w:szCs w:val="22"/>
        </w:rPr>
        <w:t>les, les relations franco-canadiennes amorcèrent une véritable coop</w:t>
      </w:r>
      <w:r w:rsidRPr="00675326">
        <w:rPr>
          <w:szCs w:val="22"/>
        </w:rPr>
        <w:t>é</w:t>
      </w:r>
      <w:r w:rsidRPr="00675326">
        <w:rPr>
          <w:szCs w:val="22"/>
        </w:rPr>
        <w:t>ration qui, même si elle est limitée, ne s'est désormais plus démentie, sans nuire parallèlement à la coopération franco-québécoise</w:t>
      </w:r>
      <w:r>
        <w:rPr>
          <w:szCs w:val="22"/>
        </w:rPr>
        <w:t> </w:t>
      </w:r>
      <w:r w:rsidRPr="00857900">
        <w:rPr>
          <w:rStyle w:val="Appelnotedebasdep"/>
        </w:rPr>
        <w:footnoteReference w:id="47"/>
      </w:r>
      <w:r w:rsidRPr="00675326">
        <w:rPr>
          <w:szCs w:val="22"/>
        </w:rPr>
        <w:t>.</w:t>
      </w:r>
    </w:p>
    <w:p w:rsidR="00AD690E" w:rsidRDefault="00AD690E" w:rsidP="00AD690E">
      <w:pPr>
        <w:spacing w:before="120" w:after="120"/>
        <w:jc w:val="both"/>
        <w:rPr>
          <w:szCs w:val="22"/>
        </w:rPr>
      </w:pPr>
      <w:r>
        <w:rPr>
          <w:szCs w:val="22"/>
        </w:rPr>
        <w:br w:type="page"/>
      </w:r>
    </w:p>
    <w:p w:rsidR="00AD690E" w:rsidRPr="00675326" w:rsidRDefault="00AD690E" w:rsidP="00AD690E">
      <w:pPr>
        <w:pStyle w:val="planche"/>
      </w:pPr>
      <w:r w:rsidRPr="00675326">
        <w:t>LE</w:t>
      </w:r>
      <w:r>
        <w:t xml:space="preserve"> TOURNANT</w:t>
      </w:r>
      <w:r>
        <w:br/>
      </w:r>
      <w:r w:rsidRPr="00675326">
        <w:t xml:space="preserve">DE LA POLITIQUE </w:t>
      </w:r>
      <w:r>
        <w:t>É</w:t>
      </w:r>
      <w:r w:rsidRPr="00675326">
        <w:t>TRANG</w:t>
      </w:r>
      <w:r>
        <w:t>È</w:t>
      </w:r>
      <w:r w:rsidRPr="00675326">
        <w:t>RE</w:t>
      </w:r>
      <w:r>
        <w:br/>
      </w:r>
      <w:r w:rsidRPr="00675326">
        <w:t>CAN</w:t>
      </w:r>
      <w:r w:rsidRPr="00675326">
        <w:t>A</w:t>
      </w:r>
      <w:r w:rsidRPr="00675326">
        <w:t>DIENNE</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 xml:space="preserve">Le 29 mai 1968, le premier ministre Trudeau déclara que, si son gouvernement était réélu, il entreprendrait une révision complète des relations extérieures du Canada. Une nouvelle politique étrangère et un nouveau rôle seraient dévolus au </w:t>
      </w:r>
      <w:r>
        <w:rPr>
          <w:szCs w:val="22"/>
        </w:rPr>
        <w:t>Canada </w:t>
      </w:r>
      <w:r w:rsidRPr="00857900">
        <w:rPr>
          <w:rStyle w:val="Appelnotedebasdep"/>
        </w:rPr>
        <w:footnoteReference w:id="48"/>
      </w:r>
      <w:r w:rsidRPr="00675326">
        <w:rPr>
          <w:szCs w:val="22"/>
        </w:rPr>
        <w:t>. Effectivement, ce v</w:t>
      </w:r>
      <w:r w:rsidRPr="00675326">
        <w:rPr>
          <w:szCs w:val="22"/>
        </w:rPr>
        <w:t>i</w:t>
      </w:r>
      <w:r w:rsidRPr="00675326">
        <w:rPr>
          <w:szCs w:val="22"/>
        </w:rPr>
        <w:t>rage s'effectua en 1968-1970 sous trois formes : une série de décisions rapides, la réorganisation de la gestion de la politique étrangère, et enfin, une étude établissant un bilan et fixant des objectifs à cette pol</w:t>
      </w:r>
      <w:r w:rsidRPr="00675326">
        <w:rPr>
          <w:szCs w:val="22"/>
        </w:rPr>
        <w:t>i</w:t>
      </w:r>
      <w:r w:rsidRPr="00675326">
        <w:rPr>
          <w:szCs w:val="22"/>
        </w:rPr>
        <w:t>tique.</w:t>
      </w:r>
    </w:p>
    <w:p w:rsidR="00AD690E" w:rsidRPr="00675326" w:rsidRDefault="00AD690E" w:rsidP="00AD690E">
      <w:pPr>
        <w:spacing w:before="120" w:after="120"/>
        <w:jc w:val="both"/>
      </w:pPr>
      <w:r w:rsidRPr="00675326">
        <w:rPr>
          <w:szCs w:val="22"/>
        </w:rPr>
        <w:t>Parmi les décisions rapides, nous pouvons relever la reconnaissa</w:t>
      </w:r>
      <w:r w:rsidRPr="00675326">
        <w:rPr>
          <w:szCs w:val="22"/>
        </w:rPr>
        <w:t>n</w:t>
      </w:r>
      <w:r w:rsidRPr="00675326">
        <w:rPr>
          <w:szCs w:val="22"/>
        </w:rPr>
        <w:t>ce du gouvernement de Pékin, l'ouverture d'une ambassade au Vat</w:t>
      </w:r>
      <w:r w:rsidRPr="00675326">
        <w:rPr>
          <w:szCs w:val="22"/>
        </w:rPr>
        <w:t>i</w:t>
      </w:r>
      <w:r w:rsidRPr="00675326">
        <w:rPr>
          <w:szCs w:val="22"/>
        </w:rPr>
        <w:t>can, le retrait de la moitié des troupes canadiennes stationnées en E</w:t>
      </w:r>
      <w:r w:rsidRPr="00675326">
        <w:rPr>
          <w:szCs w:val="22"/>
        </w:rPr>
        <w:t>u</w:t>
      </w:r>
      <w:r w:rsidRPr="00675326">
        <w:rPr>
          <w:szCs w:val="22"/>
        </w:rPr>
        <w:t xml:space="preserve">rope dans le cadre de l'OTAN et le contrôle des eaux de l'Arctique par le truchement de la </w:t>
      </w:r>
      <w:r w:rsidRPr="00675326">
        <w:rPr>
          <w:i/>
          <w:iCs/>
          <w:szCs w:val="22"/>
        </w:rPr>
        <w:t xml:space="preserve">Loi sur le contrôle de la pollution </w:t>
      </w:r>
      <w:r w:rsidRPr="00675326">
        <w:rPr>
          <w:szCs w:val="22"/>
        </w:rPr>
        <w:t>adoptée par la Chambre des communes. Mise à part la question vaticane, ces déc</w:t>
      </w:r>
      <w:r w:rsidRPr="00675326">
        <w:rPr>
          <w:szCs w:val="22"/>
        </w:rPr>
        <w:t>i</w:t>
      </w:r>
      <w:r w:rsidRPr="00675326">
        <w:rPr>
          <w:szCs w:val="22"/>
        </w:rPr>
        <w:t>sions eurent à surmonter l'opposition des États-Unis. Sur le plan int</w:t>
      </w:r>
      <w:r w:rsidRPr="00675326">
        <w:rPr>
          <w:szCs w:val="22"/>
        </w:rPr>
        <w:t>é</w:t>
      </w:r>
      <w:r w:rsidRPr="00675326">
        <w:rPr>
          <w:szCs w:val="22"/>
        </w:rPr>
        <w:t>rieur, toutes rencontraient des obstacles, y compris au sein du minist</w:t>
      </w:r>
      <w:r w:rsidRPr="00675326">
        <w:rPr>
          <w:szCs w:val="22"/>
        </w:rPr>
        <w:t>è</w:t>
      </w:r>
      <w:r w:rsidRPr="00675326">
        <w:rPr>
          <w:szCs w:val="22"/>
        </w:rPr>
        <w:t>re des Affaires extérieures. Ce qui est frappant, c'est la détermination et la rapidité</w:t>
      </w:r>
      <w:r>
        <w:rPr>
          <w:szCs w:val="22"/>
        </w:rPr>
        <w:t xml:space="preserve"> </w:t>
      </w:r>
      <w:r>
        <w:t xml:space="preserve">[43] </w:t>
      </w:r>
      <w:r w:rsidRPr="00675326">
        <w:rPr>
          <w:szCs w:val="22"/>
        </w:rPr>
        <w:t>avec lesquelles elles furent prises : elles reflétaient essentiellement la volonté politique du premier ministre.</w:t>
      </w:r>
    </w:p>
    <w:p w:rsidR="00AD690E" w:rsidRDefault="00AD690E" w:rsidP="00AD690E">
      <w:pPr>
        <w:spacing w:before="120" w:after="120"/>
        <w:jc w:val="both"/>
        <w:rPr>
          <w:szCs w:val="22"/>
        </w:rPr>
      </w:pPr>
    </w:p>
    <w:p w:rsidR="00AD690E" w:rsidRPr="00675326" w:rsidRDefault="00AD690E" w:rsidP="00AD690E">
      <w:pPr>
        <w:pStyle w:val="planche"/>
      </w:pPr>
      <w:r>
        <w:t>LA RÉ</w:t>
      </w:r>
      <w:r w:rsidRPr="00675326">
        <w:t>ORGANISATION</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Pierre Trudeau a une vue rationaliste de la décision politique, une « perspective cybernétique des choix politiques » (Bruce Doern), fo</w:t>
      </w:r>
      <w:r w:rsidRPr="00675326">
        <w:rPr>
          <w:szCs w:val="22"/>
        </w:rPr>
        <w:t>n</w:t>
      </w:r>
      <w:r w:rsidRPr="00675326">
        <w:rPr>
          <w:szCs w:val="22"/>
        </w:rPr>
        <w:t>dée sur des « principes mécaniques et de manager (Peter Aucoin) et d'efficacité (Langford).</w:t>
      </w:r>
    </w:p>
    <w:p w:rsidR="00AD690E" w:rsidRPr="00675326" w:rsidRDefault="00AD690E" w:rsidP="00AD690E">
      <w:pPr>
        <w:spacing w:before="120" w:after="120"/>
        <w:jc w:val="both"/>
      </w:pPr>
      <w:r w:rsidRPr="00675326">
        <w:rPr>
          <w:szCs w:val="22"/>
        </w:rPr>
        <w:t>John Kirton</w:t>
      </w:r>
      <w:r>
        <w:rPr>
          <w:szCs w:val="22"/>
        </w:rPr>
        <w:t> </w:t>
      </w:r>
      <w:r w:rsidRPr="00857900">
        <w:rPr>
          <w:rStyle w:val="Appelnotedebasdep"/>
        </w:rPr>
        <w:footnoteReference w:id="49"/>
      </w:r>
      <w:r w:rsidRPr="00675326">
        <w:rPr>
          <w:szCs w:val="22"/>
        </w:rPr>
        <w:t xml:space="preserve"> a très bien montré que Pierre Trudeau chercha en 1968 à mettre en place un système de prise de décisions reposant sur trois éléments : la participation de hauts fonctionnaires, un groupe d'agences centrales et les comités du Cabinet. Nous allons suivre de près son analyse en ce qui a trait au ministère des Affaires extérieures.</w:t>
      </w:r>
    </w:p>
    <w:p w:rsidR="00AD690E" w:rsidRPr="00675326" w:rsidRDefault="00AD690E" w:rsidP="00AD690E">
      <w:pPr>
        <w:spacing w:before="120" w:after="120"/>
        <w:jc w:val="both"/>
      </w:pPr>
      <w:r w:rsidRPr="00675326">
        <w:rPr>
          <w:szCs w:val="22"/>
        </w:rPr>
        <w:t>Le gouvernement Trudeau lança d'emblée une attaque majeure contre les préoccupations de ce ministère, qu'il jugeait étroites et e</w:t>
      </w:r>
      <w:r w:rsidRPr="00675326">
        <w:rPr>
          <w:szCs w:val="22"/>
        </w:rPr>
        <w:t>x</w:t>
      </w:r>
      <w:r w:rsidRPr="00675326">
        <w:rPr>
          <w:szCs w:val="22"/>
        </w:rPr>
        <w:t>clusives. Il reprochait aux diplomates la manière dont ils rédigeaient leurs dépêches au Ministère. La plaisanterie favorite du premier m</w:t>
      </w:r>
      <w:r w:rsidRPr="00675326">
        <w:rPr>
          <w:szCs w:val="22"/>
        </w:rPr>
        <w:t>i</w:t>
      </w:r>
      <w:r w:rsidRPr="00675326">
        <w:rPr>
          <w:szCs w:val="22"/>
        </w:rPr>
        <w:t xml:space="preserve">nistre était que, durant une grève du </w:t>
      </w:r>
      <w:r w:rsidRPr="00675326">
        <w:rPr>
          <w:i/>
          <w:iCs/>
          <w:szCs w:val="22"/>
        </w:rPr>
        <w:t xml:space="preserve">New York Times, </w:t>
      </w:r>
      <w:r w:rsidRPr="00675326">
        <w:rPr>
          <w:szCs w:val="22"/>
        </w:rPr>
        <w:t>les dépêches des diplomates en poste dans divers pays s'étaient soudainement raréfiées. Il attaquait aussi la priorité donnée aux aspects militaires de la polit</w:t>
      </w:r>
      <w:r w:rsidRPr="00675326">
        <w:rPr>
          <w:szCs w:val="22"/>
        </w:rPr>
        <w:t>i</w:t>
      </w:r>
      <w:r w:rsidRPr="00675326">
        <w:rPr>
          <w:szCs w:val="22"/>
        </w:rPr>
        <w:t>que étrangère : c'est l'époque où Pierre Trudeau envisageait même le retrait, du moins partiel, de l'OTAN. Comme de raison, il déplorait tout spécialement le manque de rationalité dans le processus de fo</w:t>
      </w:r>
      <w:r w:rsidRPr="00675326">
        <w:rPr>
          <w:szCs w:val="22"/>
        </w:rPr>
        <w:t>r</w:t>
      </w:r>
      <w:r w:rsidRPr="00675326">
        <w:rPr>
          <w:szCs w:val="22"/>
        </w:rPr>
        <w:t>mulation des décisions et des orientations de la politique étrangère canadienne. Enfin, il critiquait le côté routinier du ministère des Affa</w:t>
      </w:r>
      <w:r w:rsidRPr="00675326">
        <w:rPr>
          <w:szCs w:val="22"/>
        </w:rPr>
        <w:t>i</w:t>
      </w:r>
      <w:r w:rsidRPr="00675326">
        <w:rPr>
          <w:szCs w:val="22"/>
        </w:rPr>
        <w:t>res extérieures, sa politique réactive aux événements, dépourvue d'o</w:t>
      </w:r>
      <w:r w:rsidRPr="00675326">
        <w:rPr>
          <w:szCs w:val="22"/>
        </w:rPr>
        <w:t>b</w:t>
      </w:r>
      <w:r w:rsidRPr="00675326">
        <w:rPr>
          <w:szCs w:val="22"/>
        </w:rPr>
        <w:t>jectifs à long terme.</w:t>
      </w:r>
    </w:p>
    <w:p w:rsidR="00AD690E" w:rsidRPr="00675326" w:rsidRDefault="00AD690E" w:rsidP="00AD690E">
      <w:pPr>
        <w:spacing w:before="120" w:after="120"/>
        <w:jc w:val="both"/>
      </w:pPr>
      <w:r w:rsidRPr="00675326">
        <w:rPr>
          <w:szCs w:val="22"/>
        </w:rPr>
        <w:t xml:space="preserve">Il attaqua vertement la manière dont fut menée l'étude de révision de la politique étrangère de 1968 à 1970, (dont nous traiterons dans la partie suivante). La préparation de cette révision fut confié à des </w:t>
      </w:r>
      <w:r w:rsidRPr="00675326">
        <w:rPr>
          <w:i/>
          <w:iCs/>
          <w:szCs w:val="22"/>
        </w:rPr>
        <w:t xml:space="preserve">Task Forces </w:t>
      </w:r>
      <w:r w:rsidRPr="00675326">
        <w:rPr>
          <w:szCs w:val="22"/>
        </w:rPr>
        <w:t>interministérielles. Mais le produit initial de cette étude, ém</w:t>
      </w:r>
      <w:r w:rsidRPr="00675326">
        <w:rPr>
          <w:szCs w:val="22"/>
        </w:rPr>
        <w:t>a</w:t>
      </w:r>
      <w:r w:rsidRPr="00675326">
        <w:rPr>
          <w:szCs w:val="22"/>
        </w:rPr>
        <w:t>nant du ministère des Affaires extérieures, fut rejeté par le Cabinet et renvoyé au Ministère pour qu'il le rédige à nouveau.</w:t>
      </w:r>
    </w:p>
    <w:p w:rsidR="00AD690E" w:rsidRPr="00675326" w:rsidRDefault="00AD690E" w:rsidP="00AD690E">
      <w:pPr>
        <w:spacing w:before="120" w:after="120"/>
        <w:jc w:val="both"/>
      </w:pPr>
      <w:r w:rsidRPr="00675326">
        <w:rPr>
          <w:szCs w:val="22"/>
        </w:rPr>
        <w:t>Qui plus est, le gouvernement attaqua le ministère sur le plan bu</w:t>
      </w:r>
      <w:r w:rsidRPr="00675326">
        <w:rPr>
          <w:szCs w:val="22"/>
        </w:rPr>
        <w:t>d</w:t>
      </w:r>
      <w:r w:rsidRPr="00675326">
        <w:rPr>
          <w:szCs w:val="22"/>
        </w:rPr>
        <w:t>gétaire. Celui-ci fut obligé de fermer certaines missions diplomatiques et à recourir à une procédure interministérielle pour administrer ses postes à l'étranger.</w:t>
      </w:r>
    </w:p>
    <w:p w:rsidR="00AD690E" w:rsidRPr="00675326" w:rsidRDefault="00AD690E" w:rsidP="00AD690E">
      <w:pPr>
        <w:spacing w:before="120" w:after="120"/>
        <w:jc w:val="both"/>
      </w:pPr>
      <w:r w:rsidRPr="00675326">
        <w:rPr>
          <w:szCs w:val="22"/>
        </w:rPr>
        <w:t xml:space="preserve">Après ces chocs, le Ministère répondit par une série d'initiatives pour montrer sa volonté de se réformer. Il créa un Groupe d'analyse politique, pour répondre aux critiques du premier ministre sur le rôle du diplomate et pour faire de la prévision. Il assuma un rôle de </w:t>
      </w:r>
      <w:r w:rsidRPr="00675326">
        <w:rPr>
          <w:i/>
          <w:iCs/>
          <w:szCs w:val="22"/>
        </w:rPr>
        <w:t>le</w:t>
      </w:r>
      <w:r w:rsidRPr="00675326">
        <w:rPr>
          <w:i/>
          <w:iCs/>
          <w:szCs w:val="22"/>
        </w:rPr>
        <w:t>a</w:t>
      </w:r>
      <w:r w:rsidRPr="00675326">
        <w:rPr>
          <w:i/>
          <w:iCs/>
          <w:szCs w:val="22"/>
        </w:rPr>
        <w:t xml:space="preserve">dership </w:t>
      </w:r>
      <w:r w:rsidRPr="00675326">
        <w:rPr>
          <w:szCs w:val="22"/>
        </w:rPr>
        <w:t>dans la gestion des opérations à</w:t>
      </w:r>
      <w:r>
        <w:rPr>
          <w:szCs w:val="22"/>
        </w:rPr>
        <w:t xml:space="preserve"> </w:t>
      </w:r>
      <w:r>
        <w:t>[</w:t>
      </w:r>
      <w:r w:rsidRPr="00675326">
        <w:rPr>
          <w:szCs w:val="18"/>
        </w:rPr>
        <w:t>44</w:t>
      </w:r>
      <w:r>
        <w:rPr>
          <w:szCs w:val="18"/>
        </w:rPr>
        <w:t xml:space="preserve">] </w:t>
      </w:r>
      <w:r w:rsidRPr="00675326">
        <w:rPr>
          <w:szCs w:val="22"/>
        </w:rPr>
        <w:t>l'étranger. Enfin, en 1971, les structures de son quartier général furent réorganisées co</w:t>
      </w:r>
      <w:r w:rsidRPr="00675326">
        <w:rPr>
          <w:szCs w:val="22"/>
        </w:rPr>
        <w:t>m</w:t>
      </w:r>
      <w:r w:rsidRPr="00675326">
        <w:rPr>
          <w:szCs w:val="22"/>
        </w:rPr>
        <w:t>plètement. En dépit de ces changements, le ministère des Affaires e</w:t>
      </w:r>
      <w:r w:rsidRPr="00675326">
        <w:rPr>
          <w:szCs w:val="22"/>
        </w:rPr>
        <w:t>x</w:t>
      </w:r>
      <w:r w:rsidRPr="00675326">
        <w:rPr>
          <w:szCs w:val="22"/>
        </w:rPr>
        <w:t>térieures ne rétablit pas complètement sa pr</w:t>
      </w:r>
      <w:r w:rsidRPr="00675326">
        <w:rPr>
          <w:szCs w:val="22"/>
        </w:rPr>
        <w:t>é</w:t>
      </w:r>
      <w:r w:rsidRPr="00675326">
        <w:rPr>
          <w:szCs w:val="22"/>
        </w:rPr>
        <w:t>éminence traditionnelle sur une sphère de politiques largement éte</w:t>
      </w:r>
      <w:r w:rsidRPr="00675326">
        <w:rPr>
          <w:szCs w:val="22"/>
        </w:rPr>
        <w:t>n</w:t>
      </w:r>
      <w:r w:rsidRPr="00675326">
        <w:rPr>
          <w:szCs w:val="22"/>
        </w:rPr>
        <w:t>due.</w:t>
      </w:r>
    </w:p>
    <w:p w:rsidR="00AD690E" w:rsidRPr="00675326" w:rsidRDefault="00AD690E" w:rsidP="00AD690E">
      <w:pPr>
        <w:spacing w:before="120" w:after="120"/>
        <w:jc w:val="both"/>
      </w:pPr>
      <w:r w:rsidRPr="00675326">
        <w:rPr>
          <w:szCs w:val="22"/>
        </w:rPr>
        <w:t>C'est que les autres ministères reçurent des ressources et un rôle accru. Ils exerçaient désormais une autorité directe sur les aspects i</w:t>
      </w:r>
      <w:r w:rsidRPr="00675326">
        <w:rPr>
          <w:szCs w:val="22"/>
        </w:rPr>
        <w:t>n</w:t>
      </w:r>
      <w:r w:rsidRPr="00675326">
        <w:rPr>
          <w:szCs w:val="22"/>
        </w:rPr>
        <w:t>ternationaux de leur activité nationale et pouvaient établir des unités capables d'agir sur les questions reliées aux affaires étrangères. Des fonctionnaires furent transférés des Affaires extérieures vers ces no</w:t>
      </w:r>
      <w:r w:rsidRPr="00675326">
        <w:rPr>
          <w:szCs w:val="22"/>
        </w:rPr>
        <w:t>u</w:t>
      </w:r>
      <w:r w:rsidRPr="00675326">
        <w:rPr>
          <w:szCs w:val="22"/>
        </w:rPr>
        <w:t>velles unités, qui acquirent ainsi des expertises diplomatiques et des compétences fonctionnelles. Le rôle de ces unités fut légitimé par l'idée du gouvernement que les politiques extérieures étaient l'exte</w:t>
      </w:r>
      <w:r w:rsidRPr="00675326">
        <w:rPr>
          <w:szCs w:val="22"/>
        </w:rPr>
        <w:t>n</w:t>
      </w:r>
      <w:r w:rsidRPr="00675326">
        <w:rPr>
          <w:szCs w:val="22"/>
        </w:rPr>
        <w:t>sion à l'étranger des intérêts internes.</w:t>
      </w:r>
    </w:p>
    <w:p w:rsidR="00AD690E" w:rsidRPr="00675326" w:rsidRDefault="00AD690E" w:rsidP="00AD690E">
      <w:pPr>
        <w:spacing w:before="120" w:after="120"/>
        <w:jc w:val="both"/>
      </w:pPr>
      <w:r w:rsidRPr="00675326">
        <w:rPr>
          <w:szCs w:val="22"/>
        </w:rPr>
        <w:t>Pour assurer la coordination, les agences centrales virent leurs c</w:t>
      </w:r>
      <w:r w:rsidRPr="00675326">
        <w:rPr>
          <w:szCs w:val="22"/>
        </w:rPr>
        <w:t>a</w:t>
      </w:r>
      <w:r w:rsidRPr="00675326">
        <w:rPr>
          <w:szCs w:val="22"/>
        </w:rPr>
        <w:t>pacités de planification accrues et devinrent des lieux d'initiatives. Le Bureau du premier ministre fut transformé en une organisation fo</w:t>
      </w:r>
      <w:r w:rsidRPr="00675326">
        <w:rPr>
          <w:szCs w:val="22"/>
        </w:rPr>
        <w:t>r</w:t>
      </w:r>
      <w:r w:rsidRPr="00675326">
        <w:rPr>
          <w:szCs w:val="22"/>
        </w:rPr>
        <w:t>melle, au sein de laquelle un conseiller aux affaires extérieures, Ivan Head, était chargé de missions ; cependant, il envoyait toujours copie de ses rapports de missions au ministère des Affaires extérieures. Le Bureau du Conseil privé, quant à lui, fut doté d'une unité de planific</w:t>
      </w:r>
      <w:r w:rsidRPr="00675326">
        <w:rPr>
          <w:szCs w:val="22"/>
        </w:rPr>
        <w:t>a</w:t>
      </w:r>
      <w:r w:rsidRPr="00675326">
        <w:rPr>
          <w:szCs w:val="22"/>
        </w:rPr>
        <w:t>tion.</w:t>
      </w:r>
    </w:p>
    <w:p w:rsidR="00AD690E" w:rsidRPr="00675326" w:rsidRDefault="00AD690E" w:rsidP="00AD690E">
      <w:pPr>
        <w:spacing w:before="120" w:after="120"/>
        <w:jc w:val="both"/>
      </w:pPr>
      <w:r w:rsidRPr="00675326">
        <w:rPr>
          <w:szCs w:val="22"/>
        </w:rPr>
        <w:t xml:space="preserve">Le plus grand changement se produisit au sein du Cabinet où cinq organismes d'opération, quatre de coordination et d'autres </w:t>
      </w:r>
      <w:r w:rsidRPr="00675326">
        <w:rPr>
          <w:i/>
          <w:iCs/>
          <w:szCs w:val="22"/>
        </w:rPr>
        <w:t xml:space="preserve">ad hoc </w:t>
      </w:r>
      <w:r w:rsidRPr="00675326">
        <w:rPr>
          <w:szCs w:val="22"/>
        </w:rPr>
        <w:t>f</w:t>
      </w:r>
      <w:r w:rsidRPr="00675326">
        <w:rPr>
          <w:szCs w:val="22"/>
        </w:rPr>
        <w:t>u</w:t>
      </w:r>
      <w:r w:rsidRPr="00675326">
        <w:rPr>
          <w:szCs w:val="22"/>
        </w:rPr>
        <w:t>rent créés. Le Comité de planification du Cabinet maintint une vue d'ensemble sur les politiques et définit les priorités et stratégies.</w:t>
      </w:r>
    </w:p>
    <w:p w:rsidR="00AD690E" w:rsidRPr="00675326" w:rsidRDefault="00AD690E" w:rsidP="00AD690E">
      <w:pPr>
        <w:spacing w:before="120" w:after="120"/>
        <w:jc w:val="both"/>
      </w:pPr>
      <w:r w:rsidRPr="00675326">
        <w:rPr>
          <w:szCs w:val="22"/>
        </w:rPr>
        <w:t>Comme cette méthode de coordination ne donna pas les résultats escomptés, on chercha une planification globale de la politique étra</w:t>
      </w:r>
      <w:r w:rsidRPr="00675326">
        <w:rPr>
          <w:szCs w:val="22"/>
        </w:rPr>
        <w:t>n</w:t>
      </w:r>
      <w:r w:rsidRPr="00675326">
        <w:rPr>
          <w:szCs w:val="22"/>
        </w:rPr>
        <w:t>gère. Dans un premier temps, de mai 1968 à juin 1970, cinq secteurs de politiques furent définis — Europe, Pacifique, Amérique latine, Nations unies et Développement international — à la suite d'un pr</w:t>
      </w:r>
      <w:r w:rsidRPr="00675326">
        <w:rPr>
          <w:szCs w:val="22"/>
        </w:rPr>
        <w:t>o</w:t>
      </w:r>
      <w:r w:rsidRPr="00675326">
        <w:rPr>
          <w:szCs w:val="22"/>
        </w:rPr>
        <w:t>cessus de consultations interministérielles. La deuxième phase consi</w:t>
      </w:r>
      <w:r w:rsidRPr="00675326">
        <w:rPr>
          <w:szCs w:val="22"/>
        </w:rPr>
        <w:t>s</w:t>
      </w:r>
      <w:r w:rsidRPr="00675326">
        <w:rPr>
          <w:szCs w:val="22"/>
        </w:rPr>
        <w:t xml:space="preserve">ta dans l'établissement d'un document général — </w:t>
      </w:r>
      <w:r w:rsidRPr="00675326">
        <w:rPr>
          <w:i/>
          <w:iCs/>
          <w:szCs w:val="22"/>
        </w:rPr>
        <w:t xml:space="preserve">Politique étrangère au service des Canadiens </w:t>
      </w:r>
      <w:r w:rsidRPr="00675326">
        <w:rPr>
          <w:szCs w:val="22"/>
        </w:rPr>
        <w:t>— conçu sous la direction du Groupe d'an</w:t>
      </w:r>
      <w:r w:rsidRPr="00675326">
        <w:rPr>
          <w:szCs w:val="22"/>
        </w:rPr>
        <w:t>a</w:t>
      </w:r>
      <w:r w:rsidRPr="00675326">
        <w:rPr>
          <w:szCs w:val="22"/>
        </w:rPr>
        <w:t>lyse politique du ministère des Affaires extérieures qui élabora le d</w:t>
      </w:r>
      <w:r w:rsidRPr="00675326">
        <w:rPr>
          <w:szCs w:val="22"/>
        </w:rPr>
        <w:t>o</w:t>
      </w:r>
      <w:r w:rsidRPr="00675326">
        <w:rPr>
          <w:szCs w:val="22"/>
        </w:rPr>
        <w:t>cument sur la politique vis-à-vis des États-Unis, connue sous le nom de « troisième option ». Les efforts de coordination interministérielle de la politique extérieure donnèrent, finalement, le leadership au m</w:t>
      </w:r>
      <w:r w:rsidRPr="00675326">
        <w:rPr>
          <w:szCs w:val="22"/>
        </w:rPr>
        <w:t>i</w:t>
      </w:r>
      <w:r w:rsidRPr="00675326">
        <w:rPr>
          <w:szCs w:val="22"/>
        </w:rPr>
        <w:t>nistère qui abritait le secrétariat du Comité interministériel sur les r</w:t>
      </w:r>
      <w:r w:rsidRPr="00675326">
        <w:rPr>
          <w:szCs w:val="22"/>
        </w:rPr>
        <w:t>e</w:t>
      </w:r>
      <w:r w:rsidRPr="00675326">
        <w:rPr>
          <w:szCs w:val="22"/>
        </w:rPr>
        <w:t>lations extérieures (CIDE).</w:t>
      </w:r>
    </w:p>
    <w:p w:rsidR="00AD690E" w:rsidRDefault="00AD690E" w:rsidP="00AD690E">
      <w:pPr>
        <w:spacing w:before="120" w:after="120"/>
        <w:jc w:val="both"/>
        <w:rPr>
          <w:szCs w:val="22"/>
        </w:rPr>
      </w:pPr>
      <w:r w:rsidRPr="00675326">
        <w:rPr>
          <w:szCs w:val="22"/>
        </w:rPr>
        <w:t>Finalement, il était clair, en 1974, que c'était le Ministère qui a</w:t>
      </w:r>
      <w:r w:rsidRPr="00675326">
        <w:rPr>
          <w:szCs w:val="22"/>
        </w:rPr>
        <w:t>s</w:t>
      </w:r>
      <w:r w:rsidRPr="00675326">
        <w:rPr>
          <w:szCs w:val="22"/>
        </w:rPr>
        <w:t>sumait la stratégie de coordination.</w:t>
      </w:r>
    </w:p>
    <w:p w:rsidR="00AD690E" w:rsidRDefault="00AD690E" w:rsidP="00AD690E">
      <w:pPr>
        <w:spacing w:before="120" w:after="120"/>
        <w:jc w:val="both"/>
      </w:pPr>
      <w:r>
        <w:t>[45]</w:t>
      </w:r>
    </w:p>
    <w:p w:rsidR="00AD690E" w:rsidRDefault="00AD690E" w:rsidP="00AD690E">
      <w:pPr>
        <w:spacing w:before="120" w:after="120"/>
        <w:jc w:val="both"/>
      </w:pPr>
    </w:p>
    <w:p w:rsidR="00AD690E" w:rsidRPr="00675326" w:rsidRDefault="00AD690E" w:rsidP="00AD690E">
      <w:pPr>
        <w:pStyle w:val="planche"/>
      </w:pPr>
      <w:r w:rsidRPr="00675326">
        <w:t>LE CO</w:t>
      </w:r>
      <w:r>
        <w:t>N</w:t>
      </w:r>
      <w:r w:rsidRPr="00675326">
        <w:t>TENU DE L</w:t>
      </w:r>
      <w:r>
        <w:t>’ÉTUDE</w:t>
      </w:r>
      <w:r>
        <w:br/>
      </w:r>
      <w:r w:rsidRPr="00675326">
        <w:t>ET LES OBJECTIFS FIXÉS</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Mise en chantier par le gouvernement dès 1968 l'étude fut élaborée par le ministère des Affaires extérieures</w:t>
      </w:r>
      <w:r>
        <w:rPr>
          <w:szCs w:val="22"/>
        </w:rPr>
        <w:t> </w:t>
      </w:r>
      <w:r w:rsidRPr="00857900">
        <w:rPr>
          <w:rStyle w:val="Appelnotedebasdep"/>
        </w:rPr>
        <w:footnoteReference w:id="50"/>
      </w:r>
      <w:r w:rsidRPr="00675326">
        <w:rPr>
          <w:szCs w:val="22"/>
        </w:rPr>
        <w:t>. Le document constatait que le Canada avait, dans les décennies d'après guerre, profondément év</w:t>
      </w:r>
      <w:r w:rsidRPr="00675326">
        <w:rPr>
          <w:szCs w:val="22"/>
        </w:rPr>
        <w:t>o</w:t>
      </w:r>
      <w:r w:rsidRPr="00675326">
        <w:rPr>
          <w:szCs w:val="22"/>
        </w:rPr>
        <w:t>lué. Abandonnant l'isolationnisme des années 30, le Canada avait pa</w:t>
      </w:r>
      <w:r w:rsidRPr="00675326">
        <w:rPr>
          <w:szCs w:val="22"/>
        </w:rPr>
        <w:t>r</w:t>
      </w:r>
      <w:r w:rsidRPr="00675326">
        <w:rPr>
          <w:szCs w:val="22"/>
        </w:rPr>
        <w:t>ticipé « vigoureusement à des activités internationales ». Un des rares pays développés épargnés par les ravages de la Seconde Guerre mo</w:t>
      </w:r>
      <w:r w:rsidRPr="00675326">
        <w:rPr>
          <w:szCs w:val="22"/>
        </w:rPr>
        <w:t>n</w:t>
      </w:r>
      <w:r w:rsidRPr="00675326">
        <w:rPr>
          <w:szCs w:val="22"/>
        </w:rPr>
        <w:t>diale mais qui avait, au contraire, prospéré, le Canada avait joué un rôle important. Son armée avait été la troisième en importance sur le front occidental au moment de la libération du continent européen. Il avait ensuite participé activement aux organisations internationales et notamment aux activités de maintien de la paix.</w:t>
      </w:r>
    </w:p>
    <w:p w:rsidR="00AD690E" w:rsidRPr="00675326" w:rsidRDefault="00AD690E" w:rsidP="00AD690E">
      <w:pPr>
        <w:spacing w:before="120" w:after="120"/>
        <w:jc w:val="both"/>
      </w:pPr>
      <w:r w:rsidRPr="00675326">
        <w:rPr>
          <w:szCs w:val="22"/>
        </w:rPr>
        <w:t>L'étude constatait, toutefois, que le monde avait changé. Le syst</w:t>
      </w:r>
      <w:r w:rsidRPr="00675326">
        <w:rPr>
          <w:szCs w:val="22"/>
        </w:rPr>
        <w:t>è</w:t>
      </w:r>
      <w:r w:rsidRPr="00675326">
        <w:rPr>
          <w:szCs w:val="22"/>
        </w:rPr>
        <w:t>me international avait évolué : les institutions internationales étaient paralysées par leurs conflits internes ; le bipolarisme idéologique était terminé et la structure des camps avait changé ; le Tiers-Monde r</w:t>
      </w:r>
      <w:r w:rsidRPr="00675326">
        <w:rPr>
          <w:szCs w:val="22"/>
        </w:rPr>
        <w:t>é</w:t>
      </w:r>
      <w:r w:rsidRPr="00675326">
        <w:rPr>
          <w:szCs w:val="22"/>
        </w:rPr>
        <w:t>clamait une action internationale pour le développement et pour me</w:t>
      </w:r>
      <w:r w:rsidRPr="00675326">
        <w:rPr>
          <w:szCs w:val="22"/>
        </w:rPr>
        <w:t>t</w:t>
      </w:r>
      <w:r w:rsidRPr="00675326">
        <w:rPr>
          <w:szCs w:val="22"/>
        </w:rPr>
        <w:t>tre fin à l'inégalité raciale ; les armements s'étaient développés sous l'effet des sciences et techniques ; le développement des ordinateurs et les communications instantanées faisaient éclater les structures inte</w:t>
      </w:r>
      <w:r w:rsidRPr="00675326">
        <w:rPr>
          <w:szCs w:val="22"/>
        </w:rPr>
        <w:t>r</w:t>
      </w:r>
      <w:r w:rsidRPr="00675326">
        <w:rPr>
          <w:szCs w:val="22"/>
        </w:rPr>
        <w:t>nes ; l'incivisme et la violence se répandaient, alors que les valeurs des sociétés étaient remises en question, notamment en Amérique du Nord.</w:t>
      </w:r>
    </w:p>
    <w:p w:rsidR="00AD690E" w:rsidRPr="00675326" w:rsidRDefault="00AD690E" w:rsidP="00AD690E">
      <w:pPr>
        <w:spacing w:before="120" w:after="120"/>
        <w:jc w:val="both"/>
      </w:pPr>
      <w:r w:rsidRPr="00675326">
        <w:rPr>
          <w:szCs w:val="22"/>
        </w:rPr>
        <w:t>Le Canada avait également évolué. La surchauffe économique avait accentué les différences et les disparités régionales. La « Révolution tranquille » avait transformé le Québec. En politique étrangère, des questions nouvelles étaient posées. La guerre du Vie</w:t>
      </w:r>
      <w:r w:rsidRPr="00675326">
        <w:rPr>
          <w:szCs w:val="22"/>
        </w:rPr>
        <w:t>t</w:t>
      </w:r>
      <w:r w:rsidRPr="00675326">
        <w:rPr>
          <w:szCs w:val="22"/>
        </w:rPr>
        <w:t>nam avait mis en cause les rapports avec les États-Unis : celle de vivre dans leur ombre et leur politique étrangère, de « dépendre économ</w:t>
      </w:r>
      <w:r w:rsidRPr="00675326">
        <w:rPr>
          <w:szCs w:val="22"/>
        </w:rPr>
        <w:t>i</w:t>
      </w:r>
      <w:r w:rsidRPr="00675326">
        <w:rPr>
          <w:szCs w:val="22"/>
        </w:rPr>
        <w:t>quement de la prospérité américaine » et de subir leur « influence e</w:t>
      </w:r>
      <w:r w:rsidRPr="00675326">
        <w:rPr>
          <w:szCs w:val="22"/>
        </w:rPr>
        <w:t>n</w:t>
      </w:r>
      <w:r w:rsidRPr="00675326">
        <w:rPr>
          <w:szCs w:val="22"/>
        </w:rPr>
        <w:t xml:space="preserve">vahissante ». Le rôle de « puissance moyenne », cher à Pearson, était remis en question par les mésaventures des Nations unies au Congo et surtout, par celles de la Commission internationale de contrôle au Vietnam et par l'effondrement de la Force d'urgence des Nations unies en 1967 en </w:t>
      </w:r>
      <w:r>
        <w:rPr>
          <w:szCs w:val="22"/>
        </w:rPr>
        <w:t>É</w:t>
      </w:r>
      <w:r w:rsidRPr="00675326">
        <w:rPr>
          <w:szCs w:val="22"/>
        </w:rPr>
        <w:t>gypte, deux échecs spectaculaires subis par le Canada. L'évolution de l'Europe occidentale posait aussi problème : son int</w:t>
      </w:r>
      <w:r w:rsidRPr="00675326">
        <w:rPr>
          <w:szCs w:val="22"/>
        </w:rPr>
        <w:t>é</w:t>
      </w:r>
      <w:r w:rsidRPr="00675326">
        <w:rPr>
          <w:szCs w:val="22"/>
        </w:rPr>
        <w:t>gration distendait ses liens transatlantiques. L'évolution du monde communiste reposait la question de la participation à l'OTAN. Enfin, le renouveau canadien-français — du Québec, dirions-nous — favor</w:t>
      </w:r>
      <w:r w:rsidRPr="00675326">
        <w:rPr>
          <w:szCs w:val="22"/>
        </w:rPr>
        <w:t>i</w:t>
      </w:r>
      <w:r w:rsidRPr="00675326">
        <w:rPr>
          <w:szCs w:val="22"/>
        </w:rPr>
        <w:t>sait directement des relations avec les pays francophones.</w:t>
      </w:r>
    </w:p>
    <w:p w:rsidR="00AD690E" w:rsidRPr="00675326" w:rsidRDefault="00AD690E" w:rsidP="00AD690E">
      <w:pPr>
        <w:spacing w:before="120" w:after="120"/>
        <w:jc w:val="both"/>
      </w:pPr>
      <w:r w:rsidRPr="00675326">
        <w:rPr>
          <w:szCs w:val="22"/>
        </w:rPr>
        <w:t>Il n'était pas possible de continuer, comme on l'avait fait depuis la guerre, à défendre une politique d'ajustements pragmatiques. Il était temps de renouveler la politique étrangère canadienne, tel que le go</w:t>
      </w:r>
      <w:r w:rsidRPr="00675326">
        <w:rPr>
          <w:szCs w:val="22"/>
        </w:rPr>
        <w:t>u</w:t>
      </w:r>
      <w:r w:rsidRPr="00675326">
        <w:rPr>
          <w:szCs w:val="22"/>
        </w:rPr>
        <w:t>vernement l'avait décidé en 1968. Le reproche général fait à la polit</w:t>
      </w:r>
      <w:r w:rsidRPr="00675326">
        <w:rPr>
          <w:szCs w:val="22"/>
        </w:rPr>
        <w:t>i</w:t>
      </w:r>
      <w:r w:rsidRPr="00675326">
        <w:rPr>
          <w:szCs w:val="22"/>
        </w:rPr>
        <w:t>que antérieure était d'avoir négligé les objectifs</w:t>
      </w:r>
      <w:r>
        <w:rPr>
          <w:szCs w:val="22"/>
        </w:rPr>
        <w:t xml:space="preserve"> </w:t>
      </w:r>
      <w:r>
        <w:t>[</w:t>
      </w:r>
      <w:r w:rsidRPr="00675326">
        <w:rPr>
          <w:szCs w:val="18"/>
        </w:rPr>
        <w:t>46</w:t>
      </w:r>
      <w:r>
        <w:rPr>
          <w:szCs w:val="18"/>
        </w:rPr>
        <w:t xml:space="preserve">] </w:t>
      </w:r>
      <w:r w:rsidRPr="00675326">
        <w:rPr>
          <w:szCs w:val="22"/>
        </w:rPr>
        <w:t>et les intérêts p</w:t>
      </w:r>
      <w:r w:rsidRPr="00675326">
        <w:rPr>
          <w:szCs w:val="22"/>
        </w:rPr>
        <w:t>o</w:t>
      </w:r>
      <w:r w:rsidRPr="00675326">
        <w:rPr>
          <w:szCs w:val="22"/>
        </w:rPr>
        <w:t>litiques du Canada pour ne s'attacher qu'à son rôle et à son influence. Il fallait désormais :</w:t>
      </w:r>
    </w:p>
    <w:p w:rsidR="00AD690E" w:rsidRDefault="00AD690E" w:rsidP="00AD690E">
      <w:pPr>
        <w:pStyle w:val="Grillecouleur-Accent1"/>
      </w:pPr>
    </w:p>
    <w:p w:rsidR="00AD690E" w:rsidRDefault="00AD690E" w:rsidP="00AD690E">
      <w:pPr>
        <w:pStyle w:val="Grillecouleur-Accent1"/>
      </w:pPr>
      <w:r w:rsidRPr="00675326">
        <w:t>[...] choisir avec soin les grands objectifs, les grandes orient</w:t>
      </w:r>
      <w:r w:rsidRPr="00675326">
        <w:t>a</w:t>
      </w:r>
      <w:r w:rsidRPr="00675326">
        <w:t>tions et les grandes priorités qui doivent présider à la défense des intérêts nati</w:t>
      </w:r>
      <w:r w:rsidRPr="00675326">
        <w:t>o</w:t>
      </w:r>
      <w:r w:rsidRPr="00675326">
        <w:t>naux et à l'illustration des valeurs nationales [...]. Comme tous les États, le Canada doit agir à partir de ses objectifs et de ses intérêts tels que lui-même les conçoit... La politique étrangère est [...] essentiellement le résu</w:t>
      </w:r>
      <w:r w:rsidRPr="00675326">
        <w:t>l</w:t>
      </w:r>
      <w:r w:rsidRPr="00675326">
        <w:t>tat de l'évaluation par le gouvernement des objectifs et des intérêts nati</w:t>
      </w:r>
      <w:r w:rsidRPr="00675326">
        <w:t>o</w:t>
      </w:r>
      <w:r w:rsidRPr="00675326">
        <w:t>naux. Elle est le prolongement de la politique nationale à l'étranger</w:t>
      </w:r>
      <w:r>
        <w:t xml:space="preserve">  </w:t>
      </w:r>
      <w:r>
        <w:rPr>
          <w:rStyle w:val="Appelnotedebasdep"/>
          <w:szCs w:val="18"/>
        </w:rPr>
        <w:footnoteReference w:id="51"/>
      </w:r>
      <w:r w:rsidRPr="00675326">
        <w:t>.</w:t>
      </w:r>
    </w:p>
    <w:p w:rsidR="00AD690E" w:rsidRPr="00675326" w:rsidRDefault="00AD690E" w:rsidP="00AD690E">
      <w:pPr>
        <w:pStyle w:val="Grillecouleur-Accent1"/>
      </w:pPr>
    </w:p>
    <w:p w:rsidR="00AD690E" w:rsidRPr="00675326" w:rsidRDefault="00AD690E" w:rsidP="00AD690E">
      <w:pPr>
        <w:spacing w:before="120" w:after="120"/>
        <w:jc w:val="both"/>
      </w:pPr>
      <w:r w:rsidRPr="00675326">
        <w:rPr>
          <w:szCs w:val="22"/>
        </w:rPr>
        <w:t>Cette approche à la politique étrangère rompait avec l'approche pragmatique qui n'avait cessé de l'influencer depuis 1931, date de l'adoption du statut de Westminster. Elle s'inscrivait dans le prolo</w:t>
      </w:r>
      <w:r w:rsidRPr="00675326">
        <w:rPr>
          <w:szCs w:val="22"/>
        </w:rPr>
        <w:t>n</w:t>
      </w:r>
      <w:r w:rsidRPr="00675326">
        <w:rPr>
          <w:szCs w:val="22"/>
        </w:rPr>
        <w:t>gement de la démarche réaliste dont Hans Morgenthau fut le théor</w:t>
      </w:r>
      <w:r w:rsidRPr="00675326">
        <w:rPr>
          <w:szCs w:val="22"/>
        </w:rPr>
        <w:t>i</w:t>
      </w:r>
      <w:r w:rsidRPr="00675326">
        <w:rPr>
          <w:szCs w:val="22"/>
        </w:rPr>
        <w:t>cien éminent dès l'après-guerre, mais en la modifiant, en ne consid</w:t>
      </w:r>
      <w:r w:rsidRPr="00675326">
        <w:rPr>
          <w:szCs w:val="22"/>
        </w:rPr>
        <w:t>é</w:t>
      </w:r>
      <w:r w:rsidRPr="00675326">
        <w:rPr>
          <w:szCs w:val="22"/>
        </w:rPr>
        <w:t>rant plus le monde comme l'apanage exclusif des grandes puissances mais aussi de puissances « principales »</w:t>
      </w:r>
      <w:r>
        <w:rPr>
          <w:szCs w:val="22"/>
        </w:rPr>
        <w:t> </w:t>
      </w:r>
      <w:r w:rsidRPr="00857900">
        <w:rPr>
          <w:rStyle w:val="Appelnotedebasdep"/>
        </w:rPr>
        <w:footnoteReference w:id="52"/>
      </w:r>
      <w:r w:rsidRPr="00675326">
        <w:rPr>
          <w:szCs w:val="22"/>
        </w:rPr>
        <w:t>, comme le Canada, qui i</w:t>
      </w:r>
      <w:r w:rsidRPr="00675326">
        <w:rPr>
          <w:szCs w:val="22"/>
        </w:rPr>
        <w:t>n</w:t>
      </w:r>
      <w:r w:rsidRPr="00675326">
        <w:rPr>
          <w:szCs w:val="22"/>
        </w:rPr>
        <w:t>fluent sur le système international sans le dominer.</w:t>
      </w:r>
    </w:p>
    <w:p w:rsidR="00AD690E" w:rsidRPr="00675326" w:rsidRDefault="00AD690E" w:rsidP="00AD690E">
      <w:pPr>
        <w:spacing w:before="120" w:after="120"/>
        <w:jc w:val="both"/>
      </w:pPr>
      <w:r w:rsidRPr="00675326">
        <w:rPr>
          <w:szCs w:val="22"/>
        </w:rPr>
        <w:t>Trois grands buts étaient assignés au Canada : le maintien en toute sécurité de son indépendance politique, la prospérité générale et la croissance, les valeurs à enrichir et à considérer pour les Canadiens dans leurs rapports avec d'autres peuples.</w:t>
      </w:r>
    </w:p>
    <w:p w:rsidR="00AD690E" w:rsidRPr="00675326" w:rsidRDefault="00AD690E" w:rsidP="00AD690E">
      <w:pPr>
        <w:spacing w:before="120" w:after="120"/>
        <w:jc w:val="both"/>
      </w:pPr>
      <w:r w:rsidRPr="00675326">
        <w:rPr>
          <w:szCs w:val="22"/>
        </w:rPr>
        <w:t>De ces trois buts très généraux découlaient six grandes orient</w:t>
      </w:r>
      <w:r w:rsidRPr="00675326">
        <w:rPr>
          <w:szCs w:val="22"/>
        </w:rPr>
        <w:t>a</w:t>
      </w:r>
      <w:r w:rsidRPr="00675326">
        <w:rPr>
          <w:szCs w:val="22"/>
        </w:rPr>
        <w:t>tions : stimuler la croissance économique au Canada, préserver sa souveraineté et son indépendance, travailler à la paix et à la sécurité, promouvoir la justice sociale, enrichir la qualité de la vie et maintenir l'harmonie du milieu naturel.</w:t>
      </w:r>
    </w:p>
    <w:p w:rsidR="00AD690E" w:rsidRDefault="00AD690E" w:rsidP="00AD690E">
      <w:pPr>
        <w:spacing w:before="120" w:after="120"/>
        <w:jc w:val="both"/>
        <w:rPr>
          <w:szCs w:val="22"/>
        </w:rPr>
      </w:pPr>
      <w:r w:rsidRPr="00675326">
        <w:rPr>
          <w:szCs w:val="22"/>
        </w:rPr>
        <w:t>Ces grandes orientations dictaient des objectifs différents à pou</w:t>
      </w:r>
      <w:r w:rsidRPr="00675326">
        <w:rPr>
          <w:szCs w:val="22"/>
        </w:rPr>
        <w:t>r</w:t>
      </w:r>
      <w:r w:rsidRPr="00675326">
        <w:rPr>
          <w:szCs w:val="22"/>
        </w:rPr>
        <w:t>suivre selon les régions du monde et l'ajustement des grands probl</w:t>
      </w:r>
      <w:r w:rsidRPr="00675326">
        <w:rPr>
          <w:szCs w:val="22"/>
        </w:rPr>
        <w:t>è</w:t>
      </w:r>
      <w:r w:rsidRPr="00675326">
        <w:rPr>
          <w:szCs w:val="22"/>
        </w:rPr>
        <w:t>mes fonctionnels. C'est ainsi que, sur le plan de la défense, une rév</w:t>
      </w:r>
      <w:r w:rsidRPr="00675326">
        <w:rPr>
          <w:szCs w:val="22"/>
        </w:rPr>
        <w:t>i</w:t>
      </w:r>
      <w:r w:rsidRPr="00675326">
        <w:rPr>
          <w:szCs w:val="22"/>
        </w:rPr>
        <w:t>sion des objectifs renversait l'ordre adopté en 1964. Désormais, la pr</w:t>
      </w:r>
      <w:r w:rsidRPr="00675326">
        <w:rPr>
          <w:szCs w:val="22"/>
        </w:rPr>
        <w:t>o</w:t>
      </w:r>
      <w:r w:rsidRPr="00675326">
        <w:rPr>
          <w:szCs w:val="22"/>
        </w:rPr>
        <w:t>tection de la souveraineté canadienne, notamment la surveillance des côtes canadiennes, venait en priorité, suivie de la défense de l'Amér</w:t>
      </w:r>
      <w:r w:rsidRPr="00675326">
        <w:rPr>
          <w:szCs w:val="22"/>
        </w:rPr>
        <w:t>i</w:t>
      </w:r>
      <w:r w:rsidRPr="00675326">
        <w:rPr>
          <w:szCs w:val="22"/>
        </w:rPr>
        <w:t>que du Nord avec les États-Unis ; l'OTAN venait en troisième place et les opérations internationales de maintien de la paix étaient reléguées au dernier rang.</w:t>
      </w:r>
    </w:p>
    <w:p w:rsidR="00AD690E" w:rsidRDefault="00AD690E" w:rsidP="00AD690E">
      <w:pPr>
        <w:pStyle w:val="p"/>
      </w:pPr>
      <w:r w:rsidRPr="00675326">
        <w:br w:type="page"/>
      </w:r>
      <w:r>
        <w:t>[47]</w:t>
      </w:r>
    </w:p>
    <w:p w:rsidR="00AD690E" w:rsidRDefault="00AD690E" w:rsidP="00AD690E">
      <w:pPr>
        <w:spacing w:before="120" w:after="120"/>
        <w:jc w:val="both"/>
        <w:rPr>
          <w:szCs w:val="18"/>
        </w:rPr>
      </w:pPr>
    </w:p>
    <w:p w:rsidR="00AD690E" w:rsidRPr="00675326" w:rsidRDefault="00AD690E" w:rsidP="00AD690E">
      <w:pPr>
        <w:pStyle w:val="planche"/>
      </w:pPr>
      <w:r>
        <w:t>LA « TROISIÈME OPTION » :</w:t>
      </w:r>
      <w:r>
        <w:br/>
      </w:r>
      <w:r w:rsidRPr="00675326">
        <w:t>LA POLITIQUE VIS-À-VIS</w:t>
      </w:r>
      <w:r>
        <w:br/>
      </w:r>
      <w:r w:rsidRPr="00675326">
        <w:t>DES ÉTATS-UNIS</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Mais c'est surtout à l'égard des États-Unis que ces objectifs régi</w:t>
      </w:r>
      <w:r w:rsidRPr="00675326">
        <w:rPr>
          <w:szCs w:val="22"/>
        </w:rPr>
        <w:t>o</w:t>
      </w:r>
      <w:r w:rsidRPr="00675326">
        <w:rPr>
          <w:szCs w:val="22"/>
        </w:rPr>
        <w:t>naux furent précisés. En 1972, un article signé par le secrétaire d'État aux Affaires extérieures, Mitchell Sharp y faisait un diagnostic lucide des relations du Canada avec les États-Unis. Cet article, souvent cité, mais plus rarement lu et intitulé « Relations canado-américaines : choix pour l'avenir »</w:t>
      </w:r>
      <w:r>
        <w:rPr>
          <w:szCs w:val="22"/>
        </w:rPr>
        <w:t> </w:t>
      </w:r>
      <w:r w:rsidRPr="00857900">
        <w:rPr>
          <w:rStyle w:val="Appelnotedebasdep"/>
        </w:rPr>
        <w:footnoteReference w:id="53"/>
      </w:r>
      <w:r w:rsidRPr="00675326">
        <w:rPr>
          <w:szCs w:val="22"/>
        </w:rPr>
        <w:t>, constatait la dépendance croissante du Canada par rapport aux États-Unis dans les domaines militaire, économique et culturel.</w:t>
      </w:r>
    </w:p>
    <w:p w:rsidR="00AD690E" w:rsidRPr="00675326" w:rsidRDefault="00AD690E" w:rsidP="00AD690E">
      <w:pPr>
        <w:spacing w:before="120" w:after="120"/>
        <w:jc w:val="both"/>
      </w:pPr>
      <w:r w:rsidRPr="00675326">
        <w:rPr>
          <w:szCs w:val="22"/>
        </w:rPr>
        <w:t>Que devrait faire le Canada ? Après avoir écarté tout isolationni</w:t>
      </w:r>
      <w:r w:rsidRPr="00675326">
        <w:rPr>
          <w:szCs w:val="22"/>
        </w:rPr>
        <w:t>s</w:t>
      </w:r>
      <w:r w:rsidRPr="00675326">
        <w:rPr>
          <w:szCs w:val="22"/>
        </w:rPr>
        <w:t>me comme irréaliste, le ministre Sharp examinait les trois options possibles :</w:t>
      </w:r>
    </w:p>
    <w:p w:rsidR="00AD690E" w:rsidRDefault="00AD690E" w:rsidP="00AD690E">
      <w:pPr>
        <w:spacing w:before="120" w:after="120"/>
        <w:ind w:left="720" w:hanging="360"/>
        <w:jc w:val="both"/>
        <w:rPr>
          <w:szCs w:val="22"/>
        </w:rPr>
      </w:pPr>
    </w:p>
    <w:p w:rsidR="00AD690E" w:rsidRPr="00675326" w:rsidRDefault="00AD690E" w:rsidP="00AD690E">
      <w:pPr>
        <w:spacing w:before="120" w:after="120"/>
        <w:ind w:left="720" w:hanging="360"/>
        <w:jc w:val="both"/>
      </w:pPr>
      <w:r w:rsidRPr="00675326">
        <w:rPr>
          <w:szCs w:val="22"/>
        </w:rPr>
        <w:t>a.</w:t>
      </w:r>
      <w:r w:rsidRPr="00675326">
        <w:rPr>
          <w:szCs w:val="22"/>
        </w:rPr>
        <w:tab/>
        <w:t>le statu quo : « Nous pouvons chercher à maintenir plus ou moins l'état</w:t>
      </w:r>
      <w:r>
        <w:rPr>
          <w:szCs w:val="22"/>
        </w:rPr>
        <w:t xml:space="preserve"> </w:t>
      </w:r>
      <w:r w:rsidRPr="00675326">
        <w:rPr>
          <w:szCs w:val="22"/>
        </w:rPr>
        <w:t>actuel de nos relations avec les États-Unis, en m</w:t>
      </w:r>
      <w:r w:rsidRPr="00675326">
        <w:rPr>
          <w:szCs w:val="22"/>
        </w:rPr>
        <w:t>o</w:t>
      </w:r>
      <w:r w:rsidRPr="00675326">
        <w:rPr>
          <w:szCs w:val="22"/>
        </w:rPr>
        <w:t>difiant nos politiques le</w:t>
      </w:r>
      <w:r>
        <w:rPr>
          <w:szCs w:val="22"/>
        </w:rPr>
        <w:t xml:space="preserve"> </w:t>
      </w:r>
      <w:r w:rsidRPr="00675326">
        <w:rPr>
          <w:szCs w:val="22"/>
        </w:rPr>
        <w:t>moins possible » ;</w:t>
      </w:r>
    </w:p>
    <w:p w:rsidR="00AD690E" w:rsidRPr="00675326" w:rsidRDefault="00AD690E" w:rsidP="00AD690E">
      <w:pPr>
        <w:spacing w:before="120" w:after="120"/>
        <w:ind w:left="720" w:hanging="360"/>
        <w:jc w:val="both"/>
      </w:pPr>
      <w:r w:rsidRPr="00675326">
        <w:rPr>
          <w:szCs w:val="22"/>
        </w:rPr>
        <w:t>b.</w:t>
      </w:r>
      <w:r w:rsidRPr="00675326">
        <w:rPr>
          <w:szCs w:val="22"/>
        </w:rPr>
        <w:tab/>
        <w:t>l'intégration : « Nous pouvons nous acheminer délibérément vers une</w:t>
      </w:r>
      <w:r>
        <w:rPr>
          <w:szCs w:val="22"/>
        </w:rPr>
        <w:t xml:space="preserve"> </w:t>
      </w:r>
      <w:r w:rsidRPr="00675326">
        <w:rPr>
          <w:szCs w:val="22"/>
        </w:rPr>
        <w:t>intégration plus étroite avec les États-Unis » ;</w:t>
      </w:r>
    </w:p>
    <w:p w:rsidR="00AD690E" w:rsidRDefault="00AD690E" w:rsidP="00AD690E">
      <w:pPr>
        <w:spacing w:before="120" w:after="120"/>
        <w:ind w:left="720" w:hanging="360"/>
        <w:jc w:val="both"/>
        <w:rPr>
          <w:szCs w:val="22"/>
        </w:rPr>
      </w:pPr>
      <w:r w:rsidRPr="00675326">
        <w:rPr>
          <w:szCs w:val="22"/>
        </w:rPr>
        <w:t>c.</w:t>
      </w:r>
      <w:r w:rsidRPr="00675326">
        <w:rPr>
          <w:szCs w:val="22"/>
        </w:rPr>
        <w:tab/>
        <w:t>la troisième option : « Nous pouvons adopter une stratégie g</w:t>
      </w:r>
      <w:r w:rsidRPr="00675326">
        <w:rPr>
          <w:szCs w:val="22"/>
        </w:rPr>
        <w:t>é</w:t>
      </w:r>
      <w:r w:rsidRPr="00675326">
        <w:rPr>
          <w:szCs w:val="22"/>
        </w:rPr>
        <w:t>nérale, à long</w:t>
      </w:r>
      <w:r>
        <w:rPr>
          <w:szCs w:val="22"/>
        </w:rPr>
        <w:t xml:space="preserve"> </w:t>
      </w:r>
      <w:r w:rsidRPr="00675326">
        <w:rPr>
          <w:szCs w:val="22"/>
        </w:rPr>
        <w:t>terme, visant à développer et à raffermir notre économie et les autres</w:t>
      </w:r>
      <w:r>
        <w:rPr>
          <w:szCs w:val="22"/>
        </w:rPr>
        <w:t xml:space="preserve"> </w:t>
      </w:r>
      <w:r w:rsidRPr="00675326">
        <w:rPr>
          <w:szCs w:val="22"/>
        </w:rPr>
        <w:t>aspects de notre vie nationale et, ce fa</w:t>
      </w:r>
      <w:r w:rsidRPr="00675326">
        <w:rPr>
          <w:szCs w:val="22"/>
        </w:rPr>
        <w:t>i</w:t>
      </w:r>
      <w:r w:rsidRPr="00675326">
        <w:rPr>
          <w:szCs w:val="22"/>
        </w:rPr>
        <w:t>sant, réduire la vulnérabilité</w:t>
      </w:r>
      <w:r>
        <w:rPr>
          <w:szCs w:val="22"/>
        </w:rPr>
        <w:t xml:space="preserve"> </w:t>
      </w:r>
      <w:r w:rsidRPr="00675326">
        <w:rPr>
          <w:szCs w:val="22"/>
        </w:rPr>
        <w:t>actuelle du Canada ».</w:t>
      </w:r>
    </w:p>
    <w:p w:rsidR="00AD690E" w:rsidRPr="00675326" w:rsidRDefault="00AD690E" w:rsidP="00AD690E">
      <w:pPr>
        <w:spacing w:before="120" w:after="120"/>
        <w:ind w:left="720" w:hanging="360"/>
        <w:jc w:val="both"/>
      </w:pPr>
    </w:p>
    <w:p w:rsidR="00AD690E" w:rsidRPr="00675326" w:rsidRDefault="00AD690E" w:rsidP="00AD690E">
      <w:pPr>
        <w:spacing w:before="120" w:after="120"/>
        <w:jc w:val="both"/>
      </w:pPr>
      <w:r w:rsidRPr="00675326">
        <w:rPr>
          <w:szCs w:val="22"/>
        </w:rPr>
        <w:t>Cette troisième option était donc une stratégie à long terme — on ne le soulignera jamais assez — qui comportait à la fois un volet i</w:t>
      </w:r>
      <w:r w:rsidRPr="00675326">
        <w:rPr>
          <w:szCs w:val="22"/>
        </w:rPr>
        <w:t>n</w:t>
      </w:r>
      <w:r w:rsidRPr="00675326">
        <w:rPr>
          <w:szCs w:val="22"/>
        </w:rPr>
        <w:t>terne et un volet externe. Pour pouvoir, en effet, « élargir délibérément la gamme des marchés » étrangers « sur lesquels les Canadiens pou</w:t>
      </w:r>
      <w:r w:rsidRPr="00675326">
        <w:rPr>
          <w:szCs w:val="22"/>
        </w:rPr>
        <w:t>r</w:t>
      </w:r>
      <w:r w:rsidRPr="00675326">
        <w:rPr>
          <w:szCs w:val="22"/>
        </w:rPr>
        <w:t>ront et devront faire face à la concurrence », il était évidemment e</w:t>
      </w:r>
      <w:r w:rsidRPr="00675326">
        <w:rPr>
          <w:szCs w:val="22"/>
        </w:rPr>
        <w:t>s</w:t>
      </w:r>
      <w:r w:rsidRPr="00675326">
        <w:rPr>
          <w:szCs w:val="22"/>
        </w:rPr>
        <w:t>sentiel « de créer une base économique saine » (p. 20). Ce volet inte</w:t>
      </w:r>
      <w:r w:rsidRPr="00675326">
        <w:rPr>
          <w:szCs w:val="22"/>
        </w:rPr>
        <w:t>r</w:t>
      </w:r>
      <w:r w:rsidRPr="00675326">
        <w:rPr>
          <w:szCs w:val="22"/>
        </w:rPr>
        <w:t>ne — presque toujours ignoré dans les références à la politique de troisième option — impliquait, ni plus ni moins, « une refonte des structures économiques » (p. 21), caractérisée par « la spécialisation et la rationalisation de la production et l'émergence de sociétés dynam</w:t>
      </w:r>
      <w:r w:rsidRPr="00675326">
        <w:rPr>
          <w:szCs w:val="22"/>
        </w:rPr>
        <w:t>i</w:t>
      </w:r>
      <w:r w:rsidRPr="00675326">
        <w:rPr>
          <w:szCs w:val="22"/>
        </w:rPr>
        <w:t>ques sous contrôle canadien » (p. 20). Pour ce faire, « un certain degré de planification » s'imposait, qui englobait aussi le volet externe. Cette stratégie prévoyait la coordination d'« un large éventail d'instruments politiques convergents » comprenant « la politique fiscale, la politique monétaire, les tarifs, les achats du gouvernement, les règlements r</w:t>
      </w:r>
      <w:r w:rsidRPr="00675326">
        <w:rPr>
          <w:szCs w:val="22"/>
        </w:rPr>
        <w:t>é</w:t>
      </w:r>
      <w:r w:rsidRPr="00675326">
        <w:rPr>
          <w:szCs w:val="22"/>
        </w:rPr>
        <w:t>gissant l'investissement étranger, la politique scientifique » (p</w:t>
      </w:r>
      <w:r>
        <w:rPr>
          <w:szCs w:val="22"/>
        </w:rPr>
        <w:t>p</w:t>
      </w:r>
      <w:r w:rsidRPr="00675326">
        <w:rPr>
          <w:szCs w:val="22"/>
        </w:rPr>
        <w:t>. 20-21). Elle se doublait d'une stratégie visant à renforcer l'identité cult</w:t>
      </w:r>
      <w:r w:rsidRPr="00675326">
        <w:rPr>
          <w:szCs w:val="22"/>
        </w:rPr>
        <w:t>u</w:t>
      </w:r>
      <w:r w:rsidRPr="00675326">
        <w:rPr>
          <w:szCs w:val="22"/>
        </w:rPr>
        <w:t>relle canadienne et à l'affirmer sur la scène internationale (p. 22).</w:t>
      </w:r>
    </w:p>
    <w:p w:rsidR="00AD690E" w:rsidRPr="00675326" w:rsidRDefault="00AD690E" w:rsidP="00AD690E">
      <w:pPr>
        <w:spacing w:before="120" w:after="120"/>
        <w:jc w:val="both"/>
      </w:pPr>
      <w:r w:rsidRPr="00675326">
        <w:rPr>
          <w:szCs w:val="22"/>
        </w:rPr>
        <w:t>Au second volet externe venait s'adjoindre l'élargissement de la gamme des marchés, où l'auteur fixait des limites réalistes : les États-Unis resteraient évidemment le partenaire économique principal. To</w:t>
      </w:r>
      <w:r w:rsidRPr="00675326">
        <w:rPr>
          <w:szCs w:val="22"/>
        </w:rPr>
        <w:t>u</w:t>
      </w:r>
      <w:r w:rsidRPr="00675326">
        <w:rPr>
          <w:szCs w:val="22"/>
        </w:rPr>
        <w:t xml:space="preserve">tefois, en diversifiant ses marchés, le Canada réduirait sa dépendance à leur égard. Ces autres marchés, ce n'était pas seulement en Europe, comme on l'a souvent dit à tort, que le </w:t>
      </w:r>
      <w:r>
        <w:rPr>
          <w:szCs w:val="22"/>
        </w:rPr>
        <w:t xml:space="preserve">Canada </w:t>
      </w:r>
      <w:r>
        <w:t>[</w:t>
      </w:r>
      <w:r w:rsidRPr="00675326">
        <w:rPr>
          <w:szCs w:val="22"/>
        </w:rPr>
        <w:t>48</w:t>
      </w:r>
      <w:r>
        <w:rPr>
          <w:szCs w:val="22"/>
        </w:rPr>
        <w:t xml:space="preserve">] </w:t>
      </w:r>
      <w:r w:rsidRPr="00675326">
        <w:rPr>
          <w:szCs w:val="22"/>
        </w:rPr>
        <w:t>irait les chercher, ni non plus auprès du lien contractuel noué avec la Communauté e</w:t>
      </w:r>
      <w:r w:rsidRPr="00675326">
        <w:rPr>
          <w:szCs w:val="22"/>
        </w:rPr>
        <w:t>u</w:t>
      </w:r>
      <w:r w:rsidRPr="00675326">
        <w:rPr>
          <w:szCs w:val="22"/>
        </w:rPr>
        <w:t>ropéenne trois ans plus tard, pas plus qu'auprès du développement des relations avec le Japon. La diversification impl</w:t>
      </w:r>
      <w:r w:rsidRPr="00675326">
        <w:rPr>
          <w:szCs w:val="22"/>
        </w:rPr>
        <w:t>i</w:t>
      </w:r>
      <w:r w:rsidRPr="00675326">
        <w:rPr>
          <w:szCs w:val="22"/>
        </w:rPr>
        <w:t>quant, par exemple, que le Canada se tourne aussi vers l'URSS, dont les experts de l'Inst</w:t>
      </w:r>
      <w:r w:rsidRPr="00675326">
        <w:rPr>
          <w:szCs w:val="22"/>
        </w:rPr>
        <w:t>i</w:t>
      </w:r>
      <w:r w:rsidRPr="00675326">
        <w:rPr>
          <w:szCs w:val="22"/>
        </w:rPr>
        <w:t>tut d'étude sur les États-Unis et le Canada perçurent l'ouverture éve</w:t>
      </w:r>
      <w:r w:rsidRPr="00675326">
        <w:rPr>
          <w:szCs w:val="22"/>
        </w:rPr>
        <w:t>n</w:t>
      </w:r>
      <w:r w:rsidRPr="00675326">
        <w:rPr>
          <w:szCs w:val="22"/>
        </w:rPr>
        <w:t>tuelle</w:t>
      </w:r>
      <w:r>
        <w:rPr>
          <w:szCs w:val="22"/>
        </w:rPr>
        <w:t> </w:t>
      </w:r>
      <w:r w:rsidRPr="00857900">
        <w:rPr>
          <w:rStyle w:val="Appelnotedebasdep"/>
        </w:rPr>
        <w:footnoteReference w:id="54"/>
      </w:r>
      <w:r w:rsidRPr="00675326">
        <w:rPr>
          <w:szCs w:val="22"/>
        </w:rPr>
        <w:t>. Vers la Chine également, que le Canada avait reconnue en 1970. Et vers l'Amérique latine, qu'une importante mission intermini</w:t>
      </w:r>
      <w:r w:rsidRPr="00675326">
        <w:rPr>
          <w:szCs w:val="22"/>
        </w:rPr>
        <w:t>s</w:t>
      </w:r>
      <w:r w:rsidRPr="00675326">
        <w:rPr>
          <w:szCs w:val="22"/>
        </w:rPr>
        <w:t>térielle avait prospectée dès 1968. Enfin, les marchés des pays en d</w:t>
      </w:r>
      <w:r w:rsidRPr="00675326">
        <w:rPr>
          <w:szCs w:val="22"/>
        </w:rPr>
        <w:t>é</w:t>
      </w:r>
      <w:r w:rsidRPr="00675326">
        <w:rPr>
          <w:szCs w:val="22"/>
        </w:rPr>
        <w:t>veloppement d'Asie et d'Afrique devraient être o</w:t>
      </w:r>
      <w:r w:rsidRPr="00675326">
        <w:rPr>
          <w:szCs w:val="22"/>
        </w:rPr>
        <w:t>u</w:t>
      </w:r>
      <w:r w:rsidRPr="00675326">
        <w:rPr>
          <w:szCs w:val="22"/>
        </w:rPr>
        <w:t>verts, stimulés par la politique d'aide de l'ACDI.</w:t>
      </w:r>
    </w:p>
    <w:p w:rsidR="00AD690E" w:rsidRPr="00675326" w:rsidRDefault="00AD690E" w:rsidP="00AD690E">
      <w:pPr>
        <w:spacing w:before="120" w:after="120"/>
        <w:jc w:val="both"/>
      </w:pPr>
      <w:r w:rsidRPr="00675326">
        <w:rPr>
          <w:szCs w:val="22"/>
        </w:rPr>
        <w:t xml:space="preserve">Ce grand dessein ne fut mis en </w:t>
      </w:r>
      <w:r>
        <w:rPr>
          <w:szCs w:val="22"/>
        </w:rPr>
        <w:t>œuvre</w:t>
      </w:r>
      <w:r w:rsidRPr="00675326">
        <w:rPr>
          <w:szCs w:val="22"/>
        </w:rPr>
        <w:t xml:space="preserve"> que partiellement. Sur le plan interne, un certain nombre de mesures furent prises pour renfo</w:t>
      </w:r>
      <w:r w:rsidRPr="00675326">
        <w:rPr>
          <w:szCs w:val="22"/>
        </w:rPr>
        <w:t>r</w:t>
      </w:r>
      <w:r w:rsidRPr="00675326">
        <w:rPr>
          <w:szCs w:val="22"/>
        </w:rPr>
        <w:t>cer la structure de l'économie canadienne. C'est ainsi que fut créée en 1973 l'Agence d'examen des investissements étrangers. Cet organi</w:t>
      </w:r>
      <w:r w:rsidRPr="00675326">
        <w:rPr>
          <w:szCs w:val="22"/>
        </w:rPr>
        <w:t>s</w:t>
      </w:r>
      <w:r w:rsidRPr="00675326">
        <w:rPr>
          <w:szCs w:val="22"/>
        </w:rPr>
        <w:t>me, mieux connu sous ses initiales anglaises : FIRA, avait des obje</w:t>
      </w:r>
      <w:r w:rsidRPr="00675326">
        <w:rPr>
          <w:szCs w:val="22"/>
        </w:rPr>
        <w:t>c</w:t>
      </w:r>
      <w:r w:rsidRPr="00675326">
        <w:rPr>
          <w:szCs w:val="22"/>
        </w:rPr>
        <w:t>tifs moins ambitieux que ne l'avaient imaginé les concepteurs et réda</w:t>
      </w:r>
      <w:r w:rsidRPr="00675326">
        <w:rPr>
          <w:szCs w:val="22"/>
        </w:rPr>
        <w:t>c</w:t>
      </w:r>
      <w:r w:rsidRPr="00675326">
        <w:rPr>
          <w:szCs w:val="22"/>
        </w:rPr>
        <w:t xml:space="preserve">teurs du </w:t>
      </w:r>
      <w:r w:rsidRPr="00675326">
        <w:rPr>
          <w:i/>
          <w:iCs/>
          <w:szCs w:val="22"/>
        </w:rPr>
        <w:t xml:space="preserve">Rapport Gray </w:t>
      </w:r>
      <w:r w:rsidRPr="00675326">
        <w:rPr>
          <w:szCs w:val="22"/>
        </w:rPr>
        <w:t>(1972). Il contrôlait exclusivement les no</w:t>
      </w:r>
      <w:r w:rsidRPr="00675326">
        <w:rPr>
          <w:szCs w:val="22"/>
        </w:rPr>
        <w:t>u</w:t>
      </w:r>
      <w:r w:rsidRPr="00675326">
        <w:rPr>
          <w:szCs w:val="22"/>
        </w:rPr>
        <w:t>veaux investissement</w:t>
      </w:r>
      <w:r>
        <w:rPr>
          <w:szCs w:val="22"/>
        </w:rPr>
        <w:t>s</w:t>
      </w:r>
      <w:r w:rsidRPr="00675326">
        <w:rPr>
          <w:szCs w:val="22"/>
        </w:rPr>
        <w:t xml:space="preserve"> et les entreprises qui changeaient de main, mais se désintéressait des autres entreprises étrangères. En outre, le go</w:t>
      </w:r>
      <w:r w:rsidRPr="00675326">
        <w:rPr>
          <w:szCs w:val="22"/>
        </w:rPr>
        <w:t>u</w:t>
      </w:r>
      <w:r w:rsidRPr="00675326">
        <w:rPr>
          <w:szCs w:val="22"/>
        </w:rPr>
        <w:t>vernement créait une compagnie pétrolière publique, Pétro-Canada, et apportait son soutien à des compagnies pétrolières canadiennes pr</w:t>
      </w:r>
      <w:r w:rsidRPr="00675326">
        <w:rPr>
          <w:szCs w:val="22"/>
        </w:rPr>
        <w:t>i</w:t>
      </w:r>
      <w:r w:rsidRPr="00675326">
        <w:rPr>
          <w:szCs w:val="22"/>
        </w:rPr>
        <w:t>vées, mais, dans un premier temps, ces mesures ne touchaient qu'un secteur limité de cette industrie. Dans une autre industrie, l'avionnerie, le gouvernement nationalisait deux compagnies — Canadair et de H</w:t>
      </w:r>
      <w:r w:rsidRPr="00675326">
        <w:rPr>
          <w:szCs w:val="22"/>
        </w:rPr>
        <w:t>a</w:t>
      </w:r>
      <w:r w:rsidRPr="00675326">
        <w:rPr>
          <w:szCs w:val="22"/>
        </w:rPr>
        <w:t>viland — avec pour objectif d'en faire des entreprises dynamiques, capables d'exceller et de renforcer cette industrie d'avenir. Quand une filiale de compagnie américaine, MLW, refusa de livrer des locomot</w:t>
      </w:r>
      <w:r w:rsidRPr="00675326">
        <w:rPr>
          <w:szCs w:val="22"/>
        </w:rPr>
        <w:t>i</w:t>
      </w:r>
      <w:r w:rsidRPr="00675326">
        <w:rPr>
          <w:szCs w:val="22"/>
        </w:rPr>
        <w:t>ves à Cuba, le gouvernement intervint et en facilita le rachat par la compagnie Bombardier, qui allait ensuite accroître encore sa capacité de production de matériel ferroviaire. Ces quelques exemples témo</w:t>
      </w:r>
      <w:r w:rsidRPr="00675326">
        <w:rPr>
          <w:szCs w:val="22"/>
        </w:rPr>
        <w:t>i</w:t>
      </w:r>
      <w:r w:rsidRPr="00675326">
        <w:rPr>
          <w:szCs w:val="22"/>
        </w:rPr>
        <w:t>gnent d'une ligne d'action, mais celle-ci reste bien en deçà de l'ense</w:t>
      </w:r>
      <w:r w:rsidRPr="00675326">
        <w:rPr>
          <w:szCs w:val="22"/>
        </w:rPr>
        <w:t>m</w:t>
      </w:r>
      <w:r w:rsidRPr="00675326">
        <w:rPr>
          <w:szCs w:val="22"/>
        </w:rPr>
        <w:t>ble des mesures que les planificateurs du ministère des Affaires ext</w:t>
      </w:r>
      <w:r w:rsidRPr="00675326">
        <w:rPr>
          <w:szCs w:val="22"/>
        </w:rPr>
        <w:t>é</w:t>
      </w:r>
      <w:r w:rsidRPr="00675326">
        <w:rPr>
          <w:szCs w:val="22"/>
        </w:rPr>
        <w:t>rieures avaient préconisées pour que la restructuration de l'économie canadienne soit suffisante. C'est qu'au sein de l'administration et du Cabinet, il n'y avait pas unanimité pour mener une politique vigoure</w:t>
      </w:r>
      <w:r w:rsidRPr="00675326">
        <w:rPr>
          <w:szCs w:val="22"/>
        </w:rPr>
        <w:t>u</w:t>
      </w:r>
      <w:r w:rsidRPr="00675326">
        <w:rPr>
          <w:szCs w:val="22"/>
        </w:rPr>
        <w:t>se. Il est, par exemple, notoire que le ministère des Finances était un foyer d'opposition à cette politique. En outre, la pratique du saupo</w:t>
      </w:r>
      <w:r w:rsidRPr="00675326">
        <w:rPr>
          <w:szCs w:val="22"/>
        </w:rPr>
        <w:t>u</w:t>
      </w:r>
      <w:r w:rsidRPr="00675326">
        <w:rPr>
          <w:szCs w:val="22"/>
        </w:rPr>
        <w:t>drage de subventions aux régions défavorisées par le ministère de l'Expansion régionale s'accordait mal avec une politique systématique et rationnelle de restructuration de l'économie. En définitive, le go</w:t>
      </w:r>
      <w:r w:rsidRPr="00675326">
        <w:rPr>
          <w:szCs w:val="22"/>
        </w:rPr>
        <w:t>u</w:t>
      </w:r>
      <w:r w:rsidRPr="00675326">
        <w:rPr>
          <w:szCs w:val="22"/>
        </w:rPr>
        <w:t>vernement manqua de hardiesse, sinon de volonté politique, et ne pa</w:t>
      </w:r>
      <w:r w:rsidRPr="00675326">
        <w:rPr>
          <w:szCs w:val="22"/>
        </w:rPr>
        <w:t>r</w:t>
      </w:r>
      <w:r w:rsidRPr="00675326">
        <w:rPr>
          <w:szCs w:val="22"/>
        </w:rPr>
        <w:t>vint pas à imposer sa vision.</w:t>
      </w:r>
    </w:p>
    <w:p w:rsidR="00AD690E" w:rsidRPr="00675326" w:rsidRDefault="00AD690E" w:rsidP="00AD690E">
      <w:pPr>
        <w:spacing w:before="120" w:after="120"/>
        <w:jc w:val="both"/>
      </w:pPr>
      <w:r w:rsidRPr="00675326">
        <w:rPr>
          <w:szCs w:val="22"/>
        </w:rPr>
        <w:t>La diversification vers l'extérieur présentait, quant à elle, une série de problèmes. Tout d'abord, elle était tributaire de la restructuration de l'économie. Ensuite, elle devait compter sur la collaboration du se</w:t>
      </w:r>
      <w:r w:rsidRPr="00675326">
        <w:rPr>
          <w:szCs w:val="22"/>
        </w:rPr>
        <w:t>c</w:t>
      </w:r>
      <w:r w:rsidRPr="00675326">
        <w:rPr>
          <w:szCs w:val="22"/>
        </w:rPr>
        <w:t>teur privé pour qu'il se</w:t>
      </w:r>
      <w:r>
        <w:rPr>
          <w:szCs w:val="22"/>
        </w:rPr>
        <w:t xml:space="preserve"> </w:t>
      </w:r>
      <w:r>
        <w:t xml:space="preserve">[49] </w:t>
      </w:r>
      <w:r w:rsidRPr="00675326">
        <w:rPr>
          <w:szCs w:val="22"/>
        </w:rPr>
        <w:t>cherchât de nouveaux partenaires co</w:t>
      </w:r>
      <w:r w:rsidRPr="00675326">
        <w:rPr>
          <w:szCs w:val="22"/>
        </w:rPr>
        <w:t>m</w:t>
      </w:r>
      <w:r w:rsidRPr="00675326">
        <w:rPr>
          <w:szCs w:val="22"/>
        </w:rPr>
        <w:t>merciaux. Enfin — et ce n'était pas le moindre obstacle — elle était tributaire de l'ouverture et de la réceptivité des pays étrangers. Sur ce dernier point, le premier ministre déploya une grande énergie en 1974-1975 pour persuader les capitales des États membres de la Communauté européenne de leur avantage à nouer des liens privil</w:t>
      </w:r>
      <w:r w:rsidRPr="00675326">
        <w:rPr>
          <w:szCs w:val="22"/>
        </w:rPr>
        <w:t>é</w:t>
      </w:r>
      <w:r w:rsidRPr="00675326">
        <w:rPr>
          <w:szCs w:val="22"/>
        </w:rPr>
        <w:t>giés avec le Canada. La France de Giscard d</w:t>
      </w:r>
      <w:r>
        <w:rPr>
          <w:szCs w:val="22"/>
        </w:rPr>
        <w:t>’</w:t>
      </w:r>
      <w:r w:rsidRPr="00675326">
        <w:rPr>
          <w:szCs w:val="22"/>
        </w:rPr>
        <w:t>Estaing laissa tomber les objections de Pompidou, en se laissant convaincre de l'originalité de la politique canadienne par ra</w:t>
      </w:r>
      <w:r w:rsidRPr="00675326">
        <w:rPr>
          <w:szCs w:val="22"/>
        </w:rPr>
        <w:t>p</w:t>
      </w:r>
      <w:r w:rsidRPr="00675326">
        <w:rPr>
          <w:szCs w:val="22"/>
        </w:rPr>
        <w:t>port à celle des États-Unis. Mais, plus généralement, la Communauté européenne accepta ce lien à condition que le Canada lui garantisse accès à ses matières premières et sources d'énergie. Comme à l'égard de cet autre partenaire industrialisé, le J</w:t>
      </w:r>
      <w:r w:rsidRPr="00675326">
        <w:rPr>
          <w:szCs w:val="22"/>
        </w:rPr>
        <w:t>a</w:t>
      </w:r>
      <w:r w:rsidRPr="00675326">
        <w:rPr>
          <w:szCs w:val="22"/>
        </w:rPr>
        <w:t>pon, le Canada se trouvait aussi surtout pourvoyeur de matières pr</w:t>
      </w:r>
      <w:r w:rsidRPr="00675326">
        <w:rPr>
          <w:szCs w:val="22"/>
        </w:rPr>
        <w:t>e</w:t>
      </w:r>
      <w:r w:rsidRPr="00675326">
        <w:rPr>
          <w:szCs w:val="22"/>
        </w:rPr>
        <w:t>mières et d'énergie : la dive</w:t>
      </w:r>
      <w:r w:rsidRPr="00675326">
        <w:rPr>
          <w:szCs w:val="22"/>
        </w:rPr>
        <w:t>r</w:t>
      </w:r>
      <w:r w:rsidRPr="00675326">
        <w:rPr>
          <w:szCs w:val="22"/>
        </w:rPr>
        <w:t>sification vers des pays industrialisés tournait à la diversification de la dépendance</w:t>
      </w:r>
      <w:r>
        <w:rPr>
          <w:szCs w:val="22"/>
        </w:rPr>
        <w:t> </w:t>
      </w:r>
      <w:r w:rsidRPr="00857900">
        <w:rPr>
          <w:rStyle w:val="Appelnotedebasdep"/>
        </w:rPr>
        <w:footnoteReference w:id="55"/>
      </w:r>
      <w:r w:rsidRPr="00675326">
        <w:rPr>
          <w:szCs w:val="22"/>
        </w:rPr>
        <w:t>. De plus, si le co</w:t>
      </w:r>
      <w:r w:rsidRPr="00675326">
        <w:rPr>
          <w:szCs w:val="22"/>
        </w:rPr>
        <w:t>m</w:t>
      </w:r>
      <w:r w:rsidRPr="00675326">
        <w:rPr>
          <w:szCs w:val="22"/>
        </w:rPr>
        <w:t>merce s'accrût substantiellement avec le Japon, il ne combla pas les espérances attendues quant à la Communauté européenne. Toutefois, avec l'Amérique latine, la politique de diversification eut plus de su</w:t>
      </w:r>
      <w:r w:rsidRPr="00675326">
        <w:rPr>
          <w:szCs w:val="22"/>
        </w:rPr>
        <w:t>c</w:t>
      </w:r>
      <w:r w:rsidRPr="00675326">
        <w:rPr>
          <w:szCs w:val="22"/>
        </w:rPr>
        <w:t>cès dans les années 70, où l'on assiste à une augmentation des écha</w:t>
      </w:r>
      <w:r w:rsidRPr="00675326">
        <w:rPr>
          <w:szCs w:val="22"/>
        </w:rPr>
        <w:t>n</w:t>
      </w:r>
      <w:r w:rsidRPr="00675326">
        <w:rPr>
          <w:szCs w:val="22"/>
        </w:rPr>
        <w:t>ges. Qui plus est, au chapitre des exportations vers cette région, il s'agissait surtout de biens manufact</w:t>
      </w:r>
      <w:r w:rsidRPr="00675326">
        <w:rPr>
          <w:szCs w:val="22"/>
        </w:rPr>
        <w:t>u</w:t>
      </w:r>
      <w:r w:rsidRPr="00675326">
        <w:rPr>
          <w:szCs w:val="22"/>
        </w:rPr>
        <w:t>rés. On ne pouvait s'attendre que le commerce progresse d'une mani</w:t>
      </w:r>
      <w:r w:rsidRPr="00675326">
        <w:rPr>
          <w:szCs w:val="22"/>
        </w:rPr>
        <w:t>è</w:t>
      </w:r>
      <w:r w:rsidRPr="00675326">
        <w:rPr>
          <w:szCs w:val="22"/>
        </w:rPr>
        <w:t>re spectaculaire avec les pays en développement d'Afrique et d'Asie. Mais la Société d'expansion des exportations et l'ACDI, grâce à sa p</w:t>
      </w:r>
      <w:r w:rsidRPr="00675326">
        <w:rPr>
          <w:szCs w:val="22"/>
        </w:rPr>
        <w:t>o</w:t>
      </w:r>
      <w:r w:rsidRPr="00675326">
        <w:rPr>
          <w:szCs w:val="22"/>
        </w:rPr>
        <w:t>litique bilatérale d'aide liée à 80</w:t>
      </w:r>
      <w:r>
        <w:rPr>
          <w:szCs w:val="22"/>
        </w:rPr>
        <w:t>%</w:t>
      </w:r>
      <w:r w:rsidRPr="00675326">
        <w:rPr>
          <w:szCs w:val="22"/>
        </w:rPr>
        <w:t xml:space="preserve"> et à la promotion de sa Division de l'industrie et des affaires en faveur des PME, contribuaient à une légère progression des export</w:t>
      </w:r>
      <w:r w:rsidRPr="00675326">
        <w:rPr>
          <w:szCs w:val="22"/>
        </w:rPr>
        <w:t>a</w:t>
      </w:r>
      <w:r w:rsidRPr="00675326">
        <w:rPr>
          <w:szCs w:val="22"/>
        </w:rPr>
        <w:t>tions vers ces régions. De plus, les export</w:t>
      </w:r>
      <w:r w:rsidRPr="00675326">
        <w:rPr>
          <w:szCs w:val="22"/>
        </w:rPr>
        <w:t>a</w:t>
      </w:r>
      <w:r w:rsidRPr="00675326">
        <w:rPr>
          <w:szCs w:val="22"/>
        </w:rPr>
        <w:t>tions vers le Tiers-Monde, et en particulier vers les nouveaux pays industrialisés, a reçu un appui prépondérant du programme de développement des marchés d'expo</w:t>
      </w:r>
      <w:r w:rsidRPr="00675326">
        <w:rPr>
          <w:szCs w:val="22"/>
        </w:rPr>
        <w:t>r</w:t>
      </w:r>
      <w:r w:rsidRPr="00675326">
        <w:rPr>
          <w:szCs w:val="22"/>
        </w:rPr>
        <w:t>tation du ministère de l'Industrie et du Commerce</w:t>
      </w:r>
      <w:r>
        <w:rPr>
          <w:szCs w:val="22"/>
        </w:rPr>
        <w:t> </w:t>
      </w:r>
      <w:r w:rsidRPr="00857900">
        <w:rPr>
          <w:rStyle w:val="Appelnotedebasdep"/>
        </w:rPr>
        <w:footnoteReference w:id="56"/>
      </w:r>
      <w:r w:rsidRPr="00675326">
        <w:rPr>
          <w:szCs w:val="22"/>
        </w:rPr>
        <w:t>. Toutefois, ma</w:t>
      </w:r>
      <w:r w:rsidRPr="00675326">
        <w:rPr>
          <w:szCs w:val="22"/>
        </w:rPr>
        <w:t>l</w:t>
      </w:r>
      <w:r w:rsidRPr="00675326">
        <w:rPr>
          <w:szCs w:val="22"/>
        </w:rPr>
        <w:t>gré les facilités et diverses aides qui f</w:t>
      </w:r>
      <w:r w:rsidRPr="00675326">
        <w:rPr>
          <w:szCs w:val="22"/>
        </w:rPr>
        <w:t>u</w:t>
      </w:r>
      <w:r w:rsidRPr="00675326">
        <w:rPr>
          <w:szCs w:val="22"/>
        </w:rPr>
        <w:t>rent mises à la disposition des entreprises canadiennes, l'écrasante majorité d'entre elles restait esse</w:t>
      </w:r>
      <w:r w:rsidRPr="00675326">
        <w:rPr>
          <w:szCs w:val="22"/>
        </w:rPr>
        <w:t>n</w:t>
      </w:r>
      <w:r w:rsidRPr="00675326">
        <w:rPr>
          <w:szCs w:val="22"/>
        </w:rPr>
        <w:t>tiellement tournée vers le marché des États-Unis. Déjà, la part impo</w:t>
      </w:r>
      <w:r w:rsidRPr="00675326">
        <w:rPr>
          <w:szCs w:val="22"/>
        </w:rPr>
        <w:t>r</w:t>
      </w:r>
      <w:r w:rsidRPr="00675326">
        <w:rPr>
          <w:szCs w:val="22"/>
        </w:rPr>
        <w:t>tante du commerce intrafirme compte pour beaucoup dans ce co</w:t>
      </w:r>
      <w:r w:rsidRPr="00675326">
        <w:rPr>
          <w:szCs w:val="22"/>
        </w:rPr>
        <w:t>m</w:t>
      </w:r>
      <w:r w:rsidRPr="00675326">
        <w:rPr>
          <w:szCs w:val="22"/>
        </w:rPr>
        <w:t>merce. De plus, la propension des entr</w:t>
      </w:r>
      <w:r w:rsidRPr="00675326">
        <w:rPr>
          <w:szCs w:val="22"/>
        </w:rPr>
        <w:t>e</w:t>
      </w:r>
      <w:r w:rsidRPr="00675326">
        <w:rPr>
          <w:szCs w:val="22"/>
        </w:rPr>
        <w:t>prises à prospecter d'autres marchés reste très limitée, comparée à celle des entreprises de la pl</w:t>
      </w:r>
      <w:r w:rsidRPr="00675326">
        <w:rPr>
          <w:szCs w:val="22"/>
        </w:rPr>
        <w:t>u</w:t>
      </w:r>
      <w:r w:rsidRPr="00675326">
        <w:rPr>
          <w:szCs w:val="22"/>
        </w:rPr>
        <w:t>part des pays de l'OCDE.</w:t>
      </w:r>
    </w:p>
    <w:p w:rsidR="00AD690E" w:rsidRPr="00675326" w:rsidRDefault="00AD690E" w:rsidP="00AD690E">
      <w:pPr>
        <w:spacing w:before="120" w:after="120"/>
        <w:jc w:val="both"/>
      </w:pPr>
      <w:r w:rsidRPr="00675326">
        <w:rPr>
          <w:szCs w:val="22"/>
        </w:rPr>
        <w:t>En novembre 1976, on assista à une mise en veilleuse de la polit</w:t>
      </w:r>
      <w:r w:rsidRPr="00675326">
        <w:rPr>
          <w:szCs w:val="22"/>
        </w:rPr>
        <w:t>i</w:t>
      </w:r>
      <w:r w:rsidRPr="00675326">
        <w:rPr>
          <w:szCs w:val="22"/>
        </w:rPr>
        <w:t>que dite de « troisième option ». L'élection du Parti québécois au go</w:t>
      </w:r>
      <w:r w:rsidRPr="00675326">
        <w:rPr>
          <w:szCs w:val="22"/>
        </w:rPr>
        <w:t>u</w:t>
      </w:r>
      <w:r w:rsidRPr="00675326">
        <w:rPr>
          <w:szCs w:val="22"/>
        </w:rPr>
        <w:t>vernement du Québec mettait l'unité fédérale en péril. Dans ces cond</w:t>
      </w:r>
      <w:r w:rsidRPr="00675326">
        <w:rPr>
          <w:szCs w:val="22"/>
        </w:rPr>
        <w:t>i</w:t>
      </w:r>
      <w:r w:rsidRPr="00675326">
        <w:rPr>
          <w:szCs w:val="22"/>
        </w:rPr>
        <w:t>tions, un rapprochement avec les États-Unis, afin de s'en assurer l'a</w:t>
      </w:r>
      <w:r w:rsidRPr="00675326">
        <w:rPr>
          <w:szCs w:val="22"/>
        </w:rPr>
        <w:t>p</w:t>
      </w:r>
      <w:r w:rsidRPr="00675326">
        <w:rPr>
          <w:szCs w:val="22"/>
        </w:rPr>
        <w:t>pui, était de mise. Ce rapprochement fut facilité par l'élection du pr</w:t>
      </w:r>
      <w:r w:rsidRPr="00675326">
        <w:rPr>
          <w:szCs w:val="22"/>
        </w:rPr>
        <w:t>é</w:t>
      </w:r>
      <w:r w:rsidRPr="00675326">
        <w:rPr>
          <w:szCs w:val="22"/>
        </w:rPr>
        <w:t>sident démocrate Carter, beaucoup plus ouvert au gouvernement lib</w:t>
      </w:r>
      <w:r w:rsidRPr="00675326">
        <w:rPr>
          <w:szCs w:val="22"/>
        </w:rPr>
        <w:t>é</w:t>
      </w:r>
      <w:r w:rsidRPr="00675326">
        <w:rPr>
          <w:szCs w:val="22"/>
        </w:rPr>
        <w:t>ral canadien que les républicains Nixon et Ford ne l'avaient</w:t>
      </w:r>
      <w:r>
        <w:rPr>
          <w:szCs w:val="22"/>
        </w:rPr>
        <w:t xml:space="preserve"> </w:t>
      </w:r>
      <w:r>
        <w:rPr>
          <w:szCs w:val="18"/>
        </w:rPr>
        <w:t>[</w:t>
      </w:r>
      <w:r w:rsidRPr="00675326">
        <w:rPr>
          <w:szCs w:val="18"/>
        </w:rPr>
        <w:t>50</w:t>
      </w:r>
      <w:r>
        <w:rPr>
          <w:szCs w:val="18"/>
        </w:rPr>
        <w:t xml:space="preserve">] </w:t>
      </w:r>
      <w:r w:rsidRPr="00675326">
        <w:rPr>
          <w:szCs w:val="22"/>
        </w:rPr>
        <w:t>été. Il faut ajouter à ces facteurs les difficultés de balance des comptes que connaissait alors le Canada. Enfin, le premier ministre Trudeau se d</w:t>
      </w:r>
      <w:r w:rsidRPr="00675326">
        <w:rPr>
          <w:szCs w:val="22"/>
        </w:rPr>
        <w:t>é</w:t>
      </w:r>
      <w:r w:rsidRPr="00675326">
        <w:rPr>
          <w:szCs w:val="22"/>
        </w:rPr>
        <w:t>sintéressa de cette politique pour se consacrer aux do</w:t>
      </w:r>
      <w:r w:rsidRPr="00675326">
        <w:rPr>
          <w:szCs w:val="22"/>
        </w:rPr>
        <w:t>s</w:t>
      </w:r>
      <w:r w:rsidRPr="00675326">
        <w:rPr>
          <w:szCs w:val="22"/>
        </w:rPr>
        <w:t>siers de l'unité fédérale et du dialogue entre le Nord industrialisé et le Sud en dév</w:t>
      </w:r>
      <w:r w:rsidRPr="00675326">
        <w:rPr>
          <w:szCs w:val="22"/>
        </w:rPr>
        <w:t>e</w:t>
      </w:r>
      <w:r w:rsidRPr="00675326">
        <w:rPr>
          <w:szCs w:val="22"/>
        </w:rPr>
        <w:t>loppement. Néanmoins, certaines mesures favorisèrent la diversific</w:t>
      </w:r>
      <w:r w:rsidRPr="00675326">
        <w:rPr>
          <w:szCs w:val="22"/>
        </w:rPr>
        <w:t>a</w:t>
      </w:r>
      <w:r w:rsidRPr="00675326">
        <w:rPr>
          <w:szCs w:val="22"/>
        </w:rPr>
        <w:t>tion, telle que, en direction du Tiers-Monde, la création de la Dire</w:t>
      </w:r>
      <w:r w:rsidRPr="00675326">
        <w:rPr>
          <w:szCs w:val="22"/>
        </w:rPr>
        <w:t>c</w:t>
      </w:r>
      <w:r w:rsidRPr="00675326">
        <w:rPr>
          <w:szCs w:val="22"/>
        </w:rPr>
        <w:t>tion de la coopération industrielle de l'ACDI en 1978.</w:t>
      </w:r>
    </w:p>
    <w:p w:rsidR="00AD690E" w:rsidRPr="00675326" w:rsidRDefault="00AD690E" w:rsidP="00AD690E">
      <w:pPr>
        <w:spacing w:before="120" w:after="120"/>
        <w:jc w:val="both"/>
      </w:pPr>
      <w:r w:rsidRPr="00675326">
        <w:rPr>
          <w:szCs w:val="22"/>
        </w:rPr>
        <w:t>Après son éclipse du pouvoir en 1979-1980, le) premier ministre Trudeau revint avec une politique vigoureuse, qui constituait une r</w:t>
      </w:r>
      <w:r w:rsidRPr="00675326">
        <w:rPr>
          <w:szCs w:val="22"/>
        </w:rPr>
        <w:t>e</w:t>
      </w:r>
      <w:r w:rsidRPr="00675326">
        <w:rPr>
          <w:szCs w:val="22"/>
        </w:rPr>
        <w:t>lance de la politique de « troisième option »</w:t>
      </w:r>
      <w:r>
        <w:rPr>
          <w:szCs w:val="22"/>
        </w:rPr>
        <w:t> </w:t>
      </w:r>
      <w:r w:rsidRPr="00857900">
        <w:rPr>
          <w:rStyle w:val="Appelnotedebasdep"/>
        </w:rPr>
        <w:footnoteReference w:id="57"/>
      </w:r>
      <w:r w:rsidRPr="00675326">
        <w:rPr>
          <w:szCs w:val="22"/>
        </w:rPr>
        <w:t>. L'adoption du pr</w:t>
      </w:r>
      <w:r w:rsidRPr="00675326">
        <w:rPr>
          <w:szCs w:val="22"/>
        </w:rPr>
        <w:t>o</w:t>
      </w:r>
      <w:r w:rsidRPr="00675326">
        <w:rPr>
          <w:szCs w:val="22"/>
        </w:rPr>
        <w:t>gramme énergétique national (octobre 1980), qui visait à ramener la propriété étrangère dans l'industrie du pétrole de 90</w:t>
      </w:r>
      <w:r>
        <w:rPr>
          <w:szCs w:val="22"/>
        </w:rPr>
        <w:t>%</w:t>
      </w:r>
      <w:r w:rsidRPr="00675326">
        <w:rPr>
          <w:szCs w:val="22"/>
        </w:rPr>
        <w:t xml:space="preserve"> à moins de 50</w:t>
      </w:r>
      <w:r>
        <w:rPr>
          <w:szCs w:val="22"/>
        </w:rPr>
        <w:t>%</w:t>
      </w:r>
      <w:r w:rsidRPr="00675326">
        <w:rPr>
          <w:szCs w:val="22"/>
        </w:rPr>
        <w:t>, en fut la première manifestation éclatante. La politique de bilat</w:t>
      </w:r>
      <w:r w:rsidRPr="00675326">
        <w:rPr>
          <w:szCs w:val="22"/>
        </w:rPr>
        <w:t>é</w:t>
      </w:r>
      <w:r w:rsidRPr="00675326">
        <w:rPr>
          <w:szCs w:val="22"/>
        </w:rPr>
        <w:t>ralisme, amorcée par le secrétaire d'État aux Affaires extérieures, Marc McGuigan, allait dans le même sens. Il s'agissait de pratiquer une vigoureuse politique d'exportation et d'investissement en direction de pays spécifiques : ainsi, des plans d'expansion des exportations c</w:t>
      </w:r>
      <w:r w:rsidRPr="00675326">
        <w:rPr>
          <w:szCs w:val="22"/>
        </w:rPr>
        <w:t>a</w:t>
      </w:r>
      <w:r w:rsidRPr="00675326">
        <w:rPr>
          <w:szCs w:val="22"/>
        </w:rPr>
        <w:t>nadiennes étaient lancés vers des pays comme le Mexique, la Corée, Singapour, l'Indonésie, le Nigeria, l'Australie, le Brésil et l'Arabie Saoudite. Pour donner une cohérence plus forte à la politique extérie</w:t>
      </w:r>
      <w:r w:rsidRPr="00675326">
        <w:rPr>
          <w:szCs w:val="22"/>
        </w:rPr>
        <w:t>u</w:t>
      </w:r>
      <w:r w:rsidRPr="00675326">
        <w:rPr>
          <w:szCs w:val="22"/>
        </w:rPr>
        <w:t>re, le 12 janvier 1982, fut annoncée l'intégration au ministère des A</w:t>
      </w:r>
      <w:r w:rsidRPr="00675326">
        <w:rPr>
          <w:szCs w:val="22"/>
        </w:rPr>
        <w:t>f</w:t>
      </w:r>
      <w:r w:rsidRPr="00675326">
        <w:rPr>
          <w:szCs w:val="22"/>
        </w:rPr>
        <w:t>faires extérieures du secteur commercial du ministère de l'Industrie et du Commerce, ainsi que de la Société d'expansion des exportations et de la Corporation commerciale canadienne. La promotion du co</w:t>
      </w:r>
      <w:r w:rsidRPr="00675326">
        <w:rPr>
          <w:szCs w:val="22"/>
        </w:rPr>
        <w:t>m</w:t>
      </w:r>
      <w:r w:rsidRPr="00675326">
        <w:rPr>
          <w:szCs w:val="22"/>
        </w:rPr>
        <w:t>merce extérieur devenait la priorité du Ministère intégré. Le premier ministre Trudeau avait indiqué également, le 17 février 1980, qu'il étendrait le rôle de l'Agence d'examen des investissements étrangers. Mais cette mesure ne fut pas mise en vigueur.</w:t>
      </w:r>
    </w:p>
    <w:p w:rsidR="00AD690E" w:rsidRPr="00675326" w:rsidRDefault="00AD690E" w:rsidP="00AD690E">
      <w:pPr>
        <w:spacing w:before="120" w:after="120"/>
        <w:jc w:val="both"/>
      </w:pPr>
      <w:r w:rsidRPr="00675326">
        <w:rPr>
          <w:szCs w:val="22"/>
        </w:rPr>
        <w:t>Un nouvel effondrement du prix du pétrole, la montée de la valeur du dollar canadien, entraîné par celui des États-Unis, par rapport à un grand nombre de monnaies européennes et du Tiers-Monde, de même que l'endettement massif des pays d'Amérique latine provoquaient, dès 1982, une chute de la valeur des exportations canadiennes en d</w:t>
      </w:r>
      <w:r w:rsidRPr="00675326">
        <w:rPr>
          <w:szCs w:val="22"/>
        </w:rPr>
        <w:t>e</w:t>
      </w:r>
      <w:r w:rsidRPr="00675326">
        <w:rPr>
          <w:szCs w:val="22"/>
        </w:rPr>
        <w:t>hors des États-Unis et du Japon. Devant cette crise, le gouvernement canadien amorçait un tournant que consacrait, le 31 août 1983, l'a</w:t>
      </w:r>
      <w:r w:rsidRPr="00675326">
        <w:rPr>
          <w:szCs w:val="22"/>
        </w:rPr>
        <w:t>n</w:t>
      </w:r>
      <w:r w:rsidRPr="00675326">
        <w:rPr>
          <w:szCs w:val="22"/>
        </w:rPr>
        <w:t xml:space="preserve">nonce conjointe par le président américain Reagan et le ministre d'État au Commerce extérieur, de la publication d'une étude du ministère des Affaires extérieures qui prônait l'adoption d'une politique de libre-échange sectoriel avec les États-Unis. À toutes fins pratiques, c'était abandonner la « troisième option » pour adopter une forme nuancée de « deuxième option ». En effet, Mitchell Sharp n'avait-il pas écrit en 1972 que cette option, « pour commencer, (...] pourrait ne comporter que la recherche d'accords sectoriels », mais qu'elle constituerait en fait « une extension de pratiques antérieures [...] visant à adapter à d'autres industries l'expérience de </w:t>
      </w:r>
      <w:r w:rsidRPr="00675326">
        <w:rPr>
          <w:i/>
          <w:iCs/>
          <w:szCs w:val="22"/>
        </w:rPr>
        <w:t>l'Accord sur les produits automob</w:t>
      </w:r>
      <w:r w:rsidRPr="00675326">
        <w:rPr>
          <w:i/>
          <w:iCs/>
          <w:szCs w:val="22"/>
        </w:rPr>
        <w:t>i</w:t>
      </w:r>
      <w:r w:rsidRPr="00675326">
        <w:rPr>
          <w:i/>
          <w:iCs/>
          <w:szCs w:val="22"/>
        </w:rPr>
        <w:t xml:space="preserve">les ». </w:t>
      </w:r>
      <w:r w:rsidRPr="00675326">
        <w:rPr>
          <w:szCs w:val="22"/>
        </w:rPr>
        <w:t>Mais cette « forme</w:t>
      </w:r>
      <w:r>
        <w:rPr>
          <w:szCs w:val="22"/>
        </w:rPr>
        <w:t xml:space="preserve"> </w:t>
      </w:r>
      <w:r>
        <w:t xml:space="preserve">[51] </w:t>
      </w:r>
      <w:r w:rsidRPr="00675326">
        <w:rPr>
          <w:szCs w:val="22"/>
        </w:rPr>
        <w:t>atténuée d'intégration » susciterait, s</w:t>
      </w:r>
      <w:r w:rsidRPr="00675326">
        <w:rPr>
          <w:szCs w:val="22"/>
        </w:rPr>
        <w:t>e</w:t>
      </w:r>
      <w:r w:rsidRPr="00675326">
        <w:rPr>
          <w:szCs w:val="22"/>
        </w:rPr>
        <w:t>lon ce même document « de fortes pressions en vue de la conclusion d'accords continentaux en nombre croissant, pressions auxquelles il serait de plus en plus diffic</w:t>
      </w:r>
      <w:r w:rsidRPr="00675326">
        <w:rPr>
          <w:szCs w:val="22"/>
        </w:rPr>
        <w:t>i</w:t>
      </w:r>
      <w:r w:rsidRPr="00675326">
        <w:rPr>
          <w:szCs w:val="22"/>
        </w:rPr>
        <w:t>le de résister ». Or, « l'expérience du pacte de l'automobile » révélait que, « dans le cadre de tels accords sect</w:t>
      </w:r>
      <w:r w:rsidRPr="00675326">
        <w:rPr>
          <w:szCs w:val="22"/>
        </w:rPr>
        <w:t>o</w:t>
      </w:r>
      <w:r w:rsidRPr="00675326">
        <w:rPr>
          <w:szCs w:val="22"/>
        </w:rPr>
        <w:t>riels », il pouvait :</w:t>
      </w:r>
    </w:p>
    <w:p w:rsidR="00AD690E" w:rsidRDefault="00AD690E" w:rsidP="00AD690E">
      <w:pPr>
        <w:pStyle w:val="Grillecouleur-Accent1"/>
      </w:pPr>
    </w:p>
    <w:p w:rsidR="00AD690E" w:rsidRPr="00B33A69" w:rsidRDefault="00AD690E" w:rsidP="00AD690E">
      <w:pPr>
        <w:pStyle w:val="Grillecouleur-Accent1"/>
      </w:pPr>
      <w:r w:rsidRPr="00675326">
        <w:t>[...] être difficile d'exercer une voix égale à celle des États-Unis....Bref, nous pourrions bien conclure que les accords pa</w:t>
      </w:r>
      <w:r w:rsidRPr="00675326">
        <w:t>r</w:t>
      </w:r>
      <w:r w:rsidRPr="00675326">
        <w:t>tiels ou sectoriels sont moins susceptibles de nous procurer la protection que nous recherchions que ne le ferait un régime plus général de libre-échange.</w:t>
      </w:r>
      <w:r w:rsidRPr="00B33A69">
        <w:t xml:space="preserve"> </w:t>
      </w:r>
    </w:p>
    <w:p w:rsidR="00AD690E" w:rsidRDefault="00AD690E" w:rsidP="00AD690E">
      <w:pPr>
        <w:pStyle w:val="Grillecouleur-Accent1"/>
      </w:pPr>
      <w:r w:rsidRPr="00675326">
        <w:t>À toutes fins utiles, l'entrée d</w:t>
      </w:r>
      <w:r>
        <w:t>u Canada dans un pacte de l</w:t>
      </w:r>
      <w:r>
        <w:t>i</w:t>
      </w:r>
      <w:r>
        <w:t>bre-</w:t>
      </w:r>
      <w:r w:rsidRPr="00675326">
        <w:t>échange ou sa participation à une union douanière avec les États-Unis serait irr</w:t>
      </w:r>
      <w:r w:rsidRPr="00675326">
        <w:t>é</w:t>
      </w:r>
      <w:r w:rsidRPr="00675326">
        <w:t>versible</w:t>
      </w:r>
      <w:r>
        <w:t> </w:t>
      </w:r>
      <w:r>
        <w:rPr>
          <w:rStyle w:val="Appelnotedebasdep"/>
          <w:szCs w:val="18"/>
        </w:rPr>
        <w:footnoteReference w:id="58"/>
      </w:r>
      <w:r w:rsidRPr="00675326">
        <w:t>.</w:t>
      </w:r>
    </w:p>
    <w:p w:rsidR="00AD690E" w:rsidRPr="00B33A69" w:rsidRDefault="00AD690E" w:rsidP="00AD690E">
      <w:pPr>
        <w:pStyle w:val="Grillecouleur-Accent1"/>
      </w:pPr>
    </w:p>
    <w:p w:rsidR="00AD690E" w:rsidRPr="00675326" w:rsidRDefault="00AD690E" w:rsidP="00AD690E">
      <w:pPr>
        <w:spacing w:before="120" w:after="120"/>
        <w:jc w:val="both"/>
      </w:pPr>
      <w:r w:rsidRPr="00675326">
        <w:rPr>
          <w:szCs w:val="22"/>
        </w:rPr>
        <w:t>Parallèlement, la politique fédérale s'amollissait vis-à-vis du contrôle des investissements étrangers. Ce changement de la politique économique, qui laissait anticiper un changement de leadership à la tête du Parti libéral et du gouvernement</w:t>
      </w:r>
      <w:r>
        <w:rPr>
          <w:szCs w:val="22"/>
        </w:rPr>
        <w:t> </w:t>
      </w:r>
      <w:r w:rsidRPr="00857900">
        <w:rPr>
          <w:rStyle w:val="Appelnotedebasdep"/>
        </w:rPr>
        <w:footnoteReference w:id="59"/>
      </w:r>
      <w:r w:rsidRPr="00675326">
        <w:rPr>
          <w:szCs w:val="22"/>
        </w:rPr>
        <w:t>, conduisit à une amorce de négociations avec les États-Unis. Mais ceux-ci se montrèrent peu int</w:t>
      </w:r>
      <w:r w:rsidRPr="00675326">
        <w:rPr>
          <w:szCs w:val="22"/>
        </w:rPr>
        <w:t>é</w:t>
      </w:r>
      <w:r w:rsidRPr="00675326">
        <w:rPr>
          <w:szCs w:val="22"/>
        </w:rPr>
        <w:t>ressés par de tels accords. Le successeur de Pierre Trudeau était mûr pour un libre-échange intégral, qui, selon Sharp, conduisait, de gli</w:t>
      </w:r>
      <w:r w:rsidRPr="00675326">
        <w:rPr>
          <w:szCs w:val="22"/>
        </w:rPr>
        <w:t>s</w:t>
      </w:r>
      <w:r w:rsidRPr="00675326">
        <w:rPr>
          <w:szCs w:val="22"/>
        </w:rPr>
        <w:t>sement en glissement, à l'harmonisation des politiques économiques, puis à « l'union économique et douanière », et enfin à « une sorte d'union politique », à cause de « l'énorme inégalité de puissance entre le Canada et les États-Unis »</w:t>
      </w:r>
      <w:r>
        <w:rPr>
          <w:szCs w:val="22"/>
        </w:rPr>
        <w:t> </w:t>
      </w:r>
      <w:r w:rsidRPr="00857900">
        <w:rPr>
          <w:rStyle w:val="Appelnotedebasdep"/>
        </w:rPr>
        <w:footnoteReference w:id="60"/>
      </w:r>
      <w:r w:rsidRPr="00675326">
        <w:rPr>
          <w:szCs w:val="22"/>
        </w:rPr>
        <w:t>.</w:t>
      </w:r>
    </w:p>
    <w:p w:rsidR="00AD690E" w:rsidRDefault="00AD690E" w:rsidP="00AD690E">
      <w:pPr>
        <w:spacing w:before="120" w:after="120"/>
        <w:jc w:val="both"/>
        <w:rPr>
          <w:szCs w:val="22"/>
        </w:rPr>
      </w:pPr>
    </w:p>
    <w:p w:rsidR="00AD690E" w:rsidRPr="00675326" w:rsidRDefault="00AD690E" w:rsidP="00AD690E">
      <w:pPr>
        <w:pStyle w:val="planche"/>
      </w:pPr>
      <w:r w:rsidRPr="00675326">
        <w:t>L'INITIATIVE POUR LA PAIX</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Mais à l'automne 1983, le premier ministre Trudeau voguait vers d'autres rivages. Le 27 octobre, il lançait à Guelph une initiative, toute personnelle, pour la paix. Elle était le fruit de deux motivations : une profonde inquiétude, qui lui avait fait dire à la Chambre des comm</w:t>
      </w:r>
      <w:r w:rsidRPr="00675326">
        <w:rPr>
          <w:szCs w:val="22"/>
        </w:rPr>
        <w:t>u</w:t>
      </w:r>
      <w:r w:rsidRPr="00675326">
        <w:rPr>
          <w:szCs w:val="22"/>
        </w:rPr>
        <w:t>nes, le 4 octobre, que le monde était « au bord du désastre et de la guerre atomique »</w:t>
      </w:r>
      <w:r>
        <w:rPr>
          <w:szCs w:val="22"/>
        </w:rPr>
        <w:t> </w:t>
      </w:r>
      <w:r w:rsidRPr="00857900">
        <w:rPr>
          <w:rStyle w:val="Appelnotedebasdep"/>
        </w:rPr>
        <w:footnoteReference w:id="61"/>
      </w:r>
      <w:r w:rsidRPr="00675326">
        <w:rPr>
          <w:szCs w:val="22"/>
        </w:rPr>
        <w:t>, et la conviction qu'il devait agir alors qu'il était au pouvoir et non, comme d'autres, après s'être retiré. « Profondément troublé par [...] l'état alarmant des relations Est-Ouest », il</w:t>
      </w:r>
      <w:r>
        <w:rPr>
          <w:szCs w:val="22"/>
        </w:rPr>
        <w:t xml:space="preserve"> </w:t>
      </w:r>
      <w:r>
        <w:rPr>
          <w:szCs w:val="18"/>
        </w:rPr>
        <w:t>[</w:t>
      </w:r>
      <w:r w:rsidRPr="00675326">
        <w:rPr>
          <w:szCs w:val="18"/>
        </w:rPr>
        <w:t>52</w:t>
      </w:r>
      <w:r>
        <w:rPr>
          <w:szCs w:val="18"/>
        </w:rPr>
        <w:t xml:space="preserve">] </w:t>
      </w:r>
      <w:r w:rsidRPr="00675326">
        <w:rPr>
          <w:szCs w:val="22"/>
        </w:rPr>
        <w:t>anno</w:t>
      </w:r>
      <w:r w:rsidRPr="00675326">
        <w:rPr>
          <w:szCs w:val="22"/>
        </w:rPr>
        <w:t>n</w:t>
      </w:r>
      <w:r w:rsidRPr="00675326">
        <w:rPr>
          <w:szCs w:val="22"/>
        </w:rPr>
        <w:t>çait qu'il allait soumettre à plusieurs dirigeants d'États « une stratégie de rétablissement de la confiance politique ». Cette stratégie était en cinq points :</w:t>
      </w:r>
    </w:p>
    <w:p w:rsidR="00AD690E" w:rsidRDefault="00AD690E" w:rsidP="00AD690E">
      <w:pPr>
        <w:spacing w:before="120" w:after="120"/>
        <w:ind w:left="720" w:hanging="360"/>
        <w:jc w:val="both"/>
        <w:rPr>
          <w:szCs w:val="18"/>
        </w:rPr>
      </w:pPr>
    </w:p>
    <w:p w:rsidR="00AD690E" w:rsidRPr="00675326" w:rsidRDefault="00AD690E" w:rsidP="00AD690E">
      <w:pPr>
        <w:spacing w:before="120" w:after="120"/>
        <w:ind w:left="720" w:hanging="360"/>
        <w:jc w:val="both"/>
        <w:rPr>
          <w:szCs w:val="18"/>
        </w:rPr>
      </w:pPr>
      <w:r>
        <w:rPr>
          <w:szCs w:val="18"/>
        </w:rPr>
        <w:t>-</w:t>
      </w:r>
      <w:r>
        <w:rPr>
          <w:szCs w:val="18"/>
        </w:rPr>
        <w:tab/>
      </w:r>
      <w:r w:rsidRPr="00675326">
        <w:rPr>
          <w:szCs w:val="18"/>
        </w:rPr>
        <w:t>mettre sur pied une structure cohérente propre à susciter la confiance politique et économique ;</w:t>
      </w:r>
    </w:p>
    <w:p w:rsidR="00AD690E" w:rsidRPr="00675326" w:rsidRDefault="00AD690E" w:rsidP="00AD690E">
      <w:pPr>
        <w:spacing w:before="120" w:after="120"/>
        <w:ind w:left="720" w:hanging="360"/>
        <w:jc w:val="both"/>
        <w:rPr>
          <w:szCs w:val="18"/>
        </w:rPr>
      </w:pPr>
      <w:r>
        <w:rPr>
          <w:szCs w:val="18"/>
        </w:rPr>
        <w:t>-</w:t>
      </w:r>
      <w:r>
        <w:rPr>
          <w:szCs w:val="18"/>
        </w:rPr>
        <w:tab/>
      </w:r>
      <w:r w:rsidRPr="00675326">
        <w:rPr>
          <w:szCs w:val="18"/>
        </w:rPr>
        <w:t>détourner les superpuissances de leurs préoccupations militaires pour les engager dans un dialogue régulier et productif ;</w:t>
      </w:r>
    </w:p>
    <w:p w:rsidR="00AD690E" w:rsidRPr="00675326" w:rsidRDefault="00AD690E" w:rsidP="00AD690E">
      <w:pPr>
        <w:spacing w:before="120" w:after="120"/>
        <w:ind w:left="720" w:hanging="360"/>
        <w:jc w:val="both"/>
      </w:pPr>
      <w:r>
        <w:rPr>
          <w:szCs w:val="18"/>
        </w:rPr>
        <w:t>-</w:t>
      </w:r>
      <w:r>
        <w:rPr>
          <w:szCs w:val="18"/>
        </w:rPr>
        <w:tab/>
      </w:r>
      <w:r w:rsidRPr="00675326">
        <w:rPr>
          <w:szCs w:val="18"/>
        </w:rPr>
        <w:t>amener les cinq États dotés d'armes nucléaires à certaines nég</w:t>
      </w:r>
      <w:r w:rsidRPr="00675326">
        <w:rPr>
          <w:szCs w:val="18"/>
        </w:rPr>
        <w:t>o</w:t>
      </w:r>
      <w:r w:rsidRPr="00675326">
        <w:rPr>
          <w:szCs w:val="18"/>
        </w:rPr>
        <w:t>ciations destinées à fixer des limites globales à leurs arsenaux nucléaires stratégiques ;</w:t>
      </w:r>
    </w:p>
    <w:p w:rsidR="00AD690E" w:rsidRPr="00675326" w:rsidRDefault="00AD690E" w:rsidP="00AD690E">
      <w:pPr>
        <w:spacing w:before="120" w:after="120"/>
        <w:ind w:left="720" w:hanging="360"/>
        <w:jc w:val="both"/>
        <w:rPr>
          <w:szCs w:val="18"/>
        </w:rPr>
      </w:pPr>
      <w:r>
        <w:rPr>
          <w:szCs w:val="18"/>
        </w:rPr>
        <w:t>-</w:t>
      </w:r>
      <w:r>
        <w:rPr>
          <w:szCs w:val="18"/>
        </w:rPr>
        <w:tab/>
      </w:r>
      <w:r w:rsidRPr="00675326">
        <w:rPr>
          <w:szCs w:val="18"/>
        </w:rPr>
        <w:t>améliorer la sécurité en Europe en relevant le seuil nucléaire et en redonnant en même temps une dynamique politique aux n</w:t>
      </w:r>
      <w:r w:rsidRPr="00675326">
        <w:rPr>
          <w:szCs w:val="18"/>
        </w:rPr>
        <w:t>é</w:t>
      </w:r>
      <w:r w:rsidRPr="00675326">
        <w:rPr>
          <w:szCs w:val="18"/>
        </w:rPr>
        <w:t>gociations sur la réduction mutuelle et équilibrée des forces à Vienne, pour les tirer de la stagnation ;</w:t>
      </w:r>
    </w:p>
    <w:p w:rsidR="00AD690E" w:rsidRDefault="00AD690E" w:rsidP="00AD690E">
      <w:pPr>
        <w:spacing w:before="120" w:after="120"/>
        <w:ind w:left="720" w:hanging="360"/>
        <w:jc w:val="both"/>
        <w:rPr>
          <w:szCs w:val="18"/>
        </w:rPr>
      </w:pPr>
      <w:r>
        <w:rPr>
          <w:szCs w:val="18"/>
        </w:rPr>
        <w:t>-</w:t>
      </w:r>
      <w:r>
        <w:rPr>
          <w:szCs w:val="18"/>
        </w:rPr>
        <w:tab/>
      </w:r>
      <w:r w:rsidRPr="00675326">
        <w:rPr>
          <w:szCs w:val="18"/>
        </w:rPr>
        <w:t>prévenir la prolifération des armes nucléaires dans les autres États</w:t>
      </w:r>
      <w:r>
        <w:rPr>
          <w:szCs w:val="18"/>
        </w:rPr>
        <w:t> </w:t>
      </w:r>
      <w:r w:rsidRPr="00857900">
        <w:rPr>
          <w:rStyle w:val="Appelnotedebasdep"/>
          <w:szCs w:val="18"/>
        </w:rPr>
        <w:footnoteReference w:id="62"/>
      </w:r>
      <w:r w:rsidRPr="00675326">
        <w:rPr>
          <w:szCs w:val="18"/>
        </w:rPr>
        <w:t>.</w:t>
      </w:r>
    </w:p>
    <w:p w:rsidR="00AD690E" w:rsidRPr="00675326" w:rsidRDefault="00AD690E" w:rsidP="00AD690E">
      <w:pPr>
        <w:spacing w:before="120" w:after="120"/>
        <w:ind w:left="720" w:hanging="360"/>
        <w:jc w:val="both"/>
        <w:rPr>
          <w:szCs w:val="18"/>
        </w:rPr>
      </w:pPr>
    </w:p>
    <w:p w:rsidR="00AD690E" w:rsidRPr="00675326" w:rsidRDefault="00AD690E" w:rsidP="00AD690E">
      <w:pPr>
        <w:spacing w:before="120" w:after="120"/>
        <w:jc w:val="both"/>
      </w:pPr>
      <w:r w:rsidRPr="00675326">
        <w:rPr>
          <w:szCs w:val="22"/>
        </w:rPr>
        <w:t>Pour mettre en œuvre ces propositions, Pierre Trudeau faisait un rapide voyage en Europe, où les chefs d'État et de gouvernements de Paris, Bruxelles, La Haye, Rome, Bonn et Londres, lui accordaient leur soutien. Rendant compte de son voyage dans un discours prono</w:t>
      </w:r>
      <w:r w:rsidRPr="00675326">
        <w:rPr>
          <w:szCs w:val="22"/>
        </w:rPr>
        <w:t>n</w:t>
      </w:r>
      <w:r w:rsidRPr="00675326">
        <w:rPr>
          <w:szCs w:val="22"/>
        </w:rPr>
        <w:t>cé à Montréal, le 13 novembre, il précisait sa stratégie de la manière suivante ; il s'agissait alors :</w:t>
      </w:r>
    </w:p>
    <w:p w:rsidR="00AD690E" w:rsidRDefault="00AD690E" w:rsidP="00AD690E">
      <w:pPr>
        <w:spacing w:before="120" w:after="120"/>
        <w:ind w:left="720" w:hanging="360"/>
        <w:jc w:val="both"/>
        <w:rPr>
          <w:szCs w:val="18"/>
        </w:rPr>
      </w:pPr>
    </w:p>
    <w:p w:rsidR="00AD690E" w:rsidRPr="00675326" w:rsidRDefault="00AD690E" w:rsidP="00AD690E">
      <w:pPr>
        <w:spacing w:before="120" w:after="120"/>
        <w:ind w:left="720" w:hanging="360"/>
        <w:jc w:val="both"/>
        <w:rPr>
          <w:szCs w:val="18"/>
        </w:rPr>
      </w:pPr>
      <w:r>
        <w:rPr>
          <w:szCs w:val="18"/>
        </w:rPr>
        <w:t>-</w:t>
      </w:r>
      <w:r>
        <w:rPr>
          <w:szCs w:val="18"/>
        </w:rPr>
        <w:tab/>
      </w:r>
      <w:r w:rsidRPr="00675326">
        <w:rPr>
          <w:szCs w:val="18"/>
        </w:rPr>
        <w:t>de créer en 1985 « une tribune pour la négociation des limites globales à fixer aux arsenaux des cinq États nucléaires » ;</w:t>
      </w:r>
    </w:p>
    <w:p w:rsidR="00AD690E" w:rsidRPr="00675326" w:rsidRDefault="00AD690E" w:rsidP="00AD690E">
      <w:pPr>
        <w:spacing w:before="120" w:after="120"/>
        <w:ind w:left="720" w:hanging="360"/>
        <w:jc w:val="both"/>
        <w:rPr>
          <w:szCs w:val="18"/>
        </w:rPr>
      </w:pPr>
      <w:r>
        <w:rPr>
          <w:szCs w:val="18"/>
        </w:rPr>
        <w:t>-</w:t>
      </w:r>
      <w:r>
        <w:rPr>
          <w:szCs w:val="18"/>
        </w:rPr>
        <w:tab/>
      </w:r>
      <w:r w:rsidRPr="00675326">
        <w:rPr>
          <w:szCs w:val="18"/>
        </w:rPr>
        <w:t>de renforcer le Traité sur la non-prolifération ;</w:t>
      </w:r>
    </w:p>
    <w:p w:rsidR="00AD690E" w:rsidRPr="00675326" w:rsidRDefault="00AD690E" w:rsidP="00AD690E">
      <w:pPr>
        <w:spacing w:before="120" w:after="120"/>
        <w:ind w:left="720" w:hanging="360"/>
        <w:jc w:val="both"/>
      </w:pPr>
      <w:r>
        <w:rPr>
          <w:szCs w:val="18"/>
        </w:rPr>
        <w:t>-</w:t>
      </w:r>
      <w:r>
        <w:rPr>
          <w:szCs w:val="18"/>
        </w:rPr>
        <w:tab/>
        <w:t>d'</w:t>
      </w:r>
      <w:r w:rsidRPr="00675326">
        <w:rPr>
          <w:szCs w:val="18"/>
        </w:rPr>
        <w:t>équilibrer les forces classiques, grâce aux négociations de Vienne et à la Conférence de Stockholm « sur les mesures de confiance et de sécurité et sur le désarmement en Europe », ce qu'il recommandait de tenir « à un haut niveau » ; et, enfin,</w:t>
      </w:r>
    </w:p>
    <w:p w:rsidR="00AD690E" w:rsidRPr="00675326" w:rsidRDefault="00AD690E" w:rsidP="00AD690E">
      <w:pPr>
        <w:spacing w:before="120" w:after="120"/>
        <w:ind w:left="720" w:hanging="360"/>
        <w:jc w:val="both"/>
      </w:pPr>
      <w:r>
        <w:rPr>
          <w:szCs w:val="18"/>
        </w:rPr>
        <w:t>-</w:t>
      </w:r>
      <w:r>
        <w:rPr>
          <w:szCs w:val="18"/>
        </w:rPr>
        <w:tab/>
      </w:r>
      <w:r w:rsidRPr="00675326">
        <w:rPr>
          <w:szCs w:val="18"/>
        </w:rPr>
        <w:t>de conclure « une entente pour interdire l'essai et le</w:t>
      </w:r>
      <w:r>
        <w:rPr>
          <w:szCs w:val="18"/>
        </w:rPr>
        <w:t xml:space="preserve"> </w:t>
      </w:r>
      <w:r w:rsidRPr="00675326">
        <w:rPr>
          <w:szCs w:val="18"/>
        </w:rPr>
        <w:t>déploi</w:t>
      </w:r>
      <w:r w:rsidRPr="00675326">
        <w:rPr>
          <w:szCs w:val="18"/>
        </w:rPr>
        <w:t>e</w:t>
      </w:r>
      <w:r w:rsidRPr="00675326">
        <w:rPr>
          <w:szCs w:val="18"/>
        </w:rPr>
        <w:t>ment de systèmes anti-satellites à haute altitude »</w:t>
      </w:r>
      <w:r>
        <w:rPr>
          <w:szCs w:val="18"/>
        </w:rPr>
        <w:t> </w:t>
      </w:r>
      <w:r w:rsidRPr="00857900">
        <w:rPr>
          <w:rStyle w:val="Appelnotedebasdep"/>
          <w:szCs w:val="18"/>
        </w:rPr>
        <w:footnoteReference w:id="63"/>
      </w:r>
      <w:r w:rsidRPr="00675326">
        <w:rPr>
          <w:szCs w:val="18"/>
        </w:rPr>
        <w:t>.</w:t>
      </w:r>
    </w:p>
    <w:p w:rsidR="00AD690E" w:rsidRDefault="00AD690E" w:rsidP="00AD690E">
      <w:pPr>
        <w:spacing w:before="120" w:after="120"/>
        <w:jc w:val="both"/>
      </w:pPr>
    </w:p>
    <w:p w:rsidR="00AD690E" w:rsidRPr="00675326" w:rsidRDefault="00AD690E" w:rsidP="00AD690E">
      <w:pPr>
        <w:spacing w:before="120" w:after="120"/>
        <w:jc w:val="both"/>
      </w:pPr>
      <w:r w:rsidRPr="00675326">
        <w:rPr>
          <w:szCs w:val="22"/>
        </w:rPr>
        <w:t>Cette stratégie, le premier ministre Trudeau allait la présenter dès le 18 novembre au Japon, au Bangladesh, pui</w:t>
      </w:r>
      <w:r>
        <w:rPr>
          <w:szCs w:val="22"/>
        </w:rPr>
        <w:t>s à la Conférence du Commonwealt</w:t>
      </w:r>
      <w:r w:rsidRPr="00675326">
        <w:rPr>
          <w:szCs w:val="22"/>
        </w:rPr>
        <w:t>h à New Delhi, dont il obtenait l'appui, et enfin à Pékin à la mi-décembre ; à Washington, le président Reagan lui donnait son « encouragement ». Début janvier 1984, il rendait visite au secrétaire général de l'ONU à New York et recevait, à la mi-janvier, le premier ministre de Chine, qui accordait un appui modéré à son initiative. À la fin du mois, Pierre Trudeau recevait un accueil chaleureux en Tchéc</w:t>
      </w:r>
      <w:r w:rsidRPr="00675326">
        <w:rPr>
          <w:szCs w:val="22"/>
        </w:rPr>
        <w:t>o</w:t>
      </w:r>
      <w:r w:rsidRPr="00675326">
        <w:rPr>
          <w:szCs w:val="22"/>
        </w:rPr>
        <w:t>slovaquie, puis, participant au European Management</w:t>
      </w:r>
      <w:r>
        <w:rPr>
          <w:szCs w:val="22"/>
        </w:rPr>
        <w:t xml:space="preserve"> </w:t>
      </w:r>
      <w:r>
        <w:t xml:space="preserve">[53] </w:t>
      </w:r>
      <w:r w:rsidRPr="00675326">
        <w:rPr>
          <w:szCs w:val="22"/>
        </w:rPr>
        <w:t>Forum à Davos il en profita pour rencontrer le ministre suisse des Affaires étrangères. Il obtint ensuite les appuis de Honecker à Berlin-Est et de Ceaucescu à Bucarest. Enfin, couronnant son initiative, il rencontra à la mi-février, lors des funérailles d'Andropov, son successeur, Tche</w:t>
      </w:r>
      <w:r w:rsidRPr="00675326">
        <w:rPr>
          <w:szCs w:val="22"/>
        </w:rPr>
        <w:t>r</w:t>
      </w:r>
      <w:r w:rsidRPr="00675326">
        <w:rPr>
          <w:szCs w:val="22"/>
        </w:rPr>
        <w:t>nenko, qui l'encouragea à poursuivre son initiative.</w:t>
      </w:r>
    </w:p>
    <w:p w:rsidR="00AD690E" w:rsidRPr="00675326" w:rsidRDefault="00AD690E" w:rsidP="00AD690E">
      <w:pPr>
        <w:spacing w:before="120" w:after="120"/>
        <w:jc w:val="both"/>
      </w:pPr>
      <w:r w:rsidRPr="00675326">
        <w:rPr>
          <w:szCs w:val="22"/>
        </w:rPr>
        <w:t>Mais celle-ci touchait à sa fin, même s'il écrivait encore à la mi-mai, à la veille de son retrait de la vie publique, à Reagan et à Tche</w:t>
      </w:r>
      <w:r w:rsidRPr="00675326">
        <w:rPr>
          <w:szCs w:val="22"/>
        </w:rPr>
        <w:t>r</w:t>
      </w:r>
      <w:r w:rsidRPr="00675326">
        <w:rPr>
          <w:szCs w:val="22"/>
        </w:rPr>
        <w:t>nenko pour les inciter à négocier la réduction des armements nucléa</w:t>
      </w:r>
      <w:r w:rsidRPr="00675326">
        <w:rPr>
          <w:szCs w:val="22"/>
        </w:rPr>
        <w:t>i</w:t>
      </w:r>
      <w:r w:rsidRPr="00675326">
        <w:rPr>
          <w:szCs w:val="22"/>
        </w:rPr>
        <w:t>res. Pierre Trudeau fut loin d'atteindre tous l</w:t>
      </w:r>
      <w:r>
        <w:rPr>
          <w:szCs w:val="22"/>
        </w:rPr>
        <w:t>es objectifs qu'il s'était fixé</w:t>
      </w:r>
      <w:r w:rsidRPr="00675326">
        <w:rPr>
          <w:szCs w:val="22"/>
        </w:rPr>
        <w:t>. Toutefois, il réussit à faire relancer les MBFR par les membres de l'OTAN, qui se présentèrent à Vienne avec des propositions concrètes. De plus, la Conférence de Stockholm s'ouvrit à un niveau élevé, comme il l'avait suggéré. Enfin, la contribution la plus impo</w:t>
      </w:r>
      <w:r w:rsidRPr="00675326">
        <w:rPr>
          <w:szCs w:val="22"/>
        </w:rPr>
        <w:t>r</w:t>
      </w:r>
      <w:r w:rsidRPr="00675326">
        <w:rPr>
          <w:szCs w:val="22"/>
        </w:rPr>
        <w:t>tante fut, certainement, d'avoir été le premier chef de gouvernement à percevoir la nécessité de réouvrir le dialogue Est-Ouest et d'avoir eu le courage de le dire publiquement et d'entreprendre des démarches à la fois rapides et spectaculaires</w:t>
      </w:r>
      <w:r>
        <w:rPr>
          <w:szCs w:val="22"/>
        </w:rPr>
        <w:t> </w:t>
      </w:r>
      <w:r>
        <w:rPr>
          <w:rStyle w:val="Appelnotedebasdep"/>
        </w:rPr>
        <w:footnoteReference w:id="64"/>
      </w:r>
      <w:r w:rsidRPr="00675326">
        <w:rPr>
          <w:szCs w:val="22"/>
        </w:rPr>
        <w:t>.</w:t>
      </w:r>
    </w:p>
    <w:p w:rsidR="00AD690E" w:rsidRPr="00675326" w:rsidRDefault="00AD690E" w:rsidP="00AD690E">
      <w:pPr>
        <w:spacing w:before="120" w:after="120"/>
        <w:jc w:val="both"/>
      </w:pPr>
      <w:r w:rsidRPr="00675326">
        <w:rPr>
          <w:szCs w:val="22"/>
        </w:rPr>
        <w:t>Comme nous le notions en introduction, Pierre Trudeau terminait sa carrière de premier ministre sur un paradoxe : après avoir formulé à son arrivée au pouvoir une politique étrangère réaliste, prolongement à l'extérieur des intérêts intérieurs, il conclua, comme son prédéce</w:t>
      </w:r>
      <w:r w:rsidRPr="00675326">
        <w:rPr>
          <w:szCs w:val="22"/>
        </w:rPr>
        <w:t>s</w:t>
      </w:r>
      <w:r w:rsidRPr="00675326">
        <w:rPr>
          <w:szCs w:val="22"/>
        </w:rPr>
        <w:t>seur Pearson l'avait toujours pratiqué, sur un rôle de médiateur et d'apaiseur de conflits. Les contraintes de la conjoncture au sein du système mondial avaient eu raison de son dessein initial.</w:t>
      </w:r>
    </w:p>
    <w:p w:rsidR="00AD690E" w:rsidRDefault="00AD690E" w:rsidP="00AD690E">
      <w:pPr>
        <w:spacing w:before="120" w:after="120"/>
        <w:jc w:val="both"/>
        <w:rPr>
          <w:szCs w:val="18"/>
        </w:rPr>
      </w:pPr>
    </w:p>
    <w:p w:rsidR="00AD690E" w:rsidRDefault="00AD690E" w:rsidP="00AD690E">
      <w:pPr>
        <w:pStyle w:val="p"/>
      </w:pPr>
      <w:r>
        <w:t>[54]</w:t>
      </w:r>
    </w:p>
    <w:p w:rsidR="00AD690E" w:rsidRDefault="00AD690E" w:rsidP="00AD690E">
      <w:pPr>
        <w:pStyle w:val="p"/>
      </w:pPr>
      <w:r>
        <w:br w:type="page"/>
        <w:t>[55]</w:t>
      </w: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7" w:name="ere_Liberaux_pt1_texte_03"/>
      <w:r w:rsidRPr="003634E0">
        <w:rPr>
          <w:b/>
          <w:color w:val="000080"/>
          <w:sz w:val="24"/>
        </w:rPr>
        <w:t>PREMIÈRE PARTIE</w:t>
      </w:r>
      <w:r w:rsidRPr="003634E0">
        <w:rPr>
          <w:b/>
          <w:color w:val="000080"/>
          <w:sz w:val="24"/>
        </w:rPr>
        <w:br/>
        <w:t>QUESTIONS POLITIQUES</w:t>
      </w:r>
    </w:p>
    <w:p w:rsidR="00AD690E" w:rsidRPr="00E07116" w:rsidRDefault="00AD690E" w:rsidP="00AD690E">
      <w:pPr>
        <w:jc w:val="both"/>
        <w:rPr>
          <w:szCs w:val="36"/>
        </w:rPr>
      </w:pPr>
    </w:p>
    <w:p w:rsidR="00AD690E" w:rsidRPr="00E07116" w:rsidRDefault="00AD690E" w:rsidP="00AD690E">
      <w:pPr>
        <w:pStyle w:val="planchest"/>
      </w:pPr>
      <w:r>
        <w:t>“Pacifisme et militarisme :</w:t>
      </w:r>
      <w:r>
        <w:br/>
        <w:t>illusions et réalités de la politique</w:t>
      </w:r>
      <w:r>
        <w:br/>
        <w:t>de défense du Canada.”</w:t>
      </w:r>
    </w:p>
    <w:bookmarkEnd w:id="7"/>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Yves BÉLANGER et Pierre FOURNIER</w:t>
      </w:r>
    </w:p>
    <w:p w:rsidR="00AD690E" w:rsidRPr="00957619" w:rsidRDefault="00AD690E" w:rsidP="00AD690E">
      <w:pPr>
        <w:spacing w:before="120"/>
        <w:ind w:firstLine="0"/>
        <w:jc w:val="center"/>
        <w:rPr>
          <w:sz w:val="24"/>
        </w:rPr>
      </w:pPr>
      <w:r w:rsidRPr="00957619">
        <w:rPr>
          <w:sz w:val="24"/>
          <w:szCs w:val="22"/>
        </w:rPr>
        <w:t>Département de science politique</w:t>
      </w:r>
      <w:r w:rsidRPr="00957619">
        <w:rPr>
          <w:sz w:val="24"/>
          <w:szCs w:val="22"/>
        </w:rPr>
        <w:br/>
        <w:t>Un</w:t>
      </w:r>
      <w:r w:rsidRPr="00957619">
        <w:rPr>
          <w:sz w:val="24"/>
          <w:szCs w:val="22"/>
        </w:rPr>
        <w:t>i</w:t>
      </w:r>
      <w:r w:rsidRPr="00957619">
        <w:rPr>
          <w:sz w:val="24"/>
          <w:szCs w:val="22"/>
        </w:rPr>
        <w:t>versité du Québec à Montréal</w:t>
      </w: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675326" w:rsidRDefault="00AD690E" w:rsidP="00AD690E">
      <w:pPr>
        <w:spacing w:before="120" w:after="120"/>
        <w:jc w:val="both"/>
      </w:pPr>
      <w:r w:rsidRPr="00675326">
        <w:rPr>
          <w:szCs w:val="22"/>
        </w:rPr>
        <w:t>Le mariage pourtant classique entre la défense et la souveraineté nationale est au Canada une source d'ambiguïtés. Le pays est en effet déchiré entre les impératifs de la défense continentale et ceux de sa souveraineté nationale. Pour plusieurs, le territoire canadien constitue la pointe avancée de la « défense stratégique américaine » et la défe</w:t>
      </w:r>
      <w:r w:rsidRPr="00675326">
        <w:rPr>
          <w:szCs w:val="22"/>
        </w:rPr>
        <w:t>n</w:t>
      </w:r>
      <w:r w:rsidRPr="00675326">
        <w:rPr>
          <w:szCs w:val="22"/>
        </w:rPr>
        <w:t>se du continent nord-américain est indivisible. Selon Michel Fortman, par exemple, il n'y a pas d'alternative à une relation de collaboration entre les institutions de défense canadienne et américaine</w:t>
      </w:r>
      <w:r>
        <w:rPr>
          <w:szCs w:val="22"/>
          <w:vertAlign w:val="superscript"/>
        </w:rPr>
        <w:t> </w:t>
      </w:r>
      <w:r w:rsidRPr="00E30B98">
        <w:rPr>
          <w:rStyle w:val="Appelnotedebasdep"/>
        </w:rPr>
        <w:footnoteReference w:id="65"/>
      </w:r>
      <w:r w:rsidRPr="00675326">
        <w:rPr>
          <w:szCs w:val="22"/>
        </w:rPr>
        <w:t>. Pour lui, cette relation a été rentable sur le plan économique et a contribué à donner la priorité à un certain nombre d'objectifs purement nationaux au détriment des dépenses militaires. Mais Fortman a identifié deux éléments de mutation qui réclament maintenant un éclaircissement de notre relation militaire : la révolution technologique et les chang</w:t>
      </w:r>
      <w:r w:rsidRPr="00675326">
        <w:rPr>
          <w:szCs w:val="22"/>
        </w:rPr>
        <w:t>e</w:t>
      </w:r>
      <w:r w:rsidRPr="00675326">
        <w:rPr>
          <w:szCs w:val="22"/>
        </w:rPr>
        <w:t>ments de doctrines militaires. L'apparition de nouveaux systèmes d'armes (missiles de croisière, IDS, etc.) interpelle à nouveau le Can</w:t>
      </w:r>
      <w:r w:rsidRPr="00675326">
        <w:rPr>
          <w:szCs w:val="22"/>
        </w:rPr>
        <w:t>a</w:t>
      </w:r>
      <w:r w:rsidRPr="00675326">
        <w:rPr>
          <w:szCs w:val="22"/>
        </w:rPr>
        <w:t>da dans ce qu'il a de plus contradictoire, soit le rapport entre ses amb</w:t>
      </w:r>
      <w:r w:rsidRPr="00675326">
        <w:rPr>
          <w:szCs w:val="22"/>
        </w:rPr>
        <w:t>i</w:t>
      </w:r>
      <w:r w:rsidRPr="00675326">
        <w:rPr>
          <w:szCs w:val="22"/>
        </w:rPr>
        <w:t>tions de contribuer à la paix dans le monde et la préservation de son image de négociateur international d'un côté, et les contraintes qui lui sont imposées par la politique de défense américaine, auquel s'ajoutent les intérêts plutôt terre à terre de l'économie nationale d'un autre côté.</w:t>
      </w:r>
    </w:p>
    <w:p w:rsidR="00AD690E" w:rsidRPr="00675326" w:rsidRDefault="00AD690E" w:rsidP="00AD690E">
      <w:pPr>
        <w:spacing w:before="120" w:after="120"/>
        <w:jc w:val="both"/>
      </w:pPr>
      <w:r w:rsidRPr="00675326">
        <w:rPr>
          <w:szCs w:val="22"/>
        </w:rPr>
        <w:t>Cela fait maintenant plus de 40 ans, soit depuis 1945, que le Can</w:t>
      </w:r>
      <w:r w:rsidRPr="00675326">
        <w:rPr>
          <w:szCs w:val="22"/>
        </w:rPr>
        <w:t>a</w:t>
      </w:r>
      <w:r w:rsidRPr="00675326">
        <w:rPr>
          <w:szCs w:val="22"/>
        </w:rPr>
        <w:t>da tente de gérer cette contradiction. Bien que les analyses et les rece</w:t>
      </w:r>
      <w:r w:rsidRPr="00675326">
        <w:rPr>
          <w:szCs w:val="22"/>
        </w:rPr>
        <w:t>t</w:t>
      </w:r>
      <w:r w:rsidRPr="00675326">
        <w:rPr>
          <w:szCs w:val="22"/>
        </w:rPr>
        <w:t>tes aient pu varier</w:t>
      </w:r>
      <w:r>
        <w:rPr>
          <w:szCs w:val="22"/>
        </w:rPr>
        <w:t xml:space="preserve"> </w:t>
      </w:r>
      <w:r>
        <w:t>[</w:t>
      </w:r>
      <w:r w:rsidRPr="00675326">
        <w:rPr>
          <w:szCs w:val="18"/>
        </w:rPr>
        <w:t>56</w:t>
      </w:r>
      <w:r>
        <w:rPr>
          <w:szCs w:val="18"/>
        </w:rPr>
        <w:t xml:space="preserve">] </w:t>
      </w:r>
      <w:r w:rsidRPr="00675326">
        <w:t>dans le temps, tous les gouvernements, sans exception, depuis la Deuxième Guerre mondiale, ont essayé, avec des résultats divers, de ménager la chèvre et le chou. Certains semblent en être sortis grandis. C'est le cas des gouvernements Pearson et Trudeau. Il est vrai que le Canada est la seule puissance du monde occidental à avoir fait le choix de démanteler son armement nucléaire. Il est vrai également que les fonds affectés par le Canada à la défense sont inf</w:t>
      </w:r>
      <w:r w:rsidRPr="00675326">
        <w:t>é</w:t>
      </w:r>
      <w:r w:rsidRPr="00675326">
        <w:t>rieurs à ce que dépensent des pays comme les États-Unis, la France ou l'Angleterre. Il est vrai finalement que le Canada s'est impliqué concrètement dans plusieurs missions de paix patronnées par l'ONU. De là est issue l'image d'un État résolument rangé dans le camp des promoteurs de la paix. Pourtant, à chaque semaine, l'annonce de no</w:t>
      </w:r>
      <w:r w:rsidRPr="00675326">
        <w:t>u</w:t>
      </w:r>
      <w:r w:rsidRPr="00675326">
        <w:t>veaux projets mil</w:t>
      </w:r>
      <w:r w:rsidRPr="00675326">
        <w:t>i</w:t>
      </w:r>
      <w:r w:rsidRPr="00675326">
        <w:t>taires ou de remplacement des équipements vient rappeler l'influence très réelle du budget de la Défense. En fait, le C</w:t>
      </w:r>
      <w:r w:rsidRPr="00675326">
        <w:t>a</w:t>
      </w:r>
      <w:r w:rsidRPr="00675326">
        <w:t>nada, en présumant bien sûr qu'il ne l'ait déjà quitté, a repris le chemin de la militarisation. Les dépenses en armements de toute sorte se mu</w:t>
      </w:r>
      <w:r w:rsidRPr="00675326">
        <w:t>l</w:t>
      </w:r>
      <w:r w:rsidRPr="00675326">
        <w:t>tiplient. Un nouveau livre blanc, rendu public en 1987 après seize ans de silence, a permis de prendre conscience de la brutalité du virage. L'analyse des impér</w:t>
      </w:r>
      <w:r w:rsidRPr="00675326">
        <w:t>a</w:t>
      </w:r>
      <w:r w:rsidRPr="00675326">
        <w:t>tifs internationaux justifie, selon le document, un accroissement des effectifs militaires et l'injection de sommes coloss</w:t>
      </w:r>
      <w:r w:rsidRPr="00675326">
        <w:t>a</w:t>
      </w:r>
      <w:r w:rsidRPr="00675326">
        <w:t>les dans la modernisation des équipements. Il ne s'agit pas d'une a</w:t>
      </w:r>
      <w:r w:rsidRPr="00675326">
        <w:t>p</w:t>
      </w:r>
      <w:r w:rsidRPr="00675326">
        <w:t>proche très origin</w:t>
      </w:r>
      <w:r w:rsidRPr="00675326">
        <w:t>a</w:t>
      </w:r>
      <w:r w:rsidRPr="00675326">
        <w:t>le, mais elle marque une coupure avec l'image que le Canada a tenté de promouvoir dans le passé et la réalité de ses pol</w:t>
      </w:r>
      <w:r w:rsidRPr="00675326">
        <w:t>i</w:t>
      </w:r>
      <w:r w:rsidRPr="00675326">
        <w:t>tiques. Évide</w:t>
      </w:r>
      <w:r w:rsidRPr="00675326">
        <w:t>m</w:t>
      </w:r>
      <w:r w:rsidRPr="00675326">
        <w:t>ment, le texte ayant été déposé sous le gouvernement Mulroney, la tentation est forte d'en imputer la paternité aux conserv</w:t>
      </w:r>
      <w:r w:rsidRPr="00675326">
        <w:t>a</w:t>
      </w:r>
      <w:r w:rsidRPr="00675326">
        <w:t>teurs. Ces derniers seraient les faucons militaristes qui ont bouleversé l'</w:t>
      </w:r>
      <w:r>
        <w:t>œuvre</w:t>
      </w:r>
      <w:r w:rsidRPr="00675326">
        <w:t xml:space="preserve"> des « trois colombes » pacifistes. L'image est belle, mais contraire à la réalité.</w:t>
      </w:r>
    </w:p>
    <w:p w:rsidR="00AD690E" w:rsidRPr="00675326" w:rsidRDefault="00AD690E" w:rsidP="00AD690E">
      <w:pPr>
        <w:spacing w:before="120" w:after="120"/>
        <w:jc w:val="both"/>
      </w:pPr>
      <w:r w:rsidRPr="00675326">
        <w:t>La ligne de conduite poursuivie présentement par le gouvernement canadien a été patiemment préparée par les libéraux. Ce sont ces de</w:t>
      </w:r>
      <w:r w:rsidRPr="00675326">
        <w:t>r</w:t>
      </w:r>
      <w:r w:rsidRPr="00675326">
        <w:t>niers qui ont amorcé la remontée des dépenses militaires. Ce sont eux également qui ont engagé le processus politique qui a mené au resse</w:t>
      </w:r>
      <w:r w:rsidRPr="00675326">
        <w:t>r</w:t>
      </w:r>
      <w:r w:rsidRPr="00675326">
        <w:t>rement de la doctrine militaire canadienne, pendant que Pierre Tr</w:t>
      </w:r>
      <w:r w:rsidRPr="00675326">
        <w:t>u</w:t>
      </w:r>
      <w:r w:rsidRPr="00675326">
        <w:t>deau, de son côté, prêchait en faveur du gel des armes nucléaires et arpentait l'Europe à la recherche d'une soi-disant solution à l'antag</w:t>
      </w:r>
      <w:r w:rsidRPr="00675326">
        <w:t>o</w:t>
      </w:r>
      <w:r w:rsidRPr="00675326">
        <w:t>nisme des superpuissances. Peut-être certains y verront-ils l'expression d'une stratégie politique fine et nuancée. Nous y constatons pour notre part une contradiction qui n'est au fond que la répercussion de l'inc</w:t>
      </w:r>
      <w:r w:rsidRPr="00675326">
        <w:t>o</w:t>
      </w:r>
      <w:r w:rsidRPr="00675326">
        <w:t>hérence de la politique canadienne. De 1963 à 1984, les libéraux ont cultivé cette contradiction. Ils ont réussi à convaincre les</w:t>
      </w:r>
      <w:r>
        <w:t xml:space="preserve"> Canadiens qu'ils cherchaient à </w:t>
      </w:r>
      <w:r w:rsidRPr="00675326">
        <w:t>contribuer activement à la paix mondiale, sans jamais remettre en question les engagements militaires du Canada. On aura compris qu'une telle politique ne pouvait suivre qu'une trajectoire sinueuse. Tentons donc d'en retracer les grandes lignes.</w:t>
      </w:r>
    </w:p>
    <w:p w:rsidR="00AD690E" w:rsidRDefault="00AD690E" w:rsidP="00AD690E">
      <w:pPr>
        <w:spacing w:before="120" w:after="120"/>
        <w:jc w:val="both"/>
      </w:pPr>
      <w:r>
        <w:t>[57]</w:t>
      </w:r>
    </w:p>
    <w:p w:rsidR="00AD690E" w:rsidRDefault="00AD690E" w:rsidP="00AD690E">
      <w:pPr>
        <w:spacing w:before="120" w:after="120"/>
        <w:jc w:val="both"/>
      </w:pPr>
    </w:p>
    <w:p w:rsidR="00AD690E" w:rsidRPr="00675326" w:rsidRDefault="00AD690E" w:rsidP="00AD690E">
      <w:pPr>
        <w:pStyle w:val="planche"/>
      </w:pPr>
      <w:r w:rsidRPr="00675326">
        <w:t xml:space="preserve">LE CONTEXTE </w:t>
      </w:r>
      <w:r>
        <w:t>DE L'ARRIVÉ</w:t>
      </w:r>
      <w:r w:rsidRPr="00675326">
        <w:t>E</w:t>
      </w:r>
      <w:r>
        <w:br/>
      </w:r>
      <w:r w:rsidRPr="00675326">
        <w:t>AU POUVOIR</w:t>
      </w:r>
    </w:p>
    <w:p w:rsidR="00AD690E" w:rsidRDefault="00AD690E" w:rsidP="00AD690E">
      <w:pPr>
        <w:spacing w:before="120" w:after="120"/>
        <w:jc w:val="both"/>
      </w:pPr>
    </w:p>
    <w:p w:rsidR="00AD690E" w:rsidRPr="00675326" w:rsidRDefault="00AD690E" w:rsidP="00AD690E">
      <w:pPr>
        <w:spacing w:before="120" w:after="120"/>
        <w:jc w:val="both"/>
      </w:pPr>
      <w:r w:rsidRPr="00675326">
        <w:t>Au moment de la prise du pouvoir par les libéraux, la politique c</w:t>
      </w:r>
      <w:r w:rsidRPr="00675326">
        <w:t>a</w:t>
      </w:r>
      <w:r w:rsidRPr="00675326">
        <w:t>nadienne de défense est en crise. Non seulement le Canada n'a-t-il pas de politique d'ensemble, mais différentes actions prises sous le go</w:t>
      </w:r>
      <w:r w:rsidRPr="00675326">
        <w:t>u</w:t>
      </w:r>
      <w:r w:rsidRPr="00675326">
        <w:t>vernement conservateur remettent en cause plusieurs volets de sa pol</w:t>
      </w:r>
      <w:r w:rsidRPr="00675326">
        <w:t>i</w:t>
      </w:r>
      <w:r w:rsidRPr="00675326">
        <w:t>tique internationale. Le Cabinet Diefenbaker a notamment signé, sans en débattre véritablement, un accord d'intégration de la défense a</w:t>
      </w:r>
      <w:r w:rsidRPr="00675326">
        <w:t>é</w:t>
      </w:r>
      <w:r w:rsidRPr="00675326">
        <w:t>rienne du continent (NORAD). Il a par ailleurs, sur la toile de fond de la nucléarisation des forces de l'OTAN, accepté le principe de l'insta</w:t>
      </w:r>
      <w:r w:rsidRPr="00675326">
        <w:t>l</w:t>
      </w:r>
      <w:r w:rsidRPr="00675326">
        <w:t xml:space="preserve">lation en sol canadien de missiles nucléaires </w:t>
      </w:r>
      <w:r>
        <w:rPr>
          <w:i/>
          <w:iCs/>
        </w:rPr>
        <w:t>(B</w:t>
      </w:r>
      <w:r w:rsidRPr="00675326">
        <w:rPr>
          <w:i/>
          <w:iCs/>
        </w:rPr>
        <w:t>o</w:t>
      </w:r>
      <w:r>
        <w:rPr>
          <w:i/>
          <w:iCs/>
        </w:rPr>
        <w:t>m</w:t>
      </w:r>
      <w:r w:rsidRPr="00675326">
        <w:rPr>
          <w:i/>
          <w:iCs/>
        </w:rPr>
        <w:t xml:space="preserve">arc) </w:t>
      </w:r>
      <w:r w:rsidRPr="00675326">
        <w:t>et fait l'acquis</w:t>
      </w:r>
      <w:r w:rsidRPr="00675326">
        <w:t>i</w:t>
      </w:r>
      <w:r w:rsidRPr="00675326">
        <w:t>tion d'avions d'intervention liés à cette force nucléaire. Cette décision sera d'ailleurs une des causes de sa défaite électorale de 1963.</w:t>
      </w:r>
    </w:p>
    <w:p w:rsidR="00AD690E" w:rsidRPr="00142379" w:rsidRDefault="00AD690E" w:rsidP="00AD690E">
      <w:pPr>
        <w:spacing w:before="120" w:after="120"/>
        <w:jc w:val="both"/>
        <w:rPr>
          <w:vertAlign w:val="subscript"/>
        </w:rPr>
      </w:pPr>
      <w:r w:rsidRPr="00675326">
        <w:t>En outre, différents efforts en vue de permettre au Canada de d</w:t>
      </w:r>
      <w:r w:rsidRPr="00675326">
        <w:t>e</w:t>
      </w:r>
      <w:r w:rsidRPr="00675326">
        <w:t>venir une puissance militaro-industrielle capable de résister à l'attra</w:t>
      </w:r>
      <w:r w:rsidRPr="00675326">
        <w:t>c</w:t>
      </w:r>
      <w:r w:rsidRPr="00675326">
        <w:t>tion américaine débouchent sur de lamentables échecs. Les derniers espoirs s'envolent quelques mois avant la signature du traité NORAD, suite à l'échec du projet Arrow. Ce projet devait permettre au Canada de se hisser dans le peloton de tête des puissances économiques mil</w:t>
      </w:r>
      <w:r w:rsidRPr="00675326">
        <w:t>i</w:t>
      </w:r>
      <w:r w:rsidRPr="00675326">
        <w:t>taires grâce à la production d'un chasseur de combat ultramoderne. La hausse des coûts et les problèmes techniques précipitent son abandon et, du même coup, l'effondrement de la quasi-totalité de l'industrie de l'avionnerie canadienne. Pour éviter un désastre complet, le gouve</w:t>
      </w:r>
      <w:r w:rsidRPr="00675326">
        <w:t>r</w:t>
      </w:r>
      <w:r w:rsidRPr="00675326">
        <w:t>nement fédéral opte pour une intégration des usines canadiennes au complexe militaro-industriel américain par l'entremise de la signature des accords sur le partage de la production du matériel de défense (Défense Production Sharing Agreement) (DPSA). À une nouvelle étape de l'intégration militaro-stratégique du continent correspond donc également une intégration économique et technologique</w:t>
      </w:r>
      <w:r>
        <w:t> </w:t>
      </w:r>
      <w:r>
        <w:rPr>
          <w:rStyle w:val="Appelnotedebasdep"/>
        </w:rPr>
        <w:footnoteReference w:id="66"/>
      </w:r>
      <w:r>
        <w:t>.</w:t>
      </w:r>
      <w:r>
        <w:rPr>
          <w:vertAlign w:val="superscript"/>
        </w:rPr>
        <w:t xml:space="preserve"> </w:t>
      </w:r>
    </w:p>
    <w:p w:rsidR="00AD690E" w:rsidRPr="00675326" w:rsidRDefault="00AD690E" w:rsidP="00AD690E">
      <w:pPr>
        <w:spacing w:before="120" w:after="120"/>
        <w:jc w:val="both"/>
      </w:pPr>
      <w:r w:rsidRPr="00675326">
        <w:t>Les conservateurs venaient de modifier les paramètres fondame</w:t>
      </w:r>
      <w:r w:rsidRPr="00675326">
        <w:t>n</w:t>
      </w:r>
      <w:r w:rsidRPr="00675326">
        <w:t>taux de la politique de défense. Rappelons à cet égard que le Canada avait fait le choix depuis 1945, alors qu'il était la quatrième puissance militaire du globe, de privilégier une politique axée non pas sur la d</w:t>
      </w:r>
      <w:r w:rsidRPr="00675326">
        <w:t>é</w:t>
      </w:r>
      <w:r w:rsidRPr="00675326">
        <w:t>fense régionale ou continentale, mais sur la sécurité mondiale. Le gouvernement Mackenzie King avait par ailleurs préféré centrer sa politique intérieure sur l'économie en s'appuyant sur la mise en place d'une importante infrastructure sociale et économique d'inspiration keynésienne. Les dépenses militaires cadraient mal avec cette nouve</w:t>
      </w:r>
      <w:r w:rsidRPr="00675326">
        <w:t>l</w:t>
      </w:r>
      <w:r w:rsidRPr="00675326">
        <w:t>le philosophie. Elles se virent donc attribuer une part modeste des re</w:t>
      </w:r>
      <w:r w:rsidRPr="00675326">
        <w:t>s</w:t>
      </w:r>
      <w:r w:rsidRPr="00675326">
        <w:t>sources de l'État</w:t>
      </w:r>
      <w:r>
        <w:t> </w:t>
      </w:r>
      <w:r w:rsidRPr="00857900">
        <w:rPr>
          <w:rStyle w:val="Appelnotedebasdep"/>
        </w:rPr>
        <w:footnoteReference w:id="67"/>
      </w:r>
      <w:r w:rsidRPr="00675326">
        <w:t>.</w:t>
      </w:r>
    </w:p>
    <w:p w:rsidR="00AD690E" w:rsidRPr="00675326" w:rsidRDefault="00AD690E" w:rsidP="00AD690E">
      <w:pPr>
        <w:spacing w:before="120" w:after="120"/>
        <w:jc w:val="both"/>
      </w:pPr>
      <w:r w:rsidRPr="00675326">
        <w:t>Pour le Canada, la défense continentale n'était ni la seule ni la principale priorité. C'est ce que confirme une déclaration du premier ministre Saint-Laurent</w:t>
      </w:r>
      <w:r>
        <w:t xml:space="preserve"> </w:t>
      </w:r>
      <w:r>
        <w:rPr>
          <w:szCs w:val="18"/>
        </w:rPr>
        <w:t>[</w:t>
      </w:r>
      <w:r w:rsidRPr="00675326">
        <w:rPr>
          <w:szCs w:val="18"/>
        </w:rPr>
        <w:t>58</w:t>
      </w:r>
      <w:r>
        <w:rPr>
          <w:szCs w:val="18"/>
        </w:rPr>
        <w:t xml:space="preserve">] </w:t>
      </w:r>
      <w:r w:rsidRPr="00675326">
        <w:rPr>
          <w:szCs w:val="22"/>
        </w:rPr>
        <w:t>à la Conférence Gray de 1947</w:t>
      </w:r>
      <w:r>
        <w:rPr>
          <w:szCs w:val="22"/>
        </w:rPr>
        <w:t> </w:t>
      </w:r>
      <w:r w:rsidRPr="00857900">
        <w:rPr>
          <w:rStyle w:val="Appelnotedebasdep"/>
        </w:rPr>
        <w:footnoteReference w:id="68"/>
      </w:r>
      <w:r w:rsidRPr="00675326">
        <w:rPr>
          <w:szCs w:val="22"/>
        </w:rPr>
        <w:t>, où furent définis les principes fondamentaux qui devaient régir les grandes l</w:t>
      </w:r>
      <w:r w:rsidRPr="00675326">
        <w:rPr>
          <w:szCs w:val="22"/>
        </w:rPr>
        <w:t>i</w:t>
      </w:r>
      <w:r w:rsidRPr="00675326">
        <w:rPr>
          <w:szCs w:val="22"/>
        </w:rPr>
        <w:t>gnes de la politique c</w:t>
      </w:r>
      <w:r w:rsidRPr="00675326">
        <w:rPr>
          <w:szCs w:val="22"/>
        </w:rPr>
        <w:t>a</w:t>
      </w:r>
      <w:r w:rsidRPr="00675326">
        <w:rPr>
          <w:szCs w:val="22"/>
        </w:rPr>
        <w:t>nadienne en matière de défense. Les grands axes de cette politique prévoyaient :</w:t>
      </w:r>
    </w:p>
    <w:p w:rsidR="00AD690E" w:rsidRPr="00675326" w:rsidRDefault="00AD690E" w:rsidP="00AD690E">
      <w:pPr>
        <w:ind w:left="720" w:hanging="360"/>
        <w:jc w:val="both"/>
        <w:rPr>
          <w:szCs w:val="22"/>
        </w:rPr>
      </w:pPr>
      <w:r>
        <w:rPr>
          <w:szCs w:val="18"/>
        </w:rPr>
        <w:t>-</w:t>
      </w:r>
      <w:r>
        <w:rPr>
          <w:szCs w:val="18"/>
        </w:rPr>
        <w:tab/>
      </w:r>
      <w:r w:rsidRPr="00675326">
        <w:rPr>
          <w:szCs w:val="22"/>
        </w:rPr>
        <w:t>favoriser la défense collective en participant à l'OTAN ;</w:t>
      </w:r>
    </w:p>
    <w:p w:rsidR="00AD690E" w:rsidRPr="00675326" w:rsidRDefault="00AD690E" w:rsidP="00AD690E">
      <w:pPr>
        <w:ind w:left="720" w:hanging="360"/>
        <w:jc w:val="both"/>
        <w:rPr>
          <w:szCs w:val="22"/>
        </w:rPr>
      </w:pPr>
      <w:r>
        <w:rPr>
          <w:szCs w:val="18"/>
        </w:rPr>
        <w:t>-</w:t>
      </w:r>
      <w:r>
        <w:rPr>
          <w:szCs w:val="18"/>
        </w:rPr>
        <w:tab/>
      </w:r>
      <w:r w:rsidRPr="00675326">
        <w:rPr>
          <w:szCs w:val="22"/>
        </w:rPr>
        <w:t>défendre le continent nord-américain de concert avec les États-Unis ;</w:t>
      </w:r>
    </w:p>
    <w:p w:rsidR="00AD690E" w:rsidRPr="00675326" w:rsidRDefault="00AD690E" w:rsidP="00AD690E">
      <w:pPr>
        <w:ind w:left="720" w:hanging="360"/>
        <w:jc w:val="both"/>
        <w:rPr>
          <w:szCs w:val="22"/>
        </w:rPr>
      </w:pPr>
      <w:r>
        <w:rPr>
          <w:szCs w:val="18"/>
        </w:rPr>
        <w:t>-</w:t>
      </w:r>
      <w:r>
        <w:rPr>
          <w:szCs w:val="18"/>
        </w:rPr>
        <w:tab/>
      </w:r>
      <w:r w:rsidRPr="00675326">
        <w:rPr>
          <w:szCs w:val="22"/>
        </w:rPr>
        <w:t>participer au maintien de la paix et de la sécurité internationale par le biais des Nations unies ;</w:t>
      </w:r>
    </w:p>
    <w:p w:rsidR="00AD690E" w:rsidRPr="00675326" w:rsidRDefault="00AD690E" w:rsidP="00AD690E">
      <w:pPr>
        <w:ind w:left="720" w:hanging="360"/>
        <w:jc w:val="both"/>
        <w:rPr>
          <w:szCs w:val="22"/>
        </w:rPr>
      </w:pPr>
      <w:r>
        <w:rPr>
          <w:szCs w:val="18"/>
        </w:rPr>
        <w:t>-</w:t>
      </w:r>
      <w:r>
        <w:rPr>
          <w:szCs w:val="18"/>
        </w:rPr>
        <w:tab/>
      </w:r>
      <w:r w:rsidRPr="00675326">
        <w:rPr>
          <w:szCs w:val="22"/>
        </w:rPr>
        <w:t>renforcer et protéger la souveraineté du Canada.</w:t>
      </w:r>
    </w:p>
    <w:p w:rsidR="00AD690E" w:rsidRPr="00675326" w:rsidRDefault="00AD690E" w:rsidP="00AD690E">
      <w:pPr>
        <w:spacing w:before="120" w:after="120"/>
        <w:jc w:val="both"/>
      </w:pPr>
      <w:r w:rsidRPr="00675326">
        <w:rPr>
          <w:szCs w:val="22"/>
        </w:rPr>
        <w:t>Pour leur part, les Américains voyaient différemment les enjeux planétaires. Défenseurs du monde libre, ils avaient déjà, pendant la guerre, développé une vision bipolaire des enjeux stratégiques intern</w:t>
      </w:r>
      <w:r w:rsidRPr="00675326">
        <w:rPr>
          <w:szCs w:val="22"/>
        </w:rPr>
        <w:t>a</w:t>
      </w:r>
      <w:r w:rsidRPr="00675326">
        <w:rPr>
          <w:szCs w:val="22"/>
        </w:rPr>
        <w:t>tionaux. Leur implication dans le camp allié n'avait-elle pas changé le cours de la guerre ? N'avaient-ils pas en outre assumé presque seuls la guerre du Pacifique ? Leur position de force sur le terrain au lend</w:t>
      </w:r>
      <w:r w:rsidRPr="00675326">
        <w:rPr>
          <w:szCs w:val="22"/>
        </w:rPr>
        <w:t>e</w:t>
      </w:r>
      <w:r w:rsidRPr="00675326">
        <w:rPr>
          <w:szCs w:val="22"/>
        </w:rPr>
        <w:t>main de la guerre, la maîtrise de l'arme atomique et leur rôle stratég</w:t>
      </w:r>
      <w:r w:rsidRPr="00675326">
        <w:rPr>
          <w:szCs w:val="22"/>
        </w:rPr>
        <w:t>i</w:t>
      </w:r>
      <w:r w:rsidRPr="00675326">
        <w:rPr>
          <w:szCs w:val="22"/>
        </w:rPr>
        <w:t>que dans le processus de reconstruction de l'Europe leur conféraient d'emblée le statut de sanctuaire du monde libre et capitaliste. Il impo</w:t>
      </w:r>
      <w:r w:rsidRPr="00675326">
        <w:rPr>
          <w:szCs w:val="22"/>
        </w:rPr>
        <w:t>r</w:t>
      </w:r>
      <w:r w:rsidRPr="00675326">
        <w:rPr>
          <w:szCs w:val="22"/>
        </w:rPr>
        <w:t>tait conséquemment de protéger l'intégrité de ce sanctuaire.</w:t>
      </w:r>
    </w:p>
    <w:p w:rsidR="00AD690E" w:rsidRPr="00675326" w:rsidRDefault="00AD690E" w:rsidP="00AD690E">
      <w:pPr>
        <w:spacing w:before="120" w:after="120"/>
        <w:jc w:val="both"/>
      </w:pPr>
      <w:r w:rsidRPr="00675326">
        <w:rPr>
          <w:szCs w:val="22"/>
        </w:rPr>
        <w:t>Or, les Soviétiques, qui sont, rappelons-le, situés tout à côté du Canada lorsqu'on analyse le monde dans une perspective américano-centriste, maîtrisaient l'énergie nucléaire et possédaient déjà, au début des années 1950, des vecteurs de transports aériens capables de livrer les bombes sur les villes américaines en survolant le territoire can</w:t>
      </w:r>
      <w:r w:rsidRPr="00675326">
        <w:rPr>
          <w:szCs w:val="22"/>
        </w:rPr>
        <w:t>a</w:t>
      </w:r>
      <w:r w:rsidRPr="00675326">
        <w:rPr>
          <w:szCs w:val="22"/>
        </w:rPr>
        <w:t xml:space="preserve">dien. La mise au point de nouvelles techniques de lancement d'engins satellisés en 1957 </w:t>
      </w:r>
      <w:r w:rsidRPr="00675326">
        <w:rPr>
          <w:i/>
          <w:iCs/>
          <w:szCs w:val="22"/>
        </w:rPr>
        <w:t xml:space="preserve">(Sputnik) </w:t>
      </w:r>
      <w:r w:rsidRPr="00675326">
        <w:rPr>
          <w:szCs w:val="22"/>
        </w:rPr>
        <w:t>venait en outre confirmer leur avance dans la mise au point de missiles balistiques intercontinentaux</w:t>
      </w:r>
      <w:r>
        <w:rPr>
          <w:szCs w:val="22"/>
        </w:rPr>
        <w:t> </w:t>
      </w:r>
      <w:r w:rsidRPr="00857900">
        <w:rPr>
          <w:rStyle w:val="Appelnotedebasdep"/>
        </w:rPr>
        <w:footnoteReference w:id="69"/>
      </w:r>
      <w:r w:rsidRPr="00675326">
        <w:rPr>
          <w:szCs w:val="22"/>
        </w:rPr>
        <w:t>. Dans ce contexte, le gouvernement américain opta pour une stratégie de défe</w:t>
      </w:r>
      <w:r w:rsidRPr="00675326">
        <w:rPr>
          <w:szCs w:val="22"/>
        </w:rPr>
        <w:t>n</w:t>
      </w:r>
      <w:r w:rsidRPr="00675326">
        <w:rPr>
          <w:szCs w:val="22"/>
        </w:rPr>
        <w:t>se axée sur la protection du territoire national, mais pour assurer cette protection avec efficacité, il fallait convaincre les Canadiens de s'i</w:t>
      </w:r>
      <w:r w:rsidRPr="00675326">
        <w:rPr>
          <w:szCs w:val="22"/>
        </w:rPr>
        <w:t>m</w:t>
      </w:r>
      <w:r w:rsidRPr="00675326">
        <w:rPr>
          <w:szCs w:val="22"/>
        </w:rPr>
        <w:t>pliquer concrètement en permettant notamment la mise en place de nouveaux radars dans le nord du pays. Ceux-ci devaient faire partie d'un système de défense intégrée (c'est-à-dire contrôlée par les Amér</w:t>
      </w:r>
      <w:r w:rsidRPr="00675326">
        <w:rPr>
          <w:szCs w:val="22"/>
        </w:rPr>
        <w:t>i</w:t>
      </w:r>
      <w:r w:rsidRPr="00675326">
        <w:rPr>
          <w:szCs w:val="22"/>
        </w:rPr>
        <w:t>cains). Le Canada devait aussi fournir une partie des ressources requ</w:t>
      </w:r>
      <w:r w:rsidRPr="00675326">
        <w:rPr>
          <w:szCs w:val="22"/>
        </w:rPr>
        <w:t>i</w:t>
      </w:r>
      <w:r w:rsidRPr="00675326">
        <w:rPr>
          <w:szCs w:val="22"/>
        </w:rPr>
        <w:t>ses par l'industrie de la défense. Il devint, par exemple, le principal fournisseur de l'uranium nécessaire à la construction des ogives n</w:t>
      </w:r>
      <w:r w:rsidRPr="00675326">
        <w:rPr>
          <w:szCs w:val="22"/>
        </w:rPr>
        <w:t>u</w:t>
      </w:r>
      <w:r w:rsidRPr="00675326">
        <w:rPr>
          <w:szCs w:val="22"/>
        </w:rPr>
        <w:t>cléaires.</w:t>
      </w:r>
    </w:p>
    <w:p w:rsidR="00AD690E" w:rsidRPr="00675326" w:rsidRDefault="00AD690E" w:rsidP="00AD690E">
      <w:pPr>
        <w:spacing w:before="120" w:after="120"/>
        <w:jc w:val="both"/>
      </w:pPr>
      <w:r w:rsidRPr="00675326">
        <w:rPr>
          <w:szCs w:val="22"/>
        </w:rPr>
        <w:t>Progressivement, les Américains amenèrent donc le Canada à pa</w:t>
      </w:r>
      <w:r w:rsidRPr="00675326">
        <w:rPr>
          <w:szCs w:val="22"/>
        </w:rPr>
        <w:t>r</w:t>
      </w:r>
      <w:r w:rsidRPr="00675326">
        <w:rPr>
          <w:szCs w:val="22"/>
        </w:rPr>
        <w:t>tager leur analyse des besoins de défense du continent. À ce chapitre, les accords du NORAD et du DPSA marquèrent une étape décisive d'un processus d'intégration amorcé plusieurs années plus tôt</w:t>
      </w:r>
      <w:r>
        <w:rPr>
          <w:szCs w:val="22"/>
        </w:rPr>
        <w:t> </w:t>
      </w:r>
      <w:r>
        <w:rPr>
          <w:rStyle w:val="Appelnotedebasdep"/>
        </w:rPr>
        <w:footnoteReference w:id="70"/>
      </w:r>
      <w:r w:rsidRPr="00675326">
        <w:rPr>
          <w:szCs w:val="22"/>
        </w:rPr>
        <w:t>. La crise de Cuba, en 1962, en soulevant pour</w:t>
      </w:r>
      <w:r>
        <w:rPr>
          <w:szCs w:val="22"/>
        </w:rPr>
        <w:t xml:space="preserve"> </w:t>
      </w:r>
      <w:r>
        <w:rPr>
          <w:szCs w:val="18"/>
        </w:rPr>
        <w:t xml:space="preserve">[59] </w:t>
      </w:r>
      <w:r w:rsidRPr="00675326">
        <w:rPr>
          <w:szCs w:val="22"/>
        </w:rPr>
        <w:t>la première fois depuis 1945 la menace d'un conflit total, contra</w:t>
      </w:r>
      <w:r w:rsidRPr="00675326">
        <w:rPr>
          <w:szCs w:val="22"/>
        </w:rPr>
        <w:t>i</w:t>
      </w:r>
      <w:r w:rsidRPr="00675326">
        <w:rPr>
          <w:szCs w:val="22"/>
        </w:rPr>
        <w:t>gnait enfin le Canada à se ranger résolument dans le camp américain. Les bases canadiennes f</w:t>
      </w:r>
      <w:r w:rsidRPr="00675326">
        <w:rPr>
          <w:szCs w:val="22"/>
        </w:rPr>
        <w:t>u</w:t>
      </w:r>
      <w:r w:rsidRPr="00675326">
        <w:rPr>
          <w:szCs w:val="22"/>
        </w:rPr>
        <w:t>rent mises en alerte et le contexte politique rendit acceptable la n</w:t>
      </w:r>
      <w:r w:rsidRPr="00675326">
        <w:rPr>
          <w:szCs w:val="22"/>
        </w:rPr>
        <w:t>u</w:t>
      </w:r>
      <w:r w:rsidRPr="00675326">
        <w:rPr>
          <w:szCs w:val="22"/>
        </w:rPr>
        <w:t xml:space="preserve">cléarisation des forces de défense du Canada. Des missiles </w:t>
      </w:r>
      <w:r w:rsidRPr="00675326">
        <w:rPr>
          <w:i/>
          <w:iCs/>
          <w:szCs w:val="22"/>
        </w:rPr>
        <w:t xml:space="preserve">Bomarc B </w:t>
      </w:r>
      <w:r w:rsidRPr="00675326">
        <w:rPr>
          <w:szCs w:val="22"/>
        </w:rPr>
        <w:t xml:space="preserve">furent conséquemment acquis pour la défense du territoire national et des missiles </w:t>
      </w:r>
      <w:r w:rsidRPr="00675326">
        <w:rPr>
          <w:i/>
          <w:iCs/>
          <w:szCs w:val="22"/>
        </w:rPr>
        <w:t xml:space="preserve">Honest John </w:t>
      </w:r>
      <w:r w:rsidRPr="00675326">
        <w:rPr>
          <w:szCs w:val="22"/>
        </w:rPr>
        <w:t>pour les troupes st</w:t>
      </w:r>
      <w:r w:rsidRPr="00675326">
        <w:rPr>
          <w:szCs w:val="22"/>
        </w:rPr>
        <w:t>a</w:t>
      </w:r>
      <w:r w:rsidRPr="00675326">
        <w:rPr>
          <w:szCs w:val="22"/>
        </w:rPr>
        <w:t>tionnées en Europe.</w:t>
      </w:r>
    </w:p>
    <w:p w:rsidR="00AD690E" w:rsidRPr="00675326" w:rsidRDefault="00AD690E" w:rsidP="00AD690E">
      <w:pPr>
        <w:spacing w:before="120" w:after="120"/>
        <w:jc w:val="both"/>
      </w:pPr>
      <w:r w:rsidRPr="00675326">
        <w:rPr>
          <w:szCs w:val="22"/>
        </w:rPr>
        <w:t>Au moment de l'élection de 1963, l'imbroglio était donc total. Sur papier, le Canada favorisait une approche internationaliste dont l'OTAN était la clef de voûte, mais dans la réalité, l'intégration cont</w:t>
      </w:r>
      <w:r w:rsidRPr="00675326">
        <w:rPr>
          <w:szCs w:val="22"/>
        </w:rPr>
        <w:t>i</w:t>
      </w:r>
      <w:r w:rsidRPr="00675326">
        <w:rPr>
          <w:szCs w:val="22"/>
        </w:rPr>
        <w:t>nentale des forces de défense était chose faite. En effet, la constru</w:t>
      </w:r>
      <w:r w:rsidRPr="00675326">
        <w:rPr>
          <w:szCs w:val="22"/>
        </w:rPr>
        <w:t>c</w:t>
      </w:r>
      <w:r w:rsidRPr="00675326">
        <w:rPr>
          <w:szCs w:val="22"/>
        </w:rPr>
        <w:t xml:space="preserve">tion des lignes de radars </w:t>
      </w:r>
      <w:r w:rsidRPr="00675326">
        <w:rPr>
          <w:i/>
          <w:iCs/>
          <w:szCs w:val="22"/>
        </w:rPr>
        <w:t xml:space="preserve">Pinetree </w:t>
      </w:r>
      <w:r w:rsidRPr="00675326">
        <w:rPr>
          <w:szCs w:val="22"/>
        </w:rPr>
        <w:t xml:space="preserve">et </w:t>
      </w:r>
      <w:r w:rsidRPr="00675326">
        <w:rPr>
          <w:i/>
          <w:iCs/>
          <w:szCs w:val="22"/>
        </w:rPr>
        <w:t xml:space="preserve">Dew, </w:t>
      </w:r>
      <w:r w:rsidRPr="00675326">
        <w:rPr>
          <w:szCs w:val="22"/>
        </w:rPr>
        <w:t xml:space="preserve">l'acquisition des </w:t>
      </w:r>
      <w:r w:rsidRPr="00675326">
        <w:rPr>
          <w:i/>
          <w:iCs/>
          <w:szCs w:val="22"/>
        </w:rPr>
        <w:t xml:space="preserve">F-104 </w:t>
      </w:r>
      <w:r w:rsidRPr="00675326">
        <w:rPr>
          <w:szCs w:val="22"/>
        </w:rPr>
        <w:t xml:space="preserve">et l'entrée de firmes canadiennes sur le marché de défense des </w:t>
      </w:r>
      <w:r>
        <w:rPr>
          <w:szCs w:val="22"/>
        </w:rPr>
        <w:t>États-Unis </w:t>
      </w:r>
      <w:r>
        <w:rPr>
          <w:rStyle w:val="Appelnotedebasdep"/>
        </w:rPr>
        <w:footnoteReference w:id="71"/>
      </w:r>
      <w:r>
        <w:rPr>
          <w:szCs w:val="22"/>
        </w:rPr>
        <w:t xml:space="preserve"> </w:t>
      </w:r>
      <w:r w:rsidRPr="00675326">
        <w:rPr>
          <w:szCs w:val="22"/>
        </w:rPr>
        <w:t>ne permettaient pas d'en douter.</w:t>
      </w:r>
    </w:p>
    <w:p w:rsidR="00AD690E" w:rsidRDefault="00AD690E" w:rsidP="00AD690E">
      <w:pPr>
        <w:spacing w:before="120" w:after="120"/>
        <w:jc w:val="both"/>
        <w:rPr>
          <w:szCs w:val="22"/>
        </w:rPr>
      </w:pPr>
    </w:p>
    <w:p w:rsidR="00AD690E" w:rsidRPr="00675326" w:rsidRDefault="00AD690E" w:rsidP="00AD690E">
      <w:pPr>
        <w:pStyle w:val="planche"/>
      </w:pPr>
      <w:r>
        <w:t>LES PRIORITÉ</w:t>
      </w:r>
      <w:r w:rsidRPr="00675326">
        <w:t>S</w:t>
      </w:r>
      <w:r>
        <w:br/>
      </w:r>
      <w:r w:rsidRPr="00675326">
        <w:t>DU GOUVERNEMENT PEA</w:t>
      </w:r>
      <w:r w:rsidRPr="00675326">
        <w:t>R</w:t>
      </w:r>
      <w:r w:rsidRPr="00675326">
        <w:t>SON</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Sous les gouvernements King et Saint-Laurent, les libéraux avaient conçu une stratégie internationaliste dont un des artisans principaux avait précisément été Lester Pearson</w:t>
      </w:r>
      <w:r>
        <w:rPr>
          <w:szCs w:val="22"/>
        </w:rPr>
        <w:t> </w:t>
      </w:r>
      <w:r w:rsidRPr="00857900">
        <w:rPr>
          <w:rStyle w:val="Appelnotedebasdep"/>
        </w:rPr>
        <w:footnoteReference w:id="72"/>
      </w:r>
      <w:r w:rsidRPr="00675326">
        <w:rPr>
          <w:szCs w:val="22"/>
        </w:rPr>
        <w:t>. La période d'opposition qui influença lourdement l'attitude du parti et de l'aile parlementaire pe</w:t>
      </w:r>
      <w:r w:rsidRPr="00675326">
        <w:rPr>
          <w:szCs w:val="22"/>
        </w:rPr>
        <w:t>n</w:t>
      </w:r>
      <w:r w:rsidRPr="00675326">
        <w:rPr>
          <w:szCs w:val="22"/>
        </w:rPr>
        <w:t>dant le règne Diefenbaker donna lieu à un durcissement de cette pos</w:t>
      </w:r>
      <w:r w:rsidRPr="00675326">
        <w:rPr>
          <w:szCs w:val="22"/>
        </w:rPr>
        <w:t>i</w:t>
      </w:r>
      <w:r w:rsidRPr="00675326">
        <w:rPr>
          <w:szCs w:val="22"/>
        </w:rPr>
        <w:t>tion. Tout au plus pouvait-on voir dans la nouvelle configuration des relations avec les Américains quelques avantages économiques déco</w:t>
      </w:r>
      <w:r w:rsidRPr="00675326">
        <w:rPr>
          <w:szCs w:val="22"/>
        </w:rPr>
        <w:t>u</w:t>
      </w:r>
      <w:r w:rsidRPr="00675326">
        <w:rPr>
          <w:szCs w:val="22"/>
        </w:rPr>
        <w:t>lant du DPSA, et sans doute susceptibles d'alléger le fardeau représe</w:t>
      </w:r>
      <w:r w:rsidRPr="00675326">
        <w:rPr>
          <w:szCs w:val="22"/>
        </w:rPr>
        <w:t>n</w:t>
      </w:r>
      <w:r w:rsidRPr="00675326">
        <w:rPr>
          <w:szCs w:val="22"/>
        </w:rPr>
        <w:t>té par le maintien d'une industrie de défense nationale, tout en favor</w:t>
      </w:r>
      <w:r w:rsidRPr="00675326">
        <w:rPr>
          <w:szCs w:val="22"/>
        </w:rPr>
        <w:t>i</w:t>
      </w:r>
      <w:r w:rsidRPr="00675326">
        <w:rPr>
          <w:szCs w:val="22"/>
        </w:rPr>
        <w:t>sant une plus grande spécialisation des producteurs canadiens</w:t>
      </w:r>
      <w:r>
        <w:rPr>
          <w:szCs w:val="22"/>
        </w:rPr>
        <w:t> </w:t>
      </w:r>
      <w:r w:rsidRPr="00857900">
        <w:rPr>
          <w:rStyle w:val="Appelnotedebasdep"/>
        </w:rPr>
        <w:footnoteReference w:id="73"/>
      </w:r>
      <w:r w:rsidRPr="00675326">
        <w:rPr>
          <w:szCs w:val="22"/>
        </w:rPr>
        <w:t>. Après 1959, le commerce bilatéral dans le domaine de la défense a</w:t>
      </w:r>
      <w:r w:rsidRPr="00675326">
        <w:rPr>
          <w:szCs w:val="22"/>
        </w:rPr>
        <w:t>t</w:t>
      </w:r>
      <w:r w:rsidRPr="00675326">
        <w:rPr>
          <w:szCs w:val="22"/>
        </w:rPr>
        <w:t>teignit un niveau comparable à celui qui existait pendant la Deuxième Guerre. Pour le gouvernement canadien, cela signifiait un accès aux technol</w:t>
      </w:r>
      <w:r w:rsidRPr="00675326">
        <w:rPr>
          <w:szCs w:val="22"/>
        </w:rPr>
        <w:t>o</w:t>
      </w:r>
      <w:r w:rsidRPr="00675326">
        <w:rPr>
          <w:szCs w:val="22"/>
        </w:rPr>
        <w:t>gies américaines, l'entrée de devises et, éventuellement, la création de nouveaux emplois</w:t>
      </w:r>
      <w:r>
        <w:rPr>
          <w:szCs w:val="22"/>
        </w:rPr>
        <w:t> </w:t>
      </w:r>
      <w:r w:rsidRPr="00857900">
        <w:rPr>
          <w:rStyle w:val="Appelnotedebasdep"/>
        </w:rPr>
        <w:footnoteReference w:id="74"/>
      </w:r>
      <w:r w:rsidRPr="00675326">
        <w:rPr>
          <w:szCs w:val="22"/>
        </w:rPr>
        <w:t>.</w:t>
      </w:r>
    </w:p>
    <w:p w:rsidR="00AD690E" w:rsidRPr="00857900" w:rsidRDefault="00AD690E" w:rsidP="00AD690E">
      <w:pPr>
        <w:spacing w:before="120" w:after="120"/>
        <w:jc w:val="both"/>
        <w:rPr>
          <w:szCs w:val="22"/>
          <w:vertAlign w:val="superscript"/>
        </w:rPr>
      </w:pPr>
      <w:r w:rsidRPr="00675326">
        <w:rPr>
          <w:szCs w:val="22"/>
        </w:rPr>
        <w:t>Nous pensons donc que les préoccupations économiques redevi</w:t>
      </w:r>
      <w:r w:rsidRPr="00675326">
        <w:rPr>
          <w:szCs w:val="22"/>
        </w:rPr>
        <w:t>n</w:t>
      </w:r>
      <w:r w:rsidRPr="00675326">
        <w:rPr>
          <w:szCs w:val="22"/>
        </w:rPr>
        <w:t>rent une donnée primordiale de la politique canadienne. Sans trop l'avouer, le gouvernement Pearson suivra une ligne de conduite orie</w:t>
      </w:r>
      <w:r w:rsidRPr="00675326">
        <w:rPr>
          <w:szCs w:val="22"/>
        </w:rPr>
        <w:t>n</w:t>
      </w:r>
      <w:r w:rsidRPr="00675326">
        <w:rPr>
          <w:szCs w:val="22"/>
        </w:rPr>
        <w:t>tée vers un certain soutien à l'industrie canadienne, une démarche d'autant plus significative qu'elle coïncida avec l'adoption d'un no</w:t>
      </w:r>
      <w:r w:rsidRPr="00675326">
        <w:rPr>
          <w:szCs w:val="22"/>
        </w:rPr>
        <w:t>u</w:t>
      </w:r>
      <w:r w:rsidRPr="00675326">
        <w:rPr>
          <w:szCs w:val="22"/>
        </w:rPr>
        <w:t>veau livre blanc sur la défense où seront</w:t>
      </w:r>
      <w:r>
        <w:rPr>
          <w:szCs w:val="22"/>
        </w:rPr>
        <w:t xml:space="preserve"> </w:t>
      </w:r>
      <w:r>
        <w:rPr>
          <w:szCs w:val="18"/>
        </w:rPr>
        <w:t>[</w:t>
      </w:r>
      <w:r w:rsidRPr="00675326">
        <w:rPr>
          <w:szCs w:val="18"/>
        </w:rPr>
        <w:t>60</w:t>
      </w:r>
      <w:r>
        <w:rPr>
          <w:szCs w:val="18"/>
        </w:rPr>
        <w:t xml:space="preserve">] </w:t>
      </w:r>
      <w:r w:rsidRPr="00675326">
        <w:rPr>
          <w:szCs w:val="22"/>
        </w:rPr>
        <w:t>annoncés de nombreux projets de modernisation des équipements</w:t>
      </w:r>
      <w:r>
        <w:rPr>
          <w:szCs w:val="22"/>
        </w:rPr>
        <w:t> </w:t>
      </w:r>
      <w:r w:rsidRPr="00857900">
        <w:rPr>
          <w:rStyle w:val="Appelnotedebasdep"/>
        </w:rPr>
        <w:footnoteReference w:id="75"/>
      </w:r>
      <w:r w:rsidRPr="00675326">
        <w:rPr>
          <w:szCs w:val="22"/>
        </w:rPr>
        <w:t>. Le gouvernement can</w:t>
      </w:r>
      <w:r w:rsidRPr="00675326">
        <w:rPr>
          <w:szCs w:val="22"/>
        </w:rPr>
        <w:t>a</w:t>
      </w:r>
      <w:r w:rsidRPr="00675326">
        <w:rPr>
          <w:szCs w:val="22"/>
        </w:rPr>
        <w:t>dien tentera par ailleurs de se donner des outils susceptibles de favor</w:t>
      </w:r>
      <w:r w:rsidRPr="00675326">
        <w:rPr>
          <w:szCs w:val="22"/>
        </w:rPr>
        <w:t>i</w:t>
      </w:r>
      <w:r w:rsidRPr="00675326">
        <w:rPr>
          <w:szCs w:val="22"/>
        </w:rPr>
        <w:t>ser l'accroissement des retombées économ</w:t>
      </w:r>
      <w:r w:rsidRPr="00675326">
        <w:rPr>
          <w:szCs w:val="22"/>
        </w:rPr>
        <w:t>i</w:t>
      </w:r>
      <w:r w:rsidRPr="00675326">
        <w:rPr>
          <w:szCs w:val="22"/>
        </w:rPr>
        <w:t>ques des accords canado-américains. Un nouveau programme lié au DPSA, soit le « Programme du partage de la mise au point du matériel de défense », créé en 1964, aura pour mission spécifique d'accentuer la présence canadienne en recherche et développement</w:t>
      </w:r>
      <w:r>
        <w:rPr>
          <w:szCs w:val="22"/>
          <w:vertAlign w:val="superscript"/>
        </w:rPr>
        <w:t> </w:t>
      </w:r>
      <w:r w:rsidRPr="00857900">
        <w:rPr>
          <w:rStyle w:val="Appelnotedebasdep"/>
        </w:rPr>
        <w:footnoteReference w:id="76"/>
      </w:r>
      <w:r w:rsidRPr="00675326">
        <w:rPr>
          <w:szCs w:val="22"/>
        </w:rPr>
        <w:t>. Pour le gouvernement canadien, il était clair que « sans pr</w:t>
      </w:r>
      <w:r w:rsidRPr="00675326">
        <w:rPr>
          <w:szCs w:val="22"/>
        </w:rPr>
        <w:t>o</w:t>
      </w:r>
      <w:r w:rsidRPr="00675326">
        <w:rPr>
          <w:szCs w:val="22"/>
        </w:rPr>
        <w:t>gramme de développement, le rôle futur de l'industrie canadienne de défense serait confiné à la pr</w:t>
      </w:r>
      <w:r w:rsidRPr="00675326">
        <w:rPr>
          <w:szCs w:val="22"/>
        </w:rPr>
        <w:t>o</w:t>
      </w:r>
      <w:r w:rsidRPr="00675326">
        <w:rPr>
          <w:szCs w:val="22"/>
        </w:rPr>
        <w:t>duction de pièces relativement simples de conce</w:t>
      </w:r>
      <w:r w:rsidRPr="00675326">
        <w:rPr>
          <w:szCs w:val="22"/>
        </w:rPr>
        <w:t>p</w:t>
      </w:r>
      <w:r w:rsidRPr="00675326">
        <w:rPr>
          <w:szCs w:val="22"/>
        </w:rPr>
        <w:t>tion étrangère, et, par conséquent, notre capacité de contribuer au re</w:t>
      </w:r>
      <w:r w:rsidRPr="00675326">
        <w:rPr>
          <w:szCs w:val="22"/>
        </w:rPr>
        <w:t>n</w:t>
      </w:r>
      <w:r w:rsidRPr="00675326">
        <w:rPr>
          <w:szCs w:val="22"/>
        </w:rPr>
        <w:t>forcement de la défense du nord de l'Amérique serait affaiblie série</w:t>
      </w:r>
      <w:r w:rsidRPr="00675326">
        <w:rPr>
          <w:szCs w:val="22"/>
        </w:rPr>
        <w:t>u</w:t>
      </w:r>
      <w:r w:rsidRPr="00675326">
        <w:rPr>
          <w:szCs w:val="22"/>
        </w:rPr>
        <w:t>sement »</w:t>
      </w:r>
      <w:r>
        <w:rPr>
          <w:szCs w:val="22"/>
        </w:rPr>
        <w:t> </w:t>
      </w:r>
      <w:r w:rsidRPr="00857900">
        <w:rPr>
          <w:rStyle w:val="Appelnotedebasdep"/>
        </w:rPr>
        <w:footnoteReference w:id="77"/>
      </w:r>
      <w:r w:rsidRPr="00675326">
        <w:rPr>
          <w:szCs w:val="22"/>
        </w:rPr>
        <w:t>. Cette politique d'acquisition plus nationaliste ne fit à cet égard que confi</w:t>
      </w:r>
      <w:r w:rsidRPr="00675326">
        <w:rPr>
          <w:szCs w:val="22"/>
        </w:rPr>
        <w:t>r</w:t>
      </w:r>
      <w:r w:rsidRPr="00675326">
        <w:rPr>
          <w:szCs w:val="22"/>
        </w:rPr>
        <w:t>mer une démarche administrative et politique aux horizons plus la</w:t>
      </w:r>
      <w:r w:rsidRPr="00675326">
        <w:rPr>
          <w:szCs w:val="22"/>
        </w:rPr>
        <w:t>r</w:t>
      </w:r>
      <w:r w:rsidRPr="00675326">
        <w:rPr>
          <w:szCs w:val="22"/>
        </w:rPr>
        <w:t>ges.</w:t>
      </w:r>
    </w:p>
    <w:p w:rsidR="00AD690E" w:rsidRPr="00675326" w:rsidRDefault="00AD690E" w:rsidP="00AD690E">
      <w:pPr>
        <w:spacing w:before="120" w:after="120"/>
        <w:jc w:val="both"/>
      </w:pPr>
      <w:r w:rsidRPr="00675326">
        <w:rPr>
          <w:szCs w:val="22"/>
        </w:rPr>
        <w:t>Sur le plan administratif, le livre blanc annonça par ailleurs l'int</w:t>
      </w:r>
      <w:r w:rsidRPr="00675326">
        <w:rPr>
          <w:szCs w:val="22"/>
        </w:rPr>
        <w:t>é</w:t>
      </w:r>
      <w:r w:rsidRPr="00675326">
        <w:rPr>
          <w:szCs w:val="22"/>
        </w:rPr>
        <w:t>gration des forces militaires du Canada sous un seul commandement, lui même structuré de façon à simplifier la jonction avec les sphères politiques</w:t>
      </w:r>
      <w:r>
        <w:rPr>
          <w:szCs w:val="22"/>
        </w:rPr>
        <w:t> </w:t>
      </w:r>
      <w:r w:rsidRPr="00857900">
        <w:rPr>
          <w:rStyle w:val="Appelnotedebasdep"/>
        </w:rPr>
        <w:footnoteReference w:id="78"/>
      </w:r>
      <w:r w:rsidRPr="00675326">
        <w:rPr>
          <w:szCs w:val="22"/>
        </w:rPr>
        <w:t>. La lecture du livre blanc de 1964 permit de constater une préoccupation plus évidente à l'endroit de la protection du territoire et de l'attribution d'une mission internationale indépendante. Ainsi le livre blanc identifia le maintien de la paix et de la sécurité par l'inte</w:t>
      </w:r>
      <w:r w:rsidRPr="00675326">
        <w:rPr>
          <w:szCs w:val="22"/>
        </w:rPr>
        <w:t>r</w:t>
      </w:r>
      <w:r w:rsidRPr="00675326">
        <w:rPr>
          <w:szCs w:val="22"/>
        </w:rPr>
        <w:t>médiaire de l'ONU comme la première priorité. Les participations à l'OTAN et à NORAD suivirent dans l'ordre et, en bas de liste, se r</w:t>
      </w:r>
      <w:r w:rsidRPr="00675326">
        <w:rPr>
          <w:szCs w:val="22"/>
        </w:rPr>
        <w:t>e</w:t>
      </w:r>
      <w:r w:rsidRPr="00675326">
        <w:rPr>
          <w:szCs w:val="22"/>
        </w:rPr>
        <w:t>trouvèrent les politiques destinées à la sécurité interne du pays</w:t>
      </w:r>
      <w:r>
        <w:rPr>
          <w:szCs w:val="22"/>
        </w:rPr>
        <w:t> </w:t>
      </w:r>
      <w:r w:rsidRPr="00857900">
        <w:rPr>
          <w:rStyle w:val="Appelnotedebasdep"/>
        </w:rPr>
        <w:footnoteReference w:id="79"/>
      </w:r>
      <w:r w:rsidRPr="00675326">
        <w:rPr>
          <w:szCs w:val="22"/>
        </w:rPr>
        <w:t>. Il faut cependant préciser que le Canada revendiqua une mission plus autonome dans le cadre de sa participation à la défense de l'Europe et qu'il n'hésita pas à souligner son très faible enthousiasme pour certa</w:t>
      </w:r>
      <w:r w:rsidRPr="00675326">
        <w:rPr>
          <w:szCs w:val="22"/>
        </w:rPr>
        <w:t>i</w:t>
      </w:r>
      <w:r w:rsidRPr="00675326">
        <w:rPr>
          <w:szCs w:val="22"/>
        </w:rPr>
        <w:t>nes contraintes liées à NORAD, dont celle, la plus compromettante sans doute, qui donna lieu au déploiement d'armes nucléaires. Le d</w:t>
      </w:r>
      <w:r w:rsidRPr="00675326">
        <w:rPr>
          <w:szCs w:val="22"/>
        </w:rPr>
        <w:t>o</w:t>
      </w:r>
      <w:r w:rsidRPr="00675326">
        <w:rPr>
          <w:szCs w:val="22"/>
        </w:rPr>
        <w:t>cument annonça enfin une réduction des ogives et leur localisation sur deux pas de tir seulement</w:t>
      </w:r>
      <w:r>
        <w:rPr>
          <w:szCs w:val="22"/>
        </w:rPr>
        <w:t> </w:t>
      </w:r>
      <w:r w:rsidRPr="00857900">
        <w:rPr>
          <w:rStyle w:val="Appelnotedebasdep"/>
        </w:rPr>
        <w:footnoteReference w:id="80"/>
      </w:r>
      <w:r w:rsidRPr="00675326">
        <w:rPr>
          <w:szCs w:val="22"/>
        </w:rPr>
        <w:t>.</w:t>
      </w:r>
    </w:p>
    <w:p w:rsidR="00AD690E" w:rsidRPr="00675326" w:rsidRDefault="00AD690E" w:rsidP="00AD690E">
      <w:pPr>
        <w:spacing w:before="120" w:after="120"/>
        <w:jc w:val="both"/>
      </w:pPr>
      <w:r w:rsidRPr="00675326">
        <w:rPr>
          <w:szCs w:val="22"/>
        </w:rPr>
        <w:t>En résumé, la ligne de conduite édictée par le livre blanc favorisait l'autonomie dans le cadre d'une démarche collective des forces de l'OTAN, mais</w:t>
      </w:r>
      <w:r>
        <w:rPr>
          <w:szCs w:val="22"/>
        </w:rPr>
        <w:t xml:space="preserve"> </w:t>
      </w:r>
      <w:r>
        <w:rPr>
          <w:szCs w:val="18"/>
        </w:rPr>
        <w:t xml:space="preserve">[61] </w:t>
      </w:r>
      <w:r w:rsidRPr="00675326">
        <w:rPr>
          <w:szCs w:val="22"/>
        </w:rPr>
        <w:t>également sous l'empire du réalisme imposé par la proximité des États-Unis et leurs exigences à l'endroit de la contrib</w:t>
      </w:r>
      <w:r w:rsidRPr="00675326">
        <w:rPr>
          <w:szCs w:val="22"/>
        </w:rPr>
        <w:t>u</w:t>
      </w:r>
      <w:r w:rsidRPr="00675326">
        <w:rPr>
          <w:szCs w:val="22"/>
        </w:rPr>
        <w:t>tion canadienne à la défense du continent</w:t>
      </w:r>
      <w:r>
        <w:rPr>
          <w:szCs w:val="22"/>
        </w:rPr>
        <w:t> </w:t>
      </w:r>
      <w:r w:rsidRPr="00963199">
        <w:rPr>
          <w:rStyle w:val="Appelnotedebasdep"/>
        </w:rPr>
        <w:footnoteReference w:id="81"/>
      </w:r>
      <w:r w:rsidRPr="00675326">
        <w:rPr>
          <w:szCs w:val="22"/>
        </w:rPr>
        <w:t>. Non seulement cette pol</w:t>
      </w:r>
      <w:r w:rsidRPr="00675326">
        <w:rPr>
          <w:szCs w:val="22"/>
        </w:rPr>
        <w:t>i</w:t>
      </w:r>
      <w:r w:rsidRPr="00675326">
        <w:rPr>
          <w:szCs w:val="22"/>
        </w:rPr>
        <w:t>tique était-elle énoncée de façon plus rigoureuse que sous les préc</w:t>
      </w:r>
      <w:r w:rsidRPr="00675326">
        <w:rPr>
          <w:szCs w:val="22"/>
        </w:rPr>
        <w:t>é</w:t>
      </w:r>
      <w:r w:rsidRPr="00675326">
        <w:rPr>
          <w:szCs w:val="22"/>
        </w:rPr>
        <w:t>dents gouvern</w:t>
      </w:r>
      <w:r w:rsidRPr="00675326">
        <w:rPr>
          <w:szCs w:val="22"/>
        </w:rPr>
        <w:t>e</w:t>
      </w:r>
      <w:r w:rsidRPr="00675326">
        <w:rPr>
          <w:szCs w:val="22"/>
        </w:rPr>
        <w:t>ments, mais elle dosait l'effort de défense du Canada de façon beaucoup plus claire. Selon toute évidence, le choix du go</w:t>
      </w:r>
      <w:r w:rsidRPr="00675326">
        <w:rPr>
          <w:szCs w:val="22"/>
        </w:rPr>
        <w:t>u</w:t>
      </w:r>
      <w:r w:rsidRPr="00675326">
        <w:rPr>
          <w:szCs w:val="22"/>
        </w:rPr>
        <w:t>vernement Pearson découlait d'une lecture des enjeux stratégiques i</w:t>
      </w:r>
      <w:r w:rsidRPr="00675326">
        <w:rPr>
          <w:szCs w:val="22"/>
        </w:rPr>
        <w:t>n</w:t>
      </w:r>
      <w:r w:rsidRPr="00675326">
        <w:rPr>
          <w:szCs w:val="22"/>
        </w:rPr>
        <w:t>ternationaux centrée sur le désir de privilégier la manifestation d'une force moins dépendante des États-Unis et des autres puissances de l'OTAN, dans la perspective de donner emprise à une diplomatie plus crédible</w:t>
      </w:r>
      <w:r>
        <w:rPr>
          <w:szCs w:val="22"/>
        </w:rPr>
        <w:t> </w:t>
      </w:r>
      <w:r w:rsidRPr="00963199">
        <w:rPr>
          <w:rStyle w:val="Appelnotedebasdep"/>
        </w:rPr>
        <w:footnoteReference w:id="82"/>
      </w:r>
      <w:r w:rsidRPr="00675326">
        <w:rPr>
          <w:szCs w:val="22"/>
        </w:rPr>
        <w:t>. Une telle prétention, difficilement recevable par les alliés à l'époque de la guerre froide, pouvait paraître acceptable dans le cl</w:t>
      </w:r>
      <w:r w:rsidRPr="00675326">
        <w:rPr>
          <w:szCs w:val="22"/>
        </w:rPr>
        <w:t>i</w:t>
      </w:r>
      <w:r w:rsidRPr="00675326">
        <w:rPr>
          <w:szCs w:val="22"/>
        </w:rPr>
        <w:t>mat de d</w:t>
      </w:r>
      <w:r w:rsidRPr="00675326">
        <w:rPr>
          <w:szCs w:val="22"/>
        </w:rPr>
        <w:t>é</w:t>
      </w:r>
      <w:r w:rsidRPr="00675326">
        <w:rPr>
          <w:szCs w:val="22"/>
        </w:rPr>
        <w:t>tente du milieu des années 1960.</w:t>
      </w:r>
    </w:p>
    <w:p w:rsidR="00AD690E" w:rsidRDefault="00AD690E" w:rsidP="00AD690E">
      <w:pPr>
        <w:spacing w:before="120" w:after="120"/>
        <w:jc w:val="both"/>
        <w:rPr>
          <w:szCs w:val="22"/>
        </w:rPr>
      </w:pPr>
    </w:p>
    <w:p w:rsidR="00AD690E" w:rsidRDefault="00AD690E" w:rsidP="00AD690E">
      <w:pPr>
        <w:spacing w:before="120" w:after="120"/>
        <w:jc w:val="both"/>
        <w:rPr>
          <w:szCs w:val="22"/>
        </w:rPr>
      </w:pPr>
    </w:p>
    <w:p w:rsidR="00AD690E" w:rsidRPr="00675326" w:rsidRDefault="00AD690E" w:rsidP="00AD690E">
      <w:pPr>
        <w:pStyle w:val="planche"/>
      </w:pPr>
      <w:r w:rsidRPr="00675326">
        <w:t>LE GOUVERNEMENT TRUDEAU,</w:t>
      </w:r>
      <w:r>
        <w:br/>
      </w:r>
      <w:r w:rsidRPr="00675326">
        <w:t>UNE P</w:t>
      </w:r>
      <w:r>
        <w:t>É</w:t>
      </w:r>
      <w:r w:rsidRPr="00675326">
        <w:t>RIODE « PACIFISTE » ...</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L'élection de 1968 marque une étape importante dans l'évolution de la politique de défense. Pour la première fois depuis fort lon</w:t>
      </w:r>
      <w:r w:rsidRPr="00675326">
        <w:rPr>
          <w:szCs w:val="22"/>
        </w:rPr>
        <w:t>g</w:t>
      </w:r>
      <w:r w:rsidRPr="00675326">
        <w:rPr>
          <w:szCs w:val="22"/>
        </w:rPr>
        <w:t>temps, le siège du premier ministre est occupé par un pacifiste décl</w:t>
      </w:r>
      <w:r w:rsidRPr="00675326">
        <w:rPr>
          <w:szCs w:val="22"/>
        </w:rPr>
        <w:t>a</w:t>
      </w:r>
      <w:r w:rsidRPr="00675326">
        <w:rPr>
          <w:szCs w:val="22"/>
        </w:rPr>
        <w:t xml:space="preserve">ré. En effet Pierre Trudeau s'est fait connaître au cours des années 1950 pour ses idéaux libéraux internationalistes et anti-nationalistes. Sa revue, </w:t>
      </w:r>
      <w:r w:rsidRPr="00675326">
        <w:rPr>
          <w:i/>
          <w:iCs/>
          <w:szCs w:val="22"/>
        </w:rPr>
        <w:t xml:space="preserve">Cité libre, </w:t>
      </w:r>
      <w:r w:rsidRPr="00675326">
        <w:rPr>
          <w:szCs w:val="22"/>
        </w:rPr>
        <w:t>prêche depuis de nombreuses années en faveur de l'ouverture sur le monde et l'unification des peuples. À ses yeux, la militarisation conduit à la suspicion et à la division, pas l'inverse. D'après Michel Fortman, il n'avait pas compris la relation étroite entre la politique étrangère et la présence militaire, notamment sur le théâtre européen</w:t>
      </w:r>
      <w:r>
        <w:rPr>
          <w:szCs w:val="22"/>
        </w:rPr>
        <w:t> </w:t>
      </w:r>
      <w:r w:rsidRPr="00963199">
        <w:rPr>
          <w:rStyle w:val="Appelnotedebasdep"/>
        </w:rPr>
        <w:footnoteReference w:id="83"/>
      </w:r>
      <w:r w:rsidRPr="00675326">
        <w:rPr>
          <w:szCs w:val="22"/>
        </w:rPr>
        <w:t>.</w:t>
      </w:r>
    </w:p>
    <w:p w:rsidR="00AD690E" w:rsidRPr="00675326" w:rsidRDefault="00AD690E" w:rsidP="00AD690E">
      <w:pPr>
        <w:spacing w:before="120" w:after="120"/>
        <w:jc w:val="both"/>
      </w:pPr>
      <w:r w:rsidRPr="00675326">
        <w:rPr>
          <w:szCs w:val="22"/>
        </w:rPr>
        <w:t>Quoi qu'il en soit, Pierre Trudeau nourrissait un scepticisme certain à l'endroit de la ligne de conduite en matière de défense établie par son prédécesseur. Son analyse reposait probablement sur une lecture critique de l'enlisement des États-Unis dans la guerre du Vietnam et de ses retombées gênantes pour le Canada qui, rappelons-le, a partic</w:t>
      </w:r>
      <w:r w:rsidRPr="00675326">
        <w:rPr>
          <w:szCs w:val="22"/>
        </w:rPr>
        <w:t>i</w:t>
      </w:r>
      <w:r w:rsidRPr="00675326">
        <w:rPr>
          <w:szCs w:val="22"/>
        </w:rPr>
        <w:t>pé par l'entremise de centaines d'entreprises à l'effort de guerre amér</w:t>
      </w:r>
      <w:r w:rsidRPr="00675326">
        <w:rPr>
          <w:szCs w:val="22"/>
        </w:rPr>
        <w:t>i</w:t>
      </w:r>
      <w:r w:rsidRPr="00675326">
        <w:rPr>
          <w:szCs w:val="22"/>
        </w:rPr>
        <w:t>cain. Peut-être Pierre Trudeau voyait-il également dans l'amorce des discussions entre les Américains et les Soviétiques sur le contrôle des armes stratégiques, un signe des temps susceptible, avec un peu d'a</w:t>
      </w:r>
      <w:r w:rsidRPr="00675326">
        <w:rPr>
          <w:szCs w:val="22"/>
        </w:rPr>
        <w:t>i</w:t>
      </w:r>
      <w:r w:rsidRPr="00675326">
        <w:rPr>
          <w:szCs w:val="22"/>
        </w:rPr>
        <w:t>de, de donner naissance à un véritable mouvement de démilitarisation. Nous en sommes à cet égard réduit aux spéculations.</w:t>
      </w:r>
    </w:p>
    <w:p w:rsidR="00AD690E" w:rsidRPr="00675326" w:rsidRDefault="00AD690E" w:rsidP="00AD690E">
      <w:pPr>
        <w:spacing w:before="120" w:after="120"/>
        <w:jc w:val="both"/>
      </w:pPr>
      <w:r w:rsidRPr="00675326">
        <w:rPr>
          <w:szCs w:val="22"/>
        </w:rPr>
        <w:t>Cependant, de nombreux gestes posés dans les premières années de pouvoir indiquent clairement les sensibilités de son premier cabinet. Ainsi, dès l'entrée en fonction, une réduction de 20</w:t>
      </w:r>
      <w:r>
        <w:rPr>
          <w:szCs w:val="22"/>
        </w:rPr>
        <w:t>%</w:t>
      </w:r>
      <w:r w:rsidRPr="00675326">
        <w:rPr>
          <w:szCs w:val="22"/>
        </w:rPr>
        <w:t xml:space="preserve"> des troupes st</w:t>
      </w:r>
      <w:r w:rsidRPr="00675326">
        <w:rPr>
          <w:szCs w:val="22"/>
        </w:rPr>
        <w:t>a</w:t>
      </w:r>
      <w:r w:rsidRPr="00675326">
        <w:rPr>
          <w:szCs w:val="22"/>
        </w:rPr>
        <w:t>tionnées en Europe sera amorcée. Suite à cette annonce, un processus de consultation d'organismes</w:t>
      </w:r>
      <w:r>
        <w:rPr>
          <w:szCs w:val="22"/>
        </w:rPr>
        <w:t xml:space="preserve"> </w:t>
      </w:r>
      <w:r>
        <w:rPr>
          <w:szCs w:val="18"/>
        </w:rPr>
        <w:t>[</w:t>
      </w:r>
      <w:r w:rsidRPr="00675326">
        <w:rPr>
          <w:szCs w:val="18"/>
        </w:rPr>
        <w:t>62</w:t>
      </w:r>
      <w:r>
        <w:rPr>
          <w:szCs w:val="18"/>
        </w:rPr>
        <w:t xml:space="preserve">] </w:t>
      </w:r>
      <w:r w:rsidRPr="00675326">
        <w:rPr>
          <w:szCs w:val="22"/>
        </w:rPr>
        <w:t>gouvernementaux et paragouve</w:t>
      </w:r>
      <w:r w:rsidRPr="00675326">
        <w:rPr>
          <w:szCs w:val="22"/>
        </w:rPr>
        <w:t>r</w:t>
      </w:r>
      <w:r w:rsidRPr="00675326">
        <w:rPr>
          <w:szCs w:val="22"/>
        </w:rPr>
        <w:t>nementaux sera enclenché en vue d'évaluer notamment la pertinence du maintien de la participation c</w:t>
      </w:r>
      <w:r w:rsidRPr="00675326">
        <w:rPr>
          <w:szCs w:val="22"/>
        </w:rPr>
        <w:t>a</w:t>
      </w:r>
      <w:r w:rsidRPr="00675326">
        <w:rPr>
          <w:szCs w:val="22"/>
        </w:rPr>
        <w:t>nadienne à NORAD et à l'OTAN. Insatisfait du résultat, Pierre Trudeau commandera un nouveau ra</w:t>
      </w:r>
      <w:r w:rsidRPr="00675326">
        <w:rPr>
          <w:szCs w:val="22"/>
        </w:rPr>
        <w:t>p</w:t>
      </w:r>
      <w:r w:rsidRPr="00675326">
        <w:rPr>
          <w:szCs w:val="22"/>
        </w:rPr>
        <w:t xml:space="preserve">port, connu sous le nom de </w:t>
      </w:r>
      <w:r w:rsidRPr="00675326">
        <w:rPr>
          <w:i/>
          <w:iCs/>
          <w:szCs w:val="22"/>
        </w:rPr>
        <w:t>Rapport Head</w:t>
      </w:r>
      <w:r>
        <w:rPr>
          <w:iCs/>
          <w:szCs w:val="22"/>
        </w:rPr>
        <w:t> </w:t>
      </w:r>
      <w:r w:rsidRPr="00963199">
        <w:rPr>
          <w:rStyle w:val="Appelnotedebasdep"/>
          <w:i/>
          <w:iCs/>
        </w:rPr>
        <w:footnoteReference w:id="84"/>
      </w:r>
      <w:r w:rsidRPr="00675326">
        <w:rPr>
          <w:i/>
          <w:iCs/>
          <w:szCs w:val="22"/>
        </w:rPr>
        <w:t xml:space="preserve">, </w:t>
      </w:r>
      <w:r w:rsidRPr="00675326">
        <w:rPr>
          <w:szCs w:val="22"/>
        </w:rPr>
        <w:t>dont les recommand</w:t>
      </w:r>
      <w:r w:rsidRPr="00675326">
        <w:rPr>
          <w:szCs w:val="22"/>
        </w:rPr>
        <w:t>a</w:t>
      </w:r>
      <w:r w:rsidRPr="00675326">
        <w:rPr>
          <w:szCs w:val="22"/>
        </w:rPr>
        <w:t>tions serviront de toile de fond à la redéfinition de la politique can</w:t>
      </w:r>
      <w:r w:rsidRPr="00675326">
        <w:rPr>
          <w:szCs w:val="22"/>
        </w:rPr>
        <w:t>a</w:t>
      </w:r>
      <w:r w:rsidRPr="00675326">
        <w:rPr>
          <w:szCs w:val="22"/>
        </w:rPr>
        <w:t>dienne. Le rapport proposera notamment une diminution radicale du contingent canadien basé en Europe et l'abandon de la participation du Canada à la force nucléaire du bloc occidental. En outre, suite au ra</w:t>
      </w:r>
      <w:r w:rsidRPr="00675326">
        <w:rPr>
          <w:szCs w:val="22"/>
        </w:rPr>
        <w:t>p</w:t>
      </w:r>
      <w:r w:rsidRPr="00675326">
        <w:rPr>
          <w:szCs w:val="22"/>
        </w:rPr>
        <w:t>port, le budget de la défense sera gelé et le plan de renouvellement des équipements révisé à la baisse</w:t>
      </w:r>
      <w:r>
        <w:rPr>
          <w:szCs w:val="22"/>
        </w:rPr>
        <w:t> </w:t>
      </w:r>
      <w:r w:rsidRPr="00963199">
        <w:rPr>
          <w:rStyle w:val="Appelnotedebasdep"/>
        </w:rPr>
        <w:footnoteReference w:id="85"/>
      </w:r>
      <w:r w:rsidRPr="00675326">
        <w:rPr>
          <w:szCs w:val="22"/>
        </w:rPr>
        <w:t>. Mais il faudra cependant attendre 1971</w:t>
      </w:r>
      <w:r>
        <w:rPr>
          <w:szCs w:val="22"/>
        </w:rPr>
        <w:t xml:space="preserve"> avant que cette philo</w:t>
      </w:r>
      <w:r w:rsidRPr="00675326">
        <w:rPr>
          <w:szCs w:val="22"/>
        </w:rPr>
        <w:t>sophie de défense ne soit codifiée dans un nouvel énoncé de politique</w:t>
      </w:r>
      <w:r>
        <w:rPr>
          <w:szCs w:val="22"/>
        </w:rPr>
        <w:t> </w:t>
      </w:r>
      <w:r w:rsidRPr="00963199">
        <w:rPr>
          <w:rStyle w:val="Appelnotedebasdep"/>
        </w:rPr>
        <w:footnoteReference w:id="86"/>
      </w:r>
    </w:p>
    <w:p w:rsidR="00AD690E" w:rsidRPr="00675326" w:rsidRDefault="00AD690E" w:rsidP="00AD690E">
      <w:pPr>
        <w:spacing w:before="120" w:after="120"/>
        <w:jc w:val="both"/>
      </w:pPr>
      <w:r w:rsidRPr="00675326">
        <w:rPr>
          <w:szCs w:val="22"/>
        </w:rPr>
        <w:t>Contrairement au projet rendu public en 1964, le livre blanc de 1971 propose de donner priorité à la surveillance du territoire can</w:t>
      </w:r>
      <w:r w:rsidRPr="00675326">
        <w:rPr>
          <w:szCs w:val="22"/>
        </w:rPr>
        <w:t>a</w:t>
      </w:r>
      <w:r w:rsidRPr="00675326">
        <w:rPr>
          <w:szCs w:val="22"/>
        </w:rPr>
        <w:t>dien puis, dans l'ordre, à la défense nord-américaine, à la participation à l'OTAN et à la participation aux opérations de maintien de la paix. On aura noté le complet renversement de l'ordre des priorités établi en 1964. Ce qui ressort de ce document, en fait, c'est l'importance accrue accordée par le gouvernement canadien à la surveillance des frontières et à la protection de la souveraineté nationale. La réduction du conti</w:t>
      </w:r>
      <w:r w:rsidRPr="00675326">
        <w:rPr>
          <w:szCs w:val="22"/>
        </w:rPr>
        <w:t>n</w:t>
      </w:r>
      <w:r w:rsidRPr="00675326">
        <w:rPr>
          <w:szCs w:val="22"/>
        </w:rPr>
        <w:t>gent des Forces armées canadiennes en Europe viendra confirmer ce changement.</w:t>
      </w:r>
    </w:p>
    <w:p w:rsidR="00AD690E" w:rsidRPr="00675326" w:rsidRDefault="00AD690E" w:rsidP="00AD690E">
      <w:pPr>
        <w:spacing w:before="120" w:after="120"/>
        <w:jc w:val="both"/>
      </w:pPr>
      <w:r w:rsidRPr="00675326">
        <w:rPr>
          <w:szCs w:val="22"/>
        </w:rPr>
        <w:t>Le document, par les modifications qu'il apporte à l'ordre des pri</w:t>
      </w:r>
      <w:r w:rsidRPr="00675326">
        <w:rPr>
          <w:szCs w:val="22"/>
        </w:rPr>
        <w:t>o</w:t>
      </w:r>
      <w:r w:rsidRPr="00675326">
        <w:rPr>
          <w:szCs w:val="22"/>
        </w:rPr>
        <w:t>rités de la politique de défense, privilégie une foule d'activités, qui ont des implications pour l'armée canadienne. L'accroissement des activ</w:t>
      </w:r>
      <w:r w:rsidRPr="00675326">
        <w:rPr>
          <w:szCs w:val="22"/>
        </w:rPr>
        <w:t>i</w:t>
      </w:r>
      <w:r w:rsidRPr="00675326">
        <w:rPr>
          <w:szCs w:val="22"/>
        </w:rPr>
        <w:t>tés d'exploration donne lieu à un regain d'intérêt pour la protection des ressources et des richesses pétrolières, gazéifères et halieutiques. Le gouvernement étend la frontière des eaux territoriales ainsi que les limites des zones de pêche sur les côtes est et ouest. D'autres évén</w:t>
      </w:r>
      <w:r w:rsidRPr="00675326">
        <w:rPr>
          <w:szCs w:val="22"/>
        </w:rPr>
        <w:t>e</w:t>
      </w:r>
      <w:r w:rsidRPr="00675326">
        <w:rPr>
          <w:szCs w:val="22"/>
        </w:rPr>
        <w:t>ments liés à la conjoncture politique nationale, notamment la Crise d'octobre, contribuent à lui attribuer une partie de la responsabilité pour la sécurité intérieure.</w:t>
      </w:r>
    </w:p>
    <w:p w:rsidR="00AD690E" w:rsidRPr="00675326" w:rsidRDefault="00AD690E" w:rsidP="00AD690E">
      <w:pPr>
        <w:spacing w:before="120" w:after="120"/>
        <w:jc w:val="both"/>
      </w:pPr>
      <w:r w:rsidRPr="00675326">
        <w:rPr>
          <w:szCs w:val="22"/>
        </w:rPr>
        <w:t xml:space="preserve">Quoi qu'il en soit, le livre blanc mena à des décisions politiques qui se traduisirent par un désengagement du Canada sur le front militaire. Ainsi, dès 1972, furent abandonnées les missions dites de </w:t>
      </w:r>
      <w:r w:rsidRPr="00675326">
        <w:rPr>
          <w:i/>
          <w:iCs/>
          <w:szCs w:val="22"/>
        </w:rPr>
        <w:t xml:space="preserve">strike-reconnaissance </w:t>
      </w:r>
      <w:r w:rsidRPr="00675326">
        <w:rPr>
          <w:szCs w:val="22"/>
        </w:rPr>
        <w:t xml:space="preserve">en Europe, les avions </w:t>
      </w:r>
      <w:r w:rsidRPr="00675326">
        <w:rPr>
          <w:i/>
          <w:iCs/>
          <w:szCs w:val="22"/>
        </w:rPr>
        <w:t xml:space="preserve">CF-104 </w:t>
      </w:r>
      <w:r w:rsidRPr="00675326">
        <w:rPr>
          <w:szCs w:val="22"/>
        </w:rPr>
        <w:t xml:space="preserve">furent dénucléarisés et les fusées nucléaires </w:t>
      </w:r>
      <w:r w:rsidRPr="00675326">
        <w:rPr>
          <w:i/>
          <w:iCs/>
          <w:szCs w:val="22"/>
        </w:rPr>
        <w:t xml:space="preserve">Honest John </w:t>
      </w:r>
      <w:r w:rsidRPr="00675326">
        <w:rPr>
          <w:szCs w:val="22"/>
        </w:rPr>
        <w:t>furent retirées des bases canadie</w:t>
      </w:r>
      <w:r w:rsidRPr="00675326">
        <w:rPr>
          <w:szCs w:val="22"/>
        </w:rPr>
        <w:t>n</w:t>
      </w:r>
      <w:r w:rsidRPr="00675326">
        <w:rPr>
          <w:szCs w:val="22"/>
        </w:rPr>
        <w:t xml:space="preserve">nes en Allemagne. En outre, les fusées air-air </w:t>
      </w:r>
      <w:r w:rsidRPr="00675326">
        <w:rPr>
          <w:i/>
          <w:iCs/>
          <w:szCs w:val="22"/>
        </w:rPr>
        <w:t xml:space="preserve">Falcon </w:t>
      </w:r>
      <w:r w:rsidRPr="00675326">
        <w:rPr>
          <w:szCs w:val="22"/>
        </w:rPr>
        <w:t xml:space="preserve">et les missiles </w:t>
      </w:r>
      <w:r w:rsidRPr="00675326">
        <w:rPr>
          <w:i/>
          <w:iCs/>
          <w:szCs w:val="22"/>
        </w:rPr>
        <w:t xml:space="preserve">Bomarc </w:t>
      </w:r>
      <w:r w:rsidRPr="00675326">
        <w:rPr>
          <w:szCs w:val="22"/>
        </w:rPr>
        <w:t>furent également retranchés de la quincaillerie militaire. Le Canada devint le premier, et reste le seul pays, à se départir de ses a</w:t>
      </w:r>
      <w:r w:rsidRPr="00675326">
        <w:rPr>
          <w:szCs w:val="22"/>
        </w:rPr>
        <w:t>r</w:t>
      </w:r>
      <w:r w:rsidRPr="00675326">
        <w:rPr>
          <w:szCs w:val="22"/>
        </w:rPr>
        <w:t>mes nucléaires. Son choix en faveur d'une défense strictement basée sur des</w:t>
      </w:r>
      <w:r>
        <w:rPr>
          <w:szCs w:val="22"/>
        </w:rPr>
        <w:t xml:space="preserve"> </w:t>
      </w:r>
      <w:r>
        <w:t xml:space="preserve">[63] </w:t>
      </w:r>
      <w:r w:rsidRPr="00675326">
        <w:rPr>
          <w:szCs w:val="22"/>
        </w:rPr>
        <w:t>armes conventionnelles demeure en effet sans équivalent dans le bloc des pays industrialisés maîtrisant la technologie nucléa</w:t>
      </w:r>
      <w:r w:rsidRPr="00675326">
        <w:rPr>
          <w:szCs w:val="22"/>
        </w:rPr>
        <w:t>i</w:t>
      </w:r>
      <w:r w:rsidRPr="00675326">
        <w:rPr>
          <w:szCs w:val="22"/>
        </w:rPr>
        <w:t>re</w:t>
      </w:r>
      <w:r>
        <w:rPr>
          <w:szCs w:val="22"/>
        </w:rPr>
        <w:t> </w:t>
      </w:r>
      <w:r w:rsidRPr="00963199">
        <w:rPr>
          <w:rStyle w:val="Appelnotedebasdep"/>
        </w:rPr>
        <w:footnoteReference w:id="87"/>
      </w:r>
      <w:r w:rsidRPr="00675326">
        <w:rPr>
          <w:szCs w:val="22"/>
        </w:rPr>
        <w:t>.</w:t>
      </w:r>
    </w:p>
    <w:p w:rsidR="00AD690E" w:rsidRPr="00675326" w:rsidRDefault="00AD690E" w:rsidP="00AD690E">
      <w:pPr>
        <w:spacing w:before="120" w:after="120"/>
        <w:jc w:val="both"/>
      </w:pPr>
      <w:r w:rsidRPr="00675326">
        <w:rPr>
          <w:szCs w:val="22"/>
        </w:rPr>
        <w:t xml:space="preserve">Par ailleurs, le Canada, à l'instigation du gouvernement Trudeau, fit le choix d'investir peu dans l'armement après 1971. Exception faite des destroyers de classe </w:t>
      </w:r>
      <w:r w:rsidRPr="00675326">
        <w:rPr>
          <w:i/>
          <w:iCs/>
          <w:szCs w:val="22"/>
        </w:rPr>
        <w:t xml:space="preserve">Tribal, </w:t>
      </w:r>
      <w:r w:rsidRPr="00675326">
        <w:rPr>
          <w:szCs w:val="22"/>
        </w:rPr>
        <w:t>du renouvellement du stock de mun</w:t>
      </w:r>
      <w:r w:rsidRPr="00675326">
        <w:rPr>
          <w:szCs w:val="22"/>
        </w:rPr>
        <w:t>i</w:t>
      </w:r>
      <w:r w:rsidRPr="00675326">
        <w:rPr>
          <w:szCs w:val="22"/>
        </w:rPr>
        <w:t xml:space="preserve">tions et du remplacement des chars </w:t>
      </w:r>
      <w:r w:rsidRPr="00675326">
        <w:rPr>
          <w:i/>
          <w:iCs/>
          <w:szCs w:val="22"/>
        </w:rPr>
        <w:t xml:space="preserve">Centurion </w:t>
      </w:r>
      <w:r w:rsidRPr="00675326">
        <w:rPr>
          <w:szCs w:val="22"/>
        </w:rPr>
        <w:t>vieux de 20 ans, on consentit peu d'investissements majeurs dans le matériel militaire au moins jusqu'au milieu des années 1970. Selon P. Newman, c'est à ce</w:t>
      </w:r>
      <w:r w:rsidRPr="00675326">
        <w:rPr>
          <w:szCs w:val="22"/>
        </w:rPr>
        <w:t>t</w:t>
      </w:r>
      <w:r w:rsidRPr="00675326">
        <w:rPr>
          <w:szCs w:val="22"/>
        </w:rPr>
        <w:t>te époque que s'est creusé l'écart entre les engagements du Canada et sa capacité d'intervention réelle ; en effet, les moyens de transport, la protection des troupes et l'armement s'avérèrent déficitaires à diff</w:t>
      </w:r>
      <w:r w:rsidRPr="00675326">
        <w:rPr>
          <w:szCs w:val="22"/>
        </w:rPr>
        <w:t>é</w:t>
      </w:r>
      <w:r w:rsidRPr="00675326">
        <w:rPr>
          <w:szCs w:val="22"/>
        </w:rPr>
        <w:t>rents niveaux</w:t>
      </w:r>
      <w:r>
        <w:rPr>
          <w:szCs w:val="22"/>
        </w:rPr>
        <w:t> </w:t>
      </w:r>
      <w:r w:rsidRPr="00963199">
        <w:rPr>
          <w:rStyle w:val="Appelnotedebasdep"/>
        </w:rPr>
        <w:footnoteReference w:id="88"/>
      </w:r>
      <w:r w:rsidRPr="00675326">
        <w:rPr>
          <w:szCs w:val="22"/>
        </w:rPr>
        <w:t>.</w:t>
      </w:r>
    </w:p>
    <w:p w:rsidR="00AD690E" w:rsidRPr="00675326" w:rsidRDefault="00AD690E" w:rsidP="00AD690E">
      <w:pPr>
        <w:spacing w:before="120" w:after="120"/>
        <w:jc w:val="both"/>
      </w:pPr>
      <w:r w:rsidRPr="00675326">
        <w:rPr>
          <w:szCs w:val="22"/>
        </w:rPr>
        <w:t>Le bilan de la démarche entreprise au début des années 1970 est donc le reflet d'une politique nettement moins militariste que ne le fut celle de la période antérieure, comme si le faible niveau de l'armement national était devenu une caractéristique de la spécificité canadienne, notamment en regard des États-Unis. Peut-être y a t-il lieu cependant d'établir une correspondance entre la ligne de conduite édictée par le livre blanc de 1971 et la politique intérieure canadienne. Rappelons en effet que la politique gouvernementale n'a été rendue publique que quelques mois seulement après la Crise d'octobre 1970, où la grande visibilité de l'armée pendant la crise suscita de vives critiques à l'e</w:t>
      </w:r>
      <w:r w:rsidRPr="00675326">
        <w:rPr>
          <w:szCs w:val="22"/>
        </w:rPr>
        <w:t>n</w:t>
      </w:r>
      <w:r w:rsidRPr="00675326">
        <w:rPr>
          <w:szCs w:val="22"/>
        </w:rPr>
        <w:t>droit du gouvernement fédéral. La nouvelle politique de défense eut à cet égard pour fonction de rassurer l'électorat canadien. Rappelons par ailleurs que Pierre Trudeau avait été élu en 1968 avec le mandat i</w:t>
      </w:r>
      <w:r w:rsidRPr="00675326">
        <w:rPr>
          <w:szCs w:val="22"/>
        </w:rPr>
        <w:t>m</w:t>
      </w:r>
      <w:r w:rsidRPr="00675326">
        <w:rPr>
          <w:szCs w:val="22"/>
        </w:rPr>
        <w:t>plicite d'offrir aux Québécois une alternative basée sur un fédéralisme renouvelé. Ses choix se dessineront à cet égard en faveur d'une revit</w:t>
      </w:r>
      <w:r w:rsidRPr="00675326">
        <w:rPr>
          <w:szCs w:val="22"/>
        </w:rPr>
        <w:t>a</w:t>
      </w:r>
      <w:r w:rsidRPr="00675326">
        <w:rPr>
          <w:szCs w:val="22"/>
        </w:rPr>
        <w:t>lisation des programmes sociaux et des programmes économiques, et cela au dépens des dépenses militaires.</w:t>
      </w:r>
    </w:p>
    <w:p w:rsidR="00AD690E" w:rsidRDefault="00AD690E" w:rsidP="00AD690E">
      <w:pPr>
        <w:spacing w:before="120" w:after="120"/>
        <w:jc w:val="both"/>
        <w:rPr>
          <w:szCs w:val="22"/>
        </w:rPr>
      </w:pPr>
    </w:p>
    <w:p w:rsidR="00AD690E" w:rsidRPr="00675326" w:rsidRDefault="00AD690E" w:rsidP="00AD690E">
      <w:pPr>
        <w:pStyle w:val="planche"/>
      </w:pPr>
      <w:r>
        <w:t>... SUIVIE DUNE PÉ</w:t>
      </w:r>
      <w:r w:rsidRPr="00675326">
        <w:t>RIODE MILITARISTE</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Il est difficile de situer avec précision le moment où la pratique gouvernementale en matière de défense a pris ses distances face aux orientations du livre blanc de 1971. Nous pensons que le vent a co</w:t>
      </w:r>
      <w:r w:rsidRPr="00675326">
        <w:rPr>
          <w:szCs w:val="22"/>
        </w:rPr>
        <w:t>m</w:t>
      </w:r>
      <w:r w:rsidRPr="00675326">
        <w:rPr>
          <w:szCs w:val="22"/>
        </w:rPr>
        <w:t>mencé à tourner en 1973 dans le contexte du choc pétrolier, des diff</w:t>
      </w:r>
      <w:r w:rsidRPr="00675326">
        <w:rPr>
          <w:szCs w:val="22"/>
        </w:rPr>
        <w:t>i</w:t>
      </w:r>
      <w:r>
        <w:rPr>
          <w:szCs w:val="22"/>
        </w:rPr>
        <w:t>cultés dans les négociations Sal</w:t>
      </w:r>
      <w:r w:rsidRPr="00675326">
        <w:rPr>
          <w:szCs w:val="22"/>
        </w:rPr>
        <w:t>t</w:t>
      </w:r>
      <w:r>
        <w:rPr>
          <w:szCs w:val="22"/>
        </w:rPr>
        <w:t> </w:t>
      </w:r>
      <w:r w:rsidRPr="00675326">
        <w:rPr>
          <w:szCs w:val="22"/>
        </w:rPr>
        <w:t>II</w:t>
      </w:r>
      <w:r>
        <w:rPr>
          <w:szCs w:val="22"/>
        </w:rPr>
        <w:t> </w:t>
      </w:r>
      <w:r w:rsidRPr="00963199">
        <w:rPr>
          <w:rStyle w:val="Appelnotedebasdep"/>
        </w:rPr>
        <w:footnoteReference w:id="89"/>
      </w:r>
      <w:r w:rsidRPr="00675326">
        <w:rPr>
          <w:szCs w:val="22"/>
        </w:rPr>
        <w:t>, et, sur la scène locale, suite à la formulation d'une nouvelle stratégie politique et commerciale (la « troisième option »)</w:t>
      </w:r>
      <w:r>
        <w:rPr>
          <w:szCs w:val="22"/>
        </w:rPr>
        <w:t> </w:t>
      </w:r>
      <w:r w:rsidRPr="00963199">
        <w:rPr>
          <w:rStyle w:val="Appelnotedebasdep"/>
        </w:rPr>
        <w:footnoteReference w:id="90"/>
      </w:r>
      <w:r w:rsidRPr="00675326">
        <w:rPr>
          <w:szCs w:val="22"/>
        </w:rPr>
        <w:t>. Rappelons enfin le coup d'envoi à une no</w:t>
      </w:r>
      <w:r w:rsidRPr="00675326">
        <w:rPr>
          <w:szCs w:val="22"/>
        </w:rPr>
        <w:t>u</w:t>
      </w:r>
      <w:r w:rsidRPr="00675326">
        <w:rPr>
          <w:szCs w:val="22"/>
        </w:rPr>
        <w:t>velle vague</w:t>
      </w:r>
      <w:r>
        <w:rPr>
          <w:szCs w:val="22"/>
        </w:rPr>
        <w:t xml:space="preserve"> </w:t>
      </w:r>
      <w:r>
        <w:rPr>
          <w:szCs w:val="18"/>
        </w:rPr>
        <w:t>[</w:t>
      </w:r>
      <w:r w:rsidRPr="00675326">
        <w:rPr>
          <w:szCs w:val="18"/>
        </w:rPr>
        <w:t>64</w:t>
      </w:r>
      <w:r>
        <w:rPr>
          <w:szCs w:val="18"/>
        </w:rPr>
        <w:t xml:space="preserve">] </w:t>
      </w:r>
      <w:r w:rsidRPr="00675326">
        <w:t xml:space="preserve">de nationalisme donne par la publication du </w:t>
      </w:r>
      <w:r w:rsidRPr="00675326">
        <w:rPr>
          <w:i/>
          <w:iCs/>
        </w:rPr>
        <w:t xml:space="preserve">Rapport Gray, </w:t>
      </w:r>
      <w:r w:rsidRPr="00675326">
        <w:t>survenue quelques mois plus tôt</w:t>
      </w:r>
      <w:r>
        <w:t> </w:t>
      </w:r>
      <w:r>
        <w:rPr>
          <w:rStyle w:val="Appelnotedebasdep"/>
        </w:rPr>
        <w:footnoteReference w:id="91"/>
      </w:r>
      <w:r w:rsidRPr="00675326">
        <w:t>. Il importe d'ailleurs de so</w:t>
      </w:r>
      <w:r w:rsidRPr="00675326">
        <w:t>u</w:t>
      </w:r>
      <w:r w:rsidRPr="00675326">
        <w:t>ligner que cette nouvelle phase de l'histoire militaire se déroula dans un décor très fortement teinté de nationalisme. À partir du milieu des années 1970, les préoccupations du Cabinet à l'endroit du développ</w:t>
      </w:r>
      <w:r w:rsidRPr="00675326">
        <w:t>e</w:t>
      </w:r>
      <w:r w:rsidRPr="00675326">
        <w:t>ment économique national — rappelons que le Canada est aux prises avec un des taux de chômage les plus élevés de l'OCDE — et du re</w:t>
      </w:r>
      <w:r w:rsidRPr="00675326">
        <w:t>n</w:t>
      </w:r>
      <w:r w:rsidRPr="00675326">
        <w:t>forcement du pouvoir de l'État fédéral se situèrent au centre de la d</w:t>
      </w:r>
      <w:r w:rsidRPr="00675326">
        <w:t>é</w:t>
      </w:r>
      <w:r w:rsidRPr="00675326">
        <w:t>marche politique gouvernementale.</w:t>
      </w:r>
    </w:p>
    <w:p w:rsidR="00AD690E" w:rsidRPr="00675326" w:rsidRDefault="00AD690E" w:rsidP="00AD690E">
      <w:pPr>
        <w:spacing w:before="120" w:after="120"/>
        <w:jc w:val="both"/>
      </w:pPr>
      <w:r w:rsidRPr="00675326">
        <w:t>Par ailleurs, un gouvernement souverainiste prend le pouvoir au Québec en 1976, ce qui est perçu comme une menace à l'intégrité c</w:t>
      </w:r>
      <w:r w:rsidRPr="00675326">
        <w:t>a</w:t>
      </w:r>
      <w:r w:rsidRPr="00675326">
        <w:t>nadienne. La nécessité de maintenir un contre-pouvoir puissant et cr</w:t>
      </w:r>
      <w:r w:rsidRPr="00675326">
        <w:t>é</w:t>
      </w:r>
      <w:r w:rsidRPr="00675326">
        <w:t>dible apparaît plus impérative que jamais. Les politiciens fédéraux présentent le nationalisme canadien comme une alternative au nati</w:t>
      </w:r>
      <w:r w:rsidRPr="00675326">
        <w:t>o</w:t>
      </w:r>
      <w:r w:rsidRPr="00675326">
        <w:t>nalisme québécois. Or, la défense du continent est sous la gouverne des Américains, tandis que celle de l'Europe de l'Ouest est placée sous le parapluie de l'OTAN, où le Canada ne joue qu'un rôle secondaire. L'industrie militaire canadienne n'est plus que le pâle reflet de ce qu'elle était au lendemain de la guerre. À cause du DPSA et de la guerre du Vietnam, la plupart des centres importants se sont intégrés au complexe militaro-industriel américain, ce qui a comme cons</w:t>
      </w:r>
      <w:r w:rsidRPr="00675326">
        <w:t>é</w:t>
      </w:r>
      <w:r w:rsidRPr="00675326">
        <w:t>quence un approfondissement sans précédent de la dépendance tec</w:t>
      </w:r>
      <w:r w:rsidRPr="00675326">
        <w:t>h</w:t>
      </w:r>
      <w:r w:rsidRPr="00675326">
        <w:t>nologique à l'endroit des États-Unis. Vue sous cet angle, la réalité des forces économiques et militaires liées à la défense apparaît non pas comme l'expression de la souveraineté canadienne, mais plutôt co</w:t>
      </w:r>
      <w:r w:rsidRPr="00675326">
        <w:t>m</w:t>
      </w:r>
      <w:r w:rsidRPr="00675326">
        <w:t>me celle de sa dépendance systémique à l'endroit des États-Unis.</w:t>
      </w:r>
    </w:p>
    <w:p w:rsidR="00AD690E" w:rsidRPr="00675326" w:rsidRDefault="00AD690E" w:rsidP="00AD690E">
      <w:pPr>
        <w:spacing w:before="120" w:after="120"/>
        <w:jc w:val="both"/>
      </w:pPr>
      <w:r w:rsidRPr="00675326">
        <w:t>Par ailleurs, la formulation de la « troisième option » ne pouvait mener qu'à une révision à la baisse des engagements de l'État canadien à l'endroit de l'OTAN</w:t>
      </w:r>
      <w:r>
        <w:t> </w:t>
      </w:r>
      <w:r w:rsidRPr="00963199">
        <w:rPr>
          <w:rStyle w:val="Appelnotedebasdep"/>
        </w:rPr>
        <w:footnoteReference w:id="92"/>
      </w:r>
      <w:r w:rsidRPr="00675326">
        <w:t>, même si cette dernière organisation se verra interpellée comme un forum international susceptible de faire contr</w:t>
      </w:r>
      <w:r w:rsidRPr="00675326">
        <w:t>e</w:t>
      </w:r>
      <w:r w:rsidRPr="00675326">
        <w:t>poids à l'omniprésence américaine. En outre, l'OTAN n'offrait-elle pas une ouverture sur de nouveaux marchés pour les produits de défense probablement plus aptes à soutenir un certain savoir-faire technolog</w:t>
      </w:r>
      <w:r w:rsidRPr="00675326">
        <w:t>i</w:t>
      </w:r>
      <w:r w:rsidRPr="00675326">
        <w:t>que canadien</w:t>
      </w:r>
      <w:r>
        <w:t> </w:t>
      </w:r>
      <w:r w:rsidRPr="00963199">
        <w:rPr>
          <w:rStyle w:val="Appelnotedebasdep"/>
        </w:rPr>
        <w:footnoteReference w:id="93"/>
      </w:r>
      <w:r w:rsidRPr="00675326">
        <w:t> ? Ajoutons à cela les pressions extérieures émanant autant de la Maison-Blanche que du quartier général de l'OTAN, en faveur de la nécessité d'accroître la participation canadienne à l'effort de défense du bloc occidental, et tous les ingrédients pour une reprise des dépenses militaires sont réunis.</w:t>
      </w:r>
    </w:p>
    <w:p w:rsidR="00AD690E" w:rsidRPr="00675326" w:rsidRDefault="00AD690E" w:rsidP="00AD690E">
      <w:pPr>
        <w:spacing w:before="120" w:after="120"/>
        <w:jc w:val="both"/>
      </w:pPr>
      <w:r w:rsidRPr="00675326">
        <w:t>La ligne de conduite établie au début des années 1970 s'est donc modifiée à l'approche des années 1980, sur la toile de fond du durci</w:t>
      </w:r>
      <w:r w:rsidRPr="00675326">
        <w:t>s</w:t>
      </w:r>
      <w:r w:rsidRPr="00675326">
        <w:t>sement de la politique</w:t>
      </w:r>
      <w:r>
        <w:t xml:space="preserve"> [65] </w:t>
      </w:r>
      <w:r w:rsidRPr="00675326">
        <w:t>américaine à l'endroit de l</w:t>
      </w:r>
      <w:r>
        <w:t>’</w:t>
      </w:r>
      <w:r w:rsidRPr="00675326">
        <w:t>Union soviét</w:t>
      </w:r>
      <w:r w:rsidRPr="00675326">
        <w:t>i</w:t>
      </w:r>
      <w:r w:rsidRPr="00675326">
        <w:t>que et de la modernisation de l'armement de l'OTAN. Le Canada a en effet entrepris une révision de sa politique de défense et la modernis</w:t>
      </w:r>
      <w:r w:rsidRPr="00675326">
        <w:t>a</w:t>
      </w:r>
      <w:r w:rsidRPr="00675326">
        <w:t xml:space="preserve">tion de son arsenal. En ce qui a trait à l'équipement militaire, le coup d'envoi a été donné avec le programme d'acquisition des chars d'assaut </w:t>
      </w:r>
      <w:r w:rsidRPr="00675326">
        <w:rPr>
          <w:i/>
          <w:iCs/>
        </w:rPr>
        <w:t xml:space="preserve">Léopard </w:t>
      </w:r>
      <w:r w:rsidRPr="00675326">
        <w:t xml:space="preserve">en 1976, suivi notamment des chasseurs </w:t>
      </w:r>
      <w:r w:rsidRPr="00675326">
        <w:rPr>
          <w:i/>
          <w:iCs/>
        </w:rPr>
        <w:t xml:space="preserve">F-18 </w:t>
      </w:r>
      <w:r w:rsidRPr="00675326">
        <w:t>et des frégates de patrouille. Le budget de la défense s'est conséquemment mis à cro</w:t>
      </w:r>
      <w:r w:rsidRPr="00675326">
        <w:t>î</w:t>
      </w:r>
      <w:r w:rsidRPr="00675326">
        <w:t>tre à un rythme accéléré, mais inférieur aux promesses faites à l'OTAN qui, rappelons-le, ét</w:t>
      </w:r>
      <w:r w:rsidRPr="00675326">
        <w:t>a</w:t>
      </w:r>
      <w:r w:rsidRPr="00675326">
        <w:t>blissaient un taux de croissance réel de 3</w:t>
      </w:r>
      <w:r>
        <w:t>%</w:t>
      </w:r>
      <w:r w:rsidRPr="00675326">
        <w:t xml:space="preserve"> par année.</w:t>
      </w:r>
    </w:p>
    <w:p w:rsidR="00AD690E" w:rsidRPr="00675326" w:rsidRDefault="00AD690E" w:rsidP="00AD690E">
      <w:pPr>
        <w:spacing w:before="120" w:after="120"/>
        <w:jc w:val="both"/>
      </w:pPr>
      <w:r w:rsidRPr="00675326">
        <w:t>En ce qui a trait à la formulation d'une nouvelle politique de défe</w:t>
      </w:r>
      <w:r w:rsidRPr="00675326">
        <w:t>n</w:t>
      </w:r>
      <w:r w:rsidRPr="00675326">
        <w:t>se, le dossier a été beaucoup plus laborieux. La mission des Forces armées canadiennes reposait sur des hypothèses formulées au cours des années 1960, dans un contexte stratégique et technologique rad</w:t>
      </w:r>
      <w:r w:rsidRPr="00675326">
        <w:t>i</w:t>
      </w:r>
      <w:r w:rsidRPr="00675326">
        <w:t>calement différent et considéré par différentes instances comme tot</w:t>
      </w:r>
      <w:r w:rsidRPr="00675326">
        <w:t>a</w:t>
      </w:r>
      <w:r w:rsidRPr="00675326">
        <w:t>lement déphasé quant à la conjoncture des années 1980. Le rapport du Comité spécial du Sénat sur la défense nationale déposé en 1983, quelques mois donc avant le départ de Pierre Trudeau, observait qu'avec ses effectifs, le commandement maritime ne pouvait respecter ses engagements quant à la protection de la souveraineté canadienne et la défense de l'Amérique du Nord, pas plus d'ailleurs que ses eng</w:t>
      </w:r>
      <w:r w:rsidRPr="00675326">
        <w:t>a</w:t>
      </w:r>
      <w:r w:rsidRPr="00675326">
        <w:t>gements envers l'OTAN. Selon le rapport, à cause des restrictions f</w:t>
      </w:r>
      <w:r w:rsidRPr="00675326">
        <w:t>i</w:t>
      </w:r>
      <w:r w:rsidRPr="00675326">
        <w:t>nancières e</w:t>
      </w:r>
      <w:r>
        <w:t>t de la négligence des autorités </w:t>
      </w:r>
      <w:r>
        <w:rPr>
          <w:rStyle w:val="Appelnotedebasdep"/>
        </w:rPr>
        <w:footnoteReference w:id="94"/>
      </w:r>
      <w:r>
        <w:rPr>
          <w:vertAlign w:val="superscript"/>
        </w:rPr>
        <w:t xml:space="preserve"> </w:t>
      </w:r>
      <w:r w:rsidRPr="00675326">
        <w:t>, les Forces armées can</w:t>
      </w:r>
      <w:r w:rsidRPr="00675326">
        <w:t>a</w:t>
      </w:r>
      <w:r w:rsidRPr="00675326">
        <w:t>diennes manquaient de ressources, devant se satisfaire d'un personnel trop réduit et d'un équipement désuet. Pour les conseillers militaires, le Canada ne pouvait donc plus continuer à remplir les missions de défense propres à une puissance respectable.</w:t>
      </w:r>
    </w:p>
    <w:p w:rsidR="00AD690E" w:rsidRPr="00675326" w:rsidRDefault="00AD690E" w:rsidP="00AD690E">
      <w:pPr>
        <w:spacing w:before="120" w:after="120"/>
        <w:jc w:val="both"/>
      </w:pPr>
      <w:r w:rsidRPr="00675326">
        <w:t>Au niveau stratégique, on s'inquiétait également du fait que le C</w:t>
      </w:r>
      <w:r w:rsidRPr="00675326">
        <w:t>a</w:t>
      </w:r>
      <w:r w:rsidRPr="00675326">
        <w:t>nada ne contribuait pas assez à la dissuasion conventionnelle, avec des investissements d'à peine 251 dollars par habitant au titre de la défe</w:t>
      </w:r>
      <w:r w:rsidRPr="00675326">
        <w:t>n</w:t>
      </w:r>
      <w:r w:rsidRPr="00675326">
        <w:t>se. Pour fin de comparaison, rappelons que les dépenses militaires américaines se chiffraient à l'époque à 869 dollars par habitant</w:t>
      </w:r>
      <w:r>
        <w:t> </w:t>
      </w:r>
      <w:r>
        <w:rPr>
          <w:rStyle w:val="Appelnotedebasdep"/>
        </w:rPr>
        <w:footnoteReference w:id="95"/>
      </w:r>
      <w:r w:rsidRPr="00675326">
        <w:t>. Il fallait donc chercher à atteindre un meilleur « équilibre » entre les e</w:t>
      </w:r>
      <w:r w:rsidRPr="00675326">
        <w:t>n</w:t>
      </w:r>
      <w:r w:rsidRPr="00675326">
        <w:t>gagements et la capacité militaire.</w:t>
      </w:r>
    </w:p>
    <w:p w:rsidR="00AD690E" w:rsidRPr="00675326" w:rsidRDefault="00AD690E" w:rsidP="00AD690E">
      <w:pPr>
        <w:spacing w:before="120" w:after="120"/>
        <w:jc w:val="both"/>
      </w:pPr>
      <w:r w:rsidRPr="00675326">
        <w:t>Par ailleurs, plusieurs experts remirent en question la nature même de la contribution canadienne. Albert Legault, par exemple, consid</w:t>
      </w:r>
      <w:r w:rsidRPr="00675326">
        <w:t>é</w:t>
      </w:r>
      <w:r w:rsidRPr="00675326">
        <w:t>rait à l'époque que le Canada devait se spécialiser davantage au sein de l'OTAN : « On peut très bien retirer nos forces terrestres et renfo</w:t>
      </w:r>
      <w:r w:rsidRPr="00675326">
        <w:t>r</w:t>
      </w:r>
      <w:r w:rsidRPr="00675326">
        <w:t>cer les forces aériennes dans le centre de l'Europe, stationnées en R.F.A. ; on peut aussi se retirer du secteur centre-Europe pour faire davantage sur les flancs de l'alliance militaire, c'est-à-dire en Norvège. C'est une question de spécialisation, il faut savoir ce que l'on veut »</w:t>
      </w:r>
      <w:r>
        <w:t> </w:t>
      </w:r>
      <w:r w:rsidRPr="00963199">
        <w:rPr>
          <w:rStyle w:val="Appelnotedebasdep"/>
        </w:rPr>
        <w:footnoteReference w:id="96"/>
      </w:r>
      <w:r w:rsidRPr="00675326">
        <w:t>. On réclama donc dans plusieurs milieux une révision fondamentale de la politique de défense. Un nouveau livre blanc fut promis, la réda</w:t>
      </w:r>
      <w:r w:rsidRPr="00675326">
        <w:t>c</w:t>
      </w:r>
      <w:r w:rsidRPr="00675326">
        <w:t>tion en fut amorcée. Mais on</w:t>
      </w:r>
      <w:r>
        <w:t xml:space="preserve"> </w:t>
      </w:r>
      <w:r>
        <w:rPr>
          <w:szCs w:val="14"/>
        </w:rPr>
        <w:t xml:space="preserve">[66] </w:t>
      </w:r>
      <w:r w:rsidRPr="00675326">
        <w:rPr>
          <w:szCs w:val="22"/>
        </w:rPr>
        <w:t>retarda plusieurs fois le dépôt du rapport, craignant de heurter de front les susceptibilités d'une bonne partie de l'électorat canadien face à la perspective d'augmentations importantes dans les dépenses mil</w:t>
      </w:r>
      <w:r w:rsidRPr="00675326">
        <w:rPr>
          <w:szCs w:val="22"/>
        </w:rPr>
        <w:t>i</w:t>
      </w:r>
      <w:r w:rsidRPr="00675326">
        <w:rPr>
          <w:szCs w:val="22"/>
        </w:rPr>
        <w:t>taires. Avec le recul du temps, il semble que la stratégie fut alors de procéder pièce par pièce aux r</w:t>
      </w:r>
      <w:r w:rsidRPr="00675326">
        <w:rPr>
          <w:szCs w:val="22"/>
        </w:rPr>
        <w:t>é</w:t>
      </w:r>
      <w:r w:rsidRPr="00675326">
        <w:rPr>
          <w:szCs w:val="22"/>
        </w:rPr>
        <w:t>formes et à l'achat des nouvelles armes, de façon à minimiser l'impact du document au moment de son dépôt. Cette interprétation permet n</w:t>
      </w:r>
      <w:r w:rsidRPr="00675326">
        <w:rPr>
          <w:szCs w:val="22"/>
        </w:rPr>
        <w:t>o</w:t>
      </w:r>
      <w:r w:rsidRPr="00675326">
        <w:rPr>
          <w:szCs w:val="22"/>
        </w:rPr>
        <w:t>tamment de comprendre pourquoi il faudra attendre l'été 1987 avant que ne soit rendue publique la teneur des nouvelles orientations go</w:t>
      </w:r>
      <w:r w:rsidRPr="00675326">
        <w:rPr>
          <w:szCs w:val="22"/>
        </w:rPr>
        <w:t>u</w:t>
      </w:r>
      <w:r w:rsidRPr="00675326">
        <w:rPr>
          <w:szCs w:val="22"/>
        </w:rPr>
        <w:t>vernementales, soit trois ans presque jour pour jour après l'arrivée au pouvoir des conservateurs. Or, bien que le livre blanc ait subi à n'en pas douter certaines influences conservatrices, il demeure avant toute chose l'héritage du gouvernement libéral. Tout au plus les conserv</w:t>
      </w:r>
      <w:r w:rsidRPr="00675326">
        <w:rPr>
          <w:szCs w:val="22"/>
        </w:rPr>
        <w:t>a</w:t>
      </w:r>
      <w:r w:rsidRPr="00675326">
        <w:rPr>
          <w:szCs w:val="22"/>
        </w:rPr>
        <w:t>teurs ont-ils accentué certaines tendances déjà perceptibles avant 1984, notamment en prévision d'une reprise des dépenses militaires. Tout au plus également se sont-ils montrés plus préoccupés que leurs prédécesseurs par l'utilisation des budgets militaires à des fins écon</w:t>
      </w:r>
      <w:r w:rsidRPr="00675326">
        <w:rPr>
          <w:szCs w:val="22"/>
        </w:rPr>
        <w:t>o</w:t>
      </w:r>
      <w:r w:rsidRPr="00675326">
        <w:rPr>
          <w:szCs w:val="22"/>
        </w:rPr>
        <w:t>miques, notamment de leurs impacts au niveau du développement r</w:t>
      </w:r>
      <w:r w:rsidRPr="00675326">
        <w:rPr>
          <w:szCs w:val="22"/>
        </w:rPr>
        <w:t>é</w:t>
      </w:r>
      <w:r w:rsidRPr="00675326">
        <w:rPr>
          <w:szCs w:val="22"/>
        </w:rPr>
        <w:t xml:space="preserve">gional. Les libéraux n'avaient-ils pas été l'objet de critiques virulentes à l'endroit de la répartition des fonds entre les provinces dans le controversé contrat des avions </w:t>
      </w:r>
      <w:r w:rsidRPr="00675326">
        <w:rPr>
          <w:i/>
          <w:iCs/>
          <w:szCs w:val="22"/>
        </w:rPr>
        <w:t xml:space="preserve">F-187 </w:t>
      </w:r>
      <w:r w:rsidRPr="00675326">
        <w:rPr>
          <w:szCs w:val="22"/>
        </w:rPr>
        <w:t>Les conservateurs vont gérer les dépenses militaires avec des priorités moins nuancées peut-être, r</w:t>
      </w:r>
      <w:r w:rsidRPr="00675326">
        <w:rPr>
          <w:szCs w:val="22"/>
        </w:rPr>
        <w:t>a</w:t>
      </w:r>
      <w:r w:rsidRPr="00675326">
        <w:rPr>
          <w:szCs w:val="22"/>
        </w:rPr>
        <w:t>menant le débat à une question de gros sous. Le budget augmentera de 2,75</w:t>
      </w:r>
      <w:r>
        <w:rPr>
          <w:szCs w:val="22"/>
        </w:rPr>
        <w:t>%</w:t>
      </w:r>
      <w:r w:rsidRPr="00675326">
        <w:rPr>
          <w:szCs w:val="22"/>
        </w:rPr>
        <w:t xml:space="preserve"> en 1986-1987 et de nouveaux engagements, destinés à assurer une progression de 2</w:t>
      </w:r>
      <w:r>
        <w:rPr>
          <w:szCs w:val="22"/>
        </w:rPr>
        <w:t>%</w:t>
      </w:r>
      <w:r w:rsidRPr="00675326">
        <w:rPr>
          <w:szCs w:val="22"/>
        </w:rPr>
        <w:t xml:space="preserve"> par an jusqu'en 1991, seront pris par le mini</w:t>
      </w:r>
      <w:r w:rsidRPr="00675326">
        <w:rPr>
          <w:szCs w:val="22"/>
        </w:rPr>
        <w:t>s</w:t>
      </w:r>
      <w:r w:rsidRPr="00675326">
        <w:rPr>
          <w:szCs w:val="22"/>
        </w:rPr>
        <w:t>tre de la Défense</w:t>
      </w:r>
      <w:r>
        <w:rPr>
          <w:szCs w:val="22"/>
        </w:rPr>
        <w:t> </w:t>
      </w:r>
      <w:r w:rsidRPr="00963199">
        <w:rPr>
          <w:rStyle w:val="Appelnotedebasdep"/>
        </w:rPr>
        <w:footnoteReference w:id="97"/>
      </w:r>
      <w:r w:rsidRPr="00675326">
        <w:rPr>
          <w:szCs w:val="22"/>
        </w:rPr>
        <w:t>.</w:t>
      </w:r>
    </w:p>
    <w:p w:rsidR="00AD690E" w:rsidRPr="00675326" w:rsidRDefault="00AD690E" w:rsidP="00AD690E">
      <w:pPr>
        <w:spacing w:before="120" w:after="120"/>
        <w:jc w:val="both"/>
      </w:pPr>
      <w:r w:rsidRPr="00675326">
        <w:rPr>
          <w:szCs w:val="22"/>
        </w:rPr>
        <w:t>Le retard dans la diffusion des nouvelles orientations semble plutôt s'expliquer par la position très ambiguë de Pierre Trudeau. Pendant que son gouvernement réarmait le Canada, Pierre Trudeau poursuivait sa croisade en faveur de la paix autour de concepts comme le gel n</w:t>
      </w:r>
      <w:r w:rsidRPr="00675326">
        <w:rPr>
          <w:szCs w:val="22"/>
        </w:rPr>
        <w:t>u</w:t>
      </w:r>
      <w:r w:rsidRPr="00675326">
        <w:rPr>
          <w:szCs w:val="22"/>
        </w:rPr>
        <w:t>cléaire et le dialogue bilatéral, soit une thématique très voisine de ce</w:t>
      </w:r>
      <w:r w:rsidRPr="00675326">
        <w:rPr>
          <w:szCs w:val="22"/>
        </w:rPr>
        <w:t>l</w:t>
      </w:r>
      <w:r w:rsidRPr="00675326">
        <w:rPr>
          <w:szCs w:val="22"/>
        </w:rPr>
        <w:t>le épousée par l'Assemblée générale de l'ONU. Son initiative de paix visait peut-être à contribuer à assainir le climat international au m</w:t>
      </w:r>
      <w:r w:rsidRPr="00675326">
        <w:rPr>
          <w:szCs w:val="22"/>
        </w:rPr>
        <w:t>o</w:t>
      </w:r>
      <w:r w:rsidRPr="00675326">
        <w:rPr>
          <w:szCs w:val="22"/>
        </w:rPr>
        <w:t>ment même où Ronald Reagan prenait les commandes de la Maison-Blanche. Peut-être aussi s'adressait-elle plus prosaïquement à l'élect</w:t>
      </w:r>
      <w:r w:rsidRPr="00675326">
        <w:rPr>
          <w:szCs w:val="22"/>
        </w:rPr>
        <w:t>o</w:t>
      </w:r>
      <w:r w:rsidRPr="00675326">
        <w:rPr>
          <w:szCs w:val="22"/>
        </w:rPr>
        <w:t>rat canadien en vue de revaloriser le rôle des institutions fédérales ? Il est difficile de trancher cette question. L'analyse de la trajectoire go</w:t>
      </w:r>
      <w:r w:rsidRPr="00675326">
        <w:rPr>
          <w:szCs w:val="22"/>
        </w:rPr>
        <w:t>u</w:t>
      </w:r>
      <w:r w:rsidRPr="00675326">
        <w:rPr>
          <w:szCs w:val="22"/>
        </w:rPr>
        <w:t>vernementale après 1975 permet cependant de constater l'écart gra</w:t>
      </w:r>
      <w:r w:rsidRPr="00675326">
        <w:rPr>
          <w:szCs w:val="22"/>
        </w:rPr>
        <w:t>n</w:t>
      </w:r>
      <w:r w:rsidRPr="00675326">
        <w:rPr>
          <w:szCs w:val="22"/>
        </w:rPr>
        <w:t>dissant entre la pratique concrète et les discours du premier ministre. Comme le souligne F.H. Knelman, la contradiction sera complète e</w:t>
      </w:r>
      <w:r w:rsidRPr="00675326">
        <w:rPr>
          <w:szCs w:val="22"/>
        </w:rPr>
        <w:t>n</w:t>
      </w:r>
      <w:r w:rsidRPr="00675326">
        <w:rPr>
          <w:szCs w:val="22"/>
        </w:rPr>
        <w:t>tre la politique de défense menée par le Canada et ses interventions en vue de préserver son image pacifiste</w:t>
      </w:r>
      <w:r>
        <w:rPr>
          <w:szCs w:val="22"/>
        </w:rPr>
        <w:t> </w:t>
      </w:r>
      <w:r w:rsidRPr="00963199">
        <w:rPr>
          <w:rStyle w:val="Appelnotedebasdep"/>
        </w:rPr>
        <w:footnoteReference w:id="98"/>
      </w:r>
      <w:r w:rsidRPr="00675326">
        <w:rPr>
          <w:szCs w:val="22"/>
        </w:rPr>
        <w:t>. En même temps que Pierre Trudeau prêchera sur différentes tribunes du monde en</w:t>
      </w:r>
      <w:r>
        <w:rPr>
          <w:szCs w:val="22"/>
        </w:rPr>
        <w:t xml:space="preserve"> </w:t>
      </w:r>
      <w:r>
        <w:t xml:space="preserve">[67] </w:t>
      </w:r>
      <w:r w:rsidRPr="00675326">
        <w:rPr>
          <w:szCs w:val="22"/>
        </w:rPr>
        <w:t>faveur de la paix, il donnera son aval à la réalisation d'une série d'essai des mi</w:t>
      </w:r>
      <w:r w:rsidRPr="00675326">
        <w:rPr>
          <w:szCs w:val="22"/>
        </w:rPr>
        <w:t>s</w:t>
      </w:r>
      <w:r w:rsidRPr="00675326">
        <w:rPr>
          <w:szCs w:val="22"/>
        </w:rPr>
        <w:t>siles de croisière américains (nucléaires), remettant ai</w:t>
      </w:r>
      <w:r w:rsidRPr="00675326">
        <w:rPr>
          <w:szCs w:val="22"/>
        </w:rPr>
        <w:t>n</w:t>
      </w:r>
      <w:r w:rsidRPr="00675326">
        <w:rPr>
          <w:szCs w:val="22"/>
        </w:rPr>
        <w:t>si en cause ses propres options stratégiques de 1971</w:t>
      </w:r>
      <w:r>
        <w:rPr>
          <w:szCs w:val="22"/>
        </w:rPr>
        <w:t> </w:t>
      </w:r>
      <w:r w:rsidRPr="00963199">
        <w:rPr>
          <w:rStyle w:val="Appelnotedebasdep"/>
        </w:rPr>
        <w:footnoteReference w:id="99"/>
      </w:r>
      <w:r w:rsidRPr="00675326">
        <w:rPr>
          <w:szCs w:val="22"/>
        </w:rPr>
        <w:t>. On peut en déduire que le r</w:t>
      </w:r>
      <w:r w:rsidRPr="00675326">
        <w:rPr>
          <w:szCs w:val="22"/>
        </w:rPr>
        <w:t>e</w:t>
      </w:r>
      <w:r w:rsidRPr="00675326">
        <w:rPr>
          <w:szCs w:val="22"/>
        </w:rPr>
        <w:t>tard dans la publication d'un nouveau livre blanc, qui prévoyait pre</w:t>
      </w:r>
      <w:r w:rsidRPr="00675326">
        <w:rPr>
          <w:szCs w:val="22"/>
        </w:rPr>
        <w:t>n</w:t>
      </w:r>
      <w:r w:rsidRPr="00675326">
        <w:rPr>
          <w:szCs w:val="22"/>
        </w:rPr>
        <w:t>dre parti en faveur de la reconnaissance d'une situation de fait, visait probablement à ne pas ternir l'image mythique du pr</w:t>
      </w:r>
      <w:r w:rsidRPr="00675326">
        <w:rPr>
          <w:szCs w:val="22"/>
        </w:rPr>
        <w:t>e</w:t>
      </w:r>
      <w:r w:rsidRPr="00675326">
        <w:rPr>
          <w:szCs w:val="22"/>
        </w:rPr>
        <w:t>mier ministre. Son départ en 1983 laissera la voie libre aux forces a</w:t>
      </w:r>
      <w:r w:rsidRPr="00675326">
        <w:rPr>
          <w:szCs w:val="22"/>
        </w:rPr>
        <w:t>r</w:t>
      </w:r>
      <w:r w:rsidRPr="00675326">
        <w:rPr>
          <w:szCs w:val="22"/>
        </w:rPr>
        <w:t>mées et à leurs supporters.</w:t>
      </w:r>
    </w:p>
    <w:p w:rsidR="00AD690E" w:rsidRDefault="00AD690E" w:rsidP="00AD690E">
      <w:pPr>
        <w:spacing w:before="120" w:after="120"/>
        <w:jc w:val="both"/>
        <w:rPr>
          <w:szCs w:val="22"/>
        </w:rPr>
      </w:pPr>
    </w:p>
    <w:p w:rsidR="00AD690E" w:rsidRPr="00675326" w:rsidRDefault="00AD690E" w:rsidP="00AD690E">
      <w:pPr>
        <w:pStyle w:val="planche"/>
      </w:pPr>
      <w:r>
        <w:t>LES NOUVELLES ORIENTATIONS</w:t>
      </w:r>
      <w:r>
        <w:br/>
      </w:r>
      <w:r w:rsidRPr="00675326">
        <w:t>DE LA POL</w:t>
      </w:r>
      <w:r w:rsidRPr="00675326">
        <w:t>I</w:t>
      </w:r>
      <w:r w:rsidRPr="00675326">
        <w:t>TIQUE DE DÉFENSE</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Le livre blanc présenté en juin 1987 consacre l'orientation la plus « militariste » de l'histoire contemporaine canadienne. On y condamne l'attitude du gouvernement fédéral qui, durant une bonne partie des années 1960 et 1970, « a accordé peu d'attention à la sécurité du C</w:t>
      </w:r>
      <w:r w:rsidRPr="00675326">
        <w:rPr>
          <w:szCs w:val="22"/>
        </w:rPr>
        <w:t>a</w:t>
      </w:r>
      <w:r w:rsidRPr="00675326">
        <w:rPr>
          <w:szCs w:val="22"/>
        </w:rPr>
        <w:t>nada et aux rapports qu'avait notre pays avec les autres démocraties en matière de défense »</w:t>
      </w:r>
      <w:r>
        <w:rPr>
          <w:szCs w:val="22"/>
        </w:rPr>
        <w:t> </w:t>
      </w:r>
      <w:r>
        <w:rPr>
          <w:rStyle w:val="Appelnotedebasdep"/>
        </w:rPr>
        <w:footnoteReference w:id="100"/>
      </w:r>
      <w:r>
        <w:rPr>
          <w:szCs w:val="22"/>
          <w:vertAlign w:val="superscript"/>
        </w:rPr>
        <w:t xml:space="preserve"> </w:t>
      </w:r>
      <w:r w:rsidRPr="00675326">
        <w:rPr>
          <w:szCs w:val="22"/>
        </w:rPr>
        <w:t>, et on annonce qu'« il faut réparer les dégâts causés par des décennies d'abandon »</w:t>
      </w:r>
      <w:r>
        <w:rPr>
          <w:szCs w:val="22"/>
        </w:rPr>
        <w:t> </w:t>
      </w:r>
      <w:r w:rsidRPr="00963199">
        <w:rPr>
          <w:rStyle w:val="Appelnotedebasdep"/>
        </w:rPr>
        <w:footnoteReference w:id="101"/>
      </w:r>
      <w:r w:rsidRPr="00675326">
        <w:rPr>
          <w:szCs w:val="22"/>
        </w:rPr>
        <w:t>. Il importe notamment de renforcer le potentiel de surveillance et de défense du territoire can</w:t>
      </w:r>
      <w:r w:rsidRPr="00675326">
        <w:rPr>
          <w:szCs w:val="22"/>
        </w:rPr>
        <w:t>a</w:t>
      </w:r>
      <w:r w:rsidRPr="00675326">
        <w:rPr>
          <w:szCs w:val="22"/>
        </w:rPr>
        <w:t>dien, d'augmenter les effectifs de la Réserve, de consolider sur le Front ce</w:t>
      </w:r>
      <w:r w:rsidRPr="00675326">
        <w:rPr>
          <w:szCs w:val="22"/>
        </w:rPr>
        <w:t>n</w:t>
      </w:r>
      <w:r w:rsidRPr="00675326">
        <w:rPr>
          <w:szCs w:val="22"/>
        </w:rPr>
        <w:t>tral les forces aériennes et terrestres désignées à l'appui des engag</w:t>
      </w:r>
      <w:r w:rsidRPr="00675326">
        <w:rPr>
          <w:szCs w:val="22"/>
        </w:rPr>
        <w:t>e</w:t>
      </w:r>
      <w:r w:rsidRPr="00675326">
        <w:rPr>
          <w:szCs w:val="22"/>
        </w:rPr>
        <w:t>ments pris envers l'Europe, et d'équiper les Forces canadiennes avec du matériel moderne.</w:t>
      </w:r>
    </w:p>
    <w:p w:rsidR="00AD690E" w:rsidRPr="00675326" w:rsidRDefault="00AD690E" w:rsidP="00AD690E">
      <w:pPr>
        <w:spacing w:before="120" w:after="120"/>
        <w:jc w:val="both"/>
      </w:pPr>
      <w:r w:rsidRPr="00675326">
        <w:rPr>
          <w:szCs w:val="22"/>
        </w:rPr>
        <w:t>Contrairement au livre blanc de 1971, qui prônait une vision opt</w:t>
      </w:r>
      <w:r w:rsidRPr="00675326">
        <w:rPr>
          <w:szCs w:val="22"/>
        </w:rPr>
        <w:t>i</w:t>
      </w:r>
      <w:r w:rsidRPr="00675326">
        <w:rPr>
          <w:szCs w:val="22"/>
        </w:rPr>
        <w:t xml:space="preserve">miste des relations internationales, celui de 1987 se veut « réaliste » et « a pour but de rappeler que le monde n'est pas toujours aussi </w:t>
      </w:r>
      <w:r w:rsidRPr="00675326">
        <w:rPr>
          <w:i/>
          <w:iCs/>
          <w:szCs w:val="22"/>
        </w:rPr>
        <w:t>inoffe</w:t>
      </w:r>
      <w:r w:rsidRPr="00675326">
        <w:rPr>
          <w:i/>
          <w:iCs/>
          <w:szCs w:val="22"/>
        </w:rPr>
        <w:t>n</w:t>
      </w:r>
      <w:r w:rsidRPr="00675326">
        <w:rPr>
          <w:i/>
          <w:iCs/>
          <w:szCs w:val="22"/>
        </w:rPr>
        <w:t xml:space="preserve">sif ou </w:t>
      </w:r>
      <w:r w:rsidRPr="00675326">
        <w:rPr>
          <w:szCs w:val="22"/>
        </w:rPr>
        <w:t>prévisible que nous le voudrions »</w:t>
      </w:r>
      <w:r>
        <w:rPr>
          <w:szCs w:val="22"/>
        </w:rPr>
        <w:t> </w:t>
      </w:r>
      <w:r w:rsidRPr="00963199">
        <w:rPr>
          <w:rStyle w:val="Appelnotedebasdep"/>
        </w:rPr>
        <w:footnoteReference w:id="102"/>
      </w:r>
      <w:r w:rsidRPr="00675326">
        <w:rPr>
          <w:szCs w:val="22"/>
        </w:rPr>
        <w:t>. Le potentiel militaire s</w:t>
      </w:r>
      <w:r w:rsidRPr="00675326">
        <w:rPr>
          <w:szCs w:val="22"/>
        </w:rPr>
        <w:t>o</w:t>
      </w:r>
      <w:r w:rsidRPr="00675326">
        <w:rPr>
          <w:szCs w:val="22"/>
        </w:rPr>
        <w:t>viétique est examiné en détail et constitue, selon les auteurs, la princ</w:t>
      </w:r>
      <w:r w:rsidRPr="00675326">
        <w:rPr>
          <w:szCs w:val="22"/>
        </w:rPr>
        <w:t>i</w:t>
      </w:r>
      <w:r w:rsidRPr="00675326">
        <w:rPr>
          <w:szCs w:val="22"/>
        </w:rPr>
        <w:t>pale menace qui plane sur le Canada. Le parti pris en faveur de l'a</w:t>
      </w:r>
      <w:r w:rsidRPr="00675326">
        <w:rPr>
          <w:szCs w:val="22"/>
        </w:rPr>
        <w:t>l</w:t>
      </w:r>
      <w:r w:rsidRPr="00675326">
        <w:rPr>
          <w:szCs w:val="22"/>
        </w:rPr>
        <w:t>liance occidentale est clairement affirmé, et on rejette toute forme de neutralité :</w:t>
      </w:r>
    </w:p>
    <w:p w:rsidR="00AD690E" w:rsidRDefault="00AD690E" w:rsidP="00AD690E">
      <w:pPr>
        <w:pStyle w:val="Grillecouleur-Accent1"/>
      </w:pPr>
    </w:p>
    <w:p w:rsidR="00AD690E" w:rsidRDefault="00AD690E" w:rsidP="00AD690E">
      <w:pPr>
        <w:pStyle w:val="Grillecouleur-Accent1"/>
      </w:pPr>
      <w:r w:rsidRPr="00675326">
        <w:t>La sécurité du Canada, dans le sens le plus large du terme, est indiss</w:t>
      </w:r>
      <w:r w:rsidRPr="00675326">
        <w:t>o</w:t>
      </w:r>
      <w:r w:rsidRPr="00675326">
        <w:t>ciable de celle de l'Europe... En affectant des forces armées en Europe, le Canada contribue directement à sa propre défense et, qui plus est, s'assure de pouvoir participer à la prise de décisions sur des quest</w:t>
      </w:r>
      <w:r>
        <w:t>ions clés en m</w:t>
      </w:r>
      <w:r>
        <w:t>a</w:t>
      </w:r>
      <w:r>
        <w:t>tière de sécurité </w:t>
      </w:r>
      <w:r w:rsidRPr="00963199">
        <w:rPr>
          <w:rStyle w:val="Appelnotedebasdep"/>
          <w:szCs w:val="18"/>
        </w:rPr>
        <w:footnoteReference w:id="103"/>
      </w:r>
      <w:r w:rsidRPr="00675326">
        <w:t>.</w:t>
      </w:r>
    </w:p>
    <w:p w:rsidR="00AD690E" w:rsidRPr="00675326" w:rsidRDefault="00AD690E" w:rsidP="00AD690E">
      <w:pPr>
        <w:pStyle w:val="Grillecouleur-Accent1"/>
      </w:pPr>
    </w:p>
    <w:p w:rsidR="00AD690E" w:rsidRPr="00675326" w:rsidRDefault="00AD690E" w:rsidP="00AD690E">
      <w:pPr>
        <w:spacing w:before="120" w:after="120"/>
        <w:jc w:val="both"/>
      </w:pPr>
      <w:r w:rsidRPr="00675326">
        <w:rPr>
          <w:szCs w:val="22"/>
        </w:rPr>
        <w:t>Le livre blanc affirme en outre l'importance stratégique de l'Arct</w:t>
      </w:r>
      <w:r w:rsidRPr="00675326">
        <w:rPr>
          <w:szCs w:val="22"/>
        </w:rPr>
        <w:t>i</w:t>
      </w:r>
      <w:r w:rsidRPr="00675326">
        <w:rPr>
          <w:szCs w:val="22"/>
        </w:rPr>
        <w:t>que comme zone tampon entre l</w:t>
      </w:r>
      <w:r>
        <w:rPr>
          <w:szCs w:val="22"/>
        </w:rPr>
        <w:t>’</w:t>
      </w:r>
      <w:r w:rsidRPr="00675326">
        <w:rPr>
          <w:szCs w:val="22"/>
        </w:rPr>
        <w:t>Union soviétique et l'Amérique du Nord. Parce qu'on prétend que les forces maritimes possèdent une c</w:t>
      </w:r>
      <w:r w:rsidRPr="00675326">
        <w:rPr>
          <w:szCs w:val="22"/>
        </w:rPr>
        <w:t>a</w:t>
      </w:r>
      <w:r w:rsidRPr="00675326">
        <w:rPr>
          <w:szCs w:val="22"/>
        </w:rPr>
        <w:t>pacité extrêmement limitée de</w:t>
      </w:r>
      <w:r>
        <w:rPr>
          <w:szCs w:val="22"/>
        </w:rPr>
        <w:t xml:space="preserve"> </w:t>
      </w:r>
      <w:r>
        <w:rPr>
          <w:szCs w:val="18"/>
        </w:rPr>
        <w:t>[</w:t>
      </w:r>
      <w:r w:rsidRPr="00675326">
        <w:rPr>
          <w:szCs w:val="18"/>
        </w:rPr>
        <w:t>68</w:t>
      </w:r>
      <w:r>
        <w:rPr>
          <w:szCs w:val="18"/>
        </w:rPr>
        <w:t xml:space="preserve">] </w:t>
      </w:r>
      <w:r w:rsidRPr="00675326">
        <w:rPr>
          <w:szCs w:val="22"/>
        </w:rPr>
        <w:t>mener des opérations dans les océans, et en particulier dans l'Ar</w:t>
      </w:r>
      <w:r w:rsidRPr="00675326">
        <w:rPr>
          <w:szCs w:val="22"/>
        </w:rPr>
        <w:t>c</w:t>
      </w:r>
      <w:r w:rsidRPr="00675326">
        <w:rPr>
          <w:szCs w:val="22"/>
        </w:rPr>
        <w:t>tique, on propose l'acquisition, par étapes, de sous-marins à propu</w:t>
      </w:r>
      <w:r w:rsidRPr="00675326">
        <w:rPr>
          <w:szCs w:val="22"/>
        </w:rPr>
        <w:t>l</w:t>
      </w:r>
      <w:r w:rsidRPr="00675326">
        <w:rPr>
          <w:szCs w:val="22"/>
        </w:rPr>
        <w:t>sion nucléaire (SNN). Parmi les autres mesures importantes visant à renforcer le potentiel maritime dans l'Atlantique et le Pacifique, n</w:t>
      </w:r>
      <w:r w:rsidRPr="00675326">
        <w:rPr>
          <w:szCs w:val="22"/>
        </w:rPr>
        <w:t>o</w:t>
      </w:r>
      <w:r w:rsidRPr="00675326">
        <w:rPr>
          <w:szCs w:val="22"/>
        </w:rPr>
        <w:t>tons l'achat de nouvelles frégates de patrouille, qui viendront s'ajouter aux six frégates dont la construction est en cours.</w:t>
      </w:r>
    </w:p>
    <w:p w:rsidR="00AD690E" w:rsidRPr="00675326" w:rsidRDefault="00AD690E" w:rsidP="00AD690E">
      <w:pPr>
        <w:spacing w:before="120" w:after="120"/>
        <w:jc w:val="both"/>
      </w:pPr>
      <w:r w:rsidRPr="00675326">
        <w:rPr>
          <w:szCs w:val="22"/>
        </w:rPr>
        <w:t>Le livre blanc condamne l'écart qu'il perçoit entre les engagements et les ressources. Non seulement une grande partie du matériel qu'ut</w:t>
      </w:r>
      <w:r w:rsidRPr="00675326">
        <w:rPr>
          <w:szCs w:val="22"/>
        </w:rPr>
        <w:t>i</w:t>
      </w:r>
      <w:r w:rsidRPr="00675326">
        <w:rPr>
          <w:szCs w:val="22"/>
        </w:rPr>
        <w:t>lisent les Forces canadiennes est-il désuet, mais le personnel est ne</w:t>
      </w:r>
      <w:r w:rsidRPr="00675326">
        <w:rPr>
          <w:szCs w:val="22"/>
        </w:rPr>
        <w:t>t</w:t>
      </w:r>
      <w:r w:rsidRPr="00675326">
        <w:rPr>
          <w:szCs w:val="22"/>
        </w:rPr>
        <w:t xml:space="preserve">tement insuffisant. Selon le document, c'est le niveau de financement alloué à la défense depuis un quart de siècle qui est au </w:t>
      </w:r>
      <w:r>
        <w:rPr>
          <w:szCs w:val="22"/>
        </w:rPr>
        <w:t>cœur</w:t>
      </w:r>
      <w:r w:rsidRPr="00675326">
        <w:rPr>
          <w:szCs w:val="22"/>
        </w:rPr>
        <w:t xml:space="preserve"> du pr</w:t>
      </w:r>
      <w:r w:rsidRPr="00675326">
        <w:rPr>
          <w:szCs w:val="22"/>
        </w:rPr>
        <w:t>o</w:t>
      </w:r>
      <w:r w:rsidRPr="00675326">
        <w:rPr>
          <w:szCs w:val="22"/>
        </w:rPr>
        <w:t>blème. « Au cours de cette période », peut-on lire, « on a eu tendance à réduire constamment la part du budget fédéral et celle du produit intérieur brut du Canada qui sont consacrées à la défense »</w:t>
      </w:r>
      <w:r>
        <w:rPr>
          <w:szCs w:val="22"/>
        </w:rPr>
        <w:t> </w:t>
      </w:r>
      <w:r w:rsidRPr="00963199">
        <w:rPr>
          <w:rStyle w:val="Appelnotedebasdep"/>
        </w:rPr>
        <w:footnoteReference w:id="104"/>
      </w:r>
      <w:r w:rsidRPr="00675326">
        <w:rPr>
          <w:szCs w:val="22"/>
        </w:rPr>
        <w:t>.</w:t>
      </w:r>
    </w:p>
    <w:p w:rsidR="00AD690E" w:rsidRPr="00675326" w:rsidRDefault="00AD690E" w:rsidP="00AD690E">
      <w:pPr>
        <w:spacing w:before="120" w:after="120"/>
        <w:jc w:val="both"/>
      </w:pPr>
      <w:r w:rsidRPr="00675326">
        <w:rPr>
          <w:szCs w:val="22"/>
        </w:rPr>
        <w:t xml:space="preserve">Même s'il n'a pas l'intention d'assumer une fonction nucléaire, le Canada entend participer au maintien de la dissuasion stratégique. En effet, les rôles occupés au sein de NORAD et de l'OTAN doivent contribuer à la stabilité des forces nucléaires des </w:t>
      </w:r>
      <w:r>
        <w:rPr>
          <w:szCs w:val="22"/>
        </w:rPr>
        <w:t>États-Unis </w:t>
      </w:r>
      <w:r w:rsidRPr="00963199">
        <w:rPr>
          <w:rStyle w:val="Appelnotedebasdep"/>
        </w:rPr>
        <w:footnoteReference w:id="105"/>
      </w:r>
      <w:r w:rsidRPr="00675326">
        <w:rPr>
          <w:szCs w:val="22"/>
        </w:rPr>
        <w:t>. On se propose de poursuivre le Programme de modernisation du système de défense aérienne de l'Amérique du Nord. Plusieurs nouveaux syst</w:t>
      </w:r>
      <w:r w:rsidRPr="00675326">
        <w:rPr>
          <w:szCs w:val="22"/>
        </w:rPr>
        <w:t>è</w:t>
      </w:r>
      <w:r w:rsidRPr="00675326">
        <w:rPr>
          <w:szCs w:val="22"/>
        </w:rPr>
        <w:t>mes radars seront mis en place. Afin d'accroître le potentiel de survei</w:t>
      </w:r>
      <w:r w:rsidRPr="00675326">
        <w:rPr>
          <w:szCs w:val="22"/>
        </w:rPr>
        <w:t>l</w:t>
      </w:r>
      <w:r w:rsidRPr="00675326">
        <w:rPr>
          <w:szCs w:val="22"/>
        </w:rPr>
        <w:t>lance des côtes, les forces aériennes se verront doter de nouveaux avions patrouilleurs à grand et moyen rayon d'action. On prévoit aussi qu'au cours des quinze prochaines années, aux fins d'assurer la défe</w:t>
      </w:r>
      <w:r w:rsidRPr="00675326">
        <w:rPr>
          <w:szCs w:val="22"/>
        </w:rPr>
        <w:t>n</w:t>
      </w:r>
      <w:r w:rsidRPr="00675326">
        <w:rPr>
          <w:szCs w:val="22"/>
        </w:rPr>
        <w:t>se aérienne de l'Amérique du Nord, d'importantes ressources seront consacrées à la mise en place d'un système de surveillance depuis l'e</w:t>
      </w:r>
      <w:r w:rsidRPr="00675326">
        <w:rPr>
          <w:szCs w:val="22"/>
        </w:rPr>
        <w:t>s</w:t>
      </w:r>
      <w:r w:rsidRPr="00675326">
        <w:rPr>
          <w:szCs w:val="22"/>
        </w:rPr>
        <w:t>pace.</w:t>
      </w:r>
    </w:p>
    <w:p w:rsidR="00AD690E" w:rsidRPr="00675326" w:rsidRDefault="00AD690E" w:rsidP="00AD690E">
      <w:pPr>
        <w:spacing w:before="120" w:after="120"/>
        <w:jc w:val="both"/>
      </w:pPr>
      <w:r w:rsidRPr="00675326">
        <w:rPr>
          <w:szCs w:val="22"/>
        </w:rPr>
        <w:t>Le livre blanc insiste également sur la nécessité de maintenir une défense classique crédible. Ainsi, on prétend que « plus les forces classiques sont efficaces, moins il est nécessaire de miser sur les a</w:t>
      </w:r>
      <w:r w:rsidRPr="00675326">
        <w:rPr>
          <w:szCs w:val="22"/>
        </w:rPr>
        <w:t>r</w:t>
      </w:r>
      <w:r w:rsidRPr="00675326">
        <w:rPr>
          <w:szCs w:val="22"/>
        </w:rPr>
        <w:t>mes nucléaires... Pour que soit évité un recours hâtif à ces dernières, il faut que les forces classiques en place soient en mesure de livrer des combats prolongés »</w:t>
      </w:r>
      <w:r>
        <w:rPr>
          <w:szCs w:val="22"/>
        </w:rPr>
        <w:t> </w:t>
      </w:r>
      <w:r w:rsidRPr="00963199">
        <w:rPr>
          <w:rStyle w:val="Appelnotedebasdep"/>
        </w:rPr>
        <w:footnoteReference w:id="106"/>
      </w:r>
      <w:r w:rsidRPr="00675326">
        <w:rPr>
          <w:szCs w:val="22"/>
        </w:rPr>
        <w:t>. Le Canada doit notamment disposer de fo</w:t>
      </w:r>
      <w:r w:rsidRPr="00675326">
        <w:rPr>
          <w:szCs w:val="22"/>
        </w:rPr>
        <w:t>r</w:t>
      </w:r>
      <w:r w:rsidRPr="00675326">
        <w:rPr>
          <w:szCs w:val="22"/>
        </w:rPr>
        <w:t>ces terrestres plus considérables (réunissant des membres de la force régulière et des réservistes) qui soient bien entraînées et bien équ</w:t>
      </w:r>
      <w:r w:rsidRPr="00675326">
        <w:rPr>
          <w:szCs w:val="22"/>
        </w:rPr>
        <w:t>i</w:t>
      </w:r>
      <w:r w:rsidRPr="00675326">
        <w:rPr>
          <w:szCs w:val="22"/>
        </w:rPr>
        <w:t>pées.</w:t>
      </w:r>
    </w:p>
    <w:p w:rsidR="00AD690E" w:rsidRPr="00675326" w:rsidRDefault="00AD690E" w:rsidP="00AD690E">
      <w:pPr>
        <w:spacing w:before="120" w:after="120"/>
        <w:jc w:val="both"/>
      </w:pPr>
      <w:r w:rsidRPr="00675326">
        <w:rPr>
          <w:szCs w:val="22"/>
        </w:rPr>
        <w:t>On ne peut qu'être frappé par la concordance entre l'analyse du l</w:t>
      </w:r>
      <w:r w:rsidRPr="00675326">
        <w:rPr>
          <w:szCs w:val="22"/>
        </w:rPr>
        <w:t>i</w:t>
      </w:r>
      <w:r w:rsidRPr="00675326">
        <w:rPr>
          <w:szCs w:val="22"/>
        </w:rPr>
        <w:t>vre blanc et la politique poursuivie par les Américains depuis l'arrivée à la Maison-Blanche de Ronald Reagan. Tout comme les documents gouvernementaux américains, l'énoncé de politique canadienne proje</w:t>
      </w:r>
      <w:r w:rsidRPr="00675326">
        <w:rPr>
          <w:szCs w:val="22"/>
        </w:rPr>
        <w:t>t</w:t>
      </w:r>
      <w:r w:rsidRPr="00675326">
        <w:rPr>
          <w:szCs w:val="22"/>
        </w:rPr>
        <w:t>te une vision bipolaire du monde dominé par la menace soviétique. Tout comme cela sera le cas au Pentagone jusqu'au milieu des années 1980, la sécurité internationale sera définie en fonction de la croissa</w:t>
      </w:r>
      <w:r w:rsidRPr="00675326">
        <w:rPr>
          <w:szCs w:val="22"/>
        </w:rPr>
        <w:t>n</w:t>
      </w:r>
      <w:r w:rsidRPr="00675326">
        <w:rPr>
          <w:szCs w:val="22"/>
        </w:rPr>
        <w:t>ce des dépenses militaires. La position canadienne suivra également les</w:t>
      </w:r>
      <w:r>
        <w:rPr>
          <w:szCs w:val="22"/>
        </w:rPr>
        <w:t xml:space="preserve"> </w:t>
      </w:r>
      <w:r>
        <w:t xml:space="preserve">[69] </w:t>
      </w:r>
      <w:r w:rsidRPr="00675326">
        <w:rPr>
          <w:szCs w:val="22"/>
        </w:rPr>
        <w:t xml:space="preserve">Américains sur la voie plus égoïste du </w:t>
      </w:r>
      <w:r w:rsidRPr="00675326">
        <w:rPr>
          <w:i/>
          <w:iCs/>
          <w:szCs w:val="22"/>
        </w:rPr>
        <w:t xml:space="preserve">America First, </w:t>
      </w:r>
      <w:r w:rsidRPr="00675326">
        <w:rPr>
          <w:szCs w:val="22"/>
        </w:rPr>
        <w:t>en fa</w:t>
      </w:r>
      <w:r w:rsidRPr="00675326">
        <w:rPr>
          <w:szCs w:val="22"/>
        </w:rPr>
        <w:t>i</w:t>
      </w:r>
      <w:r w:rsidRPr="00675326">
        <w:rPr>
          <w:szCs w:val="22"/>
        </w:rPr>
        <w:t>sant passer au second rang les engagements internationaux, nota</w:t>
      </w:r>
      <w:r w:rsidRPr="00675326">
        <w:rPr>
          <w:szCs w:val="22"/>
        </w:rPr>
        <w:t>m</w:t>
      </w:r>
      <w:r w:rsidRPr="00675326">
        <w:rPr>
          <w:szCs w:val="22"/>
        </w:rPr>
        <w:t>ment liés au maintien de la paix, pour mettre l'accent sur la défense du territoire continental. Souveraineté et sécurité deviendront avec le l</w:t>
      </w:r>
      <w:r w:rsidRPr="00675326">
        <w:rPr>
          <w:szCs w:val="22"/>
        </w:rPr>
        <w:t>i</w:t>
      </w:r>
      <w:r w:rsidRPr="00675326">
        <w:rPr>
          <w:szCs w:val="22"/>
        </w:rPr>
        <w:t>vre blanc les deux versants d'une même stratégie destinée à donner plus de crédibilité au gouvernement canadien face à ses revendic</w:t>
      </w:r>
      <w:r w:rsidRPr="00675326">
        <w:rPr>
          <w:szCs w:val="22"/>
        </w:rPr>
        <w:t>a</w:t>
      </w:r>
      <w:r w:rsidRPr="00675326">
        <w:rPr>
          <w:szCs w:val="22"/>
        </w:rPr>
        <w:t>tions dans ses eaux territoriales et dans le Nord. Cette attitude gênera partiellement les Américains, eux-mêmes intéressés à assumer dire</w:t>
      </w:r>
      <w:r w:rsidRPr="00675326">
        <w:rPr>
          <w:szCs w:val="22"/>
        </w:rPr>
        <w:t>c</w:t>
      </w:r>
      <w:r w:rsidRPr="00675326">
        <w:rPr>
          <w:szCs w:val="22"/>
        </w:rPr>
        <w:t>tement la défense maritime du nord du continent. Les deux gouve</w:t>
      </w:r>
      <w:r w:rsidRPr="00675326">
        <w:rPr>
          <w:szCs w:val="22"/>
        </w:rPr>
        <w:t>r</w:t>
      </w:r>
      <w:r w:rsidRPr="00675326">
        <w:rPr>
          <w:szCs w:val="22"/>
        </w:rPr>
        <w:t>nements déclar</w:t>
      </w:r>
      <w:r w:rsidRPr="00675326">
        <w:rPr>
          <w:szCs w:val="22"/>
        </w:rPr>
        <w:t>e</w:t>
      </w:r>
      <w:r w:rsidRPr="00675326">
        <w:rPr>
          <w:szCs w:val="22"/>
        </w:rPr>
        <w:t>ront néanmoins au Sommet de Québec tenu en 1985, leur ferme inte</w:t>
      </w:r>
      <w:r w:rsidRPr="00675326">
        <w:rPr>
          <w:szCs w:val="22"/>
        </w:rPr>
        <w:t>n</w:t>
      </w:r>
      <w:r w:rsidRPr="00675326">
        <w:rPr>
          <w:szCs w:val="22"/>
        </w:rPr>
        <w:t>tion d'assurer, en étroite collaboration, la sécurité du continent. Le Canada percevra plus que jamais son rôle, non plus comme celui d'un allié passif et donc dépendant, mais plutôt comme celui d'un partena</w:t>
      </w:r>
      <w:r w:rsidRPr="00675326">
        <w:rPr>
          <w:szCs w:val="22"/>
        </w:rPr>
        <w:t>i</w:t>
      </w:r>
      <w:r w:rsidRPr="00675326">
        <w:rPr>
          <w:szCs w:val="22"/>
        </w:rPr>
        <w:t>re associé.</w:t>
      </w:r>
    </w:p>
    <w:p w:rsidR="00AD690E" w:rsidRPr="00675326" w:rsidRDefault="00AD690E" w:rsidP="00AD690E">
      <w:pPr>
        <w:spacing w:before="120" w:after="120"/>
        <w:jc w:val="both"/>
      </w:pPr>
      <w:r w:rsidRPr="00675326">
        <w:rPr>
          <w:szCs w:val="22"/>
        </w:rPr>
        <w:t>Ces prétentions cadrent cependant assez mal avec la réalité des nouveaux enjeux stratégiques internationaux. L'heure est au démant</w:t>
      </w:r>
      <w:r w:rsidRPr="00675326">
        <w:rPr>
          <w:szCs w:val="22"/>
        </w:rPr>
        <w:t>è</w:t>
      </w:r>
      <w:r w:rsidRPr="00675326">
        <w:rPr>
          <w:szCs w:val="22"/>
        </w:rPr>
        <w:t>lement des missiles de théâtre et à la négociation de nouveaux accords globaux sur l'armement stratégique et conventionnel. La négociation se déroule entre les deux superpuissances et le rôle du Canada s'app</w:t>
      </w:r>
      <w:r w:rsidRPr="00675326">
        <w:rPr>
          <w:szCs w:val="22"/>
        </w:rPr>
        <w:t>a</w:t>
      </w:r>
      <w:r w:rsidRPr="00675326">
        <w:rPr>
          <w:szCs w:val="22"/>
        </w:rPr>
        <w:t>rente plus à celui d'un observateur qu'à celui d'un partenaire. L'heure est également à la guerre des étoiles (projet IDS) qui est le produit non pas d'une entente entre partenaires, mais le résultat d'une réorientation de la doctrine américaine</w:t>
      </w:r>
      <w:r>
        <w:rPr>
          <w:szCs w:val="22"/>
        </w:rPr>
        <w:t> </w:t>
      </w:r>
      <w:r w:rsidRPr="00963199">
        <w:rPr>
          <w:rStyle w:val="Appelnotedebasdep"/>
        </w:rPr>
        <w:footnoteReference w:id="107"/>
      </w:r>
      <w:r w:rsidRPr="00675326">
        <w:rPr>
          <w:szCs w:val="22"/>
        </w:rPr>
        <w:t>. Après la doctrine de la destruction m</w:t>
      </w:r>
      <w:r w:rsidRPr="00675326">
        <w:rPr>
          <w:szCs w:val="22"/>
        </w:rPr>
        <w:t>u</w:t>
      </w:r>
      <w:r w:rsidRPr="00675326">
        <w:rPr>
          <w:szCs w:val="22"/>
        </w:rPr>
        <w:t>tuelle assurée et celle de la riposte adaptée et graduée, l'administration Reagan promet maintenant l'immunité grâce à un système capable de supprimer les armes de l'adversaire avec la mise en place d'un bouclier spatial étanche capable de détruire les missiles ennemis. Le Canada a été placé devant le fait accompli et, une fois le programme amorcé, a été invité à y participer. Après maintes tergiversations, la réponse est tombée, mi-figue, mi-raisin. Le gouvernement canadien désapprouve le principe, mais accepte de collaborer indirectement à certaines r</w:t>
      </w:r>
      <w:r w:rsidRPr="00675326">
        <w:rPr>
          <w:szCs w:val="22"/>
        </w:rPr>
        <w:t>e</w:t>
      </w:r>
      <w:r w:rsidRPr="00675326">
        <w:rPr>
          <w:szCs w:val="22"/>
        </w:rPr>
        <w:t>cherches liées à l'IDS, notamment dans le but de déterminer la faisab</w:t>
      </w:r>
      <w:r w:rsidRPr="00675326">
        <w:rPr>
          <w:szCs w:val="22"/>
        </w:rPr>
        <w:t>i</w:t>
      </w:r>
      <w:r w:rsidRPr="00675326">
        <w:rPr>
          <w:szCs w:val="22"/>
        </w:rPr>
        <w:t>lité d'une défense anti-missile à base de rayons lasers ou de faisceaux de particules. Même si la fiabilité et l'efficacité de l'IDS est loin de faire l'unanimité, le Canada s'est laissé séduire par les avantages éc</w:t>
      </w:r>
      <w:r w:rsidRPr="00675326">
        <w:rPr>
          <w:szCs w:val="22"/>
        </w:rPr>
        <w:t>o</w:t>
      </w:r>
      <w:r w:rsidRPr="00675326">
        <w:rPr>
          <w:szCs w:val="22"/>
        </w:rPr>
        <w:t>nomiques et technologiques potentiels du programme. Comme l'a so</w:t>
      </w:r>
      <w:r w:rsidRPr="00675326">
        <w:rPr>
          <w:szCs w:val="22"/>
        </w:rPr>
        <w:t>u</w:t>
      </w:r>
      <w:r w:rsidRPr="00675326">
        <w:rPr>
          <w:szCs w:val="22"/>
        </w:rPr>
        <w:t>ligné Michel Fortman, Ottawa se trouvait face « à un choix entre les avantages très concrets que promet une collaboration en matière de défense avec les États-Unis à court terme, et les risques incalculables, mais éloignés, que peut nous faire courir cette même collaboration dans les années 1990 »</w:t>
      </w:r>
      <w:r>
        <w:rPr>
          <w:szCs w:val="22"/>
        </w:rPr>
        <w:t> </w:t>
      </w:r>
      <w:r w:rsidRPr="00963199">
        <w:rPr>
          <w:rStyle w:val="Appelnotedebasdep"/>
        </w:rPr>
        <w:footnoteReference w:id="108"/>
      </w:r>
      <w:r w:rsidRPr="00675326">
        <w:rPr>
          <w:szCs w:val="22"/>
        </w:rPr>
        <w:t>.</w:t>
      </w:r>
    </w:p>
    <w:p w:rsidR="00AD690E" w:rsidRPr="00675326" w:rsidRDefault="00AD690E" w:rsidP="00AD690E">
      <w:pPr>
        <w:spacing w:before="120" w:after="120"/>
        <w:jc w:val="both"/>
      </w:pPr>
      <w:r w:rsidRPr="00675326">
        <w:rPr>
          <w:szCs w:val="22"/>
        </w:rPr>
        <w:t>Il ne faut cependant pas oublier que le Pentagone demeure le ma</w:t>
      </w:r>
      <w:r w:rsidRPr="00675326">
        <w:rPr>
          <w:szCs w:val="22"/>
        </w:rPr>
        <w:t>î</w:t>
      </w:r>
      <w:r w:rsidRPr="00675326">
        <w:rPr>
          <w:szCs w:val="22"/>
        </w:rPr>
        <w:t>tre d'œuvre de l'opération et n'accorde en général que des contrats de sous</w:t>
      </w:r>
      <w:r>
        <w:rPr>
          <w:szCs w:val="22"/>
        </w:rPr>
        <w:t>-</w:t>
      </w:r>
      <w:r w:rsidRPr="00675326">
        <w:rPr>
          <w:szCs w:val="22"/>
        </w:rPr>
        <w:t>traitance aux partenaires étrangers. Cette division du travail pe</w:t>
      </w:r>
      <w:r w:rsidRPr="00675326">
        <w:rPr>
          <w:szCs w:val="22"/>
        </w:rPr>
        <w:t>r</w:t>
      </w:r>
      <w:r w:rsidRPr="00675326">
        <w:rPr>
          <w:szCs w:val="22"/>
        </w:rPr>
        <w:t>met de structurer une partie</w:t>
      </w:r>
      <w:r>
        <w:rPr>
          <w:szCs w:val="22"/>
        </w:rPr>
        <w:t xml:space="preserve"> </w:t>
      </w:r>
      <w:r>
        <w:rPr>
          <w:szCs w:val="18"/>
        </w:rPr>
        <w:t>[</w:t>
      </w:r>
      <w:r w:rsidRPr="00675326">
        <w:rPr>
          <w:szCs w:val="18"/>
        </w:rPr>
        <w:t>70</w:t>
      </w:r>
      <w:r>
        <w:rPr>
          <w:szCs w:val="18"/>
        </w:rPr>
        <w:t xml:space="preserve">] </w:t>
      </w:r>
      <w:r w:rsidRPr="00675326">
        <w:rPr>
          <w:szCs w:val="22"/>
        </w:rPr>
        <w:t>de la recherche de pointe dans les pays alliés, tout en réservant aux Américains l'accès à l'expertise dév</w:t>
      </w:r>
      <w:r w:rsidRPr="00675326">
        <w:rPr>
          <w:szCs w:val="22"/>
        </w:rPr>
        <w:t>e</w:t>
      </w:r>
      <w:r w:rsidRPr="00675326">
        <w:rPr>
          <w:szCs w:val="22"/>
        </w:rPr>
        <w:t>loppée dans certains créneaux de recherche. L'offre américaine vise également un objectif politique, dans la mesure où, une fois impliqués dans ce programme de recherche, les partenaires pourront difficil</w:t>
      </w:r>
      <w:r w:rsidRPr="00675326">
        <w:rPr>
          <w:szCs w:val="22"/>
        </w:rPr>
        <w:t>e</w:t>
      </w:r>
      <w:r w:rsidRPr="00675326">
        <w:rPr>
          <w:szCs w:val="22"/>
        </w:rPr>
        <w:t>ment s'opposer à la mise en a</w:t>
      </w:r>
      <w:r w:rsidRPr="00675326">
        <w:rPr>
          <w:szCs w:val="22"/>
        </w:rPr>
        <w:t>p</w:t>
      </w:r>
      <w:r w:rsidRPr="00675326">
        <w:rPr>
          <w:szCs w:val="22"/>
        </w:rPr>
        <w:t>plication d'un système auquel ils auront contribué.</w:t>
      </w:r>
    </w:p>
    <w:p w:rsidR="00AD690E" w:rsidRPr="00675326" w:rsidRDefault="00AD690E" w:rsidP="00AD690E">
      <w:pPr>
        <w:spacing w:before="120" w:after="120"/>
        <w:jc w:val="both"/>
      </w:pPr>
      <w:r w:rsidRPr="00675326">
        <w:rPr>
          <w:szCs w:val="22"/>
        </w:rPr>
        <w:t>Au fond, les préoccupations canadiennes n'ont donc pas changé. Les facteurs économiques constituent encore une contrainte importa</w:t>
      </w:r>
      <w:r w:rsidRPr="00675326">
        <w:rPr>
          <w:szCs w:val="22"/>
        </w:rPr>
        <w:t>n</w:t>
      </w:r>
      <w:r w:rsidRPr="00675326">
        <w:rPr>
          <w:szCs w:val="22"/>
        </w:rPr>
        <w:t>te dans l'orientation de la politique de défense. À la limite, le Canada pourrait définir sa politique de défense en fonction des priorités jugées essentielles pour promouvoir le développement économique et la cré</w:t>
      </w:r>
      <w:r w:rsidRPr="00675326">
        <w:rPr>
          <w:szCs w:val="22"/>
        </w:rPr>
        <w:t>a</w:t>
      </w:r>
      <w:r w:rsidRPr="00675326">
        <w:rPr>
          <w:szCs w:val="22"/>
        </w:rPr>
        <w:t>tion d'emplois. Il faut bien admettre que ce sont en partie les contrai</w:t>
      </w:r>
      <w:r w:rsidRPr="00675326">
        <w:rPr>
          <w:szCs w:val="22"/>
        </w:rPr>
        <w:t>n</w:t>
      </w:r>
      <w:r w:rsidRPr="00675326">
        <w:rPr>
          <w:szCs w:val="22"/>
        </w:rPr>
        <w:t>tes originant de la faible taille du marché canadien qui ont été à l'or</w:t>
      </w:r>
      <w:r w:rsidRPr="00675326">
        <w:rPr>
          <w:szCs w:val="22"/>
        </w:rPr>
        <w:t>i</w:t>
      </w:r>
      <w:r w:rsidRPr="00675326">
        <w:rPr>
          <w:szCs w:val="22"/>
        </w:rPr>
        <w:t xml:space="preserve">gine des relations particulières entre le Canada et les </w:t>
      </w:r>
      <w:r>
        <w:rPr>
          <w:szCs w:val="22"/>
        </w:rPr>
        <w:t>État</w:t>
      </w:r>
      <w:r w:rsidRPr="00675326">
        <w:rPr>
          <w:szCs w:val="22"/>
        </w:rPr>
        <w:t>s-Unis et des ententes formelles relatives à l'harmonisation de la production milita</w:t>
      </w:r>
      <w:r w:rsidRPr="00675326">
        <w:rPr>
          <w:szCs w:val="22"/>
        </w:rPr>
        <w:t>i</w:t>
      </w:r>
      <w:r w:rsidRPr="00675326">
        <w:rPr>
          <w:szCs w:val="22"/>
        </w:rPr>
        <w:t>re.</w:t>
      </w:r>
    </w:p>
    <w:p w:rsidR="00AD690E" w:rsidRPr="00675326" w:rsidRDefault="00AD690E" w:rsidP="00AD690E">
      <w:pPr>
        <w:pStyle w:val="c"/>
      </w:pPr>
      <w:r>
        <w:t>*  *  *</w:t>
      </w:r>
    </w:p>
    <w:p w:rsidR="00AD690E" w:rsidRPr="00675326" w:rsidRDefault="00AD690E" w:rsidP="00AD690E">
      <w:pPr>
        <w:spacing w:before="120" w:after="120"/>
        <w:jc w:val="both"/>
      </w:pPr>
      <w:r w:rsidRPr="00675326">
        <w:rPr>
          <w:szCs w:val="22"/>
        </w:rPr>
        <w:t>Depuis la Deuxième Guerre mondiale, la politique de défense au Canada a été marquée par une contradiction permanente entre deux objectifs : la promotion de la paix et du désarmement, et la particip</w:t>
      </w:r>
      <w:r w:rsidRPr="00675326">
        <w:rPr>
          <w:szCs w:val="22"/>
        </w:rPr>
        <w:t>a</w:t>
      </w:r>
      <w:r w:rsidRPr="00675326">
        <w:rPr>
          <w:szCs w:val="22"/>
        </w:rPr>
        <w:t>tion aux alliances militaires de l'Occident. Elle a également dû co</w:t>
      </w:r>
      <w:r w:rsidRPr="00675326">
        <w:rPr>
          <w:szCs w:val="22"/>
        </w:rPr>
        <w:t>m</w:t>
      </w:r>
      <w:r w:rsidRPr="00675326">
        <w:rPr>
          <w:szCs w:val="22"/>
        </w:rPr>
        <w:t xml:space="preserve">poser avec les impératifs de la politique stratégique américaine, ce qui n'a, somme toute, laissé qu'une marge de </w:t>
      </w:r>
      <w:r>
        <w:rPr>
          <w:szCs w:val="22"/>
        </w:rPr>
        <w:t>manœuvre</w:t>
      </w:r>
      <w:r w:rsidRPr="00675326">
        <w:rPr>
          <w:szCs w:val="22"/>
        </w:rPr>
        <w:t xml:space="preserve"> </w:t>
      </w:r>
      <w:r>
        <w:rPr>
          <w:szCs w:val="22"/>
        </w:rPr>
        <w:t>t</w:t>
      </w:r>
      <w:r w:rsidRPr="00675326">
        <w:rPr>
          <w:szCs w:val="22"/>
        </w:rPr>
        <w:t>r</w:t>
      </w:r>
      <w:r>
        <w:rPr>
          <w:szCs w:val="22"/>
        </w:rPr>
        <w:t>è</w:t>
      </w:r>
      <w:r w:rsidRPr="00675326">
        <w:rPr>
          <w:szCs w:val="22"/>
        </w:rPr>
        <w:t>s étroite au gouvernement canadien. Contrairement à son prédécesseur, qui a m</w:t>
      </w:r>
      <w:r w:rsidRPr="00675326">
        <w:rPr>
          <w:szCs w:val="22"/>
        </w:rPr>
        <w:t>a</w:t>
      </w:r>
      <w:r w:rsidRPr="00675326">
        <w:rPr>
          <w:szCs w:val="22"/>
        </w:rPr>
        <w:t>nifesté une grande conscience des possibilités politiques du Canada, le gouvernement de Pierre Trudeau a tenté de changer le cours de l'hi</w:t>
      </w:r>
      <w:r w:rsidRPr="00675326">
        <w:rPr>
          <w:szCs w:val="22"/>
        </w:rPr>
        <w:t>s</w:t>
      </w:r>
      <w:r w:rsidRPr="00675326">
        <w:rPr>
          <w:szCs w:val="22"/>
        </w:rPr>
        <w:t>toire, mais ses efforts sont demeurés sans lendemain. Ses orientations pacifistes ont vite cédé le pas aux impératifs de défense de NORAD et de l'OTAN. La crédibilité du gouvernement canadien comme prom</w:t>
      </w:r>
      <w:r w:rsidRPr="00675326">
        <w:rPr>
          <w:szCs w:val="22"/>
        </w:rPr>
        <w:t>o</w:t>
      </w:r>
      <w:r w:rsidRPr="00675326">
        <w:rPr>
          <w:szCs w:val="22"/>
        </w:rPr>
        <w:t xml:space="preserve">teur de la paix a été fortement mise en cause par toute une série de décisions, notamment celle de faire l'essai des missiles </w:t>
      </w:r>
      <w:r w:rsidRPr="00675326">
        <w:rPr>
          <w:i/>
          <w:iCs/>
          <w:szCs w:val="22"/>
        </w:rPr>
        <w:t xml:space="preserve">Cruise </w:t>
      </w:r>
      <w:r w:rsidRPr="00675326">
        <w:rPr>
          <w:szCs w:val="22"/>
        </w:rPr>
        <w:t>sur le sol canadien. C'est ce qui explique l'échec des missions de paix de Pierre Trudeau et de ses tentatives de jouer à l'arbitre entre les supe</w:t>
      </w:r>
      <w:r w:rsidRPr="00675326">
        <w:rPr>
          <w:szCs w:val="22"/>
        </w:rPr>
        <w:t>r</w:t>
      </w:r>
      <w:r w:rsidRPr="00675326">
        <w:rPr>
          <w:szCs w:val="22"/>
        </w:rPr>
        <w:t>puissances.</w:t>
      </w:r>
    </w:p>
    <w:p w:rsidR="00AD690E" w:rsidRPr="00675326" w:rsidRDefault="00AD690E" w:rsidP="00AD690E">
      <w:pPr>
        <w:spacing w:before="120" w:after="120"/>
        <w:jc w:val="both"/>
      </w:pPr>
      <w:r w:rsidRPr="00675326">
        <w:rPr>
          <w:szCs w:val="22"/>
        </w:rPr>
        <w:t>L'élection de Ronald Reagan à la présidence des États-Unis en 1980 a sonné la fin de la récréation en définissant une orientation plus militariste à la politique nord-américaine. L'administration Reagan tolérant mal les écarts de conduite de la part des pays alliés, le Canada a choisi de rentrer dans le rang et de reprendre les investissements m</w:t>
      </w:r>
      <w:r w:rsidRPr="00675326">
        <w:rPr>
          <w:szCs w:val="22"/>
        </w:rPr>
        <w:t>i</w:t>
      </w:r>
      <w:r w:rsidRPr="00675326">
        <w:rPr>
          <w:szCs w:val="22"/>
        </w:rPr>
        <w:t>litaires.</w:t>
      </w:r>
    </w:p>
    <w:p w:rsidR="00AD690E" w:rsidRDefault="00AD690E" w:rsidP="00AD690E">
      <w:pPr>
        <w:pStyle w:val="p"/>
      </w:pPr>
      <w:r w:rsidRPr="00675326">
        <w:br w:type="page"/>
      </w:r>
      <w:r>
        <w:t>[71]</w:t>
      </w:r>
    </w:p>
    <w:p w:rsidR="00AD690E" w:rsidRDefault="00AD690E" w:rsidP="00AD690E">
      <w:pPr>
        <w:jc w:val="both"/>
      </w:pPr>
    </w:p>
    <w:p w:rsidR="00AD690E"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8" w:name="ere_Liberaux_pt1_texte_04"/>
      <w:r w:rsidRPr="003634E0">
        <w:rPr>
          <w:b/>
          <w:color w:val="000080"/>
          <w:sz w:val="24"/>
        </w:rPr>
        <w:t>PREMIÈRE PARTIE</w:t>
      </w:r>
      <w:r w:rsidRPr="003634E0">
        <w:rPr>
          <w:b/>
          <w:color w:val="000080"/>
          <w:sz w:val="24"/>
        </w:rPr>
        <w:br/>
        <w:t>QUESTIONS POLITIQUES</w:t>
      </w:r>
    </w:p>
    <w:p w:rsidR="00AD690E" w:rsidRPr="00E07116" w:rsidRDefault="00AD690E" w:rsidP="00AD690E">
      <w:pPr>
        <w:jc w:val="both"/>
        <w:rPr>
          <w:szCs w:val="36"/>
        </w:rPr>
      </w:pPr>
    </w:p>
    <w:p w:rsidR="00AD690E" w:rsidRPr="00E07116" w:rsidRDefault="00AD690E" w:rsidP="00AD690E">
      <w:pPr>
        <w:pStyle w:val="planchest"/>
      </w:pPr>
      <w:r>
        <w:t>“Une réforme constitutionnelle</w:t>
      </w:r>
      <w:r>
        <w:br/>
        <w:t>qui s’impose...”</w:t>
      </w:r>
      <w:bookmarkEnd w:id="8"/>
    </w:p>
    <w:p w:rsidR="00AD690E" w:rsidRDefault="00AD690E" w:rsidP="00AD690E">
      <w:pPr>
        <w:jc w:val="both"/>
      </w:pPr>
    </w:p>
    <w:p w:rsidR="00AD690E" w:rsidRDefault="00AD690E" w:rsidP="00AD690E">
      <w:pPr>
        <w:jc w:val="both"/>
      </w:pPr>
    </w:p>
    <w:p w:rsidR="00AD690E" w:rsidRDefault="00AD690E" w:rsidP="00AD690E">
      <w:pPr>
        <w:ind w:firstLine="0"/>
        <w:jc w:val="center"/>
      </w:pPr>
      <w:r>
        <w:t>par</w:t>
      </w:r>
    </w:p>
    <w:tbl>
      <w:tblPr>
        <w:tblW w:w="0" w:type="auto"/>
        <w:tblLook w:val="00BF" w:firstRow="1" w:lastRow="0" w:firstColumn="1" w:lastColumn="0" w:noHBand="0" w:noVBand="0"/>
      </w:tblPr>
      <w:tblGrid>
        <w:gridCol w:w="4030"/>
        <w:gridCol w:w="4030"/>
      </w:tblGrid>
      <w:tr w:rsidR="00AD690E">
        <w:tc>
          <w:tcPr>
            <w:tcW w:w="4030" w:type="dxa"/>
          </w:tcPr>
          <w:p w:rsidR="00AD690E" w:rsidRPr="00E07116" w:rsidRDefault="00AD690E" w:rsidP="00AD690E">
            <w:pPr>
              <w:pStyle w:val="suite"/>
            </w:pPr>
            <w:r>
              <w:t>Gérard BOISMENU</w:t>
            </w:r>
          </w:p>
          <w:p w:rsidR="00AD690E" w:rsidRDefault="00AD690E" w:rsidP="00AD690E">
            <w:pPr>
              <w:spacing w:before="120"/>
              <w:ind w:firstLine="0"/>
              <w:jc w:val="center"/>
            </w:pPr>
            <w:r w:rsidRPr="00AD690E">
              <w:rPr>
                <w:sz w:val="24"/>
                <w:szCs w:val="22"/>
              </w:rPr>
              <w:t>Département de science politique</w:t>
            </w:r>
            <w:r w:rsidRPr="00AD690E">
              <w:rPr>
                <w:sz w:val="24"/>
                <w:szCs w:val="22"/>
              </w:rPr>
              <w:br/>
              <w:t>Un</w:t>
            </w:r>
            <w:r w:rsidRPr="00AD690E">
              <w:rPr>
                <w:sz w:val="24"/>
                <w:szCs w:val="22"/>
              </w:rPr>
              <w:t>i</w:t>
            </w:r>
            <w:r w:rsidRPr="00AD690E">
              <w:rPr>
                <w:sz w:val="24"/>
                <w:szCs w:val="22"/>
              </w:rPr>
              <w:t>versité de Montréal</w:t>
            </w:r>
          </w:p>
        </w:tc>
        <w:tc>
          <w:tcPr>
            <w:tcW w:w="4030" w:type="dxa"/>
          </w:tcPr>
          <w:p w:rsidR="00AD690E" w:rsidRPr="00E07116" w:rsidRDefault="00AD690E" w:rsidP="00AD690E">
            <w:pPr>
              <w:pStyle w:val="suite"/>
            </w:pPr>
            <w:r>
              <w:t>François ROCHER</w:t>
            </w:r>
          </w:p>
          <w:p w:rsidR="00AD690E" w:rsidRDefault="00AD690E" w:rsidP="00AD690E">
            <w:pPr>
              <w:spacing w:before="120"/>
              <w:ind w:firstLine="0"/>
              <w:jc w:val="center"/>
            </w:pPr>
            <w:r w:rsidRPr="00AD690E">
              <w:rPr>
                <w:sz w:val="24"/>
                <w:szCs w:val="22"/>
              </w:rPr>
              <w:t>Département de science politique</w:t>
            </w:r>
            <w:r w:rsidRPr="00AD690E">
              <w:rPr>
                <w:sz w:val="24"/>
                <w:szCs w:val="22"/>
              </w:rPr>
              <w:br/>
              <w:t>Un</w:t>
            </w:r>
            <w:r w:rsidRPr="00AD690E">
              <w:rPr>
                <w:sz w:val="24"/>
                <w:szCs w:val="22"/>
              </w:rPr>
              <w:t>i</w:t>
            </w:r>
            <w:r w:rsidRPr="00AD690E">
              <w:rPr>
                <w:sz w:val="24"/>
                <w:szCs w:val="22"/>
              </w:rPr>
              <w:t>versité d’Ottawa</w:t>
            </w:r>
          </w:p>
        </w:tc>
      </w:tr>
    </w:tbl>
    <w:p w:rsidR="00AD690E" w:rsidRDefault="00AD690E" w:rsidP="00AD690E">
      <w:pPr>
        <w:jc w:val="both"/>
      </w:pPr>
    </w:p>
    <w:p w:rsidR="00AD690E"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675326" w:rsidRDefault="00AD690E" w:rsidP="00AD690E">
      <w:pPr>
        <w:spacing w:before="120" w:after="120"/>
        <w:jc w:val="both"/>
      </w:pPr>
      <w:r>
        <w:rPr>
          <w:szCs w:val="22"/>
        </w:rPr>
        <w:t>À</w:t>
      </w:r>
      <w:r w:rsidRPr="00675326">
        <w:rPr>
          <w:szCs w:val="22"/>
        </w:rPr>
        <w:t xml:space="preserve"> la surface des choses, les débats constitutionnels traitent des aménagements institutionnels dont on n'arrive pas toujours à reconna</w:t>
      </w:r>
      <w:r w:rsidRPr="00675326">
        <w:rPr>
          <w:szCs w:val="22"/>
        </w:rPr>
        <w:t>î</w:t>
      </w:r>
      <w:r w:rsidRPr="00675326">
        <w:rPr>
          <w:szCs w:val="22"/>
        </w:rPr>
        <w:t>tre l'intérêt. On pourrait y voir, en effet, le désaccord entre vues r</w:t>
      </w:r>
      <w:r w:rsidRPr="00675326">
        <w:rPr>
          <w:szCs w:val="22"/>
        </w:rPr>
        <w:t>a</w:t>
      </w:r>
      <w:r w:rsidRPr="00675326">
        <w:rPr>
          <w:szCs w:val="22"/>
        </w:rPr>
        <w:t>tionnelles de constructeurs d'État. C'est là pourtant une conception sommaire.</w:t>
      </w:r>
    </w:p>
    <w:p w:rsidR="00AD690E" w:rsidRPr="00675326" w:rsidRDefault="00AD690E" w:rsidP="00AD690E">
      <w:pPr>
        <w:spacing w:before="120" w:after="120"/>
        <w:jc w:val="both"/>
      </w:pPr>
      <w:r w:rsidRPr="00675326">
        <w:rPr>
          <w:szCs w:val="22"/>
        </w:rPr>
        <w:t>Les divergences entre gouvernements, allant jusqu'à la crise const</w:t>
      </w:r>
      <w:r w:rsidRPr="00675326">
        <w:rPr>
          <w:szCs w:val="22"/>
        </w:rPr>
        <w:t>i</w:t>
      </w:r>
      <w:r w:rsidRPr="00675326">
        <w:rPr>
          <w:szCs w:val="22"/>
        </w:rPr>
        <w:t>tutionnelle, expriment les combinaisons particulières des rapports multidimensionnels dans les divers espaces sociaux, les conditions d'exercice du pouvoir selon les niveaux de l'État et les oppositions au sein même de la bourgeoisie, concernant le mode d'organisation des rapports de pouvoir à travers l</w:t>
      </w:r>
      <w:r>
        <w:rPr>
          <w:szCs w:val="22"/>
        </w:rPr>
        <w:t>’État</w:t>
      </w:r>
      <w:r w:rsidRPr="00675326">
        <w:rPr>
          <w:szCs w:val="22"/>
        </w:rPr>
        <w:t>. Les médiations politiques et idé</w:t>
      </w:r>
      <w:r w:rsidRPr="00675326">
        <w:rPr>
          <w:szCs w:val="22"/>
        </w:rPr>
        <w:t>o</w:t>
      </w:r>
      <w:r w:rsidRPr="00675326">
        <w:rPr>
          <w:szCs w:val="22"/>
        </w:rPr>
        <w:t>logiques sont particulièrement riches et ont tendance à se mouler dans une histoire et une tradition particulière à chacune des scènes polit</w:t>
      </w:r>
      <w:r w:rsidRPr="00675326">
        <w:rPr>
          <w:szCs w:val="22"/>
        </w:rPr>
        <w:t>i</w:t>
      </w:r>
      <w:r w:rsidRPr="00675326">
        <w:rPr>
          <w:szCs w:val="22"/>
        </w:rPr>
        <w:t>ques</w:t>
      </w:r>
      <w:r>
        <w:rPr>
          <w:szCs w:val="22"/>
        </w:rPr>
        <w:t> </w:t>
      </w:r>
      <w:r w:rsidRPr="00963199">
        <w:rPr>
          <w:rStyle w:val="Appelnotedebasdep"/>
        </w:rPr>
        <w:footnoteReference w:id="109"/>
      </w:r>
      <w:r w:rsidRPr="00675326">
        <w:rPr>
          <w:szCs w:val="22"/>
        </w:rPr>
        <w:t>. Si la question constitutionnelle est enchevêtrée au magma des forces sociales et politiques et plonge ses racines jusqu'aux cond</w:t>
      </w:r>
      <w:r w:rsidRPr="00675326">
        <w:rPr>
          <w:szCs w:val="22"/>
        </w:rPr>
        <w:t>i</w:t>
      </w:r>
      <w:r w:rsidRPr="00675326">
        <w:rPr>
          <w:szCs w:val="22"/>
        </w:rPr>
        <w:t>tions durables de développement des classes, c'est qu'elle a pour enjeu fondamental la</w:t>
      </w:r>
      <w:r>
        <w:rPr>
          <w:szCs w:val="22"/>
        </w:rPr>
        <w:t xml:space="preserve"> </w:t>
      </w:r>
      <w:r>
        <w:t>[</w:t>
      </w:r>
      <w:r w:rsidRPr="00675326">
        <w:rPr>
          <w:szCs w:val="18"/>
        </w:rPr>
        <w:t>72</w:t>
      </w:r>
      <w:r>
        <w:rPr>
          <w:szCs w:val="18"/>
        </w:rPr>
        <w:t xml:space="preserve">] </w:t>
      </w:r>
      <w:r w:rsidRPr="00675326">
        <w:rPr>
          <w:szCs w:val="22"/>
        </w:rPr>
        <w:t>capacité respective d'intervention du niveau ce</w:t>
      </w:r>
      <w:r w:rsidRPr="00675326">
        <w:rPr>
          <w:szCs w:val="22"/>
        </w:rPr>
        <w:t>n</w:t>
      </w:r>
      <w:r w:rsidRPr="00675326">
        <w:rPr>
          <w:szCs w:val="22"/>
        </w:rPr>
        <w:t>tral et du niveau provincial de l'État dans la concrétisation des ra</w:t>
      </w:r>
      <w:r w:rsidRPr="00675326">
        <w:rPr>
          <w:szCs w:val="22"/>
        </w:rPr>
        <w:t>p</w:t>
      </w:r>
      <w:r w:rsidRPr="00675326">
        <w:rPr>
          <w:szCs w:val="22"/>
        </w:rPr>
        <w:t>ports de pouvoir.</w:t>
      </w:r>
    </w:p>
    <w:p w:rsidR="00AD690E" w:rsidRPr="00675326" w:rsidRDefault="00AD690E" w:rsidP="00AD690E">
      <w:pPr>
        <w:spacing w:before="120" w:after="120"/>
        <w:jc w:val="both"/>
      </w:pPr>
      <w:r w:rsidRPr="00675326">
        <w:rPr>
          <w:szCs w:val="22"/>
        </w:rPr>
        <w:t>Les discussions constitutionnelles posent d'emblée le problème de la définition des lieux d'exercice du pouvoir au sein d'un État qui co</w:t>
      </w:r>
      <w:r w:rsidRPr="00675326">
        <w:rPr>
          <w:szCs w:val="22"/>
        </w:rPr>
        <w:t>u</w:t>
      </w:r>
      <w:r w:rsidRPr="00675326">
        <w:rPr>
          <w:szCs w:val="22"/>
        </w:rPr>
        <w:t>vre un espace social à la configuration fortement différenciée et qui est animé d'une dynamique conflictuelle</w:t>
      </w:r>
      <w:r>
        <w:rPr>
          <w:szCs w:val="22"/>
          <w:vertAlign w:val="superscript"/>
        </w:rPr>
        <w:t> </w:t>
      </w:r>
      <w:r w:rsidRPr="00963199">
        <w:rPr>
          <w:rStyle w:val="Appelnotedebasdep"/>
        </w:rPr>
        <w:footnoteReference w:id="110"/>
      </w:r>
      <w:r w:rsidRPr="00675326">
        <w:rPr>
          <w:szCs w:val="22"/>
        </w:rPr>
        <w:t>. Les oppositions qu'e</w:t>
      </w:r>
      <w:r w:rsidRPr="00675326">
        <w:rPr>
          <w:szCs w:val="22"/>
        </w:rPr>
        <w:t>x</w:t>
      </w:r>
      <w:r w:rsidRPr="00675326">
        <w:rPr>
          <w:szCs w:val="22"/>
        </w:rPr>
        <w:t>priment les gouvernements fédéral et provinciaux se cristallisent sous les figures de la question nationale et de la question régionale. Ces que</w:t>
      </w:r>
      <w:r w:rsidRPr="00675326">
        <w:rPr>
          <w:szCs w:val="22"/>
        </w:rPr>
        <w:t>s</w:t>
      </w:r>
      <w:r w:rsidRPr="00675326">
        <w:rPr>
          <w:szCs w:val="22"/>
        </w:rPr>
        <w:t>tions n'ont pas, à travers l'histoire, la même « prégnance » dans les relations inte</w:t>
      </w:r>
      <w:r>
        <w:rPr>
          <w:szCs w:val="22"/>
        </w:rPr>
        <w:t>rgouvern</w:t>
      </w:r>
      <w:r w:rsidRPr="00675326">
        <w:rPr>
          <w:szCs w:val="22"/>
        </w:rPr>
        <w:t>ementales et le débat constitutionnel, et ne se posent pas dans des termes équivalents.</w:t>
      </w:r>
    </w:p>
    <w:p w:rsidR="00AD690E" w:rsidRPr="00675326" w:rsidRDefault="00AD690E" w:rsidP="00AD690E">
      <w:pPr>
        <w:spacing w:before="120" w:after="120"/>
        <w:jc w:val="both"/>
      </w:pPr>
      <w:r w:rsidRPr="00675326">
        <w:rPr>
          <w:szCs w:val="22"/>
        </w:rPr>
        <w:t>La désignation d'un substrat social touffu aux débats constitutio</w:t>
      </w:r>
      <w:r w:rsidRPr="00675326">
        <w:rPr>
          <w:szCs w:val="22"/>
        </w:rPr>
        <w:t>n</w:t>
      </w:r>
      <w:r w:rsidRPr="00675326">
        <w:rPr>
          <w:szCs w:val="22"/>
        </w:rPr>
        <w:t>nels ne doit pas conduire à faire l'économie d'une connaissance sati</w:t>
      </w:r>
      <w:r w:rsidRPr="00675326">
        <w:rPr>
          <w:szCs w:val="22"/>
        </w:rPr>
        <w:t>s</w:t>
      </w:r>
      <w:r w:rsidRPr="00675326">
        <w:rPr>
          <w:szCs w:val="22"/>
        </w:rPr>
        <w:t>faisante de l'évolution des démarches ponctuant l'exercice menant à la réorganisation de l'État fédératif canadien et, pour les fins de la pr</w:t>
      </w:r>
      <w:r w:rsidRPr="00675326">
        <w:rPr>
          <w:szCs w:val="22"/>
        </w:rPr>
        <w:t>é</w:t>
      </w:r>
      <w:r w:rsidRPr="00675326">
        <w:rPr>
          <w:szCs w:val="22"/>
        </w:rPr>
        <w:t>sente étude, à la facture concrète des menées du gouvernement fédéral en la matière. Ce qui retiendra notre attention, c'est la marche du débat constitutionnel sous la conduite du gouvernement libéral à Ottawa. Bien qu'accordant la priorité à l'étude de la rhétorique fédérale, à son cheminement et à ses visées stratégiques, il sera possible, à travers l'évolution du dossier constitutionnel, de cerner les déplacements concernant l'objet des discussions, le traitement de la question nati</w:t>
      </w:r>
      <w:r w:rsidRPr="00675326">
        <w:rPr>
          <w:szCs w:val="22"/>
        </w:rPr>
        <w:t>o</w:t>
      </w:r>
      <w:r w:rsidRPr="00675326">
        <w:rPr>
          <w:szCs w:val="22"/>
        </w:rPr>
        <w:t>nale au Canada et la dynamique contradictoire fédérale-provinciale.</w:t>
      </w:r>
    </w:p>
    <w:p w:rsidR="00AD690E" w:rsidRDefault="00AD690E" w:rsidP="00AD690E">
      <w:pPr>
        <w:spacing w:before="120" w:after="120"/>
        <w:jc w:val="both"/>
        <w:rPr>
          <w:szCs w:val="22"/>
        </w:rPr>
      </w:pPr>
      <w:r>
        <w:rPr>
          <w:szCs w:val="22"/>
        </w:rPr>
        <w:br w:type="page"/>
      </w:r>
    </w:p>
    <w:p w:rsidR="00AD690E" w:rsidRPr="00675326" w:rsidRDefault="00AD690E" w:rsidP="00AD690E">
      <w:pPr>
        <w:pStyle w:val="planche"/>
      </w:pPr>
      <w:r>
        <w:t>LES ANTÉCÉ</w:t>
      </w:r>
      <w:r w:rsidRPr="00675326">
        <w:t>DENTS</w:t>
      </w:r>
    </w:p>
    <w:p w:rsidR="00AD690E" w:rsidRDefault="00AD690E" w:rsidP="00AD690E">
      <w:pPr>
        <w:spacing w:before="120" w:after="120"/>
        <w:jc w:val="both"/>
        <w:rPr>
          <w:szCs w:val="22"/>
        </w:rPr>
      </w:pPr>
    </w:p>
    <w:p w:rsidR="00AD690E" w:rsidRDefault="00AD690E" w:rsidP="00AD690E">
      <w:pPr>
        <w:spacing w:before="120" w:after="120"/>
        <w:jc w:val="both"/>
        <w:rPr>
          <w:szCs w:val="22"/>
        </w:rPr>
      </w:pPr>
      <w:r w:rsidRPr="00675326">
        <w:rPr>
          <w:szCs w:val="22"/>
        </w:rPr>
        <w:t>Lorsque les libéraux arrivent à la tête du gouvernement fédéral en 1963, la question constitutionnelle est déjà posée et vient de connaître une impasse. On sait qu'au cours de l'après-guerre, la répartition de l'assiette fiscale est au coeur des différends intergouvernementaux</w:t>
      </w:r>
      <w:r>
        <w:rPr>
          <w:szCs w:val="22"/>
          <w:vertAlign w:val="superscript"/>
        </w:rPr>
        <w:t> </w:t>
      </w:r>
      <w:r w:rsidRPr="00963199">
        <w:rPr>
          <w:rStyle w:val="Appelnotedebasdep"/>
        </w:rPr>
        <w:footnoteReference w:id="111"/>
      </w:r>
      <w:r w:rsidRPr="00675326">
        <w:rPr>
          <w:szCs w:val="22"/>
        </w:rPr>
        <w:t xml:space="preserve"> et que des tensions ont accompagné les mesures fédérales visant l'a</w:t>
      </w:r>
      <w:r w:rsidRPr="00675326">
        <w:rPr>
          <w:szCs w:val="22"/>
        </w:rPr>
        <w:t>s</w:t>
      </w:r>
      <w:r w:rsidRPr="00675326">
        <w:rPr>
          <w:szCs w:val="22"/>
        </w:rPr>
        <w:t>surance-hospitalisation et le financement de l'enseignement supérieur. Mais, abstraction faite de ce contentieux précis, c'est le Parti libéral du Québec, dès le début des années 1960, qui insistera sur la nécessité d'une réforme constitutionnelle au Canada.</w:t>
      </w:r>
    </w:p>
    <w:p w:rsidR="00AD690E" w:rsidRDefault="00AD690E" w:rsidP="00AD690E">
      <w:pPr>
        <w:spacing w:before="120" w:after="120"/>
        <w:jc w:val="both"/>
      </w:pPr>
      <w:r>
        <w:t>[73]</w:t>
      </w:r>
    </w:p>
    <w:p w:rsidR="00AD690E" w:rsidRPr="00675326" w:rsidRDefault="00AD690E" w:rsidP="00AD690E">
      <w:pPr>
        <w:spacing w:before="120" w:after="120"/>
        <w:jc w:val="both"/>
      </w:pPr>
      <w:r w:rsidRPr="00675326">
        <w:rPr>
          <w:szCs w:val="22"/>
        </w:rPr>
        <w:t>Élu depuis à peine un mois, Jean Lesage profite de la conférence fédérale-provinciale de juillet 1960 pour convier ses vis-à-vis à un réaménagement du fédéralisme canadien</w:t>
      </w:r>
      <w:r>
        <w:rPr>
          <w:szCs w:val="22"/>
          <w:vertAlign w:val="superscript"/>
        </w:rPr>
        <w:t> </w:t>
      </w:r>
      <w:r w:rsidRPr="00963199">
        <w:rPr>
          <w:rStyle w:val="Appelnotedebasdep"/>
        </w:rPr>
        <w:footnoteReference w:id="112"/>
      </w:r>
      <w:r w:rsidRPr="00675326">
        <w:rPr>
          <w:szCs w:val="22"/>
        </w:rPr>
        <w:t>.</w:t>
      </w:r>
    </w:p>
    <w:p w:rsidR="00AD690E" w:rsidRPr="00675326" w:rsidRDefault="00AD690E" w:rsidP="00AD690E">
      <w:pPr>
        <w:spacing w:before="120" w:after="120"/>
        <w:jc w:val="both"/>
      </w:pPr>
      <w:r w:rsidRPr="00675326">
        <w:rPr>
          <w:szCs w:val="22"/>
        </w:rPr>
        <w:t>D'abord, il s'agit de reconnaître dans les faits la « souveraineté » des gouvernements provinciaux dans le cadre de leurs compétences ; cela signifie que les gouvernements provinciaux auraient accès à des revenus suffisants pour les responsabilités qui leur incombent et, par ailleurs, que le gouvernement fédéral limiterait ses ambitions aux champs de sa juridiction et, notamment, cesserait ses interventions abusives par le biais des programmes à frais partagés.</w:t>
      </w:r>
    </w:p>
    <w:p w:rsidR="00AD690E" w:rsidRPr="00675326" w:rsidRDefault="00AD690E" w:rsidP="00AD690E">
      <w:pPr>
        <w:spacing w:before="120" w:after="120"/>
        <w:jc w:val="both"/>
      </w:pPr>
      <w:r w:rsidRPr="00675326">
        <w:rPr>
          <w:szCs w:val="22"/>
        </w:rPr>
        <w:t>Ensuite, et ce sont là les éléments de modifications constitutionne</w:t>
      </w:r>
      <w:r w:rsidRPr="00675326">
        <w:rPr>
          <w:szCs w:val="22"/>
        </w:rPr>
        <w:t>l</w:t>
      </w:r>
      <w:r w:rsidRPr="00675326">
        <w:rPr>
          <w:szCs w:val="22"/>
        </w:rPr>
        <w:t>les, il y aurait lieu d'engager des discussions portant sur le rapatri</w:t>
      </w:r>
      <w:r w:rsidRPr="00675326">
        <w:rPr>
          <w:szCs w:val="22"/>
        </w:rPr>
        <w:t>e</w:t>
      </w:r>
      <w:r w:rsidRPr="00675326">
        <w:rPr>
          <w:szCs w:val="22"/>
        </w:rPr>
        <w:t xml:space="preserve">ment de la Constitution et la formule d'amendement, la création d'un tribunal constitutionnel relevant des deux niveaux de gouvernement et sur une </w:t>
      </w:r>
      <w:r w:rsidRPr="00675326">
        <w:rPr>
          <w:i/>
          <w:iCs/>
          <w:szCs w:val="22"/>
        </w:rPr>
        <w:t>Déclaration des droits fondamentaux de l'homme</w:t>
      </w:r>
      <w:r>
        <w:rPr>
          <w:iCs/>
          <w:szCs w:val="22"/>
        </w:rPr>
        <w:t> </w:t>
      </w:r>
      <w:r w:rsidRPr="00963199">
        <w:rPr>
          <w:rStyle w:val="Appelnotedebasdep"/>
          <w:i/>
          <w:iCs/>
        </w:rPr>
        <w:footnoteReference w:id="113"/>
      </w:r>
      <w:r w:rsidRPr="00675326">
        <w:rPr>
          <w:i/>
          <w:iCs/>
          <w:szCs w:val="22"/>
        </w:rPr>
        <w:t>.</w:t>
      </w:r>
    </w:p>
    <w:p w:rsidR="00AD690E" w:rsidRPr="00675326" w:rsidRDefault="00AD690E" w:rsidP="00AD690E">
      <w:pPr>
        <w:spacing w:before="120" w:after="120"/>
        <w:jc w:val="both"/>
      </w:pPr>
      <w:r w:rsidRPr="00675326">
        <w:rPr>
          <w:szCs w:val="22"/>
        </w:rPr>
        <w:t>Ces modifications touchent essentiellement certaines institutions de la fédération et non directement le partage des compétences entre niveaux de gouvernement ; d'ailleurs, en ce début de « Révolution tranquille », le mot d'ordre de Jean Lesage est d'exercer pleinement la « souveraineté » provinciale du Québec. Deux ans plus tard, il form</w:t>
      </w:r>
      <w:r w:rsidRPr="00675326">
        <w:rPr>
          <w:szCs w:val="22"/>
        </w:rPr>
        <w:t>u</w:t>
      </w:r>
      <w:r w:rsidRPr="00675326">
        <w:rPr>
          <w:szCs w:val="22"/>
        </w:rPr>
        <w:t>lera cependant la question en termes renouvelés : « La réponse qui sera donnée à cette question de la place du Québec au sein de la Confédération rejoint le problème de la survivance des Canadiens français comme groupe ethnique... Un grand nombre de Québécois sont inquiets, justement inquiets, des orientations prises par le système fédéral canadien »</w:t>
      </w:r>
      <w:r>
        <w:rPr>
          <w:szCs w:val="22"/>
        </w:rPr>
        <w:t> </w:t>
      </w:r>
      <w:r w:rsidRPr="00963199">
        <w:rPr>
          <w:rStyle w:val="Appelnotedebasdep"/>
        </w:rPr>
        <w:footnoteReference w:id="114"/>
      </w:r>
      <w:r w:rsidRPr="00675326">
        <w:rPr>
          <w:szCs w:val="22"/>
        </w:rPr>
        <w:t>. De là, il conclut à la nécessité de revoir le pa</w:t>
      </w:r>
      <w:r w:rsidRPr="00675326">
        <w:rPr>
          <w:szCs w:val="22"/>
        </w:rPr>
        <w:t>r</w:t>
      </w:r>
      <w:r w:rsidRPr="00675326">
        <w:rPr>
          <w:szCs w:val="22"/>
        </w:rPr>
        <w:t>tage des compétences et d'examiner les rapports entre les deux « groupes ethniques » qui forment le Canada.</w:t>
      </w:r>
    </w:p>
    <w:p w:rsidR="00AD690E" w:rsidRPr="00675326" w:rsidRDefault="00AD690E" w:rsidP="00AD690E">
      <w:pPr>
        <w:spacing w:before="120" w:after="120"/>
        <w:jc w:val="both"/>
      </w:pPr>
      <w:r w:rsidRPr="00675326">
        <w:rPr>
          <w:szCs w:val="22"/>
        </w:rPr>
        <w:t>Entre temps, les premières propositions québécoises ont trouvé un écho ; le gouvernement Diefenbaker, par l'entremise de son ministre de la Justice, entame des négociations à propos du rapatriement de la Constitution et d'une formule d'amendement. En 1961, la formule d'amendement, connue sous le nom de « formule Fulton », prévoit le consentement unanime des provinces pour toute modification to</w:t>
      </w:r>
      <w:r w:rsidRPr="00675326">
        <w:rPr>
          <w:szCs w:val="22"/>
        </w:rPr>
        <w:t>u</w:t>
      </w:r>
      <w:r w:rsidRPr="00675326">
        <w:rPr>
          <w:szCs w:val="22"/>
        </w:rPr>
        <w:t>chant leurs compétences. La Saskatchewan s'oppose, tr</w:t>
      </w:r>
      <w:r>
        <w:rPr>
          <w:szCs w:val="22"/>
        </w:rPr>
        <w:t>ouvant la m</w:t>
      </w:r>
      <w:r>
        <w:rPr>
          <w:szCs w:val="22"/>
        </w:rPr>
        <w:t>o</w:t>
      </w:r>
      <w:r>
        <w:rPr>
          <w:szCs w:val="22"/>
        </w:rPr>
        <w:t>dalité trop contrai</w:t>
      </w:r>
      <w:r w:rsidRPr="00675326">
        <w:rPr>
          <w:szCs w:val="22"/>
        </w:rPr>
        <w:t>gnante ; le Québec fait de même, mais plutôt parce que le gouvernement fédéral ne restreint pas son propre pouvoir de modification qu'il a obtenu en 1949</w:t>
      </w:r>
      <w:r>
        <w:rPr>
          <w:szCs w:val="22"/>
        </w:rPr>
        <w:t> </w:t>
      </w:r>
      <w:r w:rsidRPr="00963199">
        <w:rPr>
          <w:rStyle w:val="Appelnotedebasdep"/>
        </w:rPr>
        <w:footnoteReference w:id="115"/>
      </w:r>
      <w:r w:rsidRPr="00675326">
        <w:rPr>
          <w:szCs w:val="22"/>
        </w:rPr>
        <w:t>. Face à ces refus, la formule Fulton a vécu.</w:t>
      </w:r>
    </w:p>
    <w:p w:rsidR="00AD690E" w:rsidRDefault="00AD690E" w:rsidP="00AD690E">
      <w:pPr>
        <w:spacing w:before="120" w:after="120"/>
        <w:jc w:val="both"/>
        <w:rPr>
          <w:szCs w:val="18"/>
        </w:rPr>
      </w:pPr>
      <w:r>
        <w:rPr>
          <w:szCs w:val="18"/>
        </w:rPr>
        <w:t>[</w:t>
      </w:r>
      <w:r w:rsidRPr="00675326">
        <w:rPr>
          <w:szCs w:val="18"/>
        </w:rPr>
        <w:t>74</w:t>
      </w:r>
      <w:r>
        <w:rPr>
          <w:szCs w:val="18"/>
        </w:rPr>
        <w:t>]</w:t>
      </w:r>
    </w:p>
    <w:p w:rsidR="00AD690E" w:rsidRPr="00675326" w:rsidRDefault="00AD690E" w:rsidP="00AD690E">
      <w:pPr>
        <w:spacing w:before="120" w:after="120"/>
        <w:jc w:val="both"/>
      </w:pPr>
      <w:r w:rsidRPr="00675326">
        <w:rPr>
          <w:szCs w:val="22"/>
        </w:rPr>
        <w:t>Au Québec, l'année 1962 sera marquée par la campagne électorale qui se fait sous les thèmes de « libération économique », « maître chez nous » et « souveraineté » politique. Le programme libéral se limite cependant à viser l'affirmation du « rôle du Québec dans la Conféd</w:t>
      </w:r>
      <w:r w:rsidRPr="00675326">
        <w:rPr>
          <w:szCs w:val="22"/>
        </w:rPr>
        <w:t>é</w:t>
      </w:r>
      <w:r w:rsidRPr="00675326">
        <w:rPr>
          <w:szCs w:val="22"/>
        </w:rPr>
        <w:t>ration »</w:t>
      </w:r>
      <w:r>
        <w:rPr>
          <w:szCs w:val="22"/>
        </w:rPr>
        <w:t> </w:t>
      </w:r>
      <w:r w:rsidRPr="00963199">
        <w:rPr>
          <w:rStyle w:val="Appelnotedebasdep"/>
        </w:rPr>
        <w:footnoteReference w:id="116"/>
      </w:r>
      <w:r w:rsidRPr="00675326">
        <w:rPr>
          <w:szCs w:val="22"/>
        </w:rPr>
        <w:t>. Daniel Johnson, avec l'Union nationale, renchérit. La question des relations entre les communautés francophone et angl</w:t>
      </w:r>
      <w:r w:rsidRPr="00675326">
        <w:rPr>
          <w:szCs w:val="22"/>
        </w:rPr>
        <w:t>o</w:t>
      </w:r>
      <w:r w:rsidRPr="00675326">
        <w:rPr>
          <w:szCs w:val="22"/>
        </w:rPr>
        <w:t>phone au Canada soulève de plus en plus la polémique. Dans les m</w:t>
      </w:r>
      <w:r w:rsidRPr="00675326">
        <w:rPr>
          <w:szCs w:val="22"/>
        </w:rPr>
        <w:t>i</w:t>
      </w:r>
      <w:r w:rsidRPr="00675326">
        <w:rPr>
          <w:szCs w:val="22"/>
        </w:rPr>
        <w:t>lieux bien pensants (éditorialistes, intellectuels), on suggère la mise sur pied d'une enquête publique fédérale touchant les dimensions li</w:t>
      </w:r>
      <w:r w:rsidRPr="00675326">
        <w:rPr>
          <w:szCs w:val="22"/>
        </w:rPr>
        <w:t>n</w:t>
      </w:r>
      <w:r w:rsidRPr="00675326">
        <w:rPr>
          <w:szCs w:val="22"/>
        </w:rPr>
        <w:t>guistique et culturelle de la réalité canadienne, mais les conservateurs à Ottawa n'y voient aucun intérêt.</w:t>
      </w:r>
    </w:p>
    <w:p w:rsidR="00AD690E" w:rsidRDefault="00AD690E" w:rsidP="00AD690E">
      <w:pPr>
        <w:spacing w:before="120" w:after="120"/>
        <w:jc w:val="both"/>
        <w:rPr>
          <w:szCs w:val="22"/>
        </w:rPr>
      </w:pPr>
    </w:p>
    <w:p w:rsidR="00AD690E" w:rsidRPr="00675326" w:rsidRDefault="00AD690E" w:rsidP="00AD690E">
      <w:pPr>
        <w:pStyle w:val="planche"/>
      </w:pPr>
      <w:r>
        <w:t>PEARSON ET LE FÉ</w:t>
      </w:r>
      <w:r w:rsidRPr="00675326">
        <w:t>D</w:t>
      </w:r>
      <w:r>
        <w:t>É</w:t>
      </w:r>
      <w:r w:rsidRPr="00675326">
        <w:t>RALISME</w:t>
      </w:r>
      <w:r>
        <w:br/>
      </w:r>
      <w:r w:rsidRPr="00675326">
        <w:t>DE L'AVENIR</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L'élection du Parti libéral à Ottawa en avril 1963 peut laisser pr</w:t>
      </w:r>
      <w:r w:rsidRPr="00675326">
        <w:rPr>
          <w:szCs w:val="22"/>
        </w:rPr>
        <w:t>é</w:t>
      </w:r>
      <w:r w:rsidRPr="00675326">
        <w:rPr>
          <w:szCs w:val="22"/>
        </w:rPr>
        <w:t>sager une amélioration des relations avec le gouvernement du Québec. Faut-il voir une certaine ouverture de Lester B. Pearson lorsqu'il crée la Commission royale d'enquête sur le bilinguisme et le biculturalisme coprésidée par André Laurendeau et Davidson Dunton ? Il n'en reste pas moins que l'expérience québécoise de « souveraineté » provinciale se heurte fréquemment à des objections ou à des contraintes majeures venant du gouvernement fédéral ; pensons au partage fiscal, aux pr</w:t>
      </w:r>
      <w:r w:rsidRPr="00675326">
        <w:rPr>
          <w:szCs w:val="22"/>
        </w:rPr>
        <w:t>o</w:t>
      </w:r>
      <w:r w:rsidRPr="00675326">
        <w:rPr>
          <w:szCs w:val="22"/>
        </w:rPr>
        <w:t>grammes à frais partagés, au régime publique de pensions et aux rel</w:t>
      </w:r>
      <w:r w:rsidRPr="00675326">
        <w:rPr>
          <w:szCs w:val="22"/>
        </w:rPr>
        <w:t>a</w:t>
      </w:r>
      <w:r w:rsidRPr="00675326">
        <w:rPr>
          <w:szCs w:val="22"/>
        </w:rPr>
        <w:t>tions internationales</w:t>
      </w:r>
      <w:r>
        <w:rPr>
          <w:szCs w:val="22"/>
        </w:rPr>
        <w:t> </w:t>
      </w:r>
      <w:r w:rsidRPr="00963199">
        <w:rPr>
          <w:rStyle w:val="Appelnotedebasdep"/>
        </w:rPr>
        <w:footnoteReference w:id="117"/>
      </w:r>
      <w:r w:rsidRPr="00675326">
        <w:rPr>
          <w:szCs w:val="22"/>
        </w:rPr>
        <w:t>.</w:t>
      </w:r>
    </w:p>
    <w:p w:rsidR="00AD690E" w:rsidRDefault="00AD690E" w:rsidP="00AD690E">
      <w:pPr>
        <w:spacing w:before="120" w:after="120"/>
        <w:jc w:val="both"/>
        <w:rPr>
          <w:szCs w:val="22"/>
        </w:rPr>
      </w:pPr>
    </w:p>
    <w:p w:rsidR="00AD690E" w:rsidRPr="00FB0E1C" w:rsidRDefault="00AD690E" w:rsidP="00AD690E">
      <w:pPr>
        <w:pStyle w:val="a"/>
      </w:pPr>
      <w:r w:rsidRPr="00FB0E1C">
        <w:t>La « formule Fulton-Favreau »</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Le gouvernement Pearson engage des discussions en juin 1964 afin d'arrêter les modalités de rapatriement et d'amendement de la Const</w:t>
      </w:r>
      <w:r w:rsidRPr="00675326">
        <w:rPr>
          <w:szCs w:val="22"/>
        </w:rPr>
        <w:t>i</w:t>
      </w:r>
      <w:r w:rsidRPr="00675326">
        <w:rPr>
          <w:szCs w:val="22"/>
        </w:rPr>
        <w:t>tution. La « formule Fulton » sert de cadre de référence. Les négoci</w:t>
      </w:r>
      <w:r w:rsidRPr="00675326">
        <w:rPr>
          <w:szCs w:val="22"/>
        </w:rPr>
        <w:t>a</w:t>
      </w:r>
      <w:r w:rsidRPr="00675326">
        <w:rPr>
          <w:szCs w:val="22"/>
        </w:rPr>
        <w:t>tions vont bon train, si bien qu'en octobre de la même année, les pr</w:t>
      </w:r>
      <w:r w:rsidRPr="00675326">
        <w:rPr>
          <w:szCs w:val="22"/>
        </w:rPr>
        <w:t>e</w:t>
      </w:r>
      <w:r w:rsidRPr="00675326">
        <w:rPr>
          <w:szCs w:val="22"/>
        </w:rPr>
        <w:t>miers ministres s'entendent sur la « formule Fulton-Favreau » d'ame</w:t>
      </w:r>
      <w:r w:rsidRPr="00675326">
        <w:rPr>
          <w:szCs w:val="22"/>
        </w:rPr>
        <w:t>n</w:t>
      </w:r>
      <w:r w:rsidRPr="00675326">
        <w:rPr>
          <w:szCs w:val="22"/>
        </w:rPr>
        <w:t>dement constitutionnel.</w:t>
      </w:r>
    </w:p>
    <w:p w:rsidR="00AD690E" w:rsidRPr="00675326" w:rsidRDefault="00AD690E" w:rsidP="00AD690E">
      <w:pPr>
        <w:spacing w:before="120" w:after="120"/>
        <w:jc w:val="both"/>
      </w:pPr>
      <w:r w:rsidRPr="00675326">
        <w:rPr>
          <w:szCs w:val="22"/>
        </w:rPr>
        <w:t>Cette formule de modification de la constitution, qui se compose de quatre volets, répond aux deux principales objections qui ont sonné le glas de la précédente.</w:t>
      </w:r>
    </w:p>
    <w:p w:rsidR="00AD690E" w:rsidRDefault="00AD690E" w:rsidP="00AD690E">
      <w:pPr>
        <w:spacing w:before="120" w:after="120"/>
        <w:jc w:val="both"/>
        <w:rPr>
          <w:szCs w:val="18"/>
        </w:rPr>
      </w:pPr>
      <w:r>
        <w:rPr>
          <w:szCs w:val="18"/>
        </w:rPr>
        <w:t>[75]</w:t>
      </w:r>
    </w:p>
    <w:p w:rsidR="00AD690E" w:rsidRDefault="00AD690E" w:rsidP="00AD690E">
      <w:pPr>
        <w:spacing w:before="120" w:after="120"/>
        <w:jc w:val="both"/>
        <w:rPr>
          <w:szCs w:val="18"/>
        </w:rPr>
      </w:pPr>
    </w:p>
    <w:p w:rsidR="00AD690E" w:rsidRPr="00675326" w:rsidRDefault="00AD690E" w:rsidP="00AD690E">
      <w:pPr>
        <w:spacing w:before="120" w:after="120"/>
        <w:ind w:left="720" w:hanging="720"/>
        <w:jc w:val="both"/>
      </w:pPr>
      <w:r w:rsidRPr="00675326">
        <w:rPr>
          <w:szCs w:val="22"/>
        </w:rPr>
        <w:t>1°</w:t>
      </w:r>
      <w:r>
        <w:rPr>
          <w:szCs w:val="22"/>
        </w:rPr>
        <w:tab/>
      </w:r>
      <w:r w:rsidRPr="00675326">
        <w:rPr>
          <w:szCs w:val="22"/>
        </w:rPr>
        <w:t>Le gouvernement fédéral accepte de limiter son pouvoir de m</w:t>
      </w:r>
      <w:r w:rsidRPr="00675326">
        <w:rPr>
          <w:szCs w:val="22"/>
        </w:rPr>
        <w:t>o</w:t>
      </w:r>
      <w:r w:rsidRPr="00675326">
        <w:rPr>
          <w:szCs w:val="22"/>
        </w:rPr>
        <w:t>dification (obtenu en 1949) au gouvernement exécutif du Can</w:t>
      </w:r>
      <w:r w:rsidRPr="00675326">
        <w:rPr>
          <w:szCs w:val="22"/>
        </w:rPr>
        <w:t>a</w:t>
      </w:r>
      <w:r w:rsidRPr="00675326">
        <w:rPr>
          <w:szCs w:val="22"/>
        </w:rPr>
        <w:t>da, au Sénat et à la Chambre des communes.</w:t>
      </w:r>
    </w:p>
    <w:p w:rsidR="00AD690E" w:rsidRPr="00675326" w:rsidRDefault="00AD690E" w:rsidP="00AD690E">
      <w:pPr>
        <w:spacing w:before="120" w:after="120"/>
        <w:ind w:left="720" w:hanging="720"/>
        <w:jc w:val="both"/>
      </w:pPr>
      <w:r w:rsidRPr="00675326">
        <w:rPr>
          <w:szCs w:val="22"/>
        </w:rPr>
        <w:t>2°</w:t>
      </w:r>
      <w:r>
        <w:rPr>
          <w:szCs w:val="22"/>
        </w:rPr>
        <w:tab/>
      </w:r>
      <w:r w:rsidRPr="00675326">
        <w:rPr>
          <w:szCs w:val="22"/>
        </w:rPr>
        <w:t>Pour toute une série d'aspects se rapportant aux institutions f</w:t>
      </w:r>
      <w:r w:rsidRPr="00675326">
        <w:rPr>
          <w:szCs w:val="22"/>
        </w:rPr>
        <w:t>é</w:t>
      </w:r>
      <w:r w:rsidRPr="00675326">
        <w:rPr>
          <w:szCs w:val="22"/>
        </w:rPr>
        <w:t>dérales (couronne, représentation régionale, usage des langues), un amendement constitutionnel est subordonné à l'accord « d'au moins les deux tiers des provinces représentant au moins ci</w:t>
      </w:r>
      <w:r w:rsidRPr="00675326">
        <w:rPr>
          <w:szCs w:val="22"/>
        </w:rPr>
        <w:t>n</w:t>
      </w:r>
      <w:r w:rsidRPr="00675326">
        <w:rPr>
          <w:szCs w:val="22"/>
        </w:rPr>
        <w:t>quante pour cent de la population du Canada selon le dernier recensement général »</w:t>
      </w:r>
      <w:r>
        <w:rPr>
          <w:szCs w:val="22"/>
        </w:rPr>
        <w:t> </w:t>
      </w:r>
      <w:r w:rsidRPr="00963199">
        <w:rPr>
          <w:rStyle w:val="Appelnotedebasdep"/>
        </w:rPr>
        <w:footnoteReference w:id="118"/>
      </w:r>
      <w:r w:rsidRPr="00675326">
        <w:rPr>
          <w:szCs w:val="22"/>
        </w:rPr>
        <w:t>.</w:t>
      </w:r>
      <w:r w:rsidRPr="00705943">
        <w:t xml:space="preserve"> </w:t>
      </w:r>
    </w:p>
    <w:p w:rsidR="00AD690E" w:rsidRPr="00675326" w:rsidRDefault="00AD690E" w:rsidP="00AD690E">
      <w:pPr>
        <w:spacing w:before="120" w:after="120"/>
        <w:ind w:left="720" w:hanging="720"/>
        <w:jc w:val="both"/>
      </w:pPr>
      <w:r w:rsidRPr="00675326">
        <w:rPr>
          <w:szCs w:val="22"/>
        </w:rPr>
        <w:t>3°</w:t>
      </w:r>
      <w:r>
        <w:rPr>
          <w:szCs w:val="22"/>
        </w:rPr>
        <w:tab/>
      </w:r>
      <w:r w:rsidRPr="00675326">
        <w:rPr>
          <w:szCs w:val="22"/>
        </w:rPr>
        <w:t>Les modifications touchant les juridictions provinciales nécess</w:t>
      </w:r>
      <w:r w:rsidRPr="00675326">
        <w:rPr>
          <w:szCs w:val="22"/>
        </w:rPr>
        <w:t>i</w:t>
      </w:r>
      <w:r w:rsidRPr="00675326">
        <w:rPr>
          <w:szCs w:val="22"/>
        </w:rPr>
        <w:t>tent le concours de toutes les provinces (unanimité) et du Pa</w:t>
      </w:r>
      <w:r w:rsidRPr="00675326">
        <w:rPr>
          <w:szCs w:val="22"/>
        </w:rPr>
        <w:t>r</w:t>
      </w:r>
      <w:r w:rsidRPr="00675326">
        <w:rPr>
          <w:szCs w:val="22"/>
        </w:rPr>
        <w:t>lement fédéral ; on pense aux domaines suivants : le pouvoir de faire des lois que possède l'Assemblée législative d'une provi</w:t>
      </w:r>
      <w:r w:rsidRPr="00675326">
        <w:rPr>
          <w:szCs w:val="22"/>
        </w:rPr>
        <w:t>n</w:t>
      </w:r>
      <w:r w:rsidRPr="00675326">
        <w:rPr>
          <w:szCs w:val="22"/>
        </w:rPr>
        <w:t>ce ; les droits ou privilèges que la Constitution du Canada a</w:t>
      </w:r>
      <w:r w:rsidRPr="00675326">
        <w:rPr>
          <w:szCs w:val="22"/>
        </w:rPr>
        <w:t>c</w:t>
      </w:r>
      <w:r w:rsidRPr="00675326">
        <w:rPr>
          <w:szCs w:val="22"/>
        </w:rPr>
        <w:t>corde ou garantit à la législature ou au gouvernement d'une province ; les actifs ou biens d'une province ; l'usage de l'a</w:t>
      </w:r>
      <w:r w:rsidRPr="00675326">
        <w:rPr>
          <w:szCs w:val="22"/>
        </w:rPr>
        <w:t>n</w:t>
      </w:r>
      <w:r w:rsidRPr="00675326">
        <w:rPr>
          <w:szCs w:val="22"/>
        </w:rPr>
        <w:t>glais ou du français</w:t>
      </w:r>
      <w:r>
        <w:rPr>
          <w:szCs w:val="22"/>
        </w:rPr>
        <w:t> </w:t>
      </w:r>
      <w:r w:rsidRPr="00963199">
        <w:rPr>
          <w:rStyle w:val="Appelnotedebasdep"/>
        </w:rPr>
        <w:footnoteReference w:id="119"/>
      </w:r>
      <w:r w:rsidRPr="00675326">
        <w:rPr>
          <w:szCs w:val="22"/>
        </w:rPr>
        <w:t>.</w:t>
      </w:r>
      <w:r w:rsidRPr="00705943">
        <w:t xml:space="preserve"> </w:t>
      </w:r>
    </w:p>
    <w:p w:rsidR="00AD690E" w:rsidRPr="00675326" w:rsidRDefault="00AD690E" w:rsidP="00AD690E">
      <w:pPr>
        <w:spacing w:before="120" w:after="120"/>
        <w:ind w:left="720" w:hanging="720"/>
        <w:jc w:val="both"/>
      </w:pPr>
      <w:r w:rsidRPr="00675326">
        <w:rPr>
          <w:szCs w:val="22"/>
        </w:rPr>
        <w:t>4°</w:t>
      </w:r>
      <w:r>
        <w:rPr>
          <w:szCs w:val="22"/>
        </w:rPr>
        <w:tab/>
      </w:r>
      <w:r w:rsidRPr="00675326">
        <w:rPr>
          <w:szCs w:val="22"/>
        </w:rPr>
        <w:t>On prévoit un mécanisme de « quasi-délégation » des pouvoirs permettant à « quatre provinces ou plus d'autoriser le Parlement à édicter des lois déterminées qui seraient autrement du ressort législatif des provinces et, de même, d'autoriser quatre provi</w:t>
      </w:r>
      <w:r w:rsidRPr="00675326">
        <w:rPr>
          <w:szCs w:val="22"/>
        </w:rPr>
        <w:t>n</w:t>
      </w:r>
      <w:r w:rsidRPr="00675326">
        <w:rPr>
          <w:szCs w:val="22"/>
        </w:rPr>
        <w:t>ces ou plus à édicter des lois déterminées qui seraient autrement du ressort législatif fédéral »</w:t>
      </w:r>
      <w:r>
        <w:rPr>
          <w:szCs w:val="22"/>
        </w:rPr>
        <w:t> </w:t>
      </w:r>
      <w:r w:rsidRPr="00963199">
        <w:rPr>
          <w:rStyle w:val="Appelnotedebasdep"/>
        </w:rPr>
        <w:footnoteReference w:id="120"/>
      </w:r>
      <w:r w:rsidRPr="00675326">
        <w:rPr>
          <w:szCs w:val="22"/>
        </w:rPr>
        <w:t>. Ce sy</w:t>
      </w:r>
      <w:r>
        <w:rPr>
          <w:szCs w:val="22"/>
        </w:rPr>
        <w:t>s</w:t>
      </w:r>
      <w:r w:rsidRPr="00675326">
        <w:rPr>
          <w:szCs w:val="22"/>
        </w:rPr>
        <w:t>tème de « délégation » qui, en dernier ressort, ne porte pas atteinte à la compétence l</w:t>
      </w:r>
      <w:r w:rsidRPr="00675326">
        <w:rPr>
          <w:szCs w:val="22"/>
        </w:rPr>
        <w:t>é</w:t>
      </w:r>
      <w:r w:rsidRPr="00675326">
        <w:rPr>
          <w:szCs w:val="22"/>
        </w:rPr>
        <w:t>gislative de l'autorité qui y consent, se veut un moyen d'atténuer la rigidité de la formule d'amendement, en permettant aux pr</w:t>
      </w:r>
      <w:r w:rsidRPr="00675326">
        <w:rPr>
          <w:szCs w:val="22"/>
        </w:rPr>
        <w:t>o</w:t>
      </w:r>
      <w:r w:rsidRPr="00675326">
        <w:rPr>
          <w:szCs w:val="22"/>
        </w:rPr>
        <w:t>vinces qui le désirent de recourir à un arrangement pratique qui ne requiert pas de modificati</w:t>
      </w:r>
      <w:r>
        <w:rPr>
          <w:szCs w:val="22"/>
        </w:rPr>
        <w:t>on à la Constitution elle-même.</w:t>
      </w:r>
      <w:r w:rsidRPr="00705943">
        <w:t xml:space="preserve"> </w:t>
      </w:r>
    </w:p>
    <w:p w:rsidR="00AD690E" w:rsidRDefault="00AD690E" w:rsidP="00AD690E">
      <w:pPr>
        <w:spacing w:before="120" w:after="120"/>
        <w:ind w:left="360" w:firstLine="491"/>
        <w:jc w:val="both"/>
        <w:rPr>
          <w:szCs w:val="22"/>
        </w:rPr>
      </w:pPr>
    </w:p>
    <w:p w:rsidR="00AD690E" w:rsidRPr="00675326" w:rsidRDefault="00AD690E" w:rsidP="00AD690E">
      <w:pPr>
        <w:spacing w:before="120" w:after="120"/>
        <w:ind w:left="360" w:firstLine="491"/>
        <w:jc w:val="both"/>
      </w:pPr>
      <w:r w:rsidRPr="00675326">
        <w:rPr>
          <w:szCs w:val="22"/>
        </w:rPr>
        <w:t>La formule restreint la capacité pour le gouvernement fédéral d'agir seul,</w:t>
      </w:r>
      <w:r>
        <w:rPr>
          <w:szCs w:val="22"/>
        </w:rPr>
        <w:t xml:space="preserve"> </w:t>
      </w:r>
      <w:r w:rsidRPr="00675326">
        <w:rPr>
          <w:szCs w:val="22"/>
        </w:rPr>
        <w:t>prévoit une majorité des deux tiers des provinces pour modifier l'essentiel des</w:t>
      </w:r>
      <w:r>
        <w:rPr>
          <w:szCs w:val="22"/>
        </w:rPr>
        <w:t xml:space="preserve"> </w:t>
      </w:r>
      <w:r w:rsidRPr="00675326">
        <w:rPr>
          <w:szCs w:val="22"/>
        </w:rPr>
        <w:t>institutions fédérales, établit la règle de l'unanimité pour ce qui est des</w:t>
      </w:r>
      <w:r>
        <w:rPr>
          <w:szCs w:val="22"/>
        </w:rPr>
        <w:t xml:space="preserve"> </w:t>
      </w:r>
      <w:r>
        <w:rPr>
          <w:szCs w:val="18"/>
        </w:rPr>
        <w:t>[</w:t>
      </w:r>
      <w:r w:rsidRPr="00675326">
        <w:rPr>
          <w:szCs w:val="18"/>
        </w:rPr>
        <w:t>76</w:t>
      </w:r>
      <w:r>
        <w:rPr>
          <w:szCs w:val="18"/>
        </w:rPr>
        <w:t xml:space="preserve">] </w:t>
      </w:r>
      <w:r w:rsidRPr="00675326">
        <w:rPr>
          <w:szCs w:val="22"/>
        </w:rPr>
        <w:t>juridictions provinciales et propose un « système de délégation » du pouvoir législatif to</w:t>
      </w:r>
      <w:r w:rsidRPr="00675326">
        <w:rPr>
          <w:szCs w:val="22"/>
        </w:rPr>
        <w:t>u</w:t>
      </w:r>
      <w:r w:rsidRPr="00675326">
        <w:rPr>
          <w:szCs w:val="22"/>
        </w:rPr>
        <w:t>chant un nombre limité de provinces.</w:t>
      </w:r>
    </w:p>
    <w:p w:rsidR="00AD690E" w:rsidRPr="00675326" w:rsidRDefault="00AD690E" w:rsidP="00AD690E">
      <w:pPr>
        <w:spacing w:before="120" w:after="120"/>
        <w:jc w:val="both"/>
      </w:pPr>
      <w:r w:rsidRPr="00675326">
        <w:rPr>
          <w:szCs w:val="22"/>
        </w:rPr>
        <w:t>En novembre 1964, Pearson fait savoir que plus rien ne bloque le rapatriement de la Constitution, si ce n'est l'accord de chacune des A</w:t>
      </w:r>
      <w:r w:rsidRPr="00675326">
        <w:rPr>
          <w:szCs w:val="22"/>
        </w:rPr>
        <w:t>s</w:t>
      </w:r>
      <w:r w:rsidRPr="00675326">
        <w:rPr>
          <w:szCs w:val="22"/>
        </w:rPr>
        <w:t>semblées législatives provinciales.</w:t>
      </w:r>
    </w:p>
    <w:p w:rsidR="00AD690E" w:rsidRPr="00675326" w:rsidRDefault="00AD690E" w:rsidP="00AD690E">
      <w:pPr>
        <w:spacing w:before="120" w:after="120"/>
        <w:jc w:val="both"/>
      </w:pPr>
      <w:r w:rsidRPr="00675326">
        <w:rPr>
          <w:szCs w:val="22"/>
        </w:rPr>
        <w:t>Au Québec, ce qui apparaît pour Lesage comme une étape préal</w:t>
      </w:r>
      <w:r w:rsidRPr="00675326">
        <w:rPr>
          <w:szCs w:val="22"/>
        </w:rPr>
        <w:t>a</w:t>
      </w:r>
      <w:r w:rsidRPr="00675326">
        <w:rPr>
          <w:szCs w:val="22"/>
        </w:rPr>
        <w:t>ble à une révision constitutionnelle du partage des compétences est décrié par une opposition qui n'est pas que parlementaire. Les délib</w:t>
      </w:r>
      <w:r w:rsidRPr="00675326">
        <w:rPr>
          <w:szCs w:val="22"/>
        </w:rPr>
        <w:t>é</w:t>
      </w:r>
      <w:r w:rsidRPr="00675326">
        <w:rPr>
          <w:szCs w:val="22"/>
        </w:rPr>
        <w:t>rations devant mener (au début de 1965) à l'accord de l'Assemblée législative de Québec s'embourbent dans un long et tortueux débat. Le Parti libéral voit la cohérence de sa démarche remise en cause. Pou</w:t>
      </w:r>
      <w:r w:rsidRPr="00675326">
        <w:rPr>
          <w:szCs w:val="22"/>
        </w:rPr>
        <w:t>r</w:t>
      </w:r>
      <w:r w:rsidRPr="00675326">
        <w:rPr>
          <w:szCs w:val="22"/>
        </w:rPr>
        <w:t>quoi régler des questions de forme (rapatriement) et remettre à plus tard les négociations sur le fond (partage des compétences) ? Co</w:t>
      </w:r>
      <w:r w:rsidRPr="00675326">
        <w:rPr>
          <w:szCs w:val="22"/>
        </w:rPr>
        <w:t>m</w:t>
      </w:r>
      <w:r w:rsidRPr="00675326">
        <w:rPr>
          <w:szCs w:val="22"/>
        </w:rPr>
        <w:t>ment dire qu'il s'agit d'une première étape alors que la suite plus hyp</w:t>
      </w:r>
      <w:r w:rsidRPr="00675326">
        <w:rPr>
          <w:szCs w:val="22"/>
        </w:rPr>
        <w:t>o</w:t>
      </w:r>
      <w:r w:rsidRPr="00675326">
        <w:rPr>
          <w:szCs w:val="22"/>
        </w:rPr>
        <w:t>thétique ? Est-il possible de soutenir la thèse d'un statut spécial pour le Québec alors que la formule d'amendement lui donne un statut ident</w:t>
      </w:r>
      <w:r w:rsidRPr="00675326">
        <w:rPr>
          <w:szCs w:val="22"/>
        </w:rPr>
        <w:t>i</w:t>
      </w:r>
      <w:r w:rsidRPr="00675326">
        <w:rPr>
          <w:szCs w:val="22"/>
        </w:rPr>
        <w:t>que à toute autre province ? Peut-on continuer de souligner l'inégalité des deux « groupes ethniques » alors qu'on ne s'assure même pas, comme préalable, d'établir les droits des minorités ? Le gouvernement n'a plus l'initiative du débat et les coûts politiques s'avèrent de plus en plus élevés. Finalement, le 20 janvier 1966, Lesage écrit à Pearson que son gouvernement remet indéfiniment la considération de la fo</w:t>
      </w:r>
      <w:r w:rsidRPr="00675326">
        <w:rPr>
          <w:szCs w:val="22"/>
        </w:rPr>
        <w:t>r</w:t>
      </w:r>
      <w:r w:rsidRPr="00675326">
        <w:rPr>
          <w:szCs w:val="22"/>
        </w:rPr>
        <w:t>mule d'amendement cons</w:t>
      </w:r>
      <w:r>
        <w:rPr>
          <w:szCs w:val="22"/>
        </w:rPr>
        <w:t>t</w:t>
      </w:r>
      <w:r w:rsidRPr="00675326">
        <w:rPr>
          <w:szCs w:val="22"/>
        </w:rPr>
        <w:t>itutionnel. L'échec était consommé.</w:t>
      </w:r>
    </w:p>
    <w:p w:rsidR="00AD690E" w:rsidRDefault="00AD690E" w:rsidP="00AD690E">
      <w:pPr>
        <w:spacing w:before="120" w:after="120"/>
        <w:jc w:val="both"/>
        <w:rPr>
          <w:szCs w:val="22"/>
        </w:rPr>
      </w:pPr>
      <w:r w:rsidRPr="00675326">
        <w:rPr>
          <w:szCs w:val="22"/>
        </w:rPr>
        <w:t>Évidemment la conjugaison des voix d'opposition — unioniste, i</w:t>
      </w:r>
      <w:r w:rsidRPr="00675326">
        <w:rPr>
          <w:szCs w:val="22"/>
        </w:rPr>
        <w:t>n</w:t>
      </w:r>
      <w:r w:rsidRPr="00675326">
        <w:rPr>
          <w:szCs w:val="22"/>
        </w:rPr>
        <w:t>dépendantiste, nationaliste — a préparé cette retraite. Mais cette m</w:t>
      </w:r>
      <w:r w:rsidRPr="00675326">
        <w:rPr>
          <w:szCs w:val="22"/>
        </w:rPr>
        <w:t>ê</w:t>
      </w:r>
      <w:r w:rsidRPr="00675326">
        <w:rPr>
          <w:szCs w:val="22"/>
        </w:rPr>
        <w:t>me année est riche d'enseignements qui militent contre l'acceptation par les libéraux provinciaux de la démarche inhérente à la « formule Fulton-Favreau » :</w:t>
      </w:r>
    </w:p>
    <w:p w:rsidR="00AD690E" w:rsidRPr="00675326" w:rsidRDefault="00AD690E" w:rsidP="00AD690E">
      <w:pPr>
        <w:spacing w:before="120" w:after="120"/>
        <w:jc w:val="both"/>
      </w:pPr>
    </w:p>
    <w:p w:rsidR="00AD690E" w:rsidRPr="00675326" w:rsidRDefault="00AD690E" w:rsidP="00AD690E">
      <w:pPr>
        <w:spacing w:before="120" w:after="120"/>
        <w:ind w:left="284" w:hanging="284"/>
        <w:jc w:val="both"/>
      </w:pPr>
      <w:r w:rsidRPr="00675326">
        <w:rPr>
          <w:szCs w:val="22"/>
        </w:rPr>
        <w:t>•</w:t>
      </w:r>
      <w:r w:rsidRPr="00675326">
        <w:rPr>
          <w:szCs w:val="22"/>
        </w:rPr>
        <w:tab/>
        <w:t xml:space="preserve">Le </w:t>
      </w:r>
      <w:r w:rsidRPr="00675326">
        <w:rPr>
          <w:i/>
          <w:iCs/>
          <w:szCs w:val="22"/>
        </w:rPr>
        <w:t xml:space="preserve">Rapport préliminaire </w:t>
      </w:r>
      <w:r w:rsidRPr="00675326">
        <w:rPr>
          <w:szCs w:val="22"/>
        </w:rPr>
        <w:t>de la Commission B-B, qui souligne la</w:t>
      </w:r>
      <w:r>
        <w:rPr>
          <w:szCs w:val="22"/>
        </w:rPr>
        <w:t xml:space="preserve"> </w:t>
      </w:r>
      <w:r w:rsidRPr="00675326">
        <w:rPr>
          <w:szCs w:val="22"/>
        </w:rPr>
        <w:t>profondeur de la crise que traverse le Canada, a pour effet de dr</w:t>
      </w:r>
      <w:r w:rsidRPr="00675326">
        <w:rPr>
          <w:szCs w:val="22"/>
        </w:rPr>
        <w:t>a</w:t>
      </w:r>
      <w:r w:rsidRPr="00675326">
        <w:rPr>
          <w:szCs w:val="22"/>
        </w:rPr>
        <w:t>matiser la</w:t>
      </w:r>
      <w:r>
        <w:rPr>
          <w:szCs w:val="22"/>
        </w:rPr>
        <w:t xml:space="preserve"> </w:t>
      </w:r>
      <w:r w:rsidRPr="00675326">
        <w:rPr>
          <w:szCs w:val="22"/>
        </w:rPr>
        <w:t>minorisation de la communauté canadienne-française dans l'ensemble du</w:t>
      </w:r>
      <w:r>
        <w:rPr>
          <w:szCs w:val="22"/>
        </w:rPr>
        <w:t xml:space="preserve"> </w:t>
      </w:r>
      <w:r w:rsidRPr="00675326">
        <w:rPr>
          <w:szCs w:val="22"/>
        </w:rPr>
        <w:t>Canada, y compris au Québec, alors qu'on tend généralement à</w:t>
      </w:r>
      <w:r>
        <w:rPr>
          <w:szCs w:val="22"/>
        </w:rPr>
        <w:t xml:space="preserve"> </w:t>
      </w:r>
      <w:r w:rsidRPr="00675326">
        <w:rPr>
          <w:szCs w:val="22"/>
        </w:rPr>
        <w:t>secondariser sinon à nier le problème.</w:t>
      </w:r>
    </w:p>
    <w:p w:rsidR="00AD690E" w:rsidRPr="00675326" w:rsidRDefault="00AD690E" w:rsidP="00AD690E">
      <w:pPr>
        <w:spacing w:before="120" w:after="120"/>
        <w:ind w:left="284" w:hanging="284"/>
        <w:jc w:val="both"/>
      </w:pPr>
      <w:r>
        <w:rPr>
          <w:szCs w:val="22"/>
        </w:rPr>
        <w:t>•</w:t>
      </w:r>
      <w:r>
        <w:rPr>
          <w:szCs w:val="22"/>
        </w:rPr>
        <w:tab/>
      </w:r>
      <w:r w:rsidRPr="00675326">
        <w:rPr>
          <w:szCs w:val="22"/>
        </w:rPr>
        <w:t>Les négociations fédérales-provinciales se font ardues, notamment sur le partage de l'assiette fiscale, et les compromis antérieurs (r</w:t>
      </w:r>
      <w:r w:rsidRPr="00675326">
        <w:rPr>
          <w:szCs w:val="22"/>
        </w:rPr>
        <w:t>é</w:t>
      </w:r>
      <w:r w:rsidRPr="00675326">
        <w:rPr>
          <w:szCs w:val="22"/>
        </w:rPr>
        <w:t>gime des rentes, retrait des programmes à frais partagés), obtenus de haute lutte, font figures d'ultimes concessions pour apaiser des ambitions québécoises, somme toute illégitimes.</w:t>
      </w:r>
    </w:p>
    <w:p w:rsidR="00AD690E" w:rsidRPr="00675326" w:rsidRDefault="00AD690E" w:rsidP="00AD690E">
      <w:pPr>
        <w:spacing w:before="120" w:after="120"/>
        <w:ind w:left="284" w:hanging="284"/>
        <w:jc w:val="both"/>
      </w:pPr>
      <w:r w:rsidRPr="00675326">
        <w:rPr>
          <w:szCs w:val="22"/>
        </w:rPr>
        <w:t>•</w:t>
      </w:r>
      <w:r w:rsidRPr="00675326">
        <w:rPr>
          <w:szCs w:val="22"/>
        </w:rPr>
        <w:tab/>
        <w:t xml:space="preserve">Le voyage de Jean Lesage dans l'Ouest canadien sous le thème </w:t>
      </w:r>
      <w:r w:rsidRPr="00675326">
        <w:rPr>
          <w:i/>
          <w:iCs/>
          <w:szCs w:val="22"/>
        </w:rPr>
        <w:t>Québec,</w:t>
      </w:r>
      <w:r>
        <w:rPr>
          <w:i/>
          <w:iCs/>
          <w:szCs w:val="22"/>
        </w:rPr>
        <w:t xml:space="preserve"> </w:t>
      </w:r>
      <w:r w:rsidRPr="00675326">
        <w:rPr>
          <w:i/>
          <w:iCs/>
          <w:szCs w:val="22"/>
        </w:rPr>
        <w:t xml:space="preserve">point d'appui du Canada français </w:t>
      </w:r>
      <w:r w:rsidRPr="00675326">
        <w:rPr>
          <w:szCs w:val="22"/>
        </w:rPr>
        <w:t>— au cours duquel il identifie la double</w:t>
      </w:r>
      <w:r>
        <w:rPr>
          <w:szCs w:val="22"/>
        </w:rPr>
        <w:t xml:space="preserve"> </w:t>
      </w:r>
      <w:r w:rsidRPr="00675326">
        <w:rPr>
          <w:szCs w:val="22"/>
        </w:rPr>
        <w:t>face du problème canadien : d'une part, la dualité canadienne qui appelle</w:t>
      </w:r>
      <w:r>
        <w:rPr>
          <w:szCs w:val="22"/>
        </w:rPr>
        <w:t xml:space="preserve"> </w:t>
      </w:r>
      <w:r w:rsidRPr="00675326">
        <w:rPr>
          <w:szCs w:val="22"/>
        </w:rPr>
        <w:t>une politique de bilinguisme et d'égalité des droits et, d'autre part, le</w:t>
      </w:r>
      <w:r>
        <w:rPr>
          <w:szCs w:val="22"/>
        </w:rPr>
        <w:t xml:space="preserve"> </w:t>
      </w:r>
      <w:r w:rsidRPr="00675326">
        <w:rPr>
          <w:szCs w:val="22"/>
        </w:rPr>
        <w:t>fédéralisme centralisateur qui doit reco</w:t>
      </w:r>
      <w:r w:rsidRPr="00675326">
        <w:rPr>
          <w:szCs w:val="22"/>
        </w:rPr>
        <w:t>n</w:t>
      </w:r>
      <w:r w:rsidRPr="00675326">
        <w:rPr>
          <w:szCs w:val="22"/>
        </w:rPr>
        <w:t>naître au Québec (mère patrie du</w:t>
      </w:r>
      <w:r>
        <w:rPr>
          <w:szCs w:val="22"/>
        </w:rPr>
        <w:t xml:space="preserve"> </w:t>
      </w:r>
      <w:r w:rsidRPr="00675326">
        <w:rPr>
          <w:szCs w:val="22"/>
        </w:rPr>
        <w:t>Canada français) des compétences accrues, quitte à lui consentir un statut</w:t>
      </w:r>
      <w:r>
        <w:rPr>
          <w:szCs w:val="22"/>
        </w:rPr>
        <w:t xml:space="preserve"> </w:t>
      </w:r>
      <w:r>
        <w:t xml:space="preserve">[77] </w:t>
      </w:r>
      <w:r w:rsidRPr="00675326">
        <w:rPr>
          <w:szCs w:val="22"/>
        </w:rPr>
        <w:t>particulier — reçoit un accueil plutôt hostile qui semble éca</w:t>
      </w:r>
      <w:r w:rsidRPr="00675326">
        <w:rPr>
          <w:szCs w:val="22"/>
        </w:rPr>
        <w:t>r</w:t>
      </w:r>
      <w:r w:rsidRPr="00675326">
        <w:rPr>
          <w:szCs w:val="22"/>
        </w:rPr>
        <w:t>ter toute possibilité d'entente ultérieure sur un réaménagement des compétences</w:t>
      </w:r>
      <w:r>
        <w:rPr>
          <w:szCs w:val="22"/>
        </w:rPr>
        <w:t> </w:t>
      </w:r>
      <w:r w:rsidRPr="00963199">
        <w:rPr>
          <w:rStyle w:val="Appelnotedebasdep"/>
        </w:rPr>
        <w:footnoteReference w:id="121"/>
      </w:r>
      <w:r w:rsidRPr="00675326">
        <w:rPr>
          <w:szCs w:val="22"/>
        </w:rPr>
        <w:t xml:space="preserve">. </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Le refus de la « formule Fulton-Favreau » devenait lourd de sign</w:t>
      </w:r>
      <w:r w:rsidRPr="00675326">
        <w:rPr>
          <w:szCs w:val="22"/>
        </w:rPr>
        <w:t>i</w:t>
      </w:r>
      <w:r w:rsidRPr="00675326">
        <w:rPr>
          <w:szCs w:val="22"/>
        </w:rPr>
        <w:t>fication, non seulement parce qu'il renforça la méfiance du Can</w:t>
      </w:r>
      <w:r w:rsidRPr="00675326">
        <w:rPr>
          <w:szCs w:val="22"/>
        </w:rPr>
        <w:t>a</w:t>
      </w:r>
      <w:r w:rsidRPr="00675326">
        <w:rPr>
          <w:szCs w:val="22"/>
        </w:rPr>
        <w:t>da anglais à l'égard de ce mauvais joueur qu'est le Québec, mais su</w:t>
      </w:r>
      <w:r w:rsidRPr="00675326">
        <w:rPr>
          <w:szCs w:val="22"/>
        </w:rPr>
        <w:t>r</w:t>
      </w:r>
      <w:r w:rsidRPr="00675326">
        <w:rPr>
          <w:szCs w:val="22"/>
        </w:rPr>
        <w:t>tout parce que le gouvernement du Québec précisa sa démarche en subo</w:t>
      </w:r>
      <w:r w:rsidRPr="00675326">
        <w:rPr>
          <w:szCs w:val="22"/>
        </w:rPr>
        <w:t>r</w:t>
      </w:r>
      <w:r w:rsidRPr="00675326">
        <w:rPr>
          <w:szCs w:val="22"/>
        </w:rPr>
        <w:t>donnant une entente sur le rapatriement et une formule d'ame</w:t>
      </w:r>
      <w:r w:rsidRPr="00675326">
        <w:rPr>
          <w:szCs w:val="22"/>
        </w:rPr>
        <w:t>n</w:t>
      </w:r>
      <w:r w:rsidRPr="00675326">
        <w:rPr>
          <w:szCs w:val="22"/>
        </w:rPr>
        <w:t>dement de la Constitution à des résultats concrets et satisfaisants sur le réam</w:t>
      </w:r>
      <w:r w:rsidRPr="00675326">
        <w:rPr>
          <w:szCs w:val="22"/>
        </w:rPr>
        <w:t>é</w:t>
      </w:r>
      <w:r w:rsidRPr="00675326">
        <w:rPr>
          <w:szCs w:val="22"/>
        </w:rPr>
        <w:t>nagement des compétences. Cette démarche sera par la suite consid</w:t>
      </w:r>
      <w:r w:rsidRPr="00675326">
        <w:rPr>
          <w:szCs w:val="22"/>
        </w:rPr>
        <w:t>é</w:t>
      </w:r>
      <w:r w:rsidRPr="00675326">
        <w:rPr>
          <w:szCs w:val="22"/>
        </w:rPr>
        <w:t>rée comme une revendication traditionnelle du Québec.</w:t>
      </w:r>
    </w:p>
    <w:p w:rsidR="00AD690E" w:rsidRDefault="00AD690E" w:rsidP="00AD690E">
      <w:pPr>
        <w:spacing w:before="120" w:after="120"/>
        <w:jc w:val="both"/>
        <w:rPr>
          <w:szCs w:val="22"/>
        </w:rPr>
      </w:pPr>
    </w:p>
    <w:p w:rsidR="00AD690E" w:rsidRPr="004E055C" w:rsidRDefault="00AD690E" w:rsidP="00AD690E">
      <w:pPr>
        <w:pStyle w:val="a"/>
      </w:pPr>
      <w:r w:rsidRPr="004E055C">
        <w:t>Les deux majorités</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La Commission Laurendeau-Dunton eut un impact majeur sur les débats politiques et les négociations constitutionnelles, bien que son mandat n'ait pas eu pour objet de proposer une reformulation de la Constitution ou de revoir le partage des compétences. Pour l'essentiel, il s'agissait de faire rapport sur l'état du bilinguisme dans l'administr</w:t>
      </w:r>
      <w:r w:rsidRPr="00675326">
        <w:rPr>
          <w:szCs w:val="22"/>
        </w:rPr>
        <w:t>a</w:t>
      </w:r>
      <w:r w:rsidRPr="00675326">
        <w:rPr>
          <w:szCs w:val="22"/>
        </w:rPr>
        <w:t>tion fédérale, sur les institutions favorisant le bilinguisme et le b</w:t>
      </w:r>
      <w:r w:rsidRPr="00675326">
        <w:rPr>
          <w:szCs w:val="22"/>
        </w:rPr>
        <w:t>i</w:t>
      </w:r>
      <w:r w:rsidRPr="00675326">
        <w:rPr>
          <w:szCs w:val="22"/>
        </w:rPr>
        <w:t>culturalisme, et sur la situation quant à l'enseignement dans la langue de la minorité francophone ou anglophone selon les provinces.</w:t>
      </w:r>
    </w:p>
    <w:p w:rsidR="00AD690E" w:rsidRPr="00675326" w:rsidRDefault="00AD690E" w:rsidP="00AD690E">
      <w:pPr>
        <w:spacing w:before="120" w:after="120"/>
        <w:jc w:val="both"/>
      </w:pPr>
      <w:r w:rsidRPr="00675326">
        <w:rPr>
          <w:szCs w:val="22"/>
        </w:rPr>
        <w:t xml:space="preserve">Le </w:t>
      </w:r>
      <w:r w:rsidRPr="00675326">
        <w:rPr>
          <w:i/>
          <w:iCs/>
          <w:szCs w:val="22"/>
        </w:rPr>
        <w:t xml:space="preserve">Rapport préliminaire </w:t>
      </w:r>
      <w:r w:rsidRPr="00675326">
        <w:rPr>
          <w:szCs w:val="22"/>
        </w:rPr>
        <w:t>présente les perceptions du moment sur le principe de l'égalité entre les deux peuples fondateurs du Canada. Dès le préambule, on diagnostique une situation de grave crise au Canada qui a sa source au Québec. « Quoique provinciale au départ, la crise devient canadienne à cause de l'importance numérique et stratégique du Québec, et parce qu'elle suscite ailleurs, ce qui est inévitable, des réactions en chaîne »</w:t>
      </w:r>
      <w:r>
        <w:rPr>
          <w:szCs w:val="22"/>
        </w:rPr>
        <w:t> </w:t>
      </w:r>
      <w:r w:rsidRPr="00963199">
        <w:rPr>
          <w:rStyle w:val="Appelnotedebasdep"/>
        </w:rPr>
        <w:footnoteReference w:id="122"/>
      </w:r>
      <w:r w:rsidRPr="00675326">
        <w:rPr>
          <w:szCs w:val="22"/>
        </w:rPr>
        <w:t>.</w:t>
      </w:r>
    </w:p>
    <w:p w:rsidR="00AD690E" w:rsidRPr="00675326" w:rsidRDefault="00AD690E" w:rsidP="00AD690E">
      <w:pPr>
        <w:spacing w:before="120" w:after="120"/>
        <w:jc w:val="both"/>
      </w:pPr>
      <w:r w:rsidRPr="00675326">
        <w:rPr>
          <w:szCs w:val="22"/>
        </w:rPr>
        <w:t>D'un côté, les Canadiens français constituent une majorité (ou une nation), mais cette réalité est entravée et ne peut se réaliser complèt</w:t>
      </w:r>
      <w:r w:rsidRPr="00675326">
        <w:rPr>
          <w:szCs w:val="22"/>
        </w:rPr>
        <w:t>e</w:t>
      </w:r>
      <w:r w:rsidRPr="00675326">
        <w:rPr>
          <w:szCs w:val="22"/>
        </w:rPr>
        <w:t>ment. Ils ne maîtrisent pas les principaux secteurs où s'exercent leurs activités, la présence anglaise est dominante au Québec — notamment en ce qui a tra</w:t>
      </w:r>
      <w:r>
        <w:rPr>
          <w:szCs w:val="22"/>
        </w:rPr>
        <w:t xml:space="preserve">it aux activités économiques — </w:t>
      </w:r>
      <w:r w:rsidRPr="00675326">
        <w:rPr>
          <w:szCs w:val="22"/>
        </w:rPr>
        <w:t xml:space="preserve"> et l'obligation d'a</w:t>
      </w:r>
      <w:r w:rsidRPr="00675326">
        <w:rPr>
          <w:szCs w:val="22"/>
        </w:rPr>
        <w:t>p</w:t>
      </w:r>
      <w:r w:rsidRPr="00675326">
        <w:rPr>
          <w:szCs w:val="22"/>
        </w:rPr>
        <w:t>prendre l'anglais pour accéder aux postes de commande s'avère ni n</w:t>
      </w:r>
      <w:r w:rsidRPr="00675326">
        <w:rPr>
          <w:szCs w:val="22"/>
        </w:rPr>
        <w:t>a</w:t>
      </w:r>
      <w:r w:rsidRPr="00675326">
        <w:rPr>
          <w:szCs w:val="22"/>
        </w:rPr>
        <w:t>turelle ni normale. L'actuelle exaspération, face à cette situation, qui est somme toute ancienne, tient aux « nouvelles élites » qui se « distinguent par des exigences culturelles supérieures et par l'amb</w:t>
      </w:r>
      <w:r w:rsidRPr="00675326">
        <w:rPr>
          <w:szCs w:val="22"/>
        </w:rPr>
        <w:t>i</w:t>
      </w:r>
      <w:r w:rsidRPr="00675326">
        <w:rPr>
          <w:szCs w:val="22"/>
        </w:rPr>
        <w:t>tion d'atteindre aux échelons élevés de la hiérarchie économique » et qui considèrent « le statut d'infériorité économique comme incompat</w:t>
      </w:r>
      <w:r w:rsidRPr="00675326">
        <w:rPr>
          <w:szCs w:val="22"/>
        </w:rPr>
        <w:t>i</w:t>
      </w:r>
      <w:r w:rsidRPr="00675326">
        <w:rPr>
          <w:szCs w:val="22"/>
        </w:rPr>
        <w:t>ble avec la condition de majorité</w:t>
      </w:r>
      <w:r>
        <w:rPr>
          <w:szCs w:val="22"/>
        </w:rPr>
        <w:t xml:space="preserve"> </w:t>
      </w:r>
      <w:r>
        <w:rPr>
          <w:szCs w:val="18"/>
        </w:rPr>
        <w:t>[</w:t>
      </w:r>
      <w:r w:rsidRPr="00675326">
        <w:rPr>
          <w:szCs w:val="18"/>
        </w:rPr>
        <w:t>78</w:t>
      </w:r>
      <w:r>
        <w:rPr>
          <w:szCs w:val="18"/>
        </w:rPr>
        <w:t xml:space="preserve">] </w:t>
      </w:r>
      <w:r w:rsidRPr="00675326">
        <w:rPr>
          <w:szCs w:val="22"/>
        </w:rPr>
        <w:t>numérique »</w:t>
      </w:r>
      <w:r>
        <w:rPr>
          <w:szCs w:val="22"/>
        </w:rPr>
        <w:t> </w:t>
      </w:r>
      <w:r w:rsidRPr="00963199">
        <w:rPr>
          <w:rStyle w:val="Appelnotedebasdep"/>
        </w:rPr>
        <w:footnoteReference w:id="123"/>
      </w:r>
      <w:r w:rsidRPr="00675326">
        <w:rPr>
          <w:szCs w:val="22"/>
        </w:rPr>
        <w:t>. Les Canadiens français veulent être reconnus comme des partenaires égaux au sein du Canada. Si on refuse cette égalité, parce qu'on ne peut l'accepter ou la concevoir, « de la déce</w:t>
      </w:r>
      <w:r w:rsidRPr="00675326">
        <w:rPr>
          <w:szCs w:val="22"/>
        </w:rPr>
        <w:t>p</w:t>
      </w:r>
      <w:r w:rsidRPr="00675326">
        <w:rPr>
          <w:szCs w:val="22"/>
        </w:rPr>
        <w:t>tion naîtra l'irrémédiable. Une importante fraction du Québec franc</w:t>
      </w:r>
      <w:r w:rsidRPr="00675326">
        <w:rPr>
          <w:szCs w:val="22"/>
        </w:rPr>
        <w:t>o</w:t>
      </w:r>
      <w:r w:rsidRPr="00675326">
        <w:rPr>
          <w:szCs w:val="22"/>
        </w:rPr>
        <w:t>phone est déjà tentée de faire cavalier seul »</w:t>
      </w:r>
      <w:r>
        <w:rPr>
          <w:szCs w:val="22"/>
        </w:rPr>
        <w:t> </w:t>
      </w:r>
      <w:r w:rsidRPr="00963199">
        <w:rPr>
          <w:rStyle w:val="Appelnotedebasdep"/>
        </w:rPr>
        <w:footnoteReference w:id="124"/>
      </w:r>
      <w:r w:rsidRPr="00675326">
        <w:rPr>
          <w:szCs w:val="22"/>
        </w:rPr>
        <w:t>.</w:t>
      </w:r>
    </w:p>
    <w:p w:rsidR="00AD690E" w:rsidRPr="00675326" w:rsidRDefault="00AD690E" w:rsidP="00AD690E">
      <w:pPr>
        <w:spacing w:before="120" w:after="120"/>
        <w:jc w:val="both"/>
      </w:pPr>
      <w:r w:rsidRPr="00675326">
        <w:rPr>
          <w:szCs w:val="22"/>
        </w:rPr>
        <w:t>De l'autre côté, les Canadiens anglais nourrissent généralement une attitude de supériorité mêlée d'incompréhension. Ils n'éprouvent pre</w:t>
      </w:r>
      <w:r w:rsidRPr="00675326">
        <w:rPr>
          <w:szCs w:val="22"/>
        </w:rPr>
        <w:t>s</w:t>
      </w:r>
      <w:r w:rsidRPr="00675326">
        <w:rPr>
          <w:szCs w:val="22"/>
        </w:rPr>
        <w:t>qu'aucun sentiment conscient de discrimination. Fidèles à un compo</w:t>
      </w:r>
      <w:r w:rsidRPr="00675326">
        <w:rPr>
          <w:szCs w:val="22"/>
        </w:rPr>
        <w:t>r</w:t>
      </w:r>
      <w:r w:rsidRPr="00675326">
        <w:rPr>
          <w:szCs w:val="22"/>
        </w:rPr>
        <w:t>tement typique de majorité, ils attachent une grande importance aux libertés individuelles, mais se montrent incapables de comprendre « l'insistance du Canada français sur les droits collectifs — en partic</w:t>
      </w:r>
      <w:r w:rsidRPr="00675326">
        <w:rPr>
          <w:szCs w:val="22"/>
        </w:rPr>
        <w:t>u</w:t>
      </w:r>
      <w:r w:rsidRPr="00675326">
        <w:rPr>
          <w:szCs w:val="22"/>
        </w:rPr>
        <w:t>lier, sur les droits linguistiques dans le domaine économique »</w:t>
      </w:r>
      <w:r>
        <w:rPr>
          <w:szCs w:val="22"/>
        </w:rPr>
        <w:t> </w:t>
      </w:r>
      <w:r w:rsidRPr="00963199">
        <w:rPr>
          <w:rStyle w:val="Appelnotedebasdep"/>
        </w:rPr>
        <w:footnoteReference w:id="125"/>
      </w:r>
      <w:r w:rsidRPr="00675326">
        <w:rPr>
          <w:szCs w:val="22"/>
        </w:rPr>
        <w:t>. De plus, la notion de « nation » évoque, pour eux, l'ensemble des Can</w:t>
      </w:r>
      <w:r w:rsidRPr="00675326">
        <w:rPr>
          <w:szCs w:val="22"/>
        </w:rPr>
        <w:t>a</w:t>
      </w:r>
      <w:r w:rsidRPr="00675326">
        <w:rPr>
          <w:szCs w:val="22"/>
        </w:rPr>
        <w:t>diens ; ils ne se perçoivent pas comme un groupe national distinct.</w:t>
      </w:r>
    </w:p>
    <w:p w:rsidR="00AD690E" w:rsidRPr="00675326" w:rsidRDefault="00AD690E" w:rsidP="00AD690E">
      <w:pPr>
        <w:spacing w:before="120" w:after="120"/>
        <w:jc w:val="both"/>
      </w:pPr>
      <w:r w:rsidRPr="00675326">
        <w:rPr>
          <w:szCs w:val="22"/>
        </w:rPr>
        <w:t>Pour conclure, les commissaires invitent les Canadiens à revoir l'application de la notion de démocratie et à démontrer une plus gra</w:t>
      </w:r>
      <w:r w:rsidRPr="00675326">
        <w:rPr>
          <w:szCs w:val="22"/>
        </w:rPr>
        <w:t>n</w:t>
      </w:r>
      <w:r w:rsidRPr="00675326">
        <w:rPr>
          <w:szCs w:val="22"/>
        </w:rPr>
        <w:t>de ouverture face aux aspirations réciproques des deux majorités.</w:t>
      </w:r>
    </w:p>
    <w:p w:rsidR="00AD690E" w:rsidRPr="00675326" w:rsidRDefault="00AD690E" w:rsidP="00AD690E">
      <w:pPr>
        <w:spacing w:before="120" w:after="120"/>
        <w:jc w:val="both"/>
      </w:pPr>
      <w:r w:rsidRPr="00675326">
        <w:rPr>
          <w:szCs w:val="22"/>
        </w:rPr>
        <w:t>C'est dans le Livre I du Rapport (en 1967), que l'on traite « du c</w:t>
      </w:r>
      <w:r w:rsidRPr="00675326">
        <w:rPr>
          <w:szCs w:val="22"/>
        </w:rPr>
        <w:t>a</w:t>
      </w:r>
      <w:r w:rsidRPr="00675326">
        <w:rPr>
          <w:szCs w:val="22"/>
        </w:rPr>
        <w:t>dre constitutionnel dans lequel chacune des deux sociétés peut vivre ou aspirer à vivre... »</w:t>
      </w:r>
      <w:r>
        <w:rPr>
          <w:szCs w:val="22"/>
        </w:rPr>
        <w:t> </w:t>
      </w:r>
      <w:r w:rsidRPr="00963199">
        <w:rPr>
          <w:rStyle w:val="Appelnotedebasdep"/>
        </w:rPr>
        <w:footnoteReference w:id="126"/>
      </w:r>
      <w:r w:rsidRPr="00675326">
        <w:rPr>
          <w:szCs w:val="22"/>
        </w:rPr>
        <w:t>. Le problème de l'intégration du Québec au sein du Canada semble devoir trouver réponse dans la reconnaissance des droits de la minorité linguistique. Les deux propositions de mod</w:t>
      </w:r>
      <w:r w:rsidRPr="00675326">
        <w:rPr>
          <w:szCs w:val="22"/>
        </w:rPr>
        <w:t>i</w:t>
      </w:r>
      <w:r w:rsidRPr="00675326">
        <w:rPr>
          <w:szCs w:val="22"/>
        </w:rPr>
        <w:t>fication constitutionnelle visent cet objectif</w:t>
      </w:r>
      <w:r>
        <w:rPr>
          <w:szCs w:val="22"/>
        </w:rPr>
        <w:t> </w:t>
      </w:r>
      <w:r w:rsidRPr="00963199">
        <w:rPr>
          <w:rStyle w:val="Appelnotedebasdep"/>
        </w:rPr>
        <w:footnoteReference w:id="127"/>
      </w:r>
      <w:r w:rsidRPr="00675326">
        <w:rPr>
          <w:szCs w:val="22"/>
        </w:rPr>
        <w:t>. La première consiste à établir, dans le domaine de l'enseignement, des dispositions assurant à la minorité francophone hors Québec les avantages dont jouit la min</w:t>
      </w:r>
      <w:r w:rsidRPr="00675326">
        <w:rPr>
          <w:szCs w:val="22"/>
        </w:rPr>
        <w:t>o</w:t>
      </w:r>
      <w:r w:rsidRPr="00675326">
        <w:rPr>
          <w:szCs w:val="22"/>
        </w:rPr>
        <w:t>rité anglophone au Québec. La deuxième vise à reconnaître que l'a</w:t>
      </w:r>
      <w:r w:rsidRPr="00675326">
        <w:rPr>
          <w:szCs w:val="22"/>
        </w:rPr>
        <w:t>n</w:t>
      </w:r>
      <w:r w:rsidRPr="00675326">
        <w:rPr>
          <w:szCs w:val="22"/>
        </w:rPr>
        <w:t>glais et le français sont les langues officielles du Canada et à formuler les règles à suivre dans la mise en œuvre du principe d'égalité au n</w:t>
      </w:r>
      <w:r w:rsidRPr="00675326">
        <w:rPr>
          <w:szCs w:val="22"/>
        </w:rPr>
        <w:t>i</w:t>
      </w:r>
      <w:r w:rsidRPr="00675326">
        <w:rPr>
          <w:szCs w:val="22"/>
        </w:rPr>
        <w:t>veau provincial et dans les districts bilingues.</w:t>
      </w:r>
    </w:p>
    <w:p w:rsidR="00AD690E" w:rsidRPr="00675326" w:rsidRDefault="00AD690E" w:rsidP="00AD690E">
      <w:pPr>
        <w:spacing w:before="120" w:after="120"/>
        <w:jc w:val="both"/>
      </w:pPr>
      <w:r w:rsidRPr="00675326">
        <w:rPr>
          <w:szCs w:val="22"/>
        </w:rPr>
        <w:t>Au total, la Commission B-B insistait sur certaines dimensions r</w:t>
      </w:r>
      <w:r w:rsidRPr="00675326">
        <w:rPr>
          <w:szCs w:val="22"/>
        </w:rPr>
        <w:t>e</w:t>
      </w:r>
      <w:r w:rsidRPr="00675326">
        <w:rPr>
          <w:szCs w:val="22"/>
        </w:rPr>
        <w:t>coupant des thématiques ayant des protagonistes souvent différents, parfois opposés :</w:t>
      </w:r>
    </w:p>
    <w:p w:rsidR="00AD690E" w:rsidRDefault="00AD690E" w:rsidP="00AD690E">
      <w:pPr>
        <w:spacing w:before="120" w:after="120"/>
        <w:jc w:val="both"/>
        <w:rPr>
          <w:szCs w:val="22"/>
        </w:rPr>
      </w:pPr>
    </w:p>
    <w:p w:rsidR="00AD690E" w:rsidRDefault="00AD690E" w:rsidP="00AD690E">
      <w:pPr>
        <w:spacing w:before="120" w:after="120"/>
        <w:ind w:left="720" w:hanging="360"/>
        <w:jc w:val="both"/>
        <w:rPr>
          <w:szCs w:val="22"/>
        </w:rPr>
      </w:pPr>
      <w:r>
        <w:rPr>
          <w:szCs w:val="22"/>
        </w:rPr>
        <w:t>•</w:t>
      </w:r>
      <w:r>
        <w:rPr>
          <w:szCs w:val="22"/>
        </w:rPr>
        <w:tab/>
      </w:r>
      <w:r w:rsidRPr="00675326">
        <w:rPr>
          <w:szCs w:val="22"/>
        </w:rPr>
        <w:t>La source de la crise canadienne est clairement identifiée au Québec ; le Canada doit être compris sur la base de ses deux communautés distinctes (deux majorités) ; les Canadiens fra</w:t>
      </w:r>
      <w:r w:rsidRPr="00675326">
        <w:rPr>
          <w:szCs w:val="22"/>
        </w:rPr>
        <w:t>n</w:t>
      </w:r>
      <w:r w:rsidRPr="00675326">
        <w:rPr>
          <w:szCs w:val="22"/>
        </w:rPr>
        <w:t>çais subissent une situation d'inégalité manifeste ; l'hypothèse de l'indépendance du Québec ne doit pas être prise à la légère ; l'égalité des deux communautés commence par la reconnaissa</w:t>
      </w:r>
      <w:r w:rsidRPr="00675326">
        <w:rPr>
          <w:szCs w:val="22"/>
        </w:rPr>
        <w:t>n</w:t>
      </w:r>
      <w:r w:rsidRPr="00675326">
        <w:rPr>
          <w:szCs w:val="22"/>
        </w:rPr>
        <w:t>ce d'une égalité de traitement sur le plan de droits linguistiques.</w:t>
      </w:r>
    </w:p>
    <w:p w:rsidR="00AD690E" w:rsidRDefault="00AD690E" w:rsidP="00AD690E">
      <w:pPr>
        <w:pStyle w:val="p"/>
      </w:pPr>
      <w:r>
        <w:t>[79]</w:t>
      </w:r>
    </w:p>
    <w:p w:rsidR="00AD690E" w:rsidRDefault="00AD690E" w:rsidP="00AD690E">
      <w:pPr>
        <w:spacing w:before="120" w:after="120"/>
        <w:ind w:left="720" w:hanging="360"/>
        <w:jc w:val="both"/>
        <w:rPr>
          <w:szCs w:val="22"/>
        </w:rPr>
      </w:pPr>
      <w:r>
        <w:rPr>
          <w:szCs w:val="18"/>
        </w:rPr>
        <w:t>•</w:t>
      </w:r>
      <w:r>
        <w:rPr>
          <w:szCs w:val="18"/>
        </w:rPr>
        <w:tab/>
      </w:r>
      <w:r w:rsidRPr="00675326">
        <w:rPr>
          <w:szCs w:val="22"/>
        </w:rPr>
        <w:t>Toutefois, sur le plan constitutionnel, aucune jonction n'est faite entre les éléments suivants : la domination que subissent les Canadiens français dans l'ensemble du Canada, l'écrasante m</w:t>
      </w:r>
      <w:r w:rsidRPr="00675326">
        <w:rPr>
          <w:szCs w:val="22"/>
        </w:rPr>
        <w:t>a</w:t>
      </w:r>
      <w:r w:rsidRPr="00675326">
        <w:rPr>
          <w:szCs w:val="22"/>
        </w:rPr>
        <w:t>jorité canadienne-française au Québec et la volonté massiv</w:t>
      </w:r>
      <w:r w:rsidRPr="00675326">
        <w:rPr>
          <w:szCs w:val="22"/>
        </w:rPr>
        <w:t>e</w:t>
      </w:r>
      <w:r w:rsidRPr="00675326">
        <w:rPr>
          <w:szCs w:val="22"/>
        </w:rPr>
        <w:t>ment exprimée de donner un plus grand rôle à l'État du Qu</w:t>
      </w:r>
      <w:r w:rsidRPr="00675326">
        <w:rPr>
          <w:szCs w:val="22"/>
        </w:rPr>
        <w:t>é</w:t>
      </w:r>
      <w:r w:rsidRPr="00675326">
        <w:rPr>
          <w:szCs w:val="22"/>
        </w:rPr>
        <w:t>bec ; en ce sens, les propositions constitutionnelles évitent so</w:t>
      </w:r>
      <w:r w:rsidRPr="00675326">
        <w:rPr>
          <w:szCs w:val="22"/>
        </w:rPr>
        <w:t>i</w:t>
      </w:r>
      <w:r w:rsidRPr="00675326">
        <w:rPr>
          <w:szCs w:val="22"/>
        </w:rPr>
        <w:t>gneusement la question du partage des compétences et s'en tiennent à un mandat dont la portée est essentiellement lingui</w:t>
      </w:r>
      <w:r w:rsidRPr="00675326">
        <w:rPr>
          <w:szCs w:val="22"/>
        </w:rPr>
        <w:t>s</w:t>
      </w:r>
      <w:r w:rsidRPr="00675326">
        <w:rPr>
          <w:szCs w:val="22"/>
        </w:rPr>
        <w:t>tique, voire culturelle.</w:t>
      </w:r>
      <w:r w:rsidRPr="008844D3">
        <w:rPr>
          <w:szCs w:val="22"/>
        </w:rPr>
        <w:t xml:space="preserve"> </w:t>
      </w:r>
    </w:p>
    <w:p w:rsidR="00AD690E" w:rsidRDefault="00AD690E" w:rsidP="00AD690E">
      <w:pPr>
        <w:spacing w:before="120" w:after="120"/>
        <w:ind w:left="720" w:hanging="360"/>
        <w:jc w:val="both"/>
        <w:rPr>
          <w:szCs w:val="22"/>
        </w:rPr>
      </w:pPr>
    </w:p>
    <w:p w:rsidR="00AD690E" w:rsidRPr="008844D3" w:rsidRDefault="00AD690E" w:rsidP="00AD690E">
      <w:pPr>
        <w:pStyle w:val="a"/>
      </w:pPr>
      <w:r w:rsidRPr="008844D3">
        <w:t>La Confédération de demain</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 xml:space="preserve">Quelques jours avant que ne paraisse le Livre I du </w:t>
      </w:r>
      <w:r w:rsidRPr="00675326">
        <w:rPr>
          <w:i/>
          <w:iCs/>
          <w:szCs w:val="22"/>
        </w:rPr>
        <w:t xml:space="preserve">Rapport de la Commission B-B, </w:t>
      </w:r>
      <w:r w:rsidRPr="00675326">
        <w:rPr>
          <w:szCs w:val="22"/>
        </w:rPr>
        <w:t>se tient à Toronto (27 au 29 novembre 1967), à l'i</w:t>
      </w:r>
      <w:r w:rsidRPr="00675326">
        <w:rPr>
          <w:szCs w:val="22"/>
        </w:rPr>
        <w:t>n</w:t>
      </w:r>
      <w:r w:rsidRPr="00675326">
        <w:rPr>
          <w:szCs w:val="22"/>
        </w:rPr>
        <w:t xml:space="preserve">vitation du premier ministre Robarts, une Conférence interprovinciale des premiers ministres, intitulée </w:t>
      </w:r>
      <w:r w:rsidRPr="00675326">
        <w:rPr>
          <w:i/>
          <w:iCs/>
          <w:szCs w:val="22"/>
        </w:rPr>
        <w:t xml:space="preserve">La Confédération de demain. </w:t>
      </w:r>
      <w:r w:rsidRPr="00675326">
        <w:rPr>
          <w:szCs w:val="22"/>
        </w:rPr>
        <w:t>C'est l'occasion pour passer en revue les principaux problèmes du fédér</w:t>
      </w:r>
      <w:r w:rsidRPr="00675326">
        <w:rPr>
          <w:szCs w:val="22"/>
        </w:rPr>
        <w:t>a</w:t>
      </w:r>
      <w:r w:rsidRPr="00675326">
        <w:rPr>
          <w:szCs w:val="22"/>
        </w:rPr>
        <w:t>lisme canadien. Pour la plupart, les questions se posent en termes de révision des mécanismes de coopération et de coordination entre les divers gouvernements, de transfert de la richesse et de fiscalité ; la rédaction d'une nouvelle constitution qui est proposée par Québec est un exercice qui intéresse peu et le sujet des droits des Canadiens fra</w:t>
      </w:r>
      <w:r w:rsidRPr="00675326">
        <w:rPr>
          <w:szCs w:val="22"/>
        </w:rPr>
        <w:t>n</w:t>
      </w:r>
      <w:r w:rsidRPr="00675326">
        <w:rPr>
          <w:szCs w:val="22"/>
        </w:rPr>
        <w:t>çais laisse plusieurs indifférents, quand il ne provoque pas de l'hostil</w:t>
      </w:r>
      <w:r w:rsidRPr="00675326">
        <w:rPr>
          <w:szCs w:val="22"/>
        </w:rPr>
        <w:t>i</w:t>
      </w:r>
      <w:r w:rsidRPr="00675326">
        <w:rPr>
          <w:szCs w:val="22"/>
        </w:rPr>
        <w:t>té</w:t>
      </w:r>
      <w:r>
        <w:rPr>
          <w:szCs w:val="22"/>
        </w:rPr>
        <w:t> </w:t>
      </w:r>
      <w:r w:rsidRPr="00963199">
        <w:rPr>
          <w:rStyle w:val="Appelnotedebasdep"/>
        </w:rPr>
        <w:footnoteReference w:id="128"/>
      </w:r>
      <w:r w:rsidRPr="00675326">
        <w:rPr>
          <w:szCs w:val="22"/>
        </w:rPr>
        <w:t>.</w:t>
      </w:r>
    </w:p>
    <w:p w:rsidR="00AD690E" w:rsidRPr="00675326" w:rsidRDefault="00AD690E" w:rsidP="00AD690E">
      <w:pPr>
        <w:spacing w:before="120" w:after="120"/>
        <w:jc w:val="both"/>
      </w:pPr>
      <w:r w:rsidRPr="00675326">
        <w:rPr>
          <w:szCs w:val="22"/>
        </w:rPr>
        <w:t>Cette rencontre permet à Daniel Johnson, premier ministre du Québec, de présenter son argumentation sur la nécessité d'élaborer une nouvelle constitution qui serait fondée sur le concept des deux nations au Canada.</w:t>
      </w:r>
    </w:p>
    <w:p w:rsidR="00AD690E" w:rsidRPr="00675326" w:rsidRDefault="00AD690E" w:rsidP="00AD690E">
      <w:pPr>
        <w:spacing w:before="120" w:after="120"/>
        <w:jc w:val="both"/>
      </w:pPr>
      <w:r w:rsidRPr="00675326">
        <w:rPr>
          <w:szCs w:val="22"/>
        </w:rPr>
        <w:t xml:space="preserve">Dans son essai, </w:t>
      </w:r>
      <w:r w:rsidRPr="00675326">
        <w:rPr>
          <w:i/>
          <w:iCs/>
          <w:szCs w:val="22"/>
        </w:rPr>
        <w:t xml:space="preserve">Égalité ou indépendance </w:t>
      </w:r>
      <w:r w:rsidRPr="00675326">
        <w:rPr>
          <w:szCs w:val="22"/>
        </w:rPr>
        <w:t>(1965), il soulignait que les Canadiens français, comme nation, cherchent, tout à fait normal</w:t>
      </w:r>
      <w:r w:rsidRPr="00675326">
        <w:rPr>
          <w:szCs w:val="22"/>
        </w:rPr>
        <w:t>e</w:t>
      </w:r>
      <w:r w:rsidRPr="00675326">
        <w:rPr>
          <w:szCs w:val="22"/>
        </w:rPr>
        <w:t>ment, à s'identifier à l'État du Québec, « le seul où ils puissent préte</w:t>
      </w:r>
      <w:r w:rsidRPr="00675326">
        <w:rPr>
          <w:szCs w:val="22"/>
        </w:rPr>
        <w:t>n</w:t>
      </w:r>
      <w:r w:rsidRPr="00675326">
        <w:rPr>
          <w:szCs w:val="22"/>
        </w:rPr>
        <w:t>dre être maîtres de leur destin et le seul qu'ils puissent utiliser à l'ép</w:t>
      </w:r>
      <w:r w:rsidRPr="00675326">
        <w:rPr>
          <w:szCs w:val="22"/>
        </w:rPr>
        <w:t>a</w:t>
      </w:r>
      <w:r w:rsidRPr="00675326">
        <w:rPr>
          <w:szCs w:val="22"/>
        </w:rPr>
        <w:t>nouissement complet de leur communauté... »</w:t>
      </w:r>
      <w:r>
        <w:rPr>
          <w:szCs w:val="22"/>
        </w:rPr>
        <w:t> </w:t>
      </w:r>
      <w:r w:rsidRPr="00963199">
        <w:rPr>
          <w:rStyle w:val="Appelnotedebasdep"/>
        </w:rPr>
        <w:footnoteReference w:id="129"/>
      </w:r>
      <w:r w:rsidRPr="00675326">
        <w:rPr>
          <w:szCs w:val="22"/>
        </w:rPr>
        <w:t>. D'ailleurs, cet ép</w:t>
      </w:r>
      <w:r w:rsidRPr="00675326">
        <w:rPr>
          <w:szCs w:val="22"/>
        </w:rPr>
        <w:t>a</w:t>
      </w:r>
      <w:r w:rsidRPr="00675326">
        <w:rPr>
          <w:szCs w:val="22"/>
        </w:rPr>
        <w:t>nouissement est tributaire non seulement de la maîtrise de la langue, des écoles et des lois civiles, mais aussi de la maîtrise de l'économie. La Constitution canadienne est, en l'occurrence, particulièrement in</w:t>
      </w:r>
      <w:r w:rsidRPr="00675326">
        <w:rPr>
          <w:szCs w:val="22"/>
        </w:rPr>
        <w:t>a</w:t>
      </w:r>
      <w:r w:rsidRPr="00675326">
        <w:rPr>
          <w:szCs w:val="22"/>
        </w:rPr>
        <w:t>déquate, car, alors que la nation canadienne-française réclame pour le gouvernement du Québec plus de pouvoir et tend vers l'autonomie provinciale, le Canada anglais tend, lui, vers une plus grande unific</w:t>
      </w:r>
      <w:r w:rsidRPr="00675326">
        <w:rPr>
          <w:szCs w:val="22"/>
        </w:rPr>
        <w:t>a</w:t>
      </w:r>
      <w:r w:rsidRPr="00675326">
        <w:rPr>
          <w:szCs w:val="22"/>
        </w:rPr>
        <w:t>tion politique. L'élaboration d'une nouvelle constitution s'impose du fait de l'évolution de la pratique du fédéralisme dans la période contemporaine qui en a modifié l'esprit originel. Cette nouvelle const</w:t>
      </w:r>
      <w:r w:rsidRPr="00675326">
        <w:rPr>
          <w:szCs w:val="22"/>
        </w:rPr>
        <w:t>i</w:t>
      </w:r>
      <w:r w:rsidRPr="00675326">
        <w:rPr>
          <w:szCs w:val="22"/>
        </w:rPr>
        <w:t>tution verrait à affirmer le caractère binational du Canada dans ses structures politiques, économiques et sociales, entre autres choses par une Charte des droits nationaux (collectifs),</w:t>
      </w:r>
      <w:r>
        <w:rPr>
          <w:szCs w:val="22"/>
        </w:rPr>
        <w:t xml:space="preserve"> </w:t>
      </w:r>
      <w:r>
        <w:rPr>
          <w:szCs w:val="18"/>
        </w:rPr>
        <w:t xml:space="preserve">[80] </w:t>
      </w:r>
      <w:r w:rsidRPr="00675326">
        <w:rPr>
          <w:szCs w:val="22"/>
        </w:rPr>
        <w:t>posée en parallèle à une Charte des droits fondamentaux de la personne</w:t>
      </w:r>
      <w:r>
        <w:rPr>
          <w:szCs w:val="22"/>
        </w:rPr>
        <w:t> </w:t>
      </w:r>
      <w:r w:rsidRPr="00963199">
        <w:rPr>
          <w:rStyle w:val="Appelnotedebasdep"/>
        </w:rPr>
        <w:footnoteReference w:id="130"/>
      </w:r>
      <w:r w:rsidRPr="00675326">
        <w:rPr>
          <w:szCs w:val="22"/>
        </w:rPr>
        <w:t>, et par la r</w:t>
      </w:r>
      <w:r w:rsidRPr="00675326">
        <w:rPr>
          <w:szCs w:val="22"/>
        </w:rPr>
        <w:t>e</w:t>
      </w:r>
      <w:r w:rsidRPr="00675326">
        <w:rPr>
          <w:szCs w:val="22"/>
        </w:rPr>
        <w:t>connaissance de plus larges compétences au gouvernement du Qu</w:t>
      </w:r>
      <w:r w:rsidRPr="00675326">
        <w:rPr>
          <w:szCs w:val="22"/>
        </w:rPr>
        <w:t>é</w:t>
      </w:r>
      <w:r w:rsidRPr="00675326">
        <w:rPr>
          <w:szCs w:val="22"/>
        </w:rPr>
        <w:t>bec.</w:t>
      </w:r>
    </w:p>
    <w:p w:rsidR="00AD690E" w:rsidRPr="00675326" w:rsidRDefault="00AD690E" w:rsidP="00AD690E">
      <w:pPr>
        <w:spacing w:before="120" w:after="120"/>
        <w:jc w:val="both"/>
      </w:pPr>
      <w:r w:rsidRPr="00675326">
        <w:rPr>
          <w:szCs w:val="22"/>
        </w:rPr>
        <w:t>Cette dialectique entre, d'une part, l'établissement de droits pour les Canadiens français à l'échelle du Canada et, d'autre part, l'accroiss</w:t>
      </w:r>
      <w:r w:rsidRPr="00675326">
        <w:rPr>
          <w:szCs w:val="22"/>
        </w:rPr>
        <w:t>e</w:t>
      </w:r>
      <w:r w:rsidRPr="00675326">
        <w:rPr>
          <w:szCs w:val="22"/>
        </w:rPr>
        <w:t>ment des compétences du gouvernement du Québec afin de sauvega</w:t>
      </w:r>
      <w:r w:rsidRPr="00675326">
        <w:rPr>
          <w:szCs w:val="22"/>
        </w:rPr>
        <w:t>r</w:t>
      </w:r>
      <w:r w:rsidRPr="00675326">
        <w:rPr>
          <w:szCs w:val="22"/>
        </w:rPr>
        <w:t>der l'identité québécoise — que l'on trouvait ébauchée dans le di</w:t>
      </w:r>
      <w:r w:rsidRPr="00675326">
        <w:rPr>
          <w:szCs w:val="22"/>
        </w:rPr>
        <w:t>s</w:t>
      </w:r>
      <w:r w:rsidRPr="00675326">
        <w:rPr>
          <w:szCs w:val="22"/>
        </w:rPr>
        <w:t>cours de Je</w:t>
      </w:r>
      <w:r>
        <w:rPr>
          <w:szCs w:val="22"/>
        </w:rPr>
        <w:t>an Lesage au milieu des années 1</w:t>
      </w:r>
      <w:r w:rsidRPr="00675326">
        <w:rPr>
          <w:szCs w:val="22"/>
        </w:rPr>
        <w:t>960</w:t>
      </w:r>
      <w:r>
        <w:rPr>
          <w:szCs w:val="22"/>
        </w:rPr>
        <w:t> </w:t>
      </w:r>
      <w:r w:rsidRPr="00963199">
        <w:rPr>
          <w:rStyle w:val="Appelnotedebasdep"/>
        </w:rPr>
        <w:footnoteReference w:id="131"/>
      </w:r>
      <w:r>
        <w:rPr>
          <w:szCs w:val="22"/>
        </w:rPr>
        <w:t xml:space="preserve"> —</w:t>
      </w:r>
      <w:r w:rsidRPr="00675326">
        <w:rPr>
          <w:szCs w:val="22"/>
        </w:rPr>
        <w:t xml:space="preserve">, est au </w:t>
      </w:r>
      <w:r>
        <w:rPr>
          <w:szCs w:val="22"/>
        </w:rPr>
        <w:t>cœur</w:t>
      </w:r>
      <w:r w:rsidRPr="00675326">
        <w:rPr>
          <w:szCs w:val="22"/>
        </w:rPr>
        <w:t xml:space="preserve"> de la déclaration de Johnson</w:t>
      </w:r>
      <w:r>
        <w:rPr>
          <w:szCs w:val="22"/>
        </w:rPr>
        <w:t> </w:t>
      </w:r>
      <w:r w:rsidRPr="00963199">
        <w:rPr>
          <w:rStyle w:val="Appelnotedebasdep"/>
        </w:rPr>
        <w:footnoteReference w:id="132"/>
      </w:r>
      <w:r w:rsidRPr="00675326">
        <w:rPr>
          <w:szCs w:val="22"/>
        </w:rPr>
        <w:t>. Elle procède de l'association ou du r</w:t>
      </w:r>
      <w:r w:rsidRPr="00675326">
        <w:rPr>
          <w:szCs w:val="22"/>
        </w:rPr>
        <w:t>e</w:t>
      </w:r>
      <w:r w:rsidRPr="00675326">
        <w:rPr>
          <w:szCs w:val="22"/>
        </w:rPr>
        <w:t>coupement entre nation canadienne-française et gouvernement du Québec, comme seul lieu de l'exercice du pouvoir que cette nation contrôle.</w:t>
      </w:r>
    </w:p>
    <w:p w:rsidR="00AD690E" w:rsidRPr="00675326" w:rsidRDefault="00AD690E" w:rsidP="00AD690E">
      <w:pPr>
        <w:spacing w:before="120" w:after="120"/>
        <w:jc w:val="both"/>
      </w:pPr>
      <w:r w:rsidRPr="00675326">
        <w:rPr>
          <w:szCs w:val="22"/>
        </w:rPr>
        <w:t>Pour le gouvernement fédéral, la tenue de cette conférence à l'in</w:t>
      </w:r>
      <w:r w:rsidRPr="00675326">
        <w:rPr>
          <w:szCs w:val="22"/>
        </w:rPr>
        <w:t>i</w:t>
      </w:r>
      <w:r w:rsidRPr="00675326">
        <w:rPr>
          <w:szCs w:val="22"/>
        </w:rPr>
        <w:t>tiative d'une province est inconvenante. Son refus d'y être représenté officiellement lui donna un caractère interprovincial. L'invitation qui lui était faite comporte une certaine provocation. Elle apparaît comme une démonstration d'un plus grand intérêt provincial pour l'évolution du fédéralisme canadien, elle permet un étalage des griefs entretenus contre le gouvernement fédéral, mais surtout elle risque de laisser au niveau provincial l'initiative des termes et des modalités d'une révision constitutionnelle alors que légalement et selon la coutume cela i</w:t>
      </w:r>
      <w:r w:rsidRPr="00675326">
        <w:rPr>
          <w:szCs w:val="22"/>
        </w:rPr>
        <w:t>n</w:t>
      </w:r>
      <w:r w:rsidRPr="00675326">
        <w:rPr>
          <w:szCs w:val="22"/>
        </w:rPr>
        <w:t>combe au gouvernement fédéral. Le gouvernement Pearson réplique par la convocation d'une Conférence fédérale-provinciale sur la Con</w:t>
      </w:r>
      <w:r w:rsidRPr="00675326">
        <w:rPr>
          <w:szCs w:val="22"/>
        </w:rPr>
        <w:t>s</w:t>
      </w:r>
      <w:r w:rsidRPr="00675326">
        <w:rPr>
          <w:szCs w:val="22"/>
        </w:rPr>
        <w:t>titution pour le début 1968 (du 5 au 7 février).</w:t>
      </w:r>
    </w:p>
    <w:p w:rsidR="00AD690E" w:rsidRDefault="00AD690E" w:rsidP="00AD690E">
      <w:pPr>
        <w:spacing w:before="120" w:after="120"/>
        <w:jc w:val="both"/>
        <w:rPr>
          <w:szCs w:val="22"/>
        </w:rPr>
      </w:pPr>
    </w:p>
    <w:p w:rsidR="00AD690E" w:rsidRPr="003E7D46" w:rsidRDefault="00AD690E" w:rsidP="00AD690E">
      <w:pPr>
        <w:pStyle w:val="a"/>
      </w:pPr>
      <w:r w:rsidRPr="003E7D46">
        <w:t>Le fédéralisme et l'avenir</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 xml:space="preserve">Le processus de révision constitutionnelle qui mènera, trois ans et demi plus tard, à la </w:t>
      </w:r>
      <w:r w:rsidRPr="00675326">
        <w:rPr>
          <w:i/>
          <w:iCs/>
          <w:szCs w:val="22"/>
        </w:rPr>
        <w:t xml:space="preserve">Charte de Victoria, </w:t>
      </w:r>
      <w:r w:rsidRPr="00675326">
        <w:rPr>
          <w:szCs w:val="22"/>
        </w:rPr>
        <w:t>s'ouvre par une déclaration de Lester B. Pearson. Le premier problème évoqué à l'appui de la néce</w:t>
      </w:r>
      <w:r w:rsidRPr="00675326">
        <w:rPr>
          <w:szCs w:val="22"/>
        </w:rPr>
        <w:t>s</w:t>
      </w:r>
      <w:r w:rsidRPr="00675326">
        <w:rPr>
          <w:szCs w:val="22"/>
        </w:rPr>
        <w:t>sité de l'exercice concerne le « mécontentement des Canadiens de la</w:t>
      </w:r>
      <w:r w:rsidRPr="00675326">
        <w:rPr>
          <w:szCs w:val="22"/>
        </w:rPr>
        <w:t>n</w:t>
      </w:r>
      <w:r w:rsidRPr="00675326">
        <w:rPr>
          <w:szCs w:val="22"/>
        </w:rPr>
        <w:t>gue et de culture françaises quant à la situation respective des deux groupes linguistiques... »</w:t>
      </w:r>
      <w:r>
        <w:rPr>
          <w:szCs w:val="22"/>
        </w:rPr>
        <w:t> </w:t>
      </w:r>
      <w:r>
        <w:rPr>
          <w:rStyle w:val="Appelnotedebasdep"/>
        </w:rPr>
        <w:footnoteReference w:id="133"/>
      </w:r>
      <w:r w:rsidRPr="00675326">
        <w:rPr>
          <w:szCs w:val="22"/>
        </w:rPr>
        <w:t>. Il incombe de donner à cette communa</w:t>
      </w:r>
      <w:r w:rsidRPr="00675326">
        <w:rPr>
          <w:szCs w:val="22"/>
        </w:rPr>
        <w:t>u</w:t>
      </w:r>
      <w:r w:rsidRPr="00675326">
        <w:rPr>
          <w:szCs w:val="22"/>
        </w:rPr>
        <w:t>té les mêmes conditions (à vivre leur vie, à élever leurs enfants, à donner leur pleine mesure) dont jouissent les Canadiens anglais. L'avenir du Canada n'est d'ailleurs garanti que dans la mesure où la coexistence entre ces deux groupes linguistiques fondateurs est ass</w:t>
      </w:r>
      <w:r w:rsidRPr="00675326">
        <w:rPr>
          <w:szCs w:val="22"/>
        </w:rPr>
        <w:t>u</w:t>
      </w:r>
      <w:r w:rsidRPr="00675326">
        <w:rPr>
          <w:szCs w:val="22"/>
        </w:rPr>
        <w:t>rée. Un deuxième problème est aussi posé d'emblée ; il s'agit des in</w:t>
      </w:r>
      <w:r w:rsidRPr="00675326">
        <w:rPr>
          <w:szCs w:val="22"/>
        </w:rPr>
        <w:t>é</w:t>
      </w:r>
      <w:r w:rsidRPr="00675326">
        <w:rPr>
          <w:szCs w:val="22"/>
        </w:rPr>
        <w:t>galités régionales. Pour Pearson, la révision constitutionnelle ne repr</w:t>
      </w:r>
      <w:r w:rsidRPr="00675326">
        <w:rPr>
          <w:szCs w:val="22"/>
        </w:rPr>
        <w:t>é</w:t>
      </w:r>
      <w:r w:rsidRPr="00675326">
        <w:rPr>
          <w:szCs w:val="22"/>
        </w:rPr>
        <w:t>sente qu'une étape dans les redressements que doivent</w:t>
      </w:r>
      <w:r>
        <w:rPr>
          <w:szCs w:val="22"/>
        </w:rPr>
        <w:t xml:space="preserve"> </w:t>
      </w:r>
      <w:r>
        <w:rPr>
          <w:szCs w:val="18"/>
        </w:rPr>
        <w:t xml:space="preserve">[81] </w:t>
      </w:r>
      <w:r w:rsidRPr="00675326">
        <w:rPr>
          <w:szCs w:val="22"/>
        </w:rPr>
        <w:t>adopter les gouvernements. Il plaide en faveur de l'unité canadie</w:t>
      </w:r>
      <w:r w:rsidRPr="00675326">
        <w:rPr>
          <w:szCs w:val="22"/>
        </w:rPr>
        <w:t>n</w:t>
      </w:r>
      <w:r w:rsidRPr="00675326">
        <w:rPr>
          <w:szCs w:val="22"/>
        </w:rPr>
        <w:t>ne car il est tout à fait net que personne ne peut sortir gagnant d'un démembrement du Canada.</w:t>
      </w:r>
    </w:p>
    <w:p w:rsidR="00AD690E" w:rsidRPr="00675326" w:rsidRDefault="00AD690E" w:rsidP="00AD690E">
      <w:pPr>
        <w:spacing w:before="120" w:after="120"/>
        <w:jc w:val="both"/>
      </w:pPr>
      <w:r w:rsidRPr="00675326">
        <w:rPr>
          <w:szCs w:val="22"/>
        </w:rPr>
        <w:t>Pearson rejette la centralisation politique tout comme la fragment</w:t>
      </w:r>
      <w:r w:rsidRPr="00675326">
        <w:rPr>
          <w:szCs w:val="22"/>
        </w:rPr>
        <w:t>a</w:t>
      </w:r>
      <w:r w:rsidRPr="00675326">
        <w:rPr>
          <w:szCs w:val="22"/>
        </w:rPr>
        <w:t>tion comme solutions de rechange au fédéralisme. L'État unitaire ne conviendrait pas aux diversités culturelles et géographiques qui sont le propre du Canada. La décentralisation apparaît aussi incompatible avec les objectifs du Canada dans la mesure où « ...elle comprome</w:t>
      </w:r>
      <w:r w:rsidRPr="00675326">
        <w:rPr>
          <w:szCs w:val="22"/>
        </w:rPr>
        <w:t>t</w:t>
      </w:r>
      <w:r w:rsidRPr="00675326">
        <w:rPr>
          <w:szCs w:val="22"/>
        </w:rPr>
        <w:t>trait l'aptitude du gouvernement fédéral à contribuer à la hausse du niveau de vie de la population ; elle affaiblirait, chez les Canadiens, la volonté d'œuvrer pour le bien-être et le progrès de leurs concitoyens des autres provinces ; elle menacerait l'existence même de notre pays dans le monde... »</w:t>
      </w:r>
      <w:r>
        <w:rPr>
          <w:szCs w:val="22"/>
          <w:vertAlign w:val="superscript"/>
        </w:rPr>
        <w:t> </w:t>
      </w:r>
      <w:r w:rsidRPr="00963199">
        <w:rPr>
          <w:rStyle w:val="Appelnotedebasdep"/>
        </w:rPr>
        <w:footnoteReference w:id="134"/>
      </w:r>
      <w:r w:rsidRPr="00675326">
        <w:rPr>
          <w:szCs w:val="22"/>
        </w:rPr>
        <w:t>. Cette foi dans le fédéralisme, affirmée sous la forme du rejet de la décentralisation, balise les discussions qui, fin</w:t>
      </w:r>
      <w:r w:rsidRPr="00675326">
        <w:rPr>
          <w:szCs w:val="22"/>
        </w:rPr>
        <w:t>a</w:t>
      </w:r>
      <w:r w:rsidRPr="00675326">
        <w:rPr>
          <w:szCs w:val="22"/>
        </w:rPr>
        <w:t>lement, devraient venir à propos des revendications québécoises en faveur de la souveraineté législative et l'accroissement des compéte</w:t>
      </w:r>
      <w:r w:rsidRPr="00675326">
        <w:rPr>
          <w:szCs w:val="22"/>
        </w:rPr>
        <w:t>n</w:t>
      </w:r>
      <w:r w:rsidRPr="00675326">
        <w:rPr>
          <w:szCs w:val="22"/>
        </w:rPr>
        <w:t>ces provinciales.</w:t>
      </w:r>
    </w:p>
    <w:p w:rsidR="00AD690E" w:rsidRPr="00675326" w:rsidRDefault="00AD690E" w:rsidP="00AD690E">
      <w:pPr>
        <w:spacing w:before="120" w:after="120"/>
        <w:jc w:val="both"/>
      </w:pPr>
      <w:r w:rsidRPr="00675326">
        <w:rPr>
          <w:szCs w:val="22"/>
        </w:rPr>
        <w:t>Le programme de travail proposé par le gouvernement fédéral tient, malgré tout, peu compte de la démarche québécoise affirmée par Lesage, puis avec plus d'insistance par Johnson, à savoir que l'esse</w:t>
      </w:r>
      <w:r w:rsidRPr="00675326">
        <w:rPr>
          <w:szCs w:val="22"/>
        </w:rPr>
        <w:t>n</w:t>
      </w:r>
      <w:r w:rsidRPr="00675326">
        <w:rPr>
          <w:szCs w:val="22"/>
        </w:rPr>
        <w:t>tiel des débats devrait porter sur le partage des compétences. Cette question est mise au second plan. Trois étapes sont mises de l'avant :</w:t>
      </w:r>
    </w:p>
    <w:p w:rsidR="00AD690E" w:rsidRDefault="00AD690E" w:rsidP="00AD690E">
      <w:pPr>
        <w:spacing w:before="120" w:after="120"/>
        <w:jc w:val="both"/>
        <w:rPr>
          <w:szCs w:val="22"/>
        </w:rPr>
      </w:pPr>
    </w:p>
    <w:p w:rsidR="00AD690E" w:rsidRDefault="00AD690E" w:rsidP="00AD690E">
      <w:pPr>
        <w:spacing w:before="120" w:after="120"/>
        <w:ind w:left="720" w:hanging="360"/>
        <w:jc w:val="both"/>
        <w:rPr>
          <w:szCs w:val="22"/>
        </w:rPr>
      </w:pPr>
      <w:r>
        <w:rPr>
          <w:szCs w:val="22"/>
        </w:rPr>
        <w:t>•</w:t>
      </w:r>
      <w:r>
        <w:rPr>
          <w:szCs w:val="22"/>
        </w:rPr>
        <w:tab/>
      </w:r>
      <w:r w:rsidRPr="00675326">
        <w:rPr>
          <w:szCs w:val="22"/>
        </w:rPr>
        <w:t>Prioritairement, le renouvellement de la Constitution devrait passer par</w:t>
      </w:r>
      <w:r>
        <w:rPr>
          <w:szCs w:val="22"/>
        </w:rPr>
        <w:t xml:space="preserve"> </w:t>
      </w:r>
      <w:r w:rsidRPr="00675326">
        <w:rPr>
          <w:szCs w:val="22"/>
        </w:rPr>
        <w:t>l'établissement d'un Charte des droits de la personne qui reconnaîtrait les</w:t>
      </w:r>
      <w:r>
        <w:rPr>
          <w:szCs w:val="22"/>
        </w:rPr>
        <w:t xml:space="preserve"> </w:t>
      </w:r>
      <w:r w:rsidRPr="00675326">
        <w:rPr>
          <w:szCs w:val="22"/>
        </w:rPr>
        <w:t>droits du « citoyen d'un État fédéral dém</w:t>
      </w:r>
      <w:r w:rsidRPr="00675326">
        <w:rPr>
          <w:szCs w:val="22"/>
        </w:rPr>
        <w:t>o</w:t>
      </w:r>
      <w:r w:rsidRPr="00675326">
        <w:rPr>
          <w:szCs w:val="22"/>
        </w:rPr>
        <w:t>cratique » et les droits de ce</w:t>
      </w:r>
      <w:r>
        <w:rPr>
          <w:szCs w:val="22"/>
        </w:rPr>
        <w:t xml:space="preserve"> </w:t>
      </w:r>
      <w:r w:rsidRPr="00675326">
        <w:rPr>
          <w:szCs w:val="22"/>
        </w:rPr>
        <w:t>dernier comme « membre du gro</w:t>
      </w:r>
      <w:r w:rsidRPr="00675326">
        <w:rPr>
          <w:szCs w:val="22"/>
        </w:rPr>
        <w:t>u</w:t>
      </w:r>
      <w:r w:rsidRPr="00675326">
        <w:rPr>
          <w:szCs w:val="22"/>
        </w:rPr>
        <w:t>pe linguistique dans lequel il a choisi de</w:t>
      </w:r>
      <w:r>
        <w:rPr>
          <w:szCs w:val="22"/>
        </w:rPr>
        <w:t xml:space="preserve"> </w:t>
      </w:r>
      <w:r w:rsidRPr="00675326">
        <w:rPr>
          <w:szCs w:val="22"/>
        </w:rPr>
        <w:t>vivre ». Les droits li</w:t>
      </w:r>
      <w:r w:rsidRPr="00675326">
        <w:rPr>
          <w:szCs w:val="22"/>
        </w:rPr>
        <w:t>n</w:t>
      </w:r>
      <w:r w:rsidRPr="00675326">
        <w:rPr>
          <w:szCs w:val="22"/>
        </w:rPr>
        <w:t>guistiques et les droits de la personne constituent les</w:t>
      </w:r>
      <w:r>
        <w:rPr>
          <w:szCs w:val="22"/>
        </w:rPr>
        <w:t xml:space="preserve"> </w:t>
      </w:r>
      <w:r w:rsidRPr="00675326">
        <w:rPr>
          <w:szCs w:val="22"/>
        </w:rPr>
        <w:t>deux faces d'une même médaille, car « la langue est à la fois un</w:t>
      </w:r>
      <w:r>
        <w:rPr>
          <w:szCs w:val="22"/>
        </w:rPr>
        <w:t xml:space="preserve"> </w:t>
      </w:r>
      <w:r w:rsidRPr="00675326">
        <w:rPr>
          <w:szCs w:val="22"/>
        </w:rPr>
        <w:t>prolong</w:t>
      </w:r>
      <w:r w:rsidRPr="00675326">
        <w:rPr>
          <w:szCs w:val="22"/>
        </w:rPr>
        <w:t>e</w:t>
      </w:r>
      <w:r w:rsidRPr="00675326">
        <w:rPr>
          <w:szCs w:val="22"/>
        </w:rPr>
        <w:t>ment de la personnalité individuelle et l'instrument indispens</w:t>
      </w:r>
      <w:r w:rsidRPr="00675326">
        <w:rPr>
          <w:szCs w:val="22"/>
        </w:rPr>
        <w:t>a</w:t>
      </w:r>
      <w:r w:rsidRPr="00675326">
        <w:rPr>
          <w:szCs w:val="22"/>
        </w:rPr>
        <w:t>ble</w:t>
      </w:r>
      <w:r>
        <w:rPr>
          <w:szCs w:val="22"/>
        </w:rPr>
        <w:t xml:space="preserve"> </w:t>
      </w:r>
      <w:r w:rsidRPr="00675326">
        <w:rPr>
          <w:szCs w:val="22"/>
        </w:rPr>
        <w:t>de l'organisation sociale... »</w:t>
      </w:r>
      <w:r>
        <w:rPr>
          <w:szCs w:val="22"/>
        </w:rPr>
        <w:t> </w:t>
      </w:r>
      <w:r w:rsidRPr="00963199">
        <w:rPr>
          <w:rStyle w:val="Appelnotedebasdep"/>
        </w:rPr>
        <w:footnoteReference w:id="135"/>
      </w:r>
      <w:r w:rsidRPr="00675326">
        <w:rPr>
          <w:szCs w:val="22"/>
        </w:rPr>
        <w:t>.</w:t>
      </w:r>
      <w:r>
        <w:rPr>
          <w:szCs w:val="22"/>
        </w:rPr>
        <w:t xml:space="preserve"> </w:t>
      </w:r>
    </w:p>
    <w:p w:rsidR="00AD690E" w:rsidRPr="00675326" w:rsidRDefault="00AD690E" w:rsidP="00AD690E">
      <w:pPr>
        <w:spacing w:before="120" w:after="120"/>
        <w:ind w:left="720" w:hanging="360"/>
        <w:jc w:val="both"/>
      </w:pPr>
      <w:r w:rsidRPr="00675326">
        <w:rPr>
          <w:szCs w:val="22"/>
        </w:rPr>
        <w:t>•</w:t>
      </w:r>
      <w:r w:rsidRPr="00675326">
        <w:rPr>
          <w:szCs w:val="22"/>
        </w:rPr>
        <w:tab/>
        <w:t>L'étape suivante porterait sur les institutions gouvernementales centrales.</w:t>
      </w:r>
      <w:r>
        <w:rPr>
          <w:szCs w:val="22"/>
        </w:rPr>
        <w:t xml:space="preserve"> </w:t>
      </w:r>
      <w:r w:rsidRPr="00675326">
        <w:rPr>
          <w:szCs w:val="22"/>
        </w:rPr>
        <w:t>Dans la mesure où le « fédéralisme ne consiste pas simplement à répartir les compétences » entre niveaux de go</w:t>
      </w:r>
      <w:r w:rsidRPr="00675326">
        <w:rPr>
          <w:szCs w:val="22"/>
        </w:rPr>
        <w:t>u</w:t>
      </w:r>
      <w:r w:rsidRPr="00675326">
        <w:rPr>
          <w:szCs w:val="22"/>
        </w:rPr>
        <w:t>vernement, il importe de revoir ou de mieux définir le rôle et les pouvoirs de certaines institutions telles que le sénat et la Cour suprême.</w:t>
      </w:r>
    </w:p>
    <w:p w:rsidR="00AD690E" w:rsidRDefault="00AD690E" w:rsidP="00AD690E">
      <w:pPr>
        <w:spacing w:before="120" w:after="120"/>
        <w:ind w:left="720" w:hanging="360"/>
        <w:jc w:val="both"/>
        <w:rPr>
          <w:szCs w:val="22"/>
        </w:rPr>
      </w:pPr>
      <w:r>
        <w:rPr>
          <w:szCs w:val="22"/>
        </w:rPr>
        <w:t>•</w:t>
      </w:r>
      <w:r>
        <w:rPr>
          <w:szCs w:val="22"/>
        </w:rPr>
        <w:tab/>
      </w:r>
      <w:r w:rsidRPr="00675326">
        <w:rPr>
          <w:szCs w:val="22"/>
        </w:rPr>
        <w:t>Finalement, le troisième aspect qui exige une révision, c'est la répartition des compétences. Il est cependant clair pour le go</w:t>
      </w:r>
      <w:r w:rsidRPr="00675326">
        <w:rPr>
          <w:szCs w:val="22"/>
        </w:rPr>
        <w:t>u</w:t>
      </w:r>
      <w:r w:rsidRPr="00675326">
        <w:rPr>
          <w:szCs w:val="22"/>
        </w:rPr>
        <w:t>vernement fédéral qu'une nouvelle répartition ne peut être pe</w:t>
      </w:r>
      <w:r w:rsidRPr="00675326">
        <w:rPr>
          <w:szCs w:val="22"/>
        </w:rPr>
        <w:t>r</w:t>
      </w:r>
      <w:r w:rsidRPr="00675326">
        <w:rPr>
          <w:szCs w:val="22"/>
        </w:rPr>
        <w:t>çue comme une solution aux problèmes liés à l'existence de deux groupes linguistiques au Canada. Il ne saurait être que</w:t>
      </w:r>
      <w:r w:rsidRPr="00675326">
        <w:rPr>
          <w:szCs w:val="22"/>
        </w:rPr>
        <w:t>s</w:t>
      </w:r>
      <w:r w:rsidRPr="00675326">
        <w:rPr>
          <w:szCs w:val="22"/>
        </w:rPr>
        <w:t>tion, « sous prétexte de protéger les droits linguistiques et les intérêts provinciaux, [de] porter atteinte à la capacité du go</w:t>
      </w:r>
      <w:r w:rsidRPr="00675326">
        <w:rPr>
          <w:szCs w:val="22"/>
        </w:rPr>
        <w:t>u</w:t>
      </w:r>
      <w:r w:rsidRPr="00675326">
        <w:rPr>
          <w:szCs w:val="22"/>
        </w:rPr>
        <w:t xml:space="preserve">vernement fédéral d'agir pour le Canada, </w:t>
      </w:r>
      <w:r w:rsidRPr="00675326">
        <w:rPr>
          <w:i/>
          <w:iCs/>
          <w:szCs w:val="22"/>
        </w:rPr>
        <w:t>alors que les garanties constitutionnelles et les institutions du système fédérai pou</w:t>
      </w:r>
      <w:r w:rsidRPr="00675326">
        <w:rPr>
          <w:i/>
          <w:iCs/>
          <w:szCs w:val="22"/>
        </w:rPr>
        <w:t>r</w:t>
      </w:r>
      <w:r w:rsidRPr="00675326">
        <w:rPr>
          <w:i/>
          <w:iCs/>
          <w:szCs w:val="22"/>
        </w:rPr>
        <w:t>raient réaliser</w:t>
      </w:r>
      <w:r>
        <w:rPr>
          <w:iCs/>
          <w:szCs w:val="22"/>
        </w:rPr>
        <w:t xml:space="preserve"> </w:t>
      </w:r>
      <w:r>
        <w:rPr>
          <w:szCs w:val="18"/>
        </w:rPr>
        <w:t>[</w:t>
      </w:r>
      <w:r w:rsidRPr="00675326">
        <w:t>82</w:t>
      </w:r>
      <w:r>
        <w:t xml:space="preserve">] </w:t>
      </w:r>
      <w:r w:rsidRPr="00675326">
        <w:rPr>
          <w:i/>
          <w:iCs/>
        </w:rPr>
        <w:t>l'essentiel »</w:t>
      </w:r>
      <w:r>
        <w:rPr>
          <w:iCs/>
          <w:vertAlign w:val="superscript"/>
        </w:rPr>
        <w:t> </w:t>
      </w:r>
      <w:r w:rsidRPr="003D5D53">
        <w:rPr>
          <w:rStyle w:val="Appelnotedebasdep"/>
          <w:iCs/>
        </w:rPr>
        <w:footnoteReference w:id="136"/>
      </w:r>
      <w:r w:rsidRPr="00675326">
        <w:rPr>
          <w:i/>
          <w:iCs/>
        </w:rPr>
        <w:t xml:space="preserve">. </w:t>
      </w:r>
      <w:r w:rsidRPr="00675326">
        <w:t>Cette révision devrait s'in</w:t>
      </w:r>
      <w:r w:rsidRPr="00675326">
        <w:t>s</w:t>
      </w:r>
      <w:r w:rsidRPr="00675326">
        <w:t>pirer de règles fon</w:t>
      </w:r>
      <w:r w:rsidRPr="00675326">
        <w:t>c</w:t>
      </w:r>
      <w:r w:rsidRPr="00675326">
        <w:t>tionnelles</w:t>
      </w:r>
      <w:r>
        <w:t xml:space="preserve"> </w:t>
      </w:r>
      <w:r w:rsidRPr="00675326">
        <w:t>plutôt que de se fonder sur des considérations ethn</w:t>
      </w:r>
      <w:r w:rsidRPr="00675326">
        <w:t>i</w:t>
      </w:r>
      <w:r w:rsidRPr="00675326">
        <w:t>ques.</w:t>
      </w:r>
      <w:r w:rsidRPr="003D5D53">
        <w:rPr>
          <w:szCs w:val="22"/>
        </w:rPr>
        <w:t xml:space="preserve"> </w:t>
      </w:r>
    </w:p>
    <w:p w:rsidR="00AD690E" w:rsidRDefault="00AD690E" w:rsidP="00AD690E">
      <w:pPr>
        <w:spacing w:before="120" w:after="120"/>
        <w:jc w:val="both"/>
      </w:pPr>
    </w:p>
    <w:p w:rsidR="00AD690E" w:rsidRPr="00675326" w:rsidRDefault="00AD690E" w:rsidP="00AD690E">
      <w:pPr>
        <w:spacing w:before="120" w:after="120"/>
        <w:jc w:val="both"/>
      </w:pPr>
      <w:r w:rsidRPr="00675326">
        <w:t>Cette déclaration préliminaire entend disposer de la rhétorique québécoise reposant sur la notion de droits collectifs, sur le recoup</w:t>
      </w:r>
      <w:r w:rsidRPr="00675326">
        <w:t>e</w:t>
      </w:r>
      <w:r w:rsidRPr="00675326">
        <w:t xml:space="preserve">ment entre nation canadienne-française et gouvernement du Québec, et sur le partage des compétences comme clé de voûte de la révision constitutionnelle. En rendant justice à l'idée de droits linguistiques présente dans le </w:t>
      </w:r>
      <w:r w:rsidRPr="00675326">
        <w:rPr>
          <w:i/>
          <w:iCs/>
        </w:rPr>
        <w:t xml:space="preserve">Rapport B-B, </w:t>
      </w:r>
      <w:r w:rsidRPr="00675326">
        <w:t>le gouvernement fédéral emprunte le comportement typique de majorité des Canadiens anglais, en acco</w:t>
      </w:r>
      <w:r w:rsidRPr="00675326">
        <w:t>r</w:t>
      </w:r>
      <w:r w:rsidRPr="00675326">
        <w:t>dant toute l'importance aux libertés individuelles ; même les droits linguistiques sont saisis dans une dimension essentiellement indiv</w:t>
      </w:r>
      <w:r w:rsidRPr="00675326">
        <w:t>i</w:t>
      </w:r>
      <w:r w:rsidRPr="00675326">
        <w:t>duelle.</w:t>
      </w:r>
    </w:p>
    <w:p w:rsidR="00AD690E" w:rsidRPr="00675326" w:rsidRDefault="00AD690E" w:rsidP="00AD690E">
      <w:pPr>
        <w:spacing w:before="120" w:after="120"/>
        <w:jc w:val="both"/>
      </w:pPr>
      <w:r w:rsidRPr="00675326">
        <w:t>Évidemment, le programme de travail sera amendé, mais la dyn</w:t>
      </w:r>
      <w:r w:rsidRPr="00675326">
        <w:t>a</w:t>
      </w:r>
      <w:r w:rsidRPr="00675326">
        <w:t>mique d'ensemble reflétera la vision fédérale exposée d'entrée de jeu. Lors de cette conférence, Lester B. Pearson fait sa dernière prestation à titre de premier ministre ; la course à la succession, déjà engagée, habite cette conférence constitutionnelle, car l'un des principaux ca</w:t>
      </w:r>
      <w:r w:rsidRPr="00675326">
        <w:t>n</w:t>
      </w:r>
      <w:r w:rsidRPr="00675326">
        <w:t>didats, Pierre Elliott Trudeau, agit aussi comme ministre fédéral de la Justice et, à ce titre, est un responsable de premier plan de la re</w:t>
      </w:r>
      <w:r w:rsidRPr="00675326">
        <w:t>n</w:t>
      </w:r>
      <w:r w:rsidRPr="00675326">
        <w:t>contre.</w:t>
      </w:r>
    </w:p>
    <w:p w:rsidR="00AD690E" w:rsidRDefault="00AD690E" w:rsidP="00AD690E">
      <w:pPr>
        <w:spacing w:before="120" w:after="120"/>
        <w:jc w:val="both"/>
      </w:pPr>
    </w:p>
    <w:p w:rsidR="00AD690E" w:rsidRPr="00675326" w:rsidRDefault="00AD690E" w:rsidP="00AD690E">
      <w:pPr>
        <w:pStyle w:val="planche"/>
      </w:pPr>
      <w:r>
        <w:t>L'È</w:t>
      </w:r>
      <w:r w:rsidRPr="00675326">
        <w:t>RE TRUDEAU</w:t>
      </w:r>
    </w:p>
    <w:p w:rsidR="00AD690E" w:rsidRDefault="00AD690E" w:rsidP="00AD690E">
      <w:pPr>
        <w:spacing w:before="120" w:after="120"/>
        <w:jc w:val="both"/>
      </w:pPr>
    </w:p>
    <w:p w:rsidR="00AD690E" w:rsidRPr="00675326" w:rsidRDefault="00AD690E" w:rsidP="00AD690E">
      <w:pPr>
        <w:spacing w:before="120" w:after="120"/>
        <w:jc w:val="both"/>
      </w:pPr>
      <w:r w:rsidRPr="00675326">
        <w:t>La révision constitutionnelle qui s'ouvre en 1968 sera poursuivie sous la direction de Pierre Trudeau, dont les positions tranchées vont dominer l'ensemble du débat. Déjà, par des prises de position antérie</w:t>
      </w:r>
      <w:r w:rsidRPr="00675326">
        <w:t>u</w:t>
      </w:r>
      <w:r w:rsidRPr="00675326">
        <w:t>res, il a tracé son schéma d'argumentation. La démarche fédérale ne subit pas de réorientation radicale, mais la problématique qui sera o</w:t>
      </w:r>
      <w:r w:rsidRPr="00675326">
        <w:t>p</w:t>
      </w:r>
      <w:r w:rsidRPr="00675326">
        <w:t>posée aux provinces est resserrée notamment dans son traitement de la question nationale. Entre autres choses, Pierre Trudeau s'applique à neutraliser les postulats qui charpentent la position québécoise. Il est bon de reprendre certaines propositions qui avaient été avancées et qui demeureront centrales par la suite.</w:t>
      </w:r>
    </w:p>
    <w:p w:rsidR="00AD690E" w:rsidRDefault="00AD690E" w:rsidP="00AD690E">
      <w:pPr>
        <w:spacing w:before="120" w:after="120"/>
        <w:jc w:val="both"/>
      </w:pPr>
    </w:p>
    <w:p w:rsidR="00AD690E" w:rsidRPr="003D5D53" w:rsidRDefault="00AD690E" w:rsidP="00AD690E">
      <w:pPr>
        <w:pStyle w:val="a"/>
      </w:pPr>
      <w:r w:rsidRPr="003D5D53">
        <w:t>Une pensée politique et constitutionnelle</w:t>
      </w:r>
    </w:p>
    <w:p w:rsidR="00AD690E" w:rsidRDefault="00AD690E" w:rsidP="00AD690E">
      <w:pPr>
        <w:spacing w:before="120" w:after="120"/>
        <w:jc w:val="both"/>
      </w:pPr>
    </w:p>
    <w:p w:rsidR="00AD690E" w:rsidRPr="00675326" w:rsidRDefault="00AD690E" w:rsidP="00AD690E">
      <w:pPr>
        <w:spacing w:before="120" w:after="120"/>
        <w:jc w:val="both"/>
      </w:pPr>
      <w:r w:rsidRPr="00675326">
        <w:t>Pour Trudeau, la nécessité d'une révision constitutionnelle ne brille pas d'évidence. Cosignataire du « Manifeste pour une politique fon</w:t>
      </w:r>
      <w:r w:rsidRPr="00675326">
        <w:t>c</w:t>
      </w:r>
      <w:r w:rsidRPr="00675326">
        <w:t xml:space="preserve">tionnelle » dans </w:t>
      </w:r>
      <w:r w:rsidRPr="00675326">
        <w:rPr>
          <w:i/>
          <w:iCs/>
        </w:rPr>
        <w:t xml:space="preserve">Cité libre, </w:t>
      </w:r>
      <w:r w:rsidRPr="00675326">
        <w:t>il écrit en 1964 que « les problèmes const</w:t>
      </w:r>
      <w:r w:rsidRPr="00675326">
        <w:t>i</w:t>
      </w:r>
      <w:r w:rsidRPr="00675326">
        <w:t>tutionnels au Canada sont loin d'être aussi graves et aussi importants qu'on le laisse entendre », et que les</w:t>
      </w:r>
      <w:r>
        <w:t xml:space="preserve"> [83] </w:t>
      </w:r>
      <w:r w:rsidRPr="00675326">
        <w:t>efforts qui y sont consacrés « représentent autant d'énergie enlevée à la solution des problèmes plus urgents et plus fondamentaux » de la société canadienne</w:t>
      </w:r>
      <w:r>
        <w:rPr>
          <w:vertAlign w:val="superscript"/>
        </w:rPr>
        <w:t> </w:t>
      </w:r>
      <w:r w:rsidRPr="00963199">
        <w:rPr>
          <w:rStyle w:val="Appelnotedebasdep"/>
        </w:rPr>
        <w:footnoteReference w:id="137"/>
      </w:r>
      <w:r w:rsidRPr="00675326">
        <w:t>.</w:t>
      </w:r>
    </w:p>
    <w:p w:rsidR="00AD690E" w:rsidRPr="00675326" w:rsidRDefault="00AD690E" w:rsidP="00AD690E">
      <w:pPr>
        <w:spacing w:before="120" w:after="120"/>
        <w:jc w:val="both"/>
      </w:pPr>
      <w:r w:rsidRPr="00675326">
        <w:t>Le problème du mépris des Canadiens anglais à l'égard des franc</w:t>
      </w:r>
      <w:r w:rsidRPr="00675326">
        <w:t>o</w:t>
      </w:r>
      <w:r w:rsidRPr="00675326">
        <w:t>phones ne trouvera pas sa solution du côté des grands boulevers</w:t>
      </w:r>
      <w:r w:rsidRPr="00675326">
        <w:t>e</w:t>
      </w:r>
      <w:r w:rsidRPr="00675326">
        <w:t>ments constitutionnels. Seule une vitalité économique et culturelle peut être à la source de la pérennité du fait français en Amérique ; pour ce faire, la collectivité francophone ne doit pas concentrer ses énergies uniquement sur le territoire québécois mais doit plutôt che</w:t>
      </w:r>
      <w:r w:rsidRPr="00675326">
        <w:t>r</w:t>
      </w:r>
      <w:r w:rsidRPr="00675326">
        <w:t xml:space="preserve">cher à s'imposer dans l'ensemble du </w:t>
      </w:r>
      <w:r>
        <w:t>Canada </w:t>
      </w:r>
      <w:r w:rsidRPr="00963199">
        <w:rPr>
          <w:rStyle w:val="Appelnotedebasdep"/>
        </w:rPr>
        <w:footnoteReference w:id="138"/>
      </w:r>
      <w:r w:rsidRPr="00675326">
        <w:t>. Pour que les Can</w:t>
      </w:r>
      <w:r w:rsidRPr="00675326">
        <w:t>a</w:t>
      </w:r>
      <w:r w:rsidRPr="00675326">
        <w:t>diens français occupent la place qui leur revient, il faut, au-delà de la volo</w:t>
      </w:r>
      <w:r w:rsidRPr="00675326">
        <w:t>n</w:t>
      </w:r>
      <w:r w:rsidRPr="00675326">
        <w:t>té, que le Canada applique « au fait français les mêmes règles d'équité que le Québec a toujours appliquées au fait anglais »</w:t>
      </w:r>
      <w:r>
        <w:rPr>
          <w:vertAlign w:val="superscript"/>
        </w:rPr>
        <w:t> </w:t>
      </w:r>
      <w:r w:rsidRPr="00963199">
        <w:rPr>
          <w:rStyle w:val="Appelnotedebasdep"/>
        </w:rPr>
        <w:footnoteReference w:id="139"/>
      </w:r>
      <w:r w:rsidRPr="00675326">
        <w:t>. F</w:t>
      </w:r>
      <w:r w:rsidRPr="00675326">
        <w:t>i</w:t>
      </w:r>
      <w:r w:rsidRPr="00675326">
        <w:t>nalement, l'ouverture du dossier constitutionnel constituerait une gro</w:t>
      </w:r>
      <w:r w:rsidRPr="00675326">
        <w:t>s</w:t>
      </w:r>
      <w:r w:rsidRPr="00675326">
        <w:t>sière erreur stratégique de la part même du Québec : « [...] il y a fort à parier que le Québec obtiendra moins que ce que de toutes façons il est en train de recevoir par la force de choses [...] Est-ce bien le m</w:t>
      </w:r>
      <w:r w:rsidRPr="00675326">
        <w:t>o</w:t>
      </w:r>
      <w:r w:rsidRPr="00675326">
        <w:t>ment, quand la présente lettre et l'interprétation actuelle jouent si pui</w:t>
      </w:r>
      <w:r w:rsidRPr="00675326">
        <w:t>s</w:t>
      </w:r>
      <w:r w:rsidRPr="00675326">
        <w:t>samment en f</w:t>
      </w:r>
      <w:r w:rsidRPr="00675326">
        <w:t>a</w:t>
      </w:r>
      <w:r w:rsidRPr="00675326">
        <w:t>veur de l'autonomie provinciale ? »</w:t>
      </w:r>
      <w:r>
        <w:rPr>
          <w:vertAlign w:val="superscript"/>
        </w:rPr>
        <w:t> </w:t>
      </w:r>
      <w:r>
        <w:rPr>
          <w:rStyle w:val="Appelnotedebasdep"/>
        </w:rPr>
        <w:footnoteReference w:id="140"/>
      </w:r>
      <w:r w:rsidRPr="00675326">
        <w:t xml:space="preserve">. En somme, au printemps 1965, Trudeau plaide en faveur du statu quo constitutionnel puisque la constitution n'a rien </w:t>
      </w:r>
      <w:r>
        <w:t>à</w:t>
      </w:r>
      <w:r w:rsidRPr="00675326">
        <w:t xml:space="preserve"> voir avec l'état d'infériorité économ</w:t>
      </w:r>
      <w:r w:rsidRPr="00675326">
        <w:t>i</w:t>
      </w:r>
      <w:r w:rsidRPr="00675326">
        <w:t>que et sociale des Canadiens français.</w:t>
      </w:r>
    </w:p>
    <w:p w:rsidR="00AD690E" w:rsidRPr="00675326" w:rsidRDefault="00AD690E" w:rsidP="00AD690E">
      <w:pPr>
        <w:spacing w:before="120" w:after="120"/>
        <w:jc w:val="both"/>
      </w:pPr>
      <w:r w:rsidRPr="00675326">
        <w:t>Face à la demande répétée de création d'un comité parlementaire sur la constitution, Trudeau déclare, à titre de secrétaire parlementaire de Pearson, qu'il ne comprend pas la fascination que peut exercer un tel comité, puis il ajoute : « Ceci ne peut nullement, à mon avis, ava</w:t>
      </w:r>
      <w:r w:rsidRPr="00675326">
        <w:t>n</w:t>
      </w:r>
      <w:r w:rsidRPr="00675326">
        <w:t>cer le débat constitutionnel et je pense que ces idées sont surtout nées de personnes qui se sont fait à l'idée que le Canada avait besoin de transformer, de fond en comble, sa Constitution. À mon avis, cette idée est essentiellement l'idée d'une bourgeoisie montante qui veut changer les règles du jeu sans tenir compte des besoins fondame</w:t>
      </w:r>
      <w:r w:rsidRPr="00675326">
        <w:t>n</w:t>
      </w:r>
      <w:r w:rsidRPr="00675326">
        <w:t>taux »</w:t>
      </w:r>
      <w:r>
        <w:rPr>
          <w:vertAlign w:val="superscript"/>
        </w:rPr>
        <w:t> </w:t>
      </w:r>
      <w:r w:rsidRPr="00963199">
        <w:rPr>
          <w:rStyle w:val="Appelnotedebasdep"/>
        </w:rPr>
        <w:footnoteReference w:id="141"/>
      </w:r>
      <w:r w:rsidRPr="00675326">
        <w:t>.</w:t>
      </w:r>
    </w:p>
    <w:p w:rsidR="00AD690E" w:rsidRPr="00675326" w:rsidRDefault="00AD690E" w:rsidP="00AD690E">
      <w:pPr>
        <w:spacing w:before="120" w:after="120"/>
        <w:jc w:val="both"/>
      </w:pPr>
      <w:r w:rsidRPr="00675326">
        <w:t>Cela n'empêche pas que, le processus é</w:t>
      </w:r>
      <w:r>
        <w:t>tan</w:t>
      </w:r>
      <w:r w:rsidRPr="00675326">
        <w:t>t enclenché à la suite de l'initiative de l'Ontario, il y joue un rôle de premier plan et déclare lors de la course au leadership qu'il fera une priorité du règlement constit</w:t>
      </w:r>
      <w:r w:rsidRPr="00675326">
        <w:t>u</w:t>
      </w:r>
      <w:r w:rsidRPr="00675326">
        <w:t>tionnel</w:t>
      </w:r>
      <w:r>
        <w:t> </w:t>
      </w:r>
      <w:r w:rsidRPr="00963199">
        <w:rPr>
          <w:rStyle w:val="Appelnotedebasdep"/>
        </w:rPr>
        <w:footnoteReference w:id="142"/>
      </w:r>
      <w:r w:rsidRPr="00675326">
        <w:t>.</w:t>
      </w:r>
    </w:p>
    <w:p w:rsidR="00AD690E" w:rsidRPr="00675326" w:rsidRDefault="00AD690E" w:rsidP="00AD690E">
      <w:pPr>
        <w:spacing w:before="120" w:after="120"/>
        <w:jc w:val="both"/>
      </w:pPr>
      <w:r w:rsidRPr="00675326">
        <w:t>Trudeau s'oppose aux thèses politiques fondées sur la nation qu</w:t>
      </w:r>
      <w:r w:rsidRPr="00675326">
        <w:t>é</w:t>
      </w:r>
      <w:r w:rsidRPr="00675326">
        <w:t>bécoise, qu'elles débouchent sur l'indépendance ou sur le statut part</w:t>
      </w:r>
      <w:r w:rsidRPr="00675326">
        <w:t>i</w:t>
      </w:r>
      <w:r w:rsidRPr="00675326">
        <w:t>culier.</w:t>
      </w:r>
    </w:p>
    <w:p w:rsidR="00AD690E" w:rsidRDefault="00AD690E" w:rsidP="00AD690E">
      <w:pPr>
        <w:spacing w:before="120" w:after="120"/>
        <w:jc w:val="both"/>
        <w:rPr>
          <w:szCs w:val="22"/>
        </w:rPr>
      </w:pPr>
      <w:r>
        <w:rPr>
          <w:szCs w:val="18"/>
        </w:rPr>
        <w:t>[</w:t>
      </w:r>
      <w:r w:rsidRPr="00675326">
        <w:rPr>
          <w:szCs w:val="22"/>
        </w:rPr>
        <w:t>84</w:t>
      </w:r>
      <w:r>
        <w:rPr>
          <w:szCs w:val="22"/>
        </w:rPr>
        <w:t>]</w:t>
      </w:r>
    </w:p>
    <w:p w:rsidR="00AD690E" w:rsidRPr="00675326" w:rsidRDefault="00AD690E" w:rsidP="00AD690E">
      <w:pPr>
        <w:spacing w:before="120" w:after="120"/>
        <w:jc w:val="both"/>
      </w:pPr>
      <w:r w:rsidRPr="00675326">
        <w:rPr>
          <w:szCs w:val="22"/>
        </w:rPr>
        <w:t>Le raisonnement des tenants de l'indépendance, qui s'appuient sur le droit des peuples à disposer d'eux-mêmes, conduirait à promouvoir l'indépendance de tout groupe ethnique ; or « toute minorité nationale qui se sera libérée découvrira presque invariablement en son sein une nouvelle minorité nationale qui aura le même droit... »</w:t>
      </w:r>
      <w:r>
        <w:rPr>
          <w:szCs w:val="22"/>
        </w:rPr>
        <w:t> </w:t>
      </w:r>
      <w:r w:rsidRPr="00963199">
        <w:rPr>
          <w:rStyle w:val="Appelnotedebasdep"/>
        </w:rPr>
        <w:footnoteReference w:id="143"/>
      </w:r>
      <w:r w:rsidRPr="00675326">
        <w:rPr>
          <w:szCs w:val="22"/>
        </w:rPr>
        <w:t>. Les pr</w:t>
      </w:r>
      <w:r w:rsidRPr="00675326">
        <w:rPr>
          <w:szCs w:val="22"/>
        </w:rPr>
        <w:t>o</w:t>
      </w:r>
      <w:r w:rsidRPr="00675326">
        <w:rPr>
          <w:szCs w:val="22"/>
        </w:rPr>
        <w:t>blèmes du pluralisme ethnique ne doivent pas être résolus de cette mani</w:t>
      </w:r>
      <w:r w:rsidRPr="00675326">
        <w:rPr>
          <w:szCs w:val="22"/>
        </w:rPr>
        <w:t>è</w:t>
      </w:r>
      <w:r w:rsidRPr="00675326">
        <w:rPr>
          <w:szCs w:val="22"/>
        </w:rPr>
        <w:t>re mais plutôt à travers le fédéralisme démocratique. À cet égard, la nation ne doit pas être réduite à un groupement ethnique car, en fait, de nombreuses nations reconnues sont composées de plusieurs co</w:t>
      </w:r>
      <w:r w:rsidRPr="00675326">
        <w:rPr>
          <w:szCs w:val="22"/>
        </w:rPr>
        <w:t>m</w:t>
      </w:r>
      <w:r w:rsidRPr="00675326">
        <w:rPr>
          <w:szCs w:val="22"/>
        </w:rPr>
        <w:t>munautés. Trudeau rejette l'« idée martiale et auto-destructrice d</w:t>
      </w:r>
      <w:r>
        <w:rPr>
          <w:szCs w:val="22"/>
        </w:rPr>
        <w:t>’État</w:t>
      </w:r>
      <w:r w:rsidRPr="00675326">
        <w:rPr>
          <w:szCs w:val="22"/>
        </w:rPr>
        <w:t>-nation » et lui substitue l'« idée civilisatrice du pluralisme p</w:t>
      </w:r>
      <w:r w:rsidRPr="00675326">
        <w:rPr>
          <w:szCs w:val="22"/>
        </w:rPr>
        <w:t>o</w:t>
      </w:r>
      <w:r w:rsidRPr="00675326">
        <w:rPr>
          <w:szCs w:val="22"/>
        </w:rPr>
        <w:t>lyethnique »</w:t>
      </w:r>
      <w:r>
        <w:rPr>
          <w:szCs w:val="22"/>
        </w:rPr>
        <w:t> </w:t>
      </w:r>
      <w:r w:rsidRPr="00963199">
        <w:rPr>
          <w:rStyle w:val="Appelnotedebasdep"/>
        </w:rPr>
        <w:footnoteReference w:id="144"/>
      </w:r>
      <w:r w:rsidRPr="00675326">
        <w:rPr>
          <w:szCs w:val="22"/>
        </w:rPr>
        <w:t>. Par ailleurs, un projet fondé sur la nation-groupe et</w:t>
      </w:r>
      <w:r w:rsidRPr="00675326">
        <w:rPr>
          <w:szCs w:val="22"/>
        </w:rPr>
        <w:t>h</w:t>
      </w:r>
      <w:r w:rsidRPr="00675326">
        <w:rPr>
          <w:szCs w:val="22"/>
        </w:rPr>
        <w:t>nique ne saurait qu'être protectionniste, borné et réactionnaire.</w:t>
      </w:r>
    </w:p>
    <w:p w:rsidR="00AD690E" w:rsidRPr="00675326" w:rsidRDefault="00AD690E" w:rsidP="00AD690E">
      <w:pPr>
        <w:spacing w:before="120" w:after="120"/>
        <w:jc w:val="both"/>
      </w:pPr>
      <w:r w:rsidRPr="00675326">
        <w:rPr>
          <w:szCs w:val="22"/>
        </w:rPr>
        <w:t>Le recoupement qui est fait entre gouvernement du Québec et la nation canadienne-française n'est qu'un artifice chimérique. Cette pr</w:t>
      </w:r>
      <w:r w:rsidRPr="00675326">
        <w:rPr>
          <w:szCs w:val="22"/>
        </w:rPr>
        <w:t>é</w:t>
      </w:r>
      <w:r w:rsidRPr="00675326">
        <w:rPr>
          <w:szCs w:val="22"/>
        </w:rPr>
        <w:t>tention est incorrecte sur le plan constitutionnel puisque le gouvern</w:t>
      </w:r>
      <w:r w:rsidRPr="00675326">
        <w:rPr>
          <w:szCs w:val="22"/>
        </w:rPr>
        <w:t>e</w:t>
      </w:r>
      <w:r w:rsidRPr="00675326">
        <w:rPr>
          <w:szCs w:val="22"/>
        </w:rPr>
        <w:t xml:space="preserve">ment du Québec ne peut se dire le porte-parole des francophones hors Québec et que ce même gouvernement doit tenir compte d'une partie de sa population dont la langue maternelle n'est pas le français. Du point de vue stratégique, si le Québec était désigné comme </w:t>
      </w:r>
      <w:r>
        <w:rPr>
          <w:szCs w:val="22"/>
        </w:rPr>
        <w:t>État</w:t>
      </w:r>
      <w:r w:rsidRPr="00675326">
        <w:rPr>
          <w:szCs w:val="22"/>
        </w:rPr>
        <w:t xml:space="preserve"> des Canadiens français, ces derniers renonceraient implicitement à s'imp</w:t>
      </w:r>
      <w:r w:rsidRPr="00675326">
        <w:rPr>
          <w:szCs w:val="22"/>
        </w:rPr>
        <w:t>o</w:t>
      </w:r>
      <w:r w:rsidRPr="00675326">
        <w:rPr>
          <w:szCs w:val="22"/>
        </w:rPr>
        <w:t>ser à Ottawa et dans les autres provinces, et à réclamer l'égalité li</w:t>
      </w:r>
      <w:r w:rsidRPr="00675326">
        <w:rPr>
          <w:szCs w:val="22"/>
        </w:rPr>
        <w:t>n</w:t>
      </w:r>
      <w:r w:rsidRPr="00675326">
        <w:rPr>
          <w:szCs w:val="22"/>
        </w:rPr>
        <w:t>guistique au sein de la fédération canadienne. Du point de vue phil</w:t>
      </w:r>
      <w:r w:rsidRPr="00675326">
        <w:rPr>
          <w:szCs w:val="22"/>
        </w:rPr>
        <w:t>o</w:t>
      </w:r>
      <w:r w:rsidRPr="00675326">
        <w:rPr>
          <w:szCs w:val="22"/>
        </w:rPr>
        <w:t>sophique, l'exaltation du fait national est condamnable car un gouve</w:t>
      </w:r>
      <w:r w:rsidRPr="00675326">
        <w:rPr>
          <w:szCs w:val="22"/>
        </w:rPr>
        <w:t>r</w:t>
      </w:r>
      <w:r w:rsidRPr="00675326">
        <w:rPr>
          <w:szCs w:val="22"/>
        </w:rPr>
        <w:t>nement démocratique doit poursuivre la vertu du civisme et non du nationalisme</w:t>
      </w:r>
      <w:r>
        <w:rPr>
          <w:szCs w:val="22"/>
        </w:rPr>
        <w:t> </w:t>
      </w:r>
      <w:r w:rsidRPr="00963199">
        <w:rPr>
          <w:rStyle w:val="Appelnotedebasdep"/>
        </w:rPr>
        <w:footnoteReference w:id="145"/>
      </w:r>
      <w:r w:rsidRPr="00675326">
        <w:rPr>
          <w:szCs w:val="22"/>
        </w:rPr>
        <w:t>.</w:t>
      </w:r>
    </w:p>
    <w:p w:rsidR="00AD690E" w:rsidRPr="00675326" w:rsidRDefault="00AD690E" w:rsidP="00AD690E">
      <w:pPr>
        <w:spacing w:before="120" w:after="120"/>
        <w:jc w:val="both"/>
      </w:pPr>
      <w:r w:rsidRPr="00675326">
        <w:rPr>
          <w:szCs w:val="22"/>
        </w:rPr>
        <w:t>La notion de « statut particulier » pour le Québec correspond à un illogisme car « comment concevoir une constitution qui donnerait au Québec plus de pouvoirs qu'aux autres provinces, mais qui ne rédu</w:t>
      </w:r>
      <w:r w:rsidRPr="00675326">
        <w:rPr>
          <w:szCs w:val="22"/>
        </w:rPr>
        <w:t>i</w:t>
      </w:r>
      <w:r w:rsidRPr="00675326">
        <w:rPr>
          <w:szCs w:val="22"/>
        </w:rPr>
        <w:t xml:space="preserve">rait en rien l'influence des Québécois sur Ottawa ? [...] comment faire du Québec l'État national des Canadiens français, avec pouvoirs </w:t>
      </w:r>
      <w:r w:rsidRPr="00675326">
        <w:rPr>
          <w:i/>
          <w:iCs/>
          <w:szCs w:val="22"/>
        </w:rPr>
        <w:t>vra</w:t>
      </w:r>
      <w:r w:rsidRPr="00675326">
        <w:rPr>
          <w:i/>
          <w:iCs/>
          <w:szCs w:val="22"/>
        </w:rPr>
        <w:t>i</w:t>
      </w:r>
      <w:r w:rsidRPr="00675326">
        <w:rPr>
          <w:i/>
          <w:iCs/>
          <w:szCs w:val="22"/>
        </w:rPr>
        <w:t xml:space="preserve">ment </w:t>
      </w:r>
      <w:r w:rsidRPr="00675326">
        <w:rPr>
          <w:szCs w:val="22"/>
        </w:rPr>
        <w:t>particuliers, sans renoncer en même temps à demander la parité du français avec l'anglais à Ottawa, et dans le reste du pays ? »</w:t>
      </w:r>
      <w:r>
        <w:rPr>
          <w:szCs w:val="22"/>
        </w:rPr>
        <w:t> </w:t>
      </w:r>
      <w:r w:rsidRPr="00963199">
        <w:rPr>
          <w:rStyle w:val="Appelnotedebasdep"/>
        </w:rPr>
        <w:footnoteReference w:id="146"/>
      </w:r>
      <w:r w:rsidRPr="00675326">
        <w:rPr>
          <w:szCs w:val="22"/>
        </w:rPr>
        <w:t>. On doit choisir, car il est impossible, « en même temps, de boursoufler les pouvoirs de la province de Québec et s'imaginer qu'on va continuer à faire la loi à Ottawa ou dans les autres provinces »</w:t>
      </w:r>
      <w:r>
        <w:rPr>
          <w:szCs w:val="22"/>
        </w:rPr>
        <w:t> </w:t>
      </w:r>
      <w:r w:rsidRPr="00963199">
        <w:rPr>
          <w:rStyle w:val="Appelnotedebasdep"/>
        </w:rPr>
        <w:footnoteReference w:id="147"/>
      </w:r>
      <w:r w:rsidRPr="00675326">
        <w:rPr>
          <w:szCs w:val="22"/>
        </w:rPr>
        <w:t>. Par ailleurs, les Canadiens français « doivent refuser de se laisser enfermer dans la boîte québécoise », car à long terme cela aurait pour effet d'« affaiblir les valeurs que nous aurions soustraites à l'épreuve de la concurre</w:t>
      </w:r>
      <w:r w:rsidRPr="00675326">
        <w:rPr>
          <w:szCs w:val="22"/>
        </w:rPr>
        <w:t>n</w:t>
      </w:r>
      <w:r w:rsidRPr="00675326">
        <w:rPr>
          <w:szCs w:val="22"/>
        </w:rPr>
        <w:t>ce »</w:t>
      </w:r>
      <w:r>
        <w:rPr>
          <w:szCs w:val="22"/>
        </w:rPr>
        <w:t> </w:t>
      </w:r>
      <w:r w:rsidRPr="00963199">
        <w:rPr>
          <w:rStyle w:val="Appelnotedebasdep"/>
        </w:rPr>
        <w:footnoteReference w:id="148"/>
      </w:r>
      <w:r w:rsidRPr="00675326">
        <w:rPr>
          <w:szCs w:val="22"/>
        </w:rPr>
        <w:t>. Mais au-delà de la question québécoise, pour Trudeau, le f</w:t>
      </w:r>
      <w:r w:rsidRPr="00675326">
        <w:rPr>
          <w:szCs w:val="22"/>
        </w:rPr>
        <w:t>é</w:t>
      </w:r>
      <w:r w:rsidRPr="00675326">
        <w:rPr>
          <w:szCs w:val="22"/>
        </w:rPr>
        <w:t>déralisme canadien ne peut, sous peine, de s'hypothéquer durabl</w:t>
      </w:r>
      <w:r w:rsidRPr="00675326">
        <w:rPr>
          <w:szCs w:val="22"/>
        </w:rPr>
        <w:t>e</w:t>
      </w:r>
      <w:r w:rsidRPr="00675326">
        <w:rPr>
          <w:szCs w:val="22"/>
        </w:rPr>
        <w:t>ment, permettre une asymétrie constitutionnelle dans la répartition et</w:t>
      </w:r>
      <w:r>
        <w:rPr>
          <w:szCs w:val="22"/>
        </w:rPr>
        <w:t xml:space="preserve"> </w:t>
      </w:r>
      <w:r>
        <w:rPr>
          <w:szCs w:val="18"/>
        </w:rPr>
        <w:t xml:space="preserve">[85] </w:t>
      </w:r>
      <w:r w:rsidRPr="00675326">
        <w:rPr>
          <w:szCs w:val="22"/>
        </w:rPr>
        <w:t>l'usage des compétences législatives. Cette position générale e</w:t>
      </w:r>
      <w:r w:rsidRPr="00675326">
        <w:rPr>
          <w:szCs w:val="22"/>
        </w:rPr>
        <w:t>x</w:t>
      </w:r>
      <w:r w:rsidRPr="00675326">
        <w:rPr>
          <w:szCs w:val="22"/>
        </w:rPr>
        <w:t>plique le jugement négatif de Trudeau à l'égard de la « formule Fu</w:t>
      </w:r>
      <w:r w:rsidRPr="00675326">
        <w:rPr>
          <w:szCs w:val="22"/>
        </w:rPr>
        <w:t>l</w:t>
      </w:r>
      <w:r w:rsidRPr="00675326">
        <w:rPr>
          <w:szCs w:val="22"/>
        </w:rPr>
        <w:t>ton-Favreau ». Selon lui, la technique de délégation des pouvoirs pr</w:t>
      </w:r>
      <w:r w:rsidRPr="00675326">
        <w:rPr>
          <w:szCs w:val="22"/>
        </w:rPr>
        <w:t>o</w:t>
      </w:r>
      <w:r w:rsidRPr="00675326">
        <w:rPr>
          <w:szCs w:val="22"/>
        </w:rPr>
        <w:t>du</w:t>
      </w:r>
      <w:r w:rsidRPr="00675326">
        <w:rPr>
          <w:szCs w:val="22"/>
        </w:rPr>
        <w:t>i</w:t>
      </w:r>
      <w:r w:rsidRPr="00675326">
        <w:rPr>
          <w:szCs w:val="22"/>
        </w:rPr>
        <w:t>rait, à terme, un fédéralisme éclaté et des pouvoirs provinciaux multiformes de telle sorte que le Parlement central aurait une juridi</w:t>
      </w:r>
      <w:r w:rsidRPr="00675326">
        <w:rPr>
          <w:szCs w:val="22"/>
        </w:rPr>
        <w:t>c</w:t>
      </w:r>
      <w:r w:rsidRPr="00675326">
        <w:rPr>
          <w:szCs w:val="22"/>
        </w:rPr>
        <w:t>tion variable sur les citoyens canadiens, affaiblissant le fédéralisme et rendant ainsi hautement complexe la représentation politique nation</w:t>
      </w:r>
      <w:r w:rsidRPr="00675326">
        <w:rPr>
          <w:szCs w:val="22"/>
        </w:rPr>
        <w:t>a</w:t>
      </w:r>
      <w:r w:rsidRPr="00675326">
        <w:rPr>
          <w:szCs w:val="22"/>
        </w:rPr>
        <w:t>le</w:t>
      </w:r>
      <w:r>
        <w:rPr>
          <w:szCs w:val="22"/>
        </w:rPr>
        <w:t> </w:t>
      </w:r>
      <w:r w:rsidRPr="00963199">
        <w:rPr>
          <w:rStyle w:val="Appelnotedebasdep"/>
        </w:rPr>
        <w:footnoteReference w:id="149"/>
      </w:r>
      <w:r w:rsidRPr="00675326">
        <w:rPr>
          <w:szCs w:val="22"/>
        </w:rPr>
        <w:t>.</w:t>
      </w:r>
    </w:p>
    <w:p w:rsidR="00AD690E" w:rsidRDefault="00AD690E" w:rsidP="00AD690E">
      <w:pPr>
        <w:spacing w:before="120" w:after="120"/>
        <w:jc w:val="both"/>
        <w:rPr>
          <w:szCs w:val="22"/>
        </w:rPr>
      </w:pPr>
      <w:r w:rsidRPr="00675326">
        <w:rPr>
          <w:szCs w:val="22"/>
        </w:rPr>
        <w:t>Certains points de la pensée politique de Pierre Elliott Trudeau m</w:t>
      </w:r>
      <w:r w:rsidRPr="00675326">
        <w:rPr>
          <w:szCs w:val="22"/>
        </w:rPr>
        <w:t>é</w:t>
      </w:r>
      <w:r w:rsidRPr="00675326">
        <w:rPr>
          <w:szCs w:val="22"/>
        </w:rPr>
        <w:t>ritent d'être soulignés. Face à l'État, il n'y a essentiellement que le c</w:t>
      </w:r>
      <w:r w:rsidRPr="00675326">
        <w:rPr>
          <w:szCs w:val="22"/>
        </w:rPr>
        <w:t>i</w:t>
      </w:r>
      <w:r w:rsidRPr="00675326">
        <w:rPr>
          <w:szCs w:val="22"/>
        </w:rPr>
        <w:t>toyen et les libertés individuelles ; s'il faut prendre acte des groupes ethniques, il sont suspectés d'être à la source d'intolérances, de cha</w:t>
      </w:r>
      <w:r w:rsidRPr="00675326">
        <w:rPr>
          <w:szCs w:val="22"/>
        </w:rPr>
        <w:t>u</w:t>
      </w:r>
      <w:r w:rsidRPr="00675326">
        <w:rPr>
          <w:szCs w:val="22"/>
        </w:rPr>
        <w:t>vinismes et de sectarismes quand ils sont vus comme autre chose que des communautés linguistiques. La société politique ne saurait se d</w:t>
      </w:r>
      <w:r w:rsidRPr="00675326">
        <w:rPr>
          <w:szCs w:val="22"/>
        </w:rPr>
        <w:t>é</w:t>
      </w:r>
      <w:r w:rsidRPr="00675326">
        <w:rPr>
          <w:szCs w:val="22"/>
        </w:rPr>
        <w:t>couper et correspondre à la morphologie polyethnique ; elle doit plutôt se poser comme lieu favorisant les initiatives individuelles ; dans ce</w:t>
      </w:r>
      <w:r w:rsidRPr="00675326">
        <w:rPr>
          <w:szCs w:val="22"/>
        </w:rPr>
        <w:t>r</w:t>
      </w:r>
      <w:r w:rsidRPr="00675326">
        <w:rPr>
          <w:szCs w:val="22"/>
        </w:rPr>
        <w:t>taines circonstances, la reconnaissance de droits linguistiques peut faciliter la contribution du plus grand nombre à l'</w:t>
      </w:r>
      <w:r>
        <w:rPr>
          <w:szCs w:val="22"/>
        </w:rPr>
        <w:t>œuvre</w:t>
      </w:r>
      <w:r w:rsidRPr="00675326">
        <w:rPr>
          <w:szCs w:val="22"/>
        </w:rPr>
        <w:t xml:space="preserve"> collective. En ce sens, les Canadiens français, compris comme groupe linguistique, voire culturel, doivent trouver un cadre juridique plus adéquat perme</w:t>
      </w:r>
      <w:r w:rsidRPr="00675326">
        <w:rPr>
          <w:szCs w:val="22"/>
        </w:rPr>
        <w:t>t</w:t>
      </w:r>
      <w:r w:rsidRPr="00675326">
        <w:rPr>
          <w:szCs w:val="22"/>
        </w:rPr>
        <w:t xml:space="preserve">tant une </w:t>
      </w:r>
      <w:r>
        <w:rPr>
          <w:szCs w:val="22"/>
        </w:rPr>
        <w:t>meilleure équité entre les individ</w:t>
      </w:r>
      <w:r w:rsidRPr="00675326">
        <w:rPr>
          <w:szCs w:val="22"/>
        </w:rPr>
        <w:t>us. Le recoupement fait par les nationalistes québécois entre le gouvernement du Québec et la n</w:t>
      </w:r>
      <w:r w:rsidRPr="00675326">
        <w:rPr>
          <w:szCs w:val="22"/>
        </w:rPr>
        <w:t>a</w:t>
      </w:r>
      <w:r w:rsidRPr="00675326">
        <w:rPr>
          <w:szCs w:val="22"/>
        </w:rPr>
        <w:t>tion canadienne-française est rejeté tantôt en utilisant les francophones hors Québec comme otages, tantôt avec mépris pour les petits ense</w:t>
      </w:r>
      <w:r w:rsidRPr="00675326">
        <w:rPr>
          <w:szCs w:val="22"/>
        </w:rPr>
        <w:t>m</w:t>
      </w:r>
      <w:r w:rsidRPr="00675326">
        <w:rPr>
          <w:szCs w:val="22"/>
        </w:rPr>
        <w:t>bles (« [...] les Canadiens français ne seront pas uniquement maîtres chez eux, dans leur petite province, mais [...] ils seront maîtres chez eux dans l'ensemble du pays »</w:t>
      </w:r>
      <w:r>
        <w:rPr>
          <w:szCs w:val="22"/>
        </w:rPr>
        <w:t> </w:t>
      </w:r>
      <w:r w:rsidRPr="00963199">
        <w:rPr>
          <w:rStyle w:val="Appelnotedebasdep"/>
        </w:rPr>
        <w:footnoteReference w:id="150"/>
      </w:r>
      <w:r w:rsidRPr="00675326">
        <w:rPr>
          <w:szCs w:val="22"/>
        </w:rPr>
        <w:t>), comme si un messianisme no</w:t>
      </w:r>
      <w:r w:rsidRPr="00675326">
        <w:rPr>
          <w:szCs w:val="22"/>
        </w:rPr>
        <w:t>u</w:t>
      </w:r>
      <w:r w:rsidRPr="00675326">
        <w:rPr>
          <w:szCs w:val="22"/>
        </w:rPr>
        <w:t>veau genre engageait désormais les Canadiens français à coloniser l'ense</w:t>
      </w:r>
      <w:r w:rsidRPr="00675326">
        <w:rPr>
          <w:szCs w:val="22"/>
        </w:rPr>
        <w:t>m</w:t>
      </w:r>
      <w:r w:rsidRPr="00675326">
        <w:rPr>
          <w:szCs w:val="22"/>
        </w:rPr>
        <w:t>ble canadien.</w:t>
      </w:r>
    </w:p>
    <w:p w:rsidR="00AD690E" w:rsidRPr="00675326" w:rsidRDefault="00AD690E" w:rsidP="00AD690E">
      <w:pPr>
        <w:spacing w:before="120" w:after="120"/>
        <w:jc w:val="both"/>
      </w:pPr>
    </w:p>
    <w:p w:rsidR="00AD690E" w:rsidRPr="001E65B2" w:rsidRDefault="00AD690E" w:rsidP="00AD690E">
      <w:pPr>
        <w:pStyle w:val="a"/>
      </w:pPr>
      <w:r w:rsidRPr="001E65B2">
        <w:t>Point central : une Charte des droits</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Lorsqu'à titre de ministre responsable, Trudeau présente, à la conférence constitutionnelle de février 1968, la démarche fédérale centrée prioritairement sur une Charte des droits, il établit le cadre qui va guider par la suite son propre cheminement</w:t>
      </w:r>
      <w:r>
        <w:rPr>
          <w:szCs w:val="22"/>
          <w:vertAlign w:val="superscript"/>
        </w:rPr>
        <w:t> </w:t>
      </w:r>
      <w:r>
        <w:rPr>
          <w:rStyle w:val="Appelnotedebasdep"/>
          <w:vertAlign w:val="superscript"/>
        </w:rPr>
        <w:footnoteReference w:id="151"/>
      </w:r>
      <w:r w:rsidRPr="00675326">
        <w:rPr>
          <w:szCs w:val="22"/>
        </w:rPr>
        <w:t>. En matière linguist</w:t>
      </w:r>
      <w:r w:rsidRPr="00675326">
        <w:rPr>
          <w:szCs w:val="22"/>
        </w:rPr>
        <w:t>i</w:t>
      </w:r>
      <w:r w:rsidRPr="00675326">
        <w:rPr>
          <w:szCs w:val="22"/>
        </w:rPr>
        <w:t>que, il reprend l'esprit sinon la lettre des propositions de la Commi</w:t>
      </w:r>
      <w:r w:rsidRPr="00675326">
        <w:rPr>
          <w:szCs w:val="22"/>
        </w:rPr>
        <w:t>s</w:t>
      </w:r>
      <w:r w:rsidRPr="00675326">
        <w:rPr>
          <w:szCs w:val="22"/>
        </w:rPr>
        <w:t xml:space="preserve">sion B-B, mais en les dépouillant de la problématique énoncée dans le </w:t>
      </w:r>
      <w:r w:rsidRPr="00675326">
        <w:rPr>
          <w:i/>
          <w:iCs/>
          <w:szCs w:val="22"/>
        </w:rPr>
        <w:t xml:space="preserve">Rapport préliminaire. </w:t>
      </w:r>
      <w:r w:rsidRPr="00675326">
        <w:rPr>
          <w:szCs w:val="22"/>
        </w:rPr>
        <w:t>Par exemple, l'idée d'une double majorité, ch</w:t>
      </w:r>
      <w:r w:rsidRPr="00675326">
        <w:rPr>
          <w:szCs w:val="22"/>
        </w:rPr>
        <w:t>a</w:t>
      </w:r>
      <w:r w:rsidRPr="00675326">
        <w:rPr>
          <w:szCs w:val="22"/>
        </w:rPr>
        <w:t>cune dans leur espace, et celle de « plus grave crise que le Canada n'ait traversée » apparaîtront comme non pertinentes. D'ailleurs, en 1965, ses ex</w:t>
      </w:r>
      <w:r>
        <w:rPr>
          <w:szCs w:val="22"/>
        </w:rPr>
        <w:t>-</w:t>
      </w:r>
      <w:r w:rsidRPr="00675326">
        <w:rPr>
          <w:szCs w:val="22"/>
        </w:rPr>
        <w:t xml:space="preserve">collègues de </w:t>
      </w:r>
      <w:r w:rsidRPr="00675326">
        <w:rPr>
          <w:i/>
          <w:iCs/>
          <w:szCs w:val="22"/>
        </w:rPr>
        <w:t xml:space="preserve">Cité libre </w:t>
      </w:r>
      <w:r w:rsidRPr="00675326">
        <w:rPr>
          <w:szCs w:val="22"/>
        </w:rPr>
        <w:t>critiquent ce rapport parce qu'il se nourrit de principes</w:t>
      </w:r>
      <w:r>
        <w:rPr>
          <w:szCs w:val="22"/>
        </w:rPr>
        <w:t xml:space="preserve"> </w:t>
      </w:r>
      <w:r>
        <w:rPr>
          <w:szCs w:val="18"/>
        </w:rPr>
        <w:t>[</w:t>
      </w:r>
      <w:r w:rsidRPr="00675326">
        <w:t>86</w:t>
      </w:r>
      <w:r>
        <w:t xml:space="preserve">] </w:t>
      </w:r>
      <w:r w:rsidRPr="00675326">
        <w:t>« corrosifs », comme « l'idée d'égalité entre les deux peuples », et que la crise dont on parle semble ne devoir être qu'une « construction de l'esprit, et de l'esprit petit bourgeois »</w:t>
      </w:r>
      <w:r>
        <w:t> </w:t>
      </w:r>
      <w:r w:rsidRPr="00963199">
        <w:rPr>
          <w:rStyle w:val="Appelnotedebasdep"/>
        </w:rPr>
        <w:footnoteReference w:id="152"/>
      </w:r>
      <w:r w:rsidRPr="00675326">
        <w:t>.</w:t>
      </w:r>
    </w:p>
    <w:p w:rsidR="00AD690E" w:rsidRPr="00675326" w:rsidRDefault="00AD690E" w:rsidP="00AD690E">
      <w:pPr>
        <w:spacing w:before="120" w:after="120"/>
        <w:jc w:val="both"/>
      </w:pPr>
      <w:r w:rsidRPr="00675326">
        <w:t>La réforme constitutionnelle, si elle doit avoir lieu, doit se faire dans l'ordre. L'établissement des « idéaux fondamentaux » de la vie canadienne devrait constituer le point de départ de l'exercice ; co</w:t>
      </w:r>
      <w:r w:rsidRPr="00675326">
        <w:t>m</w:t>
      </w:r>
      <w:r w:rsidRPr="00675326">
        <w:t>ment mieux les fixer que « par l'affirmation des libertés humaines auxquelles nous croyons que le peuple de ce pays a un droit absolu ? » Ainsi, une Charte des droits de l'homme est proposée comme pièce maîtresse de cette révision constitutionnelle. Elle comprendrait quatre catégories de droits : les droits politiques, les droits juridiques, la pr</w:t>
      </w:r>
      <w:r w:rsidRPr="00675326">
        <w:t>o</w:t>
      </w:r>
      <w:r w:rsidRPr="00675326">
        <w:t>tection contre la discrimination, les droits linguistiques.</w:t>
      </w:r>
    </w:p>
    <w:p w:rsidR="00AD690E" w:rsidRPr="00675326" w:rsidRDefault="00AD690E" w:rsidP="00AD690E">
      <w:pPr>
        <w:spacing w:before="120" w:after="120"/>
        <w:jc w:val="both"/>
      </w:pPr>
      <w:r w:rsidRPr="00675326">
        <w:t>Dans l'esprit de Trudeau, cette Charte offre la seule réponse val</w:t>
      </w:r>
      <w:r w:rsidRPr="00675326">
        <w:t>a</w:t>
      </w:r>
      <w:r w:rsidRPr="00675326">
        <w:t>ble au problème posé par la question nationale. Pour l'essentiel, cette question tient à un conflit linguistique ; le désamorcer par la reco</w:t>
      </w:r>
      <w:r w:rsidRPr="00675326">
        <w:t>n</w:t>
      </w:r>
      <w:r w:rsidRPr="00675326">
        <w:t>naissance de droits fera perdre prise au nationalisme étriqué. « Si on résout le conflit linguistique ; si on fait en sorte que le français ait droit de cité au niveau du gouvernement fédéral et au niveau des a</w:t>
      </w:r>
      <w:r w:rsidRPr="00675326">
        <w:t>u</w:t>
      </w:r>
      <w:r w:rsidRPr="00675326">
        <w:t>tres provinces, les Canadiens français cessent d'être cantonnés dans leur province. Ils acquièrent des droits à vivre, à se gouverner et à s'éduquer dans l'ensemble du pays »</w:t>
      </w:r>
      <w:r>
        <w:t> </w:t>
      </w:r>
      <w:r w:rsidRPr="00963199">
        <w:rPr>
          <w:rStyle w:val="Appelnotedebasdep"/>
        </w:rPr>
        <w:footnoteReference w:id="153"/>
      </w:r>
      <w:r w:rsidRPr="00675326">
        <w:t>.</w:t>
      </w:r>
    </w:p>
    <w:p w:rsidR="00AD690E" w:rsidRPr="00675326" w:rsidRDefault="00AD690E" w:rsidP="00AD690E">
      <w:pPr>
        <w:spacing w:before="120" w:after="120"/>
        <w:jc w:val="both"/>
      </w:pPr>
      <w:r w:rsidRPr="00675326">
        <w:t xml:space="preserve">L'argumentation vise à secondariser la question du partage des compétences. Elle restera à peu près inchangée jusqu'aux discussions devant mener au </w:t>
      </w:r>
      <w:r w:rsidRPr="00675326">
        <w:rPr>
          <w:i/>
          <w:iCs/>
        </w:rPr>
        <w:t xml:space="preserve">Canada Bill. </w:t>
      </w:r>
      <w:r w:rsidRPr="00675326">
        <w:t xml:space="preserve">Une Charte des droits n'implique pas une cession de pouvoirs ou un empiétement fédéral, car « les sujets affectés par la Charte qui sont proprement de compétence provinciale le demeurent ; ils seront soumis à une mise en œuvre </w:t>
      </w:r>
      <w:r w:rsidRPr="00675326">
        <w:rPr>
          <w:i/>
          <w:iCs/>
        </w:rPr>
        <w:t xml:space="preserve">provinciale </w:t>
      </w:r>
      <w:r w:rsidRPr="00675326">
        <w:t>et non fédérale »</w:t>
      </w:r>
      <w:r>
        <w:t> </w:t>
      </w:r>
      <w:r w:rsidRPr="00963199">
        <w:rPr>
          <w:rStyle w:val="Appelnotedebasdep"/>
        </w:rPr>
        <w:footnoteReference w:id="154"/>
      </w:r>
      <w:r w:rsidRPr="00675326">
        <w:t>. S'il y a cession de pouvoir, c'est au profit du pe</w:t>
      </w:r>
      <w:r w:rsidRPr="00675326">
        <w:t>u</w:t>
      </w:r>
      <w:r w:rsidRPr="00675326">
        <w:t>ple ; nous lui devons, car la force première du Canada, c'est lui et non le gouvernement. N'affligeons donc pas le peuple avec des querelles e</w:t>
      </w:r>
      <w:r w:rsidRPr="00675326">
        <w:t>n</w:t>
      </w:r>
      <w:r w:rsidRPr="00675326">
        <w:t xml:space="preserve">tre gouvernements intéressés, dont l'effet est de « compartimenter le Canada en régions ». Au contraire, il faut établir le tout, le patrimoine collectif dans lequel se fond l'ensemble canadien. Les Canadiens « seraient assurés qu'ils ont des valeurs en commun ; [qu'ils] sont unis en tant que </w:t>
      </w:r>
      <w:r w:rsidRPr="00675326">
        <w:rPr>
          <w:i/>
          <w:iCs/>
        </w:rPr>
        <w:t xml:space="preserve">Canadiens ; </w:t>
      </w:r>
      <w:r w:rsidRPr="00675326">
        <w:t>qu'ils ne sont pas divisés par des particulari</w:t>
      </w:r>
      <w:r w:rsidRPr="00675326">
        <w:t>s</w:t>
      </w:r>
      <w:r w:rsidRPr="00675326">
        <w:t>mes provinciaux. »</w:t>
      </w:r>
    </w:p>
    <w:p w:rsidR="00AD690E" w:rsidRPr="00675326" w:rsidRDefault="00AD690E" w:rsidP="00AD690E">
      <w:pPr>
        <w:spacing w:before="120" w:after="120"/>
        <w:jc w:val="both"/>
      </w:pPr>
      <w:r w:rsidRPr="00675326">
        <w:t>Il s'agit d'un préalable. Ce n'est que lorsque cette tâche sera a</w:t>
      </w:r>
      <w:r w:rsidRPr="00675326">
        <w:t>c</w:t>
      </w:r>
      <w:r w:rsidRPr="00675326">
        <w:t>complie qu'il sera possible de se pencher sur les institutions et sur le partage des compétences constitutionnelles.</w:t>
      </w:r>
    </w:p>
    <w:p w:rsidR="00AD690E" w:rsidRDefault="00AD690E" w:rsidP="00AD690E">
      <w:pPr>
        <w:spacing w:before="120" w:after="120"/>
        <w:jc w:val="both"/>
        <w:rPr>
          <w:szCs w:val="18"/>
        </w:rPr>
      </w:pPr>
      <w:r w:rsidRPr="00675326">
        <w:rPr>
          <w:szCs w:val="18"/>
        </w:rPr>
        <w:br w:type="page"/>
      </w:r>
      <w:r>
        <w:rPr>
          <w:szCs w:val="18"/>
        </w:rPr>
        <w:t>[87]</w:t>
      </w:r>
    </w:p>
    <w:p w:rsidR="00AD690E" w:rsidRDefault="00AD690E" w:rsidP="00AD690E">
      <w:pPr>
        <w:spacing w:before="120" w:after="120"/>
        <w:jc w:val="both"/>
        <w:rPr>
          <w:szCs w:val="18"/>
        </w:rPr>
      </w:pPr>
    </w:p>
    <w:p w:rsidR="00AD690E" w:rsidRPr="00257E21" w:rsidRDefault="00AD690E" w:rsidP="00AD690E">
      <w:pPr>
        <w:pStyle w:val="a"/>
      </w:pPr>
      <w:r w:rsidRPr="00257E21">
        <w:t>En route pour Victoria</w:t>
      </w:r>
    </w:p>
    <w:p w:rsidR="00AD690E" w:rsidRDefault="00AD690E" w:rsidP="00AD690E">
      <w:pPr>
        <w:spacing w:before="120" w:after="120"/>
        <w:jc w:val="both"/>
      </w:pPr>
    </w:p>
    <w:p w:rsidR="00AD690E" w:rsidRPr="00675326" w:rsidRDefault="00AD690E" w:rsidP="00AD690E">
      <w:pPr>
        <w:spacing w:before="120" w:after="120"/>
        <w:jc w:val="both"/>
      </w:pPr>
      <w:r w:rsidRPr="00675326">
        <w:t>Sur ce coup d'envoi s'ouvre un long et intense processus de rév</w:t>
      </w:r>
      <w:r w:rsidRPr="00675326">
        <w:t>i</w:t>
      </w:r>
      <w:r w:rsidRPr="00675326">
        <w:t>sion constitutionnelle</w:t>
      </w:r>
      <w:r>
        <w:t> </w:t>
      </w:r>
      <w:r w:rsidRPr="00963199">
        <w:rPr>
          <w:rStyle w:val="Appelnotedebasdep"/>
        </w:rPr>
        <w:footnoteReference w:id="155"/>
      </w:r>
      <w:r w:rsidRPr="00675326">
        <w:t>. Loin de susciter l'adhésion, le programme fédéral reçoit un accueil mitigé. Pour le Québec, il existe deux nations au Canada et la nouvelle constitution doit notamment témoigner d'un Canada à deux. Si la place et le rôle des provinces dans les institutions fédérales doivent être assurés, une solution pour le Québec comporte nécessairement une extension de ses compétences. Par ailleurs, si un fragile consensus se fait jour sur une formule édulcorée visant une égalité des francophones et des anglophones dans l'ensemble can</w:t>
      </w:r>
      <w:r w:rsidRPr="00675326">
        <w:t>a</w:t>
      </w:r>
      <w:r w:rsidRPr="00675326">
        <w:t>dien, il est tout à fait clair que les provinces autres que le Québec se passionnent surtout pour les questions économiques et de disparités régionales. La suite témoignera de cet éclatement des intérêts et des préoccupations.</w:t>
      </w:r>
    </w:p>
    <w:p w:rsidR="00AD690E" w:rsidRPr="00675326" w:rsidRDefault="00AD690E" w:rsidP="00AD690E">
      <w:pPr>
        <w:spacing w:before="120" w:after="120"/>
        <w:jc w:val="both"/>
      </w:pPr>
      <w:r w:rsidRPr="00675326">
        <w:t>À la conférence de février 1969, Jean-Jacques Bertrand assiste à une belle unanimité contre la thèse des deux nations. À la limite, on pourrait accepter l'idée de la reconnaissance de droits individuels. Mais la Charte des droits tient l'arrière-plan au profit des questions de fiscalité, de disparités régionales et du pouvoir de dépenser du go</w:t>
      </w:r>
      <w:r w:rsidRPr="00675326">
        <w:t>u</w:t>
      </w:r>
      <w:r w:rsidRPr="00675326">
        <w:t>vernement fédéral. La confusion et la mésentente s'installent confort</w:t>
      </w:r>
      <w:r w:rsidRPr="00675326">
        <w:t>a</w:t>
      </w:r>
      <w:r w:rsidRPr="00675326">
        <w:t xml:space="preserve">blement au fur et à mesure que l'on traite des questions de </w:t>
      </w:r>
      <w:r w:rsidRPr="00675326">
        <w:rPr>
          <w:i/>
          <w:iCs/>
        </w:rPr>
        <w:t xml:space="preserve">« bread and butter ». </w:t>
      </w:r>
      <w:r w:rsidRPr="00675326">
        <w:t>En fait, le Québec est tout à fait isolé dans sa volonté d'une révision constitutionnelle en profondeur.</w:t>
      </w:r>
    </w:p>
    <w:p w:rsidR="00AD690E" w:rsidRPr="00675326" w:rsidRDefault="00AD690E" w:rsidP="00AD690E">
      <w:pPr>
        <w:spacing w:before="120" w:after="120"/>
        <w:jc w:val="both"/>
      </w:pPr>
      <w:r w:rsidRPr="00675326">
        <w:t>Par la suite, que ce soit à la séance de travail de juin 1969, à la Conférence constitutionnelle de décembre 1969 ou à la séance de tr</w:t>
      </w:r>
      <w:r w:rsidRPr="00675326">
        <w:t>a</w:t>
      </w:r>
      <w:r w:rsidRPr="00675326">
        <w:t>vail de septembre 1970, la discussion de chacune des questions « terre à terre » est l'occasion pour le gouvernement fédéral d'avancer des propositions qui confirmeraient ou accentueraient le processus de ce</w:t>
      </w:r>
      <w:r w:rsidRPr="00675326">
        <w:t>n</w:t>
      </w:r>
      <w:r w:rsidRPr="00675326">
        <w:t>tralisation en cours. Plutôt qu'une répartition des ressources fiscales, on propose un accès conjoint des deux niveaux de gouvernement à toutes les formes de revenus. Le pouvoir de dépenser du gouvern</w:t>
      </w:r>
      <w:r w:rsidRPr="00675326">
        <w:t>e</w:t>
      </w:r>
      <w:r w:rsidRPr="00675326">
        <w:t xml:space="preserve">ment fédéral pourrait souffrir quelques restrictions dans les procédures de mise en </w:t>
      </w:r>
      <w:r>
        <w:t>œuvre</w:t>
      </w:r>
      <w:r w:rsidRPr="00675326">
        <w:t xml:space="preserve"> des programmes, mais ne saurait être réduit ; la compensation financière pour les gouvernements non participants s</w:t>
      </w:r>
      <w:r w:rsidRPr="00675326">
        <w:t>e</w:t>
      </w:r>
      <w:r w:rsidRPr="00675326">
        <w:t>rait destinée aux individus et non à ces derniers. Dans le domaine de la sécurité du revenu et des services sociaux, Ottawa prétend détenir des pouvoirs égaux et concurrents dans les paiements directs aux ind</w:t>
      </w:r>
      <w:r w:rsidRPr="00675326">
        <w:t>i</w:t>
      </w:r>
      <w:r w:rsidRPr="00675326">
        <w:t>vidus et à la primauté en matière d'assurance-retraite. Au terme de ce</w:t>
      </w:r>
      <w:r w:rsidRPr="00675326">
        <w:t>t</w:t>
      </w:r>
      <w:r w:rsidRPr="00675326">
        <w:t>te dernière séance, les résultats sont plutôt minces et la question du partage des compétences est restée globalement à l'état de friche.</w:t>
      </w:r>
    </w:p>
    <w:p w:rsidR="00AD690E" w:rsidRPr="00675326" w:rsidRDefault="00AD690E" w:rsidP="00AD690E">
      <w:pPr>
        <w:spacing w:before="120" w:after="120"/>
        <w:jc w:val="both"/>
      </w:pPr>
      <w:r w:rsidRPr="00675326">
        <w:t>Au cours de la séance de travail de février 1971, le Québec, sous la direction de Robert Bourassa, décide de ne retenir que le domaine des politiques sociales comme témoin de la possibilité d'une entente éve</w:t>
      </w:r>
      <w:r w:rsidRPr="00675326">
        <w:t>n</w:t>
      </w:r>
      <w:r w:rsidRPr="00675326">
        <w:t>tuelle plus large concernant le partage des compétences. À ce jour, les points d'accord ou</w:t>
      </w:r>
      <w:r>
        <w:t xml:space="preserve"> [</w:t>
      </w:r>
      <w:r w:rsidRPr="00675326">
        <w:rPr>
          <w:szCs w:val="18"/>
        </w:rPr>
        <w:t>88</w:t>
      </w:r>
      <w:r>
        <w:rPr>
          <w:szCs w:val="18"/>
        </w:rPr>
        <w:t xml:space="preserve">] </w:t>
      </w:r>
      <w:r w:rsidRPr="00675326">
        <w:rPr>
          <w:szCs w:val="22"/>
        </w:rPr>
        <w:t>susceptibles d'un accord sont relativement l</w:t>
      </w:r>
      <w:r w:rsidRPr="00675326">
        <w:rPr>
          <w:szCs w:val="22"/>
        </w:rPr>
        <w:t>i</w:t>
      </w:r>
      <w:r w:rsidRPr="00675326">
        <w:rPr>
          <w:szCs w:val="22"/>
        </w:rPr>
        <w:t>mités et recoupent pour une large part les éléments des deux premiers points du programme de discussion présenté par Pearson : une form</w:t>
      </w:r>
      <w:r w:rsidRPr="00675326">
        <w:rPr>
          <w:szCs w:val="22"/>
        </w:rPr>
        <w:t>u</w:t>
      </w:r>
      <w:r w:rsidRPr="00675326">
        <w:rPr>
          <w:szCs w:val="22"/>
        </w:rPr>
        <w:t>le de rapatriement et d'amendement de la Constitution, des dispos</w:t>
      </w:r>
      <w:r w:rsidRPr="00675326">
        <w:rPr>
          <w:szCs w:val="22"/>
        </w:rPr>
        <w:t>i</w:t>
      </w:r>
      <w:r w:rsidRPr="00675326">
        <w:rPr>
          <w:szCs w:val="22"/>
        </w:rPr>
        <w:t>tions relatives aux droits politiques fondamentaux et aux droits li</w:t>
      </w:r>
      <w:r w:rsidRPr="00675326">
        <w:rPr>
          <w:szCs w:val="22"/>
        </w:rPr>
        <w:t>n</w:t>
      </w:r>
      <w:r w:rsidRPr="00675326">
        <w:rPr>
          <w:szCs w:val="22"/>
        </w:rPr>
        <w:t>guistiques, à la Cour suprême, aux mécanismes de relations fédérales-provinciales, et un énoncé sur les disparités régionales. En somme, le bilan est maigre : le néant pour le partage des compétences et un ce</w:t>
      </w:r>
      <w:r w:rsidRPr="00675326">
        <w:rPr>
          <w:szCs w:val="22"/>
        </w:rPr>
        <w:t>r</w:t>
      </w:r>
      <w:r w:rsidRPr="00675326">
        <w:rPr>
          <w:szCs w:val="22"/>
        </w:rPr>
        <w:t>tain chemin</w:t>
      </w:r>
      <w:r w:rsidRPr="00675326">
        <w:rPr>
          <w:szCs w:val="22"/>
        </w:rPr>
        <w:t>e</w:t>
      </w:r>
      <w:r w:rsidRPr="00675326">
        <w:rPr>
          <w:szCs w:val="22"/>
        </w:rPr>
        <w:t>ment concernant les institutions fédérales et les droits individuels. Pour le Québec qui a provoqué le processus, la gifle serait cinglante s'il n'était pas faisable de montrer qu'une entente est aussi possible sur le fond (dans le langage des années 1965 : les juridi</w:t>
      </w:r>
      <w:r w:rsidRPr="00675326">
        <w:rPr>
          <w:szCs w:val="22"/>
        </w:rPr>
        <w:t>c</w:t>
      </w:r>
      <w:r w:rsidRPr="00675326">
        <w:rPr>
          <w:szCs w:val="22"/>
        </w:rPr>
        <w:t>tions) ; déjà, toute référence à la nation, à la communauté et, davant</w:t>
      </w:r>
      <w:r w:rsidRPr="00675326">
        <w:rPr>
          <w:szCs w:val="22"/>
        </w:rPr>
        <w:t>a</w:t>
      </w:r>
      <w:r w:rsidRPr="00675326">
        <w:rPr>
          <w:szCs w:val="22"/>
        </w:rPr>
        <w:t>ge, au peuple québécois est bannie.</w:t>
      </w:r>
    </w:p>
    <w:p w:rsidR="00AD690E" w:rsidRPr="00675326" w:rsidRDefault="00AD690E" w:rsidP="00AD690E">
      <w:pPr>
        <w:spacing w:before="120" w:after="120"/>
        <w:jc w:val="both"/>
      </w:pPr>
      <w:r w:rsidRPr="00675326">
        <w:rPr>
          <w:szCs w:val="22"/>
        </w:rPr>
        <w:t>Dans l'ensemble, malgré la sinuosité des pourparlers, le gouvern</w:t>
      </w:r>
      <w:r w:rsidRPr="00675326">
        <w:rPr>
          <w:szCs w:val="22"/>
        </w:rPr>
        <w:t>e</w:t>
      </w:r>
      <w:r w:rsidRPr="00675326">
        <w:rPr>
          <w:szCs w:val="22"/>
        </w:rPr>
        <w:t>ment fédéral a pris soin de faire progresser les sujets qui lui impo</w:t>
      </w:r>
      <w:r w:rsidRPr="00675326">
        <w:rPr>
          <w:szCs w:val="22"/>
        </w:rPr>
        <w:t>r</w:t>
      </w:r>
      <w:r w:rsidRPr="00675326">
        <w:rPr>
          <w:szCs w:val="22"/>
        </w:rPr>
        <w:t>taient et a contribué à embourber les discussions qui pouvaient se ra</w:t>
      </w:r>
      <w:r w:rsidRPr="00675326">
        <w:rPr>
          <w:szCs w:val="22"/>
        </w:rPr>
        <w:t>p</w:t>
      </w:r>
      <w:r w:rsidRPr="00675326">
        <w:rPr>
          <w:szCs w:val="22"/>
        </w:rPr>
        <w:t>porter à la révision des compétences, comme s'il voulait donner raison aux propos de Trudeau en 1965, alors qu'il soumettait qu'une révision constitutionnelle ne saurait aller dans le sens de la décentralisation. Les intérêts régionaux, jugés souvent avec mésestime par Trudeau, sont d'un grand secours pour fragmenter les représentations provinci</w:t>
      </w:r>
      <w:r w:rsidRPr="00675326">
        <w:rPr>
          <w:szCs w:val="22"/>
        </w:rPr>
        <w:t>a</w:t>
      </w:r>
      <w:r w:rsidRPr="00675326">
        <w:rPr>
          <w:szCs w:val="22"/>
        </w:rPr>
        <w:t>les. Mais, en même temps, ils rendent ardues les négociations sur les droits individuels, particulièrement quand il s'agit de la reconnaissa</w:t>
      </w:r>
      <w:r w:rsidRPr="00675326">
        <w:rPr>
          <w:szCs w:val="22"/>
        </w:rPr>
        <w:t>n</w:t>
      </w:r>
      <w:r w:rsidRPr="00675326">
        <w:rPr>
          <w:szCs w:val="22"/>
        </w:rPr>
        <w:t>ce de droits linguistiques.</w:t>
      </w:r>
    </w:p>
    <w:p w:rsidR="00AD690E" w:rsidRPr="00675326" w:rsidRDefault="00AD690E" w:rsidP="00AD690E">
      <w:pPr>
        <w:spacing w:before="120" w:after="120"/>
        <w:jc w:val="both"/>
      </w:pPr>
      <w:r w:rsidRPr="00675326">
        <w:rPr>
          <w:szCs w:val="22"/>
        </w:rPr>
        <w:t>Pour le gouvernement fédéral, la Conférence constitutionnelle de Victoria de juin 1971 devait conclure le chemin parcouru depuis bie</w:t>
      </w:r>
      <w:r w:rsidRPr="00675326">
        <w:rPr>
          <w:szCs w:val="22"/>
        </w:rPr>
        <w:t>n</w:t>
      </w:r>
      <w:r w:rsidRPr="00675326">
        <w:rPr>
          <w:szCs w:val="22"/>
        </w:rPr>
        <w:t>tôt deux ans et demi. Les négociations intensives sont souvent lab</w:t>
      </w:r>
      <w:r w:rsidRPr="00675326">
        <w:rPr>
          <w:szCs w:val="22"/>
        </w:rPr>
        <w:t>o</w:t>
      </w:r>
      <w:r w:rsidRPr="00675326">
        <w:rPr>
          <w:szCs w:val="22"/>
        </w:rPr>
        <w:t>rieuses, y compris pour l'établissement des droits et les institutions fédérales, mais surtout lorsqu'il s'agit de la question de la compétence provinciale dans le champ de la politique sociale. Le gouvernement du Québec a insisté pour discuter cette question afin d'entamer, par une entente partielle, la révision du partage des compétences. Un accord en la matière permettait à Bourassa de légitimer l'acceptation du projet fédéral — car il pouvait laisser préfigurer des modifications de jur</w:t>
      </w:r>
      <w:r w:rsidRPr="00675326">
        <w:rPr>
          <w:szCs w:val="22"/>
        </w:rPr>
        <w:t>i</w:t>
      </w:r>
      <w:r w:rsidRPr="00675326">
        <w:rPr>
          <w:szCs w:val="22"/>
        </w:rPr>
        <w:t>dictions à venir — et, en même temps, d'enregistrer un premier gain dans un processus qui apparaissait peu profitable pour les demandes québécoises originelles. L'absence d'entente le plaçait dans une pos</w:t>
      </w:r>
      <w:r w:rsidRPr="00675326">
        <w:rPr>
          <w:szCs w:val="22"/>
        </w:rPr>
        <w:t>i</w:t>
      </w:r>
      <w:r w:rsidRPr="00675326">
        <w:rPr>
          <w:szCs w:val="22"/>
        </w:rPr>
        <w:t>tion où il ne pouvait être que perdant.</w:t>
      </w:r>
    </w:p>
    <w:p w:rsidR="00AD690E" w:rsidRPr="00675326" w:rsidRDefault="00AD690E" w:rsidP="00AD690E">
      <w:pPr>
        <w:spacing w:before="120" w:after="120"/>
        <w:jc w:val="both"/>
      </w:pPr>
      <w:r w:rsidRPr="00675326">
        <w:rPr>
          <w:szCs w:val="22"/>
        </w:rPr>
        <w:t>Les gouvernement</w:t>
      </w:r>
      <w:r>
        <w:rPr>
          <w:szCs w:val="22"/>
        </w:rPr>
        <w:t>s</w:t>
      </w:r>
      <w:r w:rsidRPr="00675326">
        <w:rPr>
          <w:szCs w:val="22"/>
        </w:rPr>
        <w:t xml:space="preserve"> fédéral et québécois s'entendent en fait sur le principe de la nécessité de l'intégration des programmes de soutien et d'assurance de revenu à l'ensemble des services de bien-être et de sa</w:t>
      </w:r>
      <w:r w:rsidRPr="00675326">
        <w:rPr>
          <w:szCs w:val="22"/>
        </w:rPr>
        <w:t>n</w:t>
      </w:r>
      <w:r w:rsidRPr="00675326">
        <w:rPr>
          <w:szCs w:val="22"/>
        </w:rPr>
        <w:t>té. Cette communauté de vue s'évanouit cependant lorsqu'on pose la question des conditions de possibilité de réalisation de cette intégr</w:t>
      </w:r>
      <w:r w:rsidRPr="00675326">
        <w:rPr>
          <w:szCs w:val="22"/>
        </w:rPr>
        <w:t>a</w:t>
      </w:r>
      <w:r w:rsidRPr="00675326">
        <w:rPr>
          <w:szCs w:val="22"/>
        </w:rPr>
        <w:t>tion. Pour Ottawa, il est possible d'assurer une coordination des polit</w:t>
      </w:r>
      <w:r w:rsidRPr="00675326">
        <w:rPr>
          <w:szCs w:val="22"/>
        </w:rPr>
        <w:t>i</w:t>
      </w:r>
      <w:r w:rsidRPr="00675326">
        <w:rPr>
          <w:szCs w:val="22"/>
        </w:rPr>
        <w:t>ques fédérales et provinciales par la mise en place de mécanismes administratifs de consultation et d'ajustement. Québec récuse la poss</w:t>
      </w:r>
      <w:r w:rsidRPr="00675326">
        <w:rPr>
          <w:szCs w:val="22"/>
        </w:rPr>
        <w:t>i</w:t>
      </w:r>
      <w:r w:rsidRPr="00675326">
        <w:rPr>
          <w:szCs w:val="22"/>
        </w:rPr>
        <w:t>b</w:t>
      </w:r>
      <w:r>
        <w:rPr>
          <w:szCs w:val="22"/>
        </w:rPr>
        <w:t>i</w:t>
      </w:r>
      <w:r w:rsidRPr="00675326">
        <w:rPr>
          <w:szCs w:val="22"/>
        </w:rPr>
        <w:t>lité de cette coordination, en soulignant les incohérences, les frais supplémentaires et le manque d'efficacité, et demande la reconnai</w:t>
      </w:r>
      <w:r w:rsidRPr="00675326">
        <w:rPr>
          <w:szCs w:val="22"/>
        </w:rPr>
        <w:t>s</w:t>
      </w:r>
      <w:r w:rsidRPr="00675326">
        <w:rPr>
          <w:szCs w:val="22"/>
        </w:rPr>
        <w:t>sance de sa</w:t>
      </w:r>
      <w:r>
        <w:rPr>
          <w:szCs w:val="22"/>
        </w:rPr>
        <w:t xml:space="preserve"> </w:t>
      </w:r>
      <w:r>
        <w:t xml:space="preserve">[89] </w:t>
      </w:r>
      <w:r w:rsidRPr="00675326">
        <w:rPr>
          <w:szCs w:val="22"/>
        </w:rPr>
        <w:t>primauté législative. Le débat portait sur une refo</w:t>
      </w:r>
      <w:r w:rsidRPr="00675326">
        <w:rPr>
          <w:szCs w:val="22"/>
        </w:rPr>
        <w:t>r</w:t>
      </w:r>
      <w:r w:rsidRPr="00675326">
        <w:rPr>
          <w:szCs w:val="22"/>
        </w:rPr>
        <w:t>mulation de l'a</w:t>
      </w:r>
      <w:r w:rsidRPr="00675326">
        <w:rPr>
          <w:szCs w:val="22"/>
        </w:rPr>
        <w:t>r</w:t>
      </w:r>
      <w:r w:rsidRPr="00675326">
        <w:rPr>
          <w:szCs w:val="22"/>
        </w:rPr>
        <w:t>ticle 94</w:t>
      </w:r>
      <w:r>
        <w:rPr>
          <w:szCs w:val="22"/>
        </w:rPr>
        <w:t> </w:t>
      </w:r>
      <w:r w:rsidRPr="00675326">
        <w:rPr>
          <w:szCs w:val="22"/>
        </w:rPr>
        <w:t xml:space="preserve">A de </w:t>
      </w:r>
      <w:r w:rsidRPr="00675326">
        <w:rPr>
          <w:i/>
          <w:iCs/>
          <w:szCs w:val="22"/>
        </w:rPr>
        <w:t xml:space="preserve">l'Acte de l'Amérique du Nord britannique (l'AANB). </w:t>
      </w:r>
      <w:r w:rsidRPr="00675326">
        <w:rPr>
          <w:szCs w:val="22"/>
        </w:rPr>
        <w:t>Pour le premier, le gouvernement fédéral a le pouvoir de légiférer en mati</w:t>
      </w:r>
      <w:r w:rsidRPr="00675326">
        <w:rPr>
          <w:szCs w:val="22"/>
        </w:rPr>
        <w:t>è</w:t>
      </w:r>
      <w:r w:rsidRPr="00675326">
        <w:rPr>
          <w:szCs w:val="22"/>
        </w:rPr>
        <w:t>re de pension de vieillesse, d'allocations familiales et d'allocations de jeunesse, mais il doit auparavant en informer les go</w:t>
      </w:r>
      <w:r w:rsidRPr="00675326">
        <w:rPr>
          <w:szCs w:val="22"/>
        </w:rPr>
        <w:t>u</w:t>
      </w:r>
      <w:r w:rsidRPr="00675326">
        <w:rPr>
          <w:szCs w:val="22"/>
        </w:rPr>
        <w:t>vernements pr</w:t>
      </w:r>
      <w:r w:rsidRPr="00675326">
        <w:rPr>
          <w:szCs w:val="22"/>
        </w:rPr>
        <w:t>o</w:t>
      </w:r>
      <w:r w:rsidRPr="00675326">
        <w:rPr>
          <w:szCs w:val="22"/>
        </w:rPr>
        <w:t>vinciaux et demander leur avis. Pour le second, les lois fédérales en ces matières n'auraient d'effet sur le territoire d'une pr</w:t>
      </w:r>
      <w:r w:rsidRPr="00675326">
        <w:rPr>
          <w:szCs w:val="22"/>
        </w:rPr>
        <w:t>o</w:t>
      </w:r>
      <w:r w:rsidRPr="00675326">
        <w:rPr>
          <w:szCs w:val="22"/>
        </w:rPr>
        <w:t>vince que dans la mesure où la loi provinciale le prévoit ; lorsque les lois sont en tout ou en partie inapplicables dans une province, celle-ci reçoit une compensation financière. Les points de vue sont irréconc</w:t>
      </w:r>
      <w:r w:rsidRPr="00675326">
        <w:rPr>
          <w:szCs w:val="22"/>
        </w:rPr>
        <w:t>i</w:t>
      </w:r>
      <w:r w:rsidRPr="00675326">
        <w:rPr>
          <w:szCs w:val="22"/>
        </w:rPr>
        <w:t>liables.</w:t>
      </w:r>
    </w:p>
    <w:p w:rsidR="00AD690E" w:rsidRPr="00675326" w:rsidRDefault="00AD690E" w:rsidP="00AD690E">
      <w:pPr>
        <w:spacing w:before="120" w:after="120"/>
        <w:jc w:val="both"/>
      </w:pPr>
      <w:r w:rsidRPr="00675326">
        <w:rPr>
          <w:szCs w:val="22"/>
        </w:rPr>
        <w:t xml:space="preserve">Au terme des pourparlers, un ensemble composite ayant pour titre la </w:t>
      </w:r>
      <w:r w:rsidRPr="00675326">
        <w:rPr>
          <w:i/>
          <w:iCs/>
          <w:szCs w:val="22"/>
        </w:rPr>
        <w:t>Charte constitutionnelle de Victoria</w:t>
      </w:r>
      <w:r>
        <w:rPr>
          <w:iCs/>
          <w:szCs w:val="22"/>
        </w:rPr>
        <w:t> </w:t>
      </w:r>
      <w:r w:rsidRPr="00963199">
        <w:rPr>
          <w:rStyle w:val="Appelnotedebasdep"/>
          <w:i/>
          <w:iCs/>
        </w:rPr>
        <w:footnoteReference w:id="156"/>
      </w:r>
      <w:r w:rsidRPr="00675326">
        <w:rPr>
          <w:i/>
          <w:iCs/>
          <w:szCs w:val="22"/>
        </w:rPr>
        <w:t xml:space="preserve"> </w:t>
      </w:r>
      <w:r w:rsidRPr="00675326">
        <w:rPr>
          <w:szCs w:val="22"/>
        </w:rPr>
        <w:t>constitue un aboutissement que les participants (les onze gouvernements) sont tenus d'accepter en totalité ou, le cas échéant, de rejeter. Les gouvernements ont un do</w:t>
      </w:r>
      <w:r w:rsidRPr="00675326">
        <w:rPr>
          <w:szCs w:val="22"/>
        </w:rPr>
        <w:t>u</w:t>
      </w:r>
      <w:r w:rsidRPr="00675326">
        <w:rPr>
          <w:szCs w:val="22"/>
        </w:rPr>
        <w:t>zaine de jours pour faire connaître leur avis.</w:t>
      </w:r>
    </w:p>
    <w:p w:rsidR="00AD690E" w:rsidRPr="00675326" w:rsidRDefault="00AD690E" w:rsidP="00AD690E">
      <w:pPr>
        <w:spacing w:before="120" w:after="120"/>
        <w:jc w:val="both"/>
      </w:pPr>
      <w:r w:rsidRPr="00675326">
        <w:rPr>
          <w:szCs w:val="22"/>
        </w:rPr>
        <w:t>Avec cette Charte, des droits politiques (articles 1 à 9) sont form</w:t>
      </w:r>
      <w:r w:rsidRPr="00675326">
        <w:rPr>
          <w:szCs w:val="22"/>
        </w:rPr>
        <w:t>u</w:t>
      </w:r>
      <w:r w:rsidRPr="00675326">
        <w:rPr>
          <w:szCs w:val="22"/>
        </w:rPr>
        <w:t>lés en termes généraux ; ils gravitent autour des libertés fondament</w:t>
      </w:r>
      <w:r w:rsidRPr="00675326">
        <w:rPr>
          <w:szCs w:val="22"/>
        </w:rPr>
        <w:t>a</w:t>
      </w:r>
      <w:r w:rsidRPr="00675326">
        <w:rPr>
          <w:szCs w:val="22"/>
        </w:rPr>
        <w:t>les (liberté de pensée, de conscience, d'opinion, d'expression, d'ass</w:t>
      </w:r>
      <w:r w:rsidRPr="00675326">
        <w:rPr>
          <w:szCs w:val="22"/>
        </w:rPr>
        <w:t>o</w:t>
      </w:r>
      <w:r w:rsidRPr="00675326">
        <w:rPr>
          <w:szCs w:val="22"/>
        </w:rPr>
        <w:t>ciation, etc.). De même, des droits démocratiques sont établis (suffr</w:t>
      </w:r>
      <w:r w:rsidRPr="00675326">
        <w:rPr>
          <w:szCs w:val="22"/>
        </w:rPr>
        <w:t>a</w:t>
      </w:r>
      <w:r w:rsidRPr="00675326">
        <w:rPr>
          <w:szCs w:val="22"/>
        </w:rPr>
        <w:t>ge universel, élections libres, durée des mandats des législatures, etc.).</w:t>
      </w:r>
    </w:p>
    <w:p w:rsidR="00AD690E" w:rsidRPr="00675326" w:rsidRDefault="00AD690E" w:rsidP="00AD690E">
      <w:pPr>
        <w:spacing w:before="120" w:after="120"/>
        <w:jc w:val="both"/>
      </w:pPr>
      <w:r w:rsidRPr="00675326">
        <w:rPr>
          <w:szCs w:val="22"/>
        </w:rPr>
        <w:t>S'ajoutent des droits linguistiques (articles 10 à 18). À ce sujet, les aspirations initiales de Trudeau se sont rétrécies comme une peau de chagrin. Le « droit de cité du français au niveau du gouvernement f</w:t>
      </w:r>
      <w:r w:rsidRPr="00675326">
        <w:rPr>
          <w:szCs w:val="22"/>
        </w:rPr>
        <w:t>é</w:t>
      </w:r>
      <w:r w:rsidRPr="00675326">
        <w:rPr>
          <w:szCs w:val="22"/>
        </w:rPr>
        <w:t>déral et au niveau des autres provinces » souffre de restrictions maje</w:t>
      </w:r>
      <w:r w:rsidRPr="00675326">
        <w:rPr>
          <w:szCs w:val="22"/>
        </w:rPr>
        <w:t>u</w:t>
      </w:r>
      <w:r w:rsidRPr="00675326">
        <w:rPr>
          <w:szCs w:val="22"/>
        </w:rPr>
        <w:t>res. Le français et l'anglais sont reconnus comme langues officielles du Canada. Au niveau fédéral, ce statut s'exprime par la liberté de choix de la langue pour participer aux débats du Parlement, dans l'i</w:t>
      </w:r>
      <w:r w:rsidRPr="00675326">
        <w:rPr>
          <w:szCs w:val="22"/>
        </w:rPr>
        <w:t>n</w:t>
      </w:r>
      <w:r w:rsidRPr="00675326">
        <w:rPr>
          <w:szCs w:val="22"/>
        </w:rPr>
        <w:t>terprétation juridique des lois fédérales, à la Cour suprême et dans les cours fédérales, ainsi que dans les communications avec les organes centraux des ministères et avec leurs bureaux locaux dans certains di</w:t>
      </w:r>
      <w:r w:rsidRPr="00675326">
        <w:rPr>
          <w:szCs w:val="22"/>
        </w:rPr>
        <w:t>s</w:t>
      </w:r>
      <w:r w:rsidRPr="00675326">
        <w:rPr>
          <w:szCs w:val="22"/>
        </w:rPr>
        <w:t>tricts désignés. Concernant les provinces, les droits sont établis à la carte : les droits du français ne semblent pas pouvoir franchir la fro</w:t>
      </w:r>
      <w:r w:rsidRPr="00675326">
        <w:rPr>
          <w:szCs w:val="22"/>
        </w:rPr>
        <w:t>n</w:t>
      </w:r>
      <w:r w:rsidRPr="00675326">
        <w:rPr>
          <w:szCs w:val="22"/>
        </w:rPr>
        <w:t>tière ouest de l'Ontario ou, au mieux, du Manitoba ; les garanties à l'égard du français ne correspondent pas nécessairement à l'importa</w:t>
      </w:r>
      <w:r w:rsidRPr="00675326">
        <w:rPr>
          <w:szCs w:val="22"/>
        </w:rPr>
        <w:t>n</w:t>
      </w:r>
      <w:r w:rsidRPr="00675326">
        <w:rPr>
          <w:szCs w:val="22"/>
        </w:rPr>
        <w:t>ce démographique de la minorité francophone (Ontario, Nouveau-Brunswick) ou aux droits historiquement reconnus (Manitoba) ; l'a</w:t>
      </w:r>
      <w:r w:rsidRPr="00675326">
        <w:rPr>
          <w:szCs w:val="22"/>
        </w:rPr>
        <w:t>n</w:t>
      </w:r>
      <w:r w:rsidRPr="00675326">
        <w:rPr>
          <w:szCs w:val="22"/>
        </w:rPr>
        <w:t>glais a droit de cité au Québec dans tous les domaines. On peut rest</w:t>
      </w:r>
      <w:r w:rsidRPr="00675326">
        <w:rPr>
          <w:szCs w:val="22"/>
        </w:rPr>
        <w:t>i</w:t>
      </w:r>
      <w:r w:rsidRPr="00675326">
        <w:rPr>
          <w:szCs w:val="22"/>
        </w:rPr>
        <w:t>tuer la variabilité dans l'application des droits linguistiques selon les domaines. 1. Participation aux débats parlementaires : l'Ontario, le Québec, la Nouvelle-</w:t>
      </w:r>
      <w:r>
        <w:rPr>
          <w:szCs w:val="22"/>
        </w:rPr>
        <w:t>É</w:t>
      </w:r>
      <w:r w:rsidRPr="00675326">
        <w:rPr>
          <w:szCs w:val="22"/>
        </w:rPr>
        <w:t>cosse, le Nouveau-Brunswick, le Manito</w:t>
      </w:r>
      <w:r>
        <w:rPr>
          <w:szCs w:val="22"/>
        </w:rPr>
        <w:t>ba, l'Î</w:t>
      </w:r>
      <w:r w:rsidRPr="00675326">
        <w:rPr>
          <w:szCs w:val="22"/>
        </w:rPr>
        <w:t>le-du-Prince-Édouard et Terre-Neuve. 2. L'égalité des textes législ</w:t>
      </w:r>
      <w:r w:rsidRPr="00675326">
        <w:rPr>
          <w:szCs w:val="22"/>
        </w:rPr>
        <w:t>a</w:t>
      </w:r>
      <w:r w:rsidRPr="00675326">
        <w:rPr>
          <w:szCs w:val="22"/>
        </w:rPr>
        <w:t>tifs : au Québec, au Nouveau-Brunswick et à Terre-Neuve. 3. La la</w:t>
      </w:r>
      <w:r w:rsidRPr="00675326">
        <w:rPr>
          <w:szCs w:val="22"/>
        </w:rPr>
        <w:t>n</w:t>
      </w:r>
      <w:r w:rsidRPr="00675326">
        <w:rPr>
          <w:szCs w:val="22"/>
        </w:rPr>
        <w:t>gue d'usage dans les cours provinciales : au Québec, au Nouveau-Brunswick et à Terre-Neuve. 4. La communication avec les</w:t>
      </w:r>
      <w:r>
        <w:rPr>
          <w:szCs w:val="22"/>
        </w:rPr>
        <w:t xml:space="preserve"> </w:t>
      </w:r>
      <w:r>
        <w:t>[</w:t>
      </w:r>
      <w:r w:rsidRPr="00675326">
        <w:rPr>
          <w:szCs w:val="18"/>
        </w:rPr>
        <w:t>90</w:t>
      </w:r>
      <w:r>
        <w:rPr>
          <w:szCs w:val="18"/>
        </w:rPr>
        <w:t xml:space="preserve">] </w:t>
      </w:r>
      <w:r w:rsidRPr="00675326">
        <w:rPr>
          <w:szCs w:val="22"/>
        </w:rPr>
        <w:t>m</w:t>
      </w:r>
      <w:r w:rsidRPr="00675326">
        <w:rPr>
          <w:szCs w:val="22"/>
        </w:rPr>
        <w:t>i</w:t>
      </w:r>
      <w:r w:rsidRPr="00675326">
        <w:rPr>
          <w:szCs w:val="22"/>
        </w:rPr>
        <w:t>nistères : en Ontario, au Québec, au Nouveau-Brunswick, à l'Ile-du-Prince-Édouard et à Terre-Neuve.</w:t>
      </w:r>
    </w:p>
    <w:p w:rsidR="00AD690E" w:rsidRPr="00675326" w:rsidRDefault="00AD690E" w:rsidP="00AD690E">
      <w:pPr>
        <w:spacing w:before="120" w:after="120"/>
        <w:jc w:val="both"/>
      </w:pPr>
      <w:r w:rsidRPr="00675326">
        <w:rPr>
          <w:szCs w:val="22"/>
        </w:rPr>
        <w:t>Il est possible de saisir toute la mesure des valeurs fondamentales communes qui, selon Trudeau, devaient être inscrites dans une Charte des droits. Au terme de l'exercice, un bilinguisme institutionnel est prévu au Québec, au Nouveau-Brunswick et... à Terre-Neuve seul</w:t>
      </w:r>
      <w:r w:rsidRPr="00675326">
        <w:rPr>
          <w:szCs w:val="22"/>
        </w:rPr>
        <w:t>e</w:t>
      </w:r>
      <w:r w:rsidRPr="00675326">
        <w:rPr>
          <w:szCs w:val="22"/>
        </w:rPr>
        <w:t>ment.</w:t>
      </w:r>
    </w:p>
    <w:p w:rsidR="00AD690E" w:rsidRPr="00675326" w:rsidRDefault="00AD690E" w:rsidP="00AD690E">
      <w:pPr>
        <w:spacing w:before="120" w:after="120"/>
        <w:jc w:val="both"/>
      </w:pPr>
      <w:r w:rsidRPr="00675326">
        <w:rPr>
          <w:szCs w:val="22"/>
        </w:rPr>
        <w:t>La formule d'amendement (articles 49 à 57) est nettement différe</w:t>
      </w:r>
      <w:r w:rsidRPr="00675326">
        <w:rPr>
          <w:szCs w:val="22"/>
        </w:rPr>
        <w:t>n</w:t>
      </w:r>
      <w:r w:rsidRPr="00675326">
        <w:rPr>
          <w:szCs w:val="22"/>
        </w:rPr>
        <w:t>te de celles qui avaient été mises de l'avant jusqu'à ce jour. Une mod</w:t>
      </w:r>
      <w:r w:rsidRPr="00675326">
        <w:rPr>
          <w:szCs w:val="22"/>
        </w:rPr>
        <w:t>i</w:t>
      </w:r>
      <w:r w:rsidRPr="00675326">
        <w:rPr>
          <w:szCs w:val="22"/>
        </w:rPr>
        <w:t>fication à la Constitution demande l'accord du Sénat (sauf démarche spéciale), de la Chambre des communes et de l'Assemblée législative d'une majorité de provinces. Cette majorité doit comprendre le Qu</w:t>
      </w:r>
      <w:r w:rsidRPr="00675326">
        <w:rPr>
          <w:szCs w:val="22"/>
        </w:rPr>
        <w:t>é</w:t>
      </w:r>
      <w:r w:rsidRPr="00675326">
        <w:rPr>
          <w:szCs w:val="22"/>
        </w:rPr>
        <w:t>bec et l'Ontario (parce que réunissant ou ayant réuni 25</w:t>
      </w:r>
      <w:r>
        <w:rPr>
          <w:szCs w:val="22"/>
        </w:rPr>
        <w:t>%</w:t>
      </w:r>
      <w:r w:rsidRPr="00675326">
        <w:rPr>
          <w:szCs w:val="22"/>
        </w:rPr>
        <w:t xml:space="preserve"> de la pop</w:t>
      </w:r>
      <w:r w:rsidRPr="00675326">
        <w:rPr>
          <w:szCs w:val="22"/>
        </w:rPr>
        <w:t>u</w:t>
      </w:r>
      <w:r w:rsidRPr="00675326">
        <w:rPr>
          <w:szCs w:val="22"/>
        </w:rPr>
        <w:t>lation), deux provinces de l'Atlantique et deux provinces de l'Ouest comptant pour 50</w:t>
      </w:r>
      <w:r>
        <w:rPr>
          <w:szCs w:val="22"/>
        </w:rPr>
        <w:t>%</w:t>
      </w:r>
      <w:r w:rsidRPr="00675326">
        <w:rPr>
          <w:szCs w:val="22"/>
        </w:rPr>
        <w:t xml:space="preserve"> de la population de l'Ouest. Le gouvernement f</w:t>
      </w:r>
      <w:r w:rsidRPr="00675326">
        <w:rPr>
          <w:szCs w:val="22"/>
        </w:rPr>
        <w:t>é</w:t>
      </w:r>
      <w:r w:rsidRPr="00675326">
        <w:rPr>
          <w:szCs w:val="22"/>
        </w:rPr>
        <w:t>déral limite sa capacité de modifier seul plusieurs sujets se rattachant aux institutions fédérales. Il n'est aucunement question de procédures de délégation de pouvoir.</w:t>
      </w:r>
    </w:p>
    <w:p w:rsidR="00AD690E" w:rsidRPr="00675326" w:rsidRDefault="00AD690E" w:rsidP="00AD690E">
      <w:pPr>
        <w:spacing w:before="120" w:after="120"/>
        <w:jc w:val="both"/>
      </w:pPr>
      <w:r w:rsidRPr="00675326">
        <w:rPr>
          <w:szCs w:val="22"/>
        </w:rPr>
        <w:t>Le seul aspect touchant le partage des compétences se rapporte à la politique sociale (articles 44 et 45). Les deux articles reflètent la pos</w:t>
      </w:r>
      <w:r w:rsidRPr="00675326">
        <w:rPr>
          <w:szCs w:val="22"/>
        </w:rPr>
        <w:t>i</w:t>
      </w:r>
      <w:r w:rsidRPr="00675326">
        <w:rPr>
          <w:szCs w:val="22"/>
        </w:rPr>
        <w:t>tion fédérale en ce sens qu'ils lui reconnaissent compétence mais lui imposent une démarche de consultation. La nomination des juges (a</w:t>
      </w:r>
      <w:r w:rsidRPr="00675326">
        <w:rPr>
          <w:szCs w:val="22"/>
        </w:rPr>
        <w:t>r</w:t>
      </w:r>
      <w:r w:rsidRPr="00675326">
        <w:rPr>
          <w:szCs w:val="22"/>
        </w:rPr>
        <w:t>ticles 22 à 43) de cours fédérales reste sous la seule responsabilité du gouvernement central ; cependant, dans le cas de la Cour suprême, une procédure de consultation des provinces — pouvant être co</w:t>
      </w:r>
      <w:r w:rsidRPr="00675326">
        <w:rPr>
          <w:szCs w:val="22"/>
        </w:rPr>
        <w:t>m</w:t>
      </w:r>
      <w:r w:rsidRPr="00675326">
        <w:rPr>
          <w:szCs w:val="22"/>
        </w:rPr>
        <w:t>plexe en cas de désaccord majeur — précède les nominations. S'ajoute une déclaration (articles 46 et 47) concernant la promotion d'un mei</w:t>
      </w:r>
      <w:r w:rsidRPr="00675326">
        <w:rPr>
          <w:szCs w:val="22"/>
        </w:rPr>
        <w:t>l</w:t>
      </w:r>
      <w:r w:rsidRPr="00675326">
        <w:rPr>
          <w:szCs w:val="22"/>
        </w:rPr>
        <w:t>leur développement régional et le maintien d'une qualité minimale pour les services publics essentiels.</w:t>
      </w:r>
    </w:p>
    <w:p w:rsidR="00AD690E" w:rsidRPr="00675326" w:rsidRDefault="00AD690E" w:rsidP="00AD690E">
      <w:pPr>
        <w:spacing w:before="120" w:after="120"/>
        <w:jc w:val="both"/>
      </w:pPr>
      <w:r w:rsidRPr="00675326">
        <w:rPr>
          <w:szCs w:val="22"/>
        </w:rPr>
        <w:t xml:space="preserve">Le </w:t>
      </w:r>
      <w:r w:rsidRPr="00675326">
        <w:rPr>
          <w:i/>
          <w:iCs/>
          <w:szCs w:val="22"/>
        </w:rPr>
        <w:t xml:space="preserve">tout </w:t>
      </w:r>
      <w:r w:rsidRPr="00675326">
        <w:rPr>
          <w:szCs w:val="22"/>
        </w:rPr>
        <w:t>est à prendre ou à laisser. Le gouvernement fédéral peut compter sur certains acquis pour les sujets qu'il a imposés au départ, même si les droits reconnus sont limités. Les droits juridiques (droit à la sécurité de la vie, à la propriété, à la présomption d'innocence) et la protection contre la discrimination (sexe, race, origine nationale, co</w:t>
      </w:r>
      <w:r w:rsidRPr="00675326">
        <w:rPr>
          <w:szCs w:val="22"/>
        </w:rPr>
        <w:t>u</w:t>
      </w:r>
      <w:r w:rsidRPr="00675326">
        <w:rPr>
          <w:szCs w:val="22"/>
        </w:rPr>
        <w:t>leur, religion) dans l'emploi ou les services publics, qui avaient été désignés dans la présentation initiale de Trudeau, sont complètement ignorés. On assiste, pour l'essentiel, à une faillite quant aux droits li</w:t>
      </w:r>
      <w:r w:rsidRPr="00675326">
        <w:rPr>
          <w:szCs w:val="22"/>
        </w:rPr>
        <w:t>n</w:t>
      </w:r>
      <w:r w:rsidRPr="00675326">
        <w:rPr>
          <w:szCs w:val="22"/>
        </w:rPr>
        <w:t>guistiques. Le paradoxe de la bilinguisation de Terre-Neuve face à des droits minimaux pour les francophones en Ontario montre, qu'au-delà des principes, l'obstination politique et le poids de certaines provinces dans la négociation ont raison des velléités fédérales. Cependant, si Trudeau accepte l'asymétrie dans l'établissement et l'application des droits linguistiques, il la condamne sans appel lorsqu'il s'agit de co</w:t>
      </w:r>
      <w:r w:rsidRPr="00675326">
        <w:rPr>
          <w:szCs w:val="22"/>
        </w:rPr>
        <w:t>m</w:t>
      </w:r>
      <w:r w:rsidRPr="00675326">
        <w:rPr>
          <w:szCs w:val="22"/>
        </w:rPr>
        <w:t>pétences législatives, ce qui r</w:t>
      </w:r>
      <w:r>
        <w:rPr>
          <w:szCs w:val="22"/>
        </w:rPr>
        <w:t>é</w:t>
      </w:r>
      <w:r w:rsidRPr="00675326">
        <w:rPr>
          <w:szCs w:val="22"/>
        </w:rPr>
        <w:t>pondrait aux préoccupations québéco</w:t>
      </w:r>
      <w:r w:rsidRPr="00675326">
        <w:rPr>
          <w:szCs w:val="22"/>
        </w:rPr>
        <w:t>i</w:t>
      </w:r>
      <w:r w:rsidRPr="00675326">
        <w:rPr>
          <w:szCs w:val="22"/>
        </w:rPr>
        <w:t>ses.</w:t>
      </w:r>
    </w:p>
    <w:p w:rsidR="00AD690E" w:rsidRPr="00675326" w:rsidRDefault="00AD690E" w:rsidP="00AD690E">
      <w:pPr>
        <w:spacing w:before="120" w:after="120"/>
        <w:jc w:val="both"/>
      </w:pPr>
      <w:r w:rsidRPr="00675326">
        <w:rPr>
          <w:szCs w:val="22"/>
        </w:rPr>
        <w:t xml:space="preserve">Le gouvernement du Québec a peu de prise pour souscrire à cette </w:t>
      </w:r>
      <w:r w:rsidRPr="00675326">
        <w:rPr>
          <w:i/>
          <w:iCs/>
          <w:szCs w:val="22"/>
        </w:rPr>
        <w:t xml:space="preserve">Charte de Victoria. </w:t>
      </w:r>
      <w:r w:rsidRPr="00675326">
        <w:rPr>
          <w:szCs w:val="22"/>
        </w:rPr>
        <w:t>La condition qui a été posée, à savoir une entente sur la question de la politique sociale, se bute à une position fédérale incompatible. Pourtant, à</w:t>
      </w:r>
      <w:r>
        <w:rPr>
          <w:szCs w:val="22"/>
        </w:rPr>
        <w:t xml:space="preserve"> </w:t>
      </w:r>
      <w:r>
        <w:t xml:space="preserve">[91] </w:t>
      </w:r>
      <w:r w:rsidRPr="00675326">
        <w:rPr>
          <w:szCs w:val="22"/>
        </w:rPr>
        <w:t>l'origine de l'exercice, celui-ci a suivi un cours aux antipodes des demandes et de la démarche du Québec. Dans les faits, il s'agit d'une fin de non-recevoir tant sur la question de la reconnaissance nationale, chère à Johnson et à Bertrand, que sur la question d'un réaménag</w:t>
      </w:r>
      <w:r w:rsidRPr="00675326">
        <w:rPr>
          <w:szCs w:val="22"/>
        </w:rPr>
        <w:t>e</w:t>
      </w:r>
      <w:r w:rsidRPr="00675326">
        <w:rPr>
          <w:szCs w:val="22"/>
        </w:rPr>
        <w:t>ment partiel et ponctuel de compétences qui souriai</w:t>
      </w:r>
      <w:r>
        <w:rPr>
          <w:szCs w:val="22"/>
        </w:rPr>
        <w:t>en</w:t>
      </w:r>
      <w:r w:rsidRPr="00675326">
        <w:rPr>
          <w:szCs w:val="22"/>
        </w:rPr>
        <w:t>t, en dernier re</w:t>
      </w:r>
      <w:r w:rsidRPr="00675326">
        <w:rPr>
          <w:szCs w:val="22"/>
        </w:rPr>
        <w:t>s</w:t>
      </w:r>
      <w:r w:rsidRPr="00675326">
        <w:rPr>
          <w:szCs w:val="22"/>
        </w:rPr>
        <w:t>sort, à Bourassa. L'opposition unioniste et péquiste, les ténors du mouvement nationaliste, les « définisseurs de situation » (éditoriali</w:t>
      </w:r>
      <w:r w:rsidRPr="00675326">
        <w:rPr>
          <w:szCs w:val="22"/>
        </w:rPr>
        <w:t>s</w:t>
      </w:r>
      <w:r w:rsidRPr="00675326">
        <w:rPr>
          <w:szCs w:val="22"/>
        </w:rPr>
        <w:t>tes, analystes politiques), les milieux syndicaux, une partie des milieux patronaux, supportent, avec toutes les vari</w:t>
      </w:r>
      <w:r w:rsidRPr="00675326">
        <w:rPr>
          <w:szCs w:val="22"/>
        </w:rPr>
        <w:t>a</w:t>
      </w:r>
      <w:r w:rsidRPr="00675326">
        <w:rPr>
          <w:szCs w:val="22"/>
        </w:rPr>
        <w:t xml:space="preserve">tions possibles, le rejet de la </w:t>
      </w:r>
      <w:r w:rsidRPr="00675326">
        <w:rPr>
          <w:i/>
          <w:iCs/>
          <w:szCs w:val="22"/>
        </w:rPr>
        <w:t xml:space="preserve">Charte de Victoria </w:t>
      </w:r>
      <w:r w:rsidRPr="00675326">
        <w:rPr>
          <w:szCs w:val="22"/>
        </w:rPr>
        <w:t>ou de l'ultimatum (ce qui revient au même).</w:t>
      </w:r>
    </w:p>
    <w:p w:rsidR="00AD690E" w:rsidRDefault="00AD690E" w:rsidP="00AD690E">
      <w:pPr>
        <w:spacing w:before="120" w:after="120"/>
        <w:jc w:val="both"/>
        <w:rPr>
          <w:szCs w:val="22"/>
        </w:rPr>
      </w:pPr>
      <w:r w:rsidRPr="00675326">
        <w:rPr>
          <w:szCs w:val="22"/>
        </w:rPr>
        <w:t>Finalement, le 23 juin 1971, Robert Bourassa écrit à Pierre Elliott Trudeau qu'il ne peut recommander à l'Assemblée nationale du Qu</w:t>
      </w:r>
      <w:r w:rsidRPr="00675326">
        <w:rPr>
          <w:szCs w:val="22"/>
        </w:rPr>
        <w:t>é</w:t>
      </w:r>
      <w:r w:rsidRPr="00675326">
        <w:rPr>
          <w:szCs w:val="22"/>
        </w:rPr>
        <w:t xml:space="preserve">bec l'acceptation de la </w:t>
      </w:r>
      <w:r w:rsidRPr="00675326">
        <w:rPr>
          <w:i/>
          <w:iCs/>
          <w:szCs w:val="22"/>
        </w:rPr>
        <w:t>Charte constitutionnelle de Victoria</w:t>
      </w:r>
      <w:r>
        <w:rPr>
          <w:i/>
          <w:iCs/>
          <w:szCs w:val="22"/>
          <w:vertAlign w:val="superscript"/>
        </w:rPr>
        <w:t xml:space="preserve"> </w:t>
      </w:r>
      <w:r>
        <w:rPr>
          <w:iCs/>
          <w:szCs w:val="22"/>
          <w:vertAlign w:val="superscript"/>
        </w:rPr>
        <w:t> </w:t>
      </w:r>
      <w:r w:rsidRPr="005B6CBD">
        <w:rPr>
          <w:rStyle w:val="Appelnotedebasdep"/>
          <w:iCs/>
        </w:rPr>
        <w:footnoteReference w:id="157"/>
      </w:r>
      <w:r w:rsidRPr="00675326">
        <w:rPr>
          <w:i/>
          <w:iCs/>
          <w:szCs w:val="22"/>
        </w:rPr>
        <w:t xml:space="preserve">. </w:t>
      </w:r>
      <w:r w:rsidRPr="00675326">
        <w:rPr>
          <w:szCs w:val="22"/>
        </w:rPr>
        <w:t>Il so</w:t>
      </w:r>
      <w:r w:rsidRPr="00675326">
        <w:rPr>
          <w:szCs w:val="22"/>
        </w:rPr>
        <w:t>u</w:t>
      </w:r>
      <w:r w:rsidRPr="00675326">
        <w:rPr>
          <w:szCs w:val="22"/>
        </w:rPr>
        <w:t>ligne que le fédéralisme canadien « doit être décentralisé pour refléter la diversité des régions » et qu'il « doit aussi permettre au gouvern</w:t>
      </w:r>
      <w:r w:rsidRPr="00675326">
        <w:rPr>
          <w:szCs w:val="22"/>
        </w:rPr>
        <w:t>e</w:t>
      </w:r>
      <w:r w:rsidRPr="00675326">
        <w:rPr>
          <w:szCs w:val="22"/>
        </w:rPr>
        <w:t>ment du Québec d'assurer l'avenir culturel de la majorité de sa popul</w:t>
      </w:r>
      <w:r w:rsidRPr="00675326">
        <w:rPr>
          <w:szCs w:val="22"/>
        </w:rPr>
        <w:t>a</w:t>
      </w:r>
      <w:r w:rsidRPr="00675326">
        <w:rPr>
          <w:szCs w:val="22"/>
        </w:rPr>
        <w:t>tion ». Son refus est justifié essentiellement par l'incapacité d'en arr</w:t>
      </w:r>
      <w:r w:rsidRPr="00675326">
        <w:rPr>
          <w:szCs w:val="22"/>
        </w:rPr>
        <w:t>i</w:t>
      </w:r>
      <w:r w:rsidRPr="00675326">
        <w:rPr>
          <w:szCs w:val="22"/>
        </w:rPr>
        <w:t>ver à un accord sur le dossier de la politique sociale. Parlant de l'ince</w:t>
      </w:r>
      <w:r w:rsidRPr="00675326">
        <w:rPr>
          <w:szCs w:val="22"/>
        </w:rPr>
        <w:t>r</w:t>
      </w:r>
      <w:r w:rsidRPr="00675326">
        <w:rPr>
          <w:szCs w:val="22"/>
        </w:rPr>
        <w:t>titude caractérisant les textes se rapportant à la sécurité du revenu, Bourassa écrit : « Si cette incertitude était éliminée, notre conclusion pourrait être différente ». Ce refus québécois imposait le constat d'échec du processus mis en branle à son instigation au tournant du premier centenaire de la fédération canadienne.</w:t>
      </w:r>
    </w:p>
    <w:p w:rsidR="00AD690E" w:rsidRPr="00675326" w:rsidRDefault="00AD690E" w:rsidP="00AD690E">
      <w:pPr>
        <w:spacing w:before="120" w:after="120"/>
        <w:jc w:val="both"/>
      </w:pPr>
    </w:p>
    <w:p w:rsidR="00AD690E" w:rsidRDefault="00AD690E" w:rsidP="00AD690E">
      <w:pPr>
        <w:spacing w:before="120" w:after="120"/>
        <w:jc w:val="both"/>
        <w:rPr>
          <w:szCs w:val="22"/>
        </w:rPr>
      </w:pPr>
    </w:p>
    <w:p w:rsidR="00AD690E" w:rsidRPr="0051241E" w:rsidRDefault="00AD690E" w:rsidP="00AD690E">
      <w:pPr>
        <w:pStyle w:val="a"/>
      </w:pPr>
      <w:r w:rsidRPr="0051241E">
        <w:t>Perdre ses effets mais garder la ligne</w:t>
      </w:r>
    </w:p>
    <w:p w:rsidR="00AD690E" w:rsidRDefault="00AD690E" w:rsidP="00AD690E">
      <w:pPr>
        <w:spacing w:before="120" w:after="120"/>
        <w:jc w:val="both"/>
        <w:rPr>
          <w:szCs w:val="22"/>
        </w:rPr>
      </w:pPr>
    </w:p>
    <w:p w:rsidR="00AD690E" w:rsidRPr="00675326" w:rsidRDefault="00AD690E" w:rsidP="00AD690E">
      <w:pPr>
        <w:spacing w:before="120" w:after="120"/>
        <w:jc w:val="both"/>
      </w:pPr>
      <w:r>
        <w:rPr>
          <w:szCs w:val="22"/>
        </w:rPr>
        <w:t>À</w:t>
      </w:r>
      <w:r w:rsidRPr="00675326">
        <w:rPr>
          <w:szCs w:val="22"/>
        </w:rPr>
        <w:t xml:space="preserve"> la suite de ce rendez-vous manqué, le débat constitutionnel s'éclipsa momentanément. Le 16 mars 1972, le dépôt du </w:t>
      </w:r>
      <w:r w:rsidRPr="00675326">
        <w:rPr>
          <w:i/>
          <w:iCs/>
          <w:szCs w:val="22"/>
        </w:rPr>
        <w:t>Premier ra</w:t>
      </w:r>
      <w:r w:rsidRPr="00675326">
        <w:rPr>
          <w:i/>
          <w:iCs/>
          <w:szCs w:val="22"/>
        </w:rPr>
        <w:t>p</w:t>
      </w:r>
      <w:r w:rsidRPr="00675326">
        <w:rPr>
          <w:i/>
          <w:iCs/>
          <w:szCs w:val="22"/>
        </w:rPr>
        <w:t xml:space="preserve">port </w:t>
      </w:r>
      <w:r w:rsidRPr="00675326">
        <w:rPr>
          <w:szCs w:val="22"/>
        </w:rPr>
        <w:t>du Comité spécial mixte du Sénat et de la Chambre des comm</w:t>
      </w:r>
      <w:r w:rsidRPr="00675326">
        <w:rPr>
          <w:szCs w:val="22"/>
        </w:rPr>
        <w:t>u</w:t>
      </w:r>
      <w:r w:rsidRPr="00675326">
        <w:rPr>
          <w:szCs w:val="22"/>
        </w:rPr>
        <w:t>nes rappela à l'attention la question non résolue. De guerre lasse, le gouvernement fédéral avait finalement accepté de créer un comité pour se pencher sur la question constitutionnelle. On se souviendra du jugement catégorique prononcé par Trudeau au cours du débat préal</w:t>
      </w:r>
      <w:r w:rsidRPr="00675326">
        <w:rPr>
          <w:szCs w:val="22"/>
        </w:rPr>
        <w:t>a</w:t>
      </w:r>
      <w:r w:rsidRPr="00675326">
        <w:rPr>
          <w:szCs w:val="22"/>
        </w:rPr>
        <w:t>ble lorsqu'il identifiait, derrière l'insistance sur une révision constit</w:t>
      </w:r>
      <w:r w:rsidRPr="00675326">
        <w:rPr>
          <w:szCs w:val="22"/>
        </w:rPr>
        <w:t>u</w:t>
      </w:r>
      <w:r w:rsidRPr="00675326">
        <w:rPr>
          <w:szCs w:val="22"/>
        </w:rPr>
        <w:t>tionnelle, les intérêts d'une bourgeoisie montante. Le Comité mixte, au terme de ses travaux, apporta un avis bien tardif ; le peu de discu</w:t>
      </w:r>
      <w:r w:rsidRPr="00675326">
        <w:rPr>
          <w:szCs w:val="22"/>
        </w:rPr>
        <w:t>s</w:t>
      </w:r>
      <w:r w:rsidRPr="00675326">
        <w:rPr>
          <w:szCs w:val="22"/>
        </w:rPr>
        <w:t>sions que le Rapport souleva est venu confirmer sa faible pertinence sur le cours de événements. Ce Rapport témoigne cependant de la l</w:t>
      </w:r>
      <w:r w:rsidRPr="00675326">
        <w:rPr>
          <w:szCs w:val="22"/>
        </w:rPr>
        <w:t>o</w:t>
      </w:r>
      <w:r w:rsidRPr="00675326">
        <w:rPr>
          <w:szCs w:val="22"/>
        </w:rPr>
        <w:t>gique et de la finalité qui inspirent la démarche fédérale de révision constitutionnelle.</w:t>
      </w:r>
    </w:p>
    <w:p w:rsidR="00AD690E" w:rsidRPr="00675326" w:rsidRDefault="00AD690E" w:rsidP="00AD690E">
      <w:pPr>
        <w:spacing w:before="120" w:after="120"/>
        <w:jc w:val="both"/>
      </w:pPr>
      <w:r w:rsidRPr="00675326">
        <w:rPr>
          <w:szCs w:val="22"/>
        </w:rPr>
        <w:t xml:space="preserve">Pour le Comité mixte, le Canada a besoin dès maintenant d'une nouvelle constitution qui, s'inspirant de </w:t>
      </w:r>
      <w:r w:rsidRPr="0051241E">
        <w:rPr>
          <w:iCs/>
          <w:szCs w:val="22"/>
        </w:rPr>
        <w:t>l</w:t>
      </w:r>
      <w:r>
        <w:rPr>
          <w:i/>
          <w:iCs/>
          <w:szCs w:val="22"/>
        </w:rPr>
        <w:t>’</w:t>
      </w:r>
      <w:r w:rsidRPr="00675326">
        <w:rPr>
          <w:i/>
          <w:iCs/>
          <w:szCs w:val="22"/>
        </w:rPr>
        <w:t xml:space="preserve">ANNB, </w:t>
      </w:r>
      <w:r w:rsidRPr="00675326">
        <w:rPr>
          <w:szCs w:val="22"/>
        </w:rPr>
        <w:t>aménagerait un féd</w:t>
      </w:r>
      <w:r w:rsidRPr="00675326">
        <w:rPr>
          <w:szCs w:val="22"/>
        </w:rPr>
        <w:t>é</w:t>
      </w:r>
      <w:r w:rsidRPr="00675326">
        <w:rPr>
          <w:szCs w:val="22"/>
        </w:rPr>
        <w:t>ralisme plus fonctionnel en accentuant la centralisation dans certains domaines et en la</w:t>
      </w:r>
      <w:r>
        <w:rPr>
          <w:szCs w:val="22"/>
        </w:rPr>
        <w:t xml:space="preserve"> </w:t>
      </w:r>
      <w:r>
        <w:t>[</w:t>
      </w:r>
      <w:r w:rsidRPr="00675326">
        <w:rPr>
          <w:szCs w:val="22"/>
        </w:rPr>
        <w:t>92</w:t>
      </w:r>
      <w:r>
        <w:rPr>
          <w:szCs w:val="22"/>
        </w:rPr>
        <w:t xml:space="preserve">] </w:t>
      </w:r>
      <w:r w:rsidRPr="00675326">
        <w:rPr>
          <w:szCs w:val="22"/>
        </w:rPr>
        <w:t>diminuant dans d'autres. Certes, le Québec est l'une des premières causes de cette nécessité, mais il ne faut pas ign</w:t>
      </w:r>
      <w:r w:rsidRPr="00675326">
        <w:rPr>
          <w:szCs w:val="22"/>
        </w:rPr>
        <w:t>o</w:t>
      </w:r>
      <w:r w:rsidRPr="00675326">
        <w:rPr>
          <w:szCs w:val="22"/>
        </w:rPr>
        <w:t>rer la volonté de r</w:t>
      </w:r>
      <w:r w:rsidRPr="00675326">
        <w:rPr>
          <w:szCs w:val="22"/>
        </w:rPr>
        <w:t>é</w:t>
      </w:r>
      <w:r w:rsidRPr="00675326">
        <w:rPr>
          <w:szCs w:val="22"/>
        </w:rPr>
        <w:t>forme d'autres provinces.</w:t>
      </w:r>
    </w:p>
    <w:p w:rsidR="00AD690E" w:rsidRPr="00675326" w:rsidRDefault="00AD690E" w:rsidP="00AD690E">
      <w:pPr>
        <w:spacing w:before="120" w:after="120"/>
        <w:jc w:val="both"/>
      </w:pPr>
      <w:r w:rsidRPr="00675326">
        <w:rPr>
          <w:szCs w:val="22"/>
        </w:rPr>
        <w:t>Tout en reconnaissant au Québec un impératif culturel (« La con</w:t>
      </w:r>
      <w:r w:rsidRPr="00675326">
        <w:rPr>
          <w:szCs w:val="22"/>
        </w:rPr>
        <w:t>s</w:t>
      </w:r>
      <w:r w:rsidRPr="00675326">
        <w:rPr>
          <w:szCs w:val="22"/>
        </w:rPr>
        <w:t>titution doit garantir la préservation de la personnalité collective du Québec français »</w:t>
      </w:r>
      <w:r>
        <w:rPr>
          <w:szCs w:val="22"/>
        </w:rPr>
        <w:t> </w:t>
      </w:r>
      <w:r w:rsidRPr="005B6CBD">
        <w:rPr>
          <w:rStyle w:val="Appelnotedebasdep"/>
        </w:rPr>
        <w:footnoteReference w:id="158"/>
      </w:r>
      <w:r w:rsidRPr="00675326">
        <w:rPr>
          <w:szCs w:val="22"/>
        </w:rPr>
        <w:t>), le Comité rejette, au nom du multiculturali</w:t>
      </w:r>
      <w:r w:rsidRPr="00675326">
        <w:rPr>
          <w:szCs w:val="22"/>
        </w:rPr>
        <w:t>s</w:t>
      </w:r>
      <w:r w:rsidRPr="00675326">
        <w:rPr>
          <w:szCs w:val="22"/>
        </w:rPr>
        <w:t>me, « la théorie selon laquelle le Canada ne se compose que de deux cult</w:t>
      </w:r>
      <w:r w:rsidRPr="00675326">
        <w:rPr>
          <w:szCs w:val="22"/>
        </w:rPr>
        <w:t>u</w:t>
      </w:r>
      <w:r w:rsidRPr="00675326">
        <w:rPr>
          <w:szCs w:val="22"/>
        </w:rPr>
        <w:t xml:space="preserve">res ». Le nouveau partage des pouvoirs que l'on suggère insiste sur une décentralisation en matière de politique culturelle et sociale, qui serait accompagnée d'une centralisation des leviers d'intervention et de réglementation concernant le développement économique. Les droits linguistiques proposés ressemblent à ceux retenus dans la </w:t>
      </w:r>
      <w:r w:rsidRPr="00675326">
        <w:rPr>
          <w:i/>
          <w:iCs/>
          <w:szCs w:val="22"/>
        </w:rPr>
        <w:t>Cha</w:t>
      </w:r>
      <w:r w:rsidRPr="00675326">
        <w:rPr>
          <w:i/>
          <w:iCs/>
          <w:szCs w:val="22"/>
        </w:rPr>
        <w:t>r</w:t>
      </w:r>
      <w:r w:rsidRPr="00675326">
        <w:rPr>
          <w:i/>
          <w:iCs/>
          <w:szCs w:val="22"/>
        </w:rPr>
        <w:t xml:space="preserve">te de Victoria ; </w:t>
      </w:r>
      <w:r w:rsidRPr="00675326">
        <w:rPr>
          <w:szCs w:val="22"/>
        </w:rPr>
        <w:t>cependant leur application toucherait le Québec, l'O</w:t>
      </w:r>
      <w:r w:rsidRPr="00675326">
        <w:rPr>
          <w:szCs w:val="22"/>
        </w:rPr>
        <w:t>n</w:t>
      </w:r>
      <w:r w:rsidRPr="00675326">
        <w:rPr>
          <w:szCs w:val="22"/>
        </w:rPr>
        <w:t>tario, le Nouveau-Brunswick et toute province où la minorité franc</w:t>
      </w:r>
      <w:r w:rsidRPr="00675326">
        <w:rPr>
          <w:szCs w:val="22"/>
        </w:rPr>
        <w:t>o</w:t>
      </w:r>
      <w:r w:rsidRPr="00675326">
        <w:rPr>
          <w:szCs w:val="22"/>
        </w:rPr>
        <w:t>phone atteint 10</w:t>
      </w:r>
      <w:r>
        <w:rPr>
          <w:szCs w:val="22"/>
        </w:rPr>
        <w:t>%</w:t>
      </w:r>
      <w:r w:rsidRPr="00675326">
        <w:rPr>
          <w:szCs w:val="22"/>
        </w:rPr>
        <w:t xml:space="preserve"> de la population. On insiste toutefois sur le caract</w:t>
      </w:r>
      <w:r w:rsidRPr="00675326">
        <w:rPr>
          <w:szCs w:val="22"/>
        </w:rPr>
        <w:t>è</w:t>
      </w:r>
      <w:r w:rsidRPr="00675326">
        <w:rPr>
          <w:szCs w:val="22"/>
        </w:rPr>
        <w:t>re multiculturel du Canada, en soulignant que le statut officiel du français ou de l'anglais ne traduit pas l'établissement de priorités culturelles.</w:t>
      </w:r>
    </w:p>
    <w:p w:rsidR="00AD690E" w:rsidRPr="00675326" w:rsidRDefault="00AD690E" w:rsidP="00AD690E">
      <w:pPr>
        <w:spacing w:before="120" w:after="120"/>
        <w:jc w:val="both"/>
      </w:pPr>
      <w:r w:rsidRPr="00675326">
        <w:rPr>
          <w:szCs w:val="22"/>
        </w:rPr>
        <w:t>Il ressort clairement que le fédéralisme fonctionnel signifie que les questions « nationales » doivent être sous l'autorité fédérale alors que celles d'intérêt local doivent être concentrées sous la juridiction pr</w:t>
      </w:r>
      <w:r w:rsidRPr="00675326">
        <w:rPr>
          <w:szCs w:val="22"/>
        </w:rPr>
        <w:t>o</w:t>
      </w:r>
      <w:r w:rsidRPr="00675326">
        <w:rPr>
          <w:szCs w:val="22"/>
        </w:rPr>
        <w:t>vinciale. L'esquisse qui est donnée rappelle la remarque de Pierre Trudeau en 1968 : « J'aime bien qu'il y ait des gouvernements locaux pour protéger les traditions et les cultures locales et j'aime bien qu'il y ait des gouvernements plus larges pour tenter de résoudre des probl</w:t>
      </w:r>
      <w:r w:rsidRPr="00675326">
        <w:rPr>
          <w:szCs w:val="22"/>
        </w:rPr>
        <w:t>è</w:t>
      </w:r>
      <w:r w:rsidRPr="00675326">
        <w:rPr>
          <w:szCs w:val="22"/>
        </w:rPr>
        <w:t>mes qui sont communs à plusieurs régions. Et ça, c'est le fédérali</w:t>
      </w:r>
      <w:r w:rsidRPr="00675326">
        <w:rPr>
          <w:szCs w:val="22"/>
        </w:rPr>
        <w:t>s</w:t>
      </w:r>
      <w:r w:rsidRPr="00675326">
        <w:rPr>
          <w:szCs w:val="22"/>
        </w:rPr>
        <w:t>me »</w:t>
      </w:r>
      <w:r>
        <w:rPr>
          <w:szCs w:val="22"/>
        </w:rPr>
        <w:t> </w:t>
      </w:r>
      <w:r w:rsidRPr="005B6CBD">
        <w:rPr>
          <w:rStyle w:val="Appelnotedebasdep"/>
        </w:rPr>
        <w:footnoteReference w:id="159"/>
      </w:r>
      <w:r w:rsidRPr="00675326">
        <w:rPr>
          <w:szCs w:val="22"/>
        </w:rPr>
        <w:t>. Le sort réservé à l'idée d'un statut particulier ou spécial d'une province laisse place à peu d'ambiguïtés. Reprenant l'argumentation de Trudeau, l'hypothèse d'une asymétrie des compétences provinciales apparaît comme une hypothèque nuisible créant une situation inten</w:t>
      </w:r>
      <w:r w:rsidRPr="00675326">
        <w:rPr>
          <w:szCs w:val="22"/>
        </w:rPr>
        <w:t>a</w:t>
      </w:r>
      <w:r w:rsidRPr="00675326">
        <w:rPr>
          <w:szCs w:val="22"/>
        </w:rPr>
        <w:t>ble au sein de la fédération canadienne</w:t>
      </w:r>
      <w:r>
        <w:rPr>
          <w:szCs w:val="22"/>
        </w:rPr>
        <w:t> </w:t>
      </w:r>
      <w:r w:rsidRPr="005B6CBD">
        <w:rPr>
          <w:rStyle w:val="Appelnotedebasdep"/>
        </w:rPr>
        <w:footnoteReference w:id="160"/>
      </w:r>
      <w:r w:rsidRPr="00675326">
        <w:rPr>
          <w:szCs w:val="22"/>
        </w:rPr>
        <w:t>. Le Comité propose la fo</w:t>
      </w:r>
      <w:r w:rsidRPr="00675326">
        <w:rPr>
          <w:szCs w:val="22"/>
        </w:rPr>
        <w:t>r</w:t>
      </w:r>
      <w:r w:rsidRPr="00675326">
        <w:rPr>
          <w:szCs w:val="22"/>
        </w:rPr>
        <w:t xml:space="preserve">mule de modification constitutionnelle qui a été arrêtée dans la </w:t>
      </w:r>
      <w:r w:rsidRPr="00675326">
        <w:rPr>
          <w:i/>
          <w:iCs/>
          <w:szCs w:val="22"/>
        </w:rPr>
        <w:t>Charte de Victoria.</w:t>
      </w:r>
    </w:p>
    <w:p w:rsidR="00AD690E" w:rsidRPr="00675326" w:rsidRDefault="00AD690E" w:rsidP="00AD690E">
      <w:pPr>
        <w:spacing w:before="120" w:after="120"/>
        <w:jc w:val="both"/>
      </w:pPr>
      <w:r w:rsidRPr="00675326">
        <w:rPr>
          <w:szCs w:val="22"/>
        </w:rPr>
        <w:t>Le préambule devrait reconnaître que le Canada est un pays mult</w:t>
      </w:r>
      <w:r w:rsidRPr="00675326">
        <w:rPr>
          <w:szCs w:val="22"/>
        </w:rPr>
        <w:t>i</w:t>
      </w:r>
      <w:r w:rsidRPr="00675326">
        <w:rPr>
          <w:szCs w:val="22"/>
        </w:rPr>
        <w:t>culturel et non biculturel ; de même, il devrait reconnaître le principe de l'autodétermination. Le traitement de ce principe est assorti de pl</w:t>
      </w:r>
      <w:r w:rsidRPr="00675326">
        <w:rPr>
          <w:szCs w:val="22"/>
        </w:rPr>
        <w:t>u</w:t>
      </w:r>
      <w:r w:rsidRPr="00675326">
        <w:rPr>
          <w:szCs w:val="22"/>
        </w:rPr>
        <w:t>sieurs précautions et circonvolutions. Il sera l'objet de la rédaction d'un rapport minoritaire. La reconnaissance de ce principe est prése</w:t>
      </w:r>
      <w:r w:rsidRPr="00675326">
        <w:rPr>
          <w:szCs w:val="22"/>
        </w:rPr>
        <w:t>n</w:t>
      </w:r>
      <w:r w:rsidRPr="00675326">
        <w:rPr>
          <w:szCs w:val="22"/>
        </w:rPr>
        <w:t>tée comme une réponse aux Québécois. Le Comité s'oppose cependant à toute adéquation entre la notion de peuple (ou nation) canadien-français et l'État du Québec, car l'autodétermination d'un peuple et l'autodétermination d'une province « ne sont pas équivalentes, puisque le peuple est une réalité naturelle et la province une</w:t>
      </w:r>
      <w:r>
        <w:rPr>
          <w:szCs w:val="22"/>
        </w:rPr>
        <w:t xml:space="preserve"> </w:t>
      </w:r>
      <w:r>
        <w:t xml:space="preserve">[93] </w:t>
      </w:r>
      <w:r w:rsidRPr="00675326">
        <w:rPr>
          <w:szCs w:val="22"/>
        </w:rPr>
        <w:t>réalité artif</w:t>
      </w:r>
      <w:r w:rsidRPr="00675326">
        <w:rPr>
          <w:szCs w:val="22"/>
        </w:rPr>
        <w:t>i</w:t>
      </w:r>
      <w:r w:rsidRPr="00675326">
        <w:rPr>
          <w:szCs w:val="22"/>
        </w:rPr>
        <w:t>cielle »</w:t>
      </w:r>
      <w:r>
        <w:rPr>
          <w:szCs w:val="22"/>
        </w:rPr>
        <w:t> </w:t>
      </w:r>
      <w:r w:rsidRPr="005B6CBD">
        <w:rPr>
          <w:rStyle w:val="Appelnotedebasdep"/>
        </w:rPr>
        <w:footnoteReference w:id="161"/>
      </w:r>
      <w:r w:rsidRPr="00675326">
        <w:rPr>
          <w:szCs w:val="22"/>
        </w:rPr>
        <w:t>. On reprend l'argument de Trudeau voulant qu'il n'y ait pas de coïncidence parfaite entre le peuple canadien-français et le territo</w:t>
      </w:r>
      <w:r w:rsidRPr="00675326">
        <w:rPr>
          <w:szCs w:val="22"/>
        </w:rPr>
        <w:t>i</w:t>
      </w:r>
      <w:r w:rsidRPr="00675326">
        <w:rPr>
          <w:szCs w:val="22"/>
        </w:rPr>
        <w:t>re du Québec et qu'il existerait au Québec de nouvelles minorités et</w:t>
      </w:r>
      <w:r w:rsidRPr="00675326">
        <w:rPr>
          <w:szCs w:val="22"/>
        </w:rPr>
        <w:t>h</w:t>
      </w:r>
      <w:r w:rsidRPr="00675326">
        <w:rPr>
          <w:szCs w:val="22"/>
        </w:rPr>
        <w:t>niques devant aussi avoir droit à l'indépendance, pour conclure : « En conséquence, même si nous acceptons l'idée d'un bloc francophone du Canada formant un « peuple » ayant droit à l'a</w:t>
      </w:r>
      <w:r w:rsidRPr="00675326">
        <w:rPr>
          <w:szCs w:val="22"/>
        </w:rPr>
        <w:t>u</w:t>
      </w:r>
      <w:r w:rsidRPr="00675326">
        <w:rPr>
          <w:szCs w:val="22"/>
        </w:rPr>
        <w:t>todétermination, nous ne pouvons néanmoins envisager aucune fo</w:t>
      </w:r>
      <w:r w:rsidRPr="00675326">
        <w:rPr>
          <w:szCs w:val="22"/>
        </w:rPr>
        <w:t>r</w:t>
      </w:r>
      <w:r w:rsidRPr="00675326">
        <w:rPr>
          <w:szCs w:val="22"/>
        </w:rPr>
        <w:t>mule juridique réalisable en vue de l'autodétermination sur la base des limites provinci</w:t>
      </w:r>
      <w:r w:rsidRPr="00675326">
        <w:rPr>
          <w:szCs w:val="22"/>
        </w:rPr>
        <w:t>a</w:t>
      </w:r>
      <w:r w:rsidRPr="00675326">
        <w:rPr>
          <w:szCs w:val="22"/>
        </w:rPr>
        <w:t>les »</w:t>
      </w:r>
      <w:r>
        <w:rPr>
          <w:szCs w:val="22"/>
        </w:rPr>
        <w:t> </w:t>
      </w:r>
      <w:r w:rsidRPr="005B6CBD">
        <w:rPr>
          <w:rStyle w:val="Appelnotedebasdep"/>
        </w:rPr>
        <w:footnoteReference w:id="162"/>
      </w:r>
      <w:r w:rsidRPr="00675326">
        <w:rPr>
          <w:szCs w:val="22"/>
        </w:rPr>
        <w:t>. Cette impasse trouverait sa solution dans le rejet d'un droit collectif au profit d'un droit du citoyen à l'autodétermination. Le pr</w:t>
      </w:r>
      <w:r w:rsidRPr="00675326">
        <w:rPr>
          <w:szCs w:val="22"/>
        </w:rPr>
        <w:t>é</w:t>
      </w:r>
      <w:r w:rsidRPr="00675326">
        <w:rPr>
          <w:szCs w:val="22"/>
        </w:rPr>
        <w:t>ambule devrait donc établir que la fédération est fondée sur la liberté de la personne et la protection des droits fondamentaux de l'homme et que l'existence de la société canadienne tient au libre consentement des citoyens et à leur volonté commune de vivre e</w:t>
      </w:r>
      <w:r w:rsidRPr="00675326">
        <w:rPr>
          <w:szCs w:val="22"/>
        </w:rPr>
        <w:t>n</w:t>
      </w:r>
      <w:r w:rsidRPr="00675326">
        <w:rPr>
          <w:szCs w:val="22"/>
        </w:rPr>
        <w:t>semble et que tout différend entre eux devrait se régler par des moyens pacifiques au moyen de la négociation.</w:t>
      </w:r>
    </w:p>
    <w:p w:rsidR="00AD690E" w:rsidRDefault="00AD690E" w:rsidP="00AD690E">
      <w:pPr>
        <w:spacing w:before="120" w:after="120"/>
        <w:jc w:val="both"/>
        <w:rPr>
          <w:szCs w:val="22"/>
        </w:rPr>
      </w:pPr>
      <w:r w:rsidRPr="00675326">
        <w:rPr>
          <w:szCs w:val="22"/>
        </w:rPr>
        <w:t>Sur cette question, les députés Pierre de Bané et Martial Asselin rédigent un rapport minoritaire qui propose la reconnaissance du Qu</w:t>
      </w:r>
      <w:r w:rsidRPr="00675326">
        <w:rPr>
          <w:szCs w:val="22"/>
        </w:rPr>
        <w:t>é</w:t>
      </w:r>
      <w:r w:rsidRPr="00675326">
        <w:rPr>
          <w:szCs w:val="22"/>
        </w:rPr>
        <w:t>bec comme société distincte et la reconnaissance du droit de cette s</w:t>
      </w:r>
      <w:r w:rsidRPr="00675326">
        <w:rPr>
          <w:szCs w:val="22"/>
        </w:rPr>
        <w:t>o</w:t>
      </w:r>
      <w:r w:rsidRPr="00675326">
        <w:rPr>
          <w:szCs w:val="22"/>
        </w:rPr>
        <w:t xml:space="preserve">ciété à l'autodétermination. Au moment du dépôt à la Chambre du </w:t>
      </w:r>
      <w:r w:rsidRPr="00675326">
        <w:rPr>
          <w:i/>
          <w:iCs/>
          <w:szCs w:val="22"/>
        </w:rPr>
        <w:t xml:space="preserve">Rapport du Comité spécial mixte, </w:t>
      </w:r>
      <w:r w:rsidRPr="00675326">
        <w:rPr>
          <w:szCs w:val="22"/>
        </w:rPr>
        <w:t xml:space="preserve">on refusa de consentir au dépôt du </w:t>
      </w:r>
      <w:r w:rsidRPr="00675326">
        <w:rPr>
          <w:i/>
          <w:iCs/>
          <w:szCs w:val="22"/>
        </w:rPr>
        <w:t>Rapport minoritaire</w:t>
      </w:r>
      <w:r>
        <w:rPr>
          <w:iCs/>
          <w:szCs w:val="22"/>
        </w:rPr>
        <w:t> </w:t>
      </w:r>
      <w:r w:rsidRPr="005B6CBD">
        <w:rPr>
          <w:rStyle w:val="Appelnotedebasdep"/>
          <w:iCs/>
        </w:rPr>
        <w:footnoteReference w:id="163"/>
      </w:r>
      <w:r w:rsidRPr="00675326">
        <w:rPr>
          <w:i/>
          <w:iCs/>
          <w:szCs w:val="22"/>
        </w:rPr>
        <w:t xml:space="preserve">. </w:t>
      </w:r>
      <w:r w:rsidRPr="00675326">
        <w:rPr>
          <w:szCs w:val="22"/>
        </w:rPr>
        <w:t>La discussion du droit à l'autodétermination du Québec par une instance fédérale revêtait sans doute un caractère e</w:t>
      </w:r>
      <w:r w:rsidRPr="00675326">
        <w:rPr>
          <w:szCs w:val="22"/>
        </w:rPr>
        <w:t>x</w:t>
      </w:r>
      <w:r w:rsidRPr="00675326">
        <w:rPr>
          <w:szCs w:val="22"/>
        </w:rPr>
        <w:t>ceptionnel ; le traitement qui lui fut accordée n'en avait que plus de signification.</w:t>
      </w:r>
      <w:r>
        <w:rPr>
          <w:szCs w:val="22"/>
        </w:rPr>
        <w:t xml:space="preserve"> </w:t>
      </w:r>
    </w:p>
    <w:p w:rsidR="00AD690E" w:rsidRPr="00675326" w:rsidRDefault="00AD690E" w:rsidP="00AD690E">
      <w:pPr>
        <w:spacing w:before="120" w:after="120"/>
        <w:jc w:val="both"/>
      </w:pPr>
    </w:p>
    <w:p w:rsidR="00AD690E" w:rsidRPr="00686F06" w:rsidRDefault="00AD690E" w:rsidP="00AD690E">
      <w:pPr>
        <w:pStyle w:val="a"/>
      </w:pPr>
      <w:r w:rsidRPr="00686F06">
        <w:t>La mise en place de la rhétorique de l'unilatéralisme</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Ce n'est qu'en 1975 que la question constitutionnelle redevient prioritaire à Ottawa. Lors d'une réunion des premiers ministres, Pierre Elliott Trudeau croit pouvoir dégager un accord de principe sur le bien-fondé du rapatriement de la Constitution assorti de la formule d'amendement établie à Victoria. La démarche réduite à sa plus simple expression, qui renoue avec celle qui avait présidé à la proposition des formules Fulton et Fulton-Favreau, apparaît comme l'hypothèse m</w:t>
      </w:r>
      <w:r w:rsidRPr="00675326">
        <w:rPr>
          <w:szCs w:val="22"/>
        </w:rPr>
        <w:t>i</w:t>
      </w:r>
      <w:r w:rsidRPr="00675326">
        <w:rPr>
          <w:szCs w:val="22"/>
        </w:rPr>
        <w:t>nimale sujette à une entente.</w:t>
      </w:r>
    </w:p>
    <w:p w:rsidR="00AD690E" w:rsidRPr="00675326" w:rsidRDefault="00AD690E" w:rsidP="00AD690E">
      <w:pPr>
        <w:spacing w:before="120" w:after="120"/>
        <w:jc w:val="both"/>
      </w:pPr>
      <w:r w:rsidRPr="00675326">
        <w:rPr>
          <w:szCs w:val="22"/>
        </w:rPr>
        <w:t>Pour le Québec, il est difficilement envisageable de souscrire à ce</w:t>
      </w:r>
      <w:r w:rsidRPr="00675326">
        <w:rPr>
          <w:szCs w:val="22"/>
        </w:rPr>
        <w:t>t</w:t>
      </w:r>
      <w:r w:rsidRPr="00675326">
        <w:rPr>
          <w:szCs w:val="22"/>
        </w:rPr>
        <w:t>te initiative, si on n'y ajoutait pas des garanties constitutionnelles concernant la langue et la culture françaises. Les gouvernements pr</w:t>
      </w:r>
      <w:r w:rsidRPr="00675326">
        <w:rPr>
          <w:szCs w:val="22"/>
        </w:rPr>
        <w:t>o</w:t>
      </w:r>
      <w:r w:rsidRPr="00675326">
        <w:rPr>
          <w:szCs w:val="22"/>
        </w:rPr>
        <w:t>vinciaux de l'Ouest réclament une modification à la « formule de Vi</w:t>
      </w:r>
      <w:r w:rsidRPr="00675326">
        <w:rPr>
          <w:szCs w:val="22"/>
        </w:rPr>
        <w:t>c</w:t>
      </w:r>
      <w:r w:rsidRPr="00675326">
        <w:rPr>
          <w:szCs w:val="22"/>
        </w:rPr>
        <w:t>toria » les concernant, sans que</w:t>
      </w:r>
      <w:r>
        <w:rPr>
          <w:szCs w:val="22"/>
        </w:rPr>
        <w:t xml:space="preserve"> </w:t>
      </w:r>
      <w:r>
        <w:rPr>
          <w:szCs w:val="18"/>
        </w:rPr>
        <w:t>[</w:t>
      </w:r>
      <w:r w:rsidRPr="00675326">
        <w:rPr>
          <w:szCs w:val="22"/>
        </w:rPr>
        <w:t>94</w:t>
      </w:r>
      <w:r>
        <w:rPr>
          <w:szCs w:val="22"/>
        </w:rPr>
        <w:t xml:space="preserve">] </w:t>
      </w:r>
      <w:r w:rsidRPr="00675326">
        <w:rPr>
          <w:szCs w:val="22"/>
        </w:rPr>
        <w:t>cela remette en cause sa cohére</w:t>
      </w:r>
      <w:r w:rsidRPr="00675326">
        <w:rPr>
          <w:szCs w:val="22"/>
        </w:rPr>
        <w:t>n</w:t>
      </w:r>
      <w:r w:rsidRPr="00675326">
        <w:rPr>
          <w:szCs w:val="22"/>
        </w:rPr>
        <w:t>ce générale. On suggère par ai</w:t>
      </w:r>
      <w:r w:rsidRPr="00675326">
        <w:rPr>
          <w:szCs w:val="22"/>
        </w:rPr>
        <w:t>l</w:t>
      </w:r>
      <w:r w:rsidRPr="00675326">
        <w:rPr>
          <w:szCs w:val="22"/>
        </w:rPr>
        <w:t>leurs de reprendre certains points qui avaient fait l'objet d'une entente antérieurement, notamment pour la Cour suprême et la lutte aux in</w:t>
      </w:r>
      <w:r w:rsidRPr="00675326">
        <w:rPr>
          <w:szCs w:val="22"/>
        </w:rPr>
        <w:t>é</w:t>
      </w:r>
      <w:r w:rsidRPr="00675326">
        <w:rPr>
          <w:szCs w:val="22"/>
        </w:rPr>
        <w:t>galités régionales. Les demandes de Robert Bourassa semblent devoir déboucher sur une discussion po</w:t>
      </w:r>
      <w:r w:rsidRPr="00675326">
        <w:rPr>
          <w:szCs w:val="22"/>
        </w:rPr>
        <w:t>r</w:t>
      </w:r>
      <w:r w:rsidRPr="00675326">
        <w:rPr>
          <w:szCs w:val="22"/>
        </w:rPr>
        <w:t>tant sur le partage des compétences. Cela va plus loin que les objectifs que le go</w:t>
      </w:r>
      <w:r>
        <w:rPr>
          <w:szCs w:val="22"/>
        </w:rPr>
        <w:t>uvernement fédéral s'était fixés</w:t>
      </w:r>
      <w:r w:rsidRPr="00675326">
        <w:rPr>
          <w:szCs w:val="22"/>
        </w:rPr>
        <w:t xml:space="preserve"> pour l'année en cours.</w:t>
      </w:r>
    </w:p>
    <w:p w:rsidR="00AD690E" w:rsidRPr="00675326" w:rsidRDefault="00AD690E" w:rsidP="00AD690E">
      <w:pPr>
        <w:spacing w:before="120" w:after="120"/>
        <w:jc w:val="both"/>
      </w:pPr>
      <w:r w:rsidRPr="00675326">
        <w:rPr>
          <w:szCs w:val="22"/>
        </w:rPr>
        <w:t>De ce différend qui semble ne conduire qu'à un désaccord final, Trudeau dégage une argumentation qui plaide en faveur d'une action unilatérale du gouvernement fédéral.</w:t>
      </w:r>
    </w:p>
    <w:p w:rsidR="00AD690E" w:rsidRPr="00675326" w:rsidRDefault="00AD690E" w:rsidP="00AD690E">
      <w:pPr>
        <w:spacing w:before="120" w:after="120"/>
        <w:jc w:val="both"/>
      </w:pPr>
      <w:r w:rsidRPr="00675326">
        <w:rPr>
          <w:szCs w:val="22"/>
        </w:rPr>
        <w:t>En mars 1976, Trudeau déclare que « c'est non seulement possible mais peut-être souhaitable d'agir unilatéralement »</w:t>
      </w:r>
      <w:r>
        <w:rPr>
          <w:szCs w:val="22"/>
        </w:rPr>
        <w:t> </w:t>
      </w:r>
      <w:r w:rsidRPr="005B6CBD">
        <w:rPr>
          <w:rStyle w:val="Appelnotedebasdep"/>
        </w:rPr>
        <w:footnoteReference w:id="164"/>
      </w:r>
      <w:r w:rsidRPr="00675326">
        <w:rPr>
          <w:szCs w:val="22"/>
        </w:rPr>
        <w:t>. Puis, il dév</w:t>
      </w:r>
      <w:r w:rsidRPr="00675326">
        <w:rPr>
          <w:szCs w:val="22"/>
        </w:rPr>
        <w:t>e</w:t>
      </w:r>
      <w:r w:rsidRPr="00675326">
        <w:rPr>
          <w:szCs w:val="22"/>
        </w:rPr>
        <w:t>loppe trois scénarios comprenant des procédures constitutionnelles vari</w:t>
      </w:r>
      <w:r w:rsidRPr="00675326">
        <w:rPr>
          <w:szCs w:val="22"/>
        </w:rPr>
        <w:t>a</w:t>
      </w:r>
      <w:r w:rsidRPr="00675326">
        <w:rPr>
          <w:szCs w:val="22"/>
        </w:rPr>
        <w:t>bles. Dans le premier, le rapatriement pourrait être accompagné d'une formule prévoyant l'unanimité des provinces, afin de procéder à des modifications constitutionnelles pour des matières qui sont du re</w:t>
      </w:r>
      <w:r w:rsidRPr="00675326">
        <w:rPr>
          <w:szCs w:val="22"/>
        </w:rPr>
        <w:t>s</w:t>
      </w:r>
      <w:r w:rsidRPr="00675326">
        <w:rPr>
          <w:szCs w:val="22"/>
        </w:rPr>
        <w:t>sort des deux niveaux de gouvernement. Quant au deuxième, le rap</w:t>
      </w:r>
      <w:r w:rsidRPr="00675326">
        <w:rPr>
          <w:szCs w:val="22"/>
        </w:rPr>
        <w:t>a</w:t>
      </w:r>
      <w:r w:rsidRPr="00675326">
        <w:rPr>
          <w:szCs w:val="22"/>
        </w:rPr>
        <w:t>triement serait accompagné plutôt de la « formule de Victoria ». E</w:t>
      </w:r>
      <w:r w:rsidRPr="00675326">
        <w:rPr>
          <w:szCs w:val="22"/>
        </w:rPr>
        <w:t>n</w:t>
      </w:r>
      <w:r w:rsidRPr="00675326">
        <w:rPr>
          <w:szCs w:val="22"/>
        </w:rPr>
        <w:t>fin, dans le troisième scénario, l'adresse à la Reine pour le rapatri</w:t>
      </w:r>
      <w:r w:rsidRPr="00675326">
        <w:rPr>
          <w:szCs w:val="22"/>
        </w:rPr>
        <w:t>e</w:t>
      </w:r>
      <w:r w:rsidRPr="00675326">
        <w:rPr>
          <w:szCs w:val="22"/>
        </w:rPr>
        <w:t xml:space="preserve">ment contiendrait des modifications plus importantes à savoir, le contenu de la </w:t>
      </w:r>
      <w:r w:rsidRPr="00675326">
        <w:rPr>
          <w:i/>
          <w:iCs/>
          <w:szCs w:val="22"/>
        </w:rPr>
        <w:t xml:space="preserve">Charte de Victoria, </w:t>
      </w:r>
      <w:r w:rsidRPr="00675326">
        <w:rPr>
          <w:szCs w:val="22"/>
        </w:rPr>
        <w:t>mais aussi deux nouvelles sections, l'une se rapportant à la protection de la langue et de la culture frança</w:t>
      </w:r>
      <w:r w:rsidRPr="00675326">
        <w:rPr>
          <w:szCs w:val="22"/>
        </w:rPr>
        <w:t>i</w:t>
      </w:r>
      <w:r w:rsidRPr="00675326">
        <w:rPr>
          <w:szCs w:val="22"/>
        </w:rPr>
        <w:t>ses et l'autre prévoyant que l'application des droits linguistiques au niveau provincial dépend du gouvernement provincial. Le rapatri</w:t>
      </w:r>
      <w:r w:rsidRPr="00675326">
        <w:rPr>
          <w:szCs w:val="22"/>
        </w:rPr>
        <w:t>e</w:t>
      </w:r>
      <w:r w:rsidRPr="00675326">
        <w:rPr>
          <w:szCs w:val="22"/>
        </w:rPr>
        <w:t>ment unil</w:t>
      </w:r>
      <w:r w:rsidRPr="00675326">
        <w:rPr>
          <w:szCs w:val="22"/>
        </w:rPr>
        <w:t>a</w:t>
      </w:r>
      <w:r w:rsidRPr="00675326">
        <w:rPr>
          <w:szCs w:val="22"/>
        </w:rPr>
        <w:t>téral, plus qu'une hypothèse évoquée par bravade, devenait une éve</w:t>
      </w:r>
      <w:r w:rsidRPr="00675326">
        <w:rPr>
          <w:szCs w:val="22"/>
        </w:rPr>
        <w:t>n</w:t>
      </w:r>
      <w:r w:rsidRPr="00675326">
        <w:rPr>
          <w:szCs w:val="22"/>
        </w:rPr>
        <w:t>tualité politique immédiate.</w:t>
      </w:r>
    </w:p>
    <w:p w:rsidR="00AD690E" w:rsidRPr="00675326" w:rsidRDefault="00AD690E" w:rsidP="00AD690E">
      <w:pPr>
        <w:spacing w:before="120" w:after="120"/>
        <w:jc w:val="both"/>
      </w:pPr>
      <w:r w:rsidRPr="00675326">
        <w:rPr>
          <w:szCs w:val="22"/>
        </w:rPr>
        <w:t>Le gouvernement fédéral s'emploie d'ailleurs à donner des assises constitutionnelles à son argumentation. Dans une lettre aux premiers ministres, Trudeau affirme que si « l'unanimité ne semble pouvoir se faire, force sera au gouvernement fédéral de décider s'il doit ou non recommander au Parlement le rapatriement de l'AANB »</w:t>
      </w:r>
      <w:r>
        <w:rPr>
          <w:szCs w:val="22"/>
        </w:rPr>
        <w:t> </w:t>
      </w:r>
      <w:r w:rsidRPr="005B6CBD">
        <w:rPr>
          <w:rStyle w:val="Appelnotedebasdep"/>
        </w:rPr>
        <w:footnoteReference w:id="165"/>
      </w:r>
      <w:r w:rsidRPr="00675326">
        <w:rPr>
          <w:szCs w:val="22"/>
        </w:rPr>
        <w:t xml:space="preserve">. Et dans un document traitant notamment de la </w:t>
      </w:r>
      <w:r w:rsidRPr="00675326">
        <w:rPr>
          <w:i/>
          <w:iCs/>
          <w:szCs w:val="22"/>
        </w:rPr>
        <w:t xml:space="preserve">constitutionnalité de l'action unilatérale, </w:t>
      </w:r>
      <w:r w:rsidRPr="00675326">
        <w:rPr>
          <w:szCs w:val="22"/>
        </w:rPr>
        <w:t>le gouvernement affirme « que légalement les provinces n'ont nullement le droit d'être consultées au sujet des propositions de modifications de la Constitution adressées au Parlement de Westmin</w:t>
      </w:r>
      <w:r w:rsidRPr="00675326">
        <w:rPr>
          <w:szCs w:val="22"/>
        </w:rPr>
        <w:t>s</w:t>
      </w:r>
      <w:r w:rsidRPr="00675326">
        <w:rPr>
          <w:szCs w:val="22"/>
        </w:rPr>
        <w:t>ter »</w:t>
      </w:r>
      <w:r>
        <w:rPr>
          <w:szCs w:val="22"/>
        </w:rPr>
        <w:t> </w:t>
      </w:r>
      <w:r w:rsidRPr="005B6CBD">
        <w:rPr>
          <w:rStyle w:val="Appelnotedebasdep"/>
        </w:rPr>
        <w:footnoteReference w:id="166"/>
      </w:r>
      <w:r w:rsidRPr="00675326">
        <w:rPr>
          <w:szCs w:val="22"/>
        </w:rPr>
        <w:t>.</w:t>
      </w:r>
    </w:p>
    <w:p w:rsidR="00AD690E" w:rsidRPr="00675326" w:rsidRDefault="00AD690E" w:rsidP="00AD690E">
      <w:pPr>
        <w:spacing w:before="120" w:after="120"/>
        <w:jc w:val="both"/>
      </w:pPr>
      <w:r w:rsidRPr="00675326">
        <w:rPr>
          <w:szCs w:val="22"/>
        </w:rPr>
        <w:t>Ainsi le gouvernement fédéral se croit fondé politiquement — « on ne peut faire autrement » — et légalement — « on en a le droit » — de procéder au rapatriement unilatéral de la Constitution et à l'inse</w:t>
      </w:r>
      <w:r w:rsidRPr="00675326">
        <w:rPr>
          <w:szCs w:val="22"/>
        </w:rPr>
        <w:t>r</w:t>
      </w:r>
      <w:r w:rsidRPr="00675326">
        <w:rPr>
          <w:szCs w:val="22"/>
        </w:rPr>
        <w:t>tion, à tout le moins, d'une formule d'amendement. La rhétorique est en place, il ne lui reste plus qu'à trouver son aboutissement par des gestes concrets.</w:t>
      </w:r>
    </w:p>
    <w:p w:rsidR="00AD690E" w:rsidRDefault="00AD690E" w:rsidP="00AD690E">
      <w:pPr>
        <w:spacing w:before="120" w:after="120"/>
        <w:jc w:val="both"/>
        <w:rPr>
          <w:szCs w:val="18"/>
        </w:rPr>
      </w:pPr>
      <w:r>
        <w:rPr>
          <w:szCs w:val="18"/>
        </w:rPr>
        <w:t>[95]</w:t>
      </w:r>
    </w:p>
    <w:p w:rsidR="00AD690E" w:rsidRPr="00DF0892" w:rsidRDefault="00AD690E" w:rsidP="00AD690E">
      <w:pPr>
        <w:spacing w:before="120" w:after="120"/>
        <w:jc w:val="both"/>
        <w:rPr>
          <w:szCs w:val="22"/>
        </w:rPr>
      </w:pPr>
      <w:r w:rsidRPr="00675326">
        <w:rPr>
          <w:szCs w:val="22"/>
        </w:rPr>
        <w:t>Faisant front, les gouvernements provinciaux contestent la légit</w:t>
      </w:r>
      <w:r w:rsidRPr="00675326">
        <w:rPr>
          <w:szCs w:val="22"/>
        </w:rPr>
        <w:t>i</w:t>
      </w:r>
      <w:r w:rsidRPr="00675326">
        <w:rPr>
          <w:szCs w:val="22"/>
        </w:rPr>
        <w:t>mité et la légalité des prétentions d'Ottawa, puis reconsidèrent certa</w:t>
      </w:r>
      <w:r w:rsidRPr="00675326">
        <w:rPr>
          <w:szCs w:val="22"/>
        </w:rPr>
        <w:t>i</w:t>
      </w:r>
      <w:r w:rsidRPr="00675326">
        <w:rPr>
          <w:szCs w:val="22"/>
        </w:rPr>
        <w:t xml:space="preserve">nes dispositions de la </w:t>
      </w:r>
      <w:r w:rsidRPr="00675326">
        <w:rPr>
          <w:i/>
          <w:iCs/>
          <w:szCs w:val="22"/>
        </w:rPr>
        <w:t xml:space="preserve">Charte de Victoria, </w:t>
      </w:r>
      <w:r w:rsidRPr="00675326">
        <w:rPr>
          <w:szCs w:val="22"/>
        </w:rPr>
        <w:t>et enfin soulèvent d'autres questions du contentieux fédéral-provincial. L'unanimité des provi</w:t>
      </w:r>
      <w:r w:rsidRPr="00675326">
        <w:rPr>
          <w:szCs w:val="22"/>
        </w:rPr>
        <w:t>n</w:t>
      </w:r>
      <w:r w:rsidRPr="00675326">
        <w:rPr>
          <w:szCs w:val="22"/>
        </w:rPr>
        <w:t>ces dans leur opposition, l'objection formelle de Bourassa, le décle</w:t>
      </w:r>
      <w:r w:rsidRPr="00675326">
        <w:rPr>
          <w:szCs w:val="22"/>
        </w:rPr>
        <w:t>n</w:t>
      </w:r>
      <w:r w:rsidRPr="00675326">
        <w:rPr>
          <w:szCs w:val="22"/>
        </w:rPr>
        <w:t>chement par lui d'élections anticipées, notamment sur le thème de la révision constitutionnelle, et finalement l'élection du Parti québécois au gouvernement bloquèrent la route à l'entreprise fédérale. Mais la rhétorique de l'unilatéralisme devait revenir à l'ordre du jour plus tard.</w:t>
      </w:r>
    </w:p>
    <w:p w:rsidR="00AD690E" w:rsidRDefault="00AD690E" w:rsidP="00AD690E">
      <w:pPr>
        <w:spacing w:before="120" w:after="120"/>
        <w:jc w:val="both"/>
        <w:rPr>
          <w:szCs w:val="22"/>
        </w:rPr>
      </w:pPr>
    </w:p>
    <w:p w:rsidR="00AD690E" w:rsidRPr="00675326" w:rsidRDefault="00AD690E" w:rsidP="00AD690E">
      <w:pPr>
        <w:pStyle w:val="planche"/>
      </w:pPr>
      <w:r w:rsidRPr="00675326">
        <w:t>PLAIDOYER POUR L'AGIR</w:t>
      </w:r>
    </w:p>
    <w:p w:rsidR="00AD690E" w:rsidRPr="00675326" w:rsidRDefault="00AD690E" w:rsidP="00AD690E">
      <w:pPr>
        <w:spacing w:before="120" w:after="120"/>
        <w:jc w:val="both"/>
      </w:pPr>
    </w:p>
    <w:p w:rsidR="00AD690E" w:rsidRPr="00675326" w:rsidRDefault="00AD690E" w:rsidP="00AD690E">
      <w:pPr>
        <w:spacing w:before="120" w:after="120"/>
        <w:jc w:val="both"/>
      </w:pPr>
      <w:r>
        <w:rPr>
          <w:szCs w:val="22"/>
        </w:rPr>
        <w:t xml:space="preserve">Le projet de souveraineté que défend le Parti Québécois représente pour le Canada une menace </w:t>
      </w:r>
      <w:r w:rsidRPr="00675326">
        <w:rPr>
          <w:szCs w:val="22"/>
        </w:rPr>
        <w:t xml:space="preserve">dont la clé appartient en grande partie au peuple québécois appelé à se prononcer sur la négociation d'une </w:t>
      </w:r>
      <w:r w:rsidRPr="00675326">
        <w:rPr>
          <w:i/>
          <w:iCs/>
          <w:szCs w:val="22"/>
        </w:rPr>
        <w:t>No</w:t>
      </w:r>
      <w:r w:rsidRPr="00675326">
        <w:rPr>
          <w:i/>
          <w:iCs/>
          <w:szCs w:val="22"/>
        </w:rPr>
        <w:t>u</w:t>
      </w:r>
      <w:r w:rsidRPr="00675326">
        <w:rPr>
          <w:i/>
          <w:iCs/>
          <w:szCs w:val="22"/>
        </w:rPr>
        <w:t xml:space="preserve">velle entente Québec-Canada. </w:t>
      </w:r>
      <w:r w:rsidRPr="00675326">
        <w:rPr>
          <w:szCs w:val="22"/>
        </w:rPr>
        <w:t>Avant que cette échéance n'arrive, le gouvernement Trudeau tente d'occuper le terrain constitutionnel. Il crée à l'été 1977 la Commission de l'unité canadienne, qui doit « faire enquête sur les questions touchant l'unité canadienne ». Mais, pour l'essentiel, ce n'est pas de cette source que le gouvernement veut s'in</w:t>
      </w:r>
      <w:r w:rsidRPr="00675326">
        <w:rPr>
          <w:szCs w:val="22"/>
        </w:rPr>
        <w:t>s</w:t>
      </w:r>
      <w:r w:rsidRPr="00675326">
        <w:rPr>
          <w:szCs w:val="22"/>
        </w:rPr>
        <w:t xml:space="preserve">pirer pour reformuler ses propositions de réforme constitutionnelle. Ainsi, six mois avant le dépôt de son rapport, soit en juin 1978, le gouvernement publie une déclaration étoffée de Pierre Trudeau, sous le titre </w:t>
      </w:r>
      <w:r w:rsidRPr="00675326">
        <w:rPr>
          <w:i/>
          <w:iCs/>
          <w:szCs w:val="22"/>
        </w:rPr>
        <w:t xml:space="preserve">Le temps d'agir, </w:t>
      </w:r>
      <w:r w:rsidRPr="00675326">
        <w:rPr>
          <w:szCs w:val="22"/>
        </w:rPr>
        <w:t>qui accompagne un projet de loi élaboré de réforme constitutionnelle.</w:t>
      </w:r>
    </w:p>
    <w:p w:rsidR="00AD690E" w:rsidRDefault="00AD690E" w:rsidP="00AD690E">
      <w:pPr>
        <w:spacing w:before="120" w:after="120"/>
        <w:jc w:val="both"/>
        <w:rPr>
          <w:szCs w:val="22"/>
        </w:rPr>
      </w:pPr>
    </w:p>
    <w:p w:rsidR="00AD690E" w:rsidRPr="00DF0892" w:rsidRDefault="00AD690E" w:rsidP="00AD690E">
      <w:pPr>
        <w:pStyle w:val="a"/>
      </w:pPr>
      <w:r w:rsidRPr="00DF0892">
        <w:t>Le tout malgré les parties</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 xml:space="preserve">Bien qu'accordant une attention aux « majorités linguistiques », au multiculturalisme et au développement régional, le raisonnement de Trudeau dans </w:t>
      </w:r>
      <w:r w:rsidRPr="00675326">
        <w:rPr>
          <w:i/>
          <w:iCs/>
          <w:szCs w:val="22"/>
        </w:rPr>
        <w:t xml:space="preserve">Le temps d'agir </w:t>
      </w:r>
      <w:r w:rsidRPr="00675326">
        <w:rPr>
          <w:szCs w:val="22"/>
        </w:rPr>
        <w:t>épouse une certaine circularité. L'ind</w:t>
      </w:r>
      <w:r w:rsidRPr="00675326">
        <w:rPr>
          <w:szCs w:val="22"/>
        </w:rPr>
        <w:t>i</w:t>
      </w:r>
      <w:r w:rsidRPr="00675326">
        <w:rPr>
          <w:szCs w:val="22"/>
        </w:rPr>
        <w:t>vidu, atome premier de la réalité canadienne, subsume les différences de cette dernière dans une dialectique totalisante citoyen-gouvernement du Canada.</w:t>
      </w:r>
    </w:p>
    <w:p w:rsidR="00AD690E" w:rsidRPr="00675326" w:rsidRDefault="00AD690E" w:rsidP="00AD690E">
      <w:pPr>
        <w:spacing w:before="120" w:after="120"/>
        <w:jc w:val="both"/>
      </w:pPr>
      <w:r w:rsidRPr="00675326">
        <w:rPr>
          <w:szCs w:val="22"/>
        </w:rPr>
        <w:t>La démarche loge, au départ, à l'enseigne de la primauté du citoyen et des libertés individuelles. Pourtant cette masse d'individus est « travaillée » par une diversité sociologique et historique. Il faut considérer les autochtones, à qui l'on doit le respect de leurs droits légitimes. Ensuite, les deux grandes collectivités linguistiques, qui doivent pouvoir jouir des garanties d'une égalité linguistique. D'autre part, les multiples collectivités culturelles doivent pouvoir préserver leur patrimoine culturel. Enfin, la géographie et les institutions polit</w:t>
      </w:r>
      <w:r w:rsidRPr="00675326">
        <w:rPr>
          <w:szCs w:val="22"/>
        </w:rPr>
        <w:t>i</w:t>
      </w:r>
      <w:r w:rsidRPr="00675326">
        <w:rPr>
          <w:szCs w:val="22"/>
        </w:rPr>
        <w:t>ques permettent le développement d'identités régionales.</w:t>
      </w:r>
    </w:p>
    <w:p w:rsidR="00AD690E" w:rsidRPr="00675326" w:rsidRDefault="00AD690E" w:rsidP="00AD690E">
      <w:pPr>
        <w:spacing w:before="120" w:after="120"/>
        <w:jc w:val="both"/>
      </w:pPr>
      <w:r w:rsidRPr="00675326">
        <w:rPr>
          <w:szCs w:val="22"/>
        </w:rPr>
        <w:t>Il importe de souligner ici la dilution de la question québécoise dans le mode de désignation de la collectivité de langue française, qui a une sainte</w:t>
      </w:r>
      <w:r>
        <w:rPr>
          <w:szCs w:val="22"/>
        </w:rPr>
        <w:t xml:space="preserve"> </w:t>
      </w:r>
      <w:r>
        <w:t>[</w:t>
      </w:r>
      <w:r w:rsidRPr="00675326">
        <w:rPr>
          <w:szCs w:val="22"/>
        </w:rPr>
        <w:t>96</w:t>
      </w:r>
      <w:r>
        <w:rPr>
          <w:szCs w:val="22"/>
        </w:rPr>
        <w:t xml:space="preserve">] </w:t>
      </w:r>
      <w:r w:rsidRPr="00675326">
        <w:rPr>
          <w:szCs w:val="22"/>
        </w:rPr>
        <w:t>horreur des frontières et des recoupements possibles avec les inst</w:t>
      </w:r>
      <w:r w:rsidRPr="00675326">
        <w:rPr>
          <w:szCs w:val="22"/>
        </w:rPr>
        <w:t>i</w:t>
      </w:r>
      <w:r w:rsidRPr="00675326">
        <w:rPr>
          <w:szCs w:val="22"/>
        </w:rPr>
        <w:t>tutions politiques. En effet, on nous apprend que cette collectivité francophone « est numériquement majoritaire dans cette partie du territoire qui va des « pays d'en haut » ontariens en engl</w:t>
      </w:r>
      <w:r w:rsidRPr="00675326">
        <w:rPr>
          <w:szCs w:val="22"/>
        </w:rPr>
        <w:t>o</w:t>
      </w:r>
      <w:r w:rsidRPr="00675326">
        <w:rPr>
          <w:szCs w:val="22"/>
        </w:rPr>
        <w:t>bant tout le Québec, jusqu'aux confins du pays acadien »</w:t>
      </w:r>
      <w:r>
        <w:rPr>
          <w:szCs w:val="22"/>
        </w:rPr>
        <w:t> </w:t>
      </w:r>
      <w:r w:rsidRPr="005B6CBD">
        <w:rPr>
          <w:rStyle w:val="Appelnotedebasdep"/>
        </w:rPr>
        <w:footnoteReference w:id="167"/>
      </w:r>
      <w:r w:rsidRPr="00675326">
        <w:rPr>
          <w:szCs w:val="22"/>
        </w:rPr>
        <w:t>. Selon la même log</w:t>
      </w:r>
      <w:r w:rsidRPr="00675326">
        <w:rPr>
          <w:szCs w:val="22"/>
        </w:rPr>
        <w:t>i</w:t>
      </w:r>
      <w:r w:rsidRPr="00675326">
        <w:rPr>
          <w:szCs w:val="22"/>
        </w:rPr>
        <w:t>que, on pourrait sans doute « affirmer que la collectivité de langue anglaise en Amérique s'étend des confins de l'Alaska à la fro</w:t>
      </w:r>
      <w:r w:rsidRPr="00675326">
        <w:rPr>
          <w:szCs w:val="22"/>
        </w:rPr>
        <w:t>n</w:t>
      </w:r>
      <w:r w:rsidRPr="00675326">
        <w:rPr>
          <w:szCs w:val="22"/>
        </w:rPr>
        <w:t>tière mexicaine, ou encore que la collectivité espagnole occupe le te</w:t>
      </w:r>
      <w:r w:rsidRPr="00675326">
        <w:rPr>
          <w:szCs w:val="22"/>
        </w:rPr>
        <w:t>r</w:t>
      </w:r>
      <w:r w:rsidRPr="00675326">
        <w:rPr>
          <w:szCs w:val="22"/>
        </w:rPr>
        <w:t>ritoire qui va de la frontière texane au Cap Horn, en excluant le tria</w:t>
      </w:r>
      <w:r w:rsidRPr="00675326">
        <w:rPr>
          <w:szCs w:val="22"/>
        </w:rPr>
        <w:t>n</w:t>
      </w:r>
      <w:r w:rsidRPr="00675326">
        <w:rPr>
          <w:szCs w:val="22"/>
        </w:rPr>
        <w:t>gle brésilien et quelques confettis dans les Antilles »</w:t>
      </w:r>
      <w:r>
        <w:rPr>
          <w:szCs w:val="22"/>
        </w:rPr>
        <w:t> </w:t>
      </w:r>
      <w:r w:rsidRPr="005B6CBD">
        <w:rPr>
          <w:rStyle w:val="Appelnotedebasdep"/>
        </w:rPr>
        <w:footnoteReference w:id="168"/>
      </w:r>
      <w:r w:rsidRPr="00675326">
        <w:rPr>
          <w:szCs w:val="22"/>
        </w:rPr>
        <w:t>. Aucun gouvern</w:t>
      </w:r>
      <w:r w:rsidRPr="00675326">
        <w:rPr>
          <w:szCs w:val="22"/>
        </w:rPr>
        <w:t>e</w:t>
      </w:r>
      <w:r w:rsidRPr="00675326">
        <w:rPr>
          <w:szCs w:val="22"/>
        </w:rPr>
        <w:t>ment n'est associé à l'une ou l'autre de ces deux collectivités quantitativement appréciables, et ces dernières n'ont, pour seule pert</w:t>
      </w:r>
      <w:r w:rsidRPr="00675326">
        <w:rPr>
          <w:szCs w:val="22"/>
        </w:rPr>
        <w:t>i</w:t>
      </w:r>
      <w:r w:rsidRPr="00675326">
        <w:rPr>
          <w:szCs w:val="22"/>
        </w:rPr>
        <w:t>nence politique et constitutionnelle, que d'imposer l'établissement de droits li</w:t>
      </w:r>
      <w:r w:rsidRPr="00675326">
        <w:rPr>
          <w:szCs w:val="22"/>
        </w:rPr>
        <w:t>n</w:t>
      </w:r>
      <w:r w:rsidRPr="00675326">
        <w:rPr>
          <w:szCs w:val="22"/>
        </w:rPr>
        <w:t>guistiques pour les individus qui les composent. Mais les droits qui découlent de l'existence de ces deux collectivités numér</w:t>
      </w:r>
      <w:r w:rsidRPr="00675326">
        <w:rPr>
          <w:szCs w:val="22"/>
        </w:rPr>
        <w:t>i</w:t>
      </w:r>
      <w:r w:rsidRPr="00675326">
        <w:rPr>
          <w:szCs w:val="22"/>
        </w:rPr>
        <w:t>quement plus importantes doivent être interprétés à la lumière du mu</w:t>
      </w:r>
      <w:r w:rsidRPr="00675326">
        <w:rPr>
          <w:szCs w:val="22"/>
        </w:rPr>
        <w:t>l</w:t>
      </w:r>
      <w:r w:rsidRPr="00675326">
        <w:rPr>
          <w:szCs w:val="22"/>
        </w:rPr>
        <w:t>ticulturalisme (polyethnie). Enfin, la question régionale oblige sans doute la reconnaissance des régions dont, semble-t-il, le développ</w:t>
      </w:r>
      <w:r w:rsidRPr="00675326">
        <w:rPr>
          <w:szCs w:val="22"/>
        </w:rPr>
        <w:t>e</w:t>
      </w:r>
      <w:r w:rsidRPr="00675326">
        <w:rPr>
          <w:szCs w:val="22"/>
        </w:rPr>
        <w:t>ment (en termes de préservation des modes de vie et des traditions culturelles) est a</w:t>
      </w:r>
      <w:r w:rsidRPr="00675326">
        <w:rPr>
          <w:szCs w:val="22"/>
        </w:rPr>
        <w:t>s</w:t>
      </w:r>
      <w:r w:rsidRPr="00675326">
        <w:rPr>
          <w:szCs w:val="22"/>
        </w:rPr>
        <w:t>socié au refus d'une centralisation excessive.</w:t>
      </w:r>
    </w:p>
    <w:p w:rsidR="00AD690E" w:rsidRPr="00675326" w:rsidRDefault="00AD690E" w:rsidP="00AD690E">
      <w:pPr>
        <w:spacing w:before="120" w:after="120"/>
        <w:jc w:val="both"/>
      </w:pPr>
      <w:r w:rsidRPr="00675326">
        <w:rPr>
          <w:szCs w:val="22"/>
        </w:rPr>
        <w:t>Au-delà de cette diversité qui rassemble des collections d'indiv</w:t>
      </w:r>
      <w:r w:rsidRPr="00675326">
        <w:rPr>
          <w:szCs w:val="22"/>
        </w:rPr>
        <w:t>i</w:t>
      </w:r>
      <w:r w:rsidRPr="00675326">
        <w:rPr>
          <w:szCs w:val="22"/>
        </w:rPr>
        <w:t>dus, le tout se recompose sous l'égide du gouvernement fédéral. Il en va ainsi pour la poursuite de l'intégration économique — « car elle demeure incomplète et imparfaite » —, pour l'extension de la solidar</w:t>
      </w:r>
      <w:r w:rsidRPr="00675326">
        <w:rPr>
          <w:szCs w:val="22"/>
        </w:rPr>
        <w:t>i</w:t>
      </w:r>
      <w:r w:rsidRPr="00675326">
        <w:rPr>
          <w:szCs w:val="22"/>
        </w:rPr>
        <w:t>té « nationale », pour un aménagement plus fonctionnel des comp</w:t>
      </w:r>
      <w:r w:rsidRPr="00675326">
        <w:rPr>
          <w:szCs w:val="22"/>
        </w:rPr>
        <w:t>é</w:t>
      </w:r>
      <w:r w:rsidRPr="00675326">
        <w:rPr>
          <w:szCs w:val="22"/>
        </w:rPr>
        <w:t>tences nécessaires au gouvernement de l'ensemble de la fédération et pour le renforcement de l'unité du Canada. Ainsi, « l'unité canadienne doit transcender les appartenances provinciales, régionales, linguist</w:t>
      </w:r>
      <w:r w:rsidRPr="00675326">
        <w:rPr>
          <w:szCs w:val="22"/>
        </w:rPr>
        <w:t>i</w:t>
      </w:r>
      <w:r w:rsidRPr="00675326">
        <w:rPr>
          <w:szCs w:val="22"/>
        </w:rPr>
        <w:t>ques et autres des Canadiens [...] Chacun, en ce pays, doit avoir la conviction que le Canada, le Parlement et le gouvernement fédéral qui agissent pour lui, sont les meilleurs garants de la sécurité, du progrès et de l'épanouissement qu'engendre en démocratie l'action collective de citoyens libres »</w:t>
      </w:r>
      <w:r>
        <w:rPr>
          <w:szCs w:val="22"/>
        </w:rPr>
        <w:t> </w:t>
      </w:r>
      <w:r w:rsidRPr="005B6CBD">
        <w:rPr>
          <w:rStyle w:val="Appelnotedebasdep"/>
        </w:rPr>
        <w:footnoteReference w:id="169"/>
      </w:r>
      <w:r w:rsidRPr="00675326">
        <w:rPr>
          <w:szCs w:val="22"/>
        </w:rPr>
        <w:t>. La boucle est bouclée : nous retrouvons le f</w:t>
      </w:r>
      <w:r w:rsidRPr="00675326">
        <w:rPr>
          <w:szCs w:val="22"/>
        </w:rPr>
        <w:t>a</w:t>
      </w:r>
      <w:r w:rsidRPr="00675326">
        <w:rPr>
          <w:szCs w:val="22"/>
        </w:rPr>
        <w:t>ce à face vertueux « citoyen-gouvernement fédéral ».</w:t>
      </w:r>
    </w:p>
    <w:p w:rsidR="00AD690E" w:rsidRPr="00675326" w:rsidRDefault="00AD690E" w:rsidP="00AD690E">
      <w:pPr>
        <w:spacing w:before="120" w:after="120"/>
        <w:jc w:val="both"/>
      </w:pPr>
      <w:r w:rsidRPr="00675326">
        <w:rPr>
          <w:szCs w:val="22"/>
        </w:rPr>
        <w:t>La question du partage des compétences est identifiée comme a</w:t>
      </w:r>
      <w:r w:rsidRPr="00675326">
        <w:rPr>
          <w:szCs w:val="22"/>
        </w:rPr>
        <w:t>s</w:t>
      </w:r>
      <w:r w:rsidRPr="00675326">
        <w:rPr>
          <w:szCs w:val="22"/>
        </w:rPr>
        <w:t>pect majeur d'inadaptation de la Constitution et donc comme étant à la source de la nécessité d'une réforme. Pour Trudeau, la fédération c</w:t>
      </w:r>
      <w:r w:rsidRPr="00675326">
        <w:rPr>
          <w:szCs w:val="22"/>
        </w:rPr>
        <w:t>a</w:t>
      </w:r>
      <w:r w:rsidRPr="00675326">
        <w:rPr>
          <w:szCs w:val="22"/>
        </w:rPr>
        <w:t>nadienne rencontre des problèmes d'efficacité et crée des chevauch</w:t>
      </w:r>
      <w:r w:rsidRPr="00675326">
        <w:rPr>
          <w:szCs w:val="22"/>
        </w:rPr>
        <w:t>e</w:t>
      </w:r>
      <w:r w:rsidRPr="00675326">
        <w:rPr>
          <w:szCs w:val="22"/>
        </w:rPr>
        <w:t>ments. Même si la pratique du fédéralisme a gagné en complexité d</w:t>
      </w:r>
      <w:r w:rsidRPr="00675326">
        <w:rPr>
          <w:szCs w:val="22"/>
        </w:rPr>
        <w:t>e</w:t>
      </w:r>
      <w:r w:rsidRPr="00675326">
        <w:rPr>
          <w:szCs w:val="22"/>
        </w:rPr>
        <w:t>puis les années 1960 et si les mécanismes</w:t>
      </w:r>
      <w:r>
        <w:rPr>
          <w:szCs w:val="22"/>
        </w:rPr>
        <w:t xml:space="preserve"> </w:t>
      </w:r>
      <w:r>
        <w:t xml:space="preserve">[97] </w:t>
      </w:r>
      <w:r w:rsidRPr="00675326">
        <w:rPr>
          <w:szCs w:val="22"/>
        </w:rPr>
        <w:t>de collaboration inte</w:t>
      </w:r>
      <w:r w:rsidRPr="00675326">
        <w:rPr>
          <w:szCs w:val="22"/>
        </w:rPr>
        <w:t>r</w:t>
      </w:r>
      <w:r w:rsidRPr="00675326">
        <w:rPr>
          <w:szCs w:val="22"/>
        </w:rPr>
        <w:t>gouvernementale ont relativement bien fon</w:t>
      </w:r>
      <w:r w:rsidRPr="00675326">
        <w:rPr>
          <w:szCs w:val="22"/>
        </w:rPr>
        <w:t>c</w:t>
      </w:r>
      <w:r w:rsidRPr="00675326">
        <w:rPr>
          <w:szCs w:val="22"/>
        </w:rPr>
        <w:t>tionné, « cette capacité d'adaptation n'est pas illimitée : au-delà d'un certain seuil, il faut donc envisager des changements de structures »</w:t>
      </w:r>
      <w:r>
        <w:rPr>
          <w:szCs w:val="22"/>
        </w:rPr>
        <w:t> </w:t>
      </w:r>
      <w:r w:rsidRPr="005B6CBD">
        <w:rPr>
          <w:rStyle w:val="Appelnotedebasdep"/>
        </w:rPr>
        <w:footnoteReference w:id="170"/>
      </w:r>
      <w:r w:rsidRPr="00675326">
        <w:rPr>
          <w:szCs w:val="22"/>
        </w:rPr>
        <w:t>. On voit là toute la di</w:t>
      </w:r>
      <w:r w:rsidRPr="00675326">
        <w:rPr>
          <w:szCs w:val="22"/>
        </w:rPr>
        <w:t>s</w:t>
      </w:r>
      <w:r w:rsidRPr="00675326">
        <w:rPr>
          <w:szCs w:val="22"/>
        </w:rPr>
        <w:t>tance avec les propos que tenait Tr</w:t>
      </w:r>
      <w:r w:rsidRPr="00675326">
        <w:rPr>
          <w:szCs w:val="22"/>
        </w:rPr>
        <w:t>u</w:t>
      </w:r>
      <w:r w:rsidRPr="00675326">
        <w:rPr>
          <w:szCs w:val="22"/>
        </w:rPr>
        <w:t>deau dix ans plus tôt. Cependant, la finalité de la discussion sur l</w:t>
      </w:r>
      <w:r>
        <w:rPr>
          <w:szCs w:val="22"/>
        </w:rPr>
        <w:t>e</w:t>
      </w:r>
      <w:r w:rsidRPr="00675326">
        <w:rPr>
          <w:szCs w:val="22"/>
        </w:rPr>
        <w:t xml:space="preserve"> partage des responsabilités gouve</w:t>
      </w:r>
      <w:r w:rsidRPr="00675326">
        <w:rPr>
          <w:szCs w:val="22"/>
        </w:rPr>
        <w:t>r</w:t>
      </w:r>
      <w:r w:rsidRPr="00675326">
        <w:rPr>
          <w:szCs w:val="22"/>
        </w:rPr>
        <w:t>nementales à laquelle il convie ses vis-à-vis provinciaux, est à l'opp</w:t>
      </w:r>
      <w:r w:rsidRPr="00675326">
        <w:rPr>
          <w:szCs w:val="22"/>
        </w:rPr>
        <w:t>o</w:t>
      </w:r>
      <w:r w:rsidRPr="00675326">
        <w:rPr>
          <w:szCs w:val="22"/>
        </w:rPr>
        <w:t>sé de celle que visait et que vise le go</w:t>
      </w:r>
      <w:r w:rsidRPr="00675326">
        <w:rPr>
          <w:szCs w:val="22"/>
        </w:rPr>
        <w:t>u</w:t>
      </w:r>
      <w:r w:rsidRPr="00675326">
        <w:rPr>
          <w:szCs w:val="22"/>
        </w:rPr>
        <w:t>vernement du Québec. Dans son évaluation de la situation, il consid</w:t>
      </w:r>
      <w:r w:rsidRPr="00675326">
        <w:rPr>
          <w:szCs w:val="22"/>
        </w:rPr>
        <w:t>è</w:t>
      </w:r>
      <w:r w:rsidRPr="00675326">
        <w:rPr>
          <w:szCs w:val="22"/>
        </w:rPr>
        <w:t>re que le Canada est l'une des fédérations les plus décentralisées et il ajoute : « On ne saurait donc résoudre les problèmes qui nous assai</w:t>
      </w:r>
      <w:r w:rsidRPr="00675326">
        <w:rPr>
          <w:szCs w:val="22"/>
        </w:rPr>
        <w:t>l</w:t>
      </w:r>
      <w:r w:rsidRPr="00675326">
        <w:rPr>
          <w:szCs w:val="22"/>
        </w:rPr>
        <w:t>lent par un transfert massif de pouvoirs du gouvernement fédéral aux provi</w:t>
      </w:r>
      <w:r w:rsidRPr="00675326">
        <w:rPr>
          <w:szCs w:val="22"/>
        </w:rPr>
        <w:t>n</w:t>
      </w:r>
      <w:r w:rsidRPr="00675326">
        <w:rPr>
          <w:szCs w:val="22"/>
        </w:rPr>
        <w:t>ces »</w:t>
      </w:r>
      <w:r>
        <w:rPr>
          <w:szCs w:val="22"/>
        </w:rPr>
        <w:t> </w:t>
      </w:r>
      <w:r>
        <w:rPr>
          <w:rStyle w:val="Appelnotedebasdep"/>
        </w:rPr>
        <w:footnoteReference w:id="171"/>
      </w:r>
      <w:r w:rsidRPr="00675326">
        <w:rPr>
          <w:szCs w:val="22"/>
        </w:rPr>
        <w:t>.</w:t>
      </w:r>
    </w:p>
    <w:p w:rsidR="00AD690E" w:rsidRPr="00675326" w:rsidRDefault="00AD690E" w:rsidP="00AD690E">
      <w:pPr>
        <w:spacing w:before="120" w:after="120"/>
        <w:jc w:val="both"/>
      </w:pPr>
      <w:r w:rsidRPr="00675326">
        <w:rPr>
          <w:szCs w:val="22"/>
        </w:rPr>
        <w:t>Quoi qu'il en soit, la nouvelle Constitution canadienne, en plus de contenir un préambule, une Charte des droits, des dispositions to</w:t>
      </w:r>
      <w:r w:rsidRPr="00675326">
        <w:rPr>
          <w:szCs w:val="22"/>
        </w:rPr>
        <w:t>u</w:t>
      </w:r>
      <w:r w:rsidRPr="00675326">
        <w:rPr>
          <w:szCs w:val="22"/>
        </w:rPr>
        <w:t>chant des institutions fédérales et une formule d'amendement, devrait, d'une part, consacrer la souveraineté interne des deux niveaux de go</w:t>
      </w:r>
      <w:r w:rsidRPr="00675326">
        <w:rPr>
          <w:szCs w:val="22"/>
        </w:rPr>
        <w:t>u</w:t>
      </w:r>
      <w:r w:rsidRPr="00675326">
        <w:rPr>
          <w:szCs w:val="22"/>
        </w:rPr>
        <w:t xml:space="preserve">vernement et, d'autre part, répartir de façon claire et fonctionnelle les pouvoirs et compétences législatives. Le gouvernement fédéral s'est livré, à la suite d'un traitement exhaustif, à cet exercice dans le </w:t>
      </w:r>
      <w:r w:rsidRPr="00675326">
        <w:rPr>
          <w:i/>
          <w:iCs/>
          <w:szCs w:val="22"/>
        </w:rPr>
        <w:t>Projet de loi sur la réforme constitutionnelle</w:t>
      </w:r>
      <w:r>
        <w:rPr>
          <w:iCs/>
          <w:szCs w:val="22"/>
        </w:rPr>
        <w:t> </w:t>
      </w:r>
      <w:r w:rsidRPr="005B6CBD">
        <w:rPr>
          <w:rStyle w:val="Appelnotedebasdep"/>
          <w:iCs/>
        </w:rPr>
        <w:footnoteReference w:id="172"/>
      </w:r>
      <w:r w:rsidRPr="00675326">
        <w:rPr>
          <w:i/>
          <w:iCs/>
          <w:szCs w:val="22"/>
        </w:rPr>
        <w:t xml:space="preserve"> </w:t>
      </w:r>
      <w:r w:rsidRPr="00675326">
        <w:rPr>
          <w:szCs w:val="22"/>
        </w:rPr>
        <w:t>(comptant 145 articles) soumis au Parlement fédéral. Dix ans plus tard, c'est peut-être la r</w:t>
      </w:r>
      <w:r w:rsidRPr="00675326">
        <w:rPr>
          <w:szCs w:val="22"/>
        </w:rPr>
        <w:t>é</w:t>
      </w:r>
      <w:r w:rsidRPr="00675326">
        <w:rPr>
          <w:szCs w:val="22"/>
        </w:rPr>
        <w:t>daction d'une nouvelle constitution souhaitée par Daniel Johnson, mais les visées sont autres.</w:t>
      </w:r>
    </w:p>
    <w:p w:rsidR="00AD690E" w:rsidRPr="00675326" w:rsidRDefault="00AD690E" w:rsidP="00AD690E">
      <w:pPr>
        <w:spacing w:before="120" w:after="120"/>
        <w:jc w:val="both"/>
      </w:pPr>
      <w:r w:rsidRPr="00675326">
        <w:rPr>
          <w:szCs w:val="22"/>
        </w:rPr>
        <w:t>Cette initiative combine deux volets. D'une façon générale, les l</w:t>
      </w:r>
      <w:r w:rsidRPr="00675326">
        <w:rPr>
          <w:szCs w:val="22"/>
        </w:rPr>
        <w:t>i</w:t>
      </w:r>
      <w:r w:rsidRPr="00675326">
        <w:rPr>
          <w:szCs w:val="22"/>
        </w:rPr>
        <w:t>béraux fédéraux invitent les provinces à négocier l'ensemble du projet mais, en cas d'échec ou de refus, le gouvernement fédéral fera adopter par les Communes les modifications constitutionnelles qui, juge-t-il, sont de sa compétence. Cette action unilatérale comprendrait une large part des matières qui ont fait jusqu'à ce moment l'objet de négoci</w:t>
      </w:r>
      <w:r w:rsidRPr="00675326">
        <w:rPr>
          <w:szCs w:val="22"/>
        </w:rPr>
        <w:t>a</w:t>
      </w:r>
      <w:r w:rsidRPr="00675326">
        <w:rPr>
          <w:szCs w:val="22"/>
        </w:rPr>
        <w:t>tions fédérales-provinciales : Charte des droits et libertés, Cour s</w:t>
      </w:r>
      <w:r w:rsidRPr="00675326">
        <w:rPr>
          <w:szCs w:val="22"/>
        </w:rPr>
        <w:t>u</w:t>
      </w:r>
      <w:r w:rsidRPr="00675326">
        <w:rPr>
          <w:szCs w:val="22"/>
        </w:rPr>
        <w:t>prême, Sénat, mécanismes des relations fédérales-provinciales. On revient donc à la rhétorique de l'action unilatérale. Dans l'un et l'autre cas, des échéances sont fixées. Ne serait-ce qu'à cause de son revers électoral en 1979, Trudeau ne pourra réaliser ce projet.</w:t>
      </w:r>
    </w:p>
    <w:p w:rsidR="00AD690E" w:rsidRPr="00675326" w:rsidRDefault="00AD690E" w:rsidP="00AD690E">
      <w:pPr>
        <w:spacing w:before="120" w:after="120"/>
        <w:jc w:val="both"/>
      </w:pPr>
      <w:r w:rsidRPr="00675326">
        <w:rPr>
          <w:szCs w:val="22"/>
        </w:rPr>
        <w:t>Menés de façon tout à fait indépendante et, malgré les prétentions d'usage, n'ayant pas pour raison d'être d'éclairer le gouvernement en matière constitutionnelle, les travaux et les conclusions de la Commi</w:t>
      </w:r>
      <w:r w:rsidRPr="00675326">
        <w:rPr>
          <w:szCs w:val="22"/>
        </w:rPr>
        <w:t>s</w:t>
      </w:r>
      <w:r w:rsidRPr="00675326">
        <w:rPr>
          <w:szCs w:val="22"/>
        </w:rPr>
        <w:t>sion de l'unité canadienne sont en porte-à-faux. La rapidité avec l</w:t>
      </w:r>
      <w:r w:rsidRPr="00675326">
        <w:rPr>
          <w:szCs w:val="22"/>
        </w:rPr>
        <w:t>a</w:t>
      </w:r>
      <w:r w:rsidRPr="00675326">
        <w:rPr>
          <w:szCs w:val="22"/>
        </w:rPr>
        <w:t>quelle le Rapport est remisé aux archives par le gouvernement témo</w:t>
      </w:r>
      <w:r w:rsidRPr="00675326">
        <w:rPr>
          <w:szCs w:val="22"/>
        </w:rPr>
        <w:t>i</w:t>
      </w:r>
      <w:r w:rsidRPr="00675326">
        <w:rPr>
          <w:szCs w:val="22"/>
        </w:rPr>
        <w:t>gne de deux choses : d'abord, les travaux de la Commission ont été utiles, ne serait-ce qu'en occupant une large place dans le débat p</w:t>
      </w:r>
      <w:r w:rsidRPr="00675326">
        <w:rPr>
          <w:szCs w:val="22"/>
        </w:rPr>
        <w:t>u</w:t>
      </w:r>
      <w:r w:rsidRPr="00675326">
        <w:rPr>
          <w:szCs w:val="22"/>
        </w:rPr>
        <w:t>blic ; ensuite, la pensée et la stratégie constitutionnelles de Trudeau</w:t>
      </w:r>
      <w:r>
        <w:rPr>
          <w:szCs w:val="22"/>
        </w:rPr>
        <w:t xml:space="preserve"> </w:t>
      </w:r>
      <w:r>
        <w:rPr>
          <w:szCs w:val="18"/>
        </w:rPr>
        <w:t>[</w:t>
      </w:r>
      <w:r w:rsidRPr="00675326">
        <w:t>98</w:t>
      </w:r>
      <w:r>
        <w:t xml:space="preserve">] </w:t>
      </w:r>
      <w:r w:rsidRPr="00675326">
        <w:t>connaissent un cheminement autonome et n'ont nul besoin d'un éclairage extérieur quand bien même ce dernier viendrait d'une de ses propres commissions.</w:t>
      </w:r>
    </w:p>
    <w:p w:rsidR="00AD690E" w:rsidRDefault="00AD690E" w:rsidP="00AD690E">
      <w:pPr>
        <w:spacing w:before="120" w:after="120"/>
        <w:jc w:val="both"/>
      </w:pPr>
    </w:p>
    <w:p w:rsidR="00AD690E" w:rsidRPr="00C83918" w:rsidRDefault="00AD690E" w:rsidP="00AD690E">
      <w:pPr>
        <w:pStyle w:val="a"/>
      </w:pPr>
      <w:r w:rsidRPr="00C83918">
        <w:t>Questions régionale et nationale, et flexibilité</w:t>
      </w:r>
    </w:p>
    <w:p w:rsidR="00AD690E" w:rsidRDefault="00AD690E" w:rsidP="00AD690E">
      <w:pPr>
        <w:spacing w:before="120" w:after="120"/>
        <w:jc w:val="both"/>
      </w:pPr>
    </w:p>
    <w:p w:rsidR="00AD690E" w:rsidRPr="00675326" w:rsidRDefault="00AD690E" w:rsidP="00AD690E">
      <w:pPr>
        <w:spacing w:before="120" w:after="120"/>
        <w:jc w:val="both"/>
      </w:pPr>
      <w:r w:rsidRPr="00675326">
        <w:t xml:space="preserve">Le Rapport </w:t>
      </w:r>
      <w:r w:rsidRPr="00675326">
        <w:rPr>
          <w:i/>
          <w:iCs/>
        </w:rPr>
        <w:t>Se retrouver</w:t>
      </w:r>
      <w:r>
        <w:rPr>
          <w:iCs/>
        </w:rPr>
        <w:t> </w:t>
      </w:r>
      <w:r w:rsidRPr="00C83918">
        <w:rPr>
          <w:rStyle w:val="Appelnotedebasdep"/>
          <w:iCs/>
        </w:rPr>
        <w:footnoteReference w:id="173"/>
      </w:r>
      <w:r w:rsidRPr="00675326">
        <w:rPr>
          <w:i/>
          <w:iCs/>
        </w:rPr>
        <w:t xml:space="preserve"> </w:t>
      </w:r>
      <w:r w:rsidRPr="00675326">
        <w:t>n'en apportait pas moins une vision nuancée de la crise politique au Canada et de ses « solutions » const</w:t>
      </w:r>
      <w:r w:rsidRPr="00675326">
        <w:t>i</w:t>
      </w:r>
      <w:r w:rsidRPr="00675326">
        <w:t>tutionnelles. Pour la Commission, il faut reconnaître que la mise en application des recommandations de la Commission Laurendeau-Dunton, de même que l'interventionnisme étatique au Québec en m</w:t>
      </w:r>
      <w:r w:rsidRPr="00675326">
        <w:t>a</w:t>
      </w:r>
      <w:r w:rsidRPr="00675326">
        <w:t>tière de promotion des francophones, n'ont pas empêché le Canada de se retrouver dans une situation critique.</w:t>
      </w:r>
    </w:p>
    <w:p w:rsidR="00AD690E" w:rsidRPr="00675326" w:rsidRDefault="00AD690E" w:rsidP="00AD690E">
      <w:pPr>
        <w:spacing w:before="120" w:after="120"/>
        <w:jc w:val="both"/>
      </w:pPr>
      <w:r w:rsidRPr="00675326">
        <w:t>La persistance du clivage entre le Québec et le reste du Canada s'explique par plusieurs facteurs, mais il ne faut pas ignorer que l'or</w:t>
      </w:r>
      <w:r w:rsidRPr="00675326">
        <w:t>i</w:t>
      </w:r>
      <w:r w:rsidRPr="00675326">
        <w:t>gine de la crise actuelle tient « de la concurrence entre gouvernements central et provinciaux pour la conduite des affaires que doit assumer un état moderne ». Ce conflit pan-canadien a pris une forme partic</w:t>
      </w:r>
      <w:r w:rsidRPr="00675326">
        <w:t>u</w:t>
      </w:r>
      <w:r w:rsidRPr="00675326">
        <w:t>lière au Québec à cause de sa mission culturelle et linguistique. En effet, les « nouveaux mandarins » à la tête des affaires de l'État ont été « portés tout naturellement à ne concevoir l'épanouissement de la co</w:t>
      </w:r>
      <w:r w:rsidRPr="00675326">
        <w:t>l</w:t>
      </w:r>
      <w:r w:rsidRPr="00675326">
        <w:t>lectivité canadienne-française qu'à l'intérieur de l'État québécois. » Cette conception de la nouvelle classe de technocrates a séduit une forte proportion de la population. Par ailleurs, la Commission souligne qu'il ne faut pas sous-estimer le fait que les changements provoqués par la modernisation ont amené une tendance intégratrice qui a été contrebalancée par le désir de renforcer les particularismes culturels. Au Québec, cela s'est traduit par la volonté d'accroître l'autonomie, quand ce n'est d'indépendance.</w:t>
      </w:r>
    </w:p>
    <w:p w:rsidR="00AD690E" w:rsidRPr="00675326" w:rsidRDefault="00AD690E" w:rsidP="00AD690E">
      <w:pPr>
        <w:spacing w:before="120" w:after="120"/>
        <w:jc w:val="both"/>
      </w:pPr>
      <w:r w:rsidRPr="00675326">
        <w:t>Pourtant, si la crise du fédéralisme canadien est particulièrement manifeste à cause du Québec, elle ne se limite pas à cette seule pr</w:t>
      </w:r>
      <w:r w:rsidRPr="00675326">
        <w:t>o</w:t>
      </w:r>
      <w:r w:rsidRPr="00675326">
        <w:t>vince, car « l'élément le plus nouveau de la crise est la puissance a</w:t>
      </w:r>
      <w:r w:rsidRPr="00675326">
        <w:t>c</w:t>
      </w:r>
      <w:r w:rsidRPr="00675326">
        <w:t>crue des autres provinces et l'apparition du phénomène des allégea</w:t>
      </w:r>
      <w:r w:rsidRPr="00675326">
        <w:t>n</w:t>
      </w:r>
      <w:r w:rsidRPr="00675326">
        <w:t>ces régionales dans un cadre essentiellement provincial »</w:t>
      </w:r>
      <w:r>
        <w:t> </w:t>
      </w:r>
      <w:r w:rsidRPr="005B6CBD">
        <w:rPr>
          <w:rStyle w:val="Appelnotedebasdep"/>
        </w:rPr>
        <w:footnoteReference w:id="174"/>
      </w:r>
      <w:r w:rsidRPr="00675326">
        <w:t>. Les cl</w:t>
      </w:r>
      <w:r w:rsidRPr="00675326">
        <w:t>i</w:t>
      </w:r>
      <w:r w:rsidRPr="00675326">
        <w:t>vages au Canada ne se limitent plus à la dialectique francophone-anglophone, mais prennent aussi leur source dans les tensions région</w:t>
      </w:r>
      <w:r w:rsidRPr="00675326">
        <w:t>a</w:t>
      </w:r>
      <w:r w:rsidRPr="00675326">
        <w:t>les. Il est donc de première importance d'envisager le défi posé à la fédération canadienne dans une perspective binaire selon laquelle le « problème essentiel du dualisme canadien se double [...] d'un autre, non moins capital, celui du régionalisme canadien. »</w:t>
      </w:r>
      <w:r>
        <w:t> </w:t>
      </w:r>
      <w:r w:rsidRPr="005B6CBD">
        <w:rPr>
          <w:rStyle w:val="Appelnotedebasdep"/>
        </w:rPr>
        <w:footnoteReference w:id="175"/>
      </w:r>
      <w:r w:rsidRPr="00675326">
        <w:t>. Une solution durable à la crise demande que le</w:t>
      </w:r>
      <w:r>
        <w:t xml:space="preserve"> </w:t>
      </w:r>
      <w:r>
        <w:rPr>
          <w:szCs w:val="18"/>
        </w:rPr>
        <w:t xml:space="preserve">[99] </w:t>
      </w:r>
      <w:r w:rsidRPr="00675326">
        <w:t>système constitutionnel et la structure du pouvoir soient en mesure d'accepter la dualité et de r</w:t>
      </w:r>
      <w:r w:rsidRPr="00675326">
        <w:t>e</w:t>
      </w:r>
      <w:r w:rsidRPr="00675326">
        <w:t>connaître les forces du régionalisme.</w:t>
      </w:r>
    </w:p>
    <w:p w:rsidR="00AD690E" w:rsidRPr="00675326" w:rsidRDefault="00AD690E" w:rsidP="00AD690E">
      <w:pPr>
        <w:spacing w:before="120" w:after="120"/>
        <w:jc w:val="both"/>
      </w:pPr>
      <w:r w:rsidRPr="00675326">
        <w:t>Pour la Commission Pépin-Robarts, la consolidation de l'unité c</w:t>
      </w:r>
      <w:r w:rsidRPr="00675326">
        <w:t>a</w:t>
      </w:r>
      <w:r w:rsidRPr="00675326">
        <w:t>nadienne exige une révision en profondeur de la structure politique et constitutionnelle</w:t>
      </w:r>
      <w:r>
        <w:t> </w:t>
      </w:r>
      <w:r w:rsidRPr="005B6CBD">
        <w:rPr>
          <w:rStyle w:val="Appelnotedebasdep"/>
        </w:rPr>
        <w:footnoteReference w:id="176"/>
      </w:r>
      <w:r w:rsidRPr="00675326">
        <w:t xml:space="preserve"> qui viserait, d'abord, à répondre à la volonté des Québécois de conserver leur identité culturelle et sociale distincte et à faire en sorte que les institutions politiques du Canada expriment mieux la dualité canadienne, ensuite, à accorder une plus grande aut</w:t>
      </w:r>
      <w:r w:rsidRPr="00675326">
        <w:t>o</w:t>
      </w:r>
      <w:r w:rsidRPr="00675326">
        <w:t>nomie aux provinces et une plus grande influence aux régions dans la formulation des politiques fédérales, enfin, à raffermir l'aptitude des institutions fédérales à incarner les intérêts communs de l'ensemble des Canadiens.</w:t>
      </w:r>
    </w:p>
    <w:p w:rsidR="00AD690E" w:rsidRPr="00675326" w:rsidRDefault="00AD690E" w:rsidP="00AD690E">
      <w:pPr>
        <w:spacing w:before="120" w:after="120"/>
        <w:jc w:val="both"/>
      </w:pPr>
      <w:r w:rsidRPr="00675326">
        <w:t>Pour ce faire, une clarification et une adaptation du partage des compétences s'imposent. La nouvelle constitution devrait reconnaître l'égalité de statut des deux niveaux de gouvernement. Il est à noter que, dans l'ensemble, le niveau provincial n'apparaît pas uniquement apte à veiller au développement culturel et au maintien du mode de vie, car on lui assigne une responsabilité aussi dans les domaines de la santé et des services sociaux, de la main-d'oeuvre et sa formation, des ressources naturelles, du développement économique régional, du commerce provincial, de l'aménagement du territoire et de l'enviro</w:t>
      </w:r>
      <w:r w:rsidRPr="00675326">
        <w:t>n</w:t>
      </w:r>
      <w:r w:rsidRPr="00675326">
        <w:t>nement.</w:t>
      </w:r>
    </w:p>
    <w:p w:rsidR="00AD690E" w:rsidRPr="00675326" w:rsidRDefault="00AD690E" w:rsidP="00AD690E">
      <w:pPr>
        <w:spacing w:before="120" w:after="120"/>
        <w:jc w:val="both"/>
      </w:pPr>
      <w:r w:rsidRPr="00675326">
        <w:t>La proposition d'une asymétrie dans l'usage des compétences con</w:t>
      </w:r>
      <w:r w:rsidRPr="00675326">
        <w:t>s</w:t>
      </w:r>
      <w:r w:rsidRPr="00675326">
        <w:t>titutionnelles singularise davantage la conception du fédéralisme mise de l'avant par la Commission. En effet, la spécificité du Québec pou</w:t>
      </w:r>
      <w:r w:rsidRPr="00675326">
        <w:t>r</w:t>
      </w:r>
      <w:r w:rsidRPr="00675326">
        <w:t>rait se traduire par la reconnaissance d'une compétence exclusive ou prépondérante dans le domaine de la langue, de la culture, du droit civil, du mariage et du divorce, de la recherche et des communic</w:t>
      </w:r>
      <w:r w:rsidRPr="00675326">
        <w:t>a</w:t>
      </w:r>
      <w:r w:rsidRPr="00675326">
        <w:t>tions, ainsi que des pouvoirs correspondants en matière d'imposition et de politique étrangère. Afin d'éviter la connotation « traitement de faveur » associée à l'expression « statut particulier », il serait possible, selon deux méthodes différentes, de donner « à toutes les provinces accès aux compétences dont le Québec a besoin pour préserver sa culture et son héritage particuliers, mais d'une manière qui leur pe</w:t>
      </w:r>
      <w:r w:rsidRPr="00675326">
        <w:t>r</w:t>
      </w:r>
      <w:r w:rsidRPr="00675326">
        <w:t>mette, si c'est leur volonté, de ne pas exercer ces compétences et d'en confier l'exercice à Ottawa »</w:t>
      </w:r>
      <w:r>
        <w:t> </w:t>
      </w:r>
      <w:r w:rsidRPr="005B6CBD">
        <w:rPr>
          <w:rStyle w:val="Appelnotedebasdep"/>
        </w:rPr>
        <w:footnoteReference w:id="177"/>
      </w:r>
      <w:r w:rsidRPr="00675326">
        <w:t>. Nous sommes là à cent lieues de la position libérale fédérale. De plus, à l'opposé de la position fédérale défendue depuis Trudeau, on reconnaît aux provinces le droit de se retirer de programmes établis en vertu du pouvoir de dépenser du gouvernement fédéral, tout en recevant une compensation financière.</w:t>
      </w:r>
    </w:p>
    <w:p w:rsidR="00AD690E" w:rsidRPr="00675326" w:rsidRDefault="00AD690E" w:rsidP="00AD690E">
      <w:pPr>
        <w:spacing w:before="120" w:after="120"/>
        <w:jc w:val="both"/>
      </w:pPr>
      <w:r w:rsidRPr="00675326">
        <w:t>La formule d'amendement pour les aspects touchant notamment au partage des compétences comporterait la ratification par la Chambre des communes et le Sénat, puis un référendum pan-canadien, pour lequel il serait nécessaire d'obtenir un vote majoritaire de chacune des quatre grandes régions. Mise à part cette formule qui se démarque de celles évoquées auparavant, la</w:t>
      </w:r>
      <w:r>
        <w:t xml:space="preserve"> </w:t>
      </w:r>
      <w:r>
        <w:rPr>
          <w:szCs w:val="18"/>
        </w:rPr>
        <w:t>[</w:t>
      </w:r>
      <w:r w:rsidRPr="00675326">
        <w:rPr>
          <w:szCs w:val="18"/>
        </w:rPr>
        <w:t>100</w:t>
      </w:r>
      <w:r>
        <w:rPr>
          <w:szCs w:val="18"/>
        </w:rPr>
        <w:t xml:space="preserve">] </w:t>
      </w:r>
      <w:r w:rsidRPr="00675326">
        <w:rPr>
          <w:szCs w:val="22"/>
        </w:rPr>
        <w:t>Commission reprend une idée présente dans la « formule Fulton-Favreau » et dénoncée par Trudeau, à savoir la délégation de comp</w:t>
      </w:r>
      <w:r w:rsidRPr="00675326">
        <w:rPr>
          <w:szCs w:val="22"/>
        </w:rPr>
        <w:t>é</w:t>
      </w:r>
      <w:r w:rsidRPr="00675326">
        <w:rPr>
          <w:szCs w:val="22"/>
        </w:rPr>
        <w:t>tences législatives. En plus, une Charte des droits fondamentaux serait intégrée dans la Constitution (droits politiques, juridiques, économ</w:t>
      </w:r>
      <w:r w:rsidRPr="00675326">
        <w:rPr>
          <w:szCs w:val="22"/>
        </w:rPr>
        <w:t>i</w:t>
      </w:r>
      <w:r w:rsidRPr="00675326">
        <w:rPr>
          <w:szCs w:val="22"/>
        </w:rPr>
        <w:t>ques, linguistiques).</w:t>
      </w:r>
    </w:p>
    <w:p w:rsidR="00AD690E" w:rsidRPr="00675326" w:rsidRDefault="00AD690E" w:rsidP="00AD690E">
      <w:pPr>
        <w:spacing w:before="120" w:after="120"/>
        <w:jc w:val="both"/>
      </w:pPr>
      <w:r w:rsidRPr="00675326">
        <w:rPr>
          <w:szCs w:val="22"/>
        </w:rPr>
        <w:t>Si, sur la scène publique, on discute assez largement des propos</w:t>
      </w:r>
      <w:r w:rsidRPr="00675326">
        <w:rPr>
          <w:szCs w:val="22"/>
        </w:rPr>
        <w:t>i</w:t>
      </w:r>
      <w:r w:rsidRPr="00675326">
        <w:rPr>
          <w:szCs w:val="22"/>
        </w:rPr>
        <w:t xml:space="preserve">tions contenues dans le </w:t>
      </w:r>
      <w:r w:rsidRPr="00675326">
        <w:rPr>
          <w:i/>
          <w:iCs/>
          <w:szCs w:val="22"/>
        </w:rPr>
        <w:t>Rapport de la Commission de l'unité can</w:t>
      </w:r>
      <w:r w:rsidRPr="00675326">
        <w:rPr>
          <w:i/>
          <w:iCs/>
          <w:szCs w:val="22"/>
        </w:rPr>
        <w:t>a</w:t>
      </w:r>
      <w:r w:rsidRPr="00675326">
        <w:rPr>
          <w:i/>
          <w:iCs/>
          <w:szCs w:val="22"/>
        </w:rPr>
        <w:t xml:space="preserve">dienne, </w:t>
      </w:r>
      <w:r w:rsidRPr="00675326">
        <w:rPr>
          <w:szCs w:val="22"/>
        </w:rPr>
        <w:t>le gouvernement fédéral, qui a déjà « fait son lit constitutio</w:t>
      </w:r>
      <w:r w:rsidRPr="00675326">
        <w:rPr>
          <w:szCs w:val="22"/>
        </w:rPr>
        <w:t>n</w:t>
      </w:r>
      <w:r w:rsidRPr="00675326">
        <w:rPr>
          <w:szCs w:val="22"/>
        </w:rPr>
        <w:t xml:space="preserve">nel » avec </w:t>
      </w:r>
      <w:r w:rsidRPr="00675326">
        <w:rPr>
          <w:i/>
          <w:iCs/>
          <w:szCs w:val="22"/>
        </w:rPr>
        <w:t xml:space="preserve">Le temps d'agir, </w:t>
      </w:r>
      <w:r w:rsidRPr="00675326">
        <w:rPr>
          <w:szCs w:val="22"/>
        </w:rPr>
        <w:t>ne modifie pas son discours.</w:t>
      </w:r>
    </w:p>
    <w:p w:rsidR="00AD690E" w:rsidRDefault="00AD690E" w:rsidP="00AD690E">
      <w:pPr>
        <w:spacing w:before="120" w:after="120"/>
        <w:jc w:val="both"/>
        <w:rPr>
          <w:szCs w:val="22"/>
        </w:rPr>
      </w:pPr>
    </w:p>
    <w:p w:rsidR="00AD690E" w:rsidRPr="00675326" w:rsidRDefault="00AD690E" w:rsidP="00AD690E">
      <w:pPr>
        <w:pStyle w:val="a"/>
      </w:pPr>
      <w:r w:rsidRPr="00675326">
        <w:t>Le Canada Bill</w:t>
      </w:r>
    </w:p>
    <w:p w:rsidR="00AD690E" w:rsidRDefault="00AD690E" w:rsidP="00AD690E">
      <w:pPr>
        <w:spacing w:before="120" w:after="120"/>
        <w:jc w:val="both"/>
        <w:rPr>
          <w:szCs w:val="22"/>
        </w:rPr>
      </w:pPr>
    </w:p>
    <w:p w:rsidR="00AD690E" w:rsidRPr="00675326" w:rsidRDefault="00AD690E" w:rsidP="00AD690E">
      <w:pPr>
        <w:spacing w:before="120" w:after="120"/>
        <w:jc w:val="both"/>
      </w:pPr>
      <w:r w:rsidRPr="00675326">
        <w:rPr>
          <w:szCs w:val="22"/>
        </w:rPr>
        <w:t>Lors de la campagne référendaire, Trudeau propose un retourn</w:t>
      </w:r>
      <w:r w:rsidRPr="00675326">
        <w:rPr>
          <w:szCs w:val="22"/>
        </w:rPr>
        <w:t>e</w:t>
      </w:r>
      <w:r w:rsidRPr="00675326">
        <w:rPr>
          <w:szCs w:val="22"/>
        </w:rPr>
        <w:t>ment des équations dans le jeu des propagandes. Un « non » voudrait dire un « oui » à la négociation alors qu'un verdict favorable à la so</w:t>
      </w:r>
      <w:r w:rsidRPr="00675326">
        <w:rPr>
          <w:szCs w:val="22"/>
        </w:rPr>
        <w:t>u</w:t>
      </w:r>
      <w:r w:rsidRPr="00675326">
        <w:rPr>
          <w:szCs w:val="22"/>
        </w:rPr>
        <w:t>veraineté signifierait une impossib</w:t>
      </w:r>
      <w:r>
        <w:rPr>
          <w:szCs w:val="22"/>
        </w:rPr>
        <w:t>ili</w:t>
      </w:r>
      <w:r w:rsidRPr="00675326">
        <w:rPr>
          <w:szCs w:val="22"/>
        </w:rPr>
        <w:t>té de négocier quoi que ce soit</w:t>
      </w:r>
      <w:r>
        <w:rPr>
          <w:szCs w:val="22"/>
        </w:rPr>
        <w:t> </w:t>
      </w:r>
      <w:r>
        <w:rPr>
          <w:rStyle w:val="Appelnotedebasdep"/>
        </w:rPr>
        <w:footnoteReference w:id="178"/>
      </w:r>
      <w:r w:rsidRPr="00675326">
        <w:rPr>
          <w:szCs w:val="22"/>
        </w:rPr>
        <w:t>. L'attitude n'est pas nouvelle. Déjà, en 1967, Pearson déclarait au sujet du projet de souveraineté-association : « On s'illusionnerait de croire que, sur l'exigence d'un divorce par ailleurs contesté, puissent se créer les bases de négociations amicales et constructives [...] »</w:t>
      </w:r>
      <w:r>
        <w:rPr>
          <w:szCs w:val="22"/>
        </w:rPr>
        <w:t> </w:t>
      </w:r>
      <w:r>
        <w:rPr>
          <w:rStyle w:val="Appelnotedebasdep"/>
        </w:rPr>
        <w:footnoteReference w:id="179"/>
      </w:r>
      <w:r w:rsidRPr="00675326">
        <w:rPr>
          <w:szCs w:val="22"/>
        </w:rPr>
        <w:t xml:space="preserve">. Dans la foulée du </w:t>
      </w:r>
      <w:r w:rsidRPr="00675326">
        <w:rPr>
          <w:i/>
          <w:iCs/>
          <w:szCs w:val="22"/>
        </w:rPr>
        <w:t xml:space="preserve">Temps d'agir, </w:t>
      </w:r>
      <w:r w:rsidRPr="00675326">
        <w:rPr>
          <w:szCs w:val="22"/>
        </w:rPr>
        <w:t>Trudeau posait d'ailleurs deux préal</w:t>
      </w:r>
      <w:r w:rsidRPr="00675326">
        <w:rPr>
          <w:szCs w:val="22"/>
        </w:rPr>
        <w:t>a</w:t>
      </w:r>
      <w:r w:rsidRPr="00675326">
        <w:rPr>
          <w:szCs w:val="22"/>
        </w:rPr>
        <w:t>bles au renouvellement de la Constitution : premièrement, de reco</w:t>
      </w:r>
      <w:r w:rsidRPr="00675326">
        <w:rPr>
          <w:szCs w:val="22"/>
        </w:rPr>
        <w:t>n</w:t>
      </w:r>
      <w:r w:rsidRPr="00675326">
        <w:rPr>
          <w:szCs w:val="22"/>
        </w:rPr>
        <w:t>naître que le Canada continue d'être une véritable fédération ; deuxi</w:t>
      </w:r>
      <w:r w:rsidRPr="00675326">
        <w:rPr>
          <w:szCs w:val="22"/>
        </w:rPr>
        <w:t>è</w:t>
      </w:r>
      <w:r w:rsidRPr="00675326">
        <w:rPr>
          <w:szCs w:val="22"/>
        </w:rPr>
        <w:t>mement, d'accepter l'insertion d'une Charte des droits et libertés. La première condition se voulait un refus d'envisager le projet du Parti québécois. Par ailleurs, on sait que Pierre Trudeau s'est engagé, au cours de la campagne référendaire, à procéder rapidement à des cha</w:t>
      </w:r>
      <w:r w:rsidRPr="00675326">
        <w:rPr>
          <w:szCs w:val="22"/>
        </w:rPr>
        <w:t>n</w:t>
      </w:r>
      <w:r w:rsidRPr="00675326">
        <w:rPr>
          <w:szCs w:val="22"/>
        </w:rPr>
        <w:t>gements.</w:t>
      </w:r>
    </w:p>
    <w:p w:rsidR="00AD690E" w:rsidRPr="00675326" w:rsidRDefault="00AD690E" w:rsidP="00AD690E">
      <w:pPr>
        <w:spacing w:before="120" w:after="120"/>
        <w:jc w:val="both"/>
      </w:pPr>
      <w:r w:rsidRPr="00675326">
        <w:rPr>
          <w:szCs w:val="22"/>
        </w:rPr>
        <w:t>L'échec référendaire, le 20 mai 1980, de la proposition du gouve</w:t>
      </w:r>
      <w:r w:rsidRPr="00675326">
        <w:rPr>
          <w:szCs w:val="22"/>
        </w:rPr>
        <w:t>r</w:t>
      </w:r>
      <w:r w:rsidRPr="00675326">
        <w:rPr>
          <w:szCs w:val="22"/>
        </w:rPr>
        <w:t>nement du Parti québécois modifie radicalement la conjoncture. Elle s'avère favorable au gouvernement fédéral à la condition qu'il agisse avec célérité. À l'initiative de Trudeau, les premiers ministres conviennent d'entreprendre au cours de l'été un processus intensif de négociation constitutionnelle au niveau ministériel, devant mener à une Conférence fédérale-provinciale sur la Constitution, du 8 au 12 septembre.</w:t>
      </w:r>
    </w:p>
    <w:p w:rsidR="00AD690E" w:rsidRPr="00675326" w:rsidRDefault="00AD690E" w:rsidP="00AD690E">
      <w:pPr>
        <w:spacing w:before="120" w:after="120"/>
        <w:jc w:val="both"/>
      </w:pPr>
      <w:r w:rsidRPr="00675326">
        <w:rPr>
          <w:szCs w:val="22"/>
        </w:rPr>
        <w:t>Le gouvernement fédéral entreprend les négociations sur une base offensive, c'est-à-dire en rappelant que la décentralisation des po</w:t>
      </w:r>
      <w:r w:rsidRPr="00675326">
        <w:rPr>
          <w:szCs w:val="22"/>
        </w:rPr>
        <w:t>u</w:t>
      </w:r>
      <w:r w:rsidRPr="00675326">
        <w:rPr>
          <w:szCs w:val="22"/>
        </w:rPr>
        <w:t>voirs n'est pas la solution aux problèmes du Canada et en affirmant que la fédération canadienne a un besoin impérieux d'une forte dire</w:t>
      </w:r>
      <w:r w:rsidRPr="00675326">
        <w:rPr>
          <w:szCs w:val="22"/>
        </w:rPr>
        <w:t>c</w:t>
      </w:r>
      <w:r w:rsidRPr="00675326">
        <w:rPr>
          <w:szCs w:val="22"/>
        </w:rPr>
        <w:t>tion économique assumée par le</w:t>
      </w:r>
      <w:r>
        <w:rPr>
          <w:szCs w:val="22"/>
        </w:rPr>
        <w:t xml:space="preserve"> </w:t>
      </w:r>
      <w:r>
        <w:rPr>
          <w:szCs w:val="18"/>
        </w:rPr>
        <w:t xml:space="preserve">[101] </w:t>
      </w:r>
      <w:r w:rsidRPr="00675326">
        <w:rPr>
          <w:szCs w:val="22"/>
        </w:rPr>
        <w:t>gouvernement fédéral. Pour mettre de la pression, on insiste tout au cours de l'été sur l'éventualit</w:t>
      </w:r>
      <w:r>
        <w:rPr>
          <w:szCs w:val="22"/>
        </w:rPr>
        <w:t>é prob</w:t>
      </w:r>
      <w:r w:rsidRPr="00675326">
        <w:rPr>
          <w:szCs w:val="22"/>
        </w:rPr>
        <w:t>able d'une action unilatérale en cas d'échec</w:t>
      </w:r>
      <w:r>
        <w:rPr>
          <w:szCs w:val="22"/>
        </w:rPr>
        <w:t> </w:t>
      </w:r>
      <w:r w:rsidRPr="005B6CBD">
        <w:rPr>
          <w:rStyle w:val="Appelnotedebasdep"/>
        </w:rPr>
        <w:footnoteReference w:id="180"/>
      </w:r>
      <w:r w:rsidRPr="00675326">
        <w:rPr>
          <w:szCs w:val="22"/>
        </w:rPr>
        <w:t>.</w:t>
      </w:r>
    </w:p>
    <w:p w:rsidR="00AD690E" w:rsidRPr="00675326" w:rsidRDefault="00AD690E" w:rsidP="00AD690E">
      <w:pPr>
        <w:spacing w:before="120" w:after="120"/>
        <w:jc w:val="both"/>
      </w:pPr>
      <w:r w:rsidRPr="00675326">
        <w:rPr>
          <w:szCs w:val="22"/>
        </w:rPr>
        <w:t xml:space="preserve">Reprenant la vieille technique utilisée par Trudeau, en 1968, pour justifier la préséance donnée à la </w:t>
      </w:r>
      <w:r w:rsidRPr="00675326">
        <w:rPr>
          <w:i/>
          <w:iCs/>
          <w:szCs w:val="22"/>
        </w:rPr>
        <w:t xml:space="preserve">Charte des droits sur le partage des compétences, </w:t>
      </w:r>
      <w:r w:rsidRPr="00675326">
        <w:rPr>
          <w:szCs w:val="22"/>
        </w:rPr>
        <w:t>les porte-parole fédéraux insistent pour distinguer deux séries de sujets : la « série pour le peuple » (déclaration de principes, Charte des droits, engagement pour la péréquation et rapatriement de la Constitution) et la « série des gouvernements » (regroupant les questions se rapportant au partage des compétences). La première s</w:t>
      </w:r>
      <w:r w:rsidRPr="00675326">
        <w:rPr>
          <w:szCs w:val="22"/>
        </w:rPr>
        <w:t>é</w:t>
      </w:r>
      <w:r w:rsidRPr="00675326">
        <w:rPr>
          <w:szCs w:val="22"/>
        </w:rPr>
        <w:t>rie est ennoblie par sa référence au bien-être des citoyens, alors que la deuxième est assimilée à des « querelles de politiciens ». Cette di</w:t>
      </w:r>
      <w:r w:rsidRPr="00675326">
        <w:rPr>
          <w:szCs w:val="22"/>
        </w:rPr>
        <w:t>s</w:t>
      </w:r>
      <w:r w:rsidRPr="00675326">
        <w:rPr>
          <w:szCs w:val="22"/>
        </w:rPr>
        <w:t>tinction, au-delà de son caractère éthique, sert, d'une part, à exclure tout marchandage pour la première et, d'autre part, à bien établir que les séries n'ont pas à connaître une évolution identique. Un blocage dans la deuxième ne doit pas constituer une entrave à des chang</w:t>
      </w:r>
      <w:r w:rsidRPr="00675326">
        <w:rPr>
          <w:szCs w:val="22"/>
        </w:rPr>
        <w:t>e</w:t>
      </w:r>
      <w:r w:rsidRPr="00675326">
        <w:rPr>
          <w:szCs w:val="22"/>
        </w:rPr>
        <w:t xml:space="preserve">ments constitutionnels touchant la première. Alors que dans </w:t>
      </w:r>
      <w:r w:rsidRPr="00675326">
        <w:rPr>
          <w:i/>
          <w:iCs/>
          <w:szCs w:val="22"/>
        </w:rPr>
        <w:t xml:space="preserve">Le temps d'agir </w:t>
      </w:r>
      <w:r w:rsidRPr="00675326">
        <w:rPr>
          <w:szCs w:val="22"/>
        </w:rPr>
        <w:t>le partage des compétences était identifié à un problème m</w:t>
      </w:r>
      <w:r w:rsidRPr="00675326">
        <w:rPr>
          <w:szCs w:val="22"/>
        </w:rPr>
        <w:t>a</w:t>
      </w:r>
      <w:r w:rsidRPr="00675326">
        <w:rPr>
          <w:szCs w:val="22"/>
        </w:rPr>
        <w:t>jeur, il est tout à fait clair ici que le gouvernement fédéral est disposé à procéder pour la première série tout en maintenant l'impasse dans la deuxième.</w:t>
      </w:r>
    </w:p>
    <w:p w:rsidR="00AD690E" w:rsidRPr="00675326" w:rsidRDefault="00AD690E" w:rsidP="00AD690E">
      <w:pPr>
        <w:spacing w:before="120" w:after="120"/>
        <w:jc w:val="both"/>
      </w:pPr>
      <w:r w:rsidRPr="00675326">
        <w:rPr>
          <w:szCs w:val="22"/>
        </w:rPr>
        <w:t>Trois des questions débattues revêtent une grande importance quant à la signification que les libéraux fédéraux veulent donner à l'exercice : la première, à savoir la déclaration de principes projetée, décrit le peuple canadien comme le produit du « fait anglais » et du « fait français », des populations autochtones et des populations i</w:t>
      </w:r>
      <w:r w:rsidRPr="00675326">
        <w:rPr>
          <w:szCs w:val="22"/>
        </w:rPr>
        <w:t>m</w:t>
      </w:r>
      <w:r w:rsidRPr="00675326">
        <w:rPr>
          <w:szCs w:val="22"/>
        </w:rPr>
        <w:t xml:space="preserve">migrées ; or, ce </w:t>
      </w:r>
      <w:r w:rsidRPr="00675326">
        <w:rPr>
          <w:i/>
          <w:iCs/>
          <w:szCs w:val="22"/>
        </w:rPr>
        <w:t xml:space="preserve">peuple </w:t>
      </w:r>
      <w:r w:rsidRPr="00675326">
        <w:rPr>
          <w:szCs w:val="22"/>
        </w:rPr>
        <w:t>est essentiellement un sujet niveleur et intégr</w:t>
      </w:r>
      <w:r w:rsidRPr="00675326">
        <w:rPr>
          <w:szCs w:val="22"/>
        </w:rPr>
        <w:t>a</w:t>
      </w:r>
      <w:r w:rsidRPr="00675326">
        <w:rPr>
          <w:szCs w:val="22"/>
        </w:rPr>
        <w:t>teur. Le peuple canadien est une mosaïque qui prend sa signification dans le tout et non dans ses parties.</w:t>
      </w:r>
    </w:p>
    <w:p w:rsidR="00AD690E" w:rsidRPr="00675326" w:rsidRDefault="00AD690E" w:rsidP="00AD690E">
      <w:pPr>
        <w:spacing w:before="120" w:after="120"/>
        <w:jc w:val="both"/>
      </w:pPr>
      <w:r w:rsidRPr="00675326">
        <w:rPr>
          <w:szCs w:val="22"/>
        </w:rPr>
        <w:t>La référence à la nation canadienne-française, à la « majorité » du Québec, à cette société distincte, à la dualité qui n'est pas que lingui</w:t>
      </w:r>
      <w:r w:rsidRPr="00675326">
        <w:rPr>
          <w:szCs w:val="22"/>
        </w:rPr>
        <w:t>s</w:t>
      </w:r>
      <w:r w:rsidRPr="00675326">
        <w:rPr>
          <w:szCs w:val="22"/>
        </w:rPr>
        <w:t>tique, etc</w:t>
      </w:r>
      <w:r>
        <w:rPr>
          <w:szCs w:val="22"/>
        </w:rPr>
        <w:t>.</w:t>
      </w:r>
      <w:r w:rsidRPr="00675326">
        <w:rPr>
          <w:szCs w:val="22"/>
        </w:rPr>
        <w:t xml:space="preserve">, enfin quelle que soit la désignation que l'on a pu donner à la question québécoise par le passé, est réduite à l'évocation du « fait français ». Au cours de l'été, dans sa </w:t>
      </w:r>
      <w:r w:rsidRPr="00675326">
        <w:rPr>
          <w:i/>
          <w:iCs/>
          <w:szCs w:val="22"/>
        </w:rPr>
        <w:t xml:space="preserve">Lettre ouverte aux Québécois, </w:t>
      </w:r>
      <w:r w:rsidRPr="00675326">
        <w:rPr>
          <w:szCs w:val="22"/>
        </w:rPr>
        <w:t>Pierre Trudeau explique qu'il reconnaît que la communauté linguist</w:t>
      </w:r>
      <w:r w:rsidRPr="00675326">
        <w:rPr>
          <w:szCs w:val="22"/>
        </w:rPr>
        <w:t>i</w:t>
      </w:r>
      <w:r w:rsidRPr="00675326">
        <w:rPr>
          <w:szCs w:val="22"/>
        </w:rPr>
        <w:t>que et culturelle française a son centre de gravité au Québec, mais il souligne qu'elle s'étend dans l'ensemble du Canada. Puis, il explicite deux réserves d'importance à cette reconnaissance. D'abord, de cette « nation sociologique québécoise », on ne peut déduire aucune impl</w:t>
      </w:r>
      <w:r w:rsidRPr="00675326">
        <w:rPr>
          <w:szCs w:val="22"/>
        </w:rPr>
        <w:t>i</w:t>
      </w:r>
      <w:r w:rsidRPr="00675326">
        <w:rPr>
          <w:szCs w:val="22"/>
        </w:rPr>
        <w:t>cation politique, encore moins pour ce qui est du système constit</w:t>
      </w:r>
      <w:r w:rsidRPr="00675326">
        <w:rPr>
          <w:szCs w:val="22"/>
        </w:rPr>
        <w:t>u</w:t>
      </w:r>
      <w:r w:rsidRPr="00675326">
        <w:rPr>
          <w:szCs w:val="22"/>
        </w:rPr>
        <w:t>tionnel, car il n'y a pas qu'une nation sociologique au Québec. En somme, seul le niveau central de l'</w:t>
      </w:r>
      <w:r>
        <w:rPr>
          <w:szCs w:val="22"/>
        </w:rPr>
        <w:t>État</w:t>
      </w:r>
      <w:r w:rsidRPr="00675326">
        <w:rPr>
          <w:szCs w:val="22"/>
        </w:rPr>
        <w:t xml:space="preserve"> est en mesure de malaxer et unir la diversité sociale pour constituer un peuple. Ensuite, face à la nation sociologique québécoise, « il n'y a pas </w:t>
      </w:r>
      <w:r w:rsidRPr="00675326">
        <w:rPr>
          <w:i/>
          <w:iCs/>
          <w:szCs w:val="22"/>
        </w:rPr>
        <w:t xml:space="preserve">un </w:t>
      </w:r>
      <w:r w:rsidRPr="00675326">
        <w:rPr>
          <w:szCs w:val="22"/>
        </w:rPr>
        <w:t xml:space="preserve">mais </w:t>
      </w:r>
      <w:r w:rsidRPr="00675326">
        <w:rPr>
          <w:i/>
          <w:iCs/>
          <w:szCs w:val="22"/>
        </w:rPr>
        <w:t xml:space="preserve">des </w:t>
      </w:r>
      <w:r w:rsidRPr="00675326">
        <w:rPr>
          <w:szCs w:val="22"/>
        </w:rPr>
        <w:t>Canada a</w:t>
      </w:r>
      <w:r w:rsidRPr="00675326">
        <w:rPr>
          <w:szCs w:val="22"/>
        </w:rPr>
        <w:t>n</w:t>
      </w:r>
      <w:r w:rsidRPr="00675326">
        <w:rPr>
          <w:szCs w:val="22"/>
        </w:rPr>
        <w:t>glais ». La nation sociologique québécoise fait partie du concert des nations sociologiques du Canada. Par l'emploi qui est fait de l'expre</w:t>
      </w:r>
      <w:r w:rsidRPr="00675326">
        <w:rPr>
          <w:szCs w:val="22"/>
        </w:rPr>
        <w:t>s</w:t>
      </w:r>
      <w:r w:rsidRPr="00675326">
        <w:rPr>
          <w:szCs w:val="22"/>
        </w:rPr>
        <w:t>sion, la nation québécoise est assimilée aux minorités ethniques et i</w:t>
      </w:r>
      <w:r w:rsidRPr="00675326">
        <w:rPr>
          <w:szCs w:val="22"/>
        </w:rPr>
        <w:t>n</w:t>
      </w:r>
      <w:r w:rsidRPr="00675326">
        <w:rPr>
          <w:szCs w:val="22"/>
        </w:rPr>
        <w:t>tégrée dans la diversité culturelle canadienne ; on est ainsi conduit à une définition</w:t>
      </w:r>
      <w:r>
        <w:rPr>
          <w:szCs w:val="22"/>
        </w:rPr>
        <w:t xml:space="preserve"> </w:t>
      </w:r>
      <w:r>
        <w:t>[</w:t>
      </w:r>
      <w:r w:rsidRPr="00675326">
        <w:rPr>
          <w:szCs w:val="22"/>
        </w:rPr>
        <w:t>102</w:t>
      </w:r>
      <w:r>
        <w:rPr>
          <w:szCs w:val="22"/>
        </w:rPr>
        <w:t xml:space="preserve">] </w:t>
      </w:r>
      <w:r w:rsidRPr="00675326">
        <w:rPr>
          <w:szCs w:val="22"/>
        </w:rPr>
        <w:t>multiculturaliste de la société, au sein de laquelle la seule distin</w:t>
      </w:r>
      <w:r w:rsidRPr="00675326">
        <w:rPr>
          <w:szCs w:val="22"/>
        </w:rPr>
        <w:t>c</w:t>
      </w:r>
      <w:r w:rsidRPr="00675326">
        <w:rPr>
          <w:szCs w:val="22"/>
        </w:rPr>
        <w:t>tion ne peut qu'être quantitative.</w:t>
      </w:r>
    </w:p>
    <w:p w:rsidR="00AD690E" w:rsidRPr="00675326" w:rsidRDefault="00AD690E" w:rsidP="00AD690E">
      <w:pPr>
        <w:spacing w:before="120" w:after="120"/>
        <w:jc w:val="both"/>
      </w:pPr>
      <w:r w:rsidRPr="00675326">
        <w:rPr>
          <w:szCs w:val="22"/>
        </w:rPr>
        <w:t>La deuxième question, c'est celle de la Charte des droits, qui est une constante dans le contentieux constitutionnel depuis le début des année</w:t>
      </w:r>
      <w:r>
        <w:rPr>
          <w:szCs w:val="22"/>
        </w:rPr>
        <w:t>s</w:t>
      </w:r>
      <w:r w:rsidRPr="00675326">
        <w:rPr>
          <w:szCs w:val="22"/>
        </w:rPr>
        <w:t xml:space="preserve"> 1960 et qui revient comme enjeu des négociations. Jamais ce</w:t>
      </w:r>
      <w:r w:rsidRPr="00675326">
        <w:rPr>
          <w:szCs w:val="22"/>
        </w:rPr>
        <w:t>t</w:t>
      </w:r>
      <w:r w:rsidRPr="00675326">
        <w:rPr>
          <w:szCs w:val="22"/>
        </w:rPr>
        <w:t>te Charte n'aura été aussi extensive. Si, en 1971, à Victoria, la Charte comprenait des droits politiques généraux (libertés fondamentales et principes démocratiques) et des droits linguistiques institutionnels (dont l'application était inégale), cette fois-ci elle est composée de chapitres sur les libertés fondamentales, les principes démocratiques, les droits personnels, les droits relatifs à la discrimination, la liberté de mouvement et d'établissement, les droits de jouissance de ses biens, les langues officielles et les droits linguistiques. Il faut voir que la Charte est finalement plus que la confirmation des droits individuels ; elle s'inscrit dans un effort pour baliser la capacité d'intervention des gouvernements provinciaux et pour limiter leur action, comme lieu d'exercice du pouvoir. L'introduction de nouveaux chapitres a un effet de première importance. On le verra dans le domaine de l'union éc</w:t>
      </w:r>
      <w:r w:rsidRPr="00675326">
        <w:rPr>
          <w:szCs w:val="22"/>
        </w:rPr>
        <w:t>o</w:t>
      </w:r>
      <w:r w:rsidRPr="00675326">
        <w:rPr>
          <w:szCs w:val="22"/>
        </w:rPr>
        <w:t>nomique.</w:t>
      </w:r>
    </w:p>
    <w:p w:rsidR="00AD690E" w:rsidRPr="00675326" w:rsidRDefault="00AD690E" w:rsidP="00AD690E">
      <w:pPr>
        <w:spacing w:before="120" w:after="120"/>
        <w:jc w:val="both"/>
      </w:pPr>
      <w:r w:rsidRPr="00675326">
        <w:rPr>
          <w:szCs w:val="22"/>
        </w:rPr>
        <w:t>Quant à la troisième question, enfin, pour le gouvernement fédéral, l'espace économique canadien est imparfait ; il serait donc impératif de redresser la situation. Trois moyens sont proposés : d'abord, d'in</w:t>
      </w:r>
      <w:r w:rsidRPr="00675326">
        <w:rPr>
          <w:szCs w:val="22"/>
        </w:rPr>
        <w:t>s</w:t>
      </w:r>
      <w:r w:rsidRPr="00675326">
        <w:rPr>
          <w:szCs w:val="22"/>
        </w:rPr>
        <w:t>crire, dans la Charte des droits, la liberté de circulation des biens, des services et des capitaux ; ensuite, de limiter par un amendement fo</w:t>
      </w:r>
      <w:r w:rsidRPr="00675326">
        <w:rPr>
          <w:szCs w:val="22"/>
        </w:rPr>
        <w:t>r</w:t>
      </w:r>
      <w:r w:rsidRPr="00675326">
        <w:rPr>
          <w:szCs w:val="22"/>
        </w:rPr>
        <w:t>mel la capacité des gouvernements d'entraver la mobilité économ</w:t>
      </w:r>
      <w:r w:rsidRPr="00675326">
        <w:rPr>
          <w:szCs w:val="22"/>
        </w:rPr>
        <w:t>i</w:t>
      </w:r>
      <w:r w:rsidRPr="00675326">
        <w:rPr>
          <w:szCs w:val="22"/>
        </w:rPr>
        <w:t>que ; enfin, d'étendre les compétences fédérales à toutes les matières essentielles pour assurer l'union économique. Le projet vise à mettre un terme à de nombreuses initiatives provinciales qui entravent la « mobilité des facteurs de production ». Ottawa ne mise plus sur une concurrence inégale entre les deux niveaux de l'État dans l'interve</w:t>
      </w:r>
      <w:r w:rsidRPr="00675326">
        <w:rPr>
          <w:szCs w:val="22"/>
        </w:rPr>
        <w:t>n</w:t>
      </w:r>
      <w:r w:rsidRPr="00675326">
        <w:rPr>
          <w:szCs w:val="22"/>
        </w:rPr>
        <w:t>tion économique, mais sur la marginalisation du niveau provincial dans ce champ pris dans un sens large. C'est ce même objectif qui re</w:t>
      </w:r>
      <w:r w:rsidRPr="00675326">
        <w:rPr>
          <w:szCs w:val="22"/>
        </w:rPr>
        <w:t>s</w:t>
      </w:r>
      <w:r w:rsidRPr="00675326">
        <w:rPr>
          <w:szCs w:val="22"/>
        </w:rPr>
        <w:t>sort de la position fédérale pour l'ensemble des autres dossiers d'i</w:t>
      </w:r>
      <w:r w:rsidRPr="00675326">
        <w:rPr>
          <w:szCs w:val="22"/>
        </w:rPr>
        <w:t>m</w:t>
      </w:r>
      <w:r w:rsidRPr="00675326">
        <w:rPr>
          <w:szCs w:val="22"/>
        </w:rPr>
        <w:t>portance concernant le partage des compétences.</w:t>
      </w:r>
    </w:p>
    <w:p w:rsidR="00AD690E" w:rsidRPr="00675326" w:rsidRDefault="00AD690E" w:rsidP="00AD690E">
      <w:pPr>
        <w:spacing w:before="120" w:after="120"/>
        <w:jc w:val="both"/>
      </w:pPr>
      <w:r w:rsidRPr="00675326">
        <w:rPr>
          <w:szCs w:val="22"/>
        </w:rPr>
        <w:t>Ce processus de négociation ne devait mener, en septembre 1980, qu'à un constat d'échec et donner le prétexte à une action unilatérale du gouvernement Trudeau. Dès le 6 octobre, un projet de résolution est déposé dans lequel on demande à Londres le rapatriement de la Constitution après l'avoir amendée.</w:t>
      </w:r>
    </w:p>
    <w:p w:rsidR="00AD690E" w:rsidRPr="00675326" w:rsidRDefault="00AD690E" w:rsidP="00AD690E">
      <w:pPr>
        <w:spacing w:before="120" w:after="120"/>
        <w:jc w:val="both"/>
      </w:pPr>
      <w:r w:rsidRPr="00675326">
        <w:rPr>
          <w:szCs w:val="22"/>
        </w:rPr>
        <w:t>Globalement, cette résolution ne contient aucun compromis à l'égard de la position majoritaire des provinces. Elle se compose des éléments de la « série pour le peuple », à l'exception de la Déclaration de principes. Par cette résolution, on entend demander le rapatriement de l'AANB : à cette demande est jointe une demande de modifications préalables de l'AANB par Londres, qui consistent en une Charte des droits et libertés, une formule d'amendement et un engagement face à la péréquation. Ce geste unilatéral soulève une contre verse à travers le Canada. Mais Pierre Trudeau affirme en Chambre, lors du débat sur la résolution, que la thèse voulant qu'un appui unanime des provinces soit nécessaire « est</w:t>
      </w:r>
      <w:r>
        <w:rPr>
          <w:szCs w:val="22"/>
        </w:rPr>
        <w:t xml:space="preserve"> </w:t>
      </w:r>
      <w:r>
        <w:t xml:space="preserve">[103] </w:t>
      </w:r>
      <w:r w:rsidRPr="00675326">
        <w:rPr>
          <w:szCs w:val="22"/>
        </w:rPr>
        <w:t>fausse en théorie et fausse dans les faits »</w:t>
      </w:r>
      <w:r>
        <w:rPr>
          <w:szCs w:val="22"/>
        </w:rPr>
        <w:t> </w:t>
      </w:r>
      <w:r w:rsidRPr="005B6CBD">
        <w:rPr>
          <w:rStyle w:val="Appelnotedebasdep"/>
        </w:rPr>
        <w:footnoteReference w:id="181"/>
      </w:r>
      <w:r w:rsidRPr="00675326">
        <w:rPr>
          <w:szCs w:val="22"/>
        </w:rPr>
        <w:t>. Les thèses s'affrontent devant les tribunaux. La Cour s</w:t>
      </w:r>
      <w:r w:rsidRPr="00675326">
        <w:rPr>
          <w:szCs w:val="22"/>
        </w:rPr>
        <w:t>u</w:t>
      </w:r>
      <w:r w:rsidRPr="00675326">
        <w:rPr>
          <w:szCs w:val="22"/>
        </w:rPr>
        <w:t>prême, qui doit se prononcer sur la légalité de la résolution devant les Communes, penche en faveur de la nécessité d'un large consensus qui n'est pas synonyme d'unanimité. Ce qui impose au Cabinet de revoir sa démarche afin d'aller chercher ce consensus.</w:t>
      </w:r>
    </w:p>
    <w:p w:rsidR="00AD690E" w:rsidRPr="00675326" w:rsidRDefault="00AD690E" w:rsidP="00AD690E">
      <w:pPr>
        <w:spacing w:before="120" w:after="120"/>
        <w:jc w:val="both"/>
      </w:pPr>
      <w:r w:rsidRPr="00675326">
        <w:rPr>
          <w:szCs w:val="22"/>
        </w:rPr>
        <w:t>Par ailleurs, ne voulant pas ou ne croyant pas possible une mobil</w:t>
      </w:r>
      <w:r w:rsidRPr="00675326">
        <w:rPr>
          <w:szCs w:val="22"/>
        </w:rPr>
        <w:t>i</w:t>
      </w:r>
      <w:r w:rsidRPr="00675326">
        <w:rPr>
          <w:szCs w:val="22"/>
        </w:rPr>
        <w:t>sation des troupes nationalistes et souverainistes, René Lévesque et ses acolytes optent pour l'hypothèse incertaine d'une résistance pr</w:t>
      </w:r>
      <w:r w:rsidRPr="00675326">
        <w:rPr>
          <w:szCs w:val="22"/>
        </w:rPr>
        <w:t>o</w:t>
      </w:r>
      <w:r w:rsidRPr="00675326">
        <w:rPr>
          <w:szCs w:val="22"/>
        </w:rPr>
        <w:t>vinciale à la centralisation fédérale. Des négociations s'engagent avec Ottawa qui consent à quelques concessions, comme les dispositions concernant les richesses naturelles (pour l'Ouest) ou une dérogation concernant la liberté de circulation (pour Terre-Neuve) ou la formule d'amendement et la clause « nonobstant » (pour tout le monde). Ces modifications font céder le front commun des huit provinces (dont le Québec) qui s'opposent jusque-là à la démarche fédérale. Dans un scénario dramatique, le renversement des alliances confine le Québec à son rôle d'opposant légendaire et, du même coup, ouvre la voie au rapatriement de la Constitution. Une motion de l'Assemblée nationale signifiant que le Québec entend exercer son veto reste lettre morte à Ottawa</w:t>
      </w:r>
      <w:r>
        <w:rPr>
          <w:szCs w:val="22"/>
        </w:rPr>
        <w:t> </w:t>
      </w:r>
      <w:r w:rsidRPr="005B6CBD">
        <w:rPr>
          <w:rStyle w:val="Appelnotedebasdep"/>
        </w:rPr>
        <w:footnoteReference w:id="182"/>
      </w:r>
      <w:r w:rsidRPr="00675326">
        <w:rPr>
          <w:szCs w:val="22"/>
        </w:rPr>
        <w:t>. Cet épisode marque la perte, après le jugement de la Cour suprême, du droit de veto constitutionnel que le Québec croyait dét</w:t>
      </w:r>
      <w:r w:rsidRPr="00675326">
        <w:rPr>
          <w:szCs w:val="22"/>
        </w:rPr>
        <w:t>e</w:t>
      </w:r>
      <w:r w:rsidRPr="00675326">
        <w:rPr>
          <w:szCs w:val="22"/>
        </w:rPr>
        <w:t>nir, et le rejet du veto politique que la tradition lui reconnaissait.</w:t>
      </w:r>
    </w:p>
    <w:p w:rsidR="00AD690E" w:rsidRPr="00675326" w:rsidRDefault="00AD690E" w:rsidP="00AD690E">
      <w:pPr>
        <w:spacing w:before="120" w:after="120"/>
        <w:jc w:val="both"/>
      </w:pPr>
      <w:r w:rsidRPr="00675326">
        <w:rPr>
          <w:szCs w:val="22"/>
        </w:rPr>
        <w:t xml:space="preserve">Le </w:t>
      </w:r>
      <w:r w:rsidRPr="00675326">
        <w:rPr>
          <w:i/>
          <w:iCs/>
          <w:szCs w:val="22"/>
        </w:rPr>
        <w:t xml:space="preserve">Canada Bill, </w:t>
      </w:r>
      <w:r w:rsidRPr="00675326">
        <w:rPr>
          <w:szCs w:val="22"/>
        </w:rPr>
        <w:t xml:space="preserve">c'est-à-dire la </w:t>
      </w:r>
      <w:r w:rsidRPr="00675326">
        <w:rPr>
          <w:i/>
          <w:iCs/>
          <w:szCs w:val="22"/>
        </w:rPr>
        <w:t>Loi constitutionnelle de 1982</w:t>
      </w:r>
      <w:r>
        <w:rPr>
          <w:iCs/>
          <w:szCs w:val="22"/>
        </w:rPr>
        <w:t> </w:t>
      </w:r>
      <w:r w:rsidRPr="005B6CBD">
        <w:rPr>
          <w:rStyle w:val="Appelnotedebasdep"/>
          <w:iCs/>
        </w:rPr>
        <w:footnoteReference w:id="183"/>
      </w:r>
      <w:r w:rsidRPr="00675326">
        <w:rPr>
          <w:i/>
          <w:iCs/>
          <w:szCs w:val="22"/>
        </w:rPr>
        <w:t xml:space="preserve">, </w:t>
      </w:r>
      <w:r w:rsidRPr="00675326">
        <w:rPr>
          <w:szCs w:val="22"/>
        </w:rPr>
        <w:t>constitue la conclusion provisoire d'un processus enclenché au début des années 1960 sous l'insistance du gouvernement du Québec, afin d'accroître le champ de ses responsabilités. Or, la Charte des droits, qui est l'un des principaux éléments de cette loi, pose plusieurs ve</w:t>
      </w:r>
      <w:r w:rsidRPr="00675326">
        <w:rPr>
          <w:szCs w:val="22"/>
        </w:rPr>
        <w:t>r</w:t>
      </w:r>
      <w:r w:rsidRPr="00675326">
        <w:rPr>
          <w:szCs w:val="22"/>
        </w:rPr>
        <w:t>rous à l'exercice des compétences constitutionnelles, particulièrement au niveau provincial, et, en ce sens, intervient dans l'organisation f</w:t>
      </w:r>
      <w:r w:rsidRPr="00675326">
        <w:rPr>
          <w:szCs w:val="22"/>
        </w:rPr>
        <w:t>é</w:t>
      </w:r>
      <w:r w:rsidRPr="00675326">
        <w:rPr>
          <w:szCs w:val="22"/>
        </w:rPr>
        <w:t>dérative des lieux d'exercice du pouvoir. Six points méritent une ce</w:t>
      </w:r>
      <w:r w:rsidRPr="00675326">
        <w:rPr>
          <w:szCs w:val="22"/>
        </w:rPr>
        <w:t>r</w:t>
      </w:r>
      <w:r w:rsidRPr="00675326">
        <w:rPr>
          <w:szCs w:val="22"/>
        </w:rPr>
        <w:t>taine attention</w:t>
      </w:r>
      <w:r>
        <w:rPr>
          <w:szCs w:val="22"/>
        </w:rPr>
        <w:t> </w:t>
      </w:r>
      <w:r w:rsidRPr="005B6CBD">
        <w:rPr>
          <w:rStyle w:val="Appelnotedebasdep"/>
        </w:rPr>
        <w:footnoteReference w:id="184"/>
      </w:r>
      <w:r w:rsidRPr="00675326">
        <w:rPr>
          <w:szCs w:val="22"/>
        </w:rPr>
        <w:t> :</w:t>
      </w:r>
    </w:p>
    <w:p w:rsidR="00AD690E" w:rsidRPr="00675326" w:rsidRDefault="00AD690E" w:rsidP="00AD690E">
      <w:pPr>
        <w:spacing w:before="120" w:after="120"/>
        <w:jc w:val="both"/>
      </w:pPr>
      <w:r w:rsidRPr="00675326">
        <w:rPr>
          <w:szCs w:val="22"/>
        </w:rPr>
        <w:t>En premier lieu, la Charte des droits modifie le principe de la s</w:t>
      </w:r>
      <w:r w:rsidRPr="00675326">
        <w:rPr>
          <w:szCs w:val="22"/>
        </w:rPr>
        <w:t>u</w:t>
      </w:r>
      <w:r w:rsidRPr="00675326">
        <w:rPr>
          <w:szCs w:val="22"/>
        </w:rPr>
        <w:t>prématie législative car elle permet au tribunal de se prononcer sur le contenu des lois. Les droits et libertés peuvent être restreints par les gouvernements dans la mesure où ces restrictions sont justifiées dans une « société libre et</w:t>
      </w:r>
      <w:r>
        <w:rPr>
          <w:szCs w:val="22"/>
        </w:rPr>
        <w:t xml:space="preserve"> </w:t>
      </w:r>
      <w:r>
        <w:rPr>
          <w:szCs w:val="18"/>
        </w:rPr>
        <w:t>[</w:t>
      </w:r>
      <w:r w:rsidRPr="00675326">
        <w:rPr>
          <w:szCs w:val="22"/>
        </w:rPr>
        <w:t>104</w:t>
      </w:r>
      <w:r>
        <w:rPr>
          <w:szCs w:val="22"/>
        </w:rPr>
        <w:t xml:space="preserve">] </w:t>
      </w:r>
      <w:r w:rsidRPr="00675326">
        <w:rPr>
          <w:szCs w:val="22"/>
        </w:rPr>
        <w:t>démocratique ». Les juges sont donc app</w:t>
      </w:r>
      <w:r w:rsidRPr="00675326">
        <w:rPr>
          <w:szCs w:val="22"/>
        </w:rPr>
        <w:t>e</w:t>
      </w:r>
      <w:r w:rsidRPr="00675326">
        <w:rPr>
          <w:szCs w:val="22"/>
        </w:rPr>
        <w:t>lés ici à porter d'abord des jugements politiques sur l'à-propos de telles restrictions. Or, les niveaux de l'État sont dans une position inégale à l'égard de la Charte et des tribunaux. D'abord, on sait que c'est le go</w:t>
      </w:r>
      <w:r w:rsidRPr="00675326">
        <w:rPr>
          <w:szCs w:val="22"/>
        </w:rPr>
        <w:t>u</w:t>
      </w:r>
      <w:r w:rsidRPr="00675326">
        <w:rPr>
          <w:szCs w:val="22"/>
        </w:rPr>
        <w:t>vernement fédéral qui nomme les juges des cours supérieures et de la Cour suprême et que cette prérogative n'est pas sans importance. Mais, par ailleurs, structurellement, seul le gouvernement fédéral est en mesure de r</w:t>
      </w:r>
      <w:r w:rsidRPr="00675326">
        <w:rPr>
          <w:szCs w:val="22"/>
        </w:rPr>
        <w:t>e</w:t>
      </w:r>
      <w:r w:rsidRPr="00675326">
        <w:rPr>
          <w:szCs w:val="22"/>
        </w:rPr>
        <w:t>vendiquer l'intérêt « national », un mandat « national » et une capacité de représentation du peuple, diversifié à souhait, mais recomposé sous son égide, au-delà des distinctions ethniques, géogr</w:t>
      </w:r>
      <w:r w:rsidRPr="00675326">
        <w:rPr>
          <w:szCs w:val="22"/>
        </w:rPr>
        <w:t>a</w:t>
      </w:r>
      <w:r w:rsidRPr="00675326">
        <w:rPr>
          <w:szCs w:val="22"/>
        </w:rPr>
        <w:t>phiques et autres. Les gouvernements provinciaux ne peuvent qu'être dépositaires d'int</w:t>
      </w:r>
      <w:r w:rsidRPr="00675326">
        <w:rPr>
          <w:szCs w:val="22"/>
        </w:rPr>
        <w:t>é</w:t>
      </w:r>
      <w:r w:rsidRPr="00675326">
        <w:rPr>
          <w:szCs w:val="22"/>
        </w:rPr>
        <w:t>rêts fragmentaires et porteurs de préoccupations étriquées.</w:t>
      </w:r>
    </w:p>
    <w:p w:rsidR="00AD690E" w:rsidRPr="00675326" w:rsidRDefault="00AD690E" w:rsidP="00AD690E">
      <w:pPr>
        <w:spacing w:before="120" w:after="120"/>
        <w:jc w:val="both"/>
      </w:pPr>
      <w:r w:rsidRPr="00675326">
        <w:rPr>
          <w:szCs w:val="22"/>
        </w:rPr>
        <w:t>En dépit de l'abandon du document de la Déclaration de principes, la logique qui l'habitait s'applique. Au-delà de l'hétérogénéité culture</w:t>
      </w:r>
      <w:r w:rsidRPr="00675326">
        <w:rPr>
          <w:szCs w:val="22"/>
        </w:rPr>
        <w:t>l</w:t>
      </w:r>
      <w:r w:rsidRPr="00675326">
        <w:rPr>
          <w:szCs w:val="22"/>
        </w:rPr>
        <w:t xml:space="preserve">le de ses composantes, une société, un ensemble politique, un peuple intégrateur s'imposent et rassemblent les individus de toutes « souches ». Aussi, dans l'économie générale du </w:t>
      </w:r>
      <w:r w:rsidRPr="00675326">
        <w:rPr>
          <w:i/>
          <w:iCs/>
          <w:szCs w:val="22"/>
        </w:rPr>
        <w:t xml:space="preserve">Canada Bill, </w:t>
      </w:r>
      <w:r w:rsidRPr="00675326">
        <w:rPr>
          <w:szCs w:val="22"/>
        </w:rPr>
        <w:t>s'établit une dialectique entre, d'une part, la reconnaissance du gouvernement fédéral comme seul dépositaire des intérêts collectifs du peuple can</w:t>
      </w:r>
      <w:r w:rsidRPr="00675326">
        <w:rPr>
          <w:szCs w:val="22"/>
        </w:rPr>
        <w:t>a</w:t>
      </w:r>
      <w:r w:rsidRPr="00675326">
        <w:rPr>
          <w:szCs w:val="22"/>
        </w:rPr>
        <w:t>dien et, d'autre part, une modification constitutionnelle sous le thème de la « souveraineté de l'individu ».</w:t>
      </w:r>
    </w:p>
    <w:p w:rsidR="00AD690E" w:rsidRPr="00675326" w:rsidRDefault="00AD690E" w:rsidP="00AD690E">
      <w:pPr>
        <w:spacing w:before="120" w:after="120"/>
        <w:jc w:val="both"/>
      </w:pPr>
      <w:r w:rsidRPr="00675326">
        <w:rPr>
          <w:szCs w:val="22"/>
        </w:rPr>
        <w:t>En deuxième lieu, l'unité essentielle de la Charte, c'est le citoyen. Face au sujet juridique, les droits collectifs s'estompent. À aucun m</w:t>
      </w:r>
      <w:r w:rsidRPr="00675326">
        <w:rPr>
          <w:szCs w:val="22"/>
        </w:rPr>
        <w:t>o</w:t>
      </w:r>
      <w:r w:rsidRPr="00675326">
        <w:rPr>
          <w:szCs w:val="22"/>
        </w:rPr>
        <w:t>ment on ne mentionne la communauté nationale québécoise ou le peuple québécois. Le seul moment où l'existence d'une communauté nationale est reconnue, c'est pour désigner les peuples autochtones. Autrement, on a prévu un article soulignant que l'interprétation de la Charte doit favoriser le multiculturalisme.</w:t>
      </w:r>
    </w:p>
    <w:p w:rsidR="00AD690E" w:rsidRPr="00675326" w:rsidRDefault="00AD690E" w:rsidP="00AD690E">
      <w:pPr>
        <w:spacing w:before="120" w:after="120"/>
        <w:jc w:val="both"/>
      </w:pPr>
      <w:r w:rsidRPr="00675326">
        <w:rPr>
          <w:szCs w:val="22"/>
        </w:rPr>
        <w:t>En troisième lieu, cette « souveraineté de l'individu », que devait consacrer la Charte, souffre quelques limites. D'abord, la Charte ne s'applique pas au domaine des relations entre les individus, mais e</w:t>
      </w:r>
      <w:r w:rsidRPr="00675326">
        <w:rPr>
          <w:szCs w:val="22"/>
        </w:rPr>
        <w:t>x</w:t>
      </w:r>
      <w:r w:rsidRPr="00675326">
        <w:rPr>
          <w:szCs w:val="22"/>
        </w:rPr>
        <w:t>clusivement aux relations entre l'État et les individus. Mais, dans ce champ, il est apparu acceptable au gouvernement fédéral que l'on pr</w:t>
      </w:r>
      <w:r w:rsidRPr="00675326">
        <w:rPr>
          <w:szCs w:val="22"/>
        </w:rPr>
        <w:t>é</w:t>
      </w:r>
      <w:r w:rsidRPr="00675326">
        <w:rPr>
          <w:szCs w:val="22"/>
        </w:rPr>
        <w:t>voit des reports dans l'application de certains droits ou que, par la « clause nonobstant », les gouvernements soient en mesure de se sou</w:t>
      </w:r>
      <w:r w:rsidRPr="00675326">
        <w:rPr>
          <w:szCs w:val="22"/>
        </w:rPr>
        <w:t>s</w:t>
      </w:r>
      <w:r w:rsidRPr="00675326">
        <w:rPr>
          <w:szCs w:val="22"/>
        </w:rPr>
        <w:t>traire à l'application de parties de la Charte pour une période renouv</w:t>
      </w:r>
      <w:r w:rsidRPr="00675326">
        <w:rPr>
          <w:szCs w:val="22"/>
        </w:rPr>
        <w:t>e</w:t>
      </w:r>
      <w:r w:rsidRPr="00675326">
        <w:rPr>
          <w:szCs w:val="22"/>
        </w:rPr>
        <w:t>lable de cinq ans. Cette acceptation de la part du gouvernement féd</w:t>
      </w:r>
      <w:r w:rsidRPr="00675326">
        <w:rPr>
          <w:szCs w:val="22"/>
        </w:rPr>
        <w:t>é</w:t>
      </w:r>
      <w:r w:rsidRPr="00675326">
        <w:rPr>
          <w:szCs w:val="22"/>
        </w:rPr>
        <w:t>ral est symptomatique car elle ne touche que des droits « classiques » de la personne, alors que les aspects de la Charte qui impliquent une nouvelle donne pour l'exercice des compétences ont été écartés de te</w:t>
      </w:r>
      <w:r w:rsidRPr="00675326">
        <w:rPr>
          <w:szCs w:val="22"/>
        </w:rPr>
        <w:t>l</w:t>
      </w:r>
      <w:r w:rsidRPr="00675326">
        <w:rPr>
          <w:szCs w:val="22"/>
        </w:rPr>
        <w:t>les mesures. Plus particulièrement, les articles par lesquels on veut limiter l'intervention des gouvernements provinciaux en certaines m</w:t>
      </w:r>
      <w:r w:rsidRPr="00675326">
        <w:rPr>
          <w:szCs w:val="22"/>
        </w:rPr>
        <w:t>a</w:t>
      </w:r>
      <w:r w:rsidRPr="00675326">
        <w:rPr>
          <w:szCs w:val="22"/>
        </w:rPr>
        <w:t>tières ne peuvent pas être tournés.</w:t>
      </w:r>
    </w:p>
    <w:p w:rsidR="00AD690E" w:rsidRPr="00675326" w:rsidRDefault="00AD690E" w:rsidP="00AD690E">
      <w:pPr>
        <w:spacing w:before="120" w:after="120"/>
        <w:jc w:val="both"/>
      </w:pPr>
      <w:r w:rsidRPr="00675326">
        <w:rPr>
          <w:szCs w:val="22"/>
        </w:rPr>
        <w:t>En quatrième lieu, l'offensive fédérale contre les pratiques provi</w:t>
      </w:r>
      <w:r w:rsidRPr="00675326">
        <w:rPr>
          <w:szCs w:val="22"/>
        </w:rPr>
        <w:t>n</w:t>
      </w:r>
      <w:r w:rsidRPr="00675326">
        <w:rPr>
          <w:szCs w:val="22"/>
        </w:rPr>
        <w:t>ciales qui portent atteinte à l'union économique canadienne passe par un article de la Charte établissant la liberté de circulation et d'établi</w:t>
      </w:r>
      <w:r w:rsidRPr="00675326">
        <w:rPr>
          <w:szCs w:val="22"/>
        </w:rPr>
        <w:t>s</w:t>
      </w:r>
      <w:r w:rsidRPr="00675326">
        <w:rPr>
          <w:szCs w:val="22"/>
        </w:rPr>
        <w:t>sement. Une loi qui fonde une distinction entre les personnes sur la base de la province de résidence contrevient à ce principe. Cette di</w:t>
      </w:r>
      <w:r w:rsidRPr="00675326">
        <w:rPr>
          <w:szCs w:val="22"/>
        </w:rPr>
        <w:t>s</w:t>
      </w:r>
      <w:r w:rsidRPr="00675326">
        <w:rPr>
          <w:szCs w:val="22"/>
        </w:rPr>
        <w:t>position s'attaque à l'exercice établi des compétences</w:t>
      </w:r>
      <w:r>
        <w:rPr>
          <w:szCs w:val="22"/>
        </w:rPr>
        <w:t xml:space="preserve"> </w:t>
      </w:r>
      <w:r>
        <w:t xml:space="preserve">[105] </w:t>
      </w:r>
      <w:r w:rsidRPr="00675326">
        <w:rPr>
          <w:szCs w:val="22"/>
        </w:rPr>
        <w:t>constit</w:t>
      </w:r>
      <w:r w:rsidRPr="00675326">
        <w:rPr>
          <w:szCs w:val="22"/>
        </w:rPr>
        <w:t>u</w:t>
      </w:r>
      <w:r w:rsidRPr="00675326">
        <w:rPr>
          <w:szCs w:val="22"/>
        </w:rPr>
        <w:t>tionnelles des gouvernements provinciaux et hypothèque leur capacité de mettre en œuvre une politique de développement r</w:t>
      </w:r>
      <w:r w:rsidRPr="00675326">
        <w:rPr>
          <w:szCs w:val="22"/>
        </w:rPr>
        <w:t>é</w:t>
      </w:r>
      <w:r w:rsidRPr="00675326">
        <w:rPr>
          <w:szCs w:val="22"/>
        </w:rPr>
        <w:t>gional. Cette ligne de force n'est pas mise en cause par la dérogation prévue pour les provinces ayant un fort taux de chômage ou par les articles sur les richesses naturelles, bien au contraire.</w:t>
      </w:r>
    </w:p>
    <w:p w:rsidR="00AD690E" w:rsidRPr="00675326" w:rsidRDefault="00AD690E" w:rsidP="00AD690E">
      <w:pPr>
        <w:spacing w:before="120" w:after="120"/>
        <w:jc w:val="both"/>
      </w:pPr>
      <w:r w:rsidRPr="00675326">
        <w:rPr>
          <w:szCs w:val="22"/>
        </w:rPr>
        <w:t>En cinquième lieu, dans le domaine linguistique, le bilinguisme institutionnel ne va pas au-delà du statu quo constitutionnel, en le confirmant pour le gouvernement fédéral, le Québec et le Manitoba. L'invitation lancée aux autres provinces n'a été accueillie favorabl</w:t>
      </w:r>
      <w:r w:rsidRPr="00675326">
        <w:rPr>
          <w:szCs w:val="22"/>
        </w:rPr>
        <w:t>e</w:t>
      </w:r>
      <w:r w:rsidRPr="00675326">
        <w:rPr>
          <w:szCs w:val="22"/>
        </w:rPr>
        <w:t>ment que par le Nouveau-Brunswick. Par ailleurs, des contraintes constitutionnelles sont introduites dans le champ de juridiction pr</w:t>
      </w:r>
      <w:r w:rsidRPr="00675326">
        <w:rPr>
          <w:szCs w:val="22"/>
        </w:rPr>
        <w:t>o</w:t>
      </w:r>
      <w:r w:rsidRPr="00675326">
        <w:rPr>
          <w:szCs w:val="22"/>
        </w:rPr>
        <w:t>vinciale qu'est la langue d'enseignement. Deux critères (la langue m</w:t>
      </w:r>
      <w:r w:rsidRPr="00675326">
        <w:rPr>
          <w:szCs w:val="22"/>
        </w:rPr>
        <w:t>a</w:t>
      </w:r>
      <w:r w:rsidRPr="00675326">
        <w:rPr>
          <w:szCs w:val="22"/>
        </w:rPr>
        <w:t>ternelle des parents et la langue d'instruction des parents à l'école pr</w:t>
      </w:r>
      <w:r w:rsidRPr="00675326">
        <w:rPr>
          <w:szCs w:val="22"/>
        </w:rPr>
        <w:t>i</w:t>
      </w:r>
      <w:r w:rsidRPr="00675326">
        <w:rPr>
          <w:szCs w:val="22"/>
        </w:rPr>
        <w:t>maire au Canada) qui ont été rejetés par le gouvernement du Québec, donnent accès à l'enseignement dans sa langue à la minorité franc</w:t>
      </w:r>
      <w:r w:rsidRPr="00675326">
        <w:rPr>
          <w:szCs w:val="22"/>
        </w:rPr>
        <w:t>o</w:t>
      </w:r>
      <w:r w:rsidRPr="00675326">
        <w:rPr>
          <w:szCs w:val="22"/>
        </w:rPr>
        <w:t>phone ou anglophone (si le nombre le justifie). Le premier critère ne s'appliquera au Québec que si son gouvernement y souscrit express</w:t>
      </w:r>
      <w:r w:rsidRPr="00675326">
        <w:rPr>
          <w:szCs w:val="22"/>
        </w:rPr>
        <w:t>é</w:t>
      </w:r>
      <w:r w:rsidRPr="00675326">
        <w:rPr>
          <w:szCs w:val="22"/>
        </w:rPr>
        <w:t>ment. Les critères sont posés, il ne reste plus qu'à les appliquer. L'o</w:t>
      </w:r>
      <w:r w:rsidRPr="00675326">
        <w:rPr>
          <w:szCs w:val="22"/>
        </w:rPr>
        <w:t>b</w:t>
      </w:r>
      <w:r w:rsidRPr="00675326">
        <w:rPr>
          <w:szCs w:val="22"/>
        </w:rPr>
        <w:t xml:space="preserve">jectif déclaré du gouvernement fédéral était de contrecarrer la </w:t>
      </w:r>
      <w:r w:rsidRPr="00675326">
        <w:rPr>
          <w:i/>
          <w:iCs/>
          <w:szCs w:val="22"/>
        </w:rPr>
        <w:t xml:space="preserve">Charte de la langue française </w:t>
      </w:r>
      <w:r w:rsidRPr="00675326">
        <w:rPr>
          <w:szCs w:val="22"/>
        </w:rPr>
        <w:t>au Québec ; aussi, n'est-ce pas étonnant si ce</w:t>
      </w:r>
      <w:r w:rsidRPr="00675326">
        <w:rPr>
          <w:szCs w:val="22"/>
        </w:rPr>
        <w:t>r</w:t>
      </w:r>
      <w:r w:rsidRPr="00675326">
        <w:rPr>
          <w:szCs w:val="22"/>
        </w:rPr>
        <w:t>taines dispositions aient été déclarées inconstitutionnelles par la suite.</w:t>
      </w:r>
    </w:p>
    <w:p w:rsidR="00AD690E" w:rsidRPr="00675326" w:rsidRDefault="00AD690E" w:rsidP="00AD690E">
      <w:pPr>
        <w:spacing w:before="120" w:after="120"/>
        <w:jc w:val="both"/>
      </w:pPr>
      <w:r w:rsidRPr="00675326">
        <w:rPr>
          <w:szCs w:val="22"/>
        </w:rPr>
        <w:t>En sixième lieu, enfin, la formule d'amendement arrêtée consacre l'égalité juridique des provinces. Elle impose l'accord des deux cha</w:t>
      </w:r>
      <w:r w:rsidRPr="00675326">
        <w:rPr>
          <w:szCs w:val="22"/>
        </w:rPr>
        <w:t>m</w:t>
      </w:r>
      <w:r w:rsidRPr="00675326">
        <w:rPr>
          <w:szCs w:val="22"/>
        </w:rPr>
        <w:t xml:space="preserve">bres du niveau central de l'État et de sept provinces regroupant au moins la moitié de la population. De la sorte, en revenant à certains égards à une arithmétique présente dans la « formule Fulton-Favreau », les gouvernements de l'Ontario et du Québec perdent le veto que leur conférait la </w:t>
      </w:r>
      <w:r w:rsidRPr="00675326">
        <w:rPr>
          <w:i/>
          <w:iCs/>
          <w:szCs w:val="22"/>
        </w:rPr>
        <w:t xml:space="preserve">Charte de Victoria ; </w:t>
      </w:r>
      <w:r w:rsidRPr="00675326">
        <w:rPr>
          <w:szCs w:val="22"/>
        </w:rPr>
        <w:t>au mieux, ils peuvent bloquer un amendement en joignant leurs efforts. Le Québec s'était entendu avec sept autres provinces en 1981 sur un droit de retrait avec compensation, à rencontre de tout amendement qui modifierait les droits et privilèges ou les compétences constitutionnelles des gouve</w:t>
      </w:r>
      <w:r w:rsidRPr="00675326">
        <w:rPr>
          <w:szCs w:val="22"/>
        </w:rPr>
        <w:t>r</w:t>
      </w:r>
      <w:r w:rsidRPr="00675326">
        <w:rPr>
          <w:szCs w:val="22"/>
        </w:rPr>
        <w:t>nements provinciaux. Dans une ultime concession fédérale, cette compensation n'a été prévue que lorsqu'un amendement se rapporte aux domaines culturel</w:t>
      </w:r>
      <w:r>
        <w:rPr>
          <w:szCs w:val="22"/>
        </w:rPr>
        <w:t>s</w:t>
      </w:r>
      <w:r w:rsidRPr="00675326">
        <w:rPr>
          <w:szCs w:val="22"/>
        </w:rPr>
        <w:t xml:space="preserve"> et de l'éducation. D'un autre côté, l'unanimité est requise lorsqu'il s'agit de certaines institutions de la fédération (composition de la Cour suprême, formule d'amendement, monarchie, usage du français et de l'anglais).</w:t>
      </w:r>
    </w:p>
    <w:p w:rsidR="00AD690E" w:rsidRPr="00675326" w:rsidRDefault="00AD690E" w:rsidP="00AD690E">
      <w:pPr>
        <w:pStyle w:val="c"/>
      </w:pPr>
      <w:r>
        <w:t>*  *  *</w:t>
      </w:r>
    </w:p>
    <w:p w:rsidR="00AD690E" w:rsidRPr="00675326" w:rsidRDefault="00AD690E" w:rsidP="00AD690E">
      <w:pPr>
        <w:spacing w:before="120" w:after="120"/>
        <w:jc w:val="both"/>
      </w:pPr>
      <w:r w:rsidRPr="00675326">
        <w:rPr>
          <w:szCs w:val="22"/>
        </w:rPr>
        <w:t>Les débats sur le contentieux constitutionnel expriment des intérêts mutidimensionnels. Depuis deux décennies, ils témoignent notamment de la montée de la « question régionale » qui, jouant dans des dire</w:t>
      </w:r>
      <w:r w:rsidRPr="00675326">
        <w:rPr>
          <w:szCs w:val="22"/>
        </w:rPr>
        <w:t>c</w:t>
      </w:r>
      <w:r w:rsidRPr="00675326">
        <w:rPr>
          <w:szCs w:val="22"/>
        </w:rPr>
        <w:t>tions opposées, mine les possibilités de monter un front commun pr</w:t>
      </w:r>
      <w:r w:rsidRPr="00675326">
        <w:rPr>
          <w:szCs w:val="22"/>
        </w:rPr>
        <w:t>o</w:t>
      </w:r>
      <w:r w:rsidRPr="00675326">
        <w:rPr>
          <w:szCs w:val="22"/>
        </w:rPr>
        <w:t>vincial. Il n'en reste pas moins que l'allure et la thématique des discu</w:t>
      </w:r>
      <w:r w:rsidRPr="00675326">
        <w:rPr>
          <w:szCs w:val="22"/>
        </w:rPr>
        <w:t>s</w:t>
      </w:r>
      <w:r w:rsidRPr="00675326">
        <w:rPr>
          <w:szCs w:val="22"/>
        </w:rPr>
        <w:t>sions constitutionnelles ont été profondément marquées par la « question nationale ». Force est d'admettre que le Québec est à l'or</w:t>
      </w:r>
      <w:r w:rsidRPr="00675326">
        <w:rPr>
          <w:szCs w:val="22"/>
        </w:rPr>
        <w:t>i</w:t>
      </w:r>
      <w:r w:rsidRPr="00675326">
        <w:rPr>
          <w:szCs w:val="22"/>
        </w:rPr>
        <w:t>gine du processus de révision qui s'enclenche, et qu'il en</w:t>
      </w:r>
      <w:r>
        <w:rPr>
          <w:szCs w:val="22"/>
        </w:rPr>
        <w:t xml:space="preserve"> </w:t>
      </w:r>
      <w:r>
        <w:t>[</w:t>
      </w:r>
      <w:r w:rsidRPr="00675326">
        <w:rPr>
          <w:szCs w:val="22"/>
        </w:rPr>
        <w:t>106</w:t>
      </w:r>
      <w:r>
        <w:rPr>
          <w:szCs w:val="22"/>
        </w:rPr>
        <w:t xml:space="preserve">] </w:t>
      </w:r>
      <w:r w:rsidRPr="00675326">
        <w:rPr>
          <w:szCs w:val="22"/>
        </w:rPr>
        <w:t>cond</w:t>
      </w:r>
      <w:r w:rsidRPr="00675326">
        <w:rPr>
          <w:szCs w:val="22"/>
        </w:rPr>
        <w:t>i</w:t>
      </w:r>
      <w:r w:rsidRPr="00675326">
        <w:rPr>
          <w:szCs w:val="22"/>
        </w:rPr>
        <w:t>tionne largement les termes, ne serait-ce qu'en obligeant les ténors fédéraux à répliquer par une rhétorique conséquente. Au-delà de la « question régionale », le Canada anglais se rallie sans peine au go</w:t>
      </w:r>
      <w:r w:rsidRPr="00675326">
        <w:rPr>
          <w:szCs w:val="22"/>
        </w:rPr>
        <w:t>u</w:t>
      </w:r>
      <w:r w:rsidRPr="00675326">
        <w:rPr>
          <w:szCs w:val="22"/>
        </w:rPr>
        <w:t>vernement libéral fédéral qui rejette l'idée de la reconnaissance de la communauté nationale québécoise et de quelque asymétrie constit</w:t>
      </w:r>
      <w:r w:rsidRPr="00675326">
        <w:rPr>
          <w:szCs w:val="22"/>
        </w:rPr>
        <w:t>u</w:t>
      </w:r>
      <w:r w:rsidRPr="00675326">
        <w:rPr>
          <w:szCs w:val="22"/>
        </w:rPr>
        <w:t>tionnelle qui en découlerait. À l'opposé, l'analyse de la dualité nati</w:t>
      </w:r>
      <w:r w:rsidRPr="00675326">
        <w:rPr>
          <w:szCs w:val="22"/>
        </w:rPr>
        <w:t>o</w:t>
      </w:r>
      <w:r w:rsidRPr="00675326">
        <w:rPr>
          <w:szCs w:val="22"/>
        </w:rPr>
        <w:t>nale, dans ses racines sociologiques et historiques, amène le gouve</w:t>
      </w:r>
      <w:r w:rsidRPr="00675326">
        <w:rPr>
          <w:szCs w:val="22"/>
        </w:rPr>
        <w:t>r</w:t>
      </w:r>
      <w:r w:rsidRPr="00675326">
        <w:rPr>
          <w:szCs w:val="22"/>
        </w:rPr>
        <w:t>nement du Québec à se prétendre le seul « lieu » incarnant et repr</w:t>
      </w:r>
      <w:r w:rsidRPr="00675326">
        <w:rPr>
          <w:szCs w:val="22"/>
        </w:rPr>
        <w:t>é</w:t>
      </w:r>
      <w:r w:rsidRPr="00675326">
        <w:rPr>
          <w:szCs w:val="22"/>
        </w:rPr>
        <w:t>sentant les intérêts de la nation canadienne-française. En ce sens, pour le Québec, une révision constitutionnelle s'impose afin de rendre compte de cette réalité, en sanctionnant le respect de la souveraineté provinciale et l'attribution de nouvelles compétences.</w:t>
      </w:r>
    </w:p>
    <w:p w:rsidR="00AD690E" w:rsidRPr="00675326" w:rsidRDefault="00AD690E" w:rsidP="00AD690E">
      <w:pPr>
        <w:spacing w:before="120" w:after="120"/>
        <w:jc w:val="both"/>
      </w:pPr>
      <w:r w:rsidRPr="00675326">
        <w:rPr>
          <w:szCs w:val="22"/>
        </w:rPr>
        <w:t>Progressivement, il apparaît que l'identité nationale des Québécois ne saurait se perpétuer par sa seule spécificité culturelle et linguist</w:t>
      </w:r>
      <w:r w:rsidRPr="00675326">
        <w:rPr>
          <w:szCs w:val="22"/>
        </w:rPr>
        <w:t>i</w:t>
      </w:r>
      <w:r w:rsidRPr="00675326">
        <w:rPr>
          <w:szCs w:val="22"/>
        </w:rPr>
        <w:t>que. Encore faut-il que ces derniers investissent le pouvoir économ</w:t>
      </w:r>
      <w:r w:rsidRPr="00675326">
        <w:rPr>
          <w:szCs w:val="22"/>
        </w:rPr>
        <w:t>i</w:t>
      </w:r>
      <w:r w:rsidRPr="00675326">
        <w:rPr>
          <w:szCs w:val="22"/>
        </w:rPr>
        <w:t>que. En ce sens, l'</w:t>
      </w:r>
      <w:r>
        <w:rPr>
          <w:szCs w:val="22"/>
        </w:rPr>
        <w:t>État</w:t>
      </w:r>
      <w:r w:rsidRPr="00675326">
        <w:rPr>
          <w:szCs w:val="22"/>
        </w:rPr>
        <w:t xml:space="preserve"> québécois, disposant d'importants leviers d'i</w:t>
      </w:r>
      <w:r w:rsidRPr="00675326">
        <w:rPr>
          <w:szCs w:val="22"/>
        </w:rPr>
        <w:t>n</w:t>
      </w:r>
      <w:r w:rsidRPr="00675326">
        <w:rPr>
          <w:szCs w:val="22"/>
        </w:rPr>
        <w:t>tervention pour le développement social et économique, constitue un acteur majeur pour la reproduction de la communauté nationale. Or, l'expérience du fédéralisme canadien, qui joue dans le sens de la s</w:t>
      </w:r>
      <w:r w:rsidRPr="00675326">
        <w:rPr>
          <w:szCs w:val="22"/>
        </w:rPr>
        <w:t>u</w:t>
      </w:r>
      <w:r w:rsidRPr="00675326">
        <w:rPr>
          <w:szCs w:val="22"/>
        </w:rPr>
        <w:t>bordination des Québécois et de l'extension des compétences fédér</w:t>
      </w:r>
      <w:r w:rsidRPr="00675326">
        <w:rPr>
          <w:szCs w:val="22"/>
        </w:rPr>
        <w:t>a</w:t>
      </w:r>
      <w:r w:rsidRPr="00675326">
        <w:rPr>
          <w:szCs w:val="22"/>
        </w:rPr>
        <w:t>les, s'oppose à l'érection d'un gouvernement provincial porteur des intérêts d'une minorité nationale en mal d'affirmation.</w:t>
      </w:r>
    </w:p>
    <w:p w:rsidR="00AD690E" w:rsidRPr="00675326" w:rsidRDefault="00AD690E" w:rsidP="00AD690E">
      <w:pPr>
        <w:spacing w:before="120" w:after="120"/>
        <w:jc w:val="both"/>
      </w:pPr>
      <w:r w:rsidRPr="00675326">
        <w:rPr>
          <w:szCs w:val="22"/>
        </w:rPr>
        <w:t>Au cours des années 1960, le gouvernement libéral à Ottawa ne se résout que péniblement à admettre l'existence d'une crise politique et constitutionnelle. Très tôt — et Pierre Trudeau en est le maître à pe</w:t>
      </w:r>
      <w:r w:rsidRPr="00675326">
        <w:rPr>
          <w:szCs w:val="22"/>
        </w:rPr>
        <w:t>n</w:t>
      </w:r>
      <w:r w:rsidRPr="00675326">
        <w:rPr>
          <w:szCs w:val="22"/>
        </w:rPr>
        <w:t>ser —, on identifie la source de la faible intégration des Canadiens français dans les institutions canadiennes et leur infériorité économ</w:t>
      </w:r>
      <w:r w:rsidRPr="00675326">
        <w:rPr>
          <w:szCs w:val="22"/>
        </w:rPr>
        <w:t>i</w:t>
      </w:r>
      <w:r w:rsidRPr="00675326">
        <w:rPr>
          <w:szCs w:val="22"/>
        </w:rPr>
        <w:t>que, par la non-reconnaissance de leurs droits linguistiques. La mes</w:t>
      </w:r>
      <w:r w:rsidRPr="00675326">
        <w:rPr>
          <w:szCs w:val="22"/>
        </w:rPr>
        <w:t>u</w:t>
      </w:r>
      <w:r w:rsidRPr="00675326">
        <w:rPr>
          <w:szCs w:val="22"/>
        </w:rPr>
        <w:t>re du problème québécois se prend essentiellement en fonction du cr</w:t>
      </w:r>
      <w:r w:rsidRPr="00675326">
        <w:rPr>
          <w:szCs w:val="22"/>
        </w:rPr>
        <w:t>i</w:t>
      </w:r>
      <w:r w:rsidRPr="00675326">
        <w:rPr>
          <w:szCs w:val="22"/>
        </w:rPr>
        <w:t xml:space="preserve">tère linguistique, si bien qu'il est mis constamment en porte-à-faux par la référence-alibi à l'ensemble des francophones </w:t>
      </w:r>
      <w:r w:rsidRPr="00675326">
        <w:rPr>
          <w:i/>
          <w:iCs/>
          <w:szCs w:val="22"/>
        </w:rPr>
        <w:t xml:space="preserve">from coast to coast. </w:t>
      </w:r>
      <w:r w:rsidRPr="00675326">
        <w:rPr>
          <w:szCs w:val="22"/>
        </w:rPr>
        <w:t>La révision constitutionnelle n'est pas perçue, sauf exception, comme une réponse adéquate aux représentations québécoises.</w:t>
      </w:r>
    </w:p>
    <w:p w:rsidR="00AD690E" w:rsidRPr="00675326" w:rsidRDefault="00AD690E" w:rsidP="00AD690E">
      <w:pPr>
        <w:spacing w:before="120" w:after="120"/>
        <w:jc w:val="both"/>
      </w:pPr>
      <w:r w:rsidRPr="00675326">
        <w:rPr>
          <w:szCs w:val="22"/>
        </w:rPr>
        <w:t>Face aux velléités autonomistes du gouvernement du Québec, le gouvernement fédéral consent à l'exercice constitutionnel mais en s'assurant d'en garder l'initiative et d'en définir les termes. La dialect</w:t>
      </w:r>
      <w:r w:rsidRPr="00675326">
        <w:rPr>
          <w:szCs w:val="22"/>
        </w:rPr>
        <w:t>i</w:t>
      </w:r>
      <w:r w:rsidRPr="00675326">
        <w:rPr>
          <w:szCs w:val="22"/>
        </w:rPr>
        <w:t>que droits individuels/droits collectifs est balayée du revers de la main au profit exclusif du premier terme. C'est ainsi que la Charte des droits (individuels) devient un enjeu majeur des négociations et constitue la pièce maîtresse de la réponse des libéraux fédéraux à la demande qu</w:t>
      </w:r>
      <w:r w:rsidRPr="00675326">
        <w:rPr>
          <w:szCs w:val="22"/>
        </w:rPr>
        <w:t>é</w:t>
      </w:r>
      <w:r w:rsidRPr="00675326">
        <w:rPr>
          <w:szCs w:val="22"/>
        </w:rPr>
        <w:t>bécoise, sans cesse renouvelée, d'un nouveau partage des compétences constitutionnelles. N'y voyant, au mieux, qu'une occasion de faire confirmer l'extension de ses champs d'intervention et jouant avec h</w:t>
      </w:r>
      <w:r w:rsidRPr="00675326">
        <w:rPr>
          <w:szCs w:val="22"/>
        </w:rPr>
        <w:t>a</w:t>
      </w:r>
      <w:r w:rsidRPr="00675326">
        <w:rPr>
          <w:szCs w:val="22"/>
        </w:rPr>
        <w:t>bileté sur les manifestations diverses de la « question régionale », le gouvernement fédéral fait bon ménage avec le cafouillage des discu</w:t>
      </w:r>
      <w:r w:rsidRPr="00675326">
        <w:rPr>
          <w:szCs w:val="22"/>
        </w:rPr>
        <w:t>s</w:t>
      </w:r>
      <w:r w:rsidRPr="00675326">
        <w:rPr>
          <w:szCs w:val="22"/>
        </w:rPr>
        <w:t>sions touchant ce domaine.</w:t>
      </w:r>
    </w:p>
    <w:p w:rsidR="00AD690E" w:rsidRPr="00675326" w:rsidRDefault="00AD690E" w:rsidP="00AD690E">
      <w:pPr>
        <w:spacing w:before="120" w:after="120"/>
        <w:jc w:val="both"/>
      </w:pPr>
      <w:r w:rsidRPr="00675326">
        <w:rPr>
          <w:szCs w:val="22"/>
        </w:rPr>
        <w:t>Avec Trudeau, le fédéral tente constamment de réduire la portée sociologique des droits linguistiques en ne les considérant que dans leur</w:t>
      </w:r>
      <w:r>
        <w:rPr>
          <w:szCs w:val="22"/>
        </w:rPr>
        <w:t xml:space="preserve"> </w:t>
      </w:r>
      <w:r>
        <w:t xml:space="preserve">[107] </w:t>
      </w:r>
      <w:r w:rsidRPr="00675326">
        <w:rPr>
          <w:szCs w:val="22"/>
        </w:rPr>
        <w:t>dimension individuelle. Pareillement, la notion de mult</w:t>
      </w:r>
      <w:r w:rsidRPr="00675326">
        <w:rPr>
          <w:szCs w:val="22"/>
        </w:rPr>
        <w:t>i</w:t>
      </w:r>
      <w:r w:rsidRPr="00675326">
        <w:rPr>
          <w:szCs w:val="22"/>
        </w:rPr>
        <w:t>culturalisme se substitue à celle de biculturalisme et s'ajoute à l'ars</w:t>
      </w:r>
      <w:r w:rsidRPr="00675326">
        <w:rPr>
          <w:szCs w:val="22"/>
        </w:rPr>
        <w:t>e</w:t>
      </w:r>
      <w:r w:rsidRPr="00675326">
        <w:rPr>
          <w:szCs w:val="22"/>
        </w:rPr>
        <w:t xml:space="preserve">nal pour disqualifier l'idée du recoupement entre </w:t>
      </w:r>
      <w:r>
        <w:rPr>
          <w:szCs w:val="22"/>
        </w:rPr>
        <w:t>État</w:t>
      </w:r>
      <w:r w:rsidRPr="00675326">
        <w:rPr>
          <w:szCs w:val="22"/>
        </w:rPr>
        <w:t xml:space="preserve"> québécois et communa</w:t>
      </w:r>
      <w:r w:rsidRPr="00675326">
        <w:rPr>
          <w:szCs w:val="22"/>
        </w:rPr>
        <w:t>u</w:t>
      </w:r>
      <w:r w:rsidRPr="00675326">
        <w:rPr>
          <w:szCs w:val="22"/>
        </w:rPr>
        <w:t>té nationale. Pour Trudeau, la société politique canadienne englobe et dépasse les particularismes culturels et linguistiques et ne peut trouver d'expression valable que dans un gouvernement central disposant d'importants pouvoirs. Le bilinguisme institutionnel ne se justifie donc qu'en fonction de la coexistence de deux collectivités, comprises sur une base essentiellement quantitative. Il s'agit de l'ant</w:t>
      </w:r>
      <w:r w:rsidRPr="00675326">
        <w:rPr>
          <w:szCs w:val="22"/>
        </w:rPr>
        <w:t>i</w:t>
      </w:r>
      <w:r w:rsidRPr="00675326">
        <w:rPr>
          <w:szCs w:val="22"/>
        </w:rPr>
        <w:t>thèse de la d</w:t>
      </w:r>
      <w:r w:rsidRPr="00675326">
        <w:rPr>
          <w:szCs w:val="22"/>
        </w:rPr>
        <w:t>é</w:t>
      </w:r>
      <w:r w:rsidRPr="00675326">
        <w:rPr>
          <w:szCs w:val="22"/>
        </w:rPr>
        <w:t>marche proposée par la Commission Laurendeau-Dunton, qui reco</w:t>
      </w:r>
      <w:r w:rsidRPr="00675326">
        <w:rPr>
          <w:szCs w:val="22"/>
        </w:rPr>
        <w:t>n</w:t>
      </w:r>
      <w:r w:rsidRPr="00675326">
        <w:rPr>
          <w:szCs w:val="22"/>
        </w:rPr>
        <w:t>naissait l'existence d'une double majorité.</w:t>
      </w:r>
    </w:p>
    <w:p w:rsidR="00AD690E" w:rsidRPr="00675326" w:rsidRDefault="00AD690E" w:rsidP="00AD690E">
      <w:pPr>
        <w:spacing w:before="120" w:after="120"/>
        <w:jc w:val="both"/>
      </w:pPr>
      <w:r w:rsidRPr="00675326">
        <w:rPr>
          <w:szCs w:val="22"/>
        </w:rPr>
        <w:t>Au cours de ces années, l'une des forces du gouvernement central tient à la constance de sa position constitutionnelle. La référence ob</w:t>
      </w:r>
      <w:r w:rsidRPr="00675326">
        <w:rPr>
          <w:szCs w:val="22"/>
        </w:rPr>
        <w:t>s</w:t>
      </w:r>
      <w:r w:rsidRPr="00675326">
        <w:rPr>
          <w:szCs w:val="22"/>
        </w:rPr>
        <w:t>tinée à une logique simple, reposant sur des postulats bien arrêtés, et sublimée sur l'autel des droits individuels — dont Pierre Elliott Tr</w:t>
      </w:r>
      <w:r w:rsidRPr="00675326">
        <w:rPr>
          <w:szCs w:val="22"/>
        </w:rPr>
        <w:t>u</w:t>
      </w:r>
      <w:r w:rsidRPr="00675326">
        <w:rPr>
          <w:szCs w:val="22"/>
        </w:rPr>
        <w:t>deau donnera une version achevée — met sur la défensive les opp</w:t>
      </w:r>
      <w:r w:rsidRPr="00675326">
        <w:rPr>
          <w:szCs w:val="22"/>
        </w:rPr>
        <w:t>o</w:t>
      </w:r>
      <w:r w:rsidRPr="00675326">
        <w:rPr>
          <w:szCs w:val="22"/>
        </w:rPr>
        <w:t>sants virtuels. D'un autre côté, s'ils témoignent d'aspirations comm</w:t>
      </w:r>
      <w:r w:rsidRPr="00675326">
        <w:rPr>
          <w:szCs w:val="22"/>
        </w:rPr>
        <w:t>u</w:t>
      </w:r>
      <w:r w:rsidRPr="00675326">
        <w:rPr>
          <w:szCs w:val="22"/>
        </w:rPr>
        <w:t>nes, les gouvernements du Québec présentent toutefois une définition variable des paramètres de la question nationale et de leur traduction sur le plan constitutionnel. De l'« égalité ou indépendance », jusqu'à une « souveraineté-association » défaite au référendum, en passant par un « fédéralisme rentable », la fluctuation des énoncés et la position de faiblesse, qui consiste, à titre de minoritaire, à demander une r</w:t>
      </w:r>
      <w:r w:rsidRPr="00675326">
        <w:rPr>
          <w:szCs w:val="22"/>
        </w:rPr>
        <w:t>e</w:t>
      </w:r>
      <w:r w:rsidRPr="00675326">
        <w:rPr>
          <w:szCs w:val="22"/>
        </w:rPr>
        <w:t>connaissance collective, tout en se refusant de (ou en ne pouvant) l'imposer par une affirmation politique du droit à l'autodétermination, hypothèquent la consistance et la détermination du projet autonomiste.</w:t>
      </w:r>
    </w:p>
    <w:p w:rsidR="00AD690E" w:rsidRPr="00DE267B" w:rsidRDefault="00AD690E" w:rsidP="00AD690E">
      <w:pPr>
        <w:spacing w:before="120" w:after="120"/>
        <w:jc w:val="both"/>
        <w:rPr>
          <w:szCs w:val="22"/>
        </w:rPr>
      </w:pPr>
      <w:r w:rsidRPr="00675326">
        <w:rPr>
          <w:szCs w:val="22"/>
        </w:rPr>
        <w:t xml:space="preserve">Finalement, la révision et le rapatriement de la Constitution ont été l'occasion d'affirmer la prépondérance du gouvernement fédéral sur la gestion sociale et économique du Canada. S'inspirant de la logique du l'AANB, la </w:t>
      </w:r>
      <w:r w:rsidRPr="00675326">
        <w:rPr>
          <w:i/>
          <w:iCs/>
          <w:szCs w:val="22"/>
        </w:rPr>
        <w:t xml:space="preserve">Loi constitutionnelle de 1982 </w:t>
      </w:r>
      <w:r w:rsidRPr="00675326">
        <w:rPr>
          <w:szCs w:val="22"/>
        </w:rPr>
        <w:t>confirme la place dominante d'Ottawa comme lieu d'exercice du pouvoir et s'ouvre sur un fédér</w:t>
      </w:r>
      <w:r w:rsidRPr="00675326">
        <w:rPr>
          <w:szCs w:val="22"/>
        </w:rPr>
        <w:t>a</w:t>
      </w:r>
      <w:r w:rsidRPr="00675326">
        <w:rPr>
          <w:szCs w:val="22"/>
        </w:rPr>
        <w:t>lisme plus « fonctionnel », si ce n'est dans la lettre, du moins dans l'esprit. L'ouverture du dossier constitutionnel aura donc donné raison à Pierre Elliott Trudeau qui, au milieu des années 1960, mettait en garde le Québec contre le fait qu'une telle démarche ne pourrait conduire, conformément à la tendance séculaire par ailleurs dénoncée, qu'à une plus grande centralisation des pouvoirs au Canada. Au terme de plus d'une décennie de discussions, le pacte scellé regroupe les gouvernements du Canada anglais, qui restent indifférents à l'oppos</w:t>
      </w:r>
      <w:r w:rsidRPr="00675326">
        <w:rPr>
          <w:szCs w:val="22"/>
        </w:rPr>
        <w:t>i</w:t>
      </w:r>
      <w:r w:rsidRPr="00675326">
        <w:rPr>
          <w:szCs w:val="22"/>
        </w:rPr>
        <w:t>tion caractérisée du Québec.</w:t>
      </w:r>
    </w:p>
    <w:p w:rsidR="00AD690E" w:rsidRPr="00DE267B" w:rsidRDefault="00AD690E" w:rsidP="00AD690E">
      <w:pPr>
        <w:rPr>
          <w:szCs w:val="22"/>
        </w:rPr>
      </w:pPr>
    </w:p>
    <w:p w:rsidR="00AD690E" w:rsidRDefault="00AD690E" w:rsidP="00AD690E">
      <w:pPr>
        <w:pStyle w:val="p"/>
      </w:pPr>
      <w:r w:rsidRPr="00DE267B">
        <w:t>[108]</w:t>
      </w:r>
    </w:p>
    <w:p w:rsidR="00AD690E" w:rsidRPr="0077615B" w:rsidRDefault="00AD690E" w:rsidP="00AD690E">
      <w:pPr>
        <w:spacing w:before="120" w:after="120"/>
        <w:ind w:firstLine="0"/>
        <w:jc w:val="both"/>
      </w:pPr>
      <w:r>
        <w:br w:type="page"/>
      </w:r>
      <w:r w:rsidRPr="0077615B">
        <w:t>[109]</w:t>
      </w:r>
    </w:p>
    <w:p w:rsidR="00AD690E"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9" w:name="ere_Liberaux_pt1_texte_05"/>
      <w:r w:rsidRPr="003634E0">
        <w:rPr>
          <w:b/>
          <w:color w:val="000080"/>
          <w:sz w:val="24"/>
        </w:rPr>
        <w:t>PREMIÈRE PARTIE</w:t>
      </w:r>
      <w:r w:rsidRPr="003634E0">
        <w:rPr>
          <w:b/>
          <w:color w:val="000080"/>
          <w:sz w:val="24"/>
        </w:rPr>
        <w:br/>
        <w:t>QUESTIONS POLITIQUES</w:t>
      </w:r>
    </w:p>
    <w:p w:rsidR="00AD690E" w:rsidRPr="00E07116" w:rsidRDefault="00AD690E" w:rsidP="00AD690E">
      <w:pPr>
        <w:jc w:val="both"/>
        <w:rPr>
          <w:szCs w:val="36"/>
        </w:rPr>
      </w:pPr>
    </w:p>
    <w:p w:rsidR="00AD690E" w:rsidRPr="00E07116" w:rsidRDefault="00AD690E" w:rsidP="00AD690E">
      <w:pPr>
        <w:pStyle w:val="planchest"/>
      </w:pPr>
      <w:r>
        <w:t>“La Charte canadienne</w:t>
      </w:r>
      <w:r>
        <w:br/>
        <w:t>des droits et libertés de 1982 :</w:t>
      </w:r>
      <w:r>
        <w:br/>
        <w:t>un phare aveuglant contre</w:t>
      </w:r>
      <w:r>
        <w:br/>
        <w:t>la grande noirceur.” </w:t>
      </w:r>
      <w:r>
        <w:rPr>
          <w:rStyle w:val="Appelnotedebasdep"/>
        </w:rPr>
        <w:footnoteReference w:id="185"/>
      </w:r>
    </w:p>
    <w:bookmarkEnd w:id="9"/>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Pierre MACKAY</w:t>
      </w:r>
    </w:p>
    <w:p w:rsidR="00AD690E" w:rsidRPr="00957619" w:rsidRDefault="00AD690E" w:rsidP="00AD690E">
      <w:pPr>
        <w:spacing w:before="120"/>
        <w:ind w:firstLine="0"/>
        <w:jc w:val="center"/>
        <w:rPr>
          <w:sz w:val="24"/>
        </w:rPr>
      </w:pPr>
      <w:r w:rsidRPr="00957619">
        <w:rPr>
          <w:sz w:val="24"/>
          <w:szCs w:val="22"/>
        </w:rPr>
        <w:t>D</w:t>
      </w:r>
      <w:r>
        <w:rPr>
          <w:sz w:val="24"/>
          <w:szCs w:val="22"/>
        </w:rPr>
        <w:t>épartement de sciences juridiques</w:t>
      </w:r>
      <w:r w:rsidRPr="00957619">
        <w:rPr>
          <w:sz w:val="24"/>
          <w:szCs w:val="22"/>
        </w:rPr>
        <w:br/>
        <w:t>Un</w:t>
      </w:r>
      <w:r w:rsidRPr="00957619">
        <w:rPr>
          <w:sz w:val="24"/>
          <w:szCs w:val="22"/>
        </w:rPr>
        <w:t>i</w:t>
      </w:r>
      <w:r w:rsidRPr="00957619">
        <w:rPr>
          <w:sz w:val="24"/>
          <w:szCs w:val="22"/>
        </w:rPr>
        <w:t>versité du Québec à Montréal</w:t>
      </w:r>
    </w:p>
    <w:p w:rsidR="00AD690E" w:rsidRPr="00E07116" w:rsidRDefault="00AD690E" w:rsidP="00AD690E">
      <w:pPr>
        <w:jc w:val="both"/>
      </w:pPr>
    </w:p>
    <w:p w:rsidR="00AD690E" w:rsidRPr="0077615B" w:rsidRDefault="00AD690E" w:rsidP="00AD690E">
      <w:pPr>
        <w:spacing w:before="120" w:after="120"/>
        <w:jc w:val="both"/>
      </w:pPr>
    </w:p>
    <w:p w:rsidR="00AD690E" w:rsidRPr="0077615B" w:rsidRDefault="00AD690E" w:rsidP="00AD690E">
      <w:pPr>
        <w:spacing w:before="120" w:after="120"/>
        <w:ind w:left="2160" w:firstLine="0"/>
        <w:jc w:val="right"/>
      </w:pPr>
      <w:r w:rsidRPr="00B77980">
        <w:rPr>
          <w:i/>
          <w:sz w:val="24"/>
        </w:rPr>
        <w:t>Le droit en question est bien celui qui nous régit mais tout aussi bien celui qui peut nous écha</w:t>
      </w:r>
      <w:r w:rsidRPr="00B77980">
        <w:rPr>
          <w:i/>
          <w:sz w:val="24"/>
        </w:rPr>
        <w:t>p</w:t>
      </w:r>
      <w:r w:rsidRPr="00B77980">
        <w:rPr>
          <w:i/>
          <w:sz w:val="24"/>
        </w:rPr>
        <w:t>per</w:t>
      </w:r>
      <w:r>
        <w:t> </w:t>
      </w:r>
      <w:r>
        <w:rPr>
          <w:rStyle w:val="Appelnotedebasdep"/>
        </w:rPr>
        <w:footnoteReference w:id="186"/>
      </w:r>
      <w:r w:rsidRPr="0077615B">
        <w:t>.</w:t>
      </w:r>
    </w:p>
    <w:p w:rsidR="00AD690E" w:rsidRPr="0077615B" w:rsidRDefault="00AD690E" w:rsidP="00AD690E">
      <w:pPr>
        <w:spacing w:before="120" w:after="120"/>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77615B" w:rsidRDefault="00AD690E" w:rsidP="00AD690E">
      <w:pPr>
        <w:spacing w:before="120" w:after="120"/>
        <w:ind w:firstLine="142"/>
        <w:jc w:val="both"/>
      </w:pPr>
      <w:r w:rsidRPr="0077615B">
        <w:t>L'adoption et l'entrée en vigueur de la Charte can</w:t>
      </w:r>
      <w:r w:rsidRPr="0077615B">
        <w:t>a</w:t>
      </w:r>
      <w:r w:rsidRPr="0077615B">
        <w:t>dienne des droits et libertés, invoquée à la Loi constit</w:t>
      </w:r>
      <w:r w:rsidRPr="0077615B">
        <w:t>u</w:t>
      </w:r>
      <w:r w:rsidRPr="0077615B">
        <w:t>tionnelle de 1982, ont marqué avec beaucoup d'éclat l'aboutissement de la politique de nationali</w:t>
      </w:r>
      <w:r w:rsidRPr="0077615B">
        <w:t>s</w:t>
      </w:r>
      <w:r w:rsidRPr="0077615B">
        <w:t>me canadien du Parti libéral du Canada et de son chef Pierre Elliott Tr</w:t>
      </w:r>
      <w:r w:rsidRPr="0077615B">
        <w:t>u</w:t>
      </w:r>
      <w:r w:rsidRPr="0077615B">
        <w:t>deau.</w:t>
      </w:r>
    </w:p>
    <w:p w:rsidR="00AD690E" w:rsidRPr="0077615B" w:rsidRDefault="00AD690E" w:rsidP="00AD690E">
      <w:pPr>
        <w:spacing w:before="120" w:after="120"/>
        <w:jc w:val="both"/>
      </w:pPr>
      <w:r w:rsidRPr="0077615B">
        <w:t>La Loi constitutionnelle de 1982 se démarque en effet très nett</w:t>
      </w:r>
      <w:r w:rsidRPr="0077615B">
        <w:t>e</w:t>
      </w:r>
      <w:r w:rsidRPr="0077615B">
        <w:t>ment de la tradition constitutionnelle canadienne et britannique en prétendant doter le Canada d'une loi suprême made in Can</w:t>
      </w:r>
      <w:r w:rsidRPr="0077615B">
        <w:t>a</w:t>
      </w:r>
      <w:r w:rsidRPr="0077615B">
        <w:t>da, qui s'impose au-dessus du Parlement et des législatures</w:t>
      </w:r>
      <w:r>
        <w:t> </w:t>
      </w:r>
      <w:r w:rsidRPr="005B6CBD">
        <w:rPr>
          <w:rStyle w:val="Appelnotedebasdep"/>
        </w:rPr>
        <w:footnoteReference w:id="187"/>
      </w:r>
      <w:r w:rsidRPr="0077615B">
        <w:t xml:space="preserve"> provi</w:t>
      </w:r>
      <w:r w:rsidRPr="0077615B">
        <w:t>n</w:t>
      </w:r>
      <w:r w:rsidRPr="0077615B">
        <w:t>ciales, et au-dessus du partage traditionnel des compétences législat</w:t>
      </w:r>
      <w:r w:rsidRPr="0077615B">
        <w:t>i</w:t>
      </w:r>
      <w:r w:rsidRPr="0077615B">
        <w:t>ves.</w:t>
      </w:r>
    </w:p>
    <w:p w:rsidR="00AD690E" w:rsidRPr="0077615B" w:rsidRDefault="00AD690E" w:rsidP="00AD690E">
      <w:pPr>
        <w:spacing w:before="120" w:after="120"/>
        <w:jc w:val="both"/>
      </w:pPr>
      <w:r w:rsidRPr="0077615B">
        <w:t xml:space="preserve">La </w:t>
      </w:r>
      <w:r w:rsidRPr="00B605BA">
        <w:rPr>
          <w:i/>
        </w:rPr>
        <w:t xml:space="preserve">Charte canadienne des droits et libertés </w:t>
      </w:r>
      <w:r w:rsidRPr="0077615B">
        <w:t>s'inscrit dans une r</w:t>
      </w:r>
      <w:r w:rsidRPr="0077615B">
        <w:t>é</w:t>
      </w:r>
      <w:r w:rsidRPr="0077615B">
        <w:t>forme plus globale de la Constitution, dont les autres aspects m</w:t>
      </w:r>
      <w:r w:rsidRPr="0077615B">
        <w:t>a</w:t>
      </w:r>
      <w:r w:rsidRPr="0077615B">
        <w:t>jeurs sont le rapatriement</w:t>
      </w:r>
      <w:r>
        <w:t xml:space="preserve"> </w:t>
      </w:r>
      <w:r w:rsidRPr="0077615B">
        <w:rPr>
          <w:szCs w:val="18"/>
        </w:rPr>
        <w:t>[110]</w:t>
      </w:r>
      <w:r>
        <w:rPr>
          <w:szCs w:val="18"/>
        </w:rPr>
        <w:t xml:space="preserve"> </w:t>
      </w:r>
      <w:r w:rsidRPr="0077615B">
        <w:rPr>
          <w:szCs w:val="22"/>
        </w:rPr>
        <w:t>de la formule d'amendement</w:t>
      </w:r>
      <w:r>
        <w:rPr>
          <w:szCs w:val="22"/>
        </w:rPr>
        <w:t> </w:t>
      </w:r>
      <w:r w:rsidRPr="005B6CBD">
        <w:rPr>
          <w:rStyle w:val="Appelnotedebasdep"/>
        </w:rPr>
        <w:footnoteReference w:id="188"/>
      </w:r>
      <w:r w:rsidRPr="0077615B">
        <w:rPr>
          <w:szCs w:val="22"/>
        </w:rPr>
        <w:t>, la reco</w:t>
      </w:r>
      <w:r w:rsidRPr="0077615B">
        <w:rPr>
          <w:szCs w:val="22"/>
        </w:rPr>
        <w:t>n</w:t>
      </w:r>
      <w:r w:rsidRPr="0077615B">
        <w:rPr>
          <w:szCs w:val="22"/>
        </w:rPr>
        <w:t>naissance des droits ance</w:t>
      </w:r>
      <w:r w:rsidRPr="0077615B">
        <w:rPr>
          <w:szCs w:val="22"/>
        </w:rPr>
        <w:t>s</w:t>
      </w:r>
      <w:r w:rsidRPr="0077615B">
        <w:rPr>
          <w:szCs w:val="22"/>
        </w:rPr>
        <w:t>traux des peuples autochtones</w:t>
      </w:r>
      <w:r>
        <w:rPr>
          <w:szCs w:val="22"/>
        </w:rPr>
        <w:t> </w:t>
      </w:r>
      <w:r w:rsidRPr="005B6CBD">
        <w:rPr>
          <w:rStyle w:val="Appelnotedebasdep"/>
        </w:rPr>
        <w:footnoteReference w:id="189"/>
      </w:r>
      <w:r w:rsidRPr="0077615B">
        <w:rPr>
          <w:szCs w:val="22"/>
        </w:rPr>
        <w:t xml:space="preserve"> et de la juridiction des provinces sur les ressources naturelles non renouvel</w:t>
      </w:r>
      <w:r w:rsidRPr="0077615B">
        <w:rPr>
          <w:szCs w:val="22"/>
        </w:rPr>
        <w:t>a</w:t>
      </w:r>
      <w:r w:rsidRPr="0077615B">
        <w:rPr>
          <w:szCs w:val="22"/>
        </w:rPr>
        <w:t>bles</w:t>
      </w:r>
      <w:r>
        <w:rPr>
          <w:szCs w:val="22"/>
        </w:rPr>
        <w:t> </w:t>
      </w:r>
      <w:r w:rsidRPr="005B6CBD">
        <w:rPr>
          <w:rStyle w:val="Appelnotedebasdep"/>
        </w:rPr>
        <w:footnoteReference w:id="190"/>
      </w:r>
      <w:r w:rsidRPr="0077615B">
        <w:rPr>
          <w:szCs w:val="22"/>
        </w:rPr>
        <w:t>.</w:t>
      </w:r>
    </w:p>
    <w:p w:rsidR="00AD690E" w:rsidRDefault="00AD690E" w:rsidP="00AD690E">
      <w:pPr>
        <w:spacing w:before="120" w:after="120"/>
        <w:jc w:val="both"/>
        <w:rPr>
          <w:szCs w:val="22"/>
        </w:rPr>
      </w:pPr>
      <w:r w:rsidRPr="0077615B">
        <w:rPr>
          <w:szCs w:val="22"/>
        </w:rPr>
        <w:t>On peut dire que la Loi constitutionnelle marque un déclin très net, voire l'abandon, des plus importantes tr</w:t>
      </w:r>
      <w:r w:rsidRPr="0077615B">
        <w:rPr>
          <w:szCs w:val="22"/>
        </w:rPr>
        <w:t>a</w:t>
      </w:r>
      <w:r w:rsidRPr="0077615B">
        <w:rPr>
          <w:szCs w:val="22"/>
        </w:rPr>
        <w:t>ditions britanniques dans le droit et les institutions canadiennes. Mais cette réforme et, en partic</w:t>
      </w:r>
      <w:r w:rsidRPr="0077615B">
        <w:rPr>
          <w:szCs w:val="22"/>
        </w:rPr>
        <w:t>u</w:t>
      </w:r>
      <w:r w:rsidRPr="0077615B">
        <w:rPr>
          <w:szCs w:val="22"/>
        </w:rPr>
        <w:t>lier, la Charte canadienne des droits et libertés, marque-t-elle égal</w:t>
      </w:r>
      <w:r w:rsidRPr="0077615B">
        <w:rPr>
          <w:szCs w:val="22"/>
        </w:rPr>
        <w:t>e</w:t>
      </w:r>
      <w:r w:rsidRPr="0077615B">
        <w:rPr>
          <w:szCs w:val="22"/>
        </w:rPr>
        <w:t xml:space="preserve">ment la naissance d'un véritable </w:t>
      </w:r>
      <w:r>
        <w:rPr>
          <w:szCs w:val="22"/>
        </w:rPr>
        <w:t>État</w:t>
      </w:r>
      <w:r w:rsidRPr="0077615B">
        <w:rPr>
          <w:szCs w:val="22"/>
        </w:rPr>
        <w:t xml:space="preserve"> national can</w:t>
      </w:r>
      <w:r w:rsidRPr="0077615B">
        <w:rPr>
          <w:szCs w:val="22"/>
        </w:rPr>
        <w:t>a</w:t>
      </w:r>
      <w:r w:rsidRPr="0077615B">
        <w:rPr>
          <w:szCs w:val="22"/>
        </w:rPr>
        <w:t>dien ? Une analyse de ce texte et de quelques-unes des principales déc</w:t>
      </w:r>
      <w:r w:rsidRPr="0077615B">
        <w:rPr>
          <w:szCs w:val="22"/>
        </w:rPr>
        <w:t>i</w:t>
      </w:r>
      <w:r w:rsidRPr="0077615B">
        <w:rPr>
          <w:szCs w:val="22"/>
        </w:rPr>
        <w:t>sions judiciaires qui l'ont jusqu'ici interprété seraient plus de nature à nous faire croire que loin de réaliser la Magna Carta de l'État n</w:t>
      </w:r>
      <w:r w:rsidRPr="0077615B">
        <w:rPr>
          <w:szCs w:val="22"/>
        </w:rPr>
        <w:t>a</w:t>
      </w:r>
      <w:r w:rsidRPr="0077615B">
        <w:rPr>
          <w:szCs w:val="22"/>
        </w:rPr>
        <w:t>tional canadien, la Charte canadienne des droits et libertés consacre au plan constitutio</w:t>
      </w:r>
      <w:r w:rsidRPr="0077615B">
        <w:rPr>
          <w:szCs w:val="22"/>
        </w:rPr>
        <w:t>n</w:t>
      </w:r>
      <w:r w:rsidRPr="0077615B">
        <w:rPr>
          <w:szCs w:val="22"/>
        </w:rPr>
        <w:t>nel l'intégration du Canada dans l'orbite amér</w:t>
      </w:r>
      <w:r w:rsidRPr="0077615B">
        <w:rPr>
          <w:szCs w:val="22"/>
        </w:rPr>
        <w:t>i</w:t>
      </w:r>
      <w:r w:rsidRPr="0077615B">
        <w:rPr>
          <w:szCs w:val="22"/>
        </w:rPr>
        <w:t>caine.</w:t>
      </w:r>
    </w:p>
    <w:p w:rsidR="00AD690E" w:rsidRPr="0077615B" w:rsidRDefault="00AD690E" w:rsidP="00AD690E">
      <w:pPr>
        <w:spacing w:before="120" w:after="120"/>
        <w:jc w:val="both"/>
      </w:pPr>
    </w:p>
    <w:p w:rsidR="00AD690E" w:rsidRPr="0077615B" w:rsidRDefault="00AD690E" w:rsidP="00AD690E">
      <w:pPr>
        <w:pStyle w:val="planche"/>
      </w:pPr>
      <w:r w:rsidRPr="0077615B">
        <w:t>UNE CONCEPTION</w:t>
      </w:r>
      <w:r>
        <w:br/>
      </w:r>
      <w:r w:rsidRPr="0077615B">
        <w:t>DU DROIT ET DES DROITS</w:t>
      </w:r>
    </w:p>
    <w:p w:rsidR="00AD690E" w:rsidRPr="0077615B" w:rsidRDefault="00AD690E" w:rsidP="00AD690E">
      <w:pPr>
        <w:spacing w:before="120" w:after="120"/>
        <w:jc w:val="both"/>
        <w:rPr>
          <w:szCs w:val="22"/>
        </w:rPr>
      </w:pPr>
    </w:p>
    <w:p w:rsidR="00AD690E" w:rsidRPr="0077615B" w:rsidRDefault="00AD690E" w:rsidP="00AD690E">
      <w:pPr>
        <w:spacing w:before="120" w:after="120"/>
        <w:ind w:firstLine="0"/>
        <w:jc w:val="both"/>
      </w:pPr>
      <w:r w:rsidRPr="0077615B">
        <w:rPr>
          <w:szCs w:val="22"/>
        </w:rPr>
        <w:t>La tradition et les institutions constitutionnelles britanniques font r</w:t>
      </w:r>
      <w:r w:rsidRPr="0077615B">
        <w:rPr>
          <w:szCs w:val="22"/>
        </w:rPr>
        <w:t>e</w:t>
      </w:r>
      <w:r w:rsidRPr="0077615B">
        <w:rPr>
          <w:szCs w:val="22"/>
        </w:rPr>
        <w:t>poser sur le Parlement seul toute la souveraineté de l'État. R</w:t>
      </w:r>
      <w:r w:rsidRPr="0077615B">
        <w:rPr>
          <w:szCs w:val="22"/>
        </w:rPr>
        <w:t>é</w:t>
      </w:r>
      <w:r w:rsidRPr="0077615B">
        <w:rPr>
          <w:szCs w:val="22"/>
        </w:rPr>
        <w:t>sultat de la longue lutte qui opposa bourgeoisie et aristocratie anglaise, la plén</w:t>
      </w:r>
      <w:r w:rsidRPr="0077615B">
        <w:rPr>
          <w:szCs w:val="22"/>
        </w:rPr>
        <w:t>i</w:t>
      </w:r>
      <w:r w:rsidRPr="0077615B">
        <w:rPr>
          <w:szCs w:val="22"/>
        </w:rPr>
        <w:t>tude de la souveraineté parlementaire britannique fut très tôt exprimée par Lord Coke, dans une déclaration désormais cla</w:t>
      </w:r>
      <w:r w:rsidRPr="0077615B">
        <w:rPr>
          <w:szCs w:val="22"/>
        </w:rPr>
        <w:t>s</w:t>
      </w:r>
      <w:r w:rsidRPr="0077615B">
        <w:rPr>
          <w:szCs w:val="22"/>
        </w:rPr>
        <w:t>sique :</w:t>
      </w:r>
    </w:p>
    <w:p w:rsidR="00AD690E" w:rsidRDefault="00AD690E" w:rsidP="00AD690E">
      <w:pPr>
        <w:pStyle w:val="Grillecouleur-Accent1"/>
      </w:pPr>
    </w:p>
    <w:p w:rsidR="00AD690E" w:rsidRDefault="00AD690E" w:rsidP="00AD690E">
      <w:pPr>
        <w:pStyle w:val="Grillecouleur-Accent1"/>
      </w:pPr>
      <w:r w:rsidRPr="00B77980">
        <w:t>The power and jurisdiction of Parliament is so transcendant and abs</w:t>
      </w:r>
      <w:r w:rsidRPr="00B77980">
        <w:t>o</w:t>
      </w:r>
      <w:r w:rsidRPr="00B77980">
        <w:t>lute as it cannot be confined either for causes or persons w</w:t>
      </w:r>
      <w:r w:rsidRPr="00B77980">
        <w:t>i</w:t>
      </w:r>
      <w:r w:rsidRPr="00B77980">
        <w:t>thin any bounds</w:t>
      </w:r>
      <w:r>
        <w:t> </w:t>
      </w:r>
      <w:r w:rsidRPr="005B6CBD">
        <w:rPr>
          <w:rStyle w:val="Appelnotedebasdep"/>
          <w:szCs w:val="18"/>
        </w:rPr>
        <w:footnoteReference w:id="191"/>
      </w:r>
      <w:r w:rsidRPr="00B77980">
        <w:t>.</w:t>
      </w:r>
    </w:p>
    <w:p w:rsidR="00AD690E" w:rsidRPr="00B77980" w:rsidRDefault="00AD690E" w:rsidP="00AD690E">
      <w:pPr>
        <w:pStyle w:val="Grillecouleur-Accent1"/>
      </w:pPr>
    </w:p>
    <w:p w:rsidR="00AD690E" w:rsidRPr="0077615B" w:rsidRDefault="00AD690E" w:rsidP="00AD690E">
      <w:pPr>
        <w:spacing w:before="120" w:after="120"/>
        <w:jc w:val="both"/>
      </w:pPr>
      <w:r w:rsidRPr="0077615B">
        <w:rPr>
          <w:szCs w:val="22"/>
        </w:rPr>
        <w:t>Réaffirmé par Dicey</w:t>
      </w:r>
      <w:r>
        <w:rPr>
          <w:szCs w:val="22"/>
        </w:rPr>
        <w:t> </w:t>
      </w:r>
      <w:r w:rsidRPr="005B6CBD">
        <w:rPr>
          <w:rStyle w:val="Appelnotedebasdep"/>
        </w:rPr>
        <w:footnoteReference w:id="192"/>
      </w:r>
      <w:r w:rsidRPr="0077615B">
        <w:rPr>
          <w:szCs w:val="22"/>
        </w:rPr>
        <w:t>, deux siècles plus tard, ce principe fut i</w:t>
      </w:r>
      <w:r w:rsidRPr="0077615B">
        <w:rPr>
          <w:szCs w:val="22"/>
        </w:rPr>
        <w:t>n</w:t>
      </w:r>
      <w:r w:rsidRPr="0077615B">
        <w:rPr>
          <w:szCs w:val="22"/>
        </w:rPr>
        <w:t>corporé dans la Constitution canadienne par le préambule du British North America Act de 1867 qui d</w:t>
      </w:r>
      <w:r w:rsidRPr="0077615B">
        <w:rPr>
          <w:szCs w:val="22"/>
        </w:rPr>
        <w:t>é</w:t>
      </w:r>
      <w:r w:rsidRPr="0077615B">
        <w:rPr>
          <w:szCs w:val="22"/>
        </w:rPr>
        <w:t>clarait que :</w:t>
      </w:r>
    </w:p>
    <w:p w:rsidR="00AD690E" w:rsidRDefault="00AD690E" w:rsidP="00AD690E">
      <w:pPr>
        <w:pStyle w:val="Grillecouleur-Accent1"/>
      </w:pPr>
    </w:p>
    <w:p w:rsidR="00AD690E" w:rsidRDefault="00AD690E" w:rsidP="00AD690E">
      <w:pPr>
        <w:pStyle w:val="Grillecouleur-Accent1"/>
        <w:rPr>
          <w:szCs w:val="18"/>
        </w:rPr>
      </w:pPr>
      <w:r w:rsidRPr="00B77980">
        <w:t>Les provinces du Canada, de la Nouvelle-Écosse et du No</w:t>
      </w:r>
      <w:r w:rsidRPr="00B77980">
        <w:t>u</w:t>
      </w:r>
      <w:r w:rsidRPr="00B77980">
        <w:t>veau-Brunswick ont exprimé le désir de se fédérer en un</w:t>
      </w:r>
      <w:r>
        <w:t xml:space="preserve"> </w:t>
      </w:r>
      <w:r w:rsidRPr="0077615B">
        <w:t>[111]</w:t>
      </w:r>
      <w:r>
        <w:t xml:space="preserve"> </w:t>
      </w:r>
      <w:r w:rsidRPr="0039476A">
        <w:rPr>
          <w:szCs w:val="18"/>
        </w:rPr>
        <w:t xml:space="preserve">dominion [...] régi par une constitution semblable en principes à celle de </w:t>
      </w:r>
      <w:r>
        <w:rPr>
          <w:szCs w:val="18"/>
        </w:rPr>
        <w:t>Royaume-Uni </w:t>
      </w:r>
      <w:r w:rsidRPr="005B6CBD">
        <w:rPr>
          <w:rStyle w:val="Appelnotedebasdep"/>
          <w:szCs w:val="18"/>
        </w:rPr>
        <w:footnoteReference w:id="193"/>
      </w:r>
      <w:r w:rsidRPr="0039476A">
        <w:rPr>
          <w:szCs w:val="18"/>
        </w:rPr>
        <w:t>.</w:t>
      </w:r>
    </w:p>
    <w:p w:rsidR="00AD690E" w:rsidRPr="0039476A" w:rsidRDefault="00AD690E" w:rsidP="00AD690E">
      <w:pPr>
        <w:pStyle w:val="Grillecouleur-Accent1"/>
      </w:pPr>
    </w:p>
    <w:p w:rsidR="00AD690E" w:rsidRPr="0077615B" w:rsidRDefault="00AD690E" w:rsidP="00AD690E">
      <w:pPr>
        <w:spacing w:before="120" w:after="120"/>
        <w:jc w:val="both"/>
      </w:pPr>
      <w:r w:rsidRPr="0077615B">
        <w:rPr>
          <w:szCs w:val="22"/>
        </w:rPr>
        <w:t>Ce principe fut d'ailleurs réaffirmé, à de nombreuses reprises, par les tribunaux chargés de trancher les litiges constitutionnels. Contra</w:t>
      </w:r>
      <w:r w:rsidRPr="0077615B">
        <w:rPr>
          <w:szCs w:val="22"/>
        </w:rPr>
        <w:t>i</w:t>
      </w:r>
      <w:r w:rsidRPr="0077615B">
        <w:rPr>
          <w:szCs w:val="22"/>
        </w:rPr>
        <w:t>rement au régime unitaire britannique, le cadre d'un rég</w:t>
      </w:r>
      <w:r w:rsidRPr="0077615B">
        <w:rPr>
          <w:szCs w:val="22"/>
        </w:rPr>
        <w:t>i</w:t>
      </w:r>
      <w:r w:rsidRPr="0077615B">
        <w:rPr>
          <w:szCs w:val="22"/>
        </w:rPr>
        <w:t>me fédéral impose cependant parfois aux tribunaux de trancher les lit</w:t>
      </w:r>
      <w:r w:rsidRPr="0077615B">
        <w:rPr>
          <w:szCs w:val="22"/>
        </w:rPr>
        <w:t>i</w:t>
      </w:r>
      <w:r w:rsidRPr="0077615B">
        <w:rPr>
          <w:szCs w:val="22"/>
        </w:rPr>
        <w:t>ges qui peuvent surgir entre l'État central et les États fédérés, dans le c</w:t>
      </w:r>
      <w:r w:rsidRPr="0077615B">
        <w:rPr>
          <w:szCs w:val="22"/>
        </w:rPr>
        <w:t>a</w:t>
      </w:r>
      <w:r w:rsidRPr="0077615B">
        <w:rPr>
          <w:szCs w:val="22"/>
        </w:rPr>
        <w:t>dre du partage des compétences.</w:t>
      </w:r>
    </w:p>
    <w:p w:rsidR="00AD690E" w:rsidRPr="0077615B" w:rsidRDefault="00AD690E" w:rsidP="00AD690E">
      <w:pPr>
        <w:spacing w:before="120" w:after="120"/>
        <w:jc w:val="both"/>
      </w:pPr>
      <w:r w:rsidRPr="0077615B">
        <w:rPr>
          <w:szCs w:val="22"/>
        </w:rPr>
        <w:t>Mais les tribunaux ont, avant 1982, pris grand soin d'affirmer que leur interprétation ne visait pas à intervenir dans les affaires parleme</w:t>
      </w:r>
      <w:r w:rsidRPr="0077615B">
        <w:rPr>
          <w:szCs w:val="22"/>
        </w:rPr>
        <w:t>n</w:t>
      </w:r>
      <w:r w:rsidRPr="0077615B">
        <w:rPr>
          <w:szCs w:val="22"/>
        </w:rPr>
        <w:t>taires et législatives canadiennes. Leurs décisions ne d</w:t>
      </w:r>
      <w:r w:rsidRPr="0077615B">
        <w:rPr>
          <w:szCs w:val="22"/>
        </w:rPr>
        <w:t>e</w:t>
      </w:r>
      <w:r w:rsidRPr="0077615B">
        <w:rPr>
          <w:szCs w:val="22"/>
        </w:rPr>
        <w:t>vaient jamais constituer, du moins en théorie, un jugement sur l'opportunité polit</w:t>
      </w:r>
      <w:r w:rsidRPr="0077615B">
        <w:rPr>
          <w:szCs w:val="22"/>
        </w:rPr>
        <w:t>i</w:t>
      </w:r>
      <w:r w:rsidRPr="0077615B">
        <w:rPr>
          <w:szCs w:val="22"/>
        </w:rPr>
        <w:t>que, sociale ou économique d'une mesure — ce qui aurait eu pour e</w:t>
      </w:r>
      <w:r w:rsidRPr="0077615B">
        <w:rPr>
          <w:szCs w:val="22"/>
        </w:rPr>
        <w:t>f</w:t>
      </w:r>
      <w:r w:rsidRPr="0077615B">
        <w:rPr>
          <w:szCs w:val="22"/>
        </w:rPr>
        <w:t>fet de substituer l'autorité judiciaire à la souverai</w:t>
      </w:r>
      <w:r>
        <w:rPr>
          <w:szCs w:val="22"/>
        </w:rPr>
        <w:t>n</w:t>
      </w:r>
      <w:r>
        <w:rPr>
          <w:szCs w:val="22"/>
        </w:rPr>
        <w:t>e</w:t>
      </w:r>
      <w:r>
        <w:rPr>
          <w:szCs w:val="22"/>
        </w:rPr>
        <w:t xml:space="preserve">té parlementaire </w:t>
      </w:r>
      <w:r w:rsidRPr="0077615B">
        <w:rPr>
          <w:szCs w:val="22"/>
        </w:rPr>
        <w:t>—, mais leurs jugements se limitaient uniquement à arbitrer le caractère fédéral ou provincial du po</w:t>
      </w:r>
      <w:r w:rsidRPr="0077615B">
        <w:rPr>
          <w:szCs w:val="22"/>
        </w:rPr>
        <w:t>u</w:t>
      </w:r>
      <w:r w:rsidRPr="0077615B">
        <w:rPr>
          <w:szCs w:val="22"/>
        </w:rPr>
        <w:t>voir disputé.</w:t>
      </w:r>
    </w:p>
    <w:p w:rsidR="00AD690E" w:rsidRPr="0077615B" w:rsidRDefault="00AD690E" w:rsidP="00AD690E">
      <w:pPr>
        <w:spacing w:before="120" w:after="120"/>
        <w:jc w:val="both"/>
      </w:pPr>
      <w:r w:rsidRPr="0077615B">
        <w:rPr>
          <w:szCs w:val="22"/>
        </w:rPr>
        <w:t>Dans le contexte d'une évolution historique différente, la Constit</w:t>
      </w:r>
      <w:r w:rsidRPr="0077615B">
        <w:rPr>
          <w:szCs w:val="22"/>
        </w:rPr>
        <w:t>u</w:t>
      </w:r>
      <w:r w:rsidRPr="0077615B">
        <w:rPr>
          <w:szCs w:val="22"/>
        </w:rPr>
        <w:t>tion américaine de 1787 avait établi non se</w:t>
      </w:r>
      <w:r w:rsidRPr="0077615B">
        <w:rPr>
          <w:szCs w:val="22"/>
        </w:rPr>
        <w:t>u</w:t>
      </w:r>
      <w:r w:rsidRPr="0077615B">
        <w:rPr>
          <w:szCs w:val="22"/>
        </w:rPr>
        <w:t>lement un partage des compétences législatives dans le cadre d'un régime fédéral, mais avait aussi affirmé que certaines valeurs et certains droits étaient si fond</w:t>
      </w:r>
      <w:r w:rsidRPr="0077615B">
        <w:rPr>
          <w:szCs w:val="22"/>
        </w:rPr>
        <w:t>a</w:t>
      </w:r>
      <w:r w:rsidRPr="0077615B">
        <w:rPr>
          <w:szCs w:val="22"/>
        </w:rPr>
        <w:t>mentaux et inaliénables que ni l</w:t>
      </w:r>
      <w:r>
        <w:rPr>
          <w:szCs w:val="22"/>
        </w:rPr>
        <w:t>’</w:t>
      </w:r>
      <w:r w:rsidRPr="0077615B">
        <w:rPr>
          <w:szCs w:val="22"/>
        </w:rPr>
        <w:t>État fédéral ni les États féd</w:t>
      </w:r>
      <w:r w:rsidRPr="0077615B">
        <w:rPr>
          <w:szCs w:val="22"/>
        </w:rPr>
        <w:t>é</w:t>
      </w:r>
      <w:r w:rsidRPr="0077615B">
        <w:rPr>
          <w:szCs w:val="22"/>
        </w:rPr>
        <w:t>rés n'étaient habilités à légiférer à rencontre de ces no</w:t>
      </w:r>
      <w:r w:rsidRPr="0077615B">
        <w:rPr>
          <w:szCs w:val="22"/>
        </w:rPr>
        <w:t>r</w:t>
      </w:r>
      <w:r w:rsidRPr="0077615B">
        <w:rPr>
          <w:szCs w:val="22"/>
        </w:rPr>
        <w:t>mes.</w:t>
      </w:r>
    </w:p>
    <w:p w:rsidR="00AD690E" w:rsidRPr="0077615B" w:rsidRDefault="00AD690E" w:rsidP="00AD690E">
      <w:pPr>
        <w:spacing w:before="120" w:after="120"/>
        <w:jc w:val="both"/>
      </w:pPr>
      <w:r w:rsidRPr="0077615B">
        <w:rPr>
          <w:szCs w:val="22"/>
        </w:rPr>
        <w:t>C'était affirmer que la souveraineté ultime dans l'État amér</w:t>
      </w:r>
      <w:r w:rsidRPr="0077615B">
        <w:rPr>
          <w:szCs w:val="22"/>
        </w:rPr>
        <w:t>i</w:t>
      </w:r>
      <w:r w:rsidRPr="0077615B">
        <w:rPr>
          <w:szCs w:val="22"/>
        </w:rPr>
        <w:t>cain ne reposait pas, comme en Angleterre, au Pa</w:t>
      </w:r>
      <w:r w:rsidRPr="0077615B">
        <w:rPr>
          <w:szCs w:val="22"/>
        </w:rPr>
        <w:t>r</w:t>
      </w:r>
      <w:r w:rsidRPr="0077615B">
        <w:rPr>
          <w:szCs w:val="22"/>
        </w:rPr>
        <w:t>lement, mais dans le peuple, dont la Constitution était la gardienne et la repr</w:t>
      </w:r>
      <w:r w:rsidRPr="0077615B">
        <w:rPr>
          <w:szCs w:val="22"/>
        </w:rPr>
        <w:t>é</w:t>
      </w:r>
      <w:r w:rsidRPr="0077615B">
        <w:rPr>
          <w:szCs w:val="22"/>
        </w:rPr>
        <w:t>sentation juridique.</w:t>
      </w:r>
    </w:p>
    <w:p w:rsidR="00AD690E" w:rsidRPr="0077615B" w:rsidRDefault="00AD690E" w:rsidP="00AD690E">
      <w:pPr>
        <w:spacing w:before="120" w:after="120"/>
        <w:jc w:val="both"/>
      </w:pPr>
      <w:r w:rsidRPr="0077615B">
        <w:rPr>
          <w:szCs w:val="22"/>
        </w:rPr>
        <w:t>Dès 1803, la Cour suprême des États-Unis établissait le rôle rad</w:t>
      </w:r>
      <w:r w:rsidRPr="0077615B">
        <w:rPr>
          <w:szCs w:val="22"/>
        </w:rPr>
        <w:t>i</w:t>
      </w:r>
      <w:r w:rsidRPr="0077615B">
        <w:rPr>
          <w:szCs w:val="22"/>
        </w:rPr>
        <w:t>calement différent des tribunaux dans un tel cadre constitutio</w:t>
      </w:r>
      <w:r w:rsidRPr="0077615B">
        <w:rPr>
          <w:szCs w:val="22"/>
        </w:rPr>
        <w:t>n</w:t>
      </w:r>
      <w:r w:rsidRPr="0077615B">
        <w:rPr>
          <w:szCs w:val="22"/>
        </w:rPr>
        <w:t>nel :</w:t>
      </w:r>
    </w:p>
    <w:p w:rsidR="00AD690E" w:rsidRDefault="00AD690E" w:rsidP="00AD690E">
      <w:pPr>
        <w:pStyle w:val="Grillecouleur-Accent1"/>
      </w:pPr>
    </w:p>
    <w:p w:rsidR="00AD690E" w:rsidRPr="00D73B87" w:rsidRDefault="00AD690E" w:rsidP="00AD690E">
      <w:pPr>
        <w:pStyle w:val="Grillecouleur-Accent1"/>
      </w:pPr>
      <w:r w:rsidRPr="00D73B87">
        <w:t>Tous les auteurs d'une constitution écrite ont certainement vo</w:t>
      </w:r>
      <w:r w:rsidRPr="00D73B87">
        <w:t>u</w:t>
      </w:r>
      <w:r w:rsidRPr="00D73B87">
        <w:t>lu en faire la loi fondamentale et suprême de la nation et, en conséquence, ch</w:t>
      </w:r>
      <w:r w:rsidRPr="00D73B87">
        <w:t>a</w:t>
      </w:r>
      <w:r w:rsidRPr="00D73B87">
        <w:t>cun de ces gouvernements doit avoir pour principe qu'une loi de la législ</w:t>
      </w:r>
      <w:r w:rsidRPr="00D73B87">
        <w:t>a</w:t>
      </w:r>
      <w:r w:rsidRPr="00D73B87">
        <w:t>ture incompat</w:t>
      </w:r>
      <w:r w:rsidRPr="00D73B87">
        <w:t>i</w:t>
      </w:r>
      <w:r w:rsidRPr="00D73B87">
        <w:t>ble avec la constitution est nulle.</w:t>
      </w:r>
    </w:p>
    <w:p w:rsidR="00AD690E" w:rsidRDefault="00AD690E" w:rsidP="00AD690E">
      <w:pPr>
        <w:pStyle w:val="Grillecouleur-Accent1"/>
      </w:pPr>
      <w:r w:rsidRPr="00D73B87">
        <w:t>Cette théorie est un aspect essentiel d'une constitution écrite et, en conséquence, cette Cour doit la considérer comme un des principes fo</w:t>
      </w:r>
      <w:r w:rsidRPr="00D73B87">
        <w:t>n</w:t>
      </w:r>
      <w:r w:rsidRPr="00D73B87">
        <w:t>damentaux de notre société</w:t>
      </w:r>
      <w:r>
        <w:t>. </w:t>
      </w:r>
      <w:r w:rsidRPr="005B6CBD">
        <w:rPr>
          <w:rStyle w:val="Appelnotedebasdep"/>
          <w:szCs w:val="18"/>
        </w:rPr>
        <w:footnoteReference w:id="194"/>
      </w:r>
    </w:p>
    <w:p w:rsidR="00AD690E" w:rsidRPr="0077615B" w:rsidRDefault="00AD690E" w:rsidP="00AD690E">
      <w:pPr>
        <w:pStyle w:val="Grillecouleur-Accent1"/>
      </w:pPr>
    </w:p>
    <w:p w:rsidR="00AD690E" w:rsidRDefault="00AD690E" w:rsidP="00AD690E">
      <w:pPr>
        <w:spacing w:before="120" w:after="120"/>
        <w:jc w:val="both"/>
        <w:rPr>
          <w:szCs w:val="22"/>
        </w:rPr>
      </w:pPr>
      <w:r w:rsidRPr="0077615B">
        <w:rPr>
          <w:szCs w:val="22"/>
        </w:rPr>
        <w:t xml:space="preserve">L'inclusion en 1982 d'une </w:t>
      </w:r>
      <w:r w:rsidRPr="0039476A">
        <w:rPr>
          <w:i/>
          <w:szCs w:val="22"/>
        </w:rPr>
        <w:t>Charte des droits et libertés</w:t>
      </w:r>
      <w:r w:rsidRPr="0077615B">
        <w:rPr>
          <w:szCs w:val="22"/>
        </w:rPr>
        <w:t>, larg</w:t>
      </w:r>
      <w:r w:rsidRPr="0077615B">
        <w:rPr>
          <w:szCs w:val="22"/>
        </w:rPr>
        <w:t>e</w:t>
      </w:r>
      <w:r w:rsidRPr="0077615B">
        <w:rPr>
          <w:szCs w:val="22"/>
        </w:rPr>
        <w:t>ment inspirée des principes de la Constitution am</w:t>
      </w:r>
      <w:r w:rsidRPr="0077615B">
        <w:rPr>
          <w:szCs w:val="22"/>
        </w:rPr>
        <w:t>é</w:t>
      </w:r>
      <w:r w:rsidRPr="0077615B">
        <w:rPr>
          <w:szCs w:val="22"/>
        </w:rPr>
        <w:t>ricaine, placée au-dessus des lois du Parlement et des législatures, a donc modifié profond</w:t>
      </w:r>
      <w:r w:rsidRPr="0077615B">
        <w:rPr>
          <w:szCs w:val="22"/>
        </w:rPr>
        <w:t>é</w:t>
      </w:r>
      <w:r w:rsidRPr="0077615B">
        <w:rPr>
          <w:szCs w:val="22"/>
        </w:rPr>
        <w:t>ment les principes fondamentaux du droit constitutio</w:t>
      </w:r>
      <w:r w:rsidRPr="0077615B">
        <w:rPr>
          <w:szCs w:val="22"/>
        </w:rPr>
        <w:t>n</w:t>
      </w:r>
      <w:r w:rsidRPr="0077615B">
        <w:rPr>
          <w:szCs w:val="22"/>
        </w:rPr>
        <w:t>nel canadien.</w:t>
      </w:r>
    </w:p>
    <w:p w:rsidR="00AD690E" w:rsidRPr="0077615B" w:rsidRDefault="00AD690E" w:rsidP="00AD690E">
      <w:pPr>
        <w:spacing w:before="120" w:after="120"/>
        <w:jc w:val="both"/>
      </w:pPr>
      <w:r w:rsidRPr="0077615B">
        <w:rPr>
          <w:szCs w:val="18"/>
        </w:rPr>
        <w:t>[112]</w:t>
      </w:r>
    </w:p>
    <w:p w:rsidR="00AD690E" w:rsidRPr="0077615B" w:rsidRDefault="00AD690E" w:rsidP="00AD690E">
      <w:pPr>
        <w:spacing w:before="120" w:after="120"/>
        <w:jc w:val="both"/>
      </w:pPr>
      <w:r w:rsidRPr="0077615B">
        <w:t xml:space="preserve">La </w:t>
      </w:r>
      <w:r w:rsidRPr="00DD5121">
        <w:rPr>
          <w:i/>
        </w:rPr>
        <w:t>Charte canadienne des droits et libertés</w:t>
      </w:r>
      <w:r w:rsidRPr="0077615B">
        <w:t xml:space="preserve"> limite la souverain</w:t>
      </w:r>
      <w:r w:rsidRPr="0077615B">
        <w:t>e</w:t>
      </w:r>
      <w:r w:rsidRPr="0077615B">
        <w:t>té politique du Parlement et des législatures, aux profit</w:t>
      </w:r>
      <w:r>
        <w:t>s</w:t>
      </w:r>
      <w:r w:rsidRPr="0077615B">
        <w:t xml:space="preserve"> de certaines v</w:t>
      </w:r>
      <w:r w:rsidRPr="0077615B">
        <w:t>a</w:t>
      </w:r>
      <w:r w:rsidRPr="0077615B">
        <w:t>leurs dites « fondamentales », énoncées sous forme de droits et de l</w:t>
      </w:r>
      <w:r w:rsidRPr="0077615B">
        <w:t>i</w:t>
      </w:r>
      <w:r w:rsidRPr="0077615B">
        <w:t>bertés des personnes ou des citoyens. Ces droits et libertés des indiv</w:t>
      </w:r>
      <w:r w:rsidRPr="0077615B">
        <w:t>i</w:t>
      </w:r>
      <w:r w:rsidRPr="0077615B">
        <w:t>dus ne peuvent être limités que dans des ci</w:t>
      </w:r>
      <w:r w:rsidRPr="0077615B">
        <w:t>r</w:t>
      </w:r>
      <w:r w:rsidRPr="0077615B">
        <w:t>constances et par des moyens exceptionnels et sont de ce fait, dans une très la</w:t>
      </w:r>
      <w:r w:rsidRPr="0077615B">
        <w:t>r</w:t>
      </w:r>
      <w:r w:rsidRPr="0077615B">
        <w:t>ge mesure, devenus intouchables.</w:t>
      </w:r>
    </w:p>
    <w:p w:rsidR="00AD690E" w:rsidRPr="0077615B" w:rsidRDefault="00AD690E" w:rsidP="00AD690E">
      <w:pPr>
        <w:spacing w:before="120" w:after="120"/>
        <w:jc w:val="both"/>
      </w:pPr>
      <w:r w:rsidRPr="0077615B">
        <w:t>La Cour suprême du Canada s'est d'ailleurs empressée de reconna</w:t>
      </w:r>
      <w:r w:rsidRPr="0077615B">
        <w:t>î</w:t>
      </w:r>
      <w:r w:rsidRPr="0077615B">
        <w:t>tre le caractère profond du changement dans plusieurs d</w:t>
      </w:r>
      <w:r w:rsidRPr="0077615B">
        <w:t>é</w:t>
      </w:r>
      <w:r w:rsidRPr="0077615B">
        <w:t>cisions où elle a été chargée de donner un sens aux dispositions de la Charte c</w:t>
      </w:r>
      <w:r w:rsidRPr="0077615B">
        <w:t>a</w:t>
      </w:r>
      <w:r w:rsidRPr="0077615B">
        <w:t>nadienne des droits et libertés et de la Loi constitutio</w:t>
      </w:r>
      <w:r w:rsidRPr="0077615B">
        <w:t>n</w:t>
      </w:r>
      <w:r w:rsidRPr="0077615B">
        <w:t>nelle.</w:t>
      </w:r>
    </w:p>
    <w:p w:rsidR="00AD690E" w:rsidRPr="0077615B" w:rsidRDefault="00AD690E" w:rsidP="00AD690E">
      <w:pPr>
        <w:spacing w:before="120" w:after="120"/>
        <w:jc w:val="both"/>
      </w:pPr>
      <w:r w:rsidRPr="0077615B">
        <w:t>Ainsi, dans le tout premier arrêt</w:t>
      </w:r>
      <w:r>
        <w:t> </w:t>
      </w:r>
      <w:r w:rsidRPr="005B6CBD">
        <w:rPr>
          <w:rStyle w:val="Appelnotedebasdep"/>
        </w:rPr>
        <w:footnoteReference w:id="195"/>
      </w:r>
      <w:r w:rsidRPr="0077615B">
        <w:t xml:space="preserve"> où elle a interprété les effets de la Charte sur la validité des lois ordinaires, elle a reconnu, pour la première fois de son histoire, la théorie de la suprématie de la Const</w:t>
      </w:r>
      <w:r w:rsidRPr="0077615B">
        <w:t>i</w:t>
      </w:r>
      <w:r w:rsidRPr="0077615B">
        <w:t>tution énoncée par le juge Marshall en 1803. La Cour suprême du C</w:t>
      </w:r>
      <w:r w:rsidRPr="0077615B">
        <w:t>a</w:t>
      </w:r>
      <w:r w:rsidRPr="0077615B">
        <w:t>nada a même reconnu que « les tribunaux amér</w:t>
      </w:r>
      <w:r w:rsidRPr="0077615B">
        <w:t>i</w:t>
      </w:r>
      <w:r w:rsidRPr="0077615B">
        <w:t>cains ont presque deux cents ans d'expérience dans l'accompli</w:t>
      </w:r>
      <w:r w:rsidRPr="0077615B">
        <w:t>s</w:t>
      </w:r>
      <w:r w:rsidRPr="0077615B">
        <w:t>sement de cette tâche, et l'analyse de leur expérience offre plus qu'un intérêt passager pour ceux qui s'intéressent à cett</w:t>
      </w:r>
      <w:r>
        <w:t>e nouvelle évolution du Canada » </w:t>
      </w:r>
      <w:r>
        <w:rPr>
          <w:rStyle w:val="Appelnotedebasdep"/>
        </w:rPr>
        <w:footnoteReference w:id="196"/>
      </w:r>
      <w:r w:rsidRPr="0077615B">
        <w:t>. Sans importer directement la jurisprudence américa</w:t>
      </w:r>
      <w:r w:rsidRPr="0077615B">
        <w:t>i</w:t>
      </w:r>
      <w:r w:rsidRPr="0077615B">
        <w:t>ne dans notre droit constitutionnel, une telle déclaration lui donne une place sans préc</w:t>
      </w:r>
      <w:r w:rsidRPr="0077615B">
        <w:t>é</w:t>
      </w:r>
      <w:r w:rsidRPr="0077615B">
        <w:t>dent.</w:t>
      </w:r>
    </w:p>
    <w:p w:rsidR="00AD690E" w:rsidRPr="0077615B" w:rsidRDefault="00AD690E" w:rsidP="00AD690E">
      <w:pPr>
        <w:spacing w:before="120" w:after="120"/>
        <w:jc w:val="both"/>
      </w:pPr>
      <w:r w:rsidRPr="0077615B">
        <w:t>Pour bien comprendre l'importance et l'étendue du chang</w:t>
      </w:r>
      <w:r w:rsidRPr="0077615B">
        <w:t>e</w:t>
      </w:r>
      <w:r w:rsidRPr="0077615B">
        <w:t>ment, il est nécessaire d'analyser le contenu de la Charte can</w:t>
      </w:r>
      <w:r w:rsidRPr="0077615B">
        <w:t>a</w:t>
      </w:r>
      <w:r w:rsidRPr="0077615B">
        <w:t>dienne pour en saisir à la fois la portée, mais aussi les limites.</w:t>
      </w:r>
    </w:p>
    <w:p w:rsidR="00AD690E" w:rsidRPr="0077615B" w:rsidRDefault="00AD690E" w:rsidP="00AD690E">
      <w:pPr>
        <w:spacing w:before="120" w:after="120"/>
        <w:jc w:val="both"/>
      </w:pPr>
    </w:p>
    <w:p w:rsidR="00AD690E" w:rsidRPr="0077615B" w:rsidRDefault="00AD690E" w:rsidP="00AD690E">
      <w:pPr>
        <w:pStyle w:val="planche"/>
      </w:pPr>
      <w:r w:rsidRPr="0077615B">
        <w:t>LE CONTENU</w:t>
      </w:r>
      <w:r>
        <w:br/>
      </w:r>
      <w:r w:rsidRPr="0077615B">
        <w:t>DE LA CHARTE CANADIENNE</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La Charte canadienne des droits et libertés est contenue à la Pa</w:t>
      </w:r>
      <w:r w:rsidRPr="0077615B">
        <w:t>r</w:t>
      </w:r>
      <w:r w:rsidRPr="0077615B">
        <w:t>tie 1 de la Loi Constitutionnelle de 1982. Elle est l'aboutiss</w:t>
      </w:r>
      <w:r w:rsidRPr="0077615B">
        <w:t>e</w:t>
      </w:r>
      <w:r w:rsidRPr="0077615B">
        <w:t>ment d'un long processus de négociations politiques entre le fédéral et les pr</w:t>
      </w:r>
      <w:r w:rsidRPr="0077615B">
        <w:t>o</w:t>
      </w:r>
      <w:r w:rsidRPr="0077615B">
        <w:t>vinces. Plusieurs de ses articles reflètent les compr</w:t>
      </w:r>
      <w:r w:rsidRPr="0077615B">
        <w:t>o</w:t>
      </w:r>
      <w:r w:rsidRPr="0077615B">
        <w:t>mis qui ont été faits de part et d'autre.</w:t>
      </w:r>
    </w:p>
    <w:p w:rsidR="00AD690E" w:rsidRPr="0077615B" w:rsidRDefault="00AD690E" w:rsidP="00AD690E">
      <w:pPr>
        <w:spacing w:before="120" w:after="120"/>
        <w:jc w:val="both"/>
      </w:pPr>
      <w:r w:rsidRPr="0077615B">
        <w:t>La Charte comprend 34 articles, d'importance, de lo</w:t>
      </w:r>
      <w:r w:rsidRPr="0077615B">
        <w:t>n</w:t>
      </w:r>
      <w:r w:rsidRPr="0077615B">
        <w:t>gueur et de portée bien différentes, regroupés selon des subdivisions dont il n'est pas toujours aisé de saisir la l</w:t>
      </w:r>
      <w:r w:rsidRPr="0077615B">
        <w:t>o</w:t>
      </w:r>
      <w:r w:rsidRPr="0077615B">
        <w:t>gique.</w:t>
      </w:r>
    </w:p>
    <w:p w:rsidR="00AD690E" w:rsidRPr="0077615B" w:rsidRDefault="00AD690E" w:rsidP="00AD690E">
      <w:pPr>
        <w:spacing w:before="120" w:after="120"/>
        <w:jc w:val="both"/>
      </w:pPr>
      <w:r>
        <w:br w:type="page"/>
      </w:r>
    </w:p>
    <w:p w:rsidR="00AD690E" w:rsidRPr="002E2B2C" w:rsidRDefault="00AD690E" w:rsidP="00AD690E">
      <w:pPr>
        <w:pStyle w:val="a"/>
      </w:pPr>
      <w:r w:rsidRPr="002E2B2C">
        <w:t>Le préambule et la garantie</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Le texte de la Charte s'ouvre sur un préambule qui d</w:t>
      </w:r>
      <w:r w:rsidRPr="0077615B">
        <w:t>é</w:t>
      </w:r>
      <w:r w:rsidRPr="0077615B">
        <w:t>clare :</w:t>
      </w:r>
    </w:p>
    <w:p w:rsidR="00AD690E" w:rsidRDefault="00AD690E" w:rsidP="00AD690E">
      <w:pPr>
        <w:pStyle w:val="Grillecouleur-Accent1"/>
      </w:pPr>
    </w:p>
    <w:p w:rsidR="00AD690E" w:rsidRDefault="00AD690E" w:rsidP="00AD690E">
      <w:pPr>
        <w:pStyle w:val="Grillecouleur-Accent1"/>
      </w:pPr>
      <w:r w:rsidRPr="002E2B2C">
        <w:t>Attendu que le Canada est fondé sur des principes qui reconnaissent la supr</w:t>
      </w:r>
      <w:r w:rsidRPr="002E2B2C">
        <w:t>é</w:t>
      </w:r>
      <w:r w:rsidRPr="002E2B2C">
        <w:t>matie de Dieu et la primauté du droit.</w:t>
      </w:r>
    </w:p>
    <w:p w:rsidR="00AD690E" w:rsidRPr="002E2B2C" w:rsidRDefault="00AD690E" w:rsidP="00AD690E">
      <w:pPr>
        <w:pStyle w:val="Grillecouleur-Accent1"/>
      </w:pPr>
    </w:p>
    <w:p w:rsidR="00AD690E" w:rsidRPr="0077615B" w:rsidRDefault="00AD690E" w:rsidP="00AD690E">
      <w:pPr>
        <w:spacing w:before="120" w:after="120"/>
        <w:jc w:val="both"/>
        <w:rPr>
          <w:szCs w:val="18"/>
        </w:rPr>
      </w:pPr>
      <w:r w:rsidRPr="007A7F86">
        <w:t>[113]</w:t>
      </w:r>
    </w:p>
    <w:p w:rsidR="00AD690E" w:rsidRPr="0077615B" w:rsidRDefault="00AD690E" w:rsidP="00AD690E">
      <w:pPr>
        <w:spacing w:before="120" w:after="120"/>
        <w:jc w:val="both"/>
      </w:pPr>
      <w:r w:rsidRPr="0077615B">
        <w:t>Selon les règles classiques de l'interprétation des lois, le préa</w:t>
      </w:r>
      <w:r w:rsidRPr="0077615B">
        <w:t>m</w:t>
      </w:r>
      <w:r w:rsidRPr="0077615B">
        <w:t>bule dans une loi n'est pas considéré comme constituant le droit substantif, mais plutôt comme une règle d'interprétation, susceptible d'aider l'i</w:t>
      </w:r>
      <w:r w:rsidRPr="0077615B">
        <w:t>n</w:t>
      </w:r>
      <w:r w:rsidRPr="0077615B">
        <w:t>terprète du texte à déterminer l'intention du législ</w:t>
      </w:r>
      <w:r w:rsidRPr="0077615B">
        <w:t>a</w:t>
      </w:r>
      <w:r w:rsidRPr="0077615B">
        <w:t>teur. Cependant, la nature d'un texte constitutionnel a permis aux trib</w:t>
      </w:r>
      <w:r w:rsidRPr="0077615B">
        <w:t>u</w:t>
      </w:r>
      <w:r w:rsidRPr="0077615B">
        <w:t>naux, dans le passé, d'utiliser le préambule de la loi de 1867, pour y retrouver l'origine de l'inclusion dans notre droit de princ</w:t>
      </w:r>
      <w:r w:rsidRPr="0077615B">
        <w:t>i</w:t>
      </w:r>
      <w:r w:rsidRPr="0077615B">
        <w:t>pes aussi fondamentaux que la souveraineté du Parlement et la liberté d'expression. Le texte constit</w:t>
      </w:r>
      <w:r w:rsidRPr="0077615B">
        <w:t>u</w:t>
      </w:r>
      <w:r w:rsidRPr="0077615B">
        <w:t>tionnel a depuis longtemps été considéré</w:t>
      </w:r>
      <w:r>
        <w:t> </w:t>
      </w:r>
      <w:r w:rsidRPr="005B6CBD">
        <w:rPr>
          <w:rStyle w:val="Appelnotedebasdep"/>
        </w:rPr>
        <w:footnoteReference w:id="197"/>
      </w:r>
      <w:r w:rsidRPr="0077615B">
        <w:t>, et il l'est encore aujou</w:t>
      </w:r>
      <w:r w:rsidRPr="0077615B">
        <w:t>r</w:t>
      </w:r>
      <w:r w:rsidRPr="0077615B">
        <w:t>d'hui comme un texte d'une nature partic</w:t>
      </w:r>
      <w:r w:rsidRPr="0077615B">
        <w:t>u</w:t>
      </w:r>
      <w:r w:rsidRPr="0077615B">
        <w:t>lière par les tribunaux</w:t>
      </w:r>
      <w:r>
        <w:t> </w:t>
      </w:r>
      <w:r w:rsidRPr="005B6CBD">
        <w:rPr>
          <w:rStyle w:val="Appelnotedebasdep"/>
        </w:rPr>
        <w:footnoteReference w:id="198"/>
      </w:r>
      <w:r w:rsidRPr="0077615B">
        <w:t>.</w:t>
      </w:r>
    </w:p>
    <w:p w:rsidR="00AD690E" w:rsidRPr="0077615B" w:rsidRDefault="00AD690E" w:rsidP="00AD690E">
      <w:pPr>
        <w:spacing w:before="120" w:after="120"/>
        <w:jc w:val="both"/>
      </w:pPr>
      <w:r w:rsidRPr="0077615B">
        <w:t>Il est important de souligner que le préambule reconnaît formell</w:t>
      </w:r>
      <w:r w:rsidRPr="0077615B">
        <w:t>e</w:t>
      </w:r>
      <w:r w:rsidRPr="0077615B">
        <w:t xml:space="preserve">ment le principe de la primauté du droit, connu aussi sous le nom de </w:t>
      </w:r>
      <w:r w:rsidRPr="0077615B">
        <w:rPr>
          <w:i/>
        </w:rPr>
        <w:t>Rule of Law</w:t>
      </w:r>
      <w:r w:rsidRPr="0077615B">
        <w:t xml:space="preserve"> parce que ce principe a une importance pa</w:t>
      </w:r>
      <w:r w:rsidRPr="0077615B">
        <w:t>r</w:t>
      </w:r>
      <w:r w:rsidRPr="0077615B">
        <w:t>ticulière et nouvelle dans notre droit. C'est en effet son caractère fondame</w:t>
      </w:r>
      <w:r w:rsidRPr="0077615B">
        <w:t>n</w:t>
      </w:r>
      <w:r w:rsidRPr="0077615B">
        <w:t>tal dans notre Constitution qui a permis à la Cour suprême du C</w:t>
      </w:r>
      <w:r w:rsidRPr="0077615B">
        <w:t>a</w:t>
      </w:r>
      <w:r w:rsidRPr="0077615B">
        <w:t>nada de déclarer valides et opérantes les lois unilingues anglaises du Manit</w:t>
      </w:r>
      <w:r w:rsidRPr="0077615B">
        <w:t>o</w:t>
      </w:r>
      <w:r w:rsidRPr="0077615B">
        <w:t>ba, qui depuis 1890 contrevenaient à une disposition constit</w:t>
      </w:r>
      <w:r w:rsidRPr="0077615B">
        <w:t>u</w:t>
      </w:r>
      <w:r w:rsidRPr="0077615B">
        <w:t>tionnelle expresse :</w:t>
      </w:r>
    </w:p>
    <w:p w:rsidR="00AD690E" w:rsidRDefault="00AD690E" w:rsidP="00AD690E">
      <w:pPr>
        <w:pStyle w:val="Grillecouleur-Accent1"/>
      </w:pPr>
    </w:p>
    <w:p w:rsidR="00AD690E" w:rsidRDefault="00AD690E" w:rsidP="00AD690E">
      <w:pPr>
        <w:pStyle w:val="Grillecouleur-Accent1"/>
      </w:pPr>
      <w:r w:rsidRPr="002E2B2C">
        <w:t>En raison de la violation incessante par la législature du Man</w:t>
      </w:r>
      <w:r w:rsidRPr="002E2B2C">
        <w:t>i</w:t>
      </w:r>
      <w:r w:rsidRPr="002E2B2C">
        <w:t>toba des prescriptions constitutionnelles de la Loi de 1870 sur le Manitoba, la pr</w:t>
      </w:r>
      <w:r w:rsidRPr="002E2B2C">
        <w:t>o</w:t>
      </w:r>
      <w:r w:rsidRPr="002E2B2C">
        <w:t>vince du Manitoba se trouve dans une situation d'urgence : to</w:t>
      </w:r>
      <w:r w:rsidRPr="002E2B2C">
        <w:t>u</w:t>
      </w:r>
      <w:r w:rsidRPr="002E2B2C">
        <w:t>tes les lois du Manitoba apparemment abrogées, périmées ou actuelles [...] sont, et ont to</w:t>
      </w:r>
      <w:r w:rsidRPr="002E2B2C">
        <w:t>u</w:t>
      </w:r>
      <w:r w:rsidRPr="002E2B2C">
        <w:t>jours été invalides et inopérantes... La Constitution ne permet pas qu'une province soit dépourvue de lois. La Constitution exige donc que les lois actuelles de la législature du Manitoba soient déclarées temporair</w:t>
      </w:r>
      <w:r w:rsidRPr="002E2B2C">
        <w:t>e</w:t>
      </w:r>
      <w:r w:rsidRPr="002E2B2C">
        <w:t>ment valides et opérantes... C'est là la seule manière d'éviter le chaos jur</w:t>
      </w:r>
      <w:r w:rsidRPr="002E2B2C">
        <w:t>i</w:t>
      </w:r>
      <w:r w:rsidRPr="002E2B2C">
        <w:t xml:space="preserve">dique et de </w:t>
      </w:r>
      <w:r w:rsidRPr="002E2B2C">
        <w:rPr>
          <w:i/>
        </w:rPr>
        <w:t>préserver la pr</w:t>
      </w:r>
      <w:r w:rsidRPr="002E2B2C">
        <w:rPr>
          <w:i/>
        </w:rPr>
        <w:t>i</w:t>
      </w:r>
      <w:r w:rsidRPr="002E2B2C">
        <w:rPr>
          <w:i/>
        </w:rPr>
        <w:t>mauté du droit</w:t>
      </w:r>
      <w:r>
        <w:t> </w:t>
      </w:r>
      <w:r w:rsidRPr="003A7487">
        <w:rPr>
          <w:rStyle w:val="Appelnotedebasdep"/>
          <w:szCs w:val="18"/>
        </w:rPr>
        <w:footnoteReference w:id="199"/>
      </w:r>
      <w:r w:rsidRPr="002E2B2C">
        <w:t>.</w:t>
      </w:r>
    </w:p>
    <w:p w:rsidR="00AD690E" w:rsidRPr="002E2B2C" w:rsidRDefault="00AD690E" w:rsidP="00AD690E">
      <w:pPr>
        <w:pStyle w:val="Grillecouleur-Accent1"/>
      </w:pPr>
    </w:p>
    <w:p w:rsidR="00AD690E" w:rsidRDefault="00AD690E" w:rsidP="00AD690E">
      <w:pPr>
        <w:spacing w:before="120" w:after="120"/>
        <w:jc w:val="both"/>
      </w:pPr>
      <w:r w:rsidRPr="0077615B">
        <w:t>La situation était exceptionnelle, le remède l'était aussi. Il n'en d</w:t>
      </w:r>
      <w:r w:rsidRPr="0077615B">
        <w:t>e</w:t>
      </w:r>
      <w:r w:rsidRPr="0077615B">
        <w:t>meure pas moins que le principe de la primauté du droit est d</w:t>
      </w:r>
      <w:r w:rsidRPr="0077615B">
        <w:t>é</w:t>
      </w:r>
      <w:r w:rsidRPr="0077615B">
        <w:t>sormais considéré comme la mesure ultime de la validité et de la nécessité des lois au-dessus même de leur conformité aux a</w:t>
      </w:r>
      <w:r w:rsidRPr="0077615B">
        <w:t>u</w:t>
      </w:r>
      <w:r w:rsidRPr="0077615B">
        <w:t>tres dispositions de la Constitution. Soulignons au passage que les lois unili</w:t>
      </w:r>
      <w:r w:rsidRPr="0077615B">
        <w:t>n</w:t>
      </w:r>
      <w:r w:rsidRPr="0077615B">
        <w:t>gues adoptées par le Québec de 1976 à 1979 avaient aussi été déclarées inconstit</w:t>
      </w:r>
      <w:r w:rsidRPr="0077615B">
        <w:t>u</w:t>
      </w:r>
      <w:r w:rsidRPr="0077615B">
        <w:t>tionnelles pour les mêmes raisons</w:t>
      </w:r>
      <w:r>
        <w:t> </w:t>
      </w:r>
      <w:r w:rsidRPr="005B6CBD">
        <w:rPr>
          <w:rStyle w:val="Appelnotedebasdep"/>
        </w:rPr>
        <w:footnoteReference w:id="200"/>
      </w:r>
      <w:r w:rsidRPr="0077615B">
        <w:t>. Le gouve</w:t>
      </w:r>
      <w:r w:rsidRPr="0077615B">
        <w:t>r</w:t>
      </w:r>
      <w:r w:rsidRPr="0077615B">
        <w:t>nement du Québec avait cependant pris soin d'assurer une tr</w:t>
      </w:r>
      <w:r w:rsidRPr="0077615B">
        <w:t>a</w:t>
      </w:r>
      <w:r w:rsidRPr="0077615B">
        <w:t>duction officieuse des lois et put ainsi réadopter instantanément toutes les lois dans les deux la</w:t>
      </w:r>
      <w:r w:rsidRPr="0077615B">
        <w:t>n</w:t>
      </w:r>
      <w:r w:rsidRPr="0077615B">
        <w:t>gues</w:t>
      </w:r>
      <w:r>
        <w:t> </w:t>
      </w:r>
      <w:r w:rsidRPr="005B6CBD">
        <w:rPr>
          <w:rStyle w:val="Appelnotedebasdep"/>
        </w:rPr>
        <w:footnoteReference w:id="201"/>
      </w:r>
      <w:r w:rsidRPr="0077615B">
        <w:t xml:space="preserve"> sans que n'existe de situation de vide jur</w:t>
      </w:r>
      <w:r w:rsidRPr="0077615B">
        <w:t>i</w:t>
      </w:r>
      <w:r w:rsidRPr="0077615B">
        <w:t>dique, comme dans le cas du Manitoba.</w:t>
      </w:r>
    </w:p>
    <w:p w:rsidR="00AD690E" w:rsidRPr="0077615B" w:rsidRDefault="00AD690E" w:rsidP="00AD690E">
      <w:pPr>
        <w:spacing w:before="120" w:after="120"/>
        <w:jc w:val="both"/>
      </w:pPr>
      <w:r w:rsidRPr="0077615B">
        <w:rPr>
          <w:szCs w:val="18"/>
        </w:rPr>
        <w:t>[114]</w:t>
      </w:r>
    </w:p>
    <w:p w:rsidR="00AD690E" w:rsidRDefault="00AD690E" w:rsidP="00AD690E">
      <w:pPr>
        <w:spacing w:before="120" w:after="120"/>
        <w:jc w:val="both"/>
      </w:pPr>
      <w:r w:rsidRPr="0077615B">
        <w:t>L'article 1 énonce que la Charte « garantit les droits et libertés qui y sont énoncés. Ils ne peuvent être restreints que par une règle de droit, dans des limites qui soient raisonnables et dont la justific</w:t>
      </w:r>
      <w:r w:rsidRPr="0077615B">
        <w:t>a</w:t>
      </w:r>
      <w:r w:rsidRPr="0077615B">
        <w:t>tion puisse se démontrer dans le cadre d'une société libre et démocrat</w:t>
      </w:r>
      <w:r w:rsidRPr="0077615B">
        <w:t>i</w:t>
      </w:r>
      <w:r w:rsidRPr="0077615B">
        <w:t>que ». Les droits garantis par la Charte ne sont donc pas absolus et certaines restrictions peuvent y être apportées à l'occ</w:t>
      </w:r>
      <w:r w:rsidRPr="0077615B">
        <w:t>a</w:t>
      </w:r>
      <w:r w:rsidRPr="0077615B">
        <w:t>sion</w:t>
      </w:r>
      <w:r>
        <w:t> </w:t>
      </w:r>
      <w:r w:rsidRPr="005B6CBD">
        <w:rPr>
          <w:rStyle w:val="Appelnotedebasdep"/>
        </w:rPr>
        <w:footnoteReference w:id="202"/>
      </w:r>
      <w:r w:rsidRPr="0077615B">
        <w:t>.</w:t>
      </w:r>
    </w:p>
    <w:p w:rsidR="00AD690E" w:rsidRPr="0077615B" w:rsidRDefault="00AD690E" w:rsidP="00AD690E">
      <w:pPr>
        <w:spacing w:before="120" w:after="120"/>
        <w:jc w:val="both"/>
      </w:pPr>
      <w:r>
        <w:br w:type="page"/>
      </w:r>
    </w:p>
    <w:p w:rsidR="00AD690E" w:rsidRPr="005E1720" w:rsidRDefault="00AD690E" w:rsidP="00AD690E">
      <w:pPr>
        <w:pStyle w:val="a"/>
      </w:pPr>
      <w:r w:rsidRPr="005E1720">
        <w:t>Les libertés fondamentales, les droits démocratiques</w:t>
      </w:r>
      <w:r>
        <w:br/>
      </w:r>
      <w:r w:rsidRPr="005E1720">
        <w:t>et les gara</w:t>
      </w:r>
      <w:r w:rsidRPr="005E1720">
        <w:t>n</w:t>
      </w:r>
      <w:r w:rsidRPr="005E1720">
        <w:t>ties juridiques.</w:t>
      </w:r>
    </w:p>
    <w:p w:rsidR="00AD690E" w:rsidRPr="007A7F86" w:rsidRDefault="00AD690E" w:rsidP="00AD690E">
      <w:pPr>
        <w:spacing w:before="120" w:after="120"/>
        <w:jc w:val="both"/>
        <w:rPr>
          <w:szCs w:val="18"/>
        </w:rPr>
      </w:pPr>
    </w:p>
    <w:p w:rsidR="00AD690E" w:rsidRPr="007A7F86" w:rsidRDefault="00AD690E" w:rsidP="00AD690E">
      <w:pPr>
        <w:spacing w:before="120" w:after="120"/>
        <w:jc w:val="both"/>
        <w:rPr>
          <w:szCs w:val="18"/>
        </w:rPr>
      </w:pPr>
      <w:r w:rsidRPr="007A7F86">
        <w:rPr>
          <w:szCs w:val="18"/>
        </w:rPr>
        <w:t>L'article 2 énonce les libertés fondamentales dont chacun jouit : conscience, pensée, croyance, opinion et expression (y compris l</w:t>
      </w:r>
      <w:r w:rsidRPr="007A7F86">
        <w:rPr>
          <w:szCs w:val="18"/>
        </w:rPr>
        <w:t>i</w:t>
      </w:r>
      <w:r w:rsidRPr="007A7F86">
        <w:rPr>
          <w:szCs w:val="18"/>
        </w:rPr>
        <w:t>berté de la presse et autres moyens de communication), réunion p</w:t>
      </w:r>
      <w:r w:rsidRPr="007A7F86">
        <w:rPr>
          <w:szCs w:val="18"/>
        </w:rPr>
        <w:t>a</w:t>
      </w:r>
      <w:r w:rsidRPr="007A7F86">
        <w:rPr>
          <w:szCs w:val="18"/>
        </w:rPr>
        <w:t>cifique et association.</w:t>
      </w:r>
    </w:p>
    <w:p w:rsidR="00AD690E" w:rsidRPr="0077615B" w:rsidRDefault="00AD690E" w:rsidP="00AD690E">
      <w:pPr>
        <w:spacing w:before="120" w:after="120"/>
        <w:jc w:val="both"/>
      </w:pPr>
      <w:r w:rsidRPr="0077615B">
        <w:t>Les articles 3, 4 et 5 énoncent les droits démocratiques de tout c</w:t>
      </w:r>
      <w:r w:rsidRPr="0077615B">
        <w:t>i</w:t>
      </w:r>
      <w:r w:rsidRPr="0077615B">
        <w:t>toyen canadien (vote et éligibilité), ainsi que le mandat max</w:t>
      </w:r>
      <w:r w:rsidRPr="0077615B">
        <w:t>i</w:t>
      </w:r>
      <w:r w:rsidRPr="0077615B">
        <w:t>mal (cinq ans) des législatures et du Parlement, qui doivent tenir des séances au moins une fois tous les douze mois. La durée du Parlement et des lég</w:t>
      </w:r>
      <w:r w:rsidRPr="0077615B">
        <w:t>i</w:t>
      </w:r>
      <w:r w:rsidRPr="0077615B">
        <w:t>slatures ne peut être prolongée au-delà de cinq ans que dans des ci</w:t>
      </w:r>
      <w:r w:rsidRPr="0077615B">
        <w:t>r</w:t>
      </w:r>
      <w:r w:rsidRPr="0077615B">
        <w:t>constances exceptionnelles dont le libe</w:t>
      </w:r>
      <w:r w:rsidRPr="0077615B">
        <w:t>l</w:t>
      </w:r>
      <w:r w:rsidRPr="0077615B">
        <w:t>lé rappelle celui de la Loi des mesures de guerre (« guerre, invasion, insurrection, réelles ou appr</w:t>
      </w:r>
      <w:r w:rsidRPr="0077615B">
        <w:t>é</w:t>
      </w:r>
      <w:r w:rsidRPr="0077615B">
        <w:t>hendées »), par un vote des deux tiers des d</w:t>
      </w:r>
      <w:r w:rsidRPr="0077615B">
        <w:t>é</w:t>
      </w:r>
      <w:r w:rsidRPr="0077615B">
        <w:t>putés.</w:t>
      </w:r>
    </w:p>
    <w:p w:rsidR="00AD690E" w:rsidRPr="0077615B" w:rsidRDefault="00AD690E" w:rsidP="00AD690E">
      <w:pPr>
        <w:spacing w:before="120" w:after="120"/>
        <w:jc w:val="both"/>
      </w:pPr>
      <w:r w:rsidRPr="0077615B">
        <w:t>L'article 6 assure aux citoyens canadiens la liberté de circul</w:t>
      </w:r>
      <w:r w:rsidRPr="0077615B">
        <w:t>a</w:t>
      </w:r>
      <w:r w:rsidRPr="0077615B">
        <w:t>tion et d'établissement partout au Canada sous réserve de certaines dispos</w:t>
      </w:r>
      <w:r w:rsidRPr="0077615B">
        <w:t>i</w:t>
      </w:r>
      <w:r w:rsidRPr="0077615B">
        <w:t>tions législatives</w:t>
      </w:r>
      <w:r>
        <w:t> </w:t>
      </w:r>
      <w:r w:rsidRPr="005B6CBD">
        <w:rPr>
          <w:rStyle w:val="Appelnotedebasdep"/>
        </w:rPr>
        <w:footnoteReference w:id="203"/>
      </w:r>
      <w:r w:rsidRPr="0077615B">
        <w:t>.</w:t>
      </w:r>
    </w:p>
    <w:p w:rsidR="00AD690E" w:rsidRPr="0077615B" w:rsidRDefault="00AD690E" w:rsidP="00AD690E">
      <w:pPr>
        <w:spacing w:before="120" w:after="120"/>
        <w:jc w:val="both"/>
      </w:pPr>
      <w:r w:rsidRPr="0077615B">
        <w:t>Les articles 7 à 14 énoncent les garanties juridiques auxquelles chaque personne a droit. Ces garanties comprennent notamment :</w:t>
      </w:r>
    </w:p>
    <w:p w:rsidR="00AD690E" w:rsidRPr="0077615B" w:rsidRDefault="00AD690E" w:rsidP="00AD690E">
      <w:pPr>
        <w:ind w:left="720" w:hanging="360"/>
        <w:jc w:val="both"/>
      </w:pPr>
    </w:p>
    <w:p w:rsidR="00AD690E" w:rsidRPr="0077615B" w:rsidRDefault="00AD690E" w:rsidP="00AD690E">
      <w:pPr>
        <w:ind w:left="720" w:hanging="360"/>
        <w:jc w:val="both"/>
      </w:pPr>
      <w:r w:rsidRPr="0077615B">
        <w:t>-</w:t>
      </w:r>
      <w:r w:rsidRPr="0077615B">
        <w:tab/>
        <w:t>les droits à la vie, la liberté et à la sécurité de sa personne ;</w:t>
      </w:r>
    </w:p>
    <w:p w:rsidR="00AD690E" w:rsidRPr="0077615B" w:rsidRDefault="00AD690E" w:rsidP="00AD690E">
      <w:pPr>
        <w:ind w:left="720" w:hanging="360"/>
        <w:jc w:val="both"/>
      </w:pPr>
      <w:r w:rsidRPr="0077615B">
        <w:t>-</w:t>
      </w:r>
      <w:r w:rsidRPr="0077615B">
        <w:tab/>
        <w:t>la protection contre les fouilles et perquisitions abusives et les détentions et emprisonnements arbitraires, à l'inform</w:t>
      </w:r>
      <w:r w:rsidRPr="0077615B">
        <w:t>a</w:t>
      </w:r>
      <w:r w:rsidRPr="0077615B">
        <w:t>tion en cas d'arre</w:t>
      </w:r>
      <w:r w:rsidRPr="0077615B">
        <w:t>s</w:t>
      </w:r>
      <w:r w:rsidRPr="0077615B">
        <w:t>tation ;</w:t>
      </w:r>
    </w:p>
    <w:p w:rsidR="00AD690E" w:rsidRPr="0077615B" w:rsidRDefault="00AD690E" w:rsidP="00AD690E">
      <w:pPr>
        <w:ind w:left="720" w:hanging="360"/>
        <w:jc w:val="both"/>
      </w:pPr>
      <w:r w:rsidRPr="0077615B">
        <w:t>-</w:t>
      </w:r>
      <w:r w:rsidRPr="0077615B">
        <w:tab/>
        <w:t>l'assistance d'un avocat ;</w:t>
      </w:r>
    </w:p>
    <w:p w:rsidR="00AD690E" w:rsidRPr="0077615B" w:rsidRDefault="00AD690E" w:rsidP="00AD690E">
      <w:pPr>
        <w:ind w:left="720" w:hanging="360"/>
        <w:jc w:val="both"/>
      </w:pPr>
      <w:r w:rsidRPr="0077615B">
        <w:t>-</w:t>
      </w:r>
      <w:r w:rsidRPr="0077615B">
        <w:tab/>
        <w:t>l'habeas corpus ;</w:t>
      </w:r>
    </w:p>
    <w:p w:rsidR="00AD690E" w:rsidRPr="0077615B" w:rsidRDefault="00AD690E" w:rsidP="00AD690E">
      <w:pPr>
        <w:ind w:left="720" w:hanging="360"/>
        <w:jc w:val="both"/>
      </w:pPr>
      <w:r w:rsidRPr="0077615B">
        <w:t>-</w:t>
      </w:r>
      <w:r w:rsidRPr="0077615B">
        <w:tab/>
        <w:t>le procès dans un délai raisonnable ;</w:t>
      </w:r>
    </w:p>
    <w:p w:rsidR="00AD690E" w:rsidRPr="0077615B" w:rsidRDefault="00AD690E" w:rsidP="00AD690E">
      <w:pPr>
        <w:ind w:left="720" w:hanging="360"/>
        <w:jc w:val="both"/>
      </w:pPr>
      <w:r w:rsidRPr="0077615B">
        <w:t>-</w:t>
      </w:r>
      <w:r w:rsidRPr="0077615B">
        <w:tab/>
        <w:t>la présomption d'innocence ;</w:t>
      </w:r>
    </w:p>
    <w:p w:rsidR="00AD690E" w:rsidRPr="0077615B" w:rsidRDefault="00AD690E" w:rsidP="00AD690E">
      <w:pPr>
        <w:ind w:left="720" w:hanging="360"/>
        <w:jc w:val="both"/>
      </w:pPr>
      <w:r w:rsidRPr="0077615B">
        <w:t>-</w:t>
      </w:r>
      <w:r w:rsidRPr="0077615B">
        <w:tab/>
        <w:t>le procès par jury pour les infractions les plus importantes ;</w:t>
      </w:r>
    </w:p>
    <w:p w:rsidR="00AD690E" w:rsidRPr="0077615B" w:rsidRDefault="00AD690E" w:rsidP="00AD690E">
      <w:pPr>
        <w:ind w:left="720" w:hanging="360"/>
        <w:jc w:val="both"/>
      </w:pPr>
      <w:r w:rsidRPr="0077615B">
        <w:t>-</w:t>
      </w:r>
      <w:r w:rsidRPr="0077615B">
        <w:tab/>
        <w:t>la non-rétroactivité des lois ;</w:t>
      </w:r>
    </w:p>
    <w:p w:rsidR="00AD690E" w:rsidRPr="0077615B" w:rsidRDefault="00AD690E" w:rsidP="00AD690E">
      <w:pPr>
        <w:ind w:left="720" w:hanging="360"/>
        <w:jc w:val="both"/>
      </w:pPr>
      <w:r w:rsidRPr="0077615B">
        <w:t>-</w:t>
      </w:r>
      <w:r w:rsidRPr="0077615B">
        <w:tab/>
        <w:t>la protection contre les traitements usuels ou inusités ;</w:t>
      </w:r>
    </w:p>
    <w:p w:rsidR="00AD690E" w:rsidRPr="0077615B" w:rsidRDefault="00AD690E" w:rsidP="00AD690E">
      <w:pPr>
        <w:ind w:left="720" w:hanging="360"/>
        <w:jc w:val="both"/>
      </w:pPr>
      <w:r w:rsidRPr="0077615B">
        <w:t>-</w:t>
      </w:r>
      <w:r w:rsidRPr="0077615B">
        <w:tab/>
        <w:t>la protection contre des témoignages incriminants ant</w:t>
      </w:r>
      <w:r w:rsidRPr="0077615B">
        <w:t>é</w:t>
      </w:r>
      <w:r w:rsidRPr="0077615B">
        <w:t>rieurs ;</w:t>
      </w:r>
    </w:p>
    <w:p w:rsidR="00AD690E" w:rsidRPr="0077615B" w:rsidRDefault="00AD690E" w:rsidP="00AD690E">
      <w:pPr>
        <w:ind w:left="720" w:hanging="360"/>
        <w:jc w:val="both"/>
      </w:pPr>
      <w:r w:rsidRPr="0077615B">
        <w:t>-</w:t>
      </w:r>
      <w:r w:rsidRPr="0077615B">
        <w:tab/>
        <w:t>le droit à un interprète.</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[115]</w:t>
      </w:r>
    </w:p>
    <w:p w:rsidR="00AD690E" w:rsidRPr="0077615B" w:rsidRDefault="00AD690E" w:rsidP="00AD690E">
      <w:pPr>
        <w:spacing w:before="120" w:after="120"/>
        <w:jc w:val="both"/>
      </w:pPr>
    </w:p>
    <w:p w:rsidR="00AD690E" w:rsidRPr="005A48FC" w:rsidRDefault="00AD690E" w:rsidP="00AD690E">
      <w:pPr>
        <w:pStyle w:val="a"/>
      </w:pPr>
      <w:r w:rsidRPr="005A48FC">
        <w:t>Les droits à l'égalité</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L'article 15 est sans contredit l'un des plus importants et des plus no</w:t>
      </w:r>
      <w:r w:rsidRPr="0077615B">
        <w:t>u</w:t>
      </w:r>
      <w:r w:rsidRPr="0077615B">
        <w:t>veaux. Cet article déclare que :</w:t>
      </w:r>
    </w:p>
    <w:p w:rsidR="00AD690E" w:rsidRDefault="00AD690E" w:rsidP="00AD690E">
      <w:pPr>
        <w:pStyle w:val="Grillecouleur-Accent1"/>
      </w:pPr>
    </w:p>
    <w:p w:rsidR="00AD690E" w:rsidRDefault="00AD690E" w:rsidP="00AD690E">
      <w:pPr>
        <w:pStyle w:val="Grillecouleur-Accent1"/>
      </w:pPr>
      <w:r w:rsidRPr="005A48FC">
        <w:t>La loi ne fait exception de personne et s'applique également à tous, et tous ont droit à la même protection et au même bénéfice de la loi, ind</w:t>
      </w:r>
      <w:r w:rsidRPr="005A48FC">
        <w:t>é</w:t>
      </w:r>
      <w:r w:rsidRPr="005A48FC">
        <w:t>pendamment de toute discrimination, notamment des discriminations fo</w:t>
      </w:r>
      <w:r w:rsidRPr="005A48FC">
        <w:t>n</w:t>
      </w:r>
      <w:r w:rsidRPr="005A48FC">
        <w:t>dées sur la race, l'origine nationale ou ethnique, la couleur, la religion, le sexe, l'âge ou les déficiences mentales ou phys</w:t>
      </w:r>
      <w:r w:rsidRPr="005A48FC">
        <w:t>i</w:t>
      </w:r>
      <w:r w:rsidRPr="005A48FC">
        <w:t>ques.</w:t>
      </w:r>
    </w:p>
    <w:p w:rsidR="00AD690E" w:rsidRPr="005A48FC" w:rsidRDefault="00AD690E" w:rsidP="00AD690E">
      <w:pPr>
        <w:pStyle w:val="Grillecouleur-Accent1"/>
      </w:pPr>
    </w:p>
    <w:p w:rsidR="00AD690E" w:rsidRPr="0077615B" w:rsidRDefault="00AD690E" w:rsidP="00AD690E">
      <w:pPr>
        <w:spacing w:before="120" w:after="120"/>
        <w:jc w:val="both"/>
      </w:pPr>
      <w:r w:rsidRPr="0077615B">
        <w:t>Cet article élargit considérablement la portée de la Déclaration c</w:t>
      </w:r>
      <w:r w:rsidRPr="0077615B">
        <w:t>a</w:t>
      </w:r>
      <w:r w:rsidRPr="0077615B">
        <w:t>nadienne des droits de 1960 et va même plus loin que le XIV</w:t>
      </w:r>
      <w:r w:rsidRPr="0077615B">
        <w:rPr>
          <w:vertAlign w:val="superscript"/>
        </w:rPr>
        <w:t>e</w:t>
      </w:r>
      <w:r w:rsidRPr="0077615B">
        <w:t xml:space="preserve"> ame</w:t>
      </w:r>
      <w:r w:rsidRPr="0077615B">
        <w:t>n</w:t>
      </w:r>
      <w:r w:rsidRPr="0077615B">
        <w:t>dement de la Constitution américaine dans la définition du concept d'égalité et des discriminations interdites. Sa portée était vue comme si considérable que son entrée en vigueur fut reportée de trois ans afin de permettre aux législatures et au Parlement de s'y conformer.</w:t>
      </w:r>
    </w:p>
    <w:p w:rsidR="00AD690E" w:rsidRPr="0077615B" w:rsidRDefault="00AD690E" w:rsidP="00AD690E">
      <w:pPr>
        <w:spacing w:before="120" w:after="120"/>
        <w:jc w:val="both"/>
        <w:rPr>
          <w:bCs/>
        </w:rPr>
      </w:pPr>
    </w:p>
    <w:p w:rsidR="00AD690E" w:rsidRPr="005A48FC" w:rsidRDefault="00AD690E" w:rsidP="00AD690E">
      <w:pPr>
        <w:pStyle w:val="a"/>
      </w:pPr>
      <w:r w:rsidRPr="005A48FC">
        <w:t>Les langues officielles et les droits à l'instruction</w:t>
      </w:r>
      <w:r>
        <w:br/>
      </w:r>
      <w:r w:rsidRPr="005A48FC">
        <w:t>dans la la</w:t>
      </w:r>
      <w:r w:rsidRPr="005A48FC">
        <w:t>n</w:t>
      </w:r>
      <w:r w:rsidRPr="005A48FC">
        <w:t>gue de la minorité</w:t>
      </w:r>
    </w:p>
    <w:p w:rsidR="00AD690E" w:rsidRPr="007A7F86" w:rsidRDefault="00AD690E" w:rsidP="00AD690E">
      <w:pPr>
        <w:spacing w:before="120" w:after="120"/>
        <w:jc w:val="both"/>
        <w:rPr>
          <w:bCs/>
        </w:rPr>
      </w:pPr>
    </w:p>
    <w:p w:rsidR="00AD690E" w:rsidRPr="007A7F86" w:rsidRDefault="00AD690E" w:rsidP="00AD690E">
      <w:pPr>
        <w:spacing w:before="120" w:after="120"/>
        <w:jc w:val="both"/>
        <w:rPr>
          <w:bCs/>
        </w:rPr>
      </w:pPr>
      <w:r w:rsidRPr="007A7F86">
        <w:rPr>
          <w:bCs/>
        </w:rPr>
        <w:t>Les articles 16 à 22 concernent les langues officielles. Ils affi</w:t>
      </w:r>
      <w:r w:rsidRPr="007A7F86">
        <w:rPr>
          <w:bCs/>
        </w:rPr>
        <w:t>r</w:t>
      </w:r>
      <w:r w:rsidRPr="007A7F86">
        <w:rPr>
          <w:bCs/>
        </w:rPr>
        <w:t>ment le caractère officiel de l'anglais et du français au Parlement et dans les institutions fédérales. Ils étendent des dispositions simila</w:t>
      </w:r>
      <w:r w:rsidRPr="007A7F86">
        <w:rPr>
          <w:bCs/>
        </w:rPr>
        <w:t>i</w:t>
      </w:r>
      <w:r w:rsidRPr="007A7F86">
        <w:rPr>
          <w:bCs/>
        </w:rPr>
        <w:t xml:space="preserve">res à celles de l'article 133 de la loi de 1867 au Nouveau-Brunswick </w:t>
      </w:r>
      <w:r w:rsidRPr="0077615B">
        <w:rPr>
          <w:bCs/>
        </w:rPr>
        <w:t xml:space="preserve">tout </w:t>
      </w:r>
      <w:r w:rsidRPr="007A7F86">
        <w:rPr>
          <w:bCs/>
        </w:rPr>
        <w:t>en mai</w:t>
      </w:r>
      <w:r w:rsidRPr="007A7F86">
        <w:rPr>
          <w:bCs/>
        </w:rPr>
        <w:t>n</w:t>
      </w:r>
      <w:r w:rsidRPr="007A7F86">
        <w:rPr>
          <w:bCs/>
        </w:rPr>
        <w:t>tenant le statu quo pour les autres provi</w:t>
      </w:r>
      <w:r w:rsidRPr="007A7F86">
        <w:rPr>
          <w:bCs/>
        </w:rPr>
        <w:t>n</w:t>
      </w:r>
      <w:r w:rsidRPr="007A7F86">
        <w:rPr>
          <w:bCs/>
        </w:rPr>
        <w:t>ces.</w:t>
      </w:r>
    </w:p>
    <w:p w:rsidR="00AD690E" w:rsidRPr="0077615B" w:rsidRDefault="00AD690E" w:rsidP="00AD690E">
      <w:pPr>
        <w:spacing w:before="120" w:after="120"/>
        <w:jc w:val="both"/>
      </w:pPr>
      <w:r w:rsidRPr="0077615B">
        <w:t>L'article 23 est mieux connu sous le nom de « clause-Canada ». Il vient faire expressément échec à la « clause-Québec » de la loi 101 et qui prévoit le droit de fréquenter l'école anglaise pour « les citoyens canadiens dont un enfant a reçu ou reçoit son instruction, au niveau primaire ou secondaire en français ou anglais, au Can</w:t>
      </w:r>
      <w:r w:rsidRPr="0077615B">
        <w:t>a</w:t>
      </w:r>
      <w:r w:rsidRPr="0077615B">
        <w:t>da », là où le nombre d'enfants est suff</w:t>
      </w:r>
      <w:r w:rsidRPr="0077615B">
        <w:t>i</w:t>
      </w:r>
      <w:r w:rsidRPr="0077615B">
        <w:t>sant. C'est sur la base de cet article que la Cour suprême a inval</w:t>
      </w:r>
      <w:r w:rsidRPr="0077615B">
        <w:t>i</w:t>
      </w:r>
      <w:r w:rsidRPr="0077615B">
        <w:t>dé les dispositions de la Charte de la langue française qui v</w:t>
      </w:r>
      <w:r w:rsidRPr="0077615B">
        <w:t>e</w:t>
      </w:r>
      <w:r w:rsidRPr="0077615B">
        <w:t>naient en conflit avec cette disposition</w:t>
      </w:r>
      <w:r>
        <w:t> </w:t>
      </w:r>
      <w:r w:rsidRPr="005B6CBD">
        <w:rPr>
          <w:rStyle w:val="Appelnotedebasdep"/>
        </w:rPr>
        <w:footnoteReference w:id="204"/>
      </w:r>
      <w:r w:rsidRPr="0077615B">
        <w:t>.</w:t>
      </w:r>
    </w:p>
    <w:p w:rsidR="00AD690E" w:rsidRPr="0077615B" w:rsidRDefault="00AD690E" w:rsidP="00AD690E">
      <w:pPr>
        <w:spacing w:before="120" w:after="120"/>
        <w:jc w:val="both"/>
        <w:rPr>
          <w:bCs/>
        </w:rPr>
      </w:pPr>
    </w:p>
    <w:p w:rsidR="00AD690E" w:rsidRPr="005A48FC" w:rsidRDefault="00AD690E" w:rsidP="00AD690E">
      <w:pPr>
        <w:pStyle w:val="a"/>
      </w:pPr>
      <w:r w:rsidRPr="005A48FC">
        <w:t>Les recours</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L'article 24 prévoit les recours qui peuvent être exercés par to</w:t>
      </w:r>
      <w:r w:rsidRPr="0077615B">
        <w:t>u</w:t>
      </w:r>
      <w:r w:rsidRPr="0077615B">
        <w:t>te personne victime d'une atteinte aux droits et libertés gara</w:t>
      </w:r>
      <w:r w:rsidRPr="0077615B">
        <w:t>n</w:t>
      </w:r>
      <w:r w:rsidRPr="0077615B">
        <w:t>tis par la Charte. Ces recours</w:t>
      </w:r>
      <w:r>
        <w:t xml:space="preserve"> </w:t>
      </w:r>
      <w:r w:rsidRPr="0077615B">
        <w:t>[</w:t>
      </w:r>
      <w:r w:rsidRPr="0077615B">
        <w:rPr>
          <w:szCs w:val="18"/>
        </w:rPr>
        <w:t>116]</w:t>
      </w:r>
      <w:r>
        <w:rPr>
          <w:szCs w:val="18"/>
        </w:rPr>
        <w:t xml:space="preserve"> </w:t>
      </w:r>
      <w:r w:rsidRPr="0077615B">
        <w:t>peuvent s'exercer devant tout tribunal co</w:t>
      </w:r>
      <w:r w:rsidRPr="0077615B">
        <w:t>m</w:t>
      </w:r>
      <w:r w:rsidRPr="0077615B">
        <w:t>pétent, et la réparation sera celle que le tribunal estimera convenable et juste eu égard aux ci</w:t>
      </w:r>
      <w:r w:rsidRPr="0077615B">
        <w:t>r</w:t>
      </w:r>
      <w:r w:rsidRPr="0077615B">
        <w:t>constances.</w:t>
      </w:r>
    </w:p>
    <w:p w:rsidR="00AD690E" w:rsidRPr="0077615B" w:rsidRDefault="00AD690E" w:rsidP="00AD690E">
      <w:pPr>
        <w:spacing w:before="120" w:after="120"/>
        <w:jc w:val="both"/>
        <w:rPr>
          <w:bCs/>
        </w:rPr>
      </w:pPr>
    </w:p>
    <w:p w:rsidR="00AD690E" w:rsidRPr="0062624B" w:rsidRDefault="00AD690E" w:rsidP="00AD690E">
      <w:pPr>
        <w:pStyle w:val="a"/>
      </w:pPr>
      <w:r w:rsidRPr="0062624B">
        <w:t>Les dispositions générales</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L'article 25 garantit que la Charte canadienne des droits et libe</w:t>
      </w:r>
      <w:r w:rsidRPr="0077615B">
        <w:t>r</w:t>
      </w:r>
      <w:r w:rsidRPr="0077615B">
        <w:t>tés ne portera pas atteinte aux droits ancestraux des peuples autocht</w:t>
      </w:r>
      <w:r w:rsidRPr="0077615B">
        <w:t>o</w:t>
      </w:r>
      <w:r w:rsidRPr="0077615B">
        <w:t>nes du Canada.</w:t>
      </w:r>
    </w:p>
    <w:p w:rsidR="00AD690E" w:rsidRPr="0077615B" w:rsidRDefault="00AD690E" w:rsidP="00AD690E">
      <w:pPr>
        <w:spacing w:before="120" w:after="120"/>
        <w:jc w:val="both"/>
      </w:pPr>
      <w:r w:rsidRPr="0077615B">
        <w:t>L'article 26 maintient les autres droits et libertés existant par ai</w:t>
      </w:r>
      <w:r w:rsidRPr="0077615B">
        <w:t>l</w:t>
      </w:r>
      <w:r w:rsidRPr="0077615B">
        <w:t>leurs.</w:t>
      </w:r>
    </w:p>
    <w:p w:rsidR="00AD690E" w:rsidRPr="0077615B" w:rsidRDefault="00AD690E" w:rsidP="00AD690E">
      <w:pPr>
        <w:spacing w:before="120" w:after="120"/>
        <w:jc w:val="both"/>
      </w:pPr>
      <w:r w:rsidRPr="0077615B">
        <w:t>L'article 27 prévoit que l'interprétation de la Charte doit conco</w:t>
      </w:r>
      <w:r w:rsidRPr="0077615B">
        <w:t>r</w:t>
      </w:r>
      <w:r w:rsidRPr="0077615B">
        <w:t>der avec la promotion et le maintien du patrimoine mult</w:t>
      </w:r>
      <w:r w:rsidRPr="0077615B">
        <w:t>i</w:t>
      </w:r>
      <w:r w:rsidRPr="0077615B">
        <w:t>culturel.</w:t>
      </w:r>
    </w:p>
    <w:p w:rsidR="00AD690E" w:rsidRPr="0077615B" w:rsidRDefault="00AD690E" w:rsidP="00AD690E">
      <w:pPr>
        <w:spacing w:before="120" w:after="120"/>
        <w:jc w:val="both"/>
      </w:pPr>
      <w:r w:rsidRPr="0077615B">
        <w:t>L'article 28, qui a fait l'objet de nombreuses discussions, const</w:t>
      </w:r>
      <w:r w:rsidRPr="0077615B">
        <w:t>i</w:t>
      </w:r>
      <w:r w:rsidRPr="0077615B">
        <w:t>tue une véritable clause « nonobstant » qui déclare que « indépendamment des autres dispositions de la présente Charte, les droits et libertés qui y sont mentionnés sont garantis égal</w:t>
      </w:r>
      <w:r w:rsidRPr="0077615B">
        <w:t>e</w:t>
      </w:r>
      <w:r w:rsidRPr="0077615B">
        <w:t>ment aux personnes des deux sexes ».</w:t>
      </w:r>
    </w:p>
    <w:p w:rsidR="00AD690E" w:rsidRPr="0077615B" w:rsidRDefault="00AD690E" w:rsidP="00AD690E">
      <w:pPr>
        <w:spacing w:before="120" w:after="120"/>
        <w:jc w:val="both"/>
      </w:pPr>
      <w:r w:rsidRPr="0077615B">
        <w:t>L'article 29 maintient les droits des écoles séparées ou confessio</w:t>
      </w:r>
      <w:r w:rsidRPr="0077615B">
        <w:t>n</w:t>
      </w:r>
      <w:r w:rsidRPr="0077615B">
        <w:t>nelles.</w:t>
      </w:r>
    </w:p>
    <w:p w:rsidR="00AD690E" w:rsidRPr="0077615B" w:rsidRDefault="00AD690E" w:rsidP="00AD690E">
      <w:pPr>
        <w:spacing w:before="120" w:after="120"/>
        <w:jc w:val="both"/>
      </w:pPr>
      <w:r w:rsidRPr="0077615B">
        <w:t>L'article 30 prévoit que la Charte s'applique au Yukon et aux Terr</w:t>
      </w:r>
      <w:r w:rsidRPr="0077615B">
        <w:t>i</w:t>
      </w:r>
      <w:r w:rsidRPr="0077615B">
        <w:t>toires.</w:t>
      </w:r>
    </w:p>
    <w:p w:rsidR="00AD690E" w:rsidRPr="0077615B" w:rsidRDefault="00AD690E" w:rsidP="00AD690E">
      <w:pPr>
        <w:spacing w:before="120" w:after="120"/>
        <w:jc w:val="both"/>
        <w:rPr>
          <w:bCs/>
        </w:rPr>
      </w:pPr>
    </w:p>
    <w:p w:rsidR="00AD690E" w:rsidRPr="0062624B" w:rsidRDefault="00AD690E" w:rsidP="00AD690E">
      <w:pPr>
        <w:pStyle w:val="a"/>
      </w:pPr>
      <w:r w:rsidRPr="0062624B">
        <w:t>L'application de la Charte</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L'article 32 prévoit que la Charte s'applique aux législatures et au gouvernement du Canada et des provinces. Cet article contr</w:t>
      </w:r>
      <w:r w:rsidRPr="0077615B">
        <w:t>o</w:t>
      </w:r>
      <w:r w:rsidRPr="0077615B">
        <w:t>versé a été interprété de façon limitative par la Cour suprême du Canada qui a déclaré qu'il signifiait que la Charte n'était pas eff</w:t>
      </w:r>
      <w:r w:rsidRPr="0077615B">
        <w:t>i</w:t>
      </w:r>
      <w:r w:rsidRPr="0077615B">
        <w:t>cace dans le cadre des rapports de droit privé, impliquant des i</w:t>
      </w:r>
      <w:r w:rsidRPr="0077615B">
        <w:t>n</w:t>
      </w:r>
      <w:r w:rsidRPr="0077615B">
        <w:t>dividus</w:t>
      </w:r>
      <w:r>
        <w:t> </w:t>
      </w:r>
      <w:r w:rsidRPr="005B6CBD">
        <w:rPr>
          <w:rStyle w:val="Appelnotedebasdep"/>
        </w:rPr>
        <w:footnoteReference w:id="205"/>
      </w:r>
      <w:r w:rsidRPr="0077615B">
        <w:t>.</w:t>
      </w:r>
    </w:p>
    <w:p w:rsidR="00AD690E" w:rsidRPr="0077615B" w:rsidRDefault="00AD690E" w:rsidP="00AD690E">
      <w:pPr>
        <w:spacing w:before="120" w:after="120"/>
        <w:jc w:val="both"/>
      </w:pPr>
      <w:r w:rsidRPr="0077615B">
        <w:t>L'article 33, parfois appelé à tort « clause nonobstant », clôt les dispositions substantives de la Charte. Cet article permet au Parl</w:t>
      </w:r>
      <w:r w:rsidRPr="0077615B">
        <w:t>e</w:t>
      </w:r>
      <w:r w:rsidRPr="0077615B">
        <w:t>ment ou aux législatures de déroger aux dispositions des a</w:t>
      </w:r>
      <w:r w:rsidRPr="0077615B">
        <w:t>r</w:t>
      </w:r>
      <w:r w:rsidRPr="0077615B">
        <w:t>ticles 2 et 7 à 15 à condition de respecter certaines conditions. La dér</w:t>
      </w:r>
      <w:r w:rsidRPr="0077615B">
        <w:t>o</w:t>
      </w:r>
      <w:r w:rsidRPr="0077615B">
        <w:t>gation doit être adoptée dans le cadre d'une loi qui déclare « que celle-ci ou une de ses dispositions a effet indépendamment d'une disposition donnée de l'a</w:t>
      </w:r>
      <w:r w:rsidRPr="0077615B">
        <w:t>r</w:t>
      </w:r>
      <w:r w:rsidRPr="0077615B">
        <w:t>ticle 2 ou des articles 7 à 15 ». Une telle déclaration donne à la loi ou à la disposition protégée, l'effet qu'elle aurait en l'absence de la disp</w:t>
      </w:r>
      <w:r w:rsidRPr="0077615B">
        <w:t>o</w:t>
      </w:r>
      <w:r w:rsidRPr="0077615B">
        <w:t>sition de la Charte dont on a voulu la protéger. L'effet d'une telle d</w:t>
      </w:r>
      <w:r w:rsidRPr="0077615B">
        <w:t>é</w:t>
      </w:r>
      <w:r w:rsidRPr="0077615B">
        <w:t>claration est d'une durée maximale de cinq années, et peut-être ado</w:t>
      </w:r>
      <w:r w:rsidRPr="0077615B">
        <w:t>p</w:t>
      </w:r>
      <w:r w:rsidRPr="0077615B">
        <w:t>tée de nouveau à son expiration. Cette clause, critiquée par les tenants d'une Charte forte, est une concession en faveur des provinces qui voyaient dans la Charte une limite excessive à leurs compétences lég</w:t>
      </w:r>
      <w:r w:rsidRPr="0077615B">
        <w:t>i</w:t>
      </w:r>
      <w:r w:rsidRPr="0077615B">
        <w:t>slatives.</w:t>
      </w:r>
    </w:p>
    <w:p w:rsidR="00AD690E" w:rsidRPr="0077615B" w:rsidRDefault="00AD690E" w:rsidP="00AD690E">
      <w:pPr>
        <w:spacing w:before="120" w:after="120"/>
        <w:ind w:firstLine="0"/>
        <w:jc w:val="both"/>
      </w:pPr>
      <w:r w:rsidRPr="0077615B">
        <w:br w:type="page"/>
        <w:t>[117]</w:t>
      </w:r>
    </w:p>
    <w:p w:rsidR="00AD690E" w:rsidRPr="0077615B" w:rsidRDefault="00AD690E" w:rsidP="00AD690E">
      <w:pPr>
        <w:spacing w:before="120" w:after="120"/>
        <w:jc w:val="both"/>
      </w:pPr>
    </w:p>
    <w:p w:rsidR="00AD690E" w:rsidRPr="0077615B" w:rsidRDefault="00AD690E" w:rsidP="00AD690E">
      <w:pPr>
        <w:pStyle w:val="planche"/>
      </w:pPr>
      <w:r>
        <w:t>LA POSITION CONSTITUT</w:t>
      </w:r>
      <w:r w:rsidRPr="0077615B">
        <w:t>IONNELLE</w:t>
      </w:r>
      <w:r>
        <w:br/>
      </w:r>
      <w:r w:rsidRPr="0077615B">
        <w:t>DE LA CHARTE</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L'article 52 de la Loi constitutionnelle de 1982 déclare que :</w:t>
      </w:r>
    </w:p>
    <w:p w:rsidR="00AD690E" w:rsidRDefault="00AD690E" w:rsidP="00AD690E">
      <w:pPr>
        <w:pStyle w:val="Grillecouleur-Accent1"/>
      </w:pPr>
    </w:p>
    <w:p w:rsidR="00AD690E" w:rsidRDefault="00AD690E" w:rsidP="00AD690E">
      <w:pPr>
        <w:pStyle w:val="Grillecouleur-Accent1"/>
      </w:pPr>
      <w:r w:rsidRPr="00D964FA">
        <w:t>La constitution du Canada est la loi suprême du Canada ; elle rend inopérantes les dispositions incompatibles de toute autre r</w:t>
      </w:r>
      <w:r w:rsidRPr="00D964FA">
        <w:t>è</w:t>
      </w:r>
      <w:r w:rsidRPr="00D964FA">
        <w:t>gle de droit</w:t>
      </w:r>
      <w:r w:rsidRPr="0077615B">
        <w:t>.</w:t>
      </w:r>
    </w:p>
    <w:p w:rsidR="00AD690E" w:rsidRPr="0077615B" w:rsidRDefault="00AD690E" w:rsidP="00AD690E">
      <w:pPr>
        <w:pStyle w:val="Grillecouleur-Accent1"/>
      </w:pPr>
    </w:p>
    <w:p w:rsidR="00AD690E" w:rsidRPr="0077615B" w:rsidRDefault="00AD690E" w:rsidP="00AD690E">
      <w:pPr>
        <w:spacing w:before="120" w:after="120"/>
        <w:jc w:val="both"/>
      </w:pPr>
      <w:r w:rsidRPr="0077615B">
        <w:t xml:space="preserve">Cela rend donc la </w:t>
      </w:r>
      <w:r w:rsidRPr="00D964FA">
        <w:rPr>
          <w:i/>
        </w:rPr>
        <w:t>Loi constitutionnelle  de 1982</w:t>
      </w:r>
      <w:r>
        <w:t xml:space="preserve"> </w:t>
      </w:r>
      <w:r w:rsidRPr="0077615B">
        <w:t xml:space="preserve">et la </w:t>
      </w:r>
      <w:r w:rsidRPr="007B7BFC">
        <w:rPr>
          <w:i/>
        </w:rPr>
        <w:t>Charte can</w:t>
      </w:r>
      <w:r w:rsidRPr="007B7BFC">
        <w:rPr>
          <w:i/>
        </w:rPr>
        <w:t>a</w:t>
      </w:r>
      <w:r w:rsidRPr="007B7BFC">
        <w:rPr>
          <w:i/>
        </w:rPr>
        <w:t>dienne des droits et libertés</w:t>
      </w:r>
      <w:r w:rsidRPr="0077615B">
        <w:t>, hiérarchiquement supérieures à to</w:t>
      </w:r>
      <w:r w:rsidRPr="0077615B">
        <w:t>u</w:t>
      </w:r>
      <w:r w:rsidRPr="0077615B">
        <w:t>tes les lois et à tous les règlements des provinces et du fédéral, dans la mes</w:t>
      </w:r>
      <w:r w:rsidRPr="0077615B">
        <w:t>u</w:t>
      </w:r>
      <w:r w:rsidRPr="0077615B">
        <w:t>re de l'incompatibilité de ces dernières à la Loi constitutio</w:t>
      </w:r>
      <w:r w:rsidRPr="0077615B">
        <w:t>n</w:t>
      </w:r>
      <w:r w:rsidRPr="0077615B">
        <w:t>nelle.</w:t>
      </w:r>
    </w:p>
    <w:p w:rsidR="00AD690E" w:rsidRPr="0077615B" w:rsidRDefault="00AD690E" w:rsidP="00AD690E">
      <w:pPr>
        <w:spacing w:before="120" w:after="120"/>
        <w:jc w:val="both"/>
      </w:pPr>
      <w:r w:rsidRPr="0077615B">
        <w:t>Ce principe n'existait dans notre droit constitutionnel avant 1982 qu'à l'égard du partage des compétences et des autres dispos</w:t>
      </w:r>
      <w:r w:rsidRPr="0077615B">
        <w:t>i</w:t>
      </w:r>
      <w:r w:rsidRPr="0077615B">
        <w:t xml:space="preserve">tions de la loi de 1867. L'invalidité pouvait alors être prononcée en raison des dispositions d'une vieille loi anglaise, le </w:t>
      </w:r>
      <w:r w:rsidRPr="00D964FA">
        <w:rPr>
          <w:i/>
        </w:rPr>
        <w:t>Colonial Laws Validity Act</w:t>
      </w:r>
      <w:r>
        <w:t> </w:t>
      </w:r>
      <w:r w:rsidRPr="005B6CBD">
        <w:rPr>
          <w:rStyle w:val="Appelnotedebasdep"/>
        </w:rPr>
        <w:footnoteReference w:id="206"/>
      </w:r>
      <w:r>
        <w:rPr>
          <w:vertAlign w:val="superscript"/>
        </w:rPr>
        <w:t xml:space="preserve"> </w:t>
      </w:r>
      <w:r w:rsidRPr="0077615B">
        <w:t>de 1866, dont les dispositions étaient demeurées en vigueur jusqu'en 1982 à cause de l'impossibilité pour le fédéral et les provi</w:t>
      </w:r>
      <w:r w:rsidRPr="0077615B">
        <w:t>n</w:t>
      </w:r>
      <w:r w:rsidRPr="0077615B">
        <w:t>ces de s'e</w:t>
      </w:r>
      <w:r w:rsidRPr="0077615B">
        <w:t>n</w:t>
      </w:r>
      <w:r w:rsidRPr="0077615B">
        <w:t>tendre sur une formule d'amendement, en 1931, au moment où l'Angleterre, par le Statut de Wesminster</w:t>
      </w:r>
      <w:r>
        <w:rPr>
          <w:vertAlign w:val="superscript"/>
        </w:rPr>
        <w:t xml:space="preserve">, </w:t>
      </w:r>
      <w:r>
        <w:rPr>
          <w:rStyle w:val="Appelnotedebasdep"/>
        </w:rPr>
        <w:footnoteReference w:id="207"/>
      </w:r>
      <w:r w:rsidRPr="0077615B">
        <w:t>, avait reconnu l'ind</w:t>
      </w:r>
      <w:r w:rsidRPr="0077615B">
        <w:t>é</w:t>
      </w:r>
      <w:r w:rsidRPr="0077615B">
        <w:t>pendance complète de plusieurs de ses col</w:t>
      </w:r>
      <w:r w:rsidRPr="0077615B">
        <w:t>o</w:t>
      </w:r>
      <w:r w:rsidRPr="0077615B">
        <w:t>nies.</w:t>
      </w:r>
    </w:p>
    <w:p w:rsidR="00AD690E" w:rsidRPr="0077615B" w:rsidRDefault="00AD690E" w:rsidP="00AD690E">
      <w:pPr>
        <w:spacing w:before="120" w:after="120"/>
        <w:jc w:val="both"/>
      </w:pPr>
      <w:r>
        <w:br w:type="page"/>
      </w:r>
    </w:p>
    <w:p w:rsidR="00AD690E" w:rsidRPr="0077615B" w:rsidRDefault="00AD690E" w:rsidP="00AD690E">
      <w:pPr>
        <w:pStyle w:val="planche"/>
      </w:pPr>
      <w:r w:rsidRPr="0077615B">
        <w:t>CE QUE NE CONTIENT PAS</w:t>
      </w:r>
      <w:r>
        <w:br/>
      </w:r>
      <w:r w:rsidRPr="00A0564A">
        <w:rPr>
          <w:i/>
        </w:rPr>
        <w:t>LA CHARTE CAN</w:t>
      </w:r>
      <w:r w:rsidRPr="00A0564A">
        <w:rPr>
          <w:i/>
        </w:rPr>
        <w:t>A</w:t>
      </w:r>
      <w:r>
        <w:rPr>
          <w:i/>
        </w:rPr>
        <w:t>DIENNE</w:t>
      </w:r>
      <w:r>
        <w:rPr>
          <w:i/>
        </w:rPr>
        <w:br/>
      </w:r>
      <w:r w:rsidRPr="00A0564A">
        <w:rPr>
          <w:i/>
        </w:rPr>
        <w:t>DES DROITS ET L</w:t>
      </w:r>
      <w:r w:rsidRPr="00A0564A">
        <w:rPr>
          <w:i/>
        </w:rPr>
        <w:t>I</w:t>
      </w:r>
      <w:r w:rsidRPr="00A0564A">
        <w:rPr>
          <w:i/>
        </w:rPr>
        <w:t>BERTÉS</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La Charte de 1982 est la consécration constitutionnelle de no</w:t>
      </w:r>
      <w:r w:rsidRPr="0077615B">
        <w:t>m</w:t>
      </w:r>
      <w:r w:rsidRPr="0077615B">
        <w:t>breux droits et libertés individuels qui étaient reconnus par les trib</w:t>
      </w:r>
      <w:r w:rsidRPr="0077615B">
        <w:t>u</w:t>
      </w:r>
      <w:r w:rsidRPr="0077615B">
        <w:t>naux et les lois canadiennes avant 1982. Dans plusieurs cas, elle éla</w:t>
      </w:r>
      <w:r w:rsidRPr="0077615B">
        <w:t>r</w:t>
      </w:r>
      <w:r w:rsidRPr="0077615B">
        <w:t>git les frontières et le contenu de ces droits (droit à l'égalité, l</w:t>
      </w:r>
      <w:r w:rsidRPr="0077615B">
        <w:t>i</w:t>
      </w:r>
      <w:r w:rsidRPr="0077615B">
        <w:t>berté de circulation, droit de vote), dans d'autres cas, elle reconnaît de no</w:t>
      </w:r>
      <w:r w:rsidRPr="0077615B">
        <w:t>u</w:t>
      </w:r>
      <w:r w:rsidRPr="0077615B">
        <w:t>veaux droits (protection contre les traitements cruels ou inusités, pr</w:t>
      </w:r>
      <w:r w:rsidRPr="0077615B">
        <w:t>o</w:t>
      </w:r>
      <w:r w:rsidRPr="0077615B">
        <w:t>tection automatique contre l'auto-incrimination...).</w:t>
      </w:r>
    </w:p>
    <w:p w:rsidR="00AD690E" w:rsidRPr="0077615B" w:rsidRDefault="00AD690E" w:rsidP="00AD690E">
      <w:pPr>
        <w:spacing w:before="120" w:after="120"/>
        <w:jc w:val="both"/>
      </w:pPr>
      <w:r w:rsidRPr="0077615B">
        <w:t>Mais la Charte ne couvre pas tout, loin de là ! Il est également i</w:t>
      </w:r>
      <w:r w:rsidRPr="0077615B">
        <w:t>m</w:t>
      </w:r>
      <w:r w:rsidRPr="0077615B">
        <w:t>portant d'analyser les droits qui en sont absents que ceux qui y sont reconnus. En effet,</w:t>
      </w:r>
      <w:r>
        <w:t xml:space="preserve"> </w:t>
      </w:r>
      <w:r w:rsidRPr="0077615B">
        <w:rPr>
          <w:szCs w:val="18"/>
        </w:rPr>
        <w:t>[118]</w:t>
      </w:r>
      <w:r>
        <w:rPr>
          <w:szCs w:val="18"/>
        </w:rPr>
        <w:t xml:space="preserve"> </w:t>
      </w:r>
      <w:r w:rsidRPr="0077615B">
        <w:t>la Charte est totalement muette sur les droits économiques et s</w:t>
      </w:r>
      <w:r w:rsidRPr="0077615B">
        <w:t>o</w:t>
      </w:r>
      <w:r w:rsidRPr="0077615B">
        <w:t>ciaux, et sur presque tous les aspects de nombreux droits colle</w:t>
      </w:r>
      <w:r w:rsidRPr="0077615B">
        <w:t>c</w:t>
      </w:r>
      <w:r w:rsidRPr="0077615B">
        <w:t>tifs.</w:t>
      </w:r>
    </w:p>
    <w:p w:rsidR="00AD690E" w:rsidRPr="0077615B" w:rsidRDefault="00AD690E" w:rsidP="00AD690E">
      <w:pPr>
        <w:spacing w:before="120" w:after="120"/>
        <w:jc w:val="both"/>
        <w:rPr>
          <w:bCs/>
        </w:rPr>
      </w:pPr>
      <w:r>
        <w:rPr>
          <w:bCs/>
        </w:rPr>
        <w:br w:type="page"/>
      </w:r>
    </w:p>
    <w:p w:rsidR="00AD690E" w:rsidRPr="0077615B" w:rsidRDefault="00AD690E" w:rsidP="00AD690E">
      <w:pPr>
        <w:spacing w:before="120" w:after="120"/>
        <w:ind w:firstLine="0"/>
        <w:jc w:val="center"/>
      </w:pPr>
      <w:r w:rsidRPr="0077615B">
        <w:rPr>
          <w:bCs/>
        </w:rPr>
        <w:t>Graphique 1</w:t>
      </w:r>
    </w:p>
    <w:p w:rsidR="00AD690E" w:rsidRDefault="005E1315" w:rsidP="00AD690E">
      <w:pPr>
        <w:pStyle w:val="fig"/>
      </w:pPr>
      <w:r>
        <w:rPr>
          <w:noProof/>
        </w:rPr>
        <w:drawing>
          <wp:inline distT="0" distB="0" distL="0" distR="0">
            <wp:extent cx="4978400" cy="3187700"/>
            <wp:effectExtent l="25400" t="25400" r="12700" b="12700"/>
            <wp:docPr id="6" name="Image 6" descr="fig_p_118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118_s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8400" cy="31877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Ainsi, aucun des droits reconnus, par exemple, au chapitre IV de la Charte des droits et libertés de la personne du Québec relatif au droit à l'instruction publique gratuite, aux mesures d'assistance f</w:t>
      </w:r>
      <w:r w:rsidRPr="0077615B">
        <w:t>i</w:t>
      </w:r>
      <w:r w:rsidRPr="0077615B">
        <w:t>nancière et sociale, à des conditions de travail justes et raiso</w:t>
      </w:r>
      <w:r w:rsidRPr="0077615B">
        <w:t>n</w:t>
      </w:r>
      <w:r w:rsidRPr="0077615B">
        <w:t>nables, ni aucun des droits reconnus dans le Pacte international sur les droits économiques et sociaux n'apparaît dans la Charte can</w:t>
      </w:r>
      <w:r w:rsidRPr="0077615B">
        <w:t>a</w:t>
      </w:r>
      <w:r w:rsidRPr="0077615B">
        <w:t>dienne.</w:t>
      </w:r>
    </w:p>
    <w:p w:rsidR="00AD690E" w:rsidRPr="0077615B" w:rsidRDefault="00AD690E" w:rsidP="00AD690E">
      <w:pPr>
        <w:spacing w:before="120" w:after="120"/>
        <w:jc w:val="both"/>
      </w:pPr>
      <w:r w:rsidRPr="0077615B">
        <w:t xml:space="preserve">Sur le plan des droits des collectivités et des groupes, la </w:t>
      </w:r>
      <w:r w:rsidRPr="007B7BFC">
        <w:rPr>
          <w:i/>
        </w:rPr>
        <w:t>Cha</w:t>
      </w:r>
      <w:r w:rsidRPr="007B7BFC">
        <w:rPr>
          <w:i/>
        </w:rPr>
        <w:t>r</w:t>
      </w:r>
      <w:r w:rsidRPr="007B7BFC">
        <w:rPr>
          <w:i/>
        </w:rPr>
        <w:t xml:space="preserve">te canadienne des droits et libertés </w:t>
      </w:r>
      <w:r w:rsidRPr="0077615B">
        <w:t>est également bien pauvre. Rien, bien sûr, n'y reconnaît le caractère distinct ou particulier de la société qu</w:t>
      </w:r>
      <w:r w:rsidRPr="0077615B">
        <w:t>é</w:t>
      </w:r>
      <w:r w:rsidRPr="0077615B">
        <w:t>bécoise, bien peu sur les peuples autochtones. Ceux-ci sont mentio</w:t>
      </w:r>
      <w:r w:rsidRPr="0077615B">
        <w:t>n</w:t>
      </w:r>
      <w:r w:rsidRPr="0077615B">
        <w:t>nés dans la Loi Constitutionnelle, en dehors de la Charte (c'est-à-dire sans la protection de l'article 1), à l'article 35 qui décl</w:t>
      </w:r>
      <w:r w:rsidRPr="0077615B">
        <w:t>a</w:t>
      </w:r>
      <w:r w:rsidRPr="0077615B">
        <w:t>re :</w:t>
      </w:r>
    </w:p>
    <w:p w:rsidR="00AD690E" w:rsidRDefault="00AD690E" w:rsidP="00AD690E">
      <w:pPr>
        <w:pStyle w:val="Grillecouleur-Accent1"/>
      </w:pPr>
    </w:p>
    <w:p w:rsidR="00AD690E" w:rsidRDefault="00AD690E" w:rsidP="00AD690E">
      <w:pPr>
        <w:pStyle w:val="Grillecouleur-Accent1"/>
      </w:pPr>
      <w:r w:rsidRPr="00AA58C4">
        <w:t>Les droits existants — ancestraux ou issus de traités — des peuples a</w:t>
      </w:r>
      <w:r w:rsidRPr="00AA58C4">
        <w:t>u</w:t>
      </w:r>
      <w:r w:rsidRPr="00AA58C4">
        <w:t>tochtones du Canada sont reconnus et confirmés.</w:t>
      </w:r>
    </w:p>
    <w:p w:rsidR="00AD690E" w:rsidRPr="00AA58C4" w:rsidRDefault="00AD690E" w:rsidP="00AD690E">
      <w:pPr>
        <w:pStyle w:val="Grillecouleur-Accent1"/>
      </w:pPr>
      <w:r>
        <w:br w:type="page"/>
      </w:r>
    </w:p>
    <w:p w:rsidR="00AD690E" w:rsidRPr="0077615B" w:rsidRDefault="00AD690E" w:rsidP="00AD690E">
      <w:pPr>
        <w:spacing w:before="120" w:after="120"/>
        <w:jc w:val="both"/>
      </w:pPr>
      <w:r w:rsidRPr="0077615B">
        <w:t>La Charte se contente de déclarer, à l'article 25, que :</w:t>
      </w:r>
    </w:p>
    <w:p w:rsidR="00AD690E" w:rsidRPr="0077615B" w:rsidRDefault="00AD690E" w:rsidP="00AD690E">
      <w:pPr>
        <w:spacing w:before="120" w:after="120"/>
        <w:ind w:firstLine="0"/>
        <w:jc w:val="both"/>
      </w:pPr>
      <w:r w:rsidRPr="0077615B">
        <w:t>[119]</w:t>
      </w:r>
    </w:p>
    <w:p w:rsidR="00AD690E" w:rsidRDefault="00AD690E" w:rsidP="00AD690E">
      <w:pPr>
        <w:pStyle w:val="Grillecouleur-Accent1"/>
      </w:pPr>
    </w:p>
    <w:p w:rsidR="00AD690E" w:rsidRDefault="00AD690E" w:rsidP="00AD690E">
      <w:pPr>
        <w:pStyle w:val="Grillecouleur-Accent1"/>
      </w:pPr>
      <w:r w:rsidRPr="00AA58C4">
        <w:t>Le fait que la présente Charte garantit certains droits et libertés ne po</w:t>
      </w:r>
      <w:r w:rsidRPr="00AA58C4">
        <w:t>r</w:t>
      </w:r>
      <w:r w:rsidRPr="00AA58C4">
        <w:t>te pas atteinte aux droits ou libertés ancestraux, issus de traités ou a</w:t>
      </w:r>
      <w:r w:rsidRPr="00AA58C4">
        <w:t>u</w:t>
      </w:r>
      <w:r w:rsidRPr="00AA58C4">
        <w:t>tres — des peuples autochtones du Canada.</w:t>
      </w:r>
    </w:p>
    <w:p w:rsidR="00AD690E" w:rsidRPr="00AA58C4" w:rsidRDefault="00AD690E" w:rsidP="00AD690E">
      <w:pPr>
        <w:pStyle w:val="Grillecouleur-Accent1"/>
      </w:pPr>
    </w:p>
    <w:p w:rsidR="00AD690E" w:rsidRPr="0077615B" w:rsidRDefault="00AD690E" w:rsidP="00AD690E">
      <w:pPr>
        <w:spacing w:before="120" w:after="120"/>
        <w:jc w:val="both"/>
      </w:pPr>
      <w:r w:rsidRPr="0077615B">
        <w:t>Est-il utile de rappeler que la Charte ne reconnaît pas non plus le droit des peuples à l'autodétermination. Il faut donc en concl</w:t>
      </w:r>
      <w:r w:rsidRPr="0077615B">
        <w:t>u</w:t>
      </w:r>
      <w:r w:rsidRPr="0077615B">
        <w:t>re qu'en regard du droit constitutionnel canadien, la seule façon pour un peuple autochtone ou pour le Québec d'atteindre l'indépendance serait d'obt</w:t>
      </w:r>
      <w:r w:rsidRPr="0077615B">
        <w:t>e</w:t>
      </w:r>
      <w:r w:rsidRPr="0077615B">
        <w:t>nir un amendement à la Constitution can</w:t>
      </w:r>
      <w:r w:rsidRPr="0077615B">
        <w:t>a</w:t>
      </w:r>
      <w:r w:rsidRPr="0077615B">
        <w:t>dienne qui recueillerait l'unanimité des voix des provinces et du fédéral</w:t>
      </w:r>
      <w:r>
        <w:t> </w:t>
      </w:r>
      <w:r w:rsidRPr="005B6CBD">
        <w:rPr>
          <w:rStyle w:val="Appelnotedebasdep"/>
        </w:rPr>
        <w:footnoteReference w:id="208"/>
      </w:r>
      <w:r w:rsidRPr="0077615B">
        <w:t> !</w:t>
      </w:r>
    </w:p>
    <w:p w:rsidR="00AD690E" w:rsidRPr="0077615B" w:rsidRDefault="00AD690E" w:rsidP="00AD690E">
      <w:pPr>
        <w:spacing w:before="120" w:after="120"/>
        <w:jc w:val="both"/>
      </w:pPr>
      <w:r w:rsidRPr="0077615B">
        <w:t>Des arrêts récents de la Cour suprême du Canada ont d'ailleurs rappelé à l'ordre ceux ou celles qui auraient pu voir dans la Cha</w:t>
      </w:r>
      <w:r w:rsidRPr="0077615B">
        <w:t>r</w:t>
      </w:r>
      <w:r w:rsidRPr="0077615B">
        <w:t>te une protection accrue à certains droits collectifs. Des droits que l'on aurait naturellement pu croire reliés au droit d'association sy</w:t>
      </w:r>
      <w:r w:rsidRPr="0077615B">
        <w:t>n</w:t>
      </w:r>
      <w:r w:rsidRPr="0077615B">
        <w:t>dicale, tel le piquetage et le droit de grève, ne sont pas concernés.</w:t>
      </w:r>
    </w:p>
    <w:p w:rsidR="00AD690E" w:rsidRPr="0077615B" w:rsidRDefault="00AD690E" w:rsidP="00AD690E">
      <w:pPr>
        <w:spacing w:before="120" w:after="120"/>
        <w:jc w:val="both"/>
      </w:pPr>
      <w:r w:rsidRPr="0077615B">
        <w:t>Rappelons enfin que les rapports juridiques entre individus ne sont pas couverts par les droits et garanties de la Charte. Les trib</w:t>
      </w:r>
      <w:r w:rsidRPr="0077615B">
        <w:t>u</w:t>
      </w:r>
      <w:r w:rsidRPr="0077615B">
        <w:t>naux ont en effet davantage pris position en faveur d'une interprétation restri</w:t>
      </w:r>
      <w:r w:rsidRPr="0077615B">
        <w:t>c</w:t>
      </w:r>
      <w:r w:rsidRPr="0077615B">
        <w:t>tive de la Charte canadienne des droits et libertés en d</w:t>
      </w:r>
      <w:r w:rsidRPr="0077615B">
        <w:t>é</w:t>
      </w:r>
      <w:r w:rsidRPr="0077615B">
        <w:t>clarant que des individus victimes de violations de leurs droits par d'autres individus ne pourraient pas chercher de remède dans la Charte canadienne des droits et libertés, mais devraient s'en reme</w:t>
      </w:r>
      <w:r w:rsidRPr="0077615B">
        <w:t>t</w:t>
      </w:r>
      <w:r w:rsidRPr="0077615B">
        <w:t>tre aux lois provinciales sur ces questions</w:t>
      </w:r>
      <w:r>
        <w:t> </w:t>
      </w:r>
      <w:r w:rsidRPr="005B6CBD">
        <w:rPr>
          <w:rStyle w:val="Appelnotedebasdep"/>
        </w:rPr>
        <w:footnoteReference w:id="209"/>
      </w:r>
      <w:r w:rsidRPr="0077615B">
        <w:t>. Doit-on s'étonner que ce soit dans le cadre d'un conflit opposant travailleurs et e</w:t>
      </w:r>
      <w:r w:rsidRPr="0077615B">
        <w:t>m</w:t>
      </w:r>
      <w:r w:rsidRPr="0077615B">
        <w:t>ployeurs que la Cour suprême ait statué que la Charte ne protégeait pas ceux-là contre ceux-ci ? Quo</w:t>
      </w:r>
      <w:r w:rsidRPr="0077615B">
        <w:t>i</w:t>
      </w:r>
      <w:r w:rsidRPr="0077615B">
        <w:t>qu'il en soit, il r</w:t>
      </w:r>
      <w:r w:rsidRPr="0077615B">
        <w:t>é</w:t>
      </w:r>
      <w:r w:rsidRPr="0077615B">
        <w:t>sulte de cette interprétation de la Charte que celle-ci ne peut-être utilisée que pour priver l'État et le législateur de pouvoirs d'inte</w:t>
      </w:r>
      <w:r w:rsidRPr="0077615B">
        <w:t>r</w:t>
      </w:r>
      <w:r w:rsidRPr="0077615B">
        <w:t>vention, mais ne peut pas être utilisée pour modifier les rapports éc</w:t>
      </w:r>
      <w:r w:rsidRPr="0077615B">
        <w:t>o</w:t>
      </w:r>
      <w:r w:rsidRPr="0077615B">
        <w:t>nomiques lorsque l'État n'y est pas impliqué. Cela reflète bien, au plan con</w:t>
      </w:r>
      <w:r w:rsidRPr="0077615B">
        <w:t>s</w:t>
      </w:r>
      <w:r w:rsidRPr="0077615B">
        <w:t>titutionnel, les principes politiques du néo-libéralisme.</w:t>
      </w:r>
    </w:p>
    <w:p w:rsidR="00AD690E" w:rsidRPr="0077615B" w:rsidRDefault="00AD690E" w:rsidP="00AD690E">
      <w:pPr>
        <w:spacing w:before="120" w:after="120"/>
        <w:jc w:val="both"/>
      </w:pPr>
    </w:p>
    <w:p w:rsidR="00AD690E" w:rsidRPr="0077615B" w:rsidRDefault="00AD690E" w:rsidP="00AD690E">
      <w:pPr>
        <w:pStyle w:val="planche"/>
      </w:pPr>
      <w:r w:rsidRPr="0077615B">
        <w:t>LES DÉROGATIONS À LA CHARTE</w:t>
      </w:r>
    </w:p>
    <w:p w:rsidR="00AD690E" w:rsidRPr="0077615B" w:rsidRDefault="00AD690E" w:rsidP="00AD690E">
      <w:pPr>
        <w:spacing w:before="120" w:after="120"/>
        <w:jc w:val="both"/>
      </w:pPr>
    </w:p>
    <w:p w:rsidR="00AD690E" w:rsidRDefault="00AD690E" w:rsidP="00AD690E">
      <w:pPr>
        <w:spacing w:before="120" w:after="120"/>
        <w:jc w:val="both"/>
      </w:pPr>
      <w:r w:rsidRPr="0077615B">
        <w:t>Non seulement la Charte ne couvre pas tout, mais il est impo</w:t>
      </w:r>
      <w:r w:rsidRPr="0077615B">
        <w:t>r</w:t>
      </w:r>
      <w:r w:rsidRPr="0077615B">
        <w:t>tant de souligner que les législatures ou le Parlement peuvent y d</w:t>
      </w:r>
      <w:r w:rsidRPr="0077615B">
        <w:t>é</w:t>
      </w:r>
      <w:r w:rsidRPr="0077615B">
        <w:t>roger de deux façons.</w:t>
      </w:r>
    </w:p>
    <w:p w:rsidR="00AD690E" w:rsidRPr="0077615B" w:rsidRDefault="00AD690E" w:rsidP="00AD690E">
      <w:pPr>
        <w:spacing w:before="120" w:after="120"/>
        <w:jc w:val="both"/>
      </w:pPr>
      <w:r w:rsidRPr="0077615B">
        <w:rPr>
          <w:szCs w:val="18"/>
        </w:rPr>
        <w:t>[</w:t>
      </w:r>
      <w:r w:rsidRPr="0077615B">
        <w:t>120]</w:t>
      </w:r>
    </w:p>
    <w:p w:rsidR="00AD690E" w:rsidRPr="0077615B" w:rsidRDefault="00AD690E" w:rsidP="00AD690E">
      <w:pPr>
        <w:spacing w:before="120" w:after="120"/>
        <w:jc w:val="both"/>
        <w:rPr>
          <w:bCs/>
        </w:rPr>
      </w:pPr>
    </w:p>
    <w:p w:rsidR="00AD690E" w:rsidRPr="009D44D8" w:rsidRDefault="00AD690E" w:rsidP="00AD690E">
      <w:pPr>
        <w:pStyle w:val="a"/>
      </w:pPr>
      <w:r w:rsidRPr="009D44D8">
        <w:t>Les dérogations de l'article 1</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Tout d'abord, selon les termes de l'article 1, les droits qui sont g</w:t>
      </w:r>
      <w:r w:rsidRPr="0077615B">
        <w:t>a</w:t>
      </w:r>
      <w:r w:rsidRPr="0077615B">
        <w:t>rantis par la Charte peuvent être limités par des « règles de droit dans des limites raisonnables dont la justification puisse se démo</w:t>
      </w:r>
      <w:r w:rsidRPr="0077615B">
        <w:t>n</w:t>
      </w:r>
      <w:r w:rsidRPr="0077615B">
        <w:t>trer dans le cadre d'une société libre et démocratique ».</w:t>
      </w:r>
    </w:p>
    <w:p w:rsidR="00AD690E" w:rsidRPr="0077615B" w:rsidRDefault="00AD690E" w:rsidP="00AD690E">
      <w:pPr>
        <w:spacing w:before="120" w:after="120"/>
        <w:jc w:val="both"/>
      </w:pPr>
      <w:r w:rsidRPr="0077615B">
        <w:t>Les auteurs s'entendent généralement pour dire qu'en l'absence de l'expression écrite de cette limite, il aurait fallu interpréter le te</w:t>
      </w:r>
      <w:r w:rsidRPr="0077615B">
        <w:t>x</w:t>
      </w:r>
      <w:r w:rsidRPr="0077615B">
        <w:t>te constitutionnel, telle la Constitution américaine, comme cont</w:t>
      </w:r>
      <w:r w:rsidRPr="0077615B">
        <w:t>e</w:t>
      </w:r>
      <w:r w:rsidRPr="0077615B">
        <w:t>nant une possibilité implicite de dérogation</w:t>
      </w:r>
      <w:r>
        <w:t> </w:t>
      </w:r>
      <w:r w:rsidRPr="005B6CBD">
        <w:rPr>
          <w:rStyle w:val="Appelnotedebasdep"/>
        </w:rPr>
        <w:footnoteReference w:id="210"/>
      </w:r>
      <w:r w:rsidRPr="0077615B">
        <w:t>. Tous s'ente</w:t>
      </w:r>
      <w:r w:rsidRPr="0077615B">
        <w:t>n</w:t>
      </w:r>
      <w:r w:rsidRPr="0077615B">
        <w:t>dent en effet pour dire que des droits comme la liberté d'expre</w:t>
      </w:r>
      <w:r w:rsidRPr="0077615B">
        <w:t>s</w:t>
      </w:r>
      <w:r w:rsidRPr="0077615B">
        <w:t>sion trouvent leurs limites dans le respect du droit à la réputation, que la liberté de religion tro</w:t>
      </w:r>
      <w:r w:rsidRPr="0077615B">
        <w:t>u</w:t>
      </w:r>
      <w:r w:rsidRPr="0077615B">
        <w:t>ve sa limite dans le respect des convictions religieuses des autres, et ainsi de suite.</w:t>
      </w:r>
    </w:p>
    <w:p w:rsidR="00AD690E" w:rsidRDefault="00AD690E" w:rsidP="00AD690E">
      <w:pPr>
        <w:spacing w:before="120" w:after="120"/>
        <w:jc w:val="both"/>
      </w:pPr>
      <w:r w:rsidRPr="0077615B">
        <w:t xml:space="preserve">Dans l'arrêt </w:t>
      </w:r>
      <w:r w:rsidRPr="009D44D8">
        <w:rPr>
          <w:i/>
        </w:rPr>
        <w:t>R. c. Oakes</w:t>
      </w:r>
      <w:r>
        <w:t> </w:t>
      </w:r>
      <w:r w:rsidRPr="009D44D8">
        <w:rPr>
          <w:rStyle w:val="Appelnotedebasdep"/>
        </w:rPr>
        <w:footnoteReference w:id="211"/>
      </w:r>
      <w:r>
        <w:rPr>
          <w:i/>
        </w:rPr>
        <w:t xml:space="preserve"> </w:t>
      </w:r>
      <w:r w:rsidRPr="0077615B">
        <w:t>la Cour suprême a défini ainsi les cond</w:t>
      </w:r>
      <w:r w:rsidRPr="0077615B">
        <w:t>i</w:t>
      </w:r>
      <w:r w:rsidRPr="0077615B">
        <w:t>tions précises pour déroger aux dispositions de la Charte :</w:t>
      </w:r>
    </w:p>
    <w:p w:rsidR="00AD690E" w:rsidRPr="0077615B" w:rsidRDefault="00AD690E" w:rsidP="00AD690E">
      <w:pPr>
        <w:spacing w:before="120" w:after="120"/>
        <w:jc w:val="both"/>
      </w:pPr>
    </w:p>
    <w:p w:rsidR="00AD690E" w:rsidRDefault="00AD690E" w:rsidP="00AD690E">
      <w:pPr>
        <w:pStyle w:val="Grillecouleur-Accent1"/>
      </w:pPr>
      <w:r w:rsidRPr="003A74A4">
        <w:t>En premier lieu, l'objectif que visent à servir les mesures qui appo</w:t>
      </w:r>
      <w:r w:rsidRPr="003A74A4">
        <w:t>r</w:t>
      </w:r>
      <w:r w:rsidRPr="003A74A4">
        <w:t>tent une restriction à un droit ou à un droit garanti par la Charte, doit être suff</w:t>
      </w:r>
      <w:r w:rsidRPr="003A74A4">
        <w:t>i</w:t>
      </w:r>
      <w:r w:rsidRPr="003A74A4">
        <w:t>samment important pour justifier la suppression d'un droit ou d'une liberté g</w:t>
      </w:r>
      <w:r w:rsidRPr="003A74A4">
        <w:t>a</w:t>
      </w:r>
      <w:r w:rsidRPr="003A74A4">
        <w:t>rantie par la Constitution. En deuxième lieu, dès qu'il est reconnu qu'un objectif est suffisamment important, la pa</w:t>
      </w:r>
      <w:r w:rsidRPr="003A74A4">
        <w:t>r</w:t>
      </w:r>
      <w:r w:rsidRPr="003A74A4">
        <w:t>tie qui invoque l'article premier doit alors démontrer que les moyens choisis sont raisonnables et que leur justific</w:t>
      </w:r>
      <w:r w:rsidRPr="003A74A4">
        <w:t>a</w:t>
      </w:r>
      <w:r w:rsidRPr="003A74A4">
        <w:t xml:space="preserve">tion peut se démontrer. </w:t>
      </w:r>
    </w:p>
    <w:p w:rsidR="00AD690E" w:rsidRPr="00AA58C4" w:rsidRDefault="00AD690E" w:rsidP="00AD690E">
      <w:pPr>
        <w:pStyle w:val="Grillecouleur-Accent1"/>
      </w:pPr>
    </w:p>
    <w:p w:rsidR="00AD690E" w:rsidRPr="0077615B" w:rsidRDefault="00AD690E" w:rsidP="00AD690E">
      <w:pPr>
        <w:spacing w:before="120" w:after="120"/>
        <w:jc w:val="both"/>
      </w:pPr>
      <w:r w:rsidRPr="0077615B">
        <w:t>Cependant, la Cour suprême, dans l'arrêt Protestant School Board</w:t>
      </w:r>
      <w:r>
        <w:t> </w:t>
      </w:r>
      <w:r w:rsidRPr="005B6CBD">
        <w:rPr>
          <w:rStyle w:val="Appelnotedebasdep"/>
        </w:rPr>
        <w:footnoteReference w:id="212"/>
      </w:r>
      <w:r w:rsidRPr="0077615B">
        <w:t>, n'a pas jugé que les dispositions de la Charte de la la</w:t>
      </w:r>
      <w:r w:rsidRPr="0077615B">
        <w:t>n</w:t>
      </w:r>
      <w:r w:rsidRPr="0077615B">
        <w:t>gue française qui dérogeaient à la Charte canadienne pouvaient se just</w:t>
      </w:r>
      <w:r w:rsidRPr="0077615B">
        <w:t>i</w:t>
      </w:r>
      <w:r w:rsidRPr="0077615B">
        <w:t>fier dans le cadre d'une société libre et démocratique.</w:t>
      </w:r>
    </w:p>
    <w:p w:rsidR="00AD690E" w:rsidRDefault="00AD690E" w:rsidP="00AD690E">
      <w:pPr>
        <w:spacing w:before="120" w:after="120"/>
        <w:jc w:val="both"/>
      </w:pPr>
      <w:r w:rsidRPr="0077615B">
        <w:t>Cette marge d'interprétation laisse désormais une vaste place à l'opinion judiciaire dans la détermination du sens et de la portée du droit et des droits. Est-il besoin de rappeler que les juges sont inam</w:t>
      </w:r>
      <w:r w:rsidRPr="0077615B">
        <w:t>o</w:t>
      </w:r>
      <w:r w:rsidRPr="0077615B">
        <w:t>vibles, et que leur nomination est encore faite par le gouvern</w:t>
      </w:r>
      <w:r w:rsidRPr="0077615B">
        <w:t>e</w:t>
      </w:r>
      <w:r w:rsidRPr="0077615B">
        <w:t>ment au pouvoir sans contrôle démocratique ni auditions publ</w:t>
      </w:r>
      <w:r w:rsidRPr="0077615B">
        <w:t>i</w:t>
      </w:r>
      <w:r w:rsidRPr="0077615B">
        <w:t>ques ?</w:t>
      </w:r>
    </w:p>
    <w:p w:rsidR="00AD690E" w:rsidRPr="0077615B" w:rsidRDefault="00AD690E" w:rsidP="00AD690E">
      <w:pPr>
        <w:spacing w:before="120" w:after="120"/>
        <w:jc w:val="both"/>
      </w:pPr>
      <w:r w:rsidRPr="0077615B">
        <w:t>[121]</w:t>
      </w:r>
    </w:p>
    <w:p w:rsidR="00AD690E" w:rsidRPr="0077615B" w:rsidRDefault="00AD690E" w:rsidP="00AD690E">
      <w:pPr>
        <w:spacing w:before="120" w:after="120"/>
        <w:jc w:val="both"/>
      </w:pPr>
    </w:p>
    <w:p w:rsidR="00AD690E" w:rsidRPr="003A74A4" w:rsidRDefault="00AD690E" w:rsidP="00AD690E">
      <w:pPr>
        <w:pStyle w:val="a"/>
      </w:pPr>
      <w:r w:rsidRPr="003A74A4">
        <w:t>Les dérogations de l'article 33</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L'article 33 permet au Parlement et aux législatures de mettre leurs lois « à l'abri » de certaines dispositions de la Charte, en re</w:t>
      </w:r>
      <w:r w:rsidRPr="0077615B">
        <w:t>s</w:t>
      </w:r>
      <w:r w:rsidRPr="0077615B">
        <w:t>pectant certaines conditions de forme et de fond</w:t>
      </w:r>
      <w:r>
        <w:t> </w:t>
      </w:r>
      <w:r w:rsidRPr="005B6CBD">
        <w:rPr>
          <w:rStyle w:val="Appelnotedebasdep"/>
        </w:rPr>
        <w:footnoteReference w:id="213"/>
      </w:r>
      <w:r w:rsidRPr="0077615B">
        <w:t>.</w:t>
      </w:r>
    </w:p>
    <w:p w:rsidR="00AD690E" w:rsidRPr="0077615B" w:rsidRDefault="00AD690E" w:rsidP="00AD690E">
      <w:pPr>
        <w:spacing w:before="120" w:after="120"/>
        <w:jc w:val="both"/>
      </w:pPr>
    </w:p>
    <w:p w:rsidR="00AD690E" w:rsidRPr="0077615B" w:rsidRDefault="00AD690E" w:rsidP="00AD690E">
      <w:pPr>
        <w:pStyle w:val="planche"/>
      </w:pPr>
      <w:r w:rsidRPr="0077615B">
        <w:t>POURQUOI UNE CHARTE ?</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Dans le contexte d'un document qui limite ainsi l'action gouvern</w:t>
      </w:r>
      <w:r w:rsidRPr="0077615B">
        <w:t>e</w:t>
      </w:r>
      <w:r w:rsidRPr="0077615B">
        <w:t>mentale, on est en droit de se demander pourquoi le gouvern</w:t>
      </w:r>
      <w:r w:rsidRPr="0077615B">
        <w:t>e</w:t>
      </w:r>
      <w:r w:rsidRPr="0077615B">
        <w:t>ment Trudeau a-t-il tant fait pour voir de telles dispositions i</w:t>
      </w:r>
      <w:r w:rsidRPr="0077615B">
        <w:t>n</w:t>
      </w:r>
      <w:r w:rsidRPr="0077615B">
        <w:t>cluses dans la Constitution canadienne au moment du rapatri</w:t>
      </w:r>
      <w:r w:rsidRPr="0077615B">
        <w:t>e</w:t>
      </w:r>
      <w:r w:rsidRPr="0077615B">
        <w:t>ment ?</w:t>
      </w:r>
    </w:p>
    <w:p w:rsidR="00AD690E" w:rsidRDefault="00AD690E" w:rsidP="00AD690E">
      <w:pPr>
        <w:spacing w:before="120" w:after="120"/>
        <w:jc w:val="both"/>
        <w:rPr>
          <w:bCs/>
        </w:rPr>
      </w:pPr>
    </w:p>
    <w:p w:rsidR="00AD690E" w:rsidRPr="0077615B" w:rsidRDefault="00AD690E" w:rsidP="00AD690E">
      <w:pPr>
        <w:spacing w:before="120" w:after="120"/>
        <w:jc w:val="both"/>
        <w:rPr>
          <w:bCs/>
        </w:rPr>
      </w:pPr>
    </w:p>
    <w:p w:rsidR="00AD690E" w:rsidRPr="003A74A4" w:rsidRDefault="00AD690E" w:rsidP="00AD690E">
      <w:pPr>
        <w:pStyle w:val="a"/>
      </w:pPr>
      <w:r w:rsidRPr="003A74A4">
        <w:t>Les dangers de la grande noirceur</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Rappelons d'abord que son principal promoteur, Pierre Tr</w:t>
      </w:r>
      <w:r w:rsidRPr="0077615B">
        <w:t>u</w:t>
      </w:r>
      <w:r w:rsidRPr="0077615B">
        <w:t>deau, a été formé dans la lutte contre le duplessisme et ce qu'il est conv</w:t>
      </w:r>
      <w:r w:rsidRPr="0077615B">
        <w:t>e</w:t>
      </w:r>
      <w:r w:rsidRPr="0077615B">
        <w:t>nu d'appeler la « grande noirceur ». Régime fondé sur le pouvoir perso</w:t>
      </w:r>
      <w:r w:rsidRPr="0077615B">
        <w:t>n</w:t>
      </w:r>
      <w:r w:rsidRPr="0077615B">
        <w:t>nel du « Chef », et sur l'anti-intellectualisme, le gouvernement D</w:t>
      </w:r>
      <w:r w:rsidRPr="0077615B">
        <w:t>u</w:t>
      </w:r>
      <w:r w:rsidRPr="0077615B">
        <w:t>plessis avait adopté de nombreuse mesures lui permettant de réprimer au nom de la lutte aux communistes, tout ce qui n'était pas foncièr</w:t>
      </w:r>
      <w:r w:rsidRPr="0077615B">
        <w:t>e</w:t>
      </w:r>
      <w:r w:rsidRPr="0077615B">
        <w:t>ment canadien-français-catholique-pratiquant. La plus célèbre de ces mesures fut sans contredit la « Loi du cadenas »</w:t>
      </w:r>
      <w:r>
        <w:t> </w:t>
      </w:r>
      <w:r w:rsidRPr="005B6CBD">
        <w:rPr>
          <w:rStyle w:val="Appelnotedebasdep"/>
        </w:rPr>
        <w:footnoteReference w:id="214"/>
      </w:r>
      <w:r w:rsidRPr="0077615B">
        <w:t xml:space="preserve"> qui visait à prot</w:t>
      </w:r>
      <w:r w:rsidRPr="0077615B">
        <w:t>é</w:t>
      </w:r>
      <w:r w:rsidRPr="0077615B">
        <w:t>ger la province contre la propagande communiste. Au nombre des personnes visées par la loi, le groupe religieux des Témoins de Jéh</w:t>
      </w:r>
      <w:r w:rsidRPr="0077615B">
        <w:t>o</w:t>
      </w:r>
      <w:r w:rsidRPr="0077615B">
        <w:t>vah fût un de ceux qui fit le plus parler de lui à cause des nombreuses affaires judiciaires célèbres qui découlèrent de l'a</w:t>
      </w:r>
      <w:r w:rsidRPr="0077615B">
        <w:t>p</w:t>
      </w:r>
      <w:r w:rsidRPr="0077615B">
        <w:t>plication de cette loi et</w:t>
      </w:r>
      <w:r>
        <w:t xml:space="preserve"> dans le</w:t>
      </w:r>
      <w:r>
        <w:t>s</w:t>
      </w:r>
      <w:r>
        <w:t>quelles il fut impliqué </w:t>
      </w:r>
      <w:r w:rsidRPr="005B6CBD">
        <w:rPr>
          <w:rStyle w:val="Appelnotedebasdep"/>
        </w:rPr>
        <w:footnoteReference w:id="215"/>
      </w:r>
      <w:r w:rsidRPr="0077615B">
        <w:t>.</w:t>
      </w:r>
    </w:p>
    <w:p w:rsidR="00AD690E" w:rsidRDefault="00AD690E" w:rsidP="00AD690E">
      <w:pPr>
        <w:spacing w:before="120" w:after="120"/>
        <w:jc w:val="both"/>
      </w:pPr>
      <w:r w:rsidRPr="0077615B">
        <w:t>Dans tous ces cas, les tribunaux du Québec (Cour supérieure, Cour d'appel) ont donné raison au gouvernement et non aux vict</w:t>
      </w:r>
      <w:r w:rsidRPr="0077615B">
        <w:t>i</w:t>
      </w:r>
      <w:r w:rsidRPr="0077615B">
        <w:t>mes de ses attaques. Il a fallu porter les affaires devant la Cour suprême du Can</w:t>
      </w:r>
      <w:r w:rsidRPr="0077615B">
        <w:t>a</w:t>
      </w:r>
      <w:r w:rsidRPr="0077615B">
        <w:t>da pour que ces dernières obtiennent enfin justice et que la loi sur l</w:t>
      </w:r>
      <w:r w:rsidRPr="0077615B">
        <w:t>a</w:t>
      </w:r>
      <w:r w:rsidRPr="0077615B">
        <w:t>quelle les persécutions étaient fondées soit déclarée invalide par les juges des provinces anglaises du Can</w:t>
      </w:r>
      <w:r w:rsidRPr="0077615B">
        <w:t>a</w:t>
      </w:r>
      <w:r w:rsidRPr="0077615B">
        <w:t>da. Notons au passage que les motifs de la Cour fondent ces décisions non pas sur une garantie fo</w:t>
      </w:r>
      <w:r w:rsidRPr="0077615B">
        <w:t>n</w:t>
      </w:r>
      <w:r w:rsidRPr="0077615B">
        <w:t>damentale des droits individuels qui aurait été enchâssée dans la Constitution, mais sur le fait que la compétence l</w:t>
      </w:r>
      <w:r w:rsidRPr="0077615B">
        <w:t>é</w:t>
      </w:r>
      <w:r w:rsidRPr="0077615B">
        <w:t>gislative pour porter atteinte à ces droits n'appartient qu'au Parl</w:t>
      </w:r>
      <w:r w:rsidRPr="0077615B">
        <w:t>e</w:t>
      </w:r>
      <w:r w:rsidRPr="0077615B">
        <w:t>ment fédéral.</w:t>
      </w:r>
    </w:p>
    <w:p w:rsidR="00AD690E" w:rsidRPr="0077615B" w:rsidRDefault="00AD690E" w:rsidP="00AD690E">
      <w:pPr>
        <w:spacing w:before="120" w:after="120"/>
        <w:jc w:val="both"/>
      </w:pPr>
      <w:r w:rsidRPr="0077615B">
        <w:rPr>
          <w:szCs w:val="18"/>
        </w:rPr>
        <w:t>[122]</w:t>
      </w:r>
    </w:p>
    <w:p w:rsidR="00AD690E" w:rsidRPr="0077615B" w:rsidRDefault="00AD690E" w:rsidP="00AD690E">
      <w:pPr>
        <w:spacing w:before="120" w:after="120"/>
        <w:jc w:val="both"/>
      </w:pPr>
      <w:r w:rsidRPr="0077615B">
        <w:rPr>
          <w:szCs w:val="22"/>
        </w:rPr>
        <w:t>Cette loi ne fut pas la seule mesure anti-intellectuelle du gouve</w:t>
      </w:r>
      <w:r w:rsidRPr="0077615B">
        <w:rPr>
          <w:szCs w:val="22"/>
        </w:rPr>
        <w:t>r</w:t>
      </w:r>
      <w:r w:rsidRPr="0077615B">
        <w:rPr>
          <w:szCs w:val="22"/>
        </w:rPr>
        <w:t>nement Duplessis. Citons également, à titre d'exemple, le r</w:t>
      </w:r>
      <w:r w:rsidRPr="0077615B">
        <w:rPr>
          <w:szCs w:val="22"/>
        </w:rPr>
        <w:t>e</w:t>
      </w:r>
      <w:r w:rsidRPr="0077615B">
        <w:rPr>
          <w:szCs w:val="22"/>
        </w:rPr>
        <w:t>fus des subventions fédérales à la recherche universitaire, sous préte</w:t>
      </w:r>
      <w:r w:rsidRPr="0077615B">
        <w:rPr>
          <w:szCs w:val="22"/>
        </w:rPr>
        <w:t>x</w:t>
      </w:r>
      <w:r w:rsidRPr="0077615B">
        <w:rPr>
          <w:szCs w:val="22"/>
        </w:rPr>
        <w:t>te que celles-ci constituaient une intrusion fédérale dans un champ de jur</w:t>
      </w:r>
      <w:r w:rsidRPr="0077615B">
        <w:rPr>
          <w:szCs w:val="22"/>
        </w:rPr>
        <w:t>i</w:t>
      </w:r>
      <w:r w:rsidRPr="0077615B">
        <w:rPr>
          <w:szCs w:val="22"/>
        </w:rPr>
        <w:t>diction provinciale exclusive.</w:t>
      </w:r>
    </w:p>
    <w:p w:rsidR="00AD690E" w:rsidRPr="0077615B" w:rsidRDefault="00AD690E" w:rsidP="00AD690E">
      <w:pPr>
        <w:spacing w:before="120" w:after="120"/>
        <w:jc w:val="both"/>
      </w:pPr>
      <w:r w:rsidRPr="0077615B">
        <w:rPr>
          <w:szCs w:val="22"/>
        </w:rPr>
        <w:t>Plusieurs autres gouvernements provinciaux, surtout ceux du Cr</w:t>
      </w:r>
      <w:r w:rsidRPr="0077615B">
        <w:rPr>
          <w:szCs w:val="22"/>
        </w:rPr>
        <w:t>é</w:t>
      </w:r>
      <w:r w:rsidRPr="0077615B">
        <w:rPr>
          <w:szCs w:val="22"/>
        </w:rPr>
        <w:t>dit social dans l'Ouest, n'étaient pas non plus sans reproches. Des lois visant à limiter la liberté d'expression furent invalidées par la Cour suprême, en invoquant une interprétation du partage des compétences législatives qui ne reconnaissait pas aux provi</w:t>
      </w:r>
      <w:r w:rsidRPr="0077615B">
        <w:rPr>
          <w:szCs w:val="22"/>
        </w:rPr>
        <w:t>n</w:t>
      </w:r>
      <w:r w:rsidRPr="0077615B">
        <w:rPr>
          <w:szCs w:val="22"/>
        </w:rPr>
        <w:t>ces le droit de limiter la liberté d'expression</w:t>
      </w:r>
      <w:r>
        <w:rPr>
          <w:szCs w:val="22"/>
        </w:rPr>
        <w:t> </w:t>
      </w:r>
      <w:r w:rsidRPr="005B6CBD">
        <w:rPr>
          <w:rStyle w:val="Appelnotedebasdep"/>
        </w:rPr>
        <w:footnoteReference w:id="216"/>
      </w:r>
      <w:r w:rsidRPr="0077615B">
        <w:rPr>
          <w:szCs w:val="22"/>
        </w:rPr>
        <w:t>.</w:t>
      </w:r>
    </w:p>
    <w:p w:rsidR="00AD690E" w:rsidRPr="0077615B" w:rsidRDefault="00AD690E" w:rsidP="00AD690E">
      <w:pPr>
        <w:spacing w:before="120" w:after="120"/>
        <w:jc w:val="both"/>
      </w:pPr>
      <w:r w:rsidRPr="0077615B">
        <w:rPr>
          <w:szCs w:val="22"/>
        </w:rPr>
        <w:t>À la fin des années 1950, il était donc quasi inévitable, pour une bonne partie de ce très petit groupe de personnes — les inte</w:t>
      </w:r>
      <w:r w:rsidRPr="0077615B">
        <w:rPr>
          <w:szCs w:val="22"/>
        </w:rPr>
        <w:t>l</w:t>
      </w:r>
      <w:r w:rsidRPr="0077615B">
        <w:rPr>
          <w:szCs w:val="22"/>
        </w:rPr>
        <w:t>lectuels québécois — de voir dans le gouvernement fédéral et la Cour s</w:t>
      </w:r>
      <w:r w:rsidRPr="0077615B">
        <w:rPr>
          <w:szCs w:val="22"/>
        </w:rPr>
        <w:t>u</w:t>
      </w:r>
      <w:r w:rsidRPr="0077615B">
        <w:rPr>
          <w:szCs w:val="22"/>
        </w:rPr>
        <w:t>prême le principal moyen de défense contre ce qui semblait alors un atavi</w:t>
      </w:r>
      <w:r w:rsidRPr="0077615B">
        <w:rPr>
          <w:szCs w:val="22"/>
        </w:rPr>
        <w:t>s</w:t>
      </w:r>
      <w:r w:rsidRPr="0077615B">
        <w:rPr>
          <w:szCs w:val="22"/>
        </w:rPr>
        <w:t>me du caractère québécois, sinon provincial, l'esprit de clocher, le d</w:t>
      </w:r>
      <w:r w:rsidRPr="0077615B">
        <w:rPr>
          <w:szCs w:val="22"/>
        </w:rPr>
        <w:t>é</w:t>
      </w:r>
      <w:r w:rsidRPr="0077615B">
        <w:rPr>
          <w:szCs w:val="22"/>
        </w:rPr>
        <w:t>vouement béat au Chef et la répression de tous les co</w:t>
      </w:r>
      <w:r w:rsidRPr="0077615B">
        <w:rPr>
          <w:szCs w:val="22"/>
        </w:rPr>
        <w:t>u</w:t>
      </w:r>
      <w:r w:rsidRPr="0077615B">
        <w:rPr>
          <w:szCs w:val="22"/>
        </w:rPr>
        <w:t>rants de pensée pouvant menacer cet état de fait.</w:t>
      </w:r>
    </w:p>
    <w:p w:rsidR="00AD690E" w:rsidRPr="0077615B" w:rsidRDefault="00AD690E" w:rsidP="00AD690E">
      <w:pPr>
        <w:spacing w:before="120" w:after="120"/>
        <w:jc w:val="both"/>
      </w:pPr>
      <w:r w:rsidRPr="0077615B">
        <w:rPr>
          <w:szCs w:val="22"/>
        </w:rPr>
        <w:t>Les outils juridiques de cette défense des libertés individuelles étaient alors, comme nous l'avons souligné plus haut, bien aléato</w:t>
      </w:r>
      <w:r w:rsidRPr="0077615B">
        <w:rPr>
          <w:szCs w:val="22"/>
        </w:rPr>
        <w:t>i</w:t>
      </w:r>
      <w:r w:rsidRPr="0077615B">
        <w:rPr>
          <w:szCs w:val="22"/>
        </w:rPr>
        <w:t>res. Ils reposaient essentiellement sur la Cour suprême et sur une interpr</w:t>
      </w:r>
      <w:r w:rsidRPr="0077615B">
        <w:rPr>
          <w:szCs w:val="22"/>
        </w:rPr>
        <w:t>é</w:t>
      </w:r>
      <w:r w:rsidRPr="0077615B">
        <w:rPr>
          <w:szCs w:val="22"/>
        </w:rPr>
        <w:t>tation de la Constitution qui reconnaissait que seul le Parlement féd</w:t>
      </w:r>
      <w:r w:rsidRPr="0077615B">
        <w:rPr>
          <w:szCs w:val="22"/>
        </w:rPr>
        <w:t>é</w:t>
      </w:r>
      <w:r w:rsidRPr="0077615B">
        <w:rPr>
          <w:szCs w:val="22"/>
        </w:rPr>
        <w:t>ral possédait les compétences législatives pour limiter la liberté de pensée et d'expression en vertu de son po</w:t>
      </w:r>
      <w:r w:rsidRPr="0077615B">
        <w:rPr>
          <w:szCs w:val="22"/>
        </w:rPr>
        <w:t>u</w:t>
      </w:r>
      <w:r w:rsidRPr="0077615B">
        <w:rPr>
          <w:szCs w:val="22"/>
        </w:rPr>
        <w:t>voir sur le droit criminel. Il demeurait donc théoriquement possible que le gouve</w:t>
      </w:r>
      <w:r w:rsidRPr="0077615B">
        <w:rPr>
          <w:szCs w:val="22"/>
        </w:rPr>
        <w:t>r</w:t>
      </w:r>
      <w:r w:rsidRPr="0077615B">
        <w:rPr>
          <w:szCs w:val="22"/>
        </w:rPr>
        <w:t>nement fédéral soit un jour formé par un paru du même acabit que l'Union Nationale ou le Crédit social et qu'à ce moment l'argumentation juridique dév</w:t>
      </w:r>
      <w:r w:rsidRPr="0077615B">
        <w:rPr>
          <w:szCs w:val="22"/>
        </w:rPr>
        <w:t>e</w:t>
      </w:r>
      <w:r w:rsidRPr="0077615B">
        <w:rPr>
          <w:szCs w:val="22"/>
        </w:rPr>
        <w:t>loppée par la Cour suprême pour défendre la l</w:t>
      </w:r>
      <w:r w:rsidRPr="0077615B">
        <w:rPr>
          <w:szCs w:val="22"/>
        </w:rPr>
        <w:t>i</w:t>
      </w:r>
      <w:r w:rsidRPr="0077615B">
        <w:rPr>
          <w:szCs w:val="22"/>
        </w:rPr>
        <w:t>berté d'expression contre les attaques pr</w:t>
      </w:r>
      <w:r w:rsidRPr="0077615B">
        <w:rPr>
          <w:szCs w:val="22"/>
        </w:rPr>
        <w:t>o</w:t>
      </w:r>
      <w:r w:rsidRPr="0077615B">
        <w:rPr>
          <w:szCs w:val="22"/>
        </w:rPr>
        <w:t>vinciales ne se retourne contre elle-même.</w:t>
      </w:r>
    </w:p>
    <w:p w:rsidR="00AD690E" w:rsidRPr="0077615B" w:rsidRDefault="00AD690E" w:rsidP="00AD690E">
      <w:pPr>
        <w:spacing w:before="120" w:after="120"/>
        <w:jc w:val="both"/>
      </w:pPr>
      <w:r w:rsidRPr="0077615B">
        <w:rPr>
          <w:szCs w:val="22"/>
        </w:rPr>
        <w:t>La juridiction fédérale sur cette matière désormais reconnue et la souveraineté du Parlement ne connaissant aucune autre limite dans la cadre constitutionnel canadien, la seule méthode pour garantir ces l</w:t>
      </w:r>
      <w:r w:rsidRPr="0077615B">
        <w:rPr>
          <w:szCs w:val="22"/>
        </w:rPr>
        <w:t>i</w:t>
      </w:r>
      <w:r w:rsidRPr="0077615B">
        <w:rPr>
          <w:szCs w:val="22"/>
        </w:rPr>
        <w:t>bertés individuelles « pour l'éternité » et les mettre à l'abri des dangers et aléas des gouvernements élus, était donc de les placer au dessus du Parlement, au dessus de la loi. La méthode était connue, elle fonctio</w:t>
      </w:r>
      <w:r w:rsidRPr="0077615B">
        <w:rPr>
          <w:szCs w:val="22"/>
        </w:rPr>
        <w:t>n</w:t>
      </w:r>
      <w:r w:rsidRPr="0077615B">
        <w:rPr>
          <w:szCs w:val="22"/>
        </w:rPr>
        <w:t>nait depuis près de deux cents ans chez nos voisins du Sud, il fallait « constitutionnaliser » les droits m</w:t>
      </w:r>
      <w:r w:rsidRPr="0077615B">
        <w:rPr>
          <w:szCs w:val="22"/>
        </w:rPr>
        <w:t>e</w:t>
      </w:r>
      <w:r w:rsidRPr="0077615B">
        <w:rPr>
          <w:szCs w:val="22"/>
        </w:rPr>
        <w:t>nacés, les placer dans une Charte au-dessus des lois.</w:t>
      </w:r>
    </w:p>
    <w:p w:rsidR="00AD690E" w:rsidRPr="0077615B" w:rsidRDefault="00AD690E" w:rsidP="00AD690E">
      <w:pPr>
        <w:spacing w:before="120" w:after="120"/>
        <w:jc w:val="both"/>
        <w:rPr>
          <w:bCs/>
          <w:szCs w:val="22"/>
        </w:rPr>
      </w:pPr>
    </w:p>
    <w:p w:rsidR="00AD690E" w:rsidRPr="00797E41" w:rsidRDefault="00AD690E" w:rsidP="00AD690E">
      <w:pPr>
        <w:pStyle w:val="a"/>
      </w:pPr>
      <w:r w:rsidRPr="00797E41">
        <w:t>Un phare qui n'éclaire que dans une seule direction</w:t>
      </w:r>
    </w:p>
    <w:p w:rsidR="00AD690E" w:rsidRPr="0077615B"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Cette idée, Pierre Trudeau l'avait énoncée dès 1955 dans un m</w:t>
      </w:r>
      <w:r w:rsidRPr="0077615B">
        <w:rPr>
          <w:szCs w:val="22"/>
        </w:rPr>
        <w:t>é</w:t>
      </w:r>
      <w:r w:rsidRPr="0077615B">
        <w:rPr>
          <w:szCs w:val="22"/>
        </w:rPr>
        <w:t>moire à la Commission royale d'enquête sur les problèmes constit</w:t>
      </w:r>
      <w:r w:rsidRPr="0077615B">
        <w:rPr>
          <w:szCs w:val="22"/>
        </w:rPr>
        <w:t>u</w:t>
      </w:r>
      <w:r w:rsidRPr="0077615B">
        <w:rPr>
          <w:szCs w:val="22"/>
        </w:rPr>
        <w:t>tionnels, la</w:t>
      </w:r>
      <w:r>
        <w:rPr>
          <w:szCs w:val="22"/>
        </w:rPr>
        <w:t xml:space="preserve"> </w:t>
      </w:r>
      <w:r w:rsidRPr="0077615B">
        <w:rPr>
          <w:szCs w:val="22"/>
        </w:rPr>
        <w:t>[123]</w:t>
      </w:r>
      <w:r>
        <w:rPr>
          <w:szCs w:val="22"/>
        </w:rPr>
        <w:t xml:space="preserve"> </w:t>
      </w:r>
      <w:r w:rsidRPr="0077615B">
        <w:rPr>
          <w:szCs w:val="22"/>
        </w:rPr>
        <w:t>Commission Tremblay. Il la reprit dès son entrée en fonction co</w:t>
      </w:r>
      <w:r w:rsidRPr="0077615B">
        <w:rPr>
          <w:szCs w:val="22"/>
        </w:rPr>
        <w:t>m</w:t>
      </w:r>
      <w:r w:rsidRPr="0077615B">
        <w:rPr>
          <w:szCs w:val="22"/>
        </w:rPr>
        <w:t>me ministre de la Justice dans le gouvernement Pearson et d</w:t>
      </w:r>
      <w:r w:rsidRPr="0077615B">
        <w:rPr>
          <w:szCs w:val="22"/>
        </w:rPr>
        <w:t>é</w:t>
      </w:r>
      <w:r w:rsidRPr="0077615B">
        <w:rPr>
          <w:szCs w:val="22"/>
        </w:rPr>
        <w:t>posa à la Chambre des communes, en février 1968, un Livre blanc sur La Cha</w:t>
      </w:r>
      <w:r w:rsidRPr="0077615B">
        <w:rPr>
          <w:szCs w:val="22"/>
        </w:rPr>
        <w:t>r</w:t>
      </w:r>
      <w:r w:rsidRPr="0077615B">
        <w:rPr>
          <w:szCs w:val="22"/>
        </w:rPr>
        <w:t>te canadienne des droits de l'Homme. En 1971, le Comité Molg</w:t>
      </w:r>
      <w:r w:rsidRPr="0077615B">
        <w:rPr>
          <w:szCs w:val="22"/>
        </w:rPr>
        <w:t>a</w:t>
      </w:r>
      <w:r w:rsidRPr="0077615B">
        <w:rPr>
          <w:szCs w:val="22"/>
        </w:rPr>
        <w:t>te-McGuigan recommandait que la Charte des droits soit enchâ</w:t>
      </w:r>
      <w:r w:rsidRPr="0077615B">
        <w:rPr>
          <w:szCs w:val="22"/>
        </w:rPr>
        <w:t>s</w:t>
      </w:r>
      <w:r w:rsidRPr="0077615B">
        <w:rPr>
          <w:szCs w:val="22"/>
        </w:rPr>
        <w:t>sée dans la Constitution. Cette position devint inséparable, aux yeux de Trudeau, de l'opération du rapatriement : les deux opér</w:t>
      </w:r>
      <w:r w:rsidRPr="0077615B">
        <w:rPr>
          <w:szCs w:val="22"/>
        </w:rPr>
        <w:t>a</w:t>
      </w:r>
      <w:r w:rsidRPr="0077615B">
        <w:rPr>
          <w:szCs w:val="22"/>
        </w:rPr>
        <w:t>tions ne pouvaient se réaliser que si elles étaient menées conjoint</w:t>
      </w:r>
      <w:r w:rsidRPr="0077615B">
        <w:rPr>
          <w:szCs w:val="22"/>
        </w:rPr>
        <w:t>e</w:t>
      </w:r>
      <w:r w:rsidRPr="0077615B">
        <w:rPr>
          <w:szCs w:val="22"/>
        </w:rPr>
        <w:t>ment, l'une s'a</w:t>
      </w:r>
      <w:r w:rsidRPr="0077615B">
        <w:rPr>
          <w:szCs w:val="22"/>
        </w:rPr>
        <w:t>p</w:t>
      </w:r>
      <w:r w:rsidRPr="0077615B">
        <w:rPr>
          <w:szCs w:val="22"/>
        </w:rPr>
        <w:t>puyant sur l'autre.</w:t>
      </w:r>
    </w:p>
    <w:p w:rsidR="00AD690E" w:rsidRPr="0077615B" w:rsidRDefault="00AD690E" w:rsidP="00AD690E">
      <w:pPr>
        <w:spacing w:before="120" w:after="120"/>
        <w:jc w:val="both"/>
      </w:pPr>
      <w:r w:rsidRPr="0077615B">
        <w:rPr>
          <w:szCs w:val="22"/>
        </w:rPr>
        <w:t>Le contenu économique et social de ces documents a cepe</w:t>
      </w:r>
      <w:r w:rsidRPr="0077615B">
        <w:rPr>
          <w:szCs w:val="22"/>
        </w:rPr>
        <w:t>n</w:t>
      </w:r>
      <w:r w:rsidRPr="0077615B">
        <w:rPr>
          <w:szCs w:val="22"/>
        </w:rPr>
        <w:t>dant fait les frais de la négociation et la Charte s'est trouvée r</w:t>
      </w:r>
      <w:r w:rsidRPr="0077615B">
        <w:rPr>
          <w:szCs w:val="22"/>
        </w:rPr>
        <w:t>é</w:t>
      </w:r>
      <w:r w:rsidRPr="0077615B">
        <w:rPr>
          <w:szCs w:val="22"/>
        </w:rPr>
        <w:t>duite à la portion congrue des libertés et droits individuels. Les seuls droits co</w:t>
      </w:r>
      <w:r w:rsidRPr="0077615B">
        <w:rPr>
          <w:szCs w:val="22"/>
        </w:rPr>
        <w:t>l</w:t>
      </w:r>
      <w:r w:rsidRPr="0077615B">
        <w:rPr>
          <w:szCs w:val="22"/>
        </w:rPr>
        <w:t>lectifs qui s'y trouvent encore sont ceux reconnus aux peuples autoc</w:t>
      </w:r>
      <w:r w:rsidRPr="0077615B">
        <w:rPr>
          <w:szCs w:val="22"/>
        </w:rPr>
        <w:t>h</w:t>
      </w:r>
      <w:r w:rsidRPr="0077615B">
        <w:rPr>
          <w:szCs w:val="22"/>
        </w:rPr>
        <w:t>tones (art. 25), aux minorités scolaires (art. 23), et à l'énigm</w:t>
      </w:r>
      <w:r w:rsidRPr="0077615B">
        <w:rPr>
          <w:szCs w:val="22"/>
        </w:rPr>
        <w:t>a</w:t>
      </w:r>
      <w:r w:rsidRPr="0077615B">
        <w:rPr>
          <w:szCs w:val="22"/>
        </w:rPr>
        <w:t>tique « patrimoine multiculturel » (art. 27). Pour le reste, les libertés de r</w:t>
      </w:r>
      <w:r w:rsidRPr="0077615B">
        <w:rPr>
          <w:szCs w:val="22"/>
        </w:rPr>
        <w:t>e</w:t>
      </w:r>
      <w:r w:rsidRPr="0077615B">
        <w:rPr>
          <w:szCs w:val="22"/>
        </w:rPr>
        <w:t>ligion, d'opinion, d'expression et d'ass</w:t>
      </w:r>
      <w:r w:rsidRPr="0077615B">
        <w:rPr>
          <w:szCs w:val="22"/>
        </w:rPr>
        <w:t>o</w:t>
      </w:r>
      <w:r w:rsidRPr="0077615B">
        <w:rPr>
          <w:szCs w:val="22"/>
        </w:rPr>
        <w:t>ciation (art. 2) sont conçues comme des droits individuels ; il en est de même du droit de vote (art. 3), et probablement des droits linguistiques.</w:t>
      </w:r>
    </w:p>
    <w:p w:rsidR="00AD690E" w:rsidRPr="0077615B" w:rsidRDefault="00AD690E" w:rsidP="00AD690E">
      <w:pPr>
        <w:spacing w:before="120" w:after="120"/>
        <w:jc w:val="both"/>
      </w:pPr>
      <w:r w:rsidRPr="0077615B">
        <w:rPr>
          <w:szCs w:val="22"/>
        </w:rPr>
        <w:t>Les critiques faites au Québec à rencontre de la Charte n'ont pas eu pour objet de souligner ni les dangers potentiels, ni les l</w:t>
      </w:r>
      <w:r w:rsidRPr="0077615B">
        <w:rPr>
          <w:szCs w:val="22"/>
        </w:rPr>
        <w:t>i</w:t>
      </w:r>
      <w:r w:rsidRPr="0077615B">
        <w:rPr>
          <w:szCs w:val="22"/>
        </w:rPr>
        <w:t>mites de la Charte à l'égard même des libertés fondamentales que ce</w:t>
      </w:r>
      <w:r w:rsidRPr="0077615B">
        <w:rPr>
          <w:szCs w:val="22"/>
        </w:rPr>
        <w:t>l</w:t>
      </w:r>
      <w:r w:rsidRPr="0077615B">
        <w:rPr>
          <w:szCs w:val="22"/>
        </w:rPr>
        <w:t>le-ci prétend défendre, bien au contraire.</w:t>
      </w:r>
    </w:p>
    <w:p w:rsidR="00AD690E" w:rsidRPr="0077615B" w:rsidRDefault="00AD690E" w:rsidP="00AD690E">
      <w:pPr>
        <w:spacing w:before="120" w:after="120"/>
        <w:jc w:val="both"/>
      </w:pPr>
      <w:r w:rsidRPr="0077615B">
        <w:rPr>
          <w:szCs w:val="22"/>
        </w:rPr>
        <w:t>L'un des seuls arguments à rencontre la Charte canadienne qui ne se fondait ni du point de vue du législateur qui voit ses prér</w:t>
      </w:r>
      <w:r w:rsidRPr="0077615B">
        <w:rPr>
          <w:szCs w:val="22"/>
        </w:rPr>
        <w:t>o</w:t>
      </w:r>
      <w:r w:rsidRPr="0077615B">
        <w:rPr>
          <w:szCs w:val="22"/>
        </w:rPr>
        <w:t>gatives diminuées, ni d'une soi-disant plus grande efficacité de la Charte qu</w:t>
      </w:r>
      <w:r w:rsidRPr="0077615B">
        <w:rPr>
          <w:szCs w:val="22"/>
        </w:rPr>
        <w:t>é</w:t>
      </w:r>
      <w:r w:rsidRPr="0077615B">
        <w:rPr>
          <w:szCs w:val="22"/>
        </w:rPr>
        <w:t>bécoise, fut soulevé par le ministre Paquette lorsqu'il déclarait :</w:t>
      </w:r>
    </w:p>
    <w:p w:rsidR="00AD690E" w:rsidRDefault="00AD690E" w:rsidP="00AD690E">
      <w:pPr>
        <w:pStyle w:val="Grillecouleur-Accent1"/>
      </w:pPr>
    </w:p>
    <w:p w:rsidR="00AD690E" w:rsidRDefault="00AD690E" w:rsidP="00AD690E">
      <w:pPr>
        <w:pStyle w:val="Grillecouleur-Accent1"/>
      </w:pPr>
      <w:r w:rsidRPr="00B678B2">
        <w:t>[On] a raison de dire que, parfois, certains gestes des gouvern</w:t>
      </w:r>
      <w:r w:rsidRPr="00B678B2">
        <w:t>e</w:t>
      </w:r>
      <w:r w:rsidRPr="00B678B2">
        <w:t>ments dans d'autres pays ont supprimé les droits et libertés, mais, à l'inverse, su</w:t>
      </w:r>
      <w:r w:rsidRPr="00B678B2">
        <w:t>p</w:t>
      </w:r>
      <w:r w:rsidRPr="00B678B2">
        <w:t>primons les gouvernements et on verra le fort écraser le faible. On ver ra les tensions sociales s'accroître, les riches devenir plus riches et les pa</w:t>
      </w:r>
      <w:r w:rsidRPr="00B678B2">
        <w:t>u</w:t>
      </w:r>
      <w:r w:rsidRPr="00B678B2">
        <w:t>vres d</w:t>
      </w:r>
      <w:r w:rsidRPr="00B678B2">
        <w:t>e</w:t>
      </w:r>
      <w:r w:rsidRPr="00B678B2">
        <w:t>venir plus pauvres</w:t>
      </w:r>
      <w:r>
        <w:t> </w:t>
      </w:r>
      <w:r w:rsidRPr="005B6CBD">
        <w:rPr>
          <w:rStyle w:val="Appelnotedebasdep"/>
          <w:szCs w:val="18"/>
        </w:rPr>
        <w:footnoteReference w:id="217"/>
      </w:r>
      <w:r w:rsidRPr="0077615B">
        <w:t>.</w:t>
      </w:r>
    </w:p>
    <w:p w:rsidR="00AD690E" w:rsidRPr="00AA58C4" w:rsidRDefault="00AD690E" w:rsidP="00AD690E">
      <w:pPr>
        <w:pStyle w:val="Grillecouleur-Accent1"/>
      </w:pPr>
    </w:p>
    <w:p w:rsidR="00AD690E" w:rsidRPr="0077615B" w:rsidRDefault="00AD690E" w:rsidP="00AD690E">
      <w:pPr>
        <w:spacing w:before="120" w:after="120"/>
        <w:jc w:val="both"/>
      </w:pPr>
      <w:r w:rsidRPr="0077615B">
        <w:rPr>
          <w:szCs w:val="22"/>
        </w:rPr>
        <w:t>Cette préoccupation voulait souligner qu'il peut être parfois dang</w:t>
      </w:r>
      <w:r w:rsidRPr="0077615B">
        <w:rPr>
          <w:szCs w:val="22"/>
        </w:rPr>
        <w:t>e</w:t>
      </w:r>
      <w:r w:rsidRPr="0077615B">
        <w:rPr>
          <w:szCs w:val="22"/>
        </w:rPr>
        <w:t xml:space="preserve">reux d'imposer des limites </w:t>
      </w:r>
      <w:r w:rsidRPr="00BA12E5">
        <w:rPr>
          <w:i/>
          <w:szCs w:val="22"/>
        </w:rPr>
        <w:t>a priori</w:t>
      </w:r>
      <w:r w:rsidRPr="0077615B">
        <w:rPr>
          <w:szCs w:val="22"/>
        </w:rPr>
        <w:t xml:space="preserve"> à l'action gouvernement</w:t>
      </w:r>
      <w:r w:rsidRPr="0077615B">
        <w:rPr>
          <w:szCs w:val="22"/>
        </w:rPr>
        <w:t>a</w:t>
      </w:r>
      <w:r w:rsidRPr="0077615B">
        <w:rPr>
          <w:szCs w:val="22"/>
        </w:rPr>
        <w:t>le, comme le fait la Charte canadienne, et que la limite à l'action gouvernement</w:t>
      </w:r>
      <w:r w:rsidRPr="0077615B">
        <w:rPr>
          <w:szCs w:val="22"/>
        </w:rPr>
        <w:t>a</w:t>
      </w:r>
      <w:r w:rsidRPr="0077615B">
        <w:rPr>
          <w:szCs w:val="22"/>
        </w:rPr>
        <w:t>le n'est pas en soi un signe de progrès. Mais cet arg</w:t>
      </w:r>
      <w:r w:rsidRPr="0077615B">
        <w:rPr>
          <w:szCs w:val="22"/>
        </w:rPr>
        <w:t>u</w:t>
      </w:r>
      <w:r w:rsidRPr="0077615B">
        <w:rPr>
          <w:szCs w:val="22"/>
        </w:rPr>
        <w:t>ment sérieux n'a pas été repris par les gouvernements dans la suite des débats.</w:t>
      </w:r>
    </w:p>
    <w:p w:rsidR="00AD690E" w:rsidRPr="0077615B" w:rsidRDefault="00AD690E" w:rsidP="00AD690E">
      <w:pPr>
        <w:spacing w:before="120" w:after="120"/>
        <w:jc w:val="both"/>
      </w:pPr>
      <w:r w:rsidRPr="0077615B">
        <w:rPr>
          <w:szCs w:val="22"/>
        </w:rPr>
        <w:t>Le Gouvernement du Québec, se prévalant de l'article 33 de la Charte canadienne — qu'il dénonçait par ailleurs —, s'est e</w:t>
      </w:r>
      <w:r w:rsidRPr="0077615B">
        <w:rPr>
          <w:szCs w:val="22"/>
        </w:rPr>
        <w:t>m</w:t>
      </w:r>
      <w:r w:rsidRPr="0077615B">
        <w:rPr>
          <w:szCs w:val="22"/>
        </w:rPr>
        <w:t>pressé de déclarer que toutes ses lois devaient s'appliquer indépenda</w:t>
      </w:r>
      <w:r w:rsidRPr="0077615B">
        <w:rPr>
          <w:szCs w:val="22"/>
        </w:rPr>
        <w:t>m</w:t>
      </w:r>
      <w:r w:rsidRPr="0077615B">
        <w:rPr>
          <w:szCs w:val="22"/>
        </w:rPr>
        <w:t>ment des articles 2 et 7 à 15 de la Charte</w:t>
      </w:r>
      <w:r>
        <w:rPr>
          <w:szCs w:val="22"/>
        </w:rPr>
        <w:t> </w:t>
      </w:r>
      <w:r w:rsidRPr="005B6CBD">
        <w:rPr>
          <w:rStyle w:val="Appelnotedebasdep"/>
        </w:rPr>
        <w:footnoteReference w:id="218"/>
      </w:r>
      <w:r w:rsidRPr="0077615B">
        <w:rPr>
          <w:szCs w:val="22"/>
        </w:rPr>
        <w:t>. Ce geste ne pouvait que conforter les opposants à l'autonomie</w:t>
      </w:r>
      <w:r>
        <w:rPr>
          <w:szCs w:val="22"/>
        </w:rPr>
        <w:t xml:space="preserve"> </w:t>
      </w:r>
      <w:r w:rsidRPr="0077615B">
        <w:rPr>
          <w:szCs w:val="18"/>
        </w:rPr>
        <w:t>[</w:t>
      </w:r>
      <w:r w:rsidRPr="0077615B">
        <w:t>124]</w:t>
      </w:r>
      <w:r>
        <w:t xml:space="preserve"> </w:t>
      </w:r>
      <w:r w:rsidRPr="0077615B">
        <w:t>québécoise dans leur conviction que le Québec n'a pas la maturité politique de se gouverner lui-même, i</w:t>
      </w:r>
      <w:r w:rsidRPr="0077615B">
        <w:t>n</w:t>
      </w:r>
      <w:r w:rsidRPr="0077615B">
        <w:t>capable de garantir à ses citoyens les mêmes droits qu'aux autres c</w:t>
      </w:r>
      <w:r w:rsidRPr="0077615B">
        <w:t>a</w:t>
      </w:r>
      <w:r w:rsidRPr="0077615B">
        <w:t>nadiens, incapable de restreindre son goût et ses traditions trop réce</w:t>
      </w:r>
      <w:r w:rsidRPr="0077615B">
        <w:t>n</w:t>
      </w:r>
      <w:r w:rsidRPr="0077615B">
        <w:t>tes pour le pouvoir pe</w:t>
      </w:r>
      <w:r w:rsidRPr="0077615B">
        <w:t>r</w:t>
      </w:r>
      <w:r w:rsidRPr="0077615B">
        <w:t>sonnel. Mais ces réflexions dépassent le cadre de l'analyse du gouvernement libéral f</w:t>
      </w:r>
      <w:r w:rsidRPr="0077615B">
        <w:t>é</w:t>
      </w:r>
      <w:r w:rsidRPr="0077615B">
        <w:t>déral à proprement parler.</w:t>
      </w:r>
    </w:p>
    <w:p w:rsidR="00AD690E" w:rsidRPr="0077615B" w:rsidRDefault="00AD690E" w:rsidP="00AD690E">
      <w:pPr>
        <w:pStyle w:val="c"/>
      </w:pPr>
      <w:r w:rsidRPr="0077615B">
        <w:t>*  *  *</w:t>
      </w:r>
    </w:p>
    <w:p w:rsidR="00AD690E" w:rsidRPr="0077615B" w:rsidRDefault="00AD690E" w:rsidP="00AD690E">
      <w:pPr>
        <w:spacing w:before="120" w:after="120"/>
        <w:jc w:val="both"/>
      </w:pPr>
      <w:r w:rsidRPr="0077615B">
        <w:t xml:space="preserve">La </w:t>
      </w:r>
      <w:r w:rsidRPr="00BA12E5">
        <w:rPr>
          <w:i/>
        </w:rPr>
        <w:t>Charte canadienne des droits et libertés</w:t>
      </w:r>
      <w:r w:rsidRPr="0077615B">
        <w:t xml:space="preserve"> de 1982 reconnaît à l'individu des droits et des libertés à </w:t>
      </w:r>
      <w:r>
        <w:t>l’</w:t>
      </w:r>
      <w:r w:rsidRPr="0077615B">
        <w:t>encontre de l'État. Elle lui pe</w:t>
      </w:r>
      <w:r w:rsidRPr="0077615B">
        <w:t>r</w:t>
      </w:r>
      <w:r w:rsidRPr="0077615B">
        <w:t>met de recourir aux tribunaux pour faire valoir ces droits et aller ju</w:t>
      </w:r>
      <w:r w:rsidRPr="0077615B">
        <w:t>s</w:t>
      </w:r>
      <w:r w:rsidRPr="0077615B">
        <w:t>qu'à faire invalider des lois adoptées par le Parlement ou l'A</w:t>
      </w:r>
      <w:r w:rsidRPr="0077615B">
        <w:t>s</w:t>
      </w:r>
      <w:r w:rsidRPr="0077615B">
        <w:t>semblée nationale. Le plus faible des citoyens, la plus dém</w:t>
      </w:r>
      <w:r w:rsidRPr="0077615B">
        <w:t>u</w:t>
      </w:r>
      <w:r w:rsidRPr="0077615B">
        <w:t>nie des citoyennes a donc, en théorie, le pouvoir de mettre en branle un processus qui allumera le phare de la Justice afin de jeter la lumière sur tout obsc</w:t>
      </w:r>
      <w:r w:rsidRPr="0077615B">
        <w:t>u</w:t>
      </w:r>
      <w:r w:rsidRPr="0077615B">
        <w:t>rantiste qui aurait pu berner l'électorat et s'e</w:t>
      </w:r>
      <w:r w:rsidRPr="0077615B">
        <w:t>m</w:t>
      </w:r>
      <w:r w:rsidRPr="0077615B">
        <w:t>parer du pouvoir aux fins de faire triompher ses so</w:t>
      </w:r>
      <w:r w:rsidRPr="0077615B">
        <w:t>m</w:t>
      </w:r>
      <w:r w:rsidRPr="0077615B">
        <w:t>bres desseins.</w:t>
      </w:r>
    </w:p>
    <w:p w:rsidR="00AD690E" w:rsidRPr="0077615B" w:rsidRDefault="00AD690E" w:rsidP="00AD690E">
      <w:pPr>
        <w:spacing w:before="120" w:after="120"/>
        <w:jc w:val="both"/>
      </w:pPr>
      <w:r w:rsidRPr="0077615B">
        <w:t>Il faut bien dire en théorie, car les lumières de la Justice co</w:t>
      </w:r>
      <w:r w:rsidRPr="0077615B">
        <w:t>û</w:t>
      </w:r>
      <w:r w:rsidRPr="0077615B">
        <w:t>tent cher et elles sont longues à s'allumer. Dans la célèbre affaire Ronc</w:t>
      </w:r>
      <w:r w:rsidRPr="0077615B">
        <w:t>a</w:t>
      </w:r>
      <w:r w:rsidRPr="0077615B">
        <w:t>relli c. Duplessis, par exemple, ce n'est qu'après neuf ans de d</w:t>
      </w:r>
      <w:r w:rsidRPr="0077615B">
        <w:t>é</w:t>
      </w:r>
      <w:r w:rsidRPr="0077615B">
        <w:t>bats judiciaires que celui-là eut raison de celui-ci. La petite histoire nous rapporte que le restaurant de Roncarelli que Duplessis avait fait fe</w:t>
      </w:r>
      <w:r w:rsidRPr="0077615B">
        <w:t>r</w:t>
      </w:r>
      <w:r w:rsidRPr="0077615B">
        <w:t>mer, n'a jamais été réouvert, et que Roncarelli a dû s'exp</w:t>
      </w:r>
      <w:r w:rsidRPr="0077615B">
        <w:t>a</w:t>
      </w:r>
      <w:r w:rsidRPr="0077615B">
        <w:t>trier aux États-Unis. Sans l'acharnement de son avocat, le profe</w:t>
      </w:r>
      <w:r w:rsidRPr="0077615B">
        <w:t>s</w:t>
      </w:r>
      <w:r w:rsidRPr="0077615B">
        <w:t>seur Frank Scott de McGill, l'affaire se serait éteinte avant d'avoir été entendue. La compensation financière ne réussit jamais à compenser des attei</w:t>
      </w:r>
      <w:r w:rsidRPr="0077615B">
        <w:t>n</w:t>
      </w:r>
      <w:r w:rsidRPr="0077615B">
        <w:t>tes de cette nature.</w:t>
      </w:r>
    </w:p>
    <w:p w:rsidR="00AD690E" w:rsidRPr="0077615B" w:rsidRDefault="00AD690E" w:rsidP="00AD690E">
      <w:pPr>
        <w:spacing w:before="120" w:after="120"/>
        <w:jc w:val="both"/>
      </w:pPr>
      <w:r w:rsidRPr="0077615B">
        <w:t>Et si les recours contre l'État sont ouverts aux plus petits et aux plus démunis, ils le sont aussi, au nom de l'égalité, aux plus gros et aux plus puissants. Sans l'inclusion des droits économiques, s</w:t>
      </w:r>
      <w:r w:rsidRPr="0077615B">
        <w:t>o</w:t>
      </w:r>
      <w:r w:rsidRPr="0077615B">
        <w:t>ciaux et collectifs dans la Charte, ceux-ci seront toujours évalués et so</w:t>
      </w:r>
      <w:r w:rsidRPr="0077615B">
        <w:t>u</w:t>
      </w:r>
      <w:r w:rsidRPr="0077615B">
        <w:t>pesés en termes d'atteintes aux droits individuels qui, eux, jouissent d'un statut et d'une protection constitutionnels plus él</w:t>
      </w:r>
      <w:r w:rsidRPr="0077615B">
        <w:t>e</w:t>
      </w:r>
      <w:r w:rsidRPr="0077615B">
        <w:t>vés. Et dans ce contexte on est en droit de se demander qui sera le mieux pourvu pour faire valoir son point de vue ?</w:t>
      </w:r>
    </w:p>
    <w:p w:rsidR="00AD690E" w:rsidRDefault="00AD690E" w:rsidP="00AD690E">
      <w:pPr>
        <w:spacing w:before="120" w:after="120"/>
        <w:jc w:val="both"/>
      </w:pPr>
      <w:r w:rsidRPr="0077615B">
        <w:t>Les options de ses concepteurs, les négociations politiques et la r</w:t>
      </w:r>
      <w:r w:rsidRPr="0077615B">
        <w:t>é</w:t>
      </w:r>
      <w:r w:rsidRPr="0077615B">
        <w:t>daction législative ont laissé au Canada et au Québec le d</w:t>
      </w:r>
      <w:r w:rsidRPr="0077615B">
        <w:t>o</w:t>
      </w:r>
      <w:r w:rsidRPr="0077615B">
        <w:t>cument que l'on connaît. Ce phare, conçu à l'origine comme une l</w:t>
      </w:r>
      <w:r w:rsidRPr="0077615B">
        <w:t>u</w:t>
      </w:r>
      <w:r w:rsidRPr="0077615B">
        <w:t>mière contre le retour de la grande</w:t>
      </w:r>
      <w:r>
        <w:t xml:space="preserve"> noirceur, ne tourne pas rond. I</w:t>
      </w:r>
      <w:r w:rsidRPr="0077615B">
        <w:t>l n'écla</w:t>
      </w:r>
      <w:r w:rsidRPr="0077615B">
        <w:t>i</w:t>
      </w:r>
      <w:r w:rsidRPr="0077615B">
        <w:t>re que dans une seule direction, celle des droits et libertés indiv</w:t>
      </w:r>
      <w:r w:rsidRPr="0077615B">
        <w:t>i</w:t>
      </w:r>
      <w:r w:rsidRPr="0077615B">
        <w:t>duels. À force de le regarder, on risque d'être aveuglé et de ne plus voir que d'autres d</w:t>
      </w:r>
      <w:r w:rsidRPr="0077615B">
        <w:t>i</w:t>
      </w:r>
      <w:r w:rsidRPr="0077615B">
        <w:t>mensions de la vie en société mér</w:t>
      </w:r>
      <w:r w:rsidRPr="0077615B">
        <w:t>i</w:t>
      </w:r>
      <w:r w:rsidRPr="0077615B">
        <w:t>teraient une protection non moins grande que celles accordées aux droits indiv</w:t>
      </w:r>
      <w:r w:rsidRPr="0077615B">
        <w:t>i</w:t>
      </w:r>
      <w:r w:rsidRPr="0077615B">
        <w:t>duels.</w:t>
      </w:r>
    </w:p>
    <w:p w:rsidR="00AD690E" w:rsidRDefault="00AD690E" w:rsidP="00AD690E">
      <w:pPr>
        <w:spacing w:before="120" w:after="120"/>
        <w:jc w:val="both"/>
      </w:pPr>
      <w:r w:rsidRPr="0077615B">
        <w:t>[125]</w:t>
      </w:r>
    </w:p>
    <w:p w:rsidR="00AD690E" w:rsidRPr="0077615B" w:rsidRDefault="00AD690E" w:rsidP="00AD690E">
      <w:pPr>
        <w:spacing w:before="120" w:after="120"/>
        <w:ind w:firstLine="426"/>
        <w:jc w:val="both"/>
      </w:pPr>
      <w:r w:rsidRPr="0077615B">
        <w:t xml:space="preserve">Le phare allumé par la </w:t>
      </w:r>
      <w:r w:rsidRPr="00F259C4">
        <w:rPr>
          <w:i/>
        </w:rPr>
        <w:t>Charte canadienne des droits et libe</w:t>
      </w:r>
      <w:r w:rsidRPr="00F259C4">
        <w:rPr>
          <w:i/>
        </w:rPr>
        <w:t>r</w:t>
      </w:r>
      <w:r w:rsidRPr="00F259C4">
        <w:rPr>
          <w:i/>
        </w:rPr>
        <w:t>tés</w:t>
      </w:r>
      <w:r w:rsidRPr="0077615B">
        <w:t xml:space="preserve"> risque de nous cacher l'essentiel, et c'est peut-être Georges A. L</w:t>
      </w:r>
      <w:r w:rsidRPr="0077615B">
        <w:t>e</w:t>
      </w:r>
      <w:r w:rsidRPr="0077615B">
        <w:t>Bel qui a le mieux saisi cette dimension de la Charte, à lui donc le mot de la fin :</w:t>
      </w:r>
    </w:p>
    <w:p w:rsidR="00AD690E" w:rsidRDefault="00AD690E" w:rsidP="00AD690E">
      <w:pPr>
        <w:pStyle w:val="Grillecouleur-Accent1"/>
      </w:pPr>
    </w:p>
    <w:p w:rsidR="00AD690E" w:rsidRPr="0077615B" w:rsidRDefault="00AD690E" w:rsidP="00AD690E">
      <w:pPr>
        <w:pStyle w:val="Grillecouleur-Accent1"/>
      </w:pPr>
      <w:r w:rsidRPr="005241E1">
        <w:t>Méfions-nous que la proclamation des droits individuels ne légit</w:t>
      </w:r>
      <w:r w:rsidRPr="005241E1">
        <w:t>i</w:t>
      </w:r>
      <w:r w:rsidRPr="005241E1">
        <w:t>me et ne masque un processus d'étouffement des solidarités anciennes. Aux vi</w:t>
      </w:r>
      <w:r w:rsidRPr="005241E1">
        <w:t>l</w:t>
      </w:r>
      <w:r w:rsidRPr="005241E1">
        <w:t>lages, qua</w:t>
      </w:r>
      <w:r w:rsidRPr="005241E1">
        <w:t>r</w:t>
      </w:r>
      <w:r w:rsidRPr="005241E1">
        <w:t>tiers et familles fourmillants de solidarités multiformes, on substitue l'u</w:t>
      </w:r>
      <w:r w:rsidRPr="005241E1">
        <w:t>r</w:t>
      </w:r>
      <w:r w:rsidRPr="005241E1">
        <w:t>banisation stérilisante qui confine des individus de plus en plus seuls dans des casiers ident</w:t>
      </w:r>
      <w:r w:rsidRPr="005241E1">
        <w:t>i</w:t>
      </w:r>
      <w:r w:rsidRPr="005241E1">
        <w:t>ques et interchangeables, prisonniers d'un écran c</w:t>
      </w:r>
      <w:r w:rsidRPr="005241E1">
        <w:t>a</w:t>
      </w:r>
      <w:r w:rsidRPr="005241E1">
        <w:t>thodique qui est la négation même de la communication avec son entourage. L'ensemble des mécanismes idéologiques et sociaux à l'œuvre aujourd'hui, pousse à l'individu</w:t>
      </w:r>
      <w:r w:rsidRPr="005241E1">
        <w:t>a</w:t>
      </w:r>
      <w:r w:rsidRPr="005241E1">
        <w:t>lisme et à la disparition des solidarités. Il faut s'écarter de cette conception qui veut que Dieu nous ait donné des droits de toute éternité et pour toujours et que, comme le dit la Constit</w:t>
      </w:r>
      <w:r w:rsidRPr="005241E1">
        <w:t>u</w:t>
      </w:r>
      <w:r w:rsidRPr="005241E1">
        <w:t xml:space="preserve">tion américaine, </w:t>
      </w:r>
      <w:r w:rsidRPr="005241E1">
        <w:rPr>
          <w:i/>
        </w:rPr>
        <w:t>The Congress shall not infringe the rights</w:t>
      </w:r>
      <w:r w:rsidRPr="005241E1">
        <w:t>, car son coro</w:t>
      </w:r>
      <w:r w:rsidRPr="005241E1">
        <w:t>l</w:t>
      </w:r>
      <w:r w:rsidRPr="005241E1">
        <w:t>laire est que l'État n'est pas obligé positivement de les me</w:t>
      </w:r>
      <w:r w:rsidRPr="005241E1">
        <w:t>t</w:t>
      </w:r>
      <w:r w:rsidRPr="005241E1">
        <w:t>tre en œuvre. Au contraire, les droits sont des acquis qu'il faut défendre d'abord, compléter ensuite. La Charte constitutio</w:t>
      </w:r>
      <w:r w:rsidRPr="005241E1">
        <w:t>n</w:t>
      </w:r>
      <w:r w:rsidRPr="005241E1">
        <w:t>nelle est un obstacle à l'action de l'État, mais ne constitue pas le moyen dont nous avons besoin pour la prom</w:t>
      </w:r>
      <w:r w:rsidRPr="005241E1">
        <w:t>o</w:t>
      </w:r>
      <w:r w:rsidRPr="005241E1">
        <w:t>tion de nos droits</w:t>
      </w:r>
      <w:r>
        <w:t> </w:t>
      </w:r>
      <w:r>
        <w:rPr>
          <w:rStyle w:val="Appelnotedebasdep"/>
          <w:szCs w:val="18"/>
        </w:rPr>
        <w:footnoteReference w:id="219"/>
      </w:r>
      <w:r w:rsidRPr="0077615B">
        <w:t>.</w:t>
      </w:r>
      <w:r w:rsidRPr="005241E1">
        <w:t xml:space="preserve"> </w:t>
      </w:r>
    </w:p>
    <w:p w:rsidR="00AD690E" w:rsidRDefault="00AD690E" w:rsidP="00AD690E">
      <w:pPr>
        <w:spacing w:before="120" w:after="120"/>
        <w:ind w:firstLine="0"/>
        <w:jc w:val="both"/>
      </w:pPr>
    </w:p>
    <w:p w:rsidR="00AD690E" w:rsidRPr="0077615B" w:rsidRDefault="00AD690E" w:rsidP="00AD690E">
      <w:pPr>
        <w:spacing w:before="120" w:after="120"/>
        <w:ind w:firstLine="0"/>
        <w:jc w:val="both"/>
      </w:pPr>
      <w:r>
        <w:t>[126]</w:t>
      </w:r>
    </w:p>
    <w:p w:rsidR="00AD690E" w:rsidRPr="0077615B" w:rsidRDefault="00AD690E" w:rsidP="00AD690E">
      <w:pPr>
        <w:spacing w:before="120" w:after="120"/>
        <w:ind w:firstLine="0"/>
        <w:jc w:val="both"/>
      </w:pPr>
      <w:r w:rsidRPr="0077615B">
        <w:br w:type="page"/>
        <w:t>[127]</w:t>
      </w:r>
    </w:p>
    <w:p w:rsidR="00AD690E" w:rsidRDefault="00AD690E" w:rsidP="00AD690E">
      <w:pPr>
        <w:jc w:val="both"/>
      </w:pPr>
    </w:p>
    <w:p w:rsidR="00AD690E"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0" w:name="ere_Liberaux_pt1_texte_06"/>
      <w:r w:rsidRPr="003634E0">
        <w:rPr>
          <w:b/>
          <w:color w:val="000080"/>
          <w:sz w:val="24"/>
        </w:rPr>
        <w:t>PREMIÈRE PARTIE</w:t>
      </w:r>
      <w:r w:rsidRPr="003634E0">
        <w:rPr>
          <w:b/>
          <w:color w:val="000080"/>
          <w:sz w:val="24"/>
        </w:rPr>
        <w:br/>
        <w:t>QUESTIONS POLITIQUES</w:t>
      </w:r>
    </w:p>
    <w:p w:rsidR="00AD690E" w:rsidRPr="00E07116" w:rsidRDefault="00AD690E" w:rsidP="00AD690E">
      <w:pPr>
        <w:jc w:val="both"/>
        <w:rPr>
          <w:szCs w:val="36"/>
        </w:rPr>
      </w:pPr>
    </w:p>
    <w:p w:rsidR="00AD690E" w:rsidRPr="00E07116" w:rsidRDefault="00AD690E" w:rsidP="00AD690E">
      <w:pPr>
        <w:pStyle w:val="planchest"/>
      </w:pPr>
      <w:r>
        <w:t>“La centralisation du pouvoir</w:t>
      </w:r>
      <w:r>
        <w:br/>
        <w:t>au sein de l’exécutif fédéral.”</w:t>
      </w:r>
    </w:p>
    <w:bookmarkEnd w:id="10"/>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François HOULE</w:t>
      </w:r>
    </w:p>
    <w:p w:rsidR="00AD690E" w:rsidRPr="00957619" w:rsidRDefault="00AD690E" w:rsidP="00AD690E">
      <w:pPr>
        <w:spacing w:before="120"/>
        <w:ind w:firstLine="0"/>
        <w:jc w:val="center"/>
        <w:rPr>
          <w:sz w:val="24"/>
        </w:rPr>
      </w:pPr>
      <w:r w:rsidRPr="00957619">
        <w:rPr>
          <w:sz w:val="24"/>
          <w:szCs w:val="22"/>
        </w:rPr>
        <w:t>Département de science politique</w:t>
      </w:r>
      <w:r w:rsidRPr="00957619">
        <w:rPr>
          <w:sz w:val="24"/>
          <w:szCs w:val="22"/>
        </w:rPr>
        <w:br/>
        <w:t>Un</w:t>
      </w:r>
      <w:r w:rsidRPr="00957619">
        <w:rPr>
          <w:sz w:val="24"/>
          <w:szCs w:val="22"/>
        </w:rPr>
        <w:t>i</w:t>
      </w:r>
      <w:r w:rsidRPr="00957619">
        <w:rPr>
          <w:sz w:val="24"/>
          <w:szCs w:val="22"/>
        </w:rPr>
        <w:t xml:space="preserve">versité </w:t>
      </w:r>
      <w:r>
        <w:rPr>
          <w:sz w:val="24"/>
          <w:szCs w:val="22"/>
        </w:rPr>
        <w:t>d’Ottawa</w:t>
      </w:r>
    </w:p>
    <w:p w:rsidR="00AD690E" w:rsidRDefault="00AD690E" w:rsidP="00AD690E">
      <w:pPr>
        <w:jc w:val="both"/>
      </w:pP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77615B" w:rsidRDefault="00AD690E" w:rsidP="00AD690E">
      <w:pPr>
        <w:spacing w:before="120" w:after="120"/>
        <w:ind w:firstLine="0"/>
        <w:jc w:val="both"/>
      </w:pPr>
      <w:r w:rsidRPr="0077615B">
        <w:rPr>
          <w:szCs w:val="22"/>
        </w:rPr>
        <w:t>Le processus de prise de décisions à Ottawa a subi des chang</w:t>
      </w:r>
      <w:r w:rsidRPr="0077615B">
        <w:rPr>
          <w:szCs w:val="22"/>
        </w:rPr>
        <w:t>e</w:t>
      </w:r>
      <w:r w:rsidRPr="0077615B">
        <w:rPr>
          <w:szCs w:val="22"/>
        </w:rPr>
        <w:t>ments marquants au cours des vingt-cinq dernières années. Entre l'a</w:t>
      </w:r>
      <w:r w:rsidRPr="0077615B">
        <w:rPr>
          <w:szCs w:val="22"/>
        </w:rPr>
        <w:t>r</w:t>
      </w:r>
      <w:r w:rsidRPr="0077615B">
        <w:rPr>
          <w:szCs w:val="22"/>
        </w:rPr>
        <w:t>rivée au pouvoir de Pearson et celle de Mulroney, les modes d'exerc</w:t>
      </w:r>
      <w:r w:rsidRPr="0077615B">
        <w:rPr>
          <w:szCs w:val="22"/>
        </w:rPr>
        <w:t>i</w:t>
      </w:r>
      <w:r w:rsidRPr="0077615B">
        <w:rPr>
          <w:szCs w:val="22"/>
        </w:rPr>
        <w:t>ce du pouvoir ont été radicalement transformés non seulement de f</w:t>
      </w:r>
      <w:r w:rsidRPr="0077615B">
        <w:rPr>
          <w:szCs w:val="22"/>
        </w:rPr>
        <w:t>a</w:t>
      </w:r>
      <w:r w:rsidRPr="0077615B">
        <w:rPr>
          <w:szCs w:val="22"/>
        </w:rPr>
        <w:t>çon à assurer un meilleur contrôle du politique sur la bureaucratie, mais au</w:t>
      </w:r>
      <w:r w:rsidRPr="0077615B">
        <w:rPr>
          <w:szCs w:val="22"/>
        </w:rPr>
        <w:t>s</w:t>
      </w:r>
      <w:r w:rsidRPr="0077615B">
        <w:rPr>
          <w:szCs w:val="22"/>
        </w:rPr>
        <w:t>si dans le but de centraliser les différentes étapes du processus déc</w:t>
      </w:r>
      <w:r w:rsidRPr="0077615B">
        <w:rPr>
          <w:szCs w:val="22"/>
        </w:rPr>
        <w:t>i</w:t>
      </w:r>
      <w:r w:rsidRPr="0077615B">
        <w:rPr>
          <w:szCs w:val="22"/>
        </w:rPr>
        <w:t>sionnel : de l'établissement des priorités à la décision finale. Bien que la très grande majorité des spécialistes et des fonctionna</w:t>
      </w:r>
      <w:r w:rsidRPr="0077615B">
        <w:rPr>
          <w:szCs w:val="22"/>
        </w:rPr>
        <w:t>i</w:t>
      </w:r>
      <w:r w:rsidRPr="0077615B">
        <w:rPr>
          <w:szCs w:val="22"/>
        </w:rPr>
        <w:t>res qui ont analysé la structure décisionnelle concluent que les différentes mod</w:t>
      </w:r>
      <w:r w:rsidRPr="0077615B">
        <w:rPr>
          <w:szCs w:val="22"/>
        </w:rPr>
        <w:t>i</w:t>
      </w:r>
      <w:r w:rsidRPr="0077615B">
        <w:rPr>
          <w:szCs w:val="22"/>
        </w:rPr>
        <w:t>fications apportées ont permis un renforcement de la responsab</w:t>
      </w:r>
      <w:r w:rsidRPr="0077615B">
        <w:rPr>
          <w:szCs w:val="22"/>
        </w:rPr>
        <w:t>i</w:t>
      </w:r>
      <w:r w:rsidRPr="0077615B">
        <w:rPr>
          <w:szCs w:val="22"/>
        </w:rPr>
        <w:t>lité collective des membres du Cabinet, dans la pratique, ces modific</w:t>
      </w:r>
      <w:r w:rsidRPr="0077615B">
        <w:rPr>
          <w:szCs w:val="22"/>
        </w:rPr>
        <w:t>a</w:t>
      </w:r>
      <w:r w:rsidRPr="0077615B">
        <w:rPr>
          <w:szCs w:val="22"/>
        </w:rPr>
        <w:t>tions ont davantage conduit au renforcement du po</w:t>
      </w:r>
      <w:r w:rsidRPr="0077615B">
        <w:rPr>
          <w:szCs w:val="22"/>
        </w:rPr>
        <w:t>u</w:t>
      </w:r>
      <w:r w:rsidRPr="0077615B">
        <w:rPr>
          <w:szCs w:val="22"/>
        </w:rPr>
        <w:t>voir du premier ministre et d'un groupe restreint de ministres. Parallèlement à la dim</w:t>
      </w:r>
      <w:r w:rsidRPr="0077615B">
        <w:rPr>
          <w:szCs w:val="22"/>
        </w:rPr>
        <w:t>i</w:t>
      </w:r>
      <w:r w:rsidRPr="0077615B">
        <w:rPr>
          <w:szCs w:val="22"/>
        </w:rPr>
        <w:t>nution d'autonomie et de pouvoir des ministres individuels au profit du premier ministre et des ministres membres du Comité des prior</w:t>
      </w:r>
      <w:r w:rsidRPr="0077615B">
        <w:rPr>
          <w:szCs w:val="22"/>
        </w:rPr>
        <w:t>i</w:t>
      </w:r>
      <w:r w:rsidRPr="0077615B">
        <w:rPr>
          <w:szCs w:val="22"/>
        </w:rPr>
        <w:t>tés et de la planification, les fonctionnaires des ministères sect</w:t>
      </w:r>
      <w:r w:rsidRPr="0077615B">
        <w:rPr>
          <w:szCs w:val="22"/>
        </w:rPr>
        <w:t>o</w:t>
      </w:r>
      <w:r w:rsidRPr="0077615B">
        <w:rPr>
          <w:szCs w:val="22"/>
        </w:rPr>
        <w:t>riels ont vu leur pouvoir réduit à l'avantage de ceux des organi</w:t>
      </w:r>
      <w:r w:rsidRPr="0077615B">
        <w:rPr>
          <w:szCs w:val="22"/>
        </w:rPr>
        <w:t>s</w:t>
      </w:r>
      <w:r w:rsidRPr="0077615B">
        <w:rPr>
          <w:szCs w:val="22"/>
        </w:rPr>
        <w:t>mes centraux.</w:t>
      </w:r>
    </w:p>
    <w:p w:rsidR="00AD690E" w:rsidRPr="0077615B" w:rsidRDefault="00AD690E" w:rsidP="00AD690E">
      <w:pPr>
        <w:spacing w:before="120" w:after="120"/>
        <w:jc w:val="both"/>
      </w:pPr>
      <w:r w:rsidRPr="0077615B">
        <w:rPr>
          <w:szCs w:val="22"/>
        </w:rPr>
        <w:t>L'accroissement du rôle du gouvernement, la complexité croi</w:t>
      </w:r>
      <w:r w:rsidRPr="0077615B">
        <w:rPr>
          <w:szCs w:val="22"/>
        </w:rPr>
        <w:t>s</w:t>
      </w:r>
      <w:r w:rsidRPr="0077615B">
        <w:rPr>
          <w:szCs w:val="22"/>
        </w:rPr>
        <w:t>sante des problèmes dans la période d'après-guerre, d'une part, et la volonté du gouvernement fédéral de mettre en place des politiques et des pr</w:t>
      </w:r>
      <w:r w:rsidRPr="0077615B">
        <w:rPr>
          <w:szCs w:val="22"/>
        </w:rPr>
        <w:t>o</w:t>
      </w:r>
      <w:r w:rsidRPr="0077615B">
        <w:rPr>
          <w:szCs w:val="22"/>
        </w:rPr>
        <w:t>grammes pour atteindre ses objectifs, d'autre part, nécess</w:t>
      </w:r>
      <w:r w:rsidRPr="0077615B">
        <w:rPr>
          <w:szCs w:val="22"/>
        </w:rPr>
        <w:t>i</w:t>
      </w:r>
      <w:r w:rsidRPr="0077615B">
        <w:rPr>
          <w:szCs w:val="22"/>
        </w:rPr>
        <w:t>taient le remplacement de l'incrémentalisme par une structure pe</w:t>
      </w:r>
      <w:r w:rsidRPr="0077615B">
        <w:rPr>
          <w:szCs w:val="22"/>
        </w:rPr>
        <w:t>r</w:t>
      </w:r>
      <w:r w:rsidRPr="0077615B">
        <w:rPr>
          <w:szCs w:val="22"/>
        </w:rPr>
        <w:t>mettant une plus grande rationalisation du processus décisionnel. Nécessité renfo</w:t>
      </w:r>
      <w:r w:rsidRPr="0077615B">
        <w:rPr>
          <w:szCs w:val="22"/>
        </w:rPr>
        <w:t>r</w:t>
      </w:r>
      <w:r w:rsidRPr="0077615B">
        <w:rPr>
          <w:szCs w:val="22"/>
        </w:rPr>
        <w:t>cée plus tard par les limites de plus en plus évide</w:t>
      </w:r>
      <w:r w:rsidRPr="0077615B">
        <w:rPr>
          <w:szCs w:val="22"/>
        </w:rPr>
        <w:t>n</w:t>
      </w:r>
      <w:r w:rsidRPr="0077615B">
        <w:rPr>
          <w:szCs w:val="22"/>
        </w:rPr>
        <w:t>tes à l'augmentation des ressources financières.</w:t>
      </w:r>
    </w:p>
    <w:p w:rsidR="00AD690E" w:rsidRPr="0077615B" w:rsidRDefault="00AD690E" w:rsidP="00AD690E">
      <w:pPr>
        <w:spacing w:before="120" w:after="120"/>
        <w:jc w:val="both"/>
      </w:pPr>
      <w:r w:rsidRPr="0077615B">
        <w:rPr>
          <w:szCs w:val="22"/>
        </w:rPr>
        <w:t>L'objectif de ce texte est de présenter et d'analyser les réfo</w:t>
      </w:r>
      <w:r w:rsidRPr="0077615B">
        <w:rPr>
          <w:szCs w:val="22"/>
        </w:rPr>
        <w:t>r</w:t>
      </w:r>
      <w:r w:rsidRPr="0077615B">
        <w:rPr>
          <w:szCs w:val="22"/>
        </w:rPr>
        <w:t>mes successives des comités du Cabinet, de certains organismes ce</w:t>
      </w:r>
      <w:r w:rsidRPr="0077615B">
        <w:rPr>
          <w:szCs w:val="22"/>
        </w:rPr>
        <w:t>n</w:t>
      </w:r>
      <w:r w:rsidRPr="0077615B">
        <w:rPr>
          <w:szCs w:val="22"/>
        </w:rPr>
        <w:t>traux (le Bureau du Conseil privé, les ministères d'État et le Conseil du tr</w:t>
      </w:r>
      <w:r w:rsidRPr="0077615B">
        <w:rPr>
          <w:szCs w:val="22"/>
        </w:rPr>
        <w:t>é</w:t>
      </w:r>
      <w:r w:rsidRPr="0077615B">
        <w:rPr>
          <w:szCs w:val="22"/>
        </w:rPr>
        <w:t>sor) et du Système de gestion des</w:t>
      </w:r>
      <w:r>
        <w:rPr>
          <w:szCs w:val="22"/>
        </w:rPr>
        <w:t xml:space="preserve"> </w:t>
      </w:r>
      <w:r w:rsidRPr="0077615B">
        <w:t>[</w:t>
      </w:r>
      <w:r w:rsidRPr="0077615B">
        <w:rPr>
          <w:szCs w:val="18"/>
        </w:rPr>
        <w:t>128]</w:t>
      </w:r>
      <w:r>
        <w:rPr>
          <w:szCs w:val="18"/>
        </w:rPr>
        <w:t xml:space="preserve"> </w:t>
      </w:r>
      <w:r w:rsidRPr="0077615B">
        <w:t>politiques et des dépenses (les enveloppes budgétaires) depuis 1964. Cette présentation sera faite en gardant à l'esprit que notre but est de voir dans quelle mesure ces r</w:t>
      </w:r>
      <w:r w:rsidRPr="0077615B">
        <w:t>é</w:t>
      </w:r>
      <w:r w:rsidRPr="0077615B">
        <w:t>formes ont permis d'accroître ou de r</w:t>
      </w:r>
      <w:r w:rsidRPr="0077615B">
        <w:t>é</w:t>
      </w:r>
      <w:r w:rsidRPr="0077615B">
        <w:t>duire la responsabilité collective du gouvernement fédéral. Notre h</w:t>
      </w:r>
      <w:r w:rsidRPr="0077615B">
        <w:t>y</w:t>
      </w:r>
      <w:r w:rsidRPr="0077615B">
        <w:t>pothèse étant que non seulement la responsabilité collective du Cab</w:t>
      </w:r>
      <w:r w:rsidRPr="0077615B">
        <w:t>i</w:t>
      </w:r>
      <w:r w:rsidRPr="0077615B">
        <w:t>net n'a pas été renforcée à la suite de ces réfo</w:t>
      </w:r>
      <w:r w:rsidRPr="0077615B">
        <w:t>r</w:t>
      </w:r>
      <w:r w:rsidRPr="0077615B">
        <w:t>mes, mais aussi que ces dernières ont permis dans la pratique la création d'un cabinet restreint (</w:t>
      </w:r>
      <w:r w:rsidRPr="0077615B">
        <w:rPr>
          <w:i/>
        </w:rPr>
        <w:t>inner cabinet</w:t>
      </w:r>
      <w:r w:rsidRPr="0077615B">
        <w:t>) et d'accroître davant</w:t>
      </w:r>
      <w:r w:rsidRPr="0077615B">
        <w:t>a</w:t>
      </w:r>
      <w:r w:rsidRPr="0077615B">
        <w:t>ge la capacité d'i</w:t>
      </w:r>
      <w:r w:rsidRPr="0077615B">
        <w:t>n</w:t>
      </w:r>
      <w:r w:rsidRPr="0077615B">
        <w:t>tervention du premier ministre sur l'ensemble du processus décisionnel. Bref, que les différentes restructurations au n</w:t>
      </w:r>
      <w:r w:rsidRPr="0077615B">
        <w:t>i</w:t>
      </w:r>
      <w:r w:rsidRPr="0077615B">
        <w:t>veau de l'exécutif ont conduit à une plus grande centralisation de l'a</w:t>
      </w:r>
      <w:r w:rsidRPr="0077615B">
        <w:t>p</w:t>
      </w:r>
      <w:r w:rsidRPr="0077615B">
        <w:t>pareil pol</w:t>
      </w:r>
      <w:r w:rsidRPr="0077615B">
        <w:t>i</w:t>
      </w:r>
      <w:r w:rsidRPr="0077615B">
        <w:t>tique fédéral.</w:t>
      </w:r>
    </w:p>
    <w:p w:rsidR="00AD690E" w:rsidRDefault="00AD690E" w:rsidP="00AD690E">
      <w:pPr>
        <w:spacing w:before="120" w:after="120"/>
        <w:jc w:val="both"/>
      </w:pPr>
      <w:r w:rsidRPr="0077615B">
        <w:t>Un des principes fondamentaux du régime constitutionnel can</w:t>
      </w:r>
      <w:r w:rsidRPr="0077615B">
        <w:t>a</w:t>
      </w:r>
      <w:r w:rsidRPr="0077615B">
        <w:t>dien est la responsabilité collective des membres du Cabinet. Cette respo</w:t>
      </w:r>
      <w:r w:rsidRPr="0077615B">
        <w:t>n</w:t>
      </w:r>
      <w:r w:rsidRPr="0077615B">
        <w:t>sabilité, bien qu'elle n'ait aucun fondement légal, contrair</w:t>
      </w:r>
      <w:r w:rsidRPr="0077615B">
        <w:t>e</w:t>
      </w:r>
      <w:r w:rsidRPr="0077615B">
        <w:t>ment à la responsabilité individuelle des ministres, et qu'elle soit essentiellement d'ordre traditionnel, « est le ciment de notre système de gouvern</w:t>
      </w:r>
      <w:r w:rsidRPr="0077615B">
        <w:t>e</w:t>
      </w:r>
      <w:r w:rsidRPr="0077615B">
        <w:t>ment »</w:t>
      </w:r>
      <w:r>
        <w:t> </w:t>
      </w:r>
      <w:r w:rsidRPr="005B6CBD">
        <w:rPr>
          <w:rStyle w:val="Appelnotedebasdep"/>
        </w:rPr>
        <w:footnoteReference w:id="220"/>
      </w:r>
      <w:r w:rsidRPr="0077615B">
        <w:t>. La responsabilité collective a comme corollaire la solidar</w:t>
      </w:r>
      <w:r w:rsidRPr="0077615B">
        <w:t>i</w:t>
      </w:r>
      <w:r w:rsidRPr="0077615B">
        <w:t>té ministérielle ; sans la première, le maintien de la solidarité minist</w:t>
      </w:r>
      <w:r w:rsidRPr="0077615B">
        <w:t>é</w:t>
      </w:r>
      <w:r w:rsidRPr="0077615B">
        <w:t>rielle ne peut être que très difficile ou bien elle devient tout à fait fo</w:t>
      </w:r>
      <w:r w:rsidRPr="0077615B">
        <w:t>r</w:t>
      </w:r>
      <w:r w:rsidRPr="0077615B">
        <w:t>melle. La responsabilité collect</w:t>
      </w:r>
      <w:r w:rsidRPr="0077615B">
        <w:t>i</w:t>
      </w:r>
      <w:r w:rsidRPr="0077615B">
        <w:t>ve implique que le processus de prise de décision doive être structuré de façon à ce que les ministres pui</w:t>
      </w:r>
      <w:r w:rsidRPr="0077615B">
        <w:t>s</w:t>
      </w:r>
      <w:r w:rsidRPr="0077615B">
        <w:t>sent exprimer leur point de vue avant qu'une décision finale ne soit prise et que ce processus n'impose des limites à l'exercice autonome de l'autorité de chaque ministre. Le Cabinet est l'institution général</w:t>
      </w:r>
      <w:r w:rsidRPr="0077615B">
        <w:t>e</w:t>
      </w:r>
      <w:r w:rsidRPr="0077615B">
        <w:t>ment considérée comme le lieu central et essentiel de la définition du consensus il « permet de forger et de préserver la responsabilité co</w:t>
      </w:r>
      <w:r w:rsidRPr="0077615B">
        <w:t>l</w:t>
      </w:r>
      <w:r w:rsidRPr="0077615B">
        <w:t>lective des ministres »</w:t>
      </w:r>
      <w:r>
        <w:t> </w:t>
      </w:r>
      <w:r w:rsidRPr="005B6CBD">
        <w:rPr>
          <w:rStyle w:val="Appelnotedebasdep"/>
        </w:rPr>
        <w:footnoteReference w:id="221"/>
      </w:r>
      <w:r w:rsidRPr="0077615B">
        <w:t>. Ainsi, selon David Smith, « </w:t>
      </w:r>
      <w:r w:rsidRPr="0077615B">
        <w:rPr>
          <w:i/>
        </w:rPr>
        <w:t>Cabinet g</w:t>
      </w:r>
      <w:r w:rsidRPr="0077615B">
        <w:rPr>
          <w:i/>
        </w:rPr>
        <w:t>o</w:t>
      </w:r>
      <w:r w:rsidRPr="0077615B">
        <w:rPr>
          <w:i/>
        </w:rPr>
        <w:t>vernment in Canada has meant, since Confédération at least, gover</w:t>
      </w:r>
      <w:r w:rsidRPr="0077615B">
        <w:rPr>
          <w:i/>
        </w:rPr>
        <w:t>n</w:t>
      </w:r>
      <w:r w:rsidRPr="0077615B">
        <w:rPr>
          <w:i/>
        </w:rPr>
        <w:t>ment by the full Cabinet </w:t>
      </w:r>
      <w:r w:rsidRPr="0077615B">
        <w:t>»</w:t>
      </w:r>
      <w:r>
        <w:t> </w:t>
      </w:r>
      <w:r w:rsidRPr="005B6CBD">
        <w:rPr>
          <w:rStyle w:val="Appelnotedebasdep"/>
        </w:rPr>
        <w:footnoteReference w:id="222"/>
      </w:r>
      <w:r w:rsidRPr="0077615B">
        <w:t>. Bien que beaucoup d'études permettent de relativiser considérablement ces évaluations sur l'importance du Cabinet comme appareil décisionnel dans l'histoire politique can</w:t>
      </w:r>
      <w:r w:rsidRPr="0077615B">
        <w:t>a</w:t>
      </w:r>
      <w:r w:rsidRPr="0077615B">
        <w:t>dienne — que l'on songe à l'importance déterminante qu'ont eu ce</w:t>
      </w:r>
      <w:r w:rsidRPr="0077615B">
        <w:t>r</w:t>
      </w:r>
      <w:r w:rsidRPr="0077615B">
        <w:t>tains ministres et certains mandarins dans les différents gouvern</w:t>
      </w:r>
      <w:r w:rsidRPr="0077615B">
        <w:t>e</w:t>
      </w:r>
      <w:r w:rsidRPr="0077615B">
        <w:t>ments depuis la Confédération —, il demeure que le Cabinet, jusqu'à une période très récente, était le lieu ult</w:t>
      </w:r>
      <w:r w:rsidRPr="0077615B">
        <w:t>i</w:t>
      </w:r>
      <w:r w:rsidRPr="0077615B">
        <w:t>me et essentiel où passaient toutes les décisions majeures de pol</w:t>
      </w:r>
      <w:r w:rsidRPr="0077615B">
        <w:t>i</w:t>
      </w:r>
      <w:r w:rsidRPr="0077615B">
        <w:t>tique. Du moins formellement, le Cabinet demeurait l'endroit où étaient prises les décisions gouvern</w:t>
      </w:r>
      <w:r w:rsidRPr="0077615B">
        <w:t>e</w:t>
      </w:r>
      <w:r w:rsidRPr="0077615B">
        <w:t>mentales significatives qui engageaient sa responsabilité d</w:t>
      </w:r>
      <w:r w:rsidRPr="0077615B">
        <w:t>e</w:t>
      </w:r>
      <w:r w:rsidRPr="0077615B">
        <w:t>vant le Parlement.</w:t>
      </w:r>
    </w:p>
    <w:p w:rsidR="00AD690E" w:rsidRPr="0077615B" w:rsidRDefault="00AD690E" w:rsidP="00AD690E">
      <w:pPr>
        <w:spacing w:before="120" w:after="120"/>
        <w:jc w:val="both"/>
      </w:pPr>
      <w:r w:rsidRPr="0077615B">
        <w:t>[129]</w:t>
      </w:r>
    </w:p>
    <w:p w:rsidR="00AD690E" w:rsidRPr="0077615B" w:rsidRDefault="00AD690E" w:rsidP="00AD690E">
      <w:pPr>
        <w:spacing w:before="120" w:after="120"/>
        <w:jc w:val="both"/>
      </w:pPr>
      <w:r w:rsidRPr="0077615B">
        <w:t>Selon Michael Pitfield, il fut clair dès les premières réformes au niveau des comités du Cabinet et des organismes centraux qu'elles visaient à faciliter la prise de décision par le Cabinet, à la rendre plus efficace, et qu'elles devaient être conformes aux grands princ</w:t>
      </w:r>
      <w:r w:rsidRPr="0077615B">
        <w:t>i</w:t>
      </w:r>
      <w:r w:rsidRPr="0077615B">
        <w:t>pes constitutionnels canadiens. « In other words, for example, m</w:t>
      </w:r>
      <w:r w:rsidRPr="0077615B">
        <w:t>i</w:t>
      </w:r>
      <w:r w:rsidRPr="0077615B">
        <w:t>nisterial and collective responsibility were to be rigourously obse</w:t>
      </w:r>
      <w:r w:rsidRPr="0077615B">
        <w:t>r</w:t>
      </w:r>
      <w:r w:rsidRPr="0077615B">
        <w:t>ved, on the one hand, and the equilibrium between the r</w:t>
      </w:r>
      <w:r>
        <w:t>o</w:t>
      </w:r>
      <w:r w:rsidRPr="0077615B">
        <w:t>le of Parliament, Mini</w:t>
      </w:r>
      <w:r w:rsidRPr="0077615B">
        <w:t>s</w:t>
      </w:r>
      <w:r w:rsidRPr="0077615B">
        <w:t>ters and civil servants mainta</w:t>
      </w:r>
      <w:r w:rsidRPr="0077615B">
        <w:t>i</w:t>
      </w:r>
      <w:r w:rsidRPr="0077615B">
        <w:t>ned, on the other hand »</w:t>
      </w:r>
      <w:r>
        <w:rPr>
          <w:vertAlign w:val="superscript"/>
        </w:rPr>
        <w:t xml:space="preserve"> </w:t>
      </w:r>
      <w:r>
        <w:rPr>
          <w:rStyle w:val="Appelnotedebasdep"/>
          <w:vertAlign w:val="superscript"/>
        </w:rPr>
        <w:footnoteReference w:id="223"/>
      </w:r>
      <w:r w:rsidRPr="0077615B">
        <w:t>. Ces objectifs de départ, selon Ian Clark, auraient été a</w:t>
      </w:r>
      <w:r w:rsidRPr="0077615B">
        <w:t>t</w:t>
      </w:r>
      <w:r w:rsidRPr="0077615B">
        <w:t>teints et ce serait toujours le cas avec les derniers changements e</w:t>
      </w:r>
      <w:r w:rsidRPr="0077615B">
        <w:t>f</w:t>
      </w:r>
      <w:r w:rsidRPr="0077615B">
        <w:t>fectués en 1984 par le premier ministre Mulroney. « The basic purpose of the new set of arrang</w:t>
      </w:r>
      <w:r w:rsidRPr="0077615B">
        <w:t>e</w:t>
      </w:r>
      <w:r w:rsidRPr="0077615B">
        <w:t>ments is, however, the same as any Cabinet System — to reach timely décisions in a way that will sati</w:t>
      </w:r>
      <w:r w:rsidRPr="0077615B">
        <w:t>s</w:t>
      </w:r>
      <w:r w:rsidRPr="0077615B">
        <w:t>fy the governement priorities and needs while maintaining the collective responsibility ofthe Cab</w:t>
      </w:r>
      <w:r w:rsidRPr="0077615B">
        <w:t>i</w:t>
      </w:r>
      <w:r w:rsidRPr="0077615B">
        <w:t>net ministers »</w:t>
      </w:r>
      <w:r>
        <w:t> </w:t>
      </w:r>
      <w:r w:rsidRPr="005B6CBD">
        <w:rPr>
          <w:rStyle w:val="Appelnotedebasdep"/>
        </w:rPr>
        <w:footnoteReference w:id="224"/>
      </w:r>
      <w:r w:rsidRPr="0077615B">
        <w:t>.</w:t>
      </w:r>
    </w:p>
    <w:p w:rsidR="00AD690E" w:rsidRDefault="00AD690E" w:rsidP="00AD690E">
      <w:pPr>
        <w:spacing w:before="120" w:after="120"/>
        <w:jc w:val="both"/>
      </w:pPr>
      <w:r w:rsidRPr="0077615B">
        <w:t>Avant d'entreprendre cette étude, deux remarques nous apparai</w:t>
      </w:r>
      <w:r w:rsidRPr="0077615B">
        <w:t>s</w:t>
      </w:r>
      <w:r w:rsidRPr="0077615B">
        <w:t>sent essentielles. Premièrement, malgré la logique qui semblera se d</w:t>
      </w:r>
      <w:r w:rsidRPr="0077615B">
        <w:t>é</w:t>
      </w:r>
      <w:r w:rsidRPr="0077615B">
        <w:t>gager de l'exposé des différentes réformes analysées, on ne peut indu</w:t>
      </w:r>
      <w:r w:rsidRPr="0077615B">
        <w:t>i</w:t>
      </w:r>
      <w:r w:rsidRPr="0077615B">
        <w:t>re que ces réformes se sont déroulées selon un plan préconçu ou pr</w:t>
      </w:r>
      <w:r w:rsidRPr="0077615B">
        <w:t>é</w:t>
      </w:r>
      <w:r w:rsidRPr="0077615B">
        <w:t>établi. En effet, toute lecture déterministe des transformations succe</w:t>
      </w:r>
      <w:r w:rsidRPr="0077615B">
        <w:t>s</w:t>
      </w:r>
      <w:r w:rsidRPr="0077615B">
        <w:t>sives du processus décisionnel négligerait le caractère cum</w:t>
      </w:r>
      <w:r w:rsidRPr="0077615B">
        <w:t>u</w:t>
      </w:r>
      <w:r w:rsidRPr="0077615B">
        <w:t>latif de ces transformations et les nombreuses réorientations effe</w:t>
      </w:r>
      <w:r w:rsidRPr="0077615B">
        <w:t>c</w:t>
      </w:r>
      <w:r w:rsidRPr="0077615B">
        <w:t>tuées à la suite d'une réévaluation de l'exp</w:t>
      </w:r>
      <w:r w:rsidRPr="0077615B">
        <w:t>é</w:t>
      </w:r>
      <w:r w:rsidRPr="0077615B">
        <w:t>rience acquise. En fait il s'agissait davantage de la poursuite d'o</w:t>
      </w:r>
      <w:r w:rsidRPr="0077615B">
        <w:t>b</w:t>
      </w:r>
      <w:r w:rsidRPr="0077615B">
        <w:t>jectifs — recherche d'une plus grande rationalisation administrative et mise en place de stru</w:t>
      </w:r>
      <w:r w:rsidRPr="0077615B">
        <w:t>c</w:t>
      </w:r>
      <w:r w:rsidRPr="0077615B">
        <w:t>tures permettant au gouvernement de faire des choix sur la base de la prise en compte de véritables alternatives et pouvant impliquer la disparition de pr</w:t>
      </w:r>
      <w:r w:rsidRPr="0077615B">
        <w:t>o</w:t>
      </w:r>
      <w:r w:rsidRPr="0077615B">
        <w:t>grammes existants — que du déroulement d'un plan défini au départ. Deuxièmement, les di</w:t>
      </w:r>
      <w:r w:rsidRPr="0077615B">
        <w:t>f</w:t>
      </w:r>
      <w:r w:rsidRPr="0077615B">
        <w:t>férentes réformes du processus décisionnel n'impliquent aucunement un changement de sa nature. Il serait caric</w:t>
      </w:r>
      <w:r w:rsidRPr="0077615B">
        <w:t>a</w:t>
      </w:r>
      <w:r w:rsidRPr="0077615B">
        <w:t>tural de consid</w:t>
      </w:r>
      <w:r w:rsidRPr="0077615B">
        <w:t>é</w:t>
      </w:r>
      <w:r w:rsidRPr="0077615B">
        <w:t>rer le processus décisionnel comme étant passé d'un mode de fonctionnement et d'une structure essentiellement incréme</w:t>
      </w:r>
      <w:r w:rsidRPr="0077615B">
        <w:t>n</w:t>
      </w:r>
      <w:r w:rsidRPr="0077615B">
        <w:t>talistes et fortement décentralisés à un mode p</w:t>
      </w:r>
      <w:r w:rsidRPr="0077615B">
        <w:t>u</w:t>
      </w:r>
      <w:r w:rsidRPr="0077615B">
        <w:t>rement rationnel et centralisé. Il faut davantage considérer les di</w:t>
      </w:r>
      <w:r w:rsidRPr="0077615B">
        <w:t>f</w:t>
      </w:r>
      <w:r w:rsidRPr="0077615B">
        <w:t>férentes restructurations comme une modification de l'emphase que comme le passage d'un extrême à un autre.</w:t>
      </w:r>
    </w:p>
    <w:p w:rsidR="00AD690E" w:rsidRPr="0077615B" w:rsidRDefault="00AD690E" w:rsidP="00AD690E">
      <w:pPr>
        <w:spacing w:before="120" w:after="120"/>
        <w:jc w:val="both"/>
      </w:pPr>
      <w:r>
        <w:rPr>
          <w:szCs w:val="18"/>
        </w:rPr>
        <w:br w:type="page"/>
      </w:r>
      <w:r w:rsidRPr="0077615B">
        <w:rPr>
          <w:szCs w:val="18"/>
        </w:rPr>
        <w:t>[130]</w:t>
      </w:r>
    </w:p>
    <w:p w:rsidR="00AD690E" w:rsidRPr="0077615B" w:rsidRDefault="00AD690E" w:rsidP="00AD690E">
      <w:pPr>
        <w:spacing w:before="120" w:after="120"/>
        <w:jc w:val="both"/>
      </w:pPr>
    </w:p>
    <w:p w:rsidR="00AD690E" w:rsidRPr="0077615B" w:rsidRDefault="00AD690E" w:rsidP="00AD690E">
      <w:pPr>
        <w:pStyle w:val="planche"/>
      </w:pPr>
      <w:r w:rsidRPr="0077615B">
        <w:t>LES COMITÉS DU CABINET</w:t>
      </w: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t>Le rôle moderne du Bureau du Conseil privé (BCP) remonte à 1940 lorsque le nouveau greffier du Conseil privé fut aussi nommé secréta</w:t>
      </w:r>
      <w:r w:rsidRPr="0077615B">
        <w:t>i</w:t>
      </w:r>
      <w:r w:rsidRPr="0077615B">
        <w:t>re du Cabinet. Cette double nomination d'Arnold Heeney a eu pour résultat d'accorder au Conseil privé le rôle de secrétariat du Cabinet et de le rattacher directement au premier ministre. Le no</w:t>
      </w:r>
      <w:r w:rsidRPr="0077615B">
        <w:t>u</w:t>
      </w:r>
      <w:r w:rsidRPr="0077615B">
        <w:t>veau rôle du Conseil privé et les procédures qui ont été définies durant la Deuxi</w:t>
      </w:r>
      <w:r w:rsidRPr="0077615B">
        <w:t>è</w:t>
      </w:r>
      <w:r w:rsidRPr="0077615B">
        <w:t>me Guerre mondiale ont été largement conservés ju</w:t>
      </w:r>
      <w:r w:rsidRPr="0077615B">
        <w:t>s</w:t>
      </w:r>
      <w:r w:rsidRPr="0077615B">
        <w:t>qu'à l'arrivée au pouvoir de L. Pearson</w:t>
      </w:r>
      <w:r>
        <w:t> </w:t>
      </w:r>
      <w:r w:rsidRPr="00427269">
        <w:rPr>
          <w:rStyle w:val="Appelnotedebasdep"/>
        </w:rPr>
        <w:footnoteReference w:id="225"/>
      </w:r>
      <w:r w:rsidRPr="0077615B">
        <w:t>. Le premier ministre Pearson, pour des ra</w:t>
      </w:r>
      <w:r w:rsidRPr="0077615B">
        <w:t>i</w:t>
      </w:r>
      <w:r w:rsidRPr="0077615B">
        <w:t>sons politiques et administratives, décida de pou</w:t>
      </w:r>
      <w:r w:rsidRPr="0077615B">
        <w:t>r</w:t>
      </w:r>
      <w:r w:rsidRPr="0077615B">
        <w:t>suivre la tendance enclenchée sous le gouvernement Diefenbaker à l'accroissement du nombre de ministres ; il y avait 17 ministres dans le premier gouve</w:t>
      </w:r>
      <w:r w:rsidRPr="0077615B">
        <w:t>r</w:t>
      </w:r>
      <w:r w:rsidRPr="0077615B">
        <w:t>nement Diefenbaker en 1957 et 23 en 1963 ; le premier gouvernement Pea</w:t>
      </w:r>
      <w:r w:rsidRPr="0077615B">
        <w:t>r</w:t>
      </w:r>
      <w:r w:rsidRPr="0077615B">
        <w:t>son en comptait 26. Le nouveau premier ministre libéral se trouva confronté à un choix difficile ; ou bien il remodelait son cabinet conformément à la pr</w:t>
      </w:r>
      <w:r w:rsidRPr="0077615B">
        <w:t>a</w:t>
      </w:r>
      <w:r w:rsidRPr="0077615B">
        <w:t>tique britannique (en Grande-Bretagne, moins de la moitié des ministres font partie du Cabinet) ou bien il restruct</w:t>
      </w:r>
      <w:r w:rsidRPr="0077615B">
        <w:t>u</w:t>
      </w:r>
      <w:r w:rsidRPr="0077615B">
        <w:t>rait l'organisation du Cabinet et les structures administratives ento</w:t>
      </w:r>
      <w:r w:rsidRPr="0077615B">
        <w:t>u</w:t>
      </w:r>
      <w:r w:rsidRPr="0077615B">
        <w:t>rant l'exécutif afin de les rendre plus effic</w:t>
      </w:r>
      <w:r w:rsidRPr="0077615B">
        <w:t>a</w:t>
      </w:r>
      <w:r w:rsidRPr="0077615B">
        <w:t>ces. «</w:t>
      </w:r>
      <w:r w:rsidRPr="00366001">
        <w:rPr>
          <w:i/>
        </w:rPr>
        <w:t> It was concluded that an overtly tiered Cabinet would not work in Canada's fédéral System. Cons</w:t>
      </w:r>
      <w:r w:rsidRPr="00366001">
        <w:rPr>
          <w:i/>
        </w:rPr>
        <w:t>e</w:t>
      </w:r>
      <w:r w:rsidRPr="00366001">
        <w:rPr>
          <w:i/>
        </w:rPr>
        <w:t xml:space="preserve">quently, Mr. Pearson opted for a larger Ministry all of whom </w:t>
      </w:r>
      <w:r>
        <w:rPr>
          <w:i/>
        </w:rPr>
        <w:t>would be in the Cabinet, but al</w:t>
      </w:r>
      <w:r w:rsidRPr="00366001">
        <w:rPr>
          <w:i/>
        </w:rPr>
        <w:t>l of whom would be eorrelated through organization and process to differentiated roles </w:t>
      </w:r>
      <w:r w:rsidRPr="0077615B">
        <w:t>»</w:t>
      </w:r>
      <w:r>
        <w:t> </w:t>
      </w:r>
      <w:r w:rsidRPr="00427269">
        <w:rPr>
          <w:rStyle w:val="Appelnotedebasdep"/>
        </w:rPr>
        <w:footnoteReference w:id="226"/>
      </w:r>
      <w:r w:rsidRPr="0077615B">
        <w:t>.</w:t>
      </w:r>
    </w:p>
    <w:p w:rsidR="00AD690E" w:rsidRPr="0077615B" w:rsidRDefault="00AD690E" w:rsidP="00AD690E">
      <w:pPr>
        <w:spacing w:before="120" w:after="120"/>
        <w:jc w:val="both"/>
      </w:pPr>
      <w:r w:rsidRPr="0077615B">
        <w:t>En janvier 1964, le premier ministre Pearson annonça la cré</w:t>
      </w:r>
      <w:r w:rsidRPr="0077615B">
        <w:t>a</w:t>
      </w:r>
      <w:r w:rsidRPr="0077615B">
        <w:t>tion de neuf comités du Cabinet. À la différence des différents c</w:t>
      </w:r>
      <w:r w:rsidRPr="0077615B">
        <w:t>o</w:t>
      </w:r>
      <w:r w:rsidRPr="0077615B">
        <w:t>mités du Cabinet créés dans la période d'après-guerre, il s'agit de comités pe</w:t>
      </w:r>
      <w:r w:rsidRPr="0077615B">
        <w:t>r</w:t>
      </w:r>
      <w:r w:rsidRPr="0077615B">
        <w:t>manents dont le découpage recoupe l'ensemble des activités gouve</w:t>
      </w:r>
      <w:r w:rsidRPr="0077615B">
        <w:t>r</w:t>
      </w:r>
      <w:r w:rsidRPr="0077615B">
        <w:t>nementales. Cette institutionnalisation du système des com</w:t>
      </w:r>
      <w:r w:rsidRPr="0077615B">
        <w:t>i</w:t>
      </w:r>
      <w:r w:rsidRPr="0077615B">
        <w:t>tés allait modifier considérablement le processus décisionnel. Alors qu'aupar</w:t>
      </w:r>
      <w:r w:rsidRPr="0077615B">
        <w:t>a</w:t>
      </w:r>
      <w:r w:rsidRPr="0077615B">
        <w:t>vant, si l'on fait exception de la période de la Deuxième Guerre mo</w:t>
      </w:r>
      <w:r w:rsidRPr="0077615B">
        <w:t>n</w:t>
      </w:r>
      <w:r w:rsidRPr="0077615B">
        <w:t>diale, des comités spéciaux n'étaient créés qu'en fonction de probl</w:t>
      </w:r>
      <w:r w:rsidRPr="0077615B">
        <w:t>è</w:t>
      </w:r>
      <w:r w:rsidRPr="0077615B">
        <w:t>mes particuliers que le Cabinet voulait voir étudiés plus en détail, avec la mise en place de comités pe</w:t>
      </w:r>
      <w:r w:rsidRPr="0077615B">
        <w:t>r</w:t>
      </w:r>
      <w:r w:rsidRPr="0077615B">
        <w:t>manents les questions et projets sont d'abord étudiés par un comité pour être e</w:t>
      </w:r>
      <w:r w:rsidRPr="0077615B">
        <w:t>n</w:t>
      </w:r>
      <w:r w:rsidRPr="0077615B">
        <w:t xml:space="preserve">suite référés au Cabinet. </w:t>
      </w:r>
      <w:r w:rsidRPr="002C19BF">
        <w:rPr>
          <w:i/>
        </w:rPr>
        <w:t>« The committee thus became a normal and formal part of the dec</w:t>
      </w:r>
      <w:r w:rsidRPr="002C19BF">
        <w:rPr>
          <w:i/>
        </w:rPr>
        <w:t>i</w:t>
      </w:r>
      <w:r w:rsidRPr="002C19BF">
        <w:rPr>
          <w:i/>
        </w:rPr>
        <w:t>sion-making pr</w:t>
      </w:r>
      <w:r w:rsidRPr="002C19BF">
        <w:rPr>
          <w:i/>
        </w:rPr>
        <w:t>o</w:t>
      </w:r>
      <w:r w:rsidRPr="002C19BF">
        <w:rPr>
          <w:i/>
        </w:rPr>
        <w:t>cess »</w:t>
      </w:r>
      <w:r>
        <w:t> </w:t>
      </w:r>
      <w:r w:rsidRPr="00427269">
        <w:rPr>
          <w:rStyle w:val="Appelnotedebasdep"/>
        </w:rPr>
        <w:footnoteReference w:id="227"/>
      </w:r>
      <w:r w:rsidRPr="0077615B">
        <w:t>. En 1968, Pearson créa</w:t>
      </w:r>
      <w:r>
        <w:t xml:space="preserve"> </w:t>
      </w:r>
      <w:r w:rsidRPr="0077615B">
        <w:t>[131]</w:t>
      </w:r>
      <w:r>
        <w:t xml:space="preserve"> </w:t>
      </w:r>
      <w:r w:rsidRPr="0077615B">
        <w:t>le Comité des priorités et de la planification (CPP) ; ce Comité a pour rôle de définir les priorités gouvernementales en tenant compte d'une situation fina</w:t>
      </w:r>
      <w:r w:rsidRPr="0077615B">
        <w:t>n</w:t>
      </w:r>
      <w:r w:rsidRPr="0077615B">
        <w:t>cière de plus en plus difficile.</w:t>
      </w:r>
    </w:p>
    <w:p w:rsidR="00AD690E" w:rsidRPr="0077615B" w:rsidRDefault="00AD690E" w:rsidP="00AD690E">
      <w:pPr>
        <w:spacing w:before="120" w:after="120"/>
        <w:jc w:val="both"/>
      </w:pPr>
      <w:r w:rsidRPr="0077615B">
        <w:t>Ce système de comités permanents du Cabinet connut un su</w:t>
      </w:r>
      <w:r w:rsidRPr="0077615B">
        <w:t>c</w:t>
      </w:r>
      <w:r w:rsidRPr="0077615B">
        <w:t xml:space="preserve">cès très mitigé sous Pearson. </w:t>
      </w:r>
      <w:r w:rsidRPr="00366001">
        <w:rPr>
          <w:i/>
        </w:rPr>
        <w:t>« Ministers often</w:t>
      </w:r>
      <w:r>
        <w:rPr>
          <w:i/>
        </w:rPr>
        <w:t xml:space="preserve"> </w:t>
      </w:r>
      <w:r w:rsidRPr="00366001">
        <w:rPr>
          <w:i/>
        </w:rPr>
        <w:t>failed to attend commi</w:t>
      </w:r>
      <w:r w:rsidRPr="00366001">
        <w:rPr>
          <w:i/>
        </w:rPr>
        <w:t>t</w:t>
      </w:r>
      <w:r w:rsidRPr="00366001">
        <w:rPr>
          <w:i/>
        </w:rPr>
        <w:t>tee meetings, and the</w:t>
      </w:r>
      <w:r>
        <w:rPr>
          <w:i/>
        </w:rPr>
        <w:t xml:space="preserve"> </w:t>
      </w:r>
      <w:r w:rsidRPr="00366001">
        <w:rPr>
          <w:i/>
        </w:rPr>
        <w:t>full Cabinet</w:t>
      </w:r>
      <w:r>
        <w:rPr>
          <w:i/>
        </w:rPr>
        <w:t xml:space="preserve"> </w:t>
      </w:r>
      <w:r w:rsidRPr="00366001">
        <w:rPr>
          <w:i/>
        </w:rPr>
        <w:t>frequently insisted on going over the same ground that had been covered in the committees </w:t>
      </w:r>
      <w:r w:rsidRPr="0077615B">
        <w:t>»</w:t>
      </w:r>
      <w:r>
        <w:t> </w:t>
      </w:r>
      <w:r w:rsidRPr="00427269">
        <w:rPr>
          <w:rStyle w:val="Appelnotedebasdep"/>
        </w:rPr>
        <w:footnoteReference w:id="228"/>
      </w:r>
      <w:r w:rsidRPr="0077615B">
        <w:t>. Dès l'arr</w:t>
      </w:r>
      <w:r w:rsidRPr="0077615B">
        <w:t>i</w:t>
      </w:r>
      <w:r w:rsidRPr="0077615B">
        <w:t>vée au pouvoir du premier ministre Trudeau, les comités du Cabinet sont restructurés afin d'accroître l'efficacité gouvernement</w:t>
      </w:r>
      <w:r w:rsidRPr="0077615B">
        <w:t>a</w:t>
      </w:r>
      <w:r w:rsidRPr="0077615B">
        <w:t>le. D'abord le nombre de comités permanents est réduit à huit et leur fonctionn</w:t>
      </w:r>
      <w:r w:rsidRPr="0077615B">
        <w:t>e</w:t>
      </w:r>
      <w:r w:rsidRPr="0077615B">
        <w:t>ment est formalisé : les procédures et la discipline sont renforcées, les comités se réunissent régulièrement, généralement sur une base he</w:t>
      </w:r>
      <w:r w:rsidRPr="0077615B">
        <w:t>b</w:t>
      </w:r>
      <w:r w:rsidRPr="0077615B">
        <w:t>domadaire, ce qui permet une systématisation dans l'analyse des pr</w:t>
      </w:r>
      <w:r w:rsidRPr="0077615B">
        <w:t>o</w:t>
      </w:r>
      <w:r w:rsidRPr="0077615B">
        <w:t>blèmes étudiés en c</w:t>
      </w:r>
      <w:r w:rsidRPr="0077615B">
        <w:t>o</w:t>
      </w:r>
      <w:r w:rsidRPr="0077615B">
        <w:t>mité et les comités acquièrent de facto un pouvoir décisionnel</w:t>
      </w:r>
      <w:r>
        <w:t> </w:t>
      </w:r>
      <w:r w:rsidRPr="00427269">
        <w:rPr>
          <w:rStyle w:val="Appelnotedebasdep"/>
        </w:rPr>
        <w:footnoteReference w:id="229"/>
      </w:r>
      <w:r w:rsidRPr="0077615B">
        <w:t>. En effet, les rapports de décision sont inscrits à l'a</w:t>
      </w:r>
      <w:r w:rsidRPr="0077615B">
        <w:t>n</w:t>
      </w:r>
      <w:r w:rsidRPr="0077615B">
        <w:t>nexe de l'ordre du jour des réunions du Cabinet et ils sont adoptés a</w:t>
      </w:r>
      <w:r w:rsidRPr="0077615B">
        <w:t>u</w:t>
      </w:r>
      <w:r w:rsidRPr="0077615B">
        <w:t>tomatiqu</w:t>
      </w:r>
      <w:r w:rsidRPr="0077615B">
        <w:t>e</w:t>
      </w:r>
      <w:r w:rsidRPr="0077615B">
        <w:t>ment à moins qu'une objection ne soit soulevée.</w:t>
      </w:r>
    </w:p>
    <w:p w:rsidR="00AD690E" w:rsidRDefault="00AD690E" w:rsidP="00AD690E">
      <w:pPr>
        <w:pStyle w:val="Grillecouleur-Accent1"/>
      </w:pPr>
    </w:p>
    <w:p w:rsidR="00AD690E" w:rsidRDefault="00AD690E" w:rsidP="00AD690E">
      <w:pPr>
        <w:pStyle w:val="Grillecouleur-Accent1"/>
      </w:pPr>
      <w:r>
        <w:t>[...] de</w:t>
      </w:r>
      <w:r w:rsidRPr="000217F5">
        <w:t>cisions of the committees would not become effe</w:t>
      </w:r>
      <w:r w:rsidRPr="000217F5">
        <w:t>c</w:t>
      </w:r>
      <w:r w:rsidRPr="000217F5">
        <w:t>tive sim</w:t>
      </w:r>
      <w:r>
        <w:t>ply by reason of such de</w:t>
      </w:r>
      <w:r w:rsidRPr="000217F5">
        <w:t>cision. They would be listed on an annex to the Cabinet agenda for ils next meeting. Any minister could notify the deputy secret</w:t>
      </w:r>
      <w:r w:rsidRPr="000217F5">
        <w:t>a</w:t>
      </w:r>
      <w:r w:rsidRPr="000217F5">
        <w:t>ry to the Cabinet before the me</w:t>
      </w:r>
      <w:r w:rsidRPr="000217F5">
        <w:t>e</w:t>
      </w:r>
      <w:r w:rsidRPr="000217F5">
        <w:t>ting of the Cabinet that he wished to have any particular committee décision discussed. H</w:t>
      </w:r>
      <w:r w:rsidRPr="000217F5">
        <w:t>o</w:t>
      </w:r>
      <w:r w:rsidRPr="000217F5">
        <w:t>wever, if no such notice were given, items on the annex were to be taken as approved by the Cab</w:t>
      </w:r>
      <w:r w:rsidRPr="000217F5">
        <w:t>i</w:t>
      </w:r>
      <w:r w:rsidRPr="000217F5">
        <w:t>net and became its own d</w:t>
      </w:r>
      <w:r>
        <w:t>e</w:t>
      </w:r>
      <w:r w:rsidRPr="000217F5">
        <w:t>cisions. At that point they were operative and became part of g</w:t>
      </w:r>
      <w:r w:rsidRPr="000217F5">
        <w:t>o</w:t>
      </w:r>
      <w:r w:rsidRPr="000217F5">
        <w:t>vernment Policy</w:t>
      </w:r>
      <w:r w:rsidRPr="000217F5">
        <w:rPr>
          <w:vertAlign w:val="superscript"/>
        </w:rPr>
        <w:t xml:space="preserve"> </w:t>
      </w:r>
      <w:r>
        <w:rPr>
          <w:vertAlign w:val="superscript"/>
        </w:rPr>
        <w:t> </w:t>
      </w:r>
      <w:r w:rsidRPr="00427269">
        <w:rPr>
          <w:rStyle w:val="Appelnotedebasdep"/>
          <w:i/>
          <w:szCs w:val="18"/>
        </w:rPr>
        <w:footnoteReference w:id="230"/>
      </w:r>
      <w:r w:rsidRPr="000217F5">
        <w:t>.</w:t>
      </w:r>
    </w:p>
    <w:p w:rsidR="00AD690E" w:rsidRPr="000217F5" w:rsidRDefault="00AD690E" w:rsidP="00AD690E">
      <w:pPr>
        <w:pStyle w:val="Grillecouleur-Accent1"/>
      </w:pPr>
    </w:p>
    <w:p w:rsidR="00AD690E" w:rsidRPr="0077615B" w:rsidRDefault="00AD690E" w:rsidP="00AD690E">
      <w:pPr>
        <w:spacing w:before="120" w:after="120"/>
        <w:jc w:val="both"/>
      </w:pPr>
      <w:r w:rsidRPr="0077615B">
        <w:t>Il existe deux types de comités du Cabinet : les comités d'orient</w:t>
      </w:r>
      <w:r w:rsidRPr="0077615B">
        <w:t>a</w:t>
      </w:r>
      <w:r w:rsidRPr="0077615B">
        <w:t>tion sectoriels qui recouvrent des secteurs spécifiques de polit</w:t>
      </w:r>
      <w:r w:rsidRPr="0077615B">
        <w:t>i</w:t>
      </w:r>
      <w:r w:rsidRPr="0077615B">
        <w:t>que et les comités de coordination qui touchent à l'ensemble de l'activité gouvernementale</w:t>
      </w:r>
      <w:r>
        <w:t> </w:t>
      </w:r>
      <w:r w:rsidRPr="00427269">
        <w:rPr>
          <w:rStyle w:val="Appelnotedebasdep"/>
        </w:rPr>
        <w:footnoteReference w:id="231"/>
      </w:r>
      <w:r w:rsidRPr="0077615B">
        <w:t>. Le plus important comité du Cabinet est le C</w:t>
      </w:r>
      <w:r w:rsidRPr="0077615B">
        <w:t>o</w:t>
      </w:r>
      <w:r w:rsidRPr="0077615B">
        <w:t>mité des priorités et de la planification. Bien que son i</w:t>
      </w:r>
      <w:r w:rsidRPr="0077615B">
        <w:t>m</w:t>
      </w:r>
      <w:r w:rsidRPr="0077615B">
        <w:t>portance se soit considérablement accrue au cours des quinze dernières années, ce c</w:t>
      </w:r>
      <w:r w:rsidRPr="0077615B">
        <w:t>o</w:t>
      </w:r>
      <w:r w:rsidRPr="0077615B">
        <w:t>mité, depuis sa création, en 1968 a toujours dominé les</w:t>
      </w:r>
      <w:r>
        <w:t xml:space="preserve"> </w:t>
      </w:r>
      <w:r w:rsidRPr="0077615B">
        <w:rPr>
          <w:szCs w:val="18"/>
        </w:rPr>
        <w:t>[132]</w:t>
      </w:r>
      <w:r>
        <w:rPr>
          <w:szCs w:val="18"/>
        </w:rPr>
        <w:t xml:space="preserve"> </w:t>
      </w:r>
      <w:r w:rsidRPr="0077615B">
        <w:rPr>
          <w:szCs w:val="22"/>
        </w:rPr>
        <w:t>autres comités, non seulement à cause de son rôle mais aussi à cause de sa composition et de son mode de fonctionnement. Comme son nom l'i</w:t>
      </w:r>
      <w:r w:rsidRPr="0077615B">
        <w:rPr>
          <w:szCs w:val="22"/>
        </w:rPr>
        <w:t>n</w:t>
      </w:r>
      <w:r w:rsidRPr="0077615B">
        <w:rPr>
          <w:szCs w:val="22"/>
        </w:rPr>
        <w:t>dique, c'est ce comité qui définit les grands objectifs du gouvern</w:t>
      </w:r>
      <w:r w:rsidRPr="0077615B">
        <w:rPr>
          <w:szCs w:val="22"/>
        </w:rPr>
        <w:t>e</w:t>
      </w:r>
      <w:r w:rsidRPr="0077615B">
        <w:rPr>
          <w:szCs w:val="22"/>
        </w:rPr>
        <w:t>ment, établit les priorités et la répartition des re</w:t>
      </w:r>
      <w:r w:rsidRPr="0077615B">
        <w:rPr>
          <w:szCs w:val="22"/>
        </w:rPr>
        <w:t>s</w:t>
      </w:r>
      <w:r w:rsidRPr="0077615B">
        <w:rPr>
          <w:szCs w:val="22"/>
        </w:rPr>
        <w:t>sources, étudie les problèmes les plus urgents et politiquement importants, et enfin dél</w:t>
      </w:r>
      <w:r w:rsidRPr="0077615B">
        <w:rPr>
          <w:szCs w:val="22"/>
        </w:rPr>
        <w:t>è</w:t>
      </w:r>
      <w:r w:rsidRPr="0077615B">
        <w:rPr>
          <w:szCs w:val="22"/>
        </w:rPr>
        <w:t>gue certaines responsabilités à d'autres. En plus de ce rôle central, son importance est accentuée par le fait qu'il est présidé par le premier m</w:t>
      </w:r>
      <w:r w:rsidRPr="0077615B">
        <w:rPr>
          <w:szCs w:val="22"/>
        </w:rPr>
        <w:t>i</w:t>
      </w:r>
      <w:r w:rsidRPr="0077615B">
        <w:rPr>
          <w:szCs w:val="22"/>
        </w:rPr>
        <w:t>nistre, qu'il se compose des ministres les plus importants et des prés</w:t>
      </w:r>
      <w:r w:rsidRPr="0077615B">
        <w:rPr>
          <w:szCs w:val="22"/>
        </w:rPr>
        <w:t>i</w:t>
      </w:r>
      <w:r w:rsidRPr="0077615B">
        <w:rPr>
          <w:szCs w:val="22"/>
        </w:rPr>
        <w:t>dents des autres comités du Cabinet, et enfin du fait qu'il est un des rares comités (avec le Conseil du trésor et le Comité de la sécurité et des renseignements) dont les réunions se tiennent à huis clos — les ministres qui n'en sont pas membres ne peuvent a</w:t>
      </w:r>
      <w:r w:rsidRPr="0077615B">
        <w:rPr>
          <w:szCs w:val="22"/>
        </w:rPr>
        <w:t>s</w:t>
      </w:r>
      <w:r w:rsidRPr="0077615B">
        <w:rPr>
          <w:szCs w:val="22"/>
        </w:rPr>
        <w:t>sister à ses réunions que sur invit</w:t>
      </w:r>
      <w:r w:rsidRPr="0077615B">
        <w:rPr>
          <w:szCs w:val="22"/>
        </w:rPr>
        <w:t>a</w:t>
      </w:r>
      <w:r w:rsidRPr="0077615B">
        <w:rPr>
          <w:szCs w:val="22"/>
        </w:rPr>
        <w:t>tion du premier ministre (voir graphique I).</w:t>
      </w:r>
    </w:p>
    <w:p w:rsidR="00AD690E" w:rsidRPr="0077615B" w:rsidRDefault="00AD690E" w:rsidP="00AD690E">
      <w:pPr>
        <w:spacing w:before="120" w:after="120"/>
        <w:jc w:val="both"/>
      </w:pPr>
      <w:r w:rsidRPr="0077615B">
        <w:rPr>
          <w:szCs w:val="22"/>
        </w:rPr>
        <w:t>Les domaines de compétence de la plupart des différents c</w:t>
      </w:r>
      <w:r w:rsidRPr="0077615B">
        <w:rPr>
          <w:szCs w:val="22"/>
        </w:rPr>
        <w:t>o</w:t>
      </w:r>
      <w:r w:rsidRPr="0077615B">
        <w:rPr>
          <w:szCs w:val="22"/>
        </w:rPr>
        <w:t>mités sont largement identifiables par leur nom. Deux comités dans le gr</w:t>
      </w:r>
      <w:r w:rsidRPr="0077615B">
        <w:rPr>
          <w:szCs w:val="22"/>
        </w:rPr>
        <w:t>a</w:t>
      </w:r>
      <w:r w:rsidRPr="0077615B">
        <w:rPr>
          <w:szCs w:val="22"/>
        </w:rPr>
        <w:t>phique I ont des fonctions un peu plus obscures, le comité chargé des opérations gouvernementales s'occupe d'un certain nombre de pr</w:t>
      </w:r>
      <w:r w:rsidRPr="0077615B">
        <w:rPr>
          <w:szCs w:val="22"/>
        </w:rPr>
        <w:t>o</w:t>
      </w:r>
      <w:r w:rsidRPr="0077615B">
        <w:rPr>
          <w:szCs w:val="22"/>
        </w:rPr>
        <w:t>grammes gouvernementaux, par exemple, les postes canadie</w:t>
      </w:r>
      <w:r w:rsidRPr="0077615B">
        <w:rPr>
          <w:szCs w:val="22"/>
        </w:rPr>
        <w:t>n</w:t>
      </w:r>
      <w:r w:rsidRPr="0077615B">
        <w:rPr>
          <w:szCs w:val="22"/>
        </w:rPr>
        <w:t>nes, les travaux publics et des programmes touchant le secteur des ressources. Quant au comité spécial du Cabinet, il « s'occupe de toutes les que</w:t>
      </w:r>
      <w:r w:rsidRPr="0077615B">
        <w:rPr>
          <w:szCs w:val="22"/>
        </w:rPr>
        <w:t>s</w:t>
      </w:r>
      <w:r w:rsidRPr="0077615B">
        <w:rPr>
          <w:szCs w:val="22"/>
        </w:rPr>
        <w:t>tions d'ordre courant qui nécessitent l'approbation du gouverneur en conseil »</w:t>
      </w:r>
      <w:r>
        <w:rPr>
          <w:szCs w:val="22"/>
        </w:rPr>
        <w:t> </w:t>
      </w:r>
      <w:r w:rsidRPr="00427269">
        <w:rPr>
          <w:rStyle w:val="Appelnotedebasdep"/>
        </w:rPr>
        <w:footnoteReference w:id="232"/>
      </w:r>
      <w:r w:rsidRPr="0077615B">
        <w:rPr>
          <w:szCs w:val="22"/>
        </w:rPr>
        <w:t>. Il agit donc au nom du Cabinet pour l'adoption de r</w:t>
      </w:r>
      <w:r w:rsidRPr="0077615B">
        <w:rPr>
          <w:szCs w:val="22"/>
        </w:rPr>
        <w:t>è</w:t>
      </w:r>
      <w:r w:rsidRPr="0077615B">
        <w:rPr>
          <w:szCs w:val="22"/>
        </w:rPr>
        <w:t>glements délégués par le Parlement au gouverneur en conseil.</w:t>
      </w:r>
    </w:p>
    <w:p w:rsidR="00AD690E" w:rsidRPr="0077615B" w:rsidRDefault="00AD690E" w:rsidP="00AD690E">
      <w:pPr>
        <w:spacing w:before="120" w:after="120"/>
        <w:jc w:val="both"/>
      </w:pPr>
      <w:r w:rsidRPr="0077615B">
        <w:rPr>
          <w:szCs w:val="22"/>
        </w:rPr>
        <w:t>La plupart des comités comprennent entre dix et douze me</w:t>
      </w:r>
      <w:r w:rsidRPr="0077615B">
        <w:rPr>
          <w:szCs w:val="22"/>
        </w:rPr>
        <w:t>m</w:t>
      </w:r>
      <w:r w:rsidRPr="0077615B">
        <w:rPr>
          <w:szCs w:val="22"/>
        </w:rPr>
        <w:t>bres, le plus petit comité, le Conseil du trésor, en comptant six et le plus grand, le Comité des affaires étrangères et de la défense, en com</w:t>
      </w:r>
      <w:r w:rsidRPr="0077615B">
        <w:rPr>
          <w:szCs w:val="22"/>
        </w:rPr>
        <w:t>p</w:t>
      </w:r>
      <w:r w:rsidRPr="0077615B">
        <w:rPr>
          <w:szCs w:val="22"/>
        </w:rPr>
        <w:t>tant quinze. Ceci implique que tous les ministres sont me</w:t>
      </w:r>
      <w:r w:rsidRPr="0077615B">
        <w:rPr>
          <w:szCs w:val="22"/>
        </w:rPr>
        <w:t>m</w:t>
      </w:r>
      <w:r w:rsidRPr="0077615B">
        <w:rPr>
          <w:szCs w:val="22"/>
        </w:rPr>
        <w:t>bres de deux ou trois comités. De plus, un ministre peut, s'il le désire, assister aux r</w:t>
      </w:r>
      <w:r w:rsidRPr="0077615B">
        <w:rPr>
          <w:szCs w:val="22"/>
        </w:rPr>
        <w:t>é</w:t>
      </w:r>
      <w:r w:rsidRPr="0077615B">
        <w:rPr>
          <w:szCs w:val="22"/>
        </w:rPr>
        <w:t>unions de n'importe quel comité, sauf à celles des trois comités qui se tiennent à huis clos.</w:t>
      </w:r>
    </w:p>
    <w:p w:rsidR="00AD690E" w:rsidRPr="0077615B" w:rsidRDefault="00AD690E" w:rsidP="00AD690E">
      <w:pPr>
        <w:spacing w:before="120" w:after="120"/>
        <w:jc w:val="both"/>
      </w:pPr>
      <w:r w:rsidRPr="0077615B">
        <w:rPr>
          <w:szCs w:val="22"/>
        </w:rPr>
        <w:t>Bien entendu une telle structure différenciée, pour être effic</w:t>
      </w:r>
      <w:r w:rsidRPr="0077615B">
        <w:rPr>
          <w:szCs w:val="22"/>
        </w:rPr>
        <w:t>a</w:t>
      </w:r>
      <w:r w:rsidRPr="0077615B">
        <w:rPr>
          <w:szCs w:val="22"/>
        </w:rPr>
        <w:t>ce, implique une bureaucratisation de son fonctionnement et un so</w:t>
      </w:r>
      <w:r w:rsidRPr="0077615B">
        <w:rPr>
          <w:szCs w:val="22"/>
        </w:rPr>
        <w:t>u</w:t>
      </w:r>
      <w:r w:rsidRPr="0077615B">
        <w:rPr>
          <w:szCs w:val="22"/>
        </w:rPr>
        <w:t>tien administratif provenant généralement du Bureau du Conseil privé. Le processus officiel d'approbation d'une propos</w:t>
      </w:r>
      <w:r w:rsidRPr="0077615B">
        <w:rPr>
          <w:szCs w:val="22"/>
        </w:rPr>
        <w:t>i</w:t>
      </w:r>
      <w:r w:rsidRPr="0077615B">
        <w:rPr>
          <w:szCs w:val="22"/>
        </w:rPr>
        <w:t>tion d'un ministre en 1979 était : d'abord le ministère qui désirait voir adopter un progra</w:t>
      </w:r>
      <w:r w:rsidRPr="0077615B">
        <w:rPr>
          <w:szCs w:val="22"/>
        </w:rPr>
        <w:t>m</w:t>
      </w:r>
      <w:r w:rsidRPr="0077615B">
        <w:rPr>
          <w:szCs w:val="22"/>
        </w:rPr>
        <w:t>me particulier prépare un projet, lequel, une fois accepté par le mini</w:t>
      </w:r>
      <w:r w:rsidRPr="0077615B">
        <w:rPr>
          <w:szCs w:val="22"/>
        </w:rPr>
        <w:t>s</w:t>
      </w:r>
      <w:r w:rsidRPr="0077615B">
        <w:rPr>
          <w:szCs w:val="22"/>
        </w:rPr>
        <w:t>tre responsable, est soumis sous forme de « mémoire au Cab</w:t>
      </w:r>
      <w:r w:rsidRPr="0077615B">
        <w:rPr>
          <w:szCs w:val="22"/>
        </w:rPr>
        <w:t>i</w:t>
      </w:r>
      <w:r w:rsidRPr="0077615B">
        <w:rPr>
          <w:szCs w:val="22"/>
        </w:rPr>
        <w:t>net » au comité du Cabinet compétent. Après approbation de la pr</w:t>
      </w:r>
      <w:r w:rsidRPr="0077615B">
        <w:rPr>
          <w:szCs w:val="22"/>
        </w:rPr>
        <w:t>o</w:t>
      </w:r>
      <w:r w:rsidRPr="0077615B">
        <w:rPr>
          <w:szCs w:val="22"/>
        </w:rPr>
        <w:t>position par le comité un « rapport de comité » est soumis et la décision du Cab</w:t>
      </w:r>
      <w:r w:rsidRPr="0077615B">
        <w:rPr>
          <w:szCs w:val="22"/>
        </w:rPr>
        <w:t>i</w:t>
      </w:r>
      <w:r w:rsidRPr="0077615B">
        <w:rPr>
          <w:szCs w:val="22"/>
        </w:rPr>
        <w:t>net est incluse dans un doc</w:t>
      </w:r>
      <w:r w:rsidRPr="0077615B">
        <w:rPr>
          <w:szCs w:val="22"/>
        </w:rPr>
        <w:t>u</w:t>
      </w:r>
      <w:r w:rsidRPr="0077615B">
        <w:rPr>
          <w:szCs w:val="22"/>
        </w:rPr>
        <w:t>ment appelé « rapport de décision ». Le premier ministre est tenu au courant du cheminement de la proposition aux différentes ét</w:t>
      </w:r>
      <w:r w:rsidRPr="0077615B">
        <w:rPr>
          <w:szCs w:val="22"/>
        </w:rPr>
        <w:t>a</w:t>
      </w:r>
      <w:r w:rsidRPr="0077615B">
        <w:rPr>
          <w:szCs w:val="22"/>
        </w:rPr>
        <w:t>pes par le Bureau du Conseil privé</w:t>
      </w:r>
      <w:r>
        <w:rPr>
          <w:szCs w:val="22"/>
        </w:rPr>
        <w:t> </w:t>
      </w:r>
      <w:r w:rsidRPr="00427269">
        <w:rPr>
          <w:rStyle w:val="Appelnotedebasdep"/>
        </w:rPr>
        <w:footnoteReference w:id="233"/>
      </w:r>
      <w:r w:rsidRPr="0077615B">
        <w:rPr>
          <w:szCs w:val="22"/>
        </w:rPr>
        <w:t>.</w:t>
      </w:r>
    </w:p>
    <w:p w:rsidR="00AD690E" w:rsidRPr="0077615B" w:rsidRDefault="00AD690E" w:rsidP="00AD690E">
      <w:pPr>
        <w:spacing w:before="120" w:after="120"/>
        <w:ind w:firstLine="0"/>
        <w:jc w:val="both"/>
        <w:rPr>
          <w:szCs w:val="18"/>
        </w:rPr>
      </w:pPr>
      <w:r w:rsidRPr="0077615B">
        <w:rPr>
          <w:szCs w:val="18"/>
        </w:rPr>
        <w:br w:type="page"/>
        <w:t>[133]</w:t>
      </w:r>
    </w:p>
    <w:p w:rsidR="00AD690E" w:rsidRPr="0077615B" w:rsidRDefault="00AD690E" w:rsidP="00AD690E">
      <w:pPr>
        <w:spacing w:before="120" w:after="120"/>
        <w:jc w:val="both"/>
        <w:rPr>
          <w:szCs w:val="2"/>
        </w:rPr>
      </w:pPr>
    </w:p>
    <w:p w:rsidR="00AD690E" w:rsidRPr="0077615B" w:rsidRDefault="00AD690E" w:rsidP="00AD690E">
      <w:pPr>
        <w:pStyle w:val="figtitre"/>
      </w:pPr>
      <w:r w:rsidRPr="0077615B">
        <w:t>Graphique 1</w:t>
      </w:r>
    </w:p>
    <w:p w:rsidR="00AD690E" w:rsidRDefault="005E1315" w:rsidP="00AD690E">
      <w:pPr>
        <w:pStyle w:val="fig"/>
      </w:pPr>
      <w:r>
        <w:rPr>
          <w:noProof/>
        </w:rPr>
        <w:drawing>
          <wp:inline distT="0" distB="0" distL="0" distR="0">
            <wp:extent cx="4991100" cy="4076700"/>
            <wp:effectExtent l="25400" t="25400" r="12700" b="12700"/>
            <wp:docPr id="7" name="Image 7" descr="fig_p_133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133_st"/>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4076700"/>
                    </a:xfrm>
                    <a:prstGeom prst="rect">
                      <a:avLst/>
                    </a:prstGeom>
                    <a:noFill/>
                    <a:ln w="19050" cmpd="sng">
                      <a:solidFill>
                        <a:srgbClr val="000000"/>
                      </a:solidFill>
                      <a:miter lim="800000"/>
                      <a:headEnd/>
                      <a:tailEnd/>
                    </a:ln>
                    <a:effectLst/>
                  </pic:spPr>
                </pic:pic>
              </a:graphicData>
            </a:graphic>
          </wp:inline>
        </w:drawing>
      </w:r>
    </w:p>
    <w:p w:rsidR="00AD690E" w:rsidRPr="00250C16" w:rsidRDefault="00AD690E" w:rsidP="00AD690E">
      <w:pPr>
        <w:spacing w:before="120" w:after="120"/>
        <w:ind w:firstLine="0"/>
        <w:jc w:val="both"/>
        <w:rPr>
          <w:color w:val="000090"/>
          <w:sz w:val="24"/>
        </w:rPr>
      </w:pPr>
      <w:r w:rsidRPr="00250C16">
        <w:rPr>
          <w:color w:val="000090"/>
          <w:sz w:val="24"/>
          <w:szCs w:val="18"/>
        </w:rPr>
        <w:t>Les différentes structures des comités du Cabinet dans la péri</w:t>
      </w:r>
      <w:r w:rsidRPr="00250C16">
        <w:rPr>
          <w:color w:val="000090"/>
          <w:sz w:val="24"/>
          <w:szCs w:val="18"/>
        </w:rPr>
        <w:t>o</w:t>
      </w:r>
      <w:r w:rsidRPr="00250C16">
        <w:rPr>
          <w:color w:val="000090"/>
          <w:sz w:val="24"/>
          <w:szCs w:val="18"/>
        </w:rPr>
        <w:t>de 1979-1986 ont été établis à partir de divers documents du Bureau du Conseil privé. Les comités sur la politique sociale et la culture et les affaires i</w:t>
      </w:r>
      <w:r w:rsidRPr="00250C16">
        <w:rPr>
          <w:color w:val="000090"/>
          <w:sz w:val="24"/>
          <w:szCs w:val="18"/>
        </w:rPr>
        <w:t>n</w:t>
      </w:r>
      <w:r w:rsidRPr="00250C16">
        <w:rPr>
          <w:color w:val="000090"/>
          <w:sz w:val="24"/>
          <w:szCs w:val="18"/>
        </w:rPr>
        <w:t>diennes se composent des mêmes membres. Ils se réunissent donc en même temps et se partagent le m</w:t>
      </w:r>
      <w:r w:rsidRPr="00250C16">
        <w:rPr>
          <w:color w:val="000090"/>
          <w:sz w:val="24"/>
          <w:szCs w:val="18"/>
        </w:rPr>
        <w:t>ê</w:t>
      </w:r>
      <w:r w:rsidRPr="00250C16">
        <w:rPr>
          <w:color w:val="000090"/>
          <w:sz w:val="24"/>
          <w:szCs w:val="18"/>
        </w:rPr>
        <w:t>me agenda.</w:t>
      </w:r>
    </w:p>
    <w:p w:rsidR="00AD690E" w:rsidRDefault="00AD690E" w:rsidP="00AD690E">
      <w:pPr>
        <w:spacing w:before="120" w:after="120"/>
        <w:jc w:val="both"/>
        <w:rPr>
          <w:szCs w:val="22"/>
        </w:rPr>
      </w:pPr>
    </w:p>
    <w:p w:rsidR="00AD690E" w:rsidRDefault="00AD690E" w:rsidP="00AD690E">
      <w:pPr>
        <w:spacing w:before="120" w:after="120"/>
        <w:jc w:val="both"/>
        <w:rPr>
          <w:szCs w:val="22"/>
        </w:rPr>
      </w:pPr>
    </w:p>
    <w:p w:rsidR="00AD690E" w:rsidRDefault="00AD690E" w:rsidP="00AD690E">
      <w:pPr>
        <w:spacing w:before="120" w:after="120"/>
        <w:jc w:val="both"/>
        <w:rPr>
          <w:szCs w:val="22"/>
        </w:rPr>
      </w:pPr>
      <w:r w:rsidRPr="0077615B">
        <w:rPr>
          <w:szCs w:val="22"/>
        </w:rPr>
        <w:t>Le développement et la formalisation du système des comités du Cabinet dans la période 1964-1979 et le processus décisionnel mis en place ont eu pour résultat de renforcer la collégialité au d</w:t>
      </w:r>
      <w:r w:rsidRPr="0077615B">
        <w:rPr>
          <w:szCs w:val="22"/>
        </w:rPr>
        <w:t>é</w:t>
      </w:r>
      <w:r w:rsidRPr="0077615B">
        <w:rPr>
          <w:szCs w:val="22"/>
        </w:rPr>
        <w:t>triment du pouvoir traditionnel des ministres individuels. En effet, toute propos</w:t>
      </w:r>
      <w:r w:rsidRPr="0077615B">
        <w:rPr>
          <w:szCs w:val="22"/>
        </w:rPr>
        <w:t>i</w:t>
      </w:r>
      <w:r w:rsidRPr="0077615B">
        <w:rPr>
          <w:szCs w:val="22"/>
        </w:rPr>
        <w:t>tion de politique d'un ministre doit être discutée par un comité du C</w:t>
      </w:r>
      <w:r w:rsidRPr="0077615B">
        <w:rPr>
          <w:szCs w:val="22"/>
        </w:rPr>
        <w:t>a</w:t>
      </w:r>
      <w:r w:rsidRPr="0077615B">
        <w:rPr>
          <w:szCs w:val="22"/>
        </w:rPr>
        <w:t>binet, de même que par le Conseil du trésor si la propos</w:t>
      </w:r>
      <w:r w:rsidRPr="0077615B">
        <w:rPr>
          <w:szCs w:val="22"/>
        </w:rPr>
        <w:t>i</w:t>
      </w:r>
      <w:r w:rsidRPr="0077615B">
        <w:rPr>
          <w:szCs w:val="22"/>
        </w:rPr>
        <w:t>tion implique des dépenses, avant d'être appro</w:t>
      </w:r>
      <w:r w:rsidRPr="0077615B">
        <w:rPr>
          <w:szCs w:val="22"/>
        </w:rPr>
        <w:t>u</w:t>
      </w:r>
      <w:r w:rsidRPr="0077615B">
        <w:rPr>
          <w:szCs w:val="22"/>
        </w:rPr>
        <w:t>vée par le Cabinet. Ce renforcement du caractère collectif de la prise des d</w:t>
      </w:r>
      <w:r w:rsidRPr="0077615B">
        <w:rPr>
          <w:szCs w:val="22"/>
        </w:rPr>
        <w:t>é</w:t>
      </w:r>
      <w:r w:rsidRPr="0077615B">
        <w:rPr>
          <w:szCs w:val="22"/>
        </w:rPr>
        <w:t>cisions, au profit des ministres membres du comité où une proposition partic</w:t>
      </w:r>
      <w:r w:rsidRPr="0077615B">
        <w:rPr>
          <w:szCs w:val="22"/>
        </w:rPr>
        <w:t>u</w:t>
      </w:r>
      <w:r w:rsidRPr="0077615B">
        <w:rPr>
          <w:szCs w:val="22"/>
        </w:rPr>
        <w:t>lière est étudiée, s'est aussi fait au détriment du Cabinet. Les rapports des comités sont gén</w:t>
      </w:r>
      <w:r w:rsidRPr="0077615B">
        <w:rPr>
          <w:szCs w:val="22"/>
        </w:rPr>
        <w:t>é</w:t>
      </w:r>
      <w:r w:rsidRPr="0077615B">
        <w:rPr>
          <w:szCs w:val="22"/>
        </w:rPr>
        <w:t>ralement entérinés sans discussion par le Cabinet et seules des que</w:t>
      </w:r>
      <w:r w:rsidRPr="0077615B">
        <w:rPr>
          <w:szCs w:val="22"/>
        </w:rPr>
        <w:t>s</w:t>
      </w:r>
      <w:r w:rsidRPr="0077615B">
        <w:rPr>
          <w:szCs w:val="22"/>
        </w:rPr>
        <w:t>tions majeures y sont rediscutées. Le système des comités a donc r</w:t>
      </w:r>
      <w:r w:rsidRPr="0077615B">
        <w:rPr>
          <w:szCs w:val="22"/>
        </w:rPr>
        <w:t>é</w:t>
      </w:r>
      <w:r w:rsidRPr="0077615B">
        <w:rPr>
          <w:szCs w:val="22"/>
        </w:rPr>
        <w:t>duit considérablement le rôle du Cabinet comme lieu de discussion des projets gouve</w:t>
      </w:r>
      <w:r w:rsidRPr="0077615B">
        <w:rPr>
          <w:szCs w:val="22"/>
        </w:rPr>
        <w:t>r</w:t>
      </w:r>
      <w:r w:rsidRPr="0077615B">
        <w:rPr>
          <w:szCs w:val="22"/>
        </w:rPr>
        <w:t>nementaux et comme centre de décision.</w:t>
      </w:r>
    </w:p>
    <w:p w:rsidR="00AD690E" w:rsidRPr="0077615B" w:rsidRDefault="00AD690E" w:rsidP="00AD690E">
      <w:pPr>
        <w:spacing w:before="120" w:after="120"/>
        <w:jc w:val="both"/>
      </w:pPr>
      <w:r w:rsidRPr="0077615B">
        <w:rPr>
          <w:rFonts w:cs="Arial"/>
          <w:szCs w:val="18"/>
        </w:rPr>
        <w:t>[134]</w:t>
      </w:r>
    </w:p>
    <w:p w:rsidR="00AD690E" w:rsidRPr="0077615B" w:rsidRDefault="00AD690E" w:rsidP="00AD690E">
      <w:pPr>
        <w:spacing w:before="120" w:after="120"/>
        <w:jc w:val="both"/>
      </w:pPr>
      <w:r w:rsidRPr="0077615B">
        <w:rPr>
          <w:szCs w:val="22"/>
        </w:rPr>
        <w:t>Cette perte d'importance du Cabinet dans le processus décisio</w:t>
      </w:r>
      <w:r w:rsidRPr="0077615B">
        <w:rPr>
          <w:szCs w:val="22"/>
        </w:rPr>
        <w:t>n</w:t>
      </w:r>
      <w:r w:rsidRPr="0077615B">
        <w:rPr>
          <w:szCs w:val="22"/>
        </w:rPr>
        <w:t>nel fut consacrée par la création d'un cabinet restreint après l'éle</w:t>
      </w:r>
      <w:r w:rsidRPr="0077615B">
        <w:rPr>
          <w:szCs w:val="22"/>
        </w:rPr>
        <w:t>c</w:t>
      </w:r>
      <w:r w:rsidRPr="0077615B">
        <w:rPr>
          <w:szCs w:val="22"/>
        </w:rPr>
        <w:t>tion de Joseph Clark comme premier ministre en mai 1979. Le Cabinet re</w:t>
      </w:r>
      <w:r w:rsidRPr="0077615B">
        <w:rPr>
          <w:szCs w:val="22"/>
        </w:rPr>
        <w:t>s</w:t>
      </w:r>
      <w:r w:rsidRPr="0077615B">
        <w:rPr>
          <w:szCs w:val="22"/>
        </w:rPr>
        <w:t>treint remplace le Comité des priorités et de la plan</w:t>
      </w:r>
      <w:r w:rsidRPr="0077615B">
        <w:rPr>
          <w:szCs w:val="22"/>
        </w:rPr>
        <w:t>i</w:t>
      </w:r>
      <w:r w:rsidRPr="0077615B">
        <w:rPr>
          <w:szCs w:val="22"/>
        </w:rPr>
        <w:t>fication (CPP) mais, contrairement à ce dernier, il est habilité à prendre des décisions finales. Le rôle du Cabinet comme étape essentielle et ultime du pr</w:t>
      </w:r>
      <w:r w:rsidRPr="0077615B">
        <w:rPr>
          <w:szCs w:val="22"/>
        </w:rPr>
        <w:t>o</w:t>
      </w:r>
      <w:r w:rsidRPr="0077615B">
        <w:rPr>
          <w:szCs w:val="22"/>
        </w:rPr>
        <w:t>cessus décisionnel disparaît et il se limite dorénavant « à la coordin</w:t>
      </w:r>
      <w:r w:rsidRPr="0077615B">
        <w:rPr>
          <w:szCs w:val="22"/>
        </w:rPr>
        <w:t>a</w:t>
      </w:r>
      <w:r w:rsidRPr="0077615B">
        <w:rPr>
          <w:szCs w:val="22"/>
        </w:rPr>
        <w:t>tion et aux discussions polit</w:t>
      </w:r>
      <w:r w:rsidRPr="0077615B">
        <w:rPr>
          <w:szCs w:val="22"/>
        </w:rPr>
        <w:t>i</w:t>
      </w:r>
      <w:r w:rsidRPr="0077615B">
        <w:rPr>
          <w:szCs w:val="22"/>
        </w:rPr>
        <w:t>ques »</w:t>
      </w:r>
      <w:r>
        <w:rPr>
          <w:szCs w:val="22"/>
        </w:rPr>
        <w:t> </w:t>
      </w:r>
      <w:r w:rsidRPr="00427269">
        <w:rPr>
          <w:rStyle w:val="Appelnotedebasdep"/>
        </w:rPr>
        <w:footnoteReference w:id="234"/>
      </w:r>
      <w:r w:rsidRPr="0077615B">
        <w:rPr>
          <w:szCs w:val="22"/>
        </w:rPr>
        <w:t>.</w:t>
      </w:r>
    </w:p>
    <w:p w:rsidR="00AD690E" w:rsidRDefault="00AD690E" w:rsidP="00AD690E">
      <w:pPr>
        <w:pStyle w:val="Grillecouleur-Accent1"/>
      </w:pPr>
    </w:p>
    <w:p w:rsidR="00AD690E" w:rsidRDefault="00AD690E" w:rsidP="00AD690E">
      <w:pPr>
        <w:pStyle w:val="Grillecouleur-Accent1"/>
      </w:pPr>
      <w:r w:rsidRPr="00970BA4">
        <w:t>The Inner Cabinet took over most of the responsabilities of the Prior</w:t>
      </w:r>
      <w:r w:rsidRPr="00970BA4">
        <w:t>i</w:t>
      </w:r>
      <w:r w:rsidRPr="00970BA4">
        <w:t>ties and Planning Committee and became analogue to the full Cabinet in the Trudeau System, as the senior forum for collective decision-making by m</w:t>
      </w:r>
      <w:r w:rsidRPr="00970BA4">
        <w:t>i</w:t>
      </w:r>
      <w:r w:rsidRPr="00970BA4">
        <w:t>nisters</w:t>
      </w:r>
      <w:r>
        <w:t> </w:t>
      </w:r>
      <w:r w:rsidRPr="00427269">
        <w:rPr>
          <w:rStyle w:val="Appelnotedebasdep"/>
          <w:szCs w:val="18"/>
        </w:rPr>
        <w:footnoteReference w:id="235"/>
      </w:r>
      <w:r w:rsidRPr="00970BA4">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Le rôle du Cabinet restreint est de définir les priorités du gouve</w:t>
      </w:r>
      <w:r w:rsidRPr="0077615B">
        <w:rPr>
          <w:szCs w:val="22"/>
        </w:rPr>
        <w:t>r</w:t>
      </w:r>
      <w:r w:rsidRPr="0077615B">
        <w:rPr>
          <w:szCs w:val="22"/>
        </w:rPr>
        <w:t>nement, d'établir les compétences et le programme de travail des c</w:t>
      </w:r>
      <w:r w:rsidRPr="0077615B">
        <w:rPr>
          <w:szCs w:val="22"/>
        </w:rPr>
        <w:t>o</w:t>
      </w:r>
      <w:r w:rsidRPr="0077615B">
        <w:rPr>
          <w:szCs w:val="22"/>
        </w:rPr>
        <w:t>mités du Cabinet ; il s'occupe des décisions qui ont une importa</w:t>
      </w:r>
      <w:r w:rsidRPr="0077615B">
        <w:rPr>
          <w:szCs w:val="22"/>
        </w:rPr>
        <w:t>n</w:t>
      </w:r>
      <w:r w:rsidRPr="0077615B">
        <w:rPr>
          <w:szCs w:val="22"/>
        </w:rPr>
        <w:t>ce politique pour le gouvernement et des problèmes prioritaires, il déte</w:t>
      </w:r>
      <w:r w:rsidRPr="0077615B">
        <w:rPr>
          <w:szCs w:val="22"/>
        </w:rPr>
        <w:t>r</w:t>
      </w:r>
      <w:r w:rsidRPr="0077615B">
        <w:rPr>
          <w:szCs w:val="22"/>
        </w:rPr>
        <w:t>mine le cadre financier et alloue les ressources aux différents secteurs. Le Cabinet restreint devient donc le lieu où les décisions importantes sont prises. Il est composé de douze membres ; soit le premier mini</w:t>
      </w:r>
      <w:r w:rsidRPr="0077615B">
        <w:rPr>
          <w:szCs w:val="22"/>
        </w:rPr>
        <w:t>s</w:t>
      </w:r>
      <w:r w:rsidRPr="0077615B">
        <w:rPr>
          <w:szCs w:val="22"/>
        </w:rPr>
        <w:t>tre, qui le préside, les présidents des comités du Cab</w:t>
      </w:r>
      <w:r w:rsidRPr="0077615B">
        <w:rPr>
          <w:szCs w:val="22"/>
        </w:rPr>
        <w:t>i</w:t>
      </w:r>
      <w:r w:rsidRPr="0077615B">
        <w:rPr>
          <w:szCs w:val="22"/>
        </w:rPr>
        <w:t>net, des ministres importants, par exemple, le m</w:t>
      </w:r>
      <w:r w:rsidRPr="0077615B">
        <w:rPr>
          <w:szCs w:val="22"/>
        </w:rPr>
        <w:t>i</w:t>
      </w:r>
      <w:r w:rsidRPr="0077615B">
        <w:rPr>
          <w:szCs w:val="22"/>
        </w:rPr>
        <w:t>nistre des Finances, et des ministres qui assurent la représentation d'une région qui autrement ne serait pas r</w:t>
      </w:r>
      <w:r w:rsidRPr="0077615B">
        <w:rPr>
          <w:szCs w:val="22"/>
        </w:rPr>
        <w:t>e</w:t>
      </w:r>
      <w:r w:rsidRPr="0077615B">
        <w:rPr>
          <w:szCs w:val="22"/>
        </w:rPr>
        <w:t>présentée dans le cabinet restreint — c'était le cas du ministre John Fraser de la C</w:t>
      </w:r>
      <w:r w:rsidRPr="0077615B">
        <w:rPr>
          <w:szCs w:val="22"/>
        </w:rPr>
        <w:t>o</w:t>
      </w:r>
      <w:r w:rsidRPr="0077615B">
        <w:rPr>
          <w:szCs w:val="22"/>
        </w:rPr>
        <w:t>lombie-Britannique.</w:t>
      </w:r>
    </w:p>
    <w:p w:rsidR="00AD690E" w:rsidRPr="0077615B" w:rsidRDefault="00AD690E" w:rsidP="00AD690E">
      <w:pPr>
        <w:spacing w:before="120" w:after="120"/>
        <w:jc w:val="both"/>
        <w:rPr>
          <w:szCs w:val="22"/>
        </w:rPr>
      </w:pPr>
      <w:r w:rsidRPr="0077615B">
        <w:rPr>
          <w:szCs w:val="22"/>
        </w:rPr>
        <w:t>Outre l'élimination du Cabinet comme étape formelle, le proce</w:t>
      </w:r>
      <w:r w:rsidRPr="0077615B">
        <w:rPr>
          <w:szCs w:val="22"/>
        </w:rPr>
        <w:t>s</w:t>
      </w:r>
      <w:r w:rsidRPr="0077615B">
        <w:rPr>
          <w:szCs w:val="22"/>
        </w:rPr>
        <w:t>sus décisionnel fut aussi modifié par la systématisation du rôle des com</w:t>
      </w:r>
      <w:r w:rsidRPr="0077615B">
        <w:rPr>
          <w:szCs w:val="22"/>
        </w:rPr>
        <w:t>i</w:t>
      </w:r>
      <w:r w:rsidRPr="0077615B">
        <w:rPr>
          <w:szCs w:val="22"/>
        </w:rPr>
        <w:t>tés de sous-ministres et par l'attribution d'un pouvoir de décision fin</w:t>
      </w:r>
      <w:r w:rsidRPr="0077615B">
        <w:rPr>
          <w:szCs w:val="22"/>
        </w:rPr>
        <w:t>a</w:t>
      </w:r>
      <w:r w:rsidRPr="0077615B">
        <w:rPr>
          <w:szCs w:val="22"/>
        </w:rPr>
        <w:t>le et pratiquement sans appel aux comités du Cab</w:t>
      </w:r>
      <w:r w:rsidRPr="0077615B">
        <w:rPr>
          <w:szCs w:val="22"/>
        </w:rPr>
        <w:t>i</w:t>
      </w:r>
      <w:r w:rsidRPr="0077615B">
        <w:rPr>
          <w:szCs w:val="22"/>
        </w:rPr>
        <w:t>net. Un ministère désirant qu'une question soit soumise à l'attention du C</w:t>
      </w:r>
      <w:r w:rsidRPr="0077615B">
        <w:rPr>
          <w:szCs w:val="22"/>
        </w:rPr>
        <w:t>a</w:t>
      </w:r>
      <w:r w:rsidRPr="0077615B">
        <w:rPr>
          <w:szCs w:val="22"/>
        </w:rPr>
        <w:t>binet doit d'abord la soumettre à un Comité sectoriel de sous-ministres. Ce C</w:t>
      </w:r>
      <w:r w:rsidRPr="0077615B">
        <w:rPr>
          <w:szCs w:val="22"/>
        </w:rPr>
        <w:t>o</w:t>
      </w:r>
      <w:r w:rsidRPr="0077615B">
        <w:rPr>
          <w:szCs w:val="22"/>
        </w:rPr>
        <w:t>mité est sans pouvoir décisionnel ; il a « pour but de veiller à ce que le ministre promoteur reçoive toute l'information dont il peut avoir b</w:t>
      </w:r>
      <w:r w:rsidRPr="0077615B">
        <w:rPr>
          <w:szCs w:val="22"/>
        </w:rPr>
        <w:t>e</w:t>
      </w:r>
      <w:r w:rsidRPr="0077615B">
        <w:rPr>
          <w:szCs w:val="22"/>
        </w:rPr>
        <w:t>soin, puis de permettre aux autres ministres i</w:t>
      </w:r>
      <w:r w:rsidRPr="0077615B">
        <w:rPr>
          <w:szCs w:val="22"/>
        </w:rPr>
        <w:t>n</w:t>
      </w:r>
      <w:r w:rsidRPr="0077615B">
        <w:rPr>
          <w:szCs w:val="22"/>
        </w:rPr>
        <w:t>téressés d'être informés des répercussions possibles sur leur mandat »</w:t>
      </w:r>
      <w:r>
        <w:rPr>
          <w:szCs w:val="22"/>
        </w:rPr>
        <w:t> </w:t>
      </w:r>
      <w:r w:rsidRPr="00427269">
        <w:rPr>
          <w:rStyle w:val="Appelnotedebasdep"/>
        </w:rPr>
        <w:footnoteReference w:id="236"/>
      </w:r>
      <w:r w:rsidRPr="0077615B">
        <w:rPr>
          <w:szCs w:val="22"/>
        </w:rPr>
        <w:t>. Par la suite, la pr</w:t>
      </w:r>
      <w:r w:rsidRPr="0077615B">
        <w:rPr>
          <w:szCs w:val="22"/>
        </w:rPr>
        <w:t>o</w:t>
      </w:r>
      <w:r w:rsidRPr="0077615B">
        <w:rPr>
          <w:szCs w:val="22"/>
        </w:rPr>
        <w:t>position est</w:t>
      </w:r>
      <w:r>
        <w:rPr>
          <w:szCs w:val="22"/>
        </w:rPr>
        <w:t xml:space="preserve"> </w:t>
      </w:r>
      <w:r w:rsidRPr="0077615B">
        <w:rPr>
          <w:szCs w:val="18"/>
        </w:rPr>
        <w:t>[135]</w:t>
      </w:r>
      <w:r>
        <w:rPr>
          <w:szCs w:val="18"/>
        </w:rPr>
        <w:t xml:space="preserve"> </w:t>
      </w:r>
      <w:r w:rsidRPr="0077615B">
        <w:rPr>
          <w:szCs w:val="22"/>
        </w:rPr>
        <w:t>acheminée au comité du Cabinet approprié et bien qu'en théorie sa décision soit finale, dans la pratique la recommand</w:t>
      </w:r>
      <w:r w:rsidRPr="0077615B">
        <w:rPr>
          <w:szCs w:val="22"/>
        </w:rPr>
        <w:t>a</w:t>
      </w:r>
      <w:r w:rsidRPr="0077615B">
        <w:rPr>
          <w:szCs w:val="22"/>
        </w:rPr>
        <w:t>tion du c</w:t>
      </w:r>
      <w:r w:rsidRPr="0077615B">
        <w:rPr>
          <w:szCs w:val="22"/>
        </w:rPr>
        <w:t>o</w:t>
      </w:r>
      <w:r w:rsidRPr="0077615B">
        <w:rPr>
          <w:szCs w:val="22"/>
        </w:rPr>
        <w:t>mité sera approuvée par le cabinet restreint.</w:t>
      </w:r>
    </w:p>
    <w:p w:rsidR="00AD690E" w:rsidRPr="0077615B" w:rsidRDefault="00AD690E" w:rsidP="00AD690E">
      <w:pPr>
        <w:spacing w:before="120" w:after="120"/>
        <w:jc w:val="both"/>
      </w:pPr>
      <w:r>
        <w:br w:type="page"/>
      </w:r>
    </w:p>
    <w:p w:rsidR="00AD690E" w:rsidRPr="0077615B" w:rsidRDefault="00AD690E" w:rsidP="00AD690E">
      <w:pPr>
        <w:pStyle w:val="figtitre"/>
      </w:pPr>
      <w:r w:rsidRPr="0077615B">
        <w:t>Graphique 2</w:t>
      </w:r>
      <w:r w:rsidRPr="0077615B">
        <w:br/>
      </w:r>
      <w:r w:rsidRPr="0077615B">
        <w:rPr>
          <w:szCs w:val="14"/>
        </w:rPr>
        <w:t>Structure des comités du Cabinet (Gouvernement Clark, octobre 1979)</w:t>
      </w:r>
    </w:p>
    <w:p w:rsidR="00AD690E" w:rsidRDefault="005E1315" w:rsidP="00AD690E">
      <w:pPr>
        <w:pStyle w:val="fig"/>
      </w:pPr>
      <w:r>
        <w:rPr>
          <w:noProof/>
        </w:rPr>
        <w:drawing>
          <wp:inline distT="0" distB="0" distL="0" distR="0">
            <wp:extent cx="5054600" cy="4597400"/>
            <wp:effectExtent l="25400" t="25400" r="12700" b="12700"/>
            <wp:docPr id="8" name="Image 8" descr="fig_p_135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135_s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4600" cy="45974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pStyle w:val="figst"/>
      </w:pPr>
      <w:r w:rsidRPr="0077615B">
        <w:t>* L'astérisque réfère aux comités du Cabinet qui sont responsables de la ge</w:t>
      </w:r>
      <w:r w:rsidRPr="0077615B">
        <w:t>s</w:t>
      </w:r>
      <w:r w:rsidRPr="0077615B">
        <w:t>tion des enveloppes budgétaires.</w:t>
      </w:r>
    </w:p>
    <w:p w:rsidR="00AD690E" w:rsidRPr="0077615B" w:rsidRDefault="00AD690E" w:rsidP="00AD690E">
      <w:pPr>
        <w:pStyle w:val="figst"/>
      </w:pPr>
      <w:r w:rsidRPr="0077615B">
        <w:t>Un seul président de comité n'était pas membre du Cabinet restreint. Il s'agi</w:t>
      </w:r>
      <w:r w:rsidRPr="0077615B">
        <w:t>s</w:t>
      </w:r>
      <w:r w:rsidRPr="0077615B">
        <w:t>sait d'Erik Nielsen, président du Comité sur les relations de travail.</w:t>
      </w:r>
    </w:p>
    <w:p w:rsidR="00AD690E" w:rsidRPr="0077615B"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La structure des comités du Cabinet a été considérablement mod</w:t>
      </w:r>
      <w:r w:rsidRPr="0077615B">
        <w:rPr>
          <w:szCs w:val="22"/>
        </w:rPr>
        <w:t>i</w:t>
      </w:r>
      <w:r w:rsidRPr="0077615B">
        <w:rPr>
          <w:szCs w:val="22"/>
        </w:rPr>
        <w:t>fiée avec l'arrivée au pouvoir du gouvernement conservateur en 1979. Réapparaît le Comité sur les relations fédérales-provinciales, lequel avait été fusionné en 1977 au CPP. Après la victoire du Parti québ</w:t>
      </w:r>
      <w:r w:rsidRPr="0077615B">
        <w:rPr>
          <w:szCs w:val="22"/>
        </w:rPr>
        <w:t>é</w:t>
      </w:r>
      <w:r w:rsidRPr="0077615B">
        <w:rPr>
          <w:szCs w:val="22"/>
        </w:rPr>
        <w:t>cois en 1976 et la menace que ceci représe</w:t>
      </w:r>
      <w:r w:rsidRPr="0077615B">
        <w:rPr>
          <w:szCs w:val="22"/>
        </w:rPr>
        <w:t>n</w:t>
      </w:r>
      <w:r w:rsidRPr="0077615B">
        <w:rPr>
          <w:szCs w:val="22"/>
        </w:rPr>
        <w:t>tait pour la conception de P.E. Trudeau de l'unité canadienne, les questions intergouvernement</w:t>
      </w:r>
      <w:r w:rsidRPr="0077615B">
        <w:rPr>
          <w:szCs w:val="22"/>
        </w:rPr>
        <w:t>a</w:t>
      </w:r>
      <w:r w:rsidRPr="0077615B">
        <w:rPr>
          <w:szCs w:val="22"/>
        </w:rPr>
        <w:t>les devinrent prioritaires et furent de plus en plus discutées par le C</w:t>
      </w:r>
      <w:r w:rsidRPr="0077615B">
        <w:rPr>
          <w:szCs w:val="22"/>
        </w:rPr>
        <w:t>o</w:t>
      </w:r>
      <w:r w:rsidRPr="0077615B">
        <w:rPr>
          <w:szCs w:val="22"/>
        </w:rPr>
        <w:t>mité des priorités et de la planific</w:t>
      </w:r>
      <w:r w:rsidRPr="0077615B">
        <w:rPr>
          <w:szCs w:val="22"/>
        </w:rPr>
        <w:t>a</w:t>
      </w:r>
      <w:r w:rsidRPr="0077615B">
        <w:rPr>
          <w:szCs w:val="22"/>
        </w:rPr>
        <w:t>tion, rendant inutile l'existence d'un comité spécialisé autonome sur ces questions. Les autres</w:t>
      </w:r>
      <w:r>
        <w:rPr>
          <w:szCs w:val="22"/>
        </w:rPr>
        <w:t xml:space="preserve"> </w:t>
      </w:r>
      <w:r w:rsidRPr="0077615B">
        <w:t>[</w:t>
      </w:r>
      <w:r w:rsidRPr="0077615B">
        <w:rPr>
          <w:szCs w:val="18"/>
        </w:rPr>
        <w:t>136]</w:t>
      </w:r>
      <w:r>
        <w:rPr>
          <w:szCs w:val="18"/>
        </w:rPr>
        <w:t xml:space="preserve"> </w:t>
      </w:r>
      <w:r w:rsidRPr="0077615B">
        <w:t>cha</w:t>
      </w:r>
      <w:r w:rsidRPr="0077615B">
        <w:t>n</w:t>
      </w:r>
      <w:r w:rsidRPr="0077615B">
        <w:t>gements apportes au système de comité par le gouvern</w:t>
      </w:r>
      <w:r w:rsidRPr="0077615B">
        <w:t>e</w:t>
      </w:r>
      <w:r w:rsidRPr="0077615B">
        <w:t>ment Clark furent : 1) de fusionner les comités de la politique s</w:t>
      </w:r>
      <w:r w:rsidRPr="0077615B">
        <w:t>o</w:t>
      </w:r>
      <w:r w:rsidRPr="0077615B">
        <w:t>ciale et de la culture et des affaires indiennes ; 2) d'élargir les compétences du C</w:t>
      </w:r>
      <w:r w:rsidRPr="0077615B">
        <w:t>o</w:t>
      </w:r>
      <w:r w:rsidRPr="0077615B">
        <w:t>mité de développement économique ; 3) de créer un nouveau com</w:t>
      </w:r>
      <w:r w:rsidRPr="0077615B">
        <w:t>i</w:t>
      </w:r>
      <w:r w:rsidRPr="0077615B">
        <w:t>té ayant la responsabilité de surveiller les dépenses gouvern</w:t>
      </w:r>
      <w:r w:rsidRPr="0077615B">
        <w:t>e</w:t>
      </w:r>
      <w:r w:rsidRPr="0077615B">
        <w:t>mentales et de les réduire. Le Comité des opérations gouverneme</w:t>
      </w:r>
      <w:r w:rsidRPr="0077615B">
        <w:t>n</w:t>
      </w:r>
      <w:r w:rsidRPr="0077615B">
        <w:t>tales fut aboli et ses responsabilités réparties entre les trois comités mentionnés préc</w:t>
      </w:r>
      <w:r w:rsidRPr="0077615B">
        <w:t>é</w:t>
      </w:r>
      <w:r w:rsidRPr="0077615B">
        <w:t>demment. Toutefois, les changements les plus i</w:t>
      </w:r>
      <w:r w:rsidRPr="0077615B">
        <w:t>m</w:t>
      </w:r>
      <w:r w:rsidRPr="0077615B">
        <w:t>portants faits par le nouveau gouvernement furent le développement d'un nouveau type de ministère d'État et l'introduction du système des enveloppes budgéta</w:t>
      </w:r>
      <w:r w:rsidRPr="0077615B">
        <w:t>i</w:t>
      </w:r>
      <w:r w:rsidRPr="0077615B">
        <w:t>res — ces deux innovations seront anal</w:t>
      </w:r>
      <w:r w:rsidRPr="0077615B">
        <w:t>y</w:t>
      </w:r>
      <w:r w:rsidRPr="0077615B">
        <w:t>sées un peu plus loin. Ces importantes réfo</w:t>
      </w:r>
      <w:r w:rsidRPr="0077615B">
        <w:t>r</w:t>
      </w:r>
      <w:r w:rsidRPr="0077615B">
        <w:t>mes, bien qu'elles ont été introduites durant le bref règne du gouvernement conservateur, s'inscrivent dans la même log</w:t>
      </w:r>
      <w:r w:rsidRPr="0077615B">
        <w:t>i</w:t>
      </w:r>
      <w:r w:rsidRPr="0077615B">
        <w:t>que d'une gestion rationnelle. De plus, la plupart de ces réformes avaient été élaborées dans les dernières années du gouvernement Tr</w:t>
      </w:r>
      <w:r w:rsidRPr="0077615B">
        <w:t>u</w:t>
      </w:r>
      <w:r w:rsidRPr="0077615B">
        <w:t>deau. « </w:t>
      </w:r>
      <w:r w:rsidRPr="00FC154F">
        <w:rPr>
          <w:i/>
        </w:rPr>
        <w:t xml:space="preserve">Remarkably, PCO </w:t>
      </w:r>
      <w:hyperlink r:id="rId22" w:history="1">
        <w:r w:rsidRPr="00FC154F">
          <w:rPr>
            <w:i/>
          </w:rPr>
          <w:t>pur</w:t>
        </w:r>
        <w:r w:rsidRPr="00FC154F">
          <w:rPr>
            <w:i/>
          </w:rPr>
          <w:t>sued</w:t>
        </w:r>
      </w:hyperlink>
      <w:r w:rsidRPr="00FC154F">
        <w:rPr>
          <w:i/>
        </w:rPr>
        <w:t xml:space="preserve"> ils program of reforms while m</w:t>
      </w:r>
      <w:r w:rsidRPr="00FC154F">
        <w:rPr>
          <w:i/>
        </w:rPr>
        <w:t>a</w:t>
      </w:r>
      <w:r w:rsidRPr="00FC154F">
        <w:rPr>
          <w:i/>
        </w:rPr>
        <w:t>king it appear as if the Conservatives had developed them </w:t>
      </w:r>
      <w:r w:rsidRPr="0077615B">
        <w:t>»</w:t>
      </w:r>
      <w:r>
        <w:t xml:space="preserve"> </w:t>
      </w:r>
      <w:r>
        <w:rPr>
          <w:rStyle w:val="Appelnotedebasdep"/>
        </w:rPr>
        <w:footnoteReference w:id="237"/>
      </w:r>
      <w:r w:rsidRPr="0077615B">
        <w:t>.</w:t>
      </w:r>
    </w:p>
    <w:p w:rsidR="00AD690E" w:rsidRPr="0077615B" w:rsidRDefault="00AD690E" w:rsidP="00AD690E">
      <w:pPr>
        <w:spacing w:before="120" w:after="120"/>
        <w:jc w:val="both"/>
      </w:pPr>
      <w:r w:rsidRPr="0077615B">
        <w:t>Par conséquent le retour au pouvoir du Parti libéral en 1980 n'e</w:t>
      </w:r>
      <w:r w:rsidRPr="0077615B">
        <w:t>n</w:t>
      </w:r>
      <w:r w:rsidRPr="0077615B">
        <w:t>traîna aucune remise en question radicale des réformes faites par le gouvernement Clark, tout au plus certains ajustements furent-ils a</w:t>
      </w:r>
      <w:r w:rsidRPr="0077615B">
        <w:t>p</w:t>
      </w:r>
      <w:r w:rsidRPr="0077615B">
        <w:t>portés aux nouvelles structures et au nouveau processus décisionnel. Les réunions du Cabinet revinrent sur une base hebdomadaire, le C</w:t>
      </w:r>
      <w:r w:rsidRPr="0077615B">
        <w:t>a</w:t>
      </w:r>
      <w:r w:rsidRPr="0077615B">
        <w:t>binet restreint fut aboli et le Comité des priorités et de la planif</w:t>
      </w:r>
      <w:r w:rsidRPr="0077615B">
        <w:t>i</w:t>
      </w:r>
      <w:r w:rsidRPr="0077615B">
        <w:t>cation fut réinstitué. Ces changements peuvent paraître importants mais ils eurent très peu d'impact sur le proce</w:t>
      </w:r>
      <w:r w:rsidRPr="0077615B">
        <w:t>s</w:t>
      </w:r>
      <w:r w:rsidRPr="0077615B">
        <w:t>sus décisionnel. Le Comité des priorités et de la planification remplaça le Cabinet re</w:t>
      </w:r>
      <w:r w:rsidRPr="0077615B">
        <w:t>s</w:t>
      </w:r>
      <w:r w:rsidRPr="0077615B">
        <w:t>treint mais il demeura habilité à prendre des déc</w:t>
      </w:r>
      <w:r w:rsidRPr="0077615B">
        <w:t>i</w:t>
      </w:r>
      <w:r w:rsidRPr="0077615B">
        <w:t>sions finales. De plus, le rôle des comités de sous-ministres et des ministères d'État fut systématisé et ces derniers furent chargés de soumettre des notes d'évaluation au c</w:t>
      </w:r>
      <w:r w:rsidRPr="0077615B">
        <w:t>o</w:t>
      </w:r>
      <w:r w:rsidRPr="0077615B">
        <w:t>mité du Cabinet. Ces notes informaient les me</w:t>
      </w:r>
      <w:r w:rsidRPr="0077615B">
        <w:t>m</w:t>
      </w:r>
      <w:r w:rsidRPr="0077615B">
        <w:t>bres du comité « des autres solutions possibles » et de la « position des autres minist</w:t>
      </w:r>
      <w:r w:rsidRPr="0077615B">
        <w:t>è</w:t>
      </w:r>
      <w:r w:rsidRPr="0077615B">
        <w:t>res »</w:t>
      </w:r>
      <w:r>
        <w:t> </w:t>
      </w:r>
      <w:r w:rsidRPr="00427269">
        <w:rPr>
          <w:rStyle w:val="Appelnotedebasdep"/>
        </w:rPr>
        <w:footnoteReference w:id="238"/>
      </w:r>
      <w:r w:rsidRPr="0077615B">
        <w:t xml:space="preserve"> (voir graphique 3).</w:t>
      </w:r>
    </w:p>
    <w:p w:rsidR="00AD690E" w:rsidRPr="0077615B" w:rsidRDefault="00AD690E" w:rsidP="00AD690E">
      <w:pPr>
        <w:spacing w:before="120" w:after="120"/>
        <w:jc w:val="both"/>
      </w:pPr>
      <w:r w:rsidRPr="0077615B">
        <w:t>Une innovation majeure du second régime Trudeau fut la cré</w:t>
      </w:r>
      <w:r w:rsidRPr="0077615B">
        <w:t>a</w:t>
      </w:r>
      <w:r w:rsidRPr="0077615B">
        <w:t>tion du Comité de coordination des sous-ministres. Un Comité de mand</w:t>
      </w:r>
      <w:r w:rsidRPr="0077615B">
        <w:t>a</w:t>
      </w:r>
      <w:r w:rsidRPr="0077615B">
        <w:t>rins fut créé en 1980 pour coordonner la transition entre les gouve</w:t>
      </w:r>
      <w:r w:rsidRPr="0077615B">
        <w:t>r</w:t>
      </w:r>
      <w:r w:rsidRPr="0077615B">
        <w:t>nements Clark et Trudeau. Il fut institutionnalisé par la suite. Ce C</w:t>
      </w:r>
      <w:r w:rsidRPr="0077615B">
        <w:t>o</w:t>
      </w:r>
      <w:r w:rsidRPr="0077615B">
        <w:t>mité de coordination des sous-ministres se réunit sur une base hebd</w:t>
      </w:r>
      <w:r w:rsidRPr="0077615B">
        <w:t>o</w:t>
      </w:r>
      <w:r w:rsidRPr="0077615B">
        <w:t>madaire et il est présidé par le secrétaire du Cabinet. Il co</w:t>
      </w:r>
      <w:r w:rsidRPr="0077615B">
        <w:t>m</w:t>
      </w:r>
      <w:r w:rsidRPr="0077615B">
        <w:t>prend de plus les sous-ministres des agences centrales (Conseil du trésor, B</w:t>
      </w:r>
      <w:r w:rsidRPr="0077615B">
        <w:t>u</w:t>
      </w:r>
      <w:r w:rsidRPr="0077615B">
        <w:t>reau des relations fédérales-provinciales, des ministères d'État) et ceux des ministères des Finances, des Affaires extérieures et de la Justice.</w:t>
      </w:r>
    </w:p>
    <w:p w:rsidR="00AD690E" w:rsidRPr="0077615B" w:rsidRDefault="00AD690E" w:rsidP="00AD690E">
      <w:pPr>
        <w:spacing w:before="120" w:after="120"/>
        <w:jc w:val="both"/>
      </w:pPr>
      <w:r w:rsidRPr="0077615B">
        <w:t>[137]</w:t>
      </w:r>
    </w:p>
    <w:p w:rsidR="00AD690E" w:rsidRPr="0077615B" w:rsidRDefault="00AD690E" w:rsidP="00AD690E">
      <w:pPr>
        <w:spacing w:before="120" w:after="120"/>
        <w:jc w:val="both"/>
        <w:rPr>
          <w:szCs w:val="24"/>
        </w:rPr>
      </w:pPr>
    </w:p>
    <w:p w:rsidR="00AD690E" w:rsidRPr="0077615B" w:rsidRDefault="00AD690E" w:rsidP="00AD690E">
      <w:pPr>
        <w:pStyle w:val="figtitre"/>
      </w:pPr>
      <w:r w:rsidRPr="0077615B">
        <w:t>Graphique 3</w:t>
      </w:r>
    </w:p>
    <w:p w:rsidR="00AD690E" w:rsidRDefault="005E1315" w:rsidP="00AD690E">
      <w:pPr>
        <w:pStyle w:val="fig"/>
        <w:rPr>
          <w:szCs w:val="24"/>
        </w:rPr>
      </w:pPr>
      <w:r w:rsidRPr="00250C16">
        <w:rPr>
          <w:noProof/>
          <w:szCs w:val="24"/>
        </w:rPr>
        <w:drawing>
          <wp:inline distT="0" distB="0" distL="0" distR="0">
            <wp:extent cx="4965700" cy="2654300"/>
            <wp:effectExtent l="25400" t="25400" r="12700" b="12700"/>
            <wp:docPr id="9" name="Image 9" descr="fig_p_137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137_st"/>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5700" cy="26543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pStyle w:val="figst"/>
      </w:pPr>
      <w:r w:rsidRPr="0077615B">
        <w:t>Source : Ian Clark, « Coup d'œil sur l’essentiel du processus décisionnel du go</w:t>
      </w:r>
      <w:r w:rsidRPr="0077615B">
        <w:t>u</w:t>
      </w:r>
      <w:r w:rsidRPr="0077615B">
        <w:t>vernement », Bureau du Conseil privé, Ottawa, 1983, p. 16.</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Ce comité n'est pas le reflet parfait du Comité des priorités et de la planification mais il regroupe tout de même les sous-ministres des principaux membres de ce comité. Le Comité de coordination des sous-ministes n'a pas de pouvoir décisionnel, mais il permet au secr</w:t>
      </w:r>
      <w:r w:rsidRPr="0077615B">
        <w:t>é</w:t>
      </w:r>
      <w:r w:rsidRPr="0077615B">
        <w:t>taire du Cabinet d'être informé à l'avance des problèmes i</w:t>
      </w:r>
      <w:r w:rsidRPr="0077615B">
        <w:t>m</w:t>
      </w:r>
      <w:r w:rsidRPr="0077615B">
        <w:t>portants qui nécessiteront l'attention du premier ministre et de s'a</w:t>
      </w:r>
      <w:r w:rsidRPr="0077615B">
        <w:t>s</w:t>
      </w:r>
      <w:r w:rsidRPr="0077615B">
        <w:t>surer que les politiques de ce dernier sont bien comprises et mises en application</w:t>
      </w:r>
      <w:r>
        <w:t> </w:t>
      </w:r>
      <w:r w:rsidRPr="00427269">
        <w:rPr>
          <w:rStyle w:val="Appelnotedebasdep"/>
        </w:rPr>
        <w:footnoteReference w:id="239"/>
      </w:r>
      <w:r w:rsidRPr="0077615B">
        <w:t xml:space="preserve"> (voir graphique 4).</w:t>
      </w:r>
    </w:p>
    <w:p w:rsidR="00AD690E" w:rsidRPr="0077615B" w:rsidRDefault="00AD690E" w:rsidP="00AD690E">
      <w:pPr>
        <w:spacing w:before="120" w:after="120"/>
        <w:jc w:val="both"/>
      </w:pPr>
      <w:r w:rsidRPr="0077615B">
        <w:t>Les changements apportés par Pierre Trudeau en 1980 à la struct</w:t>
      </w:r>
      <w:r w:rsidRPr="0077615B">
        <w:t>u</w:t>
      </w:r>
      <w:r w:rsidRPr="0077615B">
        <w:t>re des comités du Cabinet furent mineurs. Un Comité sur les affa</w:t>
      </w:r>
      <w:r w:rsidRPr="0077615B">
        <w:t>i</w:t>
      </w:r>
      <w:r w:rsidRPr="0077615B">
        <w:t>res de l'Ouest fut créé afin de tenter d'y réduire le sentiment d'ali</w:t>
      </w:r>
      <w:r w:rsidRPr="0077615B">
        <w:t>é</w:t>
      </w:r>
      <w:r w:rsidRPr="0077615B">
        <w:t>nation qui n'avait fait élire que deux députés libéraux et où un mo</w:t>
      </w:r>
      <w:r w:rsidRPr="0077615B">
        <w:t>u</w:t>
      </w:r>
      <w:r w:rsidRPr="0077615B">
        <w:t>vement séparatiste de plus en plus bruyant se développait. Le Com</w:t>
      </w:r>
      <w:r w:rsidRPr="0077615B">
        <w:t>i</w:t>
      </w:r>
      <w:r w:rsidRPr="0077615B">
        <w:t>té sur les opérations gouvernementales remplaça celui sur l'économie gouve</w:t>
      </w:r>
      <w:r w:rsidRPr="0077615B">
        <w:t>r</w:t>
      </w:r>
      <w:r w:rsidRPr="0077615B">
        <w:t>nementale. Et, dernière modification, le Comité sur les relations féd</w:t>
      </w:r>
      <w:r w:rsidRPr="0077615B">
        <w:t>é</w:t>
      </w:r>
      <w:r w:rsidRPr="0077615B">
        <w:t>rales-provinciales fut aboli et ses responsabilités transférées au Com</w:t>
      </w:r>
      <w:r w:rsidRPr="0077615B">
        <w:t>i</w:t>
      </w:r>
      <w:r w:rsidRPr="0077615B">
        <w:t>té des priorités et de la plan</w:t>
      </w:r>
      <w:r w:rsidRPr="0077615B">
        <w:t>i</w:t>
      </w:r>
      <w:r w:rsidRPr="0077615B">
        <w:t>fication.</w:t>
      </w:r>
    </w:p>
    <w:p w:rsidR="00AD690E" w:rsidRPr="0077615B" w:rsidRDefault="00AD690E" w:rsidP="00AD690E">
      <w:pPr>
        <w:spacing w:before="120" w:after="120"/>
        <w:jc w:val="both"/>
        <w:rPr>
          <w:szCs w:val="18"/>
        </w:rPr>
      </w:pPr>
    </w:p>
    <w:p w:rsidR="00AD690E" w:rsidRDefault="00AD690E" w:rsidP="00AD690E">
      <w:pPr>
        <w:spacing w:before="120" w:after="120"/>
        <w:ind w:firstLine="0"/>
        <w:jc w:val="both"/>
        <w:rPr>
          <w:szCs w:val="18"/>
        </w:rPr>
      </w:pPr>
      <w:r w:rsidRPr="0077615B">
        <w:br w:type="page"/>
        <w:t>[</w:t>
      </w:r>
      <w:r w:rsidRPr="0077615B">
        <w:rPr>
          <w:szCs w:val="18"/>
        </w:rPr>
        <w:t>138]</w:t>
      </w:r>
    </w:p>
    <w:p w:rsidR="00AD690E" w:rsidRPr="0077615B" w:rsidRDefault="00AD690E" w:rsidP="00AD690E">
      <w:pPr>
        <w:spacing w:before="120" w:after="120"/>
        <w:ind w:firstLine="0"/>
        <w:jc w:val="both"/>
      </w:pPr>
    </w:p>
    <w:p w:rsidR="00AD690E" w:rsidRDefault="00AD690E" w:rsidP="00AD690E">
      <w:pPr>
        <w:pStyle w:val="figtitre"/>
      </w:pPr>
      <w:r w:rsidRPr="0077615B">
        <w:t>Graphique 4</w:t>
      </w:r>
      <w:r>
        <w:br/>
        <w:t>Structure des comités du Cabinet</w:t>
      </w:r>
      <w:r>
        <w:br/>
        <w:t>(Gouvernement Trudeau, 1980-1984)</w:t>
      </w:r>
    </w:p>
    <w:p w:rsidR="00AD690E" w:rsidRDefault="005E1315" w:rsidP="00AD690E">
      <w:pPr>
        <w:pStyle w:val="fig"/>
      </w:pPr>
      <w:r>
        <w:rPr>
          <w:noProof/>
        </w:rPr>
        <w:drawing>
          <wp:inline distT="0" distB="0" distL="0" distR="0">
            <wp:extent cx="4965700" cy="4165600"/>
            <wp:effectExtent l="25400" t="25400" r="12700" b="12700"/>
            <wp:docPr id="10" name="Image 10" descr="fig_p_138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38_st"/>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700" cy="41656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pStyle w:val="figst"/>
      </w:pPr>
      <w:r w:rsidRPr="0077615B">
        <w:t>* L'astérisque réfère aux comités du Cabinet qui sont responsables de la ge</w:t>
      </w:r>
      <w:r w:rsidRPr="0077615B">
        <w:t>s</w:t>
      </w:r>
      <w:r w:rsidRPr="0077615B">
        <w:t>tion des enveloppes budgétaires.</w:t>
      </w:r>
    </w:p>
    <w:p w:rsidR="00AD690E" w:rsidRPr="0077615B" w:rsidRDefault="00AD690E" w:rsidP="00AD690E">
      <w:pPr>
        <w:pStyle w:val="figst"/>
      </w:pPr>
      <w:r w:rsidRPr="0077615B">
        <w:t>Un seul président de comité n'était pas membre du Comité des priorités et de la planification en 1980. Il s'agissait de Gerald Reagan, président du Comité sur les relations de travail. Il devint membre de CPP en 1981 lorsqu'il fut nommé prés</w:t>
      </w:r>
      <w:r w:rsidRPr="0077615B">
        <w:t>i</w:t>
      </w:r>
      <w:r w:rsidRPr="0077615B">
        <w:t>dent du Comité sur les communications. Le nombre de me</w:t>
      </w:r>
      <w:r w:rsidRPr="0077615B">
        <w:t>m</w:t>
      </w:r>
      <w:r w:rsidRPr="0077615B">
        <w:t>bres du CPP passa alors de douze à tre</w:t>
      </w:r>
      <w:r w:rsidRPr="0077615B">
        <w:t>i</w:t>
      </w:r>
      <w:r w:rsidRPr="0077615B">
        <w:t>ze.</w:t>
      </w:r>
    </w:p>
    <w:p w:rsidR="00AD690E" w:rsidRPr="0077615B" w:rsidRDefault="00AD690E" w:rsidP="00AD690E">
      <w:pPr>
        <w:spacing w:before="120" w:after="120"/>
        <w:jc w:val="both"/>
      </w:pPr>
    </w:p>
    <w:p w:rsidR="00AD690E" w:rsidRPr="0077615B" w:rsidRDefault="00AD690E" w:rsidP="00AD690E">
      <w:pPr>
        <w:spacing w:before="120" w:after="120"/>
        <w:jc w:val="both"/>
      </w:pPr>
      <w:r w:rsidRPr="0077615B">
        <w:t>John Turner, lors de son arrivée au pouvoir en 1984, déclara que le processus décisionnel et l'organisation du Cabinet mis en place par Trudeau étaient trop élaborés, trop complexes, trop lents et trop di</w:t>
      </w:r>
      <w:r w:rsidRPr="0077615B">
        <w:t>s</w:t>
      </w:r>
      <w:r w:rsidRPr="0077615B">
        <w:t>pendieux, ce qui avait, selon lui, réduit considérablement l'autor</w:t>
      </w:r>
      <w:r w:rsidRPr="0077615B">
        <w:t>i</w:t>
      </w:r>
      <w:r w:rsidRPr="0077615B">
        <w:t>té des ministres. Il annonça donc un certain no</w:t>
      </w:r>
      <w:r w:rsidRPr="0077615B">
        <w:t>m</w:t>
      </w:r>
      <w:r w:rsidRPr="0077615B">
        <w:t>bre « de mesures destinées à renforcer le rôle des ministres et à simplifier le processus décisio</w:t>
      </w:r>
      <w:r w:rsidRPr="0077615B">
        <w:t>n</w:t>
      </w:r>
      <w:r w:rsidRPr="0077615B">
        <w:t>nel »</w:t>
      </w:r>
      <w:r>
        <w:t> </w:t>
      </w:r>
      <w:r w:rsidRPr="00427269">
        <w:rPr>
          <w:rStyle w:val="Appelnotedebasdep"/>
        </w:rPr>
        <w:footnoteReference w:id="240"/>
      </w:r>
      <w:r w:rsidRPr="0077615B">
        <w:t>. Le nombre des comités du Cabinet fut</w:t>
      </w:r>
      <w:r>
        <w:t xml:space="preserve"> </w:t>
      </w:r>
      <w:r w:rsidRPr="0077615B">
        <w:t>[139]</w:t>
      </w:r>
      <w:r>
        <w:t xml:space="preserve"> </w:t>
      </w:r>
      <w:r w:rsidRPr="0077615B">
        <w:t>réduit de treize à dix — furent éliminés les comités sur les communications, les affa</w:t>
      </w:r>
      <w:r w:rsidRPr="0077615B">
        <w:t>i</w:t>
      </w:r>
      <w:r w:rsidRPr="0077615B">
        <w:t>res de l'Ouest et les relations de travail —, et furent abolis les minist</w:t>
      </w:r>
      <w:r w:rsidRPr="0077615B">
        <w:t>è</w:t>
      </w:r>
      <w:r w:rsidRPr="0077615B">
        <w:t>res d'</w:t>
      </w:r>
      <w:r>
        <w:t>État</w:t>
      </w:r>
      <w:r w:rsidRPr="0077615B">
        <w:t xml:space="preserve"> au développement économique et régional et au développ</w:t>
      </w:r>
      <w:r w:rsidRPr="0077615B">
        <w:t>e</w:t>
      </w:r>
      <w:r w:rsidRPr="0077615B">
        <w:t>ment social. Il annonça de plus son intention de définir clairement les pouvoirs et la responsabilité des mini</w:t>
      </w:r>
      <w:r w:rsidRPr="0077615B">
        <w:t>s</w:t>
      </w:r>
      <w:r w:rsidRPr="0077615B">
        <w:t>tres en rapport à leur ministère, ce qui devait renforcer leur pouvoir individuel et rédu</w:t>
      </w:r>
      <w:r w:rsidRPr="0077615B">
        <w:t>i</w:t>
      </w:r>
      <w:r w:rsidRPr="0077615B">
        <w:t>re le nombre de questions soumises au Cabinet et au Conseil du trésor. Enfin, il dés</w:t>
      </w:r>
      <w:r w:rsidRPr="0077615B">
        <w:t>i</w:t>
      </w:r>
      <w:r w:rsidRPr="0077615B">
        <w:t>rait alléger le processus décisionnel en éliminant les « notes d'évalu</w:t>
      </w:r>
      <w:r w:rsidRPr="0077615B">
        <w:t>a</w:t>
      </w:r>
      <w:r w:rsidRPr="0077615B">
        <w:t>tion » et en r</w:t>
      </w:r>
      <w:r w:rsidRPr="0077615B">
        <w:t>é</w:t>
      </w:r>
      <w:r w:rsidRPr="0077615B">
        <w:t>duisant le rôle des comités de sous-ministres</w:t>
      </w:r>
      <w:r>
        <w:t> </w:t>
      </w:r>
      <w:r w:rsidRPr="00427269">
        <w:rPr>
          <w:rStyle w:val="Appelnotedebasdep"/>
        </w:rPr>
        <w:footnoteReference w:id="241"/>
      </w:r>
      <w:r w:rsidRPr="0077615B">
        <w:t>. Ces réformes ne furent pas mises à l'épreuve car des élections furent d</w:t>
      </w:r>
      <w:r w:rsidRPr="0077615B">
        <w:t>é</w:t>
      </w:r>
      <w:r w:rsidRPr="0077615B">
        <w:t>clenchées rapidement.</w:t>
      </w:r>
    </w:p>
    <w:p w:rsidR="00AD690E" w:rsidRPr="0077615B" w:rsidRDefault="00AD690E" w:rsidP="00AD690E">
      <w:pPr>
        <w:spacing w:before="120" w:after="120"/>
        <w:jc w:val="both"/>
      </w:pPr>
      <w:r w:rsidRPr="0077615B">
        <w:t>L'arrivée au pouvoir du gouvernement conservateur dirigé par Brian Mulroney n'entraîna aucunement la remise en question des m</w:t>
      </w:r>
      <w:r w:rsidRPr="0077615B">
        <w:t>o</w:t>
      </w:r>
      <w:r w:rsidRPr="0077615B">
        <w:t>des d'organisation et de fonctionnement de l'exécutif fédéral. Le no</w:t>
      </w:r>
      <w:r w:rsidRPr="0077615B">
        <w:t>u</w:t>
      </w:r>
      <w:r w:rsidRPr="0077615B">
        <w:t>veau premier ministre ne revint pas sur les réformes mise en place au cours des vingt années précédentes ni sur les modif</w:t>
      </w:r>
      <w:r w:rsidRPr="0077615B">
        <w:t>i</w:t>
      </w:r>
      <w:r w:rsidRPr="0077615B">
        <w:t>cations de John Turner. En septembre 1984, il annonça le mai</w:t>
      </w:r>
      <w:r w:rsidRPr="0077615B">
        <w:t>n</w:t>
      </w:r>
      <w:r w:rsidRPr="0077615B">
        <w:t>tien de dix comités du Cabinet, la seule modification importante par rapport à la structure précédente était le rétablissement du Comité des co</w:t>
      </w:r>
      <w:r w:rsidRPr="0077615B">
        <w:t>m</w:t>
      </w:r>
      <w:r w:rsidRPr="0077615B">
        <w:t>munications et l'abolition du Comité sur la politique étrangère et la défense. Les re</w:t>
      </w:r>
      <w:r w:rsidRPr="0077615B">
        <w:t>s</w:t>
      </w:r>
      <w:r w:rsidRPr="0077615B">
        <w:t>ponsabilités de ce dernier comité passaient au C</w:t>
      </w:r>
      <w:r w:rsidRPr="0077615B">
        <w:t>o</w:t>
      </w:r>
      <w:r w:rsidRPr="0077615B">
        <w:t>mité des priorités et de la planification. Toutefois, ce dernier changement s'avéra insati</w:t>
      </w:r>
      <w:r w:rsidRPr="0077615B">
        <w:t>s</w:t>
      </w:r>
      <w:r w:rsidRPr="0077615B">
        <w:t>faisant et le Comité sur la polit</w:t>
      </w:r>
      <w:r w:rsidRPr="0077615B">
        <w:t>i</w:t>
      </w:r>
      <w:r w:rsidRPr="0077615B">
        <w:t>que étrangère et la défense fut réétabli le 5 juillet 1985 à la suite d'une réunion du Comité des priorités et de la planification à Baie-Comeau. En se</w:t>
      </w:r>
      <w:r w:rsidRPr="0077615B">
        <w:t>p</w:t>
      </w:r>
      <w:r w:rsidRPr="0077615B">
        <w:t>tembre 1986, trois nouveaux comités furent officiellement créés — les comités sur les relations f</w:t>
      </w:r>
      <w:r w:rsidRPr="0077615B">
        <w:t>é</w:t>
      </w:r>
      <w:r w:rsidRPr="0077615B">
        <w:t>dérales-provinciales, les négociations commerciales et le développ</w:t>
      </w:r>
      <w:r w:rsidRPr="0077615B">
        <w:t>e</w:t>
      </w:r>
      <w:r w:rsidRPr="0077615B">
        <w:t>ment de Montréal —, un comité changea de nom afin de mieux refl</w:t>
      </w:r>
      <w:r w:rsidRPr="0077615B">
        <w:t>é</w:t>
      </w:r>
      <w:r w:rsidRPr="0077615B">
        <w:t>ter les priorités gouvernementales — le Comité sur les opér</w:t>
      </w:r>
      <w:r w:rsidRPr="0077615B">
        <w:t>a</w:t>
      </w:r>
      <w:r w:rsidRPr="0077615B">
        <w:t>tions gouvernementales devint privatisation, réglementation et opérations — et un comité fut aboli, celui sur la fonction publ</w:t>
      </w:r>
      <w:r w:rsidRPr="0077615B">
        <w:t>i</w:t>
      </w:r>
      <w:r w:rsidRPr="0077615B">
        <w:t>que. Le Comité des priorités et de la planification comprend maintenant seize me</w:t>
      </w:r>
      <w:r w:rsidRPr="0077615B">
        <w:t>m</w:t>
      </w:r>
      <w:r w:rsidRPr="0077615B">
        <w:t>bres. Toutefois un sous-comité « informel » du CPP fut créé pour a</w:t>
      </w:r>
      <w:r w:rsidRPr="0077615B">
        <w:t>s</w:t>
      </w:r>
      <w:r w:rsidRPr="0077615B">
        <w:t>surer la coordination des activ</w:t>
      </w:r>
      <w:r w:rsidRPr="0077615B">
        <w:t>i</w:t>
      </w:r>
      <w:r w:rsidRPr="0077615B">
        <w:t>tés gouvernementales. Ce sous-comité est présidé par le vice-premier ministre, Donald Mazankowski, et il comprend les mini</w:t>
      </w:r>
      <w:r w:rsidRPr="0077615B">
        <w:t>s</w:t>
      </w:r>
      <w:r w:rsidRPr="0077615B">
        <w:t>tres Joe Clark (président du Comité sur la politique étrangère et la défense), Michael Wilson (ministre des Finances), R</w:t>
      </w:r>
      <w:r w:rsidRPr="0077615B">
        <w:t>o</w:t>
      </w:r>
      <w:r w:rsidRPr="0077615B">
        <w:t>bert de C</w:t>
      </w:r>
      <w:r w:rsidRPr="0077615B">
        <w:t>o</w:t>
      </w:r>
      <w:r w:rsidRPr="0077615B">
        <w:t>tret (président du Comité sur le développement économique et régional, du Conseil du trésor, du Comité ministériel sur le dév</w:t>
      </w:r>
      <w:r w:rsidRPr="0077615B">
        <w:t>e</w:t>
      </w:r>
      <w:r w:rsidRPr="0077615B">
        <w:t>loppement de la région de Montréal) et Jake Epp (président du Comité sur le développement social). Bernard Roy, chef du Cabinet du pr</w:t>
      </w:r>
      <w:r w:rsidRPr="0077615B">
        <w:t>e</w:t>
      </w:r>
      <w:r w:rsidRPr="0077615B">
        <w:t>mier m</w:t>
      </w:r>
      <w:r w:rsidRPr="0077615B">
        <w:t>i</w:t>
      </w:r>
      <w:r w:rsidRPr="0077615B">
        <w:t>nistre, et Paul Tellier, greffier du Conseil privé, assistent aussi aux réunions hebdomada</w:t>
      </w:r>
      <w:r w:rsidRPr="0077615B">
        <w:t>i</w:t>
      </w:r>
      <w:r w:rsidRPr="0077615B">
        <w:t>res de ce sous-comité (voir graphique 5).</w:t>
      </w:r>
    </w:p>
    <w:p w:rsidR="00AD690E" w:rsidRPr="0077615B" w:rsidRDefault="00AD690E" w:rsidP="00AD690E">
      <w:pPr>
        <w:spacing w:before="120" w:after="120"/>
        <w:jc w:val="both"/>
        <w:rPr>
          <w:szCs w:val="18"/>
        </w:rPr>
      </w:pPr>
    </w:p>
    <w:p w:rsidR="00AD690E" w:rsidRPr="0077615B" w:rsidRDefault="00AD690E" w:rsidP="00AD690E">
      <w:pPr>
        <w:spacing w:before="120" w:after="120"/>
        <w:jc w:val="both"/>
      </w:pPr>
    </w:p>
    <w:p w:rsidR="00AD690E" w:rsidRPr="0077615B" w:rsidRDefault="00AD690E" w:rsidP="00AD690E">
      <w:pPr>
        <w:spacing w:before="120" w:after="120"/>
        <w:ind w:firstLine="0"/>
        <w:jc w:val="both"/>
      </w:pPr>
      <w:r w:rsidRPr="0077615B">
        <w:br w:type="page"/>
        <w:t>[</w:t>
      </w:r>
      <w:r w:rsidRPr="0077615B">
        <w:rPr>
          <w:szCs w:val="18"/>
        </w:rPr>
        <w:t>140]</w:t>
      </w:r>
    </w:p>
    <w:p w:rsidR="00AD690E" w:rsidRPr="0077615B" w:rsidRDefault="00AD690E" w:rsidP="00AD690E">
      <w:pPr>
        <w:pStyle w:val="figtitre"/>
      </w:pPr>
      <w:r w:rsidRPr="0077615B">
        <w:t>Graphique 5</w:t>
      </w:r>
      <w:r>
        <w:br/>
        <w:t>Structure des comités du Cabinet</w:t>
      </w:r>
      <w:r>
        <w:br/>
        <w:t>(Gouvernement Mulroney, septembre 1986)</w:t>
      </w:r>
    </w:p>
    <w:p w:rsidR="00AD690E" w:rsidRDefault="005E1315" w:rsidP="00AD690E">
      <w:pPr>
        <w:pStyle w:val="fig"/>
      </w:pPr>
      <w:r>
        <w:rPr>
          <w:noProof/>
        </w:rPr>
        <w:drawing>
          <wp:inline distT="0" distB="0" distL="0" distR="0">
            <wp:extent cx="5003800" cy="5511800"/>
            <wp:effectExtent l="25400" t="25400" r="12700" b="12700"/>
            <wp:docPr id="11" name="Image 11" descr="fig_p_140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40_st"/>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55118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pStyle w:val="figst"/>
      </w:pPr>
      <w:r w:rsidRPr="0077615B">
        <w:t>1. Il s'agit d'un sous-comité des priorités et de la planification chargé des négoci</w:t>
      </w:r>
      <w:r w:rsidRPr="0077615B">
        <w:t>a</w:t>
      </w:r>
      <w:r w:rsidRPr="0077615B">
        <w:t>tions commerciales. Ce sous-comité est présidé par P. Carney, ministre du Co</w:t>
      </w:r>
      <w:r w:rsidRPr="0077615B">
        <w:t>m</w:t>
      </w:r>
      <w:r w:rsidRPr="0077615B">
        <w:t>merce extérieur. Il comprend 17 membres dont 9 sont aussi membres du CPP.</w:t>
      </w:r>
    </w:p>
    <w:p w:rsidR="00AD690E" w:rsidRPr="0077615B" w:rsidRDefault="00AD690E" w:rsidP="00AD690E">
      <w:pPr>
        <w:pStyle w:val="figst"/>
      </w:pPr>
      <w:r w:rsidRPr="0077615B">
        <w:t>2. Il s'agit d'un sous-comité du Comité chargé du développement économ</w:t>
      </w:r>
      <w:r w:rsidRPr="0077615B">
        <w:t>i</w:t>
      </w:r>
      <w:r w:rsidRPr="0077615B">
        <w:t>que et régional. Ce sous-comité comprend 10 membres dont 6 sont aussi membres du comité sur le développement économique et régional</w:t>
      </w:r>
      <w:r>
        <w:t xml:space="preserve"> </w:t>
      </w:r>
      <w:r w:rsidRPr="0077615B">
        <w:t>.Pour la première fois depuis 1981 deux présidents de comité ne sont pas membres du CPP. Il s'agit de B. McDougall, privatisation, réglementation et opération et L. Murray, relations f</w:t>
      </w:r>
      <w:r w:rsidRPr="0077615B">
        <w:t>é</w:t>
      </w:r>
      <w:r w:rsidRPr="0077615B">
        <w:t>dérales-provinciales. Tous deux sont ministre d'État, ceci c</w:t>
      </w:r>
      <w:r>
        <w:t>on</w:t>
      </w:r>
      <w:r w:rsidRPr="0077615B">
        <w:t>firme l'i</w:t>
      </w:r>
      <w:r w:rsidRPr="0077615B">
        <w:t>m</w:t>
      </w:r>
      <w:r w:rsidRPr="0077615B">
        <w:t>portance moindre des ministres qui n'ont pas la respo</w:t>
      </w:r>
      <w:r w:rsidRPr="0077615B">
        <w:t>n</w:t>
      </w:r>
      <w:r w:rsidRPr="0077615B">
        <w:t>sabilité effective d'un ministère.</w:t>
      </w:r>
    </w:p>
    <w:p w:rsidR="00AD690E" w:rsidRDefault="00AD690E" w:rsidP="00AD690E">
      <w:pPr>
        <w:spacing w:before="120" w:after="120"/>
        <w:ind w:firstLine="0"/>
        <w:jc w:val="both"/>
      </w:pPr>
    </w:p>
    <w:p w:rsidR="00AD690E" w:rsidRPr="009E5960" w:rsidRDefault="00AD690E" w:rsidP="00AD690E">
      <w:pPr>
        <w:spacing w:before="120" w:after="120"/>
        <w:jc w:val="both"/>
        <w:rPr>
          <w:szCs w:val="22"/>
        </w:rPr>
      </w:pPr>
      <w:r w:rsidRPr="009E5960">
        <w:rPr>
          <w:szCs w:val="22"/>
        </w:rPr>
        <w:t>[141]</w:t>
      </w:r>
    </w:p>
    <w:p w:rsidR="00AD690E" w:rsidRPr="0077615B" w:rsidRDefault="00AD690E" w:rsidP="00AD690E">
      <w:pPr>
        <w:spacing w:before="120" w:after="120"/>
        <w:jc w:val="both"/>
      </w:pPr>
      <w:r w:rsidRPr="0077615B">
        <w:rPr>
          <w:szCs w:val="22"/>
        </w:rPr>
        <w:t>La disparition des comités de sous-ministres et des ministères d'État a redonné au Bureau du Conseil privé le rôle exclusif d'i</w:t>
      </w:r>
      <w:r w:rsidRPr="0077615B">
        <w:rPr>
          <w:szCs w:val="22"/>
        </w:rPr>
        <w:t>n</w:t>
      </w:r>
      <w:r w:rsidRPr="0077615B">
        <w:rPr>
          <w:szCs w:val="22"/>
        </w:rPr>
        <w:t>former les présidents des comités du Cabinet — sauf pour le Conseil du trésor qui a son propre secrétariat et parfois concurre</w:t>
      </w:r>
      <w:r w:rsidRPr="0077615B">
        <w:rPr>
          <w:szCs w:val="22"/>
        </w:rPr>
        <w:t>m</w:t>
      </w:r>
      <w:r w:rsidRPr="0077615B">
        <w:rPr>
          <w:szCs w:val="22"/>
        </w:rPr>
        <w:t>ment avec le Bureau des relations fédérales-provinciales —, exp</w:t>
      </w:r>
      <w:r w:rsidRPr="0077615B">
        <w:rPr>
          <w:szCs w:val="22"/>
        </w:rPr>
        <w:t>o</w:t>
      </w:r>
      <w:r w:rsidRPr="0077615B">
        <w:rPr>
          <w:szCs w:val="22"/>
        </w:rPr>
        <w:t>sant les rapports entre les nouvelles propositions ministérielles et les priorités gouvernement</w:t>
      </w:r>
      <w:r w:rsidRPr="0077615B">
        <w:rPr>
          <w:szCs w:val="22"/>
        </w:rPr>
        <w:t>a</w:t>
      </w:r>
      <w:r w:rsidRPr="0077615B">
        <w:rPr>
          <w:szCs w:val="22"/>
        </w:rPr>
        <w:t>les. De plus, l'évaluation des nouvelles pr</w:t>
      </w:r>
      <w:r w:rsidRPr="0077615B">
        <w:rPr>
          <w:szCs w:val="22"/>
        </w:rPr>
        <w:t>o</w:t>
      </w:r>
      <w:r w:rsidRPr="0077615B">
        <w:rPr>
          <w:szCs w:val="22"/>
        </w:rPr>
        <w:t>positions en ce qui a trait à leur impact économique est faite par le ministère des Finances et l'évaluation des ressources que nécessit</w:t>
      </w:r>
      <w:r w:rsidRPr="0077615B">
        <w:rPr>
          <w:szCs w:val="22"/>
        </w:rPr>
        <w:t>e</w:t>
      </w:r>
      <w:r w:rsidRPr="0077615B">
        <w:rPr>
          <w:szCs w:val="22"/>
        </w:rPr>
        <w:t>ront ces propositions est faite par le Conseil du trésor. Ces deux évaluations sont transmises aux présidents des comités par le B</w:t>
      </w:r>
      <w:r w:rsidRPr="0077615B">
        <w:rPr>
          <w:szCs w:val="22"/>
        </w:rPr>
        <w:t>u</w:t>
      </w:r>
      <w:r w:rsidRPr="0077615B">
        <w:rPr>
          <w:szCs w:val="22"/>
        </w:rPr>
        <w:t>reau du Conseil privé</w:t>
      </w:r>
      <w:r>
        <w:rPr>
          <w:szCs w:val="22"/>
        </w:rPr>
        <w:t> </w:t>
      </w:r>
      <w:r w:rsidRPr="00427269">
        <w:rPr>
          <w:rStyle w:val="Appelnotedebasdep"/>
        </w:rPr>
        <w:footnoteReference w:id="242"/>
      </w:r>
      <w:r w:rsidRPr="0077615B">
        <w:rPr>
          <w:szCs w:val="22"/>
        </w:rPr>
        <w:t>.</w:t>
      </w:r>
    </w:p>
    <w:p w:rsidR="00AD690E" w:rsidRPr="0077615B" w:rsidRDefault="00AD690E" w:rsidP="00AD690E">
      <w:pPr>
        <w:spacing w:before="120" w:after="120"/>
        <w:jc w:val="both"/>
      </w:pPr>
      <w:r w:rsidRPr="0077615B">
        <w:rPr>
          <w:szCs w:val="22"/>
        </w:rPr>
        <w:t>Cet exposé du développement et des transformations des struct</w:t>
      </w:r>
      <w:r w:rsidRPr="0077615B">
        <w:rPr>
          <w:szCs w:val="22"/>
        </w:rPr>
        <w:t>u</w:t>
      </w:r>
      <w:r w:rsidRPr="0077615B">
        <w:rPr>
          <w:szCs w:val="22"/>
        </w:rPr>
        <w:t>res du Cabinet montre très bien l'importance prise par le Comité des pri</w:t>
      </w:r>
      <w:r w:rsidRPr="0077615B">
        <w:rPr>
          <w:szCs w:val="22"/>
        </w:rPr>
        <w:t>o</w:t>
      </w:r>
      <w:r w:rsidRPr="0077615B">
        <w:rPr>
          <w:szCs w:val="22"/>
        </w:rPr>
        <w:t>rités et de la planification. Ce Comité étant devenu de facto le Cab</w:t>
      </w:r>
      <w:r w:rsidRPr="0077615B">
        <w:rPr>
          <w:szCs w:val="22"/>
        </w:rPr>
        <w:t>i</w:t>
      </w:r>
      <w:r w:rsidRPr="0077615B">
        <w:rPr>
          <w:szCs w:val="22"/>
        </w:rPr>
        <w:t>net, depuis 1979 les décisions finales n'ont même plus à être appro</w:t>
      </w:r>
      <w:r w:rsidRPr="0077615B">
        <w:rPr>
          <w:szCs w:val="22"/>
        </w:rPr>
        <w:t>u</w:t>
      </w:r>
      <w:r w:rsidRPr="0077615B">
        <w:rPr>
          <w:szCs w:val="22"/>
        </w:rPr>
        <w:t>vées formellement par le Cabinet. De plus, aucune décision n'est so</w:t>
      </w:r>
      <w:r w:rsidRPr="0077615B">
        <w:rPr>
          <w:szCs w:val="22"/>
        </w:rPr>
        <w:t>u</w:t>
      </w:r>
      <w:r w:rsidRPr="0077615B">
        <w:rPr>
          <w:szCs w:val="22"/>
        </w:rPr>
        <w:t>mise au Cabinet de droit mais découle de la volonté du premier mini</w:t>
      </w:r>
      <w:r w:rsidRPr="0077615B">
        <w:rPr>
          <w:szCs w:val="22"/>
        </w:rPr>
        <w:t>s</w:t>
      </w:r>
      <w:r w:rsidRPr="0077615B">
        <w:rPr>
          <w:szCs w:val="22"/>
        </w:rPr>
        <w:t>tre et les questions qui y sont encore général</w:t>
      </w:r>
      <w:r w:rsidRPr="0077615B">
        <w:rPr>
          <w:szCs w:val="22"/>
        </w:rPr>
        <w:t>e</w:t>
      </w:r>
      <w:r w:rsidRPr="0077615B">
        <w:rPr>
          <w:szCs w:val="22"/>
        </w:rPr>
        <w:t>ment discutées, par exemple le Discours du trône, ont auparavant fait l'objet de discu</w:t>
      </w:r>
      <w:r w:rsidRPr="0077615B">
        <w:rPr>
          <w:szCs w:val="22"/>
        </w:rPr>
        <w:t>s</w:t>
      </w:r>
      <w:r w:rsidRPr="0077615B">
        <w:rPr>
          <w:szCs w:val="22"/>
        </w:rPr>
        <w:t>sions au Comité des priorités et de la planification. On peut donc s'i</w:t>
      </w:r>
      <w:r w:rsidRPr="0077615B">
        <w:rPr>
          <w:szCs w:val="22"/>
        </w:rPr>
        <w:t>n</w:t>
      </w:r>
      <w:r w:rsidRPr="0077615B">
        <w:rPr>
          <w:szCs w:val="22"/>
        </w:rPr>
        <w:t>terroger sur le caractère ouvert des débats au C</w:t>
      </w:r>
      <w:r w:rsidRPr="0077615B">
        <w:rPr>
          <w:szCs w:val="22"/>
        </w:rPr>
        <w:t>a</w:t>
      </w:r>
      <w:r w:rsidRPr="0077615B">
        <w:rPr>
          <w:szCs w:val="22"/>
        </w:rPr>
        <w:t>binet car les ministres « importants », dont le premier ministre, ont déjà participé au sein du CPP à l'élaboration de la proposition d</w:t>
      </w:r>
      <w:r w:rsidRPr="0077615B">
        <w:rPr>
          <w:szCs w:val="22"/>
        </w:rPr>
        <w:t>e</w:t>
      </w:r>
      <w:r w:rsidRPr="0077615B">
        <w:rPr>
          <w:szCs w:val="22"/>
        </w:rPr>
        <w:t>vant le Cabinet.</w:t>
      </w:r>
    </w:p>
    <w:p w:rsidR="00AD690E" w:rsidRPr="0077615B" w:rsidRDefault="00AD690E" w:rsidP="00AD690E">
      <w:pPr>
        <w:spacing w:before="120" w:after="120"/>
        <w:jc w:val="both"/>
      </w:pPr>
      <w:r w:rsidRPr="0077615B">
        <w:rPr>
          <w:szCs w:val="22"/>
        </w:rPr>
        <w:t>Le caractère dominant du Comité des priorités et de la planific</w:t>
      </w:r>
      <w:r w:rsidRPr="0077615B">
        <w:rPr>
          <w:szCs w:val="22"/>
        </w:rPr>
        <w:t>a</w:t>
      </w:r>
      <w:r w:rsidRPr="0077615B">
        <w:rPr>
          <w:szCs w:val="22"/>
        </w:rPr>
        <w:t>tion est confirmé lorsque l'on en regarde la liste des membres. Ainsi de 1980 à 1984, seulement trois ministres ont cessé d'appartenir à ce c</w:t>
      </w:r>
      <w:r w:rsidRPr="0077615B">
        <w:rPr>
          <w:szCs w:val="22"/>
        </w:rPr>
        <w:t>o</w:t>
      </w:r>
      <w:r>
        <w:rPr>
          <w:szCs w:val="22"/>
        </w:rPr>
        <w:t>mité — H. A. Ol</w:t>
      </w:r>
      <w:r w:rsidRPr="0077615B">
        <w:rPr>
          <w:szCs w:val="22"/>
        </w:rPr>
        <w:t>son, M. MacGuigan et J.S. Fleming ; ils ont été re</w:t>
      </w:r>
      <w:r w:rsidRPr="0077615B">
        <w:rPr>
          <w:szCs w:val="22"/>
        </w:rPr>
        <w:t>m</w:t>
      </w:r>
      <w:r w:rsidRPr="0077615B">
        <w:rPr>
          <w:szCs w:val="22"/>
        </w:rPr>
        <w:t>placés en 1982 par J. Roberts, J. Erola et J. Austin —, par contre les ministres MacEachen, Chrétien, Gray, Lalonde, Pinard, Johnston et Axworthy y ont siégé de façon ininterrompue pendant toute cette p</w:t>
      </w:r>
      <w:r w:rsidRPr="0077615B">
        <w:rPr>
          <w:szCs w:val="22"/>
        </w:rPr>
        <w:t>é</w:t>
      </w:r>
      <w:r w:rsidRPr="0077615B">
        <w:rPr>
          <w:szCs w:val="22"/>
        </w:rPr>
        <w:t>riode. Ces ministres non seulement cumulaient un nombre impre</w:t>
      </w:r>
      <w:r w:rsidRPr="0077615B">
        <w:rPr>
          <w:szCs w:val="22"/>
        </w:rPr>
        <w:t>s</w:t>
      </w:r>
      <w:r w:rsidRPr="0077615B">
        <w:rPr>
          <w:szCs w:val="22"/>
        </w:rPr>
        <w:t>sionnant de participations aux divers c</w:t>
      </w:r>
      <w:r w:rsidRPr="0077615B">
        <w:rPr>
          <w:szCs w:val="22"/>
        </w:rPr>
        <w:t>o</w:t>
      </w:r>
      <w:r w:rsidRPr="0077615B">
        <w:rPr>
          <w:szCs w:val="22"/>
        </w:rPr>
        <w:t>mités du Cabinet, mais ils étaient aussi les seuls à avoir un accès à peu près direct au pr</w:t>
      </w:r>
      <w:r w:rsidRPr="0077615B">
        <w:rPr>
          <w:szCs w:val="22"/>
        </w:rPr>
        <w:t>e</w:t>
      </w:r>
      <w:r w:rsidRPr="0077615B">
        <w:rPr>
          <w:szCs w:val="22"/>
        </w:rPr>
        <w:t>mier ministre Trudeau.</w:t>
      </w:r>
    </w:p>
    <w:p w:rsidR="00AD690E" w:rsidRDefault="00AD690E" w:rsidP="00AD690E">
      <w:pPr>
        <w:spacing w:before="120" w:after="120"/>
        <w:jc w:val="both"/>
        <w:rPr>
          <w:szCs w:val="22"/>
        </w:rPr>
      </w:pPr>
      <w:r w:rsidRPr="0077615B">
        <w:rPr>
          <w:szCs w:val="22"/>
        </w:rPr>
        <w:t>On pourrait être tenté d'atténuer l'analyse de la centralisation du processus décisionnel au sein du gouvernement fédéral depuis 1964 en insistant sur les pouvoirs acquis par les comités du Cabinet. En e</w:t>
      </w:r>
      <w:r w:rsidRPr="0077615B">
        <w:rPr>
          <w:szCs w:val="22"/>
        </w:rPr>
        <w:t>f</w:t>
      </w:r>
      <w:r w:rsidRPr="0077615B">
        <w:rPr>
          <w:szCs w:val="22"/>
        </w:rPr>
        <w:t>fet, s'il est vrai que l'ensemble des ministres ne participent plus à to</w:t>
      </w:r>
      <w:r w:rsidRPr="0077615B">
        <w:rPr>
          <w:szCs w:val="22"/>
        </w:rPr>
        <w:t>u</w:t>
      </w:r>
      <w:r w:rsidRPr="0077615B">
        <w:rPr>
          <w:szCs w:val="22"/>
        </w:rPr>
        <w:t>tes les décisions, ceci d'ailleurs n'a jamais été e</w:t>
      </w:r>
      <w:r w:rsidRPr="0077615B">
        <w:rPr>
          <w:szCs w:val="22"/>
        </w:rPr>
        <w:t>n</w:t>
      </w:r>
      <w:r w:rsidRPr="0077615B">
        <w:rPr>
          <w:szCs w:val="22"/>
        </w:rPr>
        <w:t>tièrement le cas, le système de comité a au moins l'avantage que les décisions prises dans les comités le sont de façon collective. Toutefois, si l'on rega</w:t>
      </w:r>
      <w:r w:rsidRPr="0077615B">
        <w:rPr>
          <w:szCs w:val="22"/>
        </w:rPr>
        <w:t>r</w:t>
      </w:r>
      <w:r w:rsidRPr="0077615B">
        <w:rPr>
          <w:szCs w:val="22"/>
        </w:rPr>
        <w:t>de le rôle des agences centrales et le fonctionnement des enveloppes budg</w:t>
      </w:r>
      <w:r w:rsidRPr="0077615B">
        <w:rPr>
          <w:szCs w:val="22"/>
        </w:rPr>
        <w:t>é</w:t>
      </w:r>
      <w:r w:rsidRPr="0077615B">
        <w:rPr>
          <w:szCs w:val="22"/>
        </w:rPr>
        <w:t>taires, on voit que l'autonomie du pouvoir décisionnel des comités est largement circonscrite.</w:t>
      </w:r>
    </w:p>
    <w:p w:rsidR="00AD690E" w:rsidRPr="0077615B" w:rsidRDefault="00AD690E" w:rsidP="00AD690E">
      <w:pPr>
        <w:spacing w:before="120" w:after="120"/>
        <w:jc w:val="both"/>
      </w:pPr>
      <w:r w:rsidRPr="0077615B">
        <w:t>[</w:t>
      </w:r>
      <w:r w:rsidRPr="0077615B">
        <w:rPr>
          <w:szCs w:val="18"/>
        </w:rPr>
        <w:t>142]</w:t>
      </w:r>
    </w:p>
    <w:p w:rsidR="00AD690E" w:rsidRPr="0077615B" w:rsidRDefault="00AD690E" w:rsidP="00AD690E">
      <w:pPr>
        <w:spacing w:before="120" w:after="120"/>
        <w:jc w:val="both"/>
        <w:rPr>
          <w:szCs w:val="18"/>
        </w:rPr>
      </w:pPr>
    </w:p>
    <w:p w:rsidR="00AD690E" w:rsidRPr="0077615B" w:rsidRDefault="00AD690E" w:rsidP="00AD690E">
      <w:pPr>
        <w:pStyle w:val="planche"/>
      </w:pPr>
      <w:r w:rsidRPr="0077615B">
        <w:t>LES AGENCES CENTRALES</w:t>
      </w:r>
      <w:r>
        <w:br/>
      </w:r>
      <w:r w:rsidRPr="0077615B">
        <w:t>ET LE SYSTÈME DE GE</w:t>
      </w:r>
      <w:r w:rsidRPr="0077615B">
        <w:t>S</w:t>
      </w:r>
      <w:r w:rsidRPr="0077615B">
        <w:t>TION</w:t>
      </w:r>
      <w:r>
        <w:br/>
      </w:r>
      <w:r w:rsidRPr="0077615B">
        <w:t>DES POLITIQUES ET DES DÉPENSES</w:t>
      </w:r>
    </w:p>
    <w:p w:rsidR="00AD690E" w:rsidRPr="0077615B" w:rsidRDefault="00AD690E" w:rsidP="00AD690E">
      <w:pPr>
        <w:spacing w:before="120" w:after="120"/>
        <w:jc w:val="both"/>
        <w:rPr>
          <w:szCs w:val="22"/>
        </w:rPr>
      </w:pPr>
    </w:p>
    <w:p w:rsidR="00AD690E" w:rsidRPr="0077615B" w:rsidRDefault="00AD690E" w:rsidP="00AD690E">
      <w:pPr>
        <w:spacing w:before="120" w:after="120"/>
        <w:ind w:firstLine="0"/>
        <w:jc w:val="both"/>
      </w:pPr>
      <w:r w:rsidRPr="0077615B">
        <w:rPr>
          <w:szCs w:val="22"/>
        </w:rPr>
        <w:t>Pour être en mesure de cerner plus adéquatement le processus de concentration du pouvoir aux mains du premier ministre et d'un no</w:t>
      </w:r>
      <w:r w:rsidRPr="0077615B">
        <w:rPr>
          <w:szCs w:val="22"/>
        </w:rPr>
        <w:t>m</w:t>
      </w:r>
      <w:r w:rsidRPr="0077615B">
        <w:rPr>
          <w:szCs w:val="22"/>
        </w:rPr>
        <w:t>bre restreint de ministres à Ottawa durant la période 1965-1984, il faut étudier le rôle des agences centrales et le fonctio</w:t>
      </w:r>
      <w:r w:rsidRPr="0077615B">
        <w:rPr>
          <w:szCs w:val="22"/>
        </w:rPr>
        <w:t>n</w:t>
      </w:r>
      <w:r w:rsidRPr="0077615B">
        <w:rPr>
          <w:szCs w:val="22"/>
        </w:rPr>
        <w:t>nement du système de gestion des politiques et des dépenses (SGPD ou enveloppes bu</w:t>
      </w:r>
      <w:r w:rsidRPr="0077615B">
        <w:rPr>
          <w:szCs w:val="22"/>
        </w:rPr>
        <w:t>d</w:t>
      </w:r>
      <w:r w:rsidRPr="0077615B">
        <w:rPr>
          <w:szCs w:val="22"/>
        </w:rPr>
        <w:t>gétaires). Le manque d'espace ici nous empêche de pr</w:t>
      </w:r>
      <w:r w:rsidRPr="0077615B">
        <w:rPr>
          <w:szCs w:val="22"/>
        </w:rPr>
        <w:t>é</w:t>
      </w:r>
      <w:r w:rsidRPr="0077615B">
        <w:rPr>
          <w:szCs w:val="22"/>
        </w:rPr>
        <w:t>senter toutes les agences centrales et tous les m</w:t>
      </w:r>
      <w:r w:rsidRPr="0077615B">
        <w:rPr>
          <w:szCs w:val="22"/>
        </w:rPr>
        <w:t>i</w:t>
      </w:r>
      <w:r w:rsidRPr="0077615B">
        <w:rPr>
          <w:szCs w:val="22"/>
        </w:rPr>
        <w:t>nistères qui jouent parfois ce rôle. Nous nous concentrerons sur le Bureau du Conseil privé, le Conseil du trésor et les ministères d'État. En ce qui conce</w:t>
      </w:r>
      <w:r w:rsidRPr="0077615B">
        <w:rPr>
          <w:szCs w:val="22"/>
        </w:rPr>
        <w:t>r</w:t>
      </w:r>
      <w:r w:rsidRPr="0077615B">
        <w:rPr>
          <w:szCs w:val="22"/>
        </w:rPr>
        <w:t>ne ces derniers, ceux qui nous intéressent ici sont les ministères d'État qui non seulement assuraient la coordination d'un large se</w:t>
      </w:r>
      <w:r w:rsidRPr="0077615B">
        <w:rPr>
          <w:szCs w:val="22"/>
        </w:rPr>
        <w:t>c</w:t>
      </w:r>
      <w:r w:rsidRPr="0077615B">
        <w:rPr>
          <w:szCs w:val="22"/>
        </w:rPr>
        <w:t>teur de politiques mais qui avaient aussi un statut d'agence centrale</w:t>
      </w:r>
      <w:r>
        <w:rPr>
          <w:szCs w:val="22"/>
        </w:rPr>
        <w:t> </w:t>
      </w:r>
      <w:r w:rsidRPr="00427269">
        <w:rPr>
          <w:rStyle w:val="Appelnotedebasdep"/>
        </w:rPr>
        <w:footnoteReference w:id="243"/>
      </w:r>
      <w:r w:rsidRPr="0077615B">
        <w:rPr>
          <w:szCs w:val="22"/>
        </w:rPr>
        <w:t>.</w:t>
      </w:r>
    </w:p>
    <w:p w:rsidR="00AD690E" w:rsidRPr="0077615B" w:rsidRDefault="00AD690E" w:rsidP="00AD690E">
      <w:pPr>
        <w:spacing w:before="120" w:after="120"/>
        <w:jc w:val="both"/>
      </w:pPr>
      <w:r w:rsidRPr="0077615B">
        <w:rPr>
          <w:szCs w:val="22"/>
        </w:rPr>
        <w:t>Michael Pitfield a défini les objectifs sous-tendant les réfo</w:t>
      </w:r>
      <w:r w:rsidRPr="0077615B">
        <w:rPr>
          <w:szCs w:val="22"/>
        </w:rPr>
        <w:t>r</w:t>
      </w:r>
      <w:r w:rsidRPr="0077615B">
        <w:rPr>
          <w:szCs w:val="22"/>
        </w:rPr>
        <w:t>mes des années 1970 en affirmant que « ces dernières années, la double r</w:t>
      </w:r>
      <w:r w:rsidRPr="0077615B">
        <w:rPr>
          <w:szCs w:val="22"/>
        </w:rPr>
        <w:t>e</w:t>
      </w:r>
      <w:r w:rsidRPr="0077615B">
        <w:rPr>
          <w:szCs w:val="22"/>
        </w:rPr>
        <w:t>cherche, au sein du gouvernement fédéral, d'une efficacité et d'un re</w:t>
      </w:r>
      <w:r w:rsidRPr="0077615B">
        <w:rPr>
          <w:szCs w:val="22"/>
        </w:rPr>
        <w:t>n</w:t>
      </w:r>
      <w:r w:rsidRPr="0077615B">
        <w:rPr>
          <w:szCs w:val="22"/>
        </w:rPr>
        <w:t>dement accrus et d'une plus grande influence du politique a pr</w:t>
      </w:r>
      <w:r w:rsidRPr="0077615B">
        <w:rPr>
          <w:szCs w:val="22"/>
        </w:rPr>
        <w:t>o</w:t>
      </w:r>
      <w:r w:rsidRPr="0077615B">
        <w:rPr>
          <w:szCs w:val="22"/>
        </w:rPr>
        <w:t>gressé au rythme des efforts déployés pour mieux définir les obje</w:t>
      </w:r>
      <w:r w:rsidRPr="0077615B">
        <w:rPr>
          <w:szCs w:val="22"/>
        </w:rPr>
        <w:t>c</w:t>
      </w:r>
      <w:r w:rsidRPr="0077615B">
        <w:rPr>
          <w:szCs w:val="22"/>
        </w:rPr>
        <w:t>tifs et pour faire en sorte que les programmes du gouvern</w:t>
      </w:r>
      <w:r w:rsidRPr="0077615B">
        <w:rPr>
          <w:szCs w:val="22"/>
        </w:rPr>
        <w:t>e</w:t>
      </w:r>
      <w:r w:rsidRPr="0077615B">
        <w:rPr>
          <w:szCs w:val="22"/>
        </w:rPr>
        <w:t>ment soient davantage conformes aux objectifs fixés »</w:t>
      </w:r>
      <w:r>
        <w:rPr>
          <w:szCs w:val="22"/>
        </w:rPr>
        <w:t> </w:t>
      </w:r>
      <w:r w:rsidRPr="00427269">
        <w:rPr>
          <w:rStyle w:val="Appelnotedebasdep"/>
        </w:rPr>
        <w:footnoteReference w:id="244"/>
      </w:r>
      <w:r w:rsidRPr="0077615B">
        <w:rPr>
          <w:szCs w:val="22"/>
        </w:rPr>
        <w:t>. Le succès dans la mise en place d'un processus décisionnel plus rationnel ne po</w:t>
      </w:r>
      <w:r w:rsidRPr="0077615B">
        <w:rPr>
          <w:szCs w:val="22"/>
        </w:rPr>
        <w:t>u</w:t>
      </w:r>
      <w:r w:rsidRPr="0077615B">
        <w:rPr>
          <w:szCs w:val="22"/>
        </w:rPr>
        <w:t>vait donc aller de pair qu'avec une meilleure d</w:t>
      </w:r>
      <w:r w:rsidRPr="0077615B">
        <w:rPr>
          <w:szCs w:val="22"/>
        </w:rPr>
        <w:t>é</w:t>
      </w:r>
      <w:r w:rsidRPr="0077615B">
        <w:rPr>
          <w:szCs w:val="22"/>
        </w:rPr>
        <w:t>finition des priorités au niveau politique. De plus, cette « gestion rationnelle »</w:t>
      </w:r>
      <w:r>
        <w:rPr>
          <w:szCs w:val="22"/>
        </w:rPr>
        <w:t> </w:t>
      </w:r>
      <w:r w:rsidRPr="00427269">
        <w:rPr>
          <w:rStyle w:val="Appelnotedebasdep"/>
        </w:rPr>
        <w:footnoteReference w:id="245"/>
      </w:r>
      <w:r w:rsidRPr="0077615B">
        <w:rPr>
          <w:szCs w:val="22"/>
        </w:rPr>
        <w:t xml:space="preserve"> devait permettre de dégager l'a</w:t>
      </w:r>
      <w:r w:rsidRPr="0077615B">
        <w:rPr>
          <w:szCs w:val="22"/>
        </w:rPr>
        <w:t>c</w:t>
      </w:r>
      <w:r w:rsidRPr="0077615B">
        <w:rPr>
          <w:szCs w:val="22"/>
        </w:rPr>
        <w:t>tion gouvernementale des d</w:t>
      </w:r>
      <w:r w:rsidRPr="0077615B">
        <w:rPr>
          <w:szCs w:val="22"/>
        </w:rPr>
        <w:t>e</w:t>
      </w:r>
      <w:r w:rsidRPr="0077615B">
        <w:rPr>
          <w:szCs w:val="22"/>
        </w:rPr>
        <w:t>mandes des ministères sectoriels et des minis</w:t>
      </w:r>
      <w:r>
        <w:rPr>
          <w:szCs w:val="22"/>
        </w:rPr>
        <w:t>tre</w:t>
      </w:r>
      <w:r w:rsidRPr="0077615B">
        <w:rPr>
          <w:szCs w:val="22"/>
        </w:rPr>
        <w:t xml:space="preserve"> individuels. Enfin le gouvernement devait être en mesure d'évaluer le degré de concorda</w:t>
      </w:r>
      <w:r w:rsidRPr="0077615B">
        <w:rPr>
          <w:szCs w:val="22"/>
        </w:rPr>
        <w:t>n</w:t>
      </w:r>
      <w:r w:rsidRPr="0077615B">
        <w:rPr>
          <w:szCs w:val="22"/>
        </w:rPr>
        <w:t>ce entre les priorités et les nouveaux programmes pr</w:t>
      </w:r>
      <w:r w:rsidRPr="0077615B">
        <w:rPr>
          <w:szCs w:val="22"/>
        </w:rPr>
        <w:t>o</w:t>
      </w:r>
      <w:r w:rsidRPr="0077615B">
        <w:rPr>
          <w:szCs w:val="22"/>
        </w:rPr>
        <w:t>posés.</w:t>
      </w:r>
    </w:p>
    <w:p w:rsidR="00AD690E" w:rsidRPr="0077615B" w:rsidRDefault="00AD690E" w:rsidP="00AD690E">
      <w:pPr>
        <w:spacing w:before="120" w:after="120"/>
        <w:jc w:val="both"/>
      </w:pPr>
      <w:r w:rsidRPr="0077615B">
        <w:rPr>
          <w:szCs w:val="22"/>
        </w:rPr>
        <w:t>Le Comité des priorités et de la planification, malgré son impo</w:t>
      </w:r>
      <w:r w:rsidRPr="0077615B">
        <w:rPr>
          <w:szCs w:val="22"/>
        </w:rPr>
        <w:t>r</w:t>
      </w:r>
      <w:r w:rsidRPr="0077615B">
        <w:rPr>
          <w:szCs w:val="22"/>
        </w:rPr>
        <w:t>tance, ne pouvait suffire à lui seul à assurer que ces objectifs soient atteints. Il fallait aussi développer des structures et des pr</w:t>
      </w:r>
      <w:r w:rsidRPr="0077615B">
        <w:rPr>
          <w:szCs w:val="22"/>
        </w:rPr>
        <w:t>o</w:t>
      </w:r>
      <w:r w:rsidRPr="0077615B">
        <w:rPr>
          <w:szCs w:val="22"/>
        </w:rPr>
        <w:t>cessus pour garantir que des priorités soient définies et que les nouveaux pr</w:t>
      </w:r>
      <w:r w:rsidRPr="0077615B">
        <w:rPr>
          <w:szCs w:val="22"/>
        </w:rPr>
        <w:t>o</w:t>
      </w:r>
      <w:r w:rsidRPr="0077615B">
        <w:rPr>
          <w:szCs w:val="22"/>
        </w:rPr>
        <w:t>grammes reflètent ces dernières. Le premier organisme qui vit son r</w:t>
      </w:r>
      <w:r w:rsidRPr="0077615B">
        <w:rPr>
          <w:szCs w:val="22"/>
        </w:rPr>
        <w:t>ô</w:t>
      </w:r>
      <w:r w:rsidRPr="0077615B">
        <w:rPr>
          <w:szCs w:val="22"/>
        </w:rPr>
        <w:t>le et ses pouvoirs considérablement augme</w:t>
      </w:r>
      <w:r w:rsidRPr="0077615B">
        <w:rPr>
          <w:szCs w:val="22"/>
        </w:rPr>
        <w:t>n</w:t>
      </w:r>
      <w:r w:rsidRPr="0077615B">
        <w:rPr>
          <w:szCs w:val="22"/>
        </w:rPr>
        <w:t>tés fut le Bureau du Conseil privé (BCP). Cette agence centrale, rattachée direct</w:t>
      </w:r>
      <w:r w:rsidRPr="0077615B">
        <w:rPr>
          <w:szCs w:val="22"/>
        </w:rPr>
        <w:t>e</w:t>
      </w:r>
      <w:r w:rsidRPr="0077615B">
        <w:rPr>
          <w:szCs w:val="22"/>
        </w:rPr>
        <w:t>ment au premier ministre en tant que chef de gouve</w:t>
      </w:r>
      <w:r w:rsidRPr="0077615B">
        <w:rPr>
          <w:szCs w:val="22"/>
        </w:rPr>
        <w:t>r</w:t>
      </w:r>
      <w:r w:rsidRPr="0077615B">
        <w:rPr>
          <w:szCs w:val="22"/>
        </w:rPr>
        <w:t>nement, a pour une de ses fonctions</w:t>
      </w:r>
      <w:r>
        <w:rPr>
          <w:szCs w:val="22"/>
        </w:rPr>
        <w:t xml:space="preserve"> </w:t>
      </w:r>
      <w:r w:rsidRPr="0077615B">
        <w:t>[143]</w:t>
      </w:r>
      <w:r>
        <w:t xml:space="preserve"> </w:t>
      </w:r>
      <w:r w:rsidRPr="0077615B">
        <w:rPr>
          <w:szCs w:val="22"/>
        </w:rPr>
        <w:t>principales d'agir comme secrétariat pour les activités du Cabinet</w:t>
      </w:r>
      <w:r>
        <w:rPr>
          <w:szCs w:val="22"/>
        </w:rPr>
        <w:t> </w:t>
      </w:r>
      <w:r w:rsidRPr="00427269">
        <w:rPr>
          <w:rStyle w:val="Appelnotedebasdep"/>
        </w:rPr>
        <w:footnoteReference w:id="246"/>
      </w:r>
      <w:r w:rsidRPr="0077615B">
        <w:rPr>
          <w:szCs w:val="22"/>
        </w:rPr>
        <w:t>. Ceci implique que le BCP non seulement s'assure du bon fonctionnement du processus décisionnel mais aussi de la coh</w:t>
      </w:r>
      <w:r w:rsidRPr="0077615B">
        <w:rPr>
          <w:szCs w:val="22"/>
        </w:rPr>
        <w:t>é</w:t>
      </w:r>
      <w:r w:rsidRPr="0077615B">
        <w:rPr>
          <w:szCs w:val="22"/>
        </w:rPr>
        <w:t>rence des politiques et de leur concordance aux priorités gouvern</w:t>
      </w:r>
      <w:r w:rsidRPr="0077615B">
        <w:rPr>
          <w:szCs w:val="22"/>
        </w:rPr>
        <w:t>e</w:t>
      </w:r>
      <w:r w:rsidRPr="0077615B">
        <w:rPr>
          <w:szCs w:val="22"/>
        </w:rPr>
        <w:t>mentales. C'est le premier ministre Pearson qui, le premier depuis Mackenzie King, d</w:t>
      </w:r>
      <w:r w:rsidRPr="0077615B">
        <w:rPr>
          <w:szCs w:val="22"/>
        </w:rPr>
        <w:t>é</w:t>
      </w:r>
      <w:r w:rsidRPr="0077615B">
        <w:rPr>
          <w:szCs w:val="22"/>
        </w:rPr>
        <w:t>veloppa et réorganisa le BCP. Son objectif était de donner au gouvernement les moyens de contrecarrer les pressions v</w:t>
      </w:r>
      <w:r w:rsidRPr="0077615B">
        <w:rPr>
          <w:szCs w:val="22"/>
        </w:rPr>
        <w:t>e</w:t>
      </w:r>
      <w:r w:rsidRPr="0077615B">
        <w:rPr>
          <w:szCs w:val="22"/>
        </w:rPr>
        <w:t>nant des minist</w:t>
      </w:r>
      <w:r w:rsidRPr="0077615B">
        <w:rPr>
          <w:szCs w:val="22"/>
        </w:rPr>
        <w:t>è</w:t>
      </w:r>
      <w:r w:rsidRPr="0077615B">
        <w:rPr>
          <w:szCs w:val="22"/>
        </w:rPr>
        <w:t>res</w:t>
      </w:r>
      <w:r>
        <w:rPr>
          <w:szCs w:val="22"/>
        </w:rPr>
        <w:t> </w:t>
      </w:r>
      <w:r w:rsidRPr="00427269">
        <w:rPr>
          <w:rStyle w:val="Appelnotedebasdep"/>
        </w:rPr>
        <w:footnoteReference w:id="247"/>
      </w:r>
      <w:r w:rsidRPr="0077615B">
        <w:rPr>
          <w:szCs w:val="22"/>
        </w:rPr>
        <w:t>.</w:t>
      </w:r>
    </w:p>
    <w:p w:rsidR="00AD690E" w:rsidRPr="0077615B" w:rsidRDefault="00AD690E" w:rsidP="00AD690E">
      <w:pPr>
        <w:spacing w:before="120" w:after="120"/>
        <w:jc w:val="both"/>
      </w:pPr>
      <w:r w:rsidRPr="0077615B">
        <w:rPr>
          <w:szCs w:val="22"/>
        </w:rPr>
        <w:t>L'organisation du BCP est largement parallèle à celle des com</w:t>
      </w:r>
      <w:r w:rsidRPr="0077615B">
        <w:rPr>
          <w:szCs w:val="22"/>
        </w:rPr>
        <w:t>i</w:t>
      </w:r>
      <w:r w:rsidRPr="0077615B">
        <w:rPr>
          <w:szCs w:val="22"/>
        </w:rPr>
        <w:t>tés du Cabinet. Deux divisions, dirigées par des sous-secrétaires, assurent l'essentiel du soutien au Cabinet. La division de la planification s</w:t>
      </w:r>
      <w:r w:rsidRPr="0077615B">
        <w:rPr>
          <w:szCs w:val="22"/>
        </w:rPr>
        <w:t>e</w:t>
      </w:r>
      <w:r w:rsidRPr="0077615B">
        <w:rPr>
          <w:szCs w:val="22"/>
        </w:rPr>
        <w:t>conde le premier ministre dans l'établissement des priorités et des o</w:t>
      </w:r>
      <w:r w:rsidRPr="0077615B">
        <w:rPr>
          <w:szCs w:val="22"/>
        </w:rPr>
        <w:t>b</w:t>
      </w:r>
      <w:r w:rsidRPr="0077615B">
        <w:rPr>
          <w:szCs w:val="22"/>
        </w:rPr>
        <w:t>jectifs, et la division des opérations est rattachée aux comités sect</w:t>
      </w:r>
      <w:r w:rsidRPr="0077615B">
        <w:rPr>
          <w:szCs w:val="22"/>
        </w:rPr>
        <w:t>o</w:t>
      </w:r>
      <w:r w:rsidRPr="0077615B">
        <w:rPr>
          <w:szCs w:val="22"/>
        </w:rPr>
        <w:t>riels. Un secrétariat distinct relevant directement du secrétaire du C</w:t>
      </w:r>
      <w:r w:rsidRPr="0077615B">
        <w:rPr>
          <w:szCs w:val="22"/>
        </w:rPr>
        <w:t>a</w:t>
      </w:r>
      <w:r w:rsidRPr="0077615B">
        <w:rPr>
          <w:szCs w:val="22"/>
        </w:rPr>
        <w:t>binet s'occupe de la coordination des renseign</w:t>
      </w:r>
      <w:r w:rsidRPr="0077615B">
        <w:rPr>
          <w:szCs w:val="22"/>
        </w:rPr>
        <w:t>e</w:t>
      </w:r>
      <w:r w:rsidRPr="0077615B">
        <w:rPr>
          <w:szCs w:val="22"/>
        </w:rPr>
        <w:t>ments et de la sécurité. Enfin un sous-ministre adjoint à la gestion est à la tête d'une direction chargée de fournir les services administratifs pour le BCP et pour le B</w:t>
      </w:r>
      <w:r w:rsidRPr="0077615B">
        <w:rPr>
          <w:szCs w:val="22"/>
        </w:rPr>
        <w:t>u</w:t>
      </w:r>
      <w:r w:rsidRPr="0077615B">
        <w:rPr>
          <w:szCs w:val="22"/>
        </w:rPr>
        <w:t>reau des relations fédérales-provinciales (BRFP) (voir graphique 6).</w:t>
      </w:r>
    </w:p>
    <w:p w:rsidR="00AD690E" w:rsidRPr="0077615B" w:rsidRDefault="00AD690E" w:rsidP="00AD690E">
      <w:pPr>
        <w:spacing w:before="120" w:after="120"/>
        <w:jc w:val="both"/>
      </w:pPr>
      <w:r w:rsidRPr="0077615B">
        <w:rPr>
          <w:szCs w:val="22"/>
        </w:rPr>
        <w:t>C'est en 1975 que le Bureau des relations fédérales-provinciales a acquis le statut d'agence centrale. Auparavant ce secteur relevait d'une division du BCP et était dirigé par un sous-secrétaire. Deux raisons ont justifié l'importance prise par le BRFP. Le premier ministre Tr</w:t>
      </w:r>
      <w:r w:rsidRPr="0077615B">
        <w:rPr>
          <w:szCs w:val="22"/>
        </w:rPr>
        <w:t>u</w:t>
      </w:r>
      <w:r w:rsidRPr="0077615B">
        <w:rPr>
          <w:szCs w:val="22"/>
        </w:rPr>
        <w:t>deau désirait nommer Michael Pitfield au poste de secrétaire du Cab</w:t>
      </w:r>
      <w:r w:rsidRPr="0077615B">
        <w:rPr>
          <w:szCs w:val="22"/>
        </w:rPr>
        <w:t>i</w:t>
      </w:r>
      <w:r w:rsidRPr="0077615B">
        <w:rPr>
          <w:szCs w:val="22"/>
        </w:rPr>
        <w:t>net, il lui fallait par conséquent trouver un poste d'un niveau satisfa</w:t>
      </w:r>
      <w:r w:rsidRPr="0077615B">
        <w:rPr>
          <w:szCs w:val="22"/>
        </w:rPr>
        <w:t>i</w:t>
      </w:r>
      <w:r w:rsidRPr="0077615B">
        <w:rPr>
          <w:szCs w:val="22"/>
        </w:rPr>
        <w:t>sant pour le secrétaire au Cabinet d'alors, Gordon R</w:t>
      </w:r>
      <w:r w:rsidRPr="0077615B">
        <w:rPr>
          <w:szCs w:val="22"/>
        </w:rPr>
        <w:t>o</w:t>
      </w:r>
      <w:r w:rsidRPr="0077615B">
        <w:rPr>
          <w:szCs w:val="22"/>
        </w:rPr>
        <w:t>bertson. Comme le poste de secrétaire au Cabinet est le plus impo</w:t>
      </w:r>
      <w:r w:rsidRPr="0077615B">
        <w:rPr>
          <w:szCs w:val="22"/>
        </w:rPr>
        <w:t>r</w:t>
      </w:r>
      <w:r w:rsidRPr="0077615B">
        <w:rPr>
          <w:szCs w:val="22"/>
        </w:rPr>
        <w:t>tant de la fonction publique f</w:t>
      </w:r>
      <w:r w:rsidRPr="0077615B">
        <w:rPr>
          <w:szCs w:val="22"/>
        </w:rPr>
        <w:t>é</w:t>
      </w:r>
      <w:r w:rsidRPr="0077615B">
        <w:rPr>
          <w:szCs w:val="22"/>
        </w:rPr>
        <w:t>dérale, toute nomination à un autre poste risquait d'être interprétée comme une démotion. Gordon R</w:t>
      </w:r>
      <w:r w:rsidRPr="0077615B">
        <w:rPr>
          <w:szCs w:val="22"/>
        </w:rPr>
        <w:t>o</w:t>
      </w:r>
      <w:r w:rsidRPr="0077615B">
        <w:rPr>
          <w:szCs w:val="22"/>
        </w:rPr>
        <w:t>bertson fut donc nommé secrétaire du Cabinet pour les relations f</w:t>
      </w:r>
      <w:r w:rsidRPr="0077615B">
        <w:rPr>
          <w:szCs w:val="22"/>
        </w:rPr>
        <w:t>é</w:t>
      </w:r>
      <w:r w:rsidRPr="0077615B">
        <w:rPr>
          <w:szCs w:val="22"/>
        </w:rPr>
        <w:t>dérales-provinciales et à ce titre il était directement responsable vis-à-vis du premier m</w:t>
      </w:r>
      <w:r w:rsidRPr="0077615B">
        <w:rPr>
          <w:szCs w:val="22"/>
        </w:rPr>
        <w:t>i</w:t>
      </w:r>
      <w:r w:rsidRPr="0077615B">
        <w:rPr>
          <w:szCs w:val="22"/>
        </w:rPr>
        <w:t>nistre. La seconde raison qui justifia après coup la création et l'expansion du BRFP fut l'importance pr</w:t>
      </w:r>
      <w:r w:rsidRPr="0077615B">
        <w:rPr>
          <w:szCs w:val="22"/>
        </w:rPr>
        <w:t>i</w:t>
      </w:r>
      <w:r w:rsidRPr="0077615B">
        <w:rPr>
          <w:szCs w:val="22"/>
        </w:rPr>
        <w:t>se par les questions constitutionnelles. Le BRFP permettait au premier mini</w:t>
      </w:r>
      <w:r w:rsidRPr="0077615B">
        <w:rPr>
          <w:szCs w:val="22"/>
        </w:rPr>
        <w:t>s</w:t>
      </w:r>
      <w:r w:rsidRPr="0077615B">
        <w:rPr>
          <w:szCs w:val="22"/>
        </w:rPr>
        <w:t>tre d'être conseillé directement sur toutes les questions touchant les relations intergouvernementales et d'avoir à son service un personnel compétent pour analyser les impl</w:t>
      </w:r>
      <w:r w:rsidRPr="0077615B">
        <w:rPr>
          <w:szCs w:val="22"/>
        </w:rPr>
        <w:t>i</w:t>
      </w:r>
      <w:r w:rsidRPr="0077615B">
        <w:rPr>
          <w:szCs w:val="22"/>
        </w:rPr>
        <w:t xml:space="preserve">cations sur les gouvernements provinciaux des politiques fédérales. </w:t>
      </w:r>
      <w:r w:rsidRPr="00BF431B">
        <w:rPr>
          <w:i/>
          <w:szCs w:val="22"/>
        </w:rPr>
        <w:t>« With continuing direct bri</w:t>
      </w:r>
      <w:r w:rsidRPr="00BF431B">
        <w:rPr>
          <w:i/>
          <w:szCs w:val="22"/>
        </w:rPr>
        <w:t>e</w:t>
      </w:r>
      <w:r w:rsidRPr="00BF431B">
        <w:rPr>
          <w:i/>
          <w:szCs w:val="22"/>
        </w:rPr>
        <w:t>fing access to the Prime Minister on all ma</w:t>
      </w:r>
      <w:r w:rsidRPr="00BF431B">
        <w:rPr>
          <w:i/>
          <w:szCs w:val="22"/>
        </w:rPr>
        <w:t>t</w:t>
      </w:r>
      <w:r w:rsidRPr="00BF431B">
        <w:rPr>
          <w:i/>
          <w:szCs w:val="22"/>
        </w:rPr>
        <w:t>ters with federal-provincial</w:t>
      </w:r>
      <w:r>
        <w:rPr>
          <w:szCs w:val="22"/>
        </w:rPr>
        <w:t xml:space="preserve"> [</w:t>
      </w:r>
      <w:r w:rsidRPr="0077615B">
        <w:t>144]</w:t>
      </w:r>
      <w:r>
        <w:t xml:space="preserve"> </w:t>
      </w:r>
      <w:r w:rsidRPr="0077615B">
        <w:t>implications and with new staff, FPRO has become an increasingly significant influence on policy d</w:t>
      </w:r>
      <w:r>
        <w:t>e</w:t>
      </w:r>
      <w:r w:rsidRPr="0077615B">
        <w:t>cisions in Ottawa »</w:t>
      </w:r>
      <w:r>
        <w:t> </w:t>
      </w:r>
      <w:r w:rsidRPr="00427269">
        <w:rPr>
          <w:rStyle w:val="Appelnotedebasdep"/>
        </w:rPr>
        <w:footnoteReference w:id="248"/>
      </w:r>
      <w:r w:rsidRPr="0077615B">
        <w:t>.</w:t>
      </w:r>
    </w:p>
    <w:p w:rsidR="00AD690E" w:rsidRPr="0077615B" w:rsidRDefault="00AD690E" w:rsidP="00AD690E">
      <w:pPr>
        <w:spacing w:before="120" w:after="120"/>
        <w:jc w:val="both"/>
      </w:pPr>
      <w:r w:rsidRPr="0077615B">
        <w:t>Le Bureau du Conseil privé définit son rôle comme étant essentie</w:t>
      </w:r>
      <w:r w:rsidRPr="0077615B">
        <w:t>l</w:t>
      </w:r>
      <w:r w:rsidRPr="0077615B">
        <w:t>lement d'activer le processus décisionnel ; en fait il est en mesure de suivre les différentes étapes d'une proposition de pol</w:t>
      </w:r>
      <w:r w:rsidRPr="0077615B">
        <w:t>i</w:t>
      </w:r>
      <w:r w:rsidRPr="0077615B">
        <w:t>tique et même de bloquer des propositions venant d'un ministre</w:t>
      </w:r>
      <w:r>
        <w:t> </w:t>
      </w:r>
      <w:r w:rsidRPr="00427269">
        <w:rPr>
          <w:rStyle w:val="Appelnotedebasdep"/>
        </w:rPr>
        <w:footnoteReference w:id="249"/>
      </w:r>
      <w:r w:rsidRPr="0077615B">
        <w:t>. De plus, certaines initiatives gouvernementales majeures ont origine du BCP et du B</w:t>
      </w:r>
      <w:r w:rsidRPr="0077615B">
        <w:t>u</w:t>
      </w:r>
      <w:r w:rsidRPr="0077615B">
        <w:t>reau du premier ministre et ont été annoncées sans qu'il y ait eu de discussion au Cabinet alors qu'au plus quelques ministres étaient i</w:t>
      </w:r>
      <w:r w:rsidRPr="0077615B">
        <w:t>n</w:t>
      </w:r>
      <w:r w:rsidRPr="0077615B">
        <w:t>formés. Ainsi le premier ministre Trudeau, à son retour du Sommet économ</w:t>
      </w:r>
      <w:r w:rsidRPr="0077615B">
        <w:t>i</w:t>
      </w:r>
      <w:r w:rsidRPr="0077615B">
        <w:t>que de Bonn en 1978, annonça une réduction des dépenses fédérales de deux milliards de dollars sans consulter le ministre des Finances d'alors, Jean Chrétien. La déc</w:t>
      </w:r>
      <w:r w:rsidRPr="0077615B">
        <w:t>i</w:t>
      </w:r>
      <w:r w:rsidRPr="0077615B">
        <w:t>sion d'acheter Pétrofina fut entérinée lors d'une réunion spéciale du Comité des priorités et de la planification sans que l'immense majorité des m</w:t>
      </w:r>
      <w:r w:rsidRPr="0077615B">
        <w:t>i</w:t>
      </w:r>
      <w:r w:rsidRPr="0077615B">
        <w:t>nistres soit informée même le président du Conseil du trésor, Donald Johnston, ne fut i</w:t>
      </w:r>
      <w:r w:rsidRPr="0077615B">
        <w:t>n</w:t>
      </w:r>
      <w:r w:rsidRPr="0077615B">
        <w:t>formé de la décision qu'après qu'elle fut pr</w:t>
      </w:r>
      <w:r w:rsidRPr="0077615B">
        <w:t>i</w:t>
      </w:r>
      <w:r w:rsidRPr="0077615B">
        <w:t>se. Enfin la création de la Commission Macdonald sur l'avenir économique du Canada et la d</w:t>
      </w:r>
      <w:r w:rsidRPr="0077615B">
        <w:t>é</w:t>
      </w:r>
      <w:r w:rsidRPr="0077615B">
        <w:t>finition de son mandat ne furent discutées par aucun comité du Cab</w:t>
      </w:r>
      <w:r w:rsidRPr="0077615B">
        <w:t>i</w:t>
      </w:r>
      <w:r w:rsidRPr="0077615B">
        <w:t>net ni par le Cabinet. L'importance du BCP dans le processus déc</w:t>
      </w:r>
      <w:r w:rsidRPr="0077615B">
        <w:t>i</w:t>
      </w:r>
      <w:r w:rsidRPr="0077615B">
        <w:t>sionnel découle aussi de son rôle consu</w:t>
      </w:r>
      <w:r w:rsidRPr="0077615B">
        <w:t>l</w:t>
      </w:r>
      <w:r w:rsidRPr="0077615B">
        <w:t>tatif. En effet, le BCP n'étudie pas seulement les incidences des propositions minist</w:t>
      </w:r>
      <w:r w:rsidRPr="0077615B">
        <w:t>é</w:t>
      </w:r>
      <w:r w:rsidRPr="0077615B">
        <w:t>rielles sur les autres politiques gouvernementales et leurs conséquences pour les a</w:t>
      </w:r>
      <w:r w:rsidRPr="0077615B">
        <w:t>u</w:t>
      </w:r>
      <w:r w:rsidRPr="0077615B">
        <w:t>tres ministères, mais il a aussi pour rôle d'i</w:t>
      </w:r>
      <w:r w:rsidRPr="0077615B">
        <w:t>n</w:t>
      </w:r>
      <w:r w:rsidRPr="0077615B">
        <w:t>former le premier ministre sur les débats qu'il y a eu dans les comités et la nature du consensus. Ceci permet au premier ministre d'intervenir activement dans les di</w:t>
      </w:r>
      <w:r w:rsidRPr="0077615B">
        <w:t>s</w:t>
      </w:r>
      <w:r w:rsidRPr="0077615B">
        <w:t>cussions lorsque la prop</w:t>
      </w:r>
      <w:r w:rsidRPr="0077615B">
        <w:t>o</w:t>
      </w:r>
      <w:r w:rsidRPr="0077615B">
        <w:t>sition arrive au Comité des priorités et de la planification. En fait, les fonctionnaires du BCP fournissent au pr</w:t>
      </w:r>
      <w:r w:rsidRPr="0077615B">
        <w:t>e</w:t>
      </w:r>
      <w:r w:rsidRPr="0077615B">
        <w:t>mier ministre une analyse des avantages et des inconvénients des d</w:t>
      </w:r>
      <w:r w:rsidRPr="0077615B">
        <w:t>i</w:t>
      </w:r>
      <w:r w:rsidRPr="0077615B">
        <w:t>verses positions, ce qui permet à ce dernier de faire prévaloir son point de vue lorsqu'il le désire</w:t>
      </w:r>
      <w:r>
        <w:t> </w:t>
      </w:r>
      <w:r w:rsidRPr="00427269">
        <w:rPr>
          <w:rStyle w:val="Appelnotedebasdep"/>
        </w:rPr>
        <w:footnoteReference w:id="250"/>
      </w:r>
      <w:r w:rsidRPr="0077615B">
        <w:t>. De plus, il relève président du C</w:t>
      </w:r>
      <w:r w:rsidRPr="0077615B">
        <w:t>o</w:t>
      </w:r>
      <w:r w:rsidRPr="0077615B">
        <w:t>mité) et les rapports de d</w:t>
      </w:r>
      <w:r w:rsidRPr="0077615B">
        <w:t>é</w:t>
      </w:r>
      <w:r w:rsidRPr="0077615B">
        <w:t>cision (sous la supervision du secrétaire du Cab</w:t>
      </w:r>
      <w:r w:rsidRPr="0077615B">
        <w:t>i</w:t>
      </w:r>
      <w:r w:rsidRPr="0077615B">
        <w:t xml:space="preserve">net). Ce rôle est très important car, comme l'affirme Richard D. French, </w:t>
      </w:r>
      <w:r w:rsidRPr="00395119">
        <w:rPr>
          <w:i/>
        </w:rPr>
        <w:t>« Ministerial discussions will often meander from issue to i</w:t>
      </w:r>
      <w:r w:rsidRPr="00395119">
        <w:rPr>
          <w:i/>
        </w:rPr>
        <w:t>s</w:t>
      </w:r>
      <w:r w:rsidRPr="00395119">
        <w:rPr>
          <w:i/>
        </w:rPr>
        <w:t>sue, abandonning discussion of policy while a consensus r</w:t>
      </w:r>
      <w:r w:rsidRPr="00395119">
        <w:rPr>
          <w:i/>
        </w:rPr>
        <w:t>e</w:t>
      </w:r>
      <w:r w:rsidRPr="00395119">
        <w:rPr>
          <w:i/>
        </w:rPr>
        <w:t>mains</w:t>
      </w:r>
      <w:r>
        <w:t xml:space="preserve"> </w:t>
      </w:r>
      <w:r w:rsidRPr="0077615B">
        <w:t>[145]</w:t>
      </w:r>
      <w:r>
        <w:t xml:space="preserve"> </w:t>
      </w:r>
      <w:r w:rsidRPr="00395119">
        <w:rPr>
          <w:i/>
        </w:rPr>
        <w:t>largely implicit, without any formal specification of the resol</w:t>
      </w:r>
      <w:r w:rsidRPr="00395119">
        <w:rPr>
          <w:i/>
        </w:rPr>
        <w:t>u</w:t>
      </w:r>
      <w:r w:rsidRPr="00395119">
        <w:rPr>
          <w:i/>
        </w:rPr>
        <w:t>tion of the issues »</w:t>
      </w:r>
      <w:r>
        <w:t> </w:t>
      </w:r>
      <w:r w:rsidRPr="00427269">
        <w:rPr>
          <w:rStyle w:val="Appelnotedebasdep"/>
        </w:rPr>
        <w:footnoteReference w:id="251"/>
      </w:r>
      <w:r w:rsidRPr="0077615B">
        <w:t>.</w:t>
      </w:r>
    </w:p>
    <w:p w:rsidR="00AD690E" w:rsidRPr="0077615B" w:rsidRDefault="00AD690E" w:rsidP="00AD690E">
      <w:pPr>
        <w:spacing w:before="120" w:after="120"/>
        <w:jc w:val="both"/>
      </w:pPr>
      <w:r w:rsidRPr="0077615B">
        <w:t>Le rôle du BCP dans le processus décisionnel n'est donc pas si</w:t>
      </w:r>
      <w:r w:rsidRPr="0077615B">
        <w:t>m</w:t>
      </w:r>
      <w:r w:rsidRPr="0077615B">
        <w:t>plement procédural, mais il a aussi un aspect politique très i</w:t>
      </w:r>
      <w:r w:rsidRPr="0077615B">
        <w:t>m</w:t>
      </w:r>
      <w:r w:rsidRPr="0077615B">
        <w:t>portant. Bien entendu, l'aspect politique du rôle du BCP dépend la</w:t>
      </w:r>
      <w:r w:rsidRPr="0077615B">
        <w:t>r</w:t>
      </w:r>
      <w:r w:rsidRPr="0077615B">
        <w:t>gement du degré de confiance dont jouissent les hauts fonctionnaires de ce b</w:t>
      </w:r>
      <w:r w:rsidRPr="0077615B">
        <w:t>u</w:t>
      </w:r>
      <w:r w:rsidRPr="0077615B">
        <w:t>reau de la part du premier ministre. Ceci était le cas lorsque Pierre Trudeau était à la tête du gouvernement. Avec l'arr</w:t>
      </w:r>
      <w:r w:rsidRPr="0077615B">
        <w:t>i</w:t>
      </w:r>
      <w:r w:rsidRPr="0077615B">
        <w:t>vée au pouvoir des conservateurs, le rôle polit</w:t>
      </w:r>
      <w:r w:rsidRPr="0077615B">
        <w:t>i</w:t>
      </w:r>
      <w:r w:rsidRPr="0077615B">
        <w:t>que du BCP a été considérablement réduit. Toutefois, ceci n'a aucunement été à l'avantage du Cabinet ou de ses comités mais plutôt à celui du B</w:t>
      </w:r>
      <w:r w:rsidRPr="0077615B">
        <w:t>u</w:t>
      </w:r>
      <w:r w:rsidRPr="0077615B">
        <w:t>reau du premier ministre ; ce dernier avait aussi joué un rôle déte</w:t>
      </w:r>
      <w:r w:rsidRPr="0077615B">
        <w:t>r</w:t>
      </w:r>
      <w:r w:rsidRPr="0077615B">
        <w:t>minant dans l'élaboration des politiques durant les premières années du gouvernement Trudeau</w:t>
      </w:r>
      <w:r>
        <w:t> </w:t>
      </w:r>
      <w:r w:rsidRPr="00427269">
        <w:rPr>
          <w:rStyle w:val="Appelnotedebasdep"/>
        </w:rPr>
        <w:footnoteReference w:id="252"/>
      </w:r>
      <w:r w:rsidRPr="0077615B">
        <w:t>. Le BCP reprendra fort prob</w:t>
      </w:r>
      <w:r w:rsidRPr="0077615B">
        <w:t>a</w:t>
      </w:r>
      <w:r w:rsidRPr="0077615B">
        <w:t>blement son leadership lorsque la confiance et des rapports étroits auront été établis entre le premier ministre Mulroney et les hauts fonctionnaires, car il y a un avantage indéniable à regro</w:t>
      </w:r>
      <w:r w:rsidRPr="0077615B">
        <w:t>u</w:t>
      </w:r>
      <w:r w:rsidRPr="0077615B">
        <w:t>per dans un même o</w:t>
      </w:r>
      <w:r w:rsidRPr="0077615B">
        <w:t>r</w:t>
      </w:r>
      <w:r w:rsidRPr="0077615B">
        <w:t>ganisme la supervision et le leadership de la fonction publique et l'analyse systématique des propositions de polit</w:t>
      </w:r>
      <w:r w:rsidRPr="0077615B">
        <w:t>i</w:t>
      </w:r>
      <w:r w:rsidRPr="0077615B">
        <w:t>que. Les nomin</w:t>
      </w:r>
      <w:r w:rsidRPr="0077615B">
        <w:t>a</w:t>
      </w:r>
      <w:r w:rsidRPr="0077615B">
        <w:t>tions de Dalton Camp au BCP et de Norman Spector comme secrétaire du Cabinet aux r</w:t>
      </w:r>
      <w:r w:rsidRPr="0077615B">
        <w:t>e</w:t>
      </w:r>
      <w:r w:rsidRPr="0077615B">
        <w:t>lations fédérales-provinciales ont indéniablement contribué à re</w:t>
      </w:r>
      <w:r w:rsidRPr="0077615B">
        <w:t>n</w:t>
      </w:r>
      <w:r w:rsidRPr="0077615B">
        <w:t>forcer l'influence de la haute fonction publique par rapport à celle du Bureau du premier ministre. Ce ph</w:t>
      </w:r>
      <w:r w:rsidRPr="0077615B">
        <w:t>é</w:t>
      </w:r>
      <w:r w:rsidRPr="0077615B">
        <w:t>nomène est aussi visible par la participation d'au moins trois hauts fonctionnaires du BCP, dont Paul Tellier, aux réunions du sous-comité « informel » de coordination du CPP.</w:t>
      </w:r>
    </w:p>
    <w:p w:rsidR="00AD690E" w:rsidRPr="0077615B" w:rsidRDefault="00AD690E" w:rsidP="00AD690E">
      <w:pPr>
        <w:spacing w:before="120" w:after="120"/>
        <w:jc w:val="both"/>
      </w:pPr>
      <w:r w:rsidRPr="0077615B">
        <w:t>L'étendue et l'autonomie du pouvoir de décision des comités du Cabinet dépend donc pour l'essentiel de la volonté du premier m</w:t>
      </w:r>
      <w:r w:rsidRPr="0077615B">
        <w:t>i</w:t>
      </w:r>
      <w:r w:rsidRPr="0077615B">
        <w:t>nistre qui, grâce à ses liens directs avec le BCP et avec l'aide des présidents des comités (qui sont membres du Comité des priorités et de la plan</w:t>
      </w:r>
      <w:r w:rsidRPr="0077615B">
        <w:t>i</w:t>
      </w:r>
      <w:r w:rsidRPr="0077615B">
        <w:t>fication), est en mesure de contrôler les in</w:t>
      </w:r>
      <w:r w:rsidRPr="0077615B">
        <w:t>i</w:t>
      </w:r>
      <w:r w:rsidRPr="0077615B">
        <w:t>tiatives des ministres et des ministères sectoriels, et de superviser la nature des décisions qui s</w:t>
      </w:r>
      <w:r w:rsidRPr="0077615B">
        <w:t>e</w:t>
      </w:r>
      <w:r w:rsidRPr="0077615B">
        <w:t>ront prises par le gouvernement.</w:t>
      </w:r>
    </w:p>
    <w:p w:rsidR="00AD690E" w:rsidRPr="0077615B" w:rsidRDefault="00AD690E" w:rsidP="00AD690E">
      <w:pPr>
        <w:spacing w:before="120" w:after="120"/>
        <w:jc w:val="both"/>
        <w:rPr>
          <w:szCs w:val="18"/>
        </w:rPr>
      </w:pPr>
    </w:p>
    <w:p w:rsidR="00AD690E" w:rsidRPr="0077615B" w:rsidRDefault="00AD690E" w:rsidP="00AD690E">
      <w:pPr>
        <w:spacing w:before="120" w:after="120"/>
        <w:ind w:hanging="142"/>
        <w:jc w:val="both"/>
        <w:rPr>
          <w:szCs w:val="18"/>
        </w:rPr>
      </w:pPr>
      <w:r w:rsidRPr="0077615B">
        <w:rPr>
          <w:szCs w:val="18"/>
        </w:rPr>
        <w:br w:type="page"/>
        <w:t>[146]</w:t>
      </w:r>
    </w:p>
    <w:p w:rsidR="00AD690E" w:rsidRPr="0077615B" w:rsidRDefault="00AD690E" w:rsidP="00AD690E">
      <w:pPr>
        <w:spacing w:before="120" w:after="120"/>
        <w:jc w:val="both"/>
        <w:rPr>
          <w:szCs w:val="2"/>
        </w:rPr>
      </w:pPr>
    </w:p>
    <w:p w:rsidR="00AD690E" w:rsidRDefault="00AD690E" w:rsidP="00AD690E">
      <w:pPr>
        <w:pStyle w:val="FIGSTc"/>
      </w:pPr>
      <w:r>
        <w:t>Graphique 6.</w:t>
      </w:r>
      <w:r>
        <w:br/>
        <w:t>Organigramme du BCP et du BRFP, 1985-1986.</w:t>
      </w:r>
    </w:p>
    <w:p w:rsidR="00AD690E" w:rsidRDefault="005E1315" w:rsidP="00AD690E">
      <w:pPr>
        <w:pStyle w:val="fig2"/>
      </w:pPr>
      <w:r>
        <w:rPr>
          <w:noProof/>
        </w:rPr>
        <w:drawing>
          <wp:inline distT="0" distB="0" distL="0" distR="0">
            <wp:extent cx="6223000" cy="3035300"/>
            <wp:effectExtent l="25400" t="25400" r="12700" b="12700"/>
            <wp:docPr id="12" name="Image 12" descr="fig_p_146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46_st"/>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00" cy="3035300"/>
                    </a:xfrm>
                    <a:prstGeom prst="rect">
                      <a:avLst/>
                    </a:prstGeom>
                    <a:noFill/>
                    <a:ln w="19050" cmpd="sng">
                      <a:solidFill>
                        <a:srgbClr val="000000"/>
                      </a:solidFill>
                      <a:miter lim="800000"/>
                      <a:headEnd/>
                      <a:tailEnd/>
                    </a:ln>
                    <a:effectLst/>
                  </pic:spPr>
                </pic:pic>
              </a:graphicData>
            </a:graphic>
          </wp:inline>
        </w:drawing>
      </w:r>
    </w:p>
    <w:p w:rsidR="00AD690E" w:rsidRDefault="00AD690E" w:rsidP="00AD690E">
      <w:pPr>
        <w:spacing w:before="120" w:after="120"/>
        <w:ind w:firstLine="0"/>
        <w:jc w:val="both"/>
        <w:rPr>
          <w:szCs w:val="18"/>
        </w:rPr>
      </w:pPr>
    </w:p>
    <w:p w:rsidR="00AD690E" w:rsidRPr="000F7900" w:rsidRDefault="00AD690E" w:rsidP="00AD690E">
      <w:pPr>
        <w:spacing w:before="120" w:after="120"/>
        <w:jc w:val="both"/>
        <w:rPr>
          <w:szCs w:val="22"/>
        </w:rPr>
      </w:pPr>
      <w:r w:rsidRPr="000F7900">
        <w:rPr>
          <w:szCs w:val="22"/>
        </w:rPr>
        <w:t>[147]</w:t>
      </w:r>
    </w:p>
    <w:p w:rsidR="00AD690E" w:rsidRPr="0077615B" w:rsidRDefault="00AD690E" w:rsidP="00AD690E">
      <w:pPr>
        <w:spacing w:before="120" w:after="120"/>
        <w:jc w:val="both"/>
      </w:pPr>
      <w:r w:rsidRPr="0077615B">
        <w:rPr>
          <w:szCs w:val="22"/>
        </w:rPr>
        <w:t>Le rôle politique important joué par le BCP l'amena à entrer en conflit avec le Conseil du trésor</w:t>
      </w:r>
      <w:r>
        <w:rPr>
          <w:szCs w:val="22"/>
        </w:rPr>
        <w:t> </w:t>
      </w:r>
      <w:r w:rsidRPr="00427269">
        <w:rPr>
          <w:rStyle w:val="Appelnotedebasdep"/>
        </w:rPr>
        <w:footnoteReference w:id="253"/>
      </w:r>
      <w:r w:rsidRPr="0077615B">
        <w:rPr>
          <w:szCs w:val="22"/>
        </w:rPr>
        <w:t>. Ce dernier compte parmi ses re</w:t>
      </w:r>
      <w:r w:rsidRPr="0077615B">
        <w:rPr>
          <w:szCs w:val="22"/>
        </w:rPr>
        <w:t>s</w:t>
      </w:r>
      <w:r w:rsidRPr="0077615B">
        <w:rPr>
          <w:szCs w:val="22"/>
        </w:rPr>
        <w:t>ponsabilités principales d'assurer le contrôle des dépenses gouvern</w:t>
      </w:r>
      <w:r w:rsidRPr="0077615B">
        <w:rPr>
          <w:szCs w:val="22"/>
        </w:rPr>
        <w:t>e</w:t>
      </w:r>
      <w:r w:rsidRPr="0077615B">
        <w:rPr>
          <w:szCs w:val="22"/>
        </w:rPr>
        <w:t>mentales et conséquemment d'examiner toute proposition impl</w:t>
      </w:r>
      <w:r w:rsidRPr="0077615B">
        <w:rPr>
          <w:szCs w:val="22"/>
        </w:rPr>
        <w:t>i</w:t>
      </w:r>
      <w:r w:rsidRPr="0077615B">
        <w:rPr>
          <w:szCs w:val="22"/>
        </w:rPr>
        <w:t>quant des dépenses. Cette dissociation des aspects politique et f</w:t>
      </w:r>
      <w:r w:rsidRPr="0077615B">
        <w:rPr>
          <w:szCs w:val="22"/>
        </w:rPr>
        <w:t>i</w:t>
      </w:r>
      <w:r w:rsidRPr="0077615B">
        <w:rPr>
          <w:szCs w:val="22"/>
        </w:rPr>
        <w:t>nancier d'une décision ne pouvait que susciter du ressentiment. Dans la péri</w:t>
      </w:r>
      <w:r w:rsidRPr="0077615B">
        <w:rPr>
          <w:szCs w:val="22"/>
        </w:rPr>
        <w:t>o</w:t>
      </w:r>
      <w:r w:rsidRPr="0077615B">
        <w:rPr>
          <w:szCs w:val="22"/>
        </w:rPr>
        <w:t>de a</w:t>
      </w:r>
      <w:r w:rsidRPr="0077615B">
        <w:rPr>
          <w:szCs w:val="22"/>
        </w:rPr>
        <w:t>n</w:t>
      </w:r>
      <w:r w:rsidRPr="0077615B">
        <w:rPr>
          <w:szCs w:val="22"/>
        </w:rPr>
        <w:t>térieure à 1976, le Conseil du trésor était saisi d'une proposition, au mieux avant que le Cabinet ait à décider, et dans beaucoup de cas, après que le Cabinet eut approuvé le no</w:t>
      </w:r>
      <w:r w:rsidRPr="0077615B">
        <w:rPr>
          <w:szCs w:val="22"/>
        </w:rPr>
        <w:t>u</w:t>
      </w:r>
      <w:r w:rsidRPr="0077615B">
        <w:rPr>
          <w:szCs w:val="22"/>
        </w:rPr>
        <w:t>veau programme. Dans le premier cas, le Conseil du trésor était informé de la proposition au moment où celle-ci était mise à l'ordre du jour du Cabinet, c'est-à-dire après que la proposition ait été approuvée par un comité du Cabinet et ce, généralement, avec l'a</w:t>
      </w:r>
      <w:r w:rsidRPr="0077615B">
        <w:rPr>
          <w:szCs w:val="22"/>
        </w:rPr>
        <w:t>c</w:t>
      </w:r>
      <w:r w:rsidRPr="0077615B">
        <w:rPr>
          <w:szCs w:val="22"/>
        </w:rPr>
        <w:t>cord du BCP. Ce mode de fonctionnement laissait très peu de temps au Conseil du trésor pour faire une an</w:t>
      </w:r>
      <w:r w:rsidRPr="0077615B">
        <w:rPr>
          <w:szCs w:val="22"/>
        </w:rPr>
        <w:t>a</w:t>
      </w:r>
      <w:r w:rsidRPr="0077615B">
        <w:rPr>
          <w:szCs w:val="22"/>
        </w:rPr>
        <w:t>lyse en profondeur des implic</w:t>
      </w:r>
      <w:r w:rsidRPr="0077615B">
        <w:rPr>
          <w:szCs w:val="22"/>
        </w:rPr>
        <w:t>a</w:t>
      </w:r>
      <w:r w:rsidRPr="0077615B">
        <w:rPr>
          <w:szCs w:val="22"/>
        </w:rPr>
        <w:t>tions financières de la proposition et ainsi s'opposer efficacement à des propositions qu'il jugeait en contradi</w:t>
      </w:r>
      <w:r w:rsidRPr="0077615B">
        <w:rPr>
          <w:szCs w:val="22"/>
        </w:rPr>
        <w:t>c</w:t>
      </w:r>
      <w:r w:rsidRPr="0077615B">
        <w:rPr>
          <w:szCs w:val="22"/>
        </w:rPr>
        <w:t>tion avec le cadre budg</w:t>
      </w:r>
      <w:r w:rsidRPr="0077615B">
        <w:rPr>
          <w:szCs w:val="22"/>
        </w:rPr>
        <w:t>é</w:t>
      </w:r>
      <w:r w:rsidRPr="0077615B">
        <w:rPr>
          <w:szCs w:val="22"/>
        </w:rPr>
        <w:t>taire fixé. Dans le second cas, la décision était d'abord prise par le Cabinet sur la base des inform</w:t>
      </w:r>
      <w:r w:rsidRPr="0077615B">
        <w:rPr>
          <w:szCs w:val="22"/>
        </w:rPr>
        <w:t>a</w:t>
      </w:r>
      <w:r w:rsidRPr="0077615B">
        <w:rPr>
          <w:szCs w:val="22"/>
        </w:rPr>
        <w:t>tions fournies par le ministère concerné et par le BCP. Toutefois, toute décision du C</w:t>
      </w:r>
      <w:r w:rsidRPr="0077615B">
        <w:rPr>
          <w:szCs w:val="22"/>
        </w:rPr>
        <w:t>a</w:t>
      </w:r>
      <w:r w:rsidRPr="0077615B">
        <w:rPr>
          <w:szCs w:val="22"/>
        </w:rPr>
        <w:t>binet impliquant des dépenses était dans ce cas une accept</w:t>
      </w:r>
      <w:r w:rsidRPr="0077615B">
        <w:rPr>
          <w:szCs w:val="22"/>
        </w:rPr>
        <w:t>a</w:t>
      </w:r>
      <w:r w:rsidRPr="0077615B">
        <w:rPr>
          <w:szCs w:val="22"/>
        </w:rPr>
        <w:t>tion de principe sujette à l'approbation du Conseil du trésor. Ce mode d'int</w:t>
      </w:r>
      <w:r w:rsidRPr="0077615B">
        <w:rPr>
          <w:szCs w:val="22"/>
        </w:rPr>
        <w:t>é</w:t>
      </w:r>
      <w:r w:rsidRPr="0077615B">
        <w:rPr>
          <w:szCs w:val="22"/>
        </w:rPr>
        <w:t>gration des approbations politique et financière d'une même propos</w:t>
      </w:r>
      <w:r w:rsidRPr="0077615B">
        <w:rPr>
          <w:szCs w:val="22"/>
        </w:rPr>
        <w:t>i</w:t>
      </w:r>
      <w:r w:rsidRPr="0077615B">
        <w:rPr>
          <w:szCs w:val="22"/>
        </w:rPr>
        <w:t>tion était nettement au désavantage du Conseil du trésor, tant et si bien que ce dernier avait très peu de chance de bloquer des propositions qui étaient jugées politiquement impo</w:t>
      </w:r>
      <w:r w:rsidRPr="0077615B">
        <w:rPr>
          <w:szCs w:val="22"/>
        </w:rPr>
        <w:t>r</w:t>
      </w:r>
      <w:r w:rsidRPr="0077615B">
        <w:rPr>
          <w:szCs w:val="22"/>
        </w:rPr>
        <w:t>tantes puisque, en dernier ressort, c'est le Cabinet qui devait tra</w:t>
      </w:r>
      <w:r w:rsidRPr="0077615B">
        <w:rPr>
          <w:szCs w:val="22"/>
        </w:rPr>
        <w:t>n</w:t>
      </w:r>
      <w:r w:rsidRPr="0077615B">
        <w:rPr>
          <w:szCs w:val="22"/>
        </w:rPr>
        <w:t>cher.</w:t>
      </w:r>
    </w:p>
    <w:p w:rsidR="00AD690E" w:rsidRPr="0077615B" w:rsidRDefault="00AD690E" w:rsidP="00AD690E">
      <w:pPr>
        <w:spacing w:before="120" w:after="120"/>
        <w:jc w:val="both"/>
      </w:pPr>
      <w:r w:rsidRPr="0077615B">
        <w:rPr>
          <w:szCs w:val="22"/>
        </w:rPr>
        <w:t>Toutefois, l'importance des contraintes financières devenait te</w:t>
      </w:r>
      <w:r w:rsidRPr="0077615B">
        <w:rPr>
          <w:szCs w:val="22"/>
        </w:rPr>
        <w:t>l</w:t>
      </w:r>
      <w:r w:rsidRPr="0077615B">
        <w:rPr>
          <w:szCs w:val="22"/>
        </w:rPr>
        <w:t>le que le gouvernement décida, en 1976, que dorénavant toute nouve</w:t>
      </w:r>
      <w:r w:rsidRPr="0077615B">
        <w:rPr>
          <w:szCs w:val="22"/>
        </w:rPr>
        <w:t>l</w:t>
      </w:r>
      <w:r w:rsidRPr="0077615B">
        <w:rPr>
          <w:szCs w:val="22"/>
        </w:rPr>
        <w:t>le initiative nécessitant une augmentation des dépenses devait être so</w:t>
      </w:r>
      <w:r w:rsidRPr="0077615B">
        <w:rPr>
          <w:szCs w:val="22"/>
        </w:rPr>
        <w:t>u</w:t>
      </w:r>
      <w:r w:rsidRPr="0077615B">
        <w:rPr>
          <w:szCs w:val="22"/>
        </w:rPr>
        <w:t>mise au Conseil du trésor au moment où celle-ci entrait dans le pr</w:t>
      </w:r>
      <w:r w:rsidRPr="0077615B">
        <w:rPr>
          <w:szCs w:val="22"/>
        </w:rPr>
        <w:t>o</w:t>
      </w:r>
      <w:r w:rsidRPr="0077615B">
        <w:rPr>
          <w:szCs w:val="22"/>
        </w:rPr>
        <w:t>cessus de prise de décision. Le BCP était donc obligé de tran</w:t>
      </w:r>
      <w:r w:rsidRPr="0077615B">
        <w:rPr>
          <w:szCs w:val="22"/>
        </w:rPr>
        <w:t>s</w:t>
      </w:r>
      <w:r w:rsidRPr="0077615B">
        <w:rPr>
          <w:szCs w:val="22"/>
        </w:rPr>
        <w:t>mettre rapidement au Conseil du trésor tous les documents pert</w:t>
      </w:r>
      <w:r w:rsidRPr="0077615B">
        <w:rPr>
          <w:szCs w:val="22"/>
        </w:rPr>
        <w:t>i</w:t>
      </w:r>
      <w:r w:rsidRPr="0077615B">
        <w:rPr>
          <w:szCs w:val="22"/>
        </w:rPr>
        <w:t>nents. Cette réforme devait permettre au Cabinet de prendre des d</w:t>
      </w:r>
      <w:r w:rsidRPr="0077615B">
        <w:rPr>
          <w:szCs w:val="22"/>
        </w:rPr>
        <w:t>é</w:t>
      </w:r>
      <w:r w:rsidRPr="0077615B">
        <w:rPr>
          <w:szCs w:val="22"/>
        </w:rPr>
        <w:t>cisions sur la base de deux évaluations, l'une par rapport aux coûts et l'autre par rapport aux priorités politiques. Ceci allait renforcer considérablement l'influence du Conseil du tr</w:t>
      </w:r>
      <w:r w:rsidRPr="0077615B">
        <w:rPr>
          <w:szCs w:val="22"/>
        </w:rPr>
        <w:t>é</w:t>
      </w:r>
      <w:r w:rsidRPr="0077615B">
        <w:rPr>
          <w:szCs w:val="22"/>
        </w:rPr>
        <w:t xml:space="preserve">sor sur les décisions gouvernementales. </w:t>
      </w:r>
      <w:r w:rsidRPr="006D6B60">
        <w:rPr>
          <w:i/>
          <w:szCs w:val="22"/>
        </w:rPr>
        <w:t>« The Treasury Board is thus in a position to make ministers aware ofthefull impact of proposais on the expend</w:t>
      </w:r>
      <w:r w:rsidRPr="006D6B60">
        <w:rPr>
          <w:i/>
          <w:szCs w:val="22"/>
        </w:rPr>
        <w:t>i</w:t>
      </w:r>
      <w:r w:rsidRPr="006D6B60">
        <w:rPr>
          <w:i/>
          <w:szCs w:val="22"/>
        </w:rPr>
        <w:t>ture framework and on the réservoir of u</w:t>
      </w:r>
      <w:r w:rsidRPr="006D6B60">
        <w:rPr>
          <w:i/>
          <w:szCs w:val="22"/>
        </w:rPr>
        <w:t>n</w:t>
      </w:r>
      <w:r w:rsidRPr="006D6B60">
        <w:rPr>
          <w:i/>
          <w:szCs w:val="22"/>
        </w:rPr>
        <w:t>committed</w:t>
      </w:r>
      <w:r>
        <w:rPr>
          <w:szCs w:val="22"/>
        </w:rPr>
        <w:t xml:space="preserve"> </w:t>
      </w:r>
      <w:r w:rsidRPr="0077615B">
        <w:t>[</w:t>
      </w:r>
      <w:r w:rsidRPr="0077615B">
        <w:rPr>
          <w:szCs w:val="18"/>
        </w:rPr>
        <w:t>148]</w:t>
      </w:r>
      <w:r>
        <w:rPr>
          <w:szCs w:val="18"/>
        </w:rPr>
        <w:t xml:space="preserve"> </w:t>
      </w:r>
      <w:r w:rsidRPr="006D6B60">
        <w:rPr>
          <w:i/>
          <w:szCs w:val="22"/>
        </w:rPr>
        <w:t>money from which funding ofany new initiatives must come »</w:t>
      </w:r>
      <w:r>
        <w:rPr>
          <w:szCs w:val="22"/>
        </w:rPr>
        <w:t> </w:t>
      </w:r>
      <w:r w:rsidRPr="00427269">
        <w:rPr>
          <w:rStyle w:val="Appelnotedebasdep"/>
        </w:rPr>
        <w:footnoteReference w:id="254"/>
      </w:r>
      <w:r w:rsidRPr="0077615B">
        <w:rPr>
          <w:szCs w:val="22"/>
        </w:rPr>
        <w:t>. La plus grande influence du Conseil du trésor suscita beaucoup de critiques au sein du BCP. En effet, des pr</w:t>
      </w:r>
      <w:r w:rsidRPr="0077615B">
        <w:rPr>
          <w:szCs w:val="22"/>
        </w:rPr>
        <w:t>o</w:t>
      </w:r>
      <w:r w:rsidRPr="0077615B">
        <w:rPr>
          <w:szCs w:val="22"/>
        </w:rPr>
        <w:t>positions de programme défe</w:t>
      </w:r>
      <w:r w:rsidRPr="0077615B">
        <w:rPr>
          <w:szCs w:val="22"/>
        </w:rPr>
        <w:t>n</w:t>
      </w:r>
      <w:r w:rsidRPr="0077615B">
        <w:rPr>
          <w:szCs w:val="22"/>
        </w:rPr>
        <w:t>dues par le BCP étaient de plus en plus souvent bloquées suite aux rapports négatifs du Conseil du trésor. L'ins</w:t>
      </w:r>
      <w:r w:rsidRPr="0077615B">
        <w:rPr>
          <w:szCs w:val="22"/>
        </w:rPr>
        <w:t>a</w:t>
      </w:r>
      <w:r w:rsidRPr="0077615B">
        <w:rPr>
          <w:szCs w:val="22"/>
        </w:rPr>
        <w:t>tisfaction du BCP face à ce nouveau processus d'examen des propositions fut exposée dans un rapport de celui-ci devant la Co</w:t>
      </w:r>
      <w:r w:rsidRPr="0077615B">
        <w:rPr>
          <w:szCs w:val="22"/>
        </w:rPr>
        <w:t>m</w:t>
      </w:r>
      <w:r w:rsidRPr="0077615B">
        <w:rPr>
          <w:szCs w:val="22"/>
        </w:rPr>
        <w:t>mission Lambert :</w:t>
      </w:r>
    </w:p>
    <w:p w:rsidR="00AD690E" w:rsidRDefault="00AD690E" w:rsidP="00AD690E">
      <w:pPr>
        <w:pStyle w:val="Grillecouleur-Accent1"/>
      </w:pPr>
    </w:p>
    <w:p w:rsidR="00AD690E" w:rsidRDefault="00AD690E" w:rsidP="00AD690E">
      <w:pPr>
        <w:pStyle w:val="Grillecouleur-Accent1"/>
        <w:rPr>
          <w:i/>
        </w:rPr>
      </w:pPr>
      <w:r w:rsidRPr="006D6B60">
        <w:t>[...] il y a un problème plus fondamental : les conséquences polit</w:t>
      </w:r>
      <w:r w:rsidRPr="006D6B60">
        <w:t>i</w:t>
      </w:r>
      <w:r w:rsidRPr="006D6B60">
        <w:t>ques d'un projet sont analysées dans un comité (du Cabinet) tandis que les conséquences financières et en personnel sont étudiées dans un autre c</w:t>
      </w:r>
      <w:r w:rsidRPr="006D6B60">
        <w:t>o</w:t>
      </w:r>
      <w:r w:rsidRPr="006D6B60">
        <w:t>mité (du Trésor). Le système ne semble pas intégrer adéquat</w:t>
      </w:r>
      <w:r w:rsidRPr="006D6B60">
        <w:t>e</w:t>
      </w:r>
      <w:r w:rsidRPr="006D6B60">
        <w:t>ment ces deux formes d'analyse</w:t>
      </w:r>
      <w:r>
        <w:t> </w:t>
      </w:r>
      <w:r w:rsidRPr="00427269">
        <w:rPr>
          <w:rStyle w:val="Appelnotedebasdep"/>
          <w:szCs w:val="18"/>
        </w:rPr>
        <w:footnoteReference w:id="255"/>
      </w:r>
      <w:r w:rsidRPr="006D6B60">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Cette dissociation des deux types d'évaluation avait pour effet de rendre presqu'impossible la réduction de l'incrémentalisme et n'inc</w:t>
      </w:r>
      <w:r w:rsidRPr="0077615B">
        <w:rPr>
          <w:szCs w:val="22"/>
        </w:rPr>
        <w:t>i</w:t>
      </w:r>
      <w:r w:rsidRPr="0077615B">
        <w:rPr>
          <w:szCs w:val="22"/>
        </w:rPr>
        <w:t>tait aucunement les comités du Cabinet à tenir compte des contraintes f</w:t>
      </w:r>
      <w:r w:rsidRPr="0077615B">
        <w:rPr>
          <w:szCs w:val="22"/>
        </w:rPr>
        <w:t>i</w:t>
      </w:r>
      <w:r w:rsidRPr="0077615B">
        <w:rPr>
          <w:szCs w:val="22"/>
        </w:rPr>
        <w:t>nancières. L'évaluation du Conseil du trésor portait sur le coût des nouveaux programmes sans tenir compte des programmes exi</w:t>
      </w:r>
      <w:r w:rsidRPr="0077615B">
        <w:rPr>
          <w:szCs w:val="22"/>
        </w:rPr>
        <w:t>s</w:t>
      </w:r>
      <w:r w:rsidRPr="0077615B">
        <w:rPr>
          <w:szCs w:val="22"/>
        </w:rPr>
        <w:t>tants. Ainsi, certaines initiatives jugées défavor</w:t>
      </w:r>
      <w:r w:rsidRPr="0077615B">
        <w:rPr>
          <w:szCs w:val="22"/>
        </w:rPr>
        <w:t>a</w:t>
      </w:r>
      <w:r w:rsidRPr="0077615B">
        <w:rPr>
          <w:szCs w:val="22"/>
        </w:rPr>
        <w:t>blement par le Conseil du trésor auraient pu, selon le BCP, être acce</w:t>
      </w:r>
      <w:r w:rsidRPr="0077615B">
        <w:rPr>
          <w:szCs w:val="22"/>
        </w:rPr>
        <w:t>p</w:t>
      </w:r>
      <w:r w:rsidRPr="0077615B">
        <w:rPr>
          <w:szCs w:val="22"/>
        </w:rPr>
        <w:t>tées si, lors de l'évaluation financière, on avait réévalué des programmes exi</w:t>
      </w:r>
      <w:r w:rsidRPr="0077615B">
        <w:rPr>
          <w:szCs w:val="22"/>
        </w:rPr>
        <w:t>s</w:t>
      </w:r>
      <w:r w:rsidRPr="0077615B">
        <w:rPr>
          <w:szCs w:val="22"/>
        </w:rPr>
        <w:t>tants et transféré les sommes épargnées aux nouveaux programmes. De plus, comme l'a</w:t>
      </w:r>
      <w:r w:rsidRPr="0077615B">
        <w:rPr>
          <w:szCs w:val="22"/>
        </w:rPr>
        <w:t>s</w:t>
      </w:r>
      <w:r w:rsidRPr="0077615B">
        <w:rPr>
          <w:szCs w:val="22"/>
        </w:rPr>
        <w:t>pect financier des décisions était renvoyé sy</w:t>
      </w:r>
      <w:r w:rsidRPr="0077615B">
        <w:rPr>
          <w:szCs w:val="22"/>
        </w:rPr>
        <w:t>s</w:t>
      </w:r>
      <w:r w:rsidRPr="0077615B">
        <w:rPr>
          <w:szCs w:val="22"/>
        </w:rPr>
        <w:t>tématiquement au Conseil du trésor, ceci « a renforcé la tendance qu'avaient les comités du Cabinet à ne pas tenir compte des implic</w:t>
      </w:r>
      <w:r w:rsidRPr="0077615B">
        <w:rPr>
          <w:szCs w:val="22"/>
        </w:rPr>
        <w:t>a</w:t>
      </w:r>
      <w:r w:rsidRPr="0077615B">
        <w:rPr>
          <w:szCs w:val="22"/>
        </w:rPr>
        <w:t>tions financières de leurs déc</w:t>
      </w:r>
      <w:r w:rsidRPr="0077615B">
        <w:rPr>
          <w:szCs w:val="22"/>
        </w:rPr>
        <w:t>i</w:t>
      </w:r>
      <w:r w:rsidRPr="0077615B">
        <w:rPr>
          <w:szCs w:val="22"/>
        </w:rPr>
        <w:t>sions »</w:t>
      </w:r>
      <w:r>
        <w:rPr>
          <w:szCs w:val="22"/>
        </w:rPr>
        <w:t> </w:t>
      </w:r>
      <w:r w:rsidRPr="00427269">
        <w:rPr>
          <w:rStyle w:val="Appelnotedebasdep"/>
        </w:rPr>
        <w:footnoteReference w:id="256"/>
      </w:r>
      <w:r w:rsidRPr="0077615B">
        <w:rPr>
          <w:szCs w:val="22"/>
        </w:rPr>
        <w:t>.</w:t>
      </w:r>
    </w:p>
    <w:p w:rsidR="00AD690E" w:rsidRDefault="00AD690E" w:rsidP="00AD690E">
      <w:pPr>
        <w:spacing w:before="120" w:after="120"/>
        <w:jc w:val="both"/>
        <w:rPr>
          <w:szCs w:val="22"/>
        </w:rPr>
      </w:pPr>
      <w:r w:rsidRPr="0077615B">
        <w:rPr>
          <w:szCs w:val="22"/>
        </w:rPr>
        <w:t>L'acuité de ce problème devint évidente en 1978 lorsque le pr</w:t>
      </w:r>
      <w:r w:rsidRPr="0077615B">
        <w:rPr>
          <w:szCs w:val="22"/>
        </w:rPr>
        <w:t>e</w:t>
      </w:r>
      <w:r w:rsidRPr="0077615B">
        <w:rPr>
          <w:szCs w:val="22"/>
        </w:rPr>
        <w:t>mier ministre Trudeau demanda, en plus de la réduction de deux milliards de dollars des dépenses, que les ministres ident</w:t>
      </w:r>
      <w:r w:rsidRPr="0077615B">
        <w:rPr>
          <w:szCs w:val="22"/>
        </w:rPr>
        <w:t>i</w:t>
      </w:r>
      <w:r w:rsidRPr="0077615B">
        <w:rPr>
          <w:szCs w:val="22"/>
        </w:rPr>
        <w:t>fient des moyens pour épargner 300 millions, et qu'il annonça que ces sommes seraient réi</w:t>
      </w:r>
      <w:r w:rsidRPr="0077615B">
        <w:rPr>
          <w:szCs w:val="22"/>
        </w:rPr>
        <w:t>n</w:t>
      </w:r>
      <w:r w:rsidRPr="0077615B">
        <w:rPr>
          <w:szCs w:val="22"/>
        </w:rPr>
        <w:t>vesties dans des programmes de dév</w:t>
      </w:r>
      <w:r w:rsidRPr="0077615B">
        <w:rPr>
          <w:szCs w:val="22"/>
        </w:rPr>
        <w:t>e</w:t>
      </w:r>
      <w:r w:rsidRPr="0077615B">
        <w:rPr>
          <w:szCs w:val="22"/>
        </w:rPr>
        <w:t xml:space="preserve">loppement économique. </w:t>
      </w:r>
      <w:r w:rsidRPr="00987651">
        <w:rPr>
          <w:i/>
          <w:szCs w:val="22"/>
        </w:rPr>
        <w:t>« [...] the basket of « new » money sparked stiff interdepartmental compet</w:t>
      </w:r>
      <w:r w:rsidRPr="00987651">
        <w:rPr>
          <w:i/>
          <w:szCs w:val="22"/>
        </w:rPr>
        <w:t>i</w:t>
      </w:r>
      <w:r w:rsidRPr="00987651">
        <w:rPr>
          <w:i/>
          <w:szCs w:val="22"/>
        </w:rPr>
        <w:t>tion. The Treasury Board, traditionally oper</w:t>
      </w:r>
      <w:r w:rsidRPr="00987651">
        <w:rPr>
          <w:i/>
          <w:szCs w:val="22"/>
        </w:rPr>
        <w:t>a</w:t>
      </w:r>
      <w:r w:rsidRPr="00987651">
        <w:rPr>
          <w:i/>
          <w:szCs w:val="22"/>
        </w:rPr>
        <w:t>ting within a structure of bilatéral négociations with departments on changes in expendilure, simply could not handle the immense comp</w:t>
      </w:r>
      <w:r>
        <w:rPr>
          <w:i/>
          <w:szCs w:val="22"/>
        </w:rPr>
        <w:t>e</w:t>
      </w:r>
      <w:r w:rsidRPr="00987651">
        <w:rPr>
          <w:i/>
          <w:szCs w:val="22"/>
        </w:rPr>
        <w:t>tition for the new m</w:t>
      </w:r>
      <w:r w:rsidRPr="00987651">
        <w:rPr>
          <w:i/>
          <w:szCs w:val="22"/>
        </w:rPr>
        <w:t>o</w:t>
      </w:r>
      <w:r w:rsidRPr="00987651">
        <w:rPr>
          <w:i/>
          <w:szCs w:val="22"/>
        </w:rPr>
        <w:t>ney »</w:t>
      </w:r>
      <w:r>
        <w:rPr>
          <w:szCs w:val="22"/>
        </w:rPr>
        <w:t> </w:t>
      </w:r>
      <w:r w:rsidRPr="00427269">
        <w:rPr>
          <w:rStyle w:val="Appelnotedebasdep"/>
        </w:rPr>
        <w:footnoteReference w:id="257"/>
      </w:r>
      <w:r w:rsidRPr="0077615B">
        <w:rPr>
          <w:szCs w:val="22"/>
        </w:rPr>
        <w:t>. Un premier pas vers la solution prônée par le BCP fut la cré</w:t>
      </w:r>
      <w:r w:rsidRPr="0077615B">
        <w:rPr>
          <w:szCs w:val="22"/>
        </w:rPr>
        <w:t>a</w:t>
      </w:r>
      <w:r w:rsidRPr="0077615B">
        <w:rPr>
          <w:szCs w:val="22"/>
        </w:rPr>
        <w:t>tion, en novembre 1978, du Conseil ministériel de l'expansion économ</w:t>
      </w:r>
      <w:r w:rsidRPr="0077615B">
        <w:rPr>
          <w:szCs w:val="22"/>
        </w:rPr>
        <w:t>i</w:t>
      </w:r>
      <w:r w:rsidRPr="0077615B">
        <w:rPr>
          <w:szCs w:val="22"/>
        </w:rPr>
        <w:t>que. À la différence des autres comités du Cabinet, ce Conseil ministériel devait être présidé par un ministre d'État et avoir son pr</w:t>
      </w:r>
      <w:r w:rsidRPr="0077615B">
        <w:rPr>
          <w:szCs w:val="22"/>
        </w:rPr>
        <w:t>o</w:t>
      </w:r>
      <w:r w:rsidRPr="0077615B">
        <w:rPr>
          <w:szCs w:val="22"/>
        </w:rPr>
        <w:t>pre secrét</w:t>
      </w:r>
      <w:r w:rsidRPr="0077615B">
        <w:rPr>
          <w:szCs w:val="22"/>
        </w:rPr>
        <w:t>a</w:t>
      </w:r>
      <w:r w:rsidRPr="0077615B">
        <w:rPr>
          <w:szCs w:val="22"/>
        </w:rPr>
        <w:t>riat.</w:t>
      </w:r>
    </w:p>
    <w:p w:rsidR="00AD690E" w:rsidRPr="0077615B" w:rsidRDefault="00AD690E" w:rsidP="00AD690E">
      <w:pPr>
        <w:spacing w:before="120" w:after="120"/>
        <w:jc w:val="both"/>
        <w:rPr>
          <w:szCs w:val="18"/>
        </w:rPr>
      </w:pPr>
      <w:r w:rsidRPr="0077615B">
        <w:rPr>
          <w:szCs w:val="18"/>
        </w:rPr>
        <w:t>[149]</w:t>
      </w:r>
    </w:p>
    <w:p w:rsidR="00AD690E" w:rsidRPr="0077615B" w:rsidRDefault="00AD690E" w:rsidP="00AD690E">
      <w:pPr>
        <w:spacing w:before="120" w:after="120"/>
        <w:jc w:val="both"/>
      </w:pPr>
      <w:r w:rsidRPr="0077615B">
        <w:rPr>
          <w:szCs w:val="22"/>
        </w:rPr>
        <w:t>Ce Conseil ministériel, présidé par Robert Andras, devait pe</w:t>
      </w:r>
      <w:r w:rsidRPr="0077615B">
        <w:rPr>
          <w:szCs w:val="22"/>
        </w:rPr>
        <w:t>r</w:t>
      </w:r>
      <w:r w:rsidRPr="0077615B">
        <w:rPr>
          <w:szCs w:val="22"/>
        </w:rPr>
        <w:t>mettre l'élaboration d'une stratégie de développement écon</w:t>
      </w:r>
      <w:r w:rsidRPr="0077615B">
        <w:rPr>
          <w:szCs w:val="22"/>
        </w:rPr>
        <w:t>o</w:t>
      </w:r>
      <w:r w:rsidRPr="0077615B">
        <w:rPr>
          <w:szCs w:val="22"/>
        </w:rPr>
        <w:t xml:space="preserve">mique sur la base de la coordination des différents ministères à vocation économique. Toutefois, comme le reconnaît R. Van Loon, </w:t>
      </w:r>
      <w:r w:rsidRPr="00C4070C">
        <w:rPr>
          <w:i/>
          <w:szCs w:val="22"/>
        </w:rPr>
        <w:t>« There was still no in</w:t>
      </w:r>
      <w:r w:rsidRPr="00C4070C">
        <w:rPr>
          <w:i/>
          <w:szCs w:val="22"/>
        </w:rPr>
        <w:t>s</w:t>
      </w:r>
      <w:r w:rsidRPr="00C4070C">
        <w:rPr>
          <w:i/>
          <w:szCs w:val="22"/>
        </w:rPr>
        <w:t>titutional mechanism to force either the intégration of policies or re</w:t>
      </w:r>
      <w:r w:rsidRPr="00C4070C">
        <w:rPr>
          <w:i/>
          <w:szCs w:val="22"/>
        </w:rPr>
        <w:t>s</w:t>
      </w:r>
      <w:r w:rsidRPr="00C4070C">
        <w:rPr>
          <w:i/>
          <w:szCs w:val="22"/>
        </w:rPr>
        <w:t>traint »</w:t>
      </w:r>
      <w:r>
        <w:rPr>
          <w:szCs w:val="22"/>
        </w:rPr>
        <w:t> </w:t>
      </w:r>
      <w:r w:rsidRPr="00427269">
        <w:rPr>
          <w:rStyle w:val="Appelnotedebasdep"/>
        </w:rPr>
        <w:footnoteReference w:id="258"/>
      </w:r>
      <w:r w:rsidRPr="0077615B">
        <w:rPr>
          <w:szCs w:val="22"/>
        </w:rPr>
        <w:t>.</w:t>
      </w:r>
    </w:p>
    <w:p w:rsidR="00AD690E" w:rsidRPr="0077615B" w:rsidRDefault="00AD690E" w:rsidP="00AD690E">
      <w:pPr>
        <w:spacing w:before="120" w:after="120"/>
        <w:jc w:val="both"/>
      </w:pPr>
      <w:r w:rsidRPr="0077615B">
        <w:rPr>
          <w:szCs w:val="22"/>
        </w:rPr>
        <w:t>Les conséquences de la non intégration des aspects financier et p</w:t>
      </w:r>
      <w:r w:rsidRPr="0077615B">
        <w:rPr>
          <w:szCs w:val="22"/>
        </w:rPr>
        <w:t>o</w:t>
      </w:r>
      <w:r w:rsidRPr="0077615B">
        <w:rPr>
          <w:szCs w:val="22"/>
        </w:rPr>
        <w:t>litique d'une décision et la faiblesse de l'évaluation des progra</w:t>
      </w:r>
      <w:r w:rsidRPr="0077615B">
        <w:rPr>
          <w:szCs w:val="22"/>
        </w:rPr>
        <w:t>m</w:t>
      </w:r>
      <w:r w:rsidRPr="0077615B">
        <w:rPr>
          <w:szCs w:val="22"/>
        </w:rPr>
        <w:t>mes en cours étaient telles que la Commission royale d'enquête sur la ge</w:t>
      </w:r>
      <w:r w:rsidRPr="0077615B">
        <w:rPr>
          <w:szCs w:val="22"/>
        </w:rPr>
        <w:t>s</w:t>
      </w:r>
      <w:r w:rsidRPr="0077615B">
        <w:rPr>
          <w:szCs w:val="22"/>
        </w:rPr>
        <w:t>tion financière et l'imputabilité (Commission Lambert) porta un jug</w:t>
      </w:r>
      <w:r w:rsidRPr="0077615B">
        <w:rPr>
          <w:szCs w:val="22"/>
        </w:rPr>
        <w:t>e</w:t>
      </w:r>
      <w:r w:rsidRPr="0077615B">
        <w:rPr>
          <w:szCs w:val="22"/>
        </w:rPr>
        <w:t>ment très négatif sur les efforts de rationalisation du gouve</w:t>
      </w:r>
      <w:r w:rsidRPr="0077615B">
        <w:rPr>
          <w:szCs w:val="22"/>
        </w:rPr>
        <w:t>r</w:t>
      </w:r>
      <w:r w:rsidRPr="0077615B">
        <w:rPr>
          <w:szCs w:val="22"/>
        </w:rPr>
        <w:t>nement Trudeau : « [...] on appelle à tort « planification », un pr</w:t>
      </w:r>
      <w:r w:rsidRPr="0077615B">
        <w:rPr>
          <w:szCs w:val="22"/>
        </w:rPr>
        <w:t>o</w:t>
      </w:r>
      <w:r w:rsidRPr="0077615B">
        <w:rPr>
          <w:szCs w:val="22"/>
        </w:rPr>
        <w:t>cessus qui se borne principalement à définir les démarches nouve</w:t>
      </w:r>
      <w:r w:rsidRPr="0077615B">
        <w:rPr>
          <w:szCs w:val="22"/>
        </w:rPr>
        <w:t>l</w:t>
      </w:r>
      <w:r w:rsidRPr="0077615B">
        <w:rPr>
          <w:szCs w:val="22"/>
        </w:rPr>
        <w:t>les et la manière de les mener à bien sans se préoccuper de choisir parmi les nouvelles initiatives ni d'encourager l'étude et l'évaluation des activités en cours et l'ide</w:t>
      </w:r>
      <w:r w:rsidRPr="0077615B">
        <w:rPr>
          <w:szCs w:val="22"/>
        </w:rPr>
        <w:t>n</w:t>
      </w:r>
      <w:r w:rsidRPr="0077615B">
        <w:rPr>
          <w:szCs w:val="22"/>
        </w:rPr>
        <w:t>tification des possibilités de réduction des coûts »</w:t>
      </w:r>
      <w:r>
        <w:rPr>
          <w:szCs w:val="22"/>
        </w:rPr>
        <w:t> </w:t>
      </w:r>
      <w:r w:rsidRPr="00427269">
        <w:rPr>
          <w:rStyle w:val="Appelnotedebasdep"/>
        </w:rPr>
        <w:footnoteReference w:id="259"/>
      </w:r>
      <w:r w:rsidRPr="0077615B">
        <w:rPr>
          <w:szCs w:val="22"/>
        </w:rPr>
        <w:t>.</w:t>
      </w:r>
    </w:p>
    <w:p w:rsidR="00AD690E" w:rsidRDefault="00AD690E" w:rsidP="00AD690E">
      <w:pPr>
        <w:spacing w:before="120" w:after="120"/>
        <w:jc w:val="both"/>
        <w:rPr>
          <w:szCs w:val="22"/>
        </w:rPr>
      </w:pPr>
      <w:r w:rsidRPr="0077615B">
        <w:rPr>
          <w:szCs w:val="22"/>
        </w:rPr>
        <w:t>L'arrivée au pouvoir du gouvernement conservateur de J. Clark a</w:t>
      </w:r>
      <w:r w:rsidRPr="0077615B">
        <w:rPr>
          <w:szCs w:val="22"/>
        </w:rPr>
        <w:t>l</w:t>
      </w:r>
      <w:r w:rsidRPr="0077615B">
        <w:rPr>
          <w:szCs w:val="22"/>
        </w:rPr>
        <w:t>lait permettre au BCP de mettre en place le système de gestion des politiques et des dépenses (SGPD).</w:t>
      </w:r>
    </w:p>
    <w:p w:rsidR="00AD690E" w:rsidRPr="0077615B" w:rsidRDefault="00AD690E" w:rsidP="00AD690E">
      <w:pPr>
        <w:spacing w:before="120" w:after="120"/>
        <w:jc w:val="both"/>
      </w:pPr>
    </w:p>
    <w:p w:rsidR="00AD690E" w:rsidRPr="001137F0" w:rsidRDefault="00AD690E" w:rsidP="00AD690E">
      <w:pPr>
        <w:pStyle w:val="Grillecouleur-Accent1"/>
      </w:pPr>
      <w:r w:rsidRPr="00C4070C">
        <w:t>L'objectif est de faire en sorte que les décisions en matière de polit</w:t>
      </w:r>
      <w:r w:rsidRPr="00C4070C">
        <w:t>i</w:t>
      </w:r>
      <w:r w:rsidRPr="00C4070C">
        <w:t>ques et de programmes soient prises en tenant compte des coûts et des l</w:t>
      </w:r>
      <w:r w:rsidRPr="00C4070C">
        <w:t>i</w:t>
      </w:r>
      <w:r w:rsidRPr="00C4070C">
        <w:t>mites de dépenses, et inversement, que les décisions en matière de dépe</w:t>
      </w:r>
      <w:r w:rsidRPr="00C4070C">
        <w:t>n</w:t>
      </w:r>
      <w:r w:rsidRPr="00C4070C">
        <w:t>ses soient prises en tenant compte des politiques et des priorités du go</w:t>
      </w:r>
      <w:r w:rsidRPr="00C4070C">
        <w:t>u</w:t>
      </w:r>
      <w:r w:rsidRPr="00C4070C">
        <w:t>vernement. Les objectifs et les ressources sont indissociables et les déc</w:t>
      </w:r>
      <w:r w:rsidRPr="00C4070C">
        <w:t>i</w:t>
      </w:r>
      <w:r w:rsidRPr="00C4070C">
        <w:t>sions ne peuvent être prises de façon vraiment rationne</w:t>
      </w:r>
      <w:r w:rsidRPr="00C4070C">
        <w:t>l</w:t>
      </w:r>
      <w:r w:rsidRPr="00C4070C">
        <w:t>le que s'ils sont considérés ensemble à l'intérieur du nouveau sy</w:t>
      </w:r>
      <w:r w:rsidRPr="00C4070C">
        <w:t>s</w:t>
      </w:r>
      <w:r w:rsidRPr="00C4070C">
        <w:t>tème.</w:t>
      </w:r>
      <w:r>
        <w:t> </w:t>
      </w:r>
      <w:r w:rsidRPr="001137F0">
        <w:rPr>
          <w:rStyle w:val="Appelnotedebasdep"/>
        </w:rPr>
        <w:footnoteReference w:id="260"/>
      </w:r>
    </w:p>
    <w:p w:rsidR="00AD690E" w:rsidRDefault="00AD690E" w:rsidP="00AD690E">
      <w:pPr>
        <w:spacing w:before="120" w:after="120"/>
        <w:jc w:val="both"/>
        <w:rPr>
          <w:szCs w:val="22"/>
        </w:rPr>
      </w:pPr>
    </w:p>
    <w:p w:rsidR="00AD690E" w:rsidRPr="000F7900" w:rsidRDefault="00AD690E" w:rsidP="00AD690E">
      <w:pPr>
        <w:spacing w:before="120" w:after="120"/>
        <w:jc w:val="both"/>
        <w:rPr>
          <w:szCs w:val="22"/>
        </w:rPr>
      </w:pPr>
      <w:r w:rsidRPr="000F7900">
        <w:rPr>
          <w:szCs w:val="22"/>
        </w:rPr>
        <w:t>[150]</w:t>
      </w:r>
    </w:p>
    <w:p w:rsidR="00AD690E" w:rsidRPr="0077615B" w:rsidRDefault="00AD690E" w:rsidP="00AD690E">
      <w:pPr>
        <w:spacing w:before="120" w:after="120"/>
        <w:jc w:val="both"/>
      </w:pPr>
      <w:r w:rsidRPr="0077615B">
        <w:rPr>
          <w:szCs w:val="22"/>
        </w:rPr>
        <w:t>Cette intégration des aspects politique et financier des décisions v</w:t>
      </w:r>
      <w:r w:rsidRPr="0077615B">
        <w:rPr>
          <w:szCs w:val="22"/>
        </w:rPr>
        <w:t>i</w:t>
      </w:r>
      <w:r w:rsidRPr="0077615B">
        <w:rPr>
          <w:szCs w:val="22"/>
        </w:rPr>
        <w:t>sait à solutionner certains problèmes inhérents aux processus déc</w:t>
      </w:r>
      <w:r w:rsidRPr="0077615B">
        <w:rPr>
          <w:szCs w:val="22"/>
        </w:rPr>
        <w:t>i</w:t>
      </w:r>
      <w:r w:rsidRPr="0077615B">
        <w:rPr>
          <w:szCs w:val="22"/>
        </w:rPr>
        <w:t>sionnels mis en place au cours des années 1970 — dont le caract</w:t>
      </w:r>
      <w:r w:rsidRPr="0077615B">
        <w:rPr>
          <w:szCs w:val="22"/>
        </w:rPr>
        <w:t>è</w:t>
      </w:r>
      <w:r w:rsidRPr="0077615B">
        <w:rPr>
          <w:szCs w:val="22"/>
        </w:rPr>
        <w:t>re souvent contradictoire des deux types d'évaluation et la très gra</w:t>
      </w:r>
      <w:r w:rsidRPr="0077615B">
        <w:rPr>
          <w:szCs w:val="22"/>
        </w:rPr>
        <w:t>n</w:t>
      </w:r>
      <w:r w:rsidRPr="0077615B">
        <w:rPr>
          <w:szCs w:val="22"/>
        </w:rPr>
        <w:t>de difficulté de dégager des fonds des programmes existants pour fina</w:t>
      </w:r>
      <w:r w:rsidRPr="0077615B">
        <w:rPr>
          <w:szCs w:val="22"/>
        </w:rPr>
        <w:t>n</w:t>
      </w:r>
      <w:r w:rsidRPr="0077615B">
        <w:rPr>
          <w:szCs w:val="22"/>
        </w:rPr>
        <w:t>cer de nouveaux programmes — et, à assurer que les nouvelles initi</w:t>
      </w:r>
      <w:r w:rsidRPr="0077615B">
        <w:rPr>
          <w:szCs w:val="22"/>
        </w:rPr>
        <w:t>a</w:t>
      </w:r>
      <w:r w:rsidRPr="0077615B">
        <w:rPr>
          <w:szCs w:val="22"/>
        </w:rPr>
        <w:t>tives, reflétant le plus possible les priorités définies par le C</w:t>
      </w:r>
      <w:r w:rsidRPr="0077615B">
        <w:rPr>
          <w:szCs w:val="22"/>
        </w:rPr>
        <w:t>o</w:t>
      </w:r>
      <w:r w:rsidRPr="0077615B">
        <w:rPr>
          <w:szCs w:val="22"/>
        </w:rPr>
        <w:t>mité des priorités et de la planification, puissent être f</w:t>
      </w:r>
      <w:r w:rsidRPr="0077615B">
        <w:rPr>
          <w:szCs w:val="22"/>
        </w:rPr>
        <w:t>i</w:t>
      </w:r>
      <w:r w:rsidRPr="0077615B">
        <w:rPr>
          <w:szCs w:val="22"/>
        </w:rPr>
        <w:t>nancées. Pour ce faire, l'ensemble des dépe</w:t>
      </w:r>
      <w:r w:rsidRPr="0077615B">
        <w:rPr>
          <w:szCs w:val="22"/>
        </w:rPr>
        <w:t>n</w:t>
      </w:r>
      <w:r w:rsidRPr="0077615B">
        <w:rPr>
          <w:szCs w:val="22"/>
        </w:rPr>
        <w:t>ses gouvernementales a été divisé en dix secteurs et ces derniers sont sous la responsabilité de cinq com</w:t>
      </w:r>
      <w:r w:rsidRPr="0077615B">
        <w:rPr>
          <w:szCs w:val="22"/>
        </w:rPr>
        <w:t>i</w:t>
      </w:r>
      <w:r w:rsidRPr="0077615B">
        <w:rPr>
          <w:szCs w:val="22"/>
        </w:rPr>
        <w:t>tés du Cabinet (voir a</w:t>
      </w:r>
      <w:r w:rsidRPr="0077615B">
        <w:rPr>
          <w:szCs w:val="22"/>
        </w:rPr>
        <w:t>n</w:t>
      </w:r>
      <w:r w:rsidRPr="0077615B">
        <w:rPr>
          <w:szCs w:val="22"/>
        </w:rPr>
        <w:t>nexe 1). À partir d'un plan financier couvrant l'ensemble des prévisions de recettes et de d</w:t>
      </w:r>
      <w:r w:rsidRPr="0077615B">
        <w:rPr>
          <w:szCs w:val="22"/>
        </w:rPr>
        <w:t>é</w:t>
      </w:r>
      <w:r w:rsidRPr="0077615B">
        <w:rPr>
          <w:szCs w:val="22"/>
        </w:rPr>
        <w:t>penses, le Comité des priorités et de la planification détermine les limites de dépenses de chaque secteur. Ces plafonds de dépenses sont établis en fonction des priorités du gouve</w:t>
      </w:r>
      <w:r w:rsidRPr="0077615B">
        <w:rPr>
          <w:szCs w:val="22"/>
        </w:rPr>
        <w:t>r</w:t>
      </w:r>
      <w:r w:rsidRPr="0077615B">
        <w:rPr>
          <w:szCs w:val="22"/>
        </w:rPr>
        <w:t>nement sur la base d'évaluations venant du ministère des Finances (prévision des r</w:t>
      </w:r>
      <w:r w:rsidRPr="0077615B">
        <w:rPr>
          <w:szCs w:val="22"/>
        </w:rPr>
        <w:t>e</w:t>
      </w:r>
      <w:r w:rsidRPr="0077615B">
        <w:rPr>
          <w:szCs w:val="22"/>
        </w:rPr>
        <w:t>venus et de la croissance économique) et du Conseil du trésor (prévision du coût des programmes exi</w:t>
      </w:r>
      <w:r w:rsidRPr="0077615B">
        <w:rPr>
          <w:szCs w:val="22"/>
        </w:rPr>
        <w:t>s</w:t>
      </w:r>
      <w:r w:rsidRPr="0077615B">
        <w:rPr>
          <w:szCs w:val="22"/>
        </w:rPr>
        <w:t>tants incluant les augmentations prévisibles). Le CPP tient aussi compte dans l'établi</w:t>
      </w:r>
      <w:r w:rsidRPr="0077615B">
        <w:rPr>
          <w:szCs w:val="22"/>
        </w:rPr>
        <w:t>s</w:t>
      </w:r>
      <w:r w:rsidRPr="0077615B">
        <w:rPr>
          <w:szCs w:val="22"/>
        </w:rPr>
        <w:t>sement des enveloppes budgétaires des pri</w:t>
      </w:r>
      <w:r w:rsidRPr="0077615B">
        <w:rPr>
          <w:szCs w:val="22"/>
        </w:rPr>
        <w:t>o</w:t>
      </w:r>
      <w:r w:rsidRPr="0077615B">
        <w:rPr>
          <w:szCs w:val="22"/>
        </w:rPr>
        <w:t>rités.</w:t>
      </w:r>
    </w:p>
    <w:p w:rsidR="00AD690E" w:rsidRPr="0077615B" w:rsidRDefault="00AD690E" w:rsidP="00AD690E">
      <w:pPr>
        <w:spacing w:before="120" w:after="120"/>
        <w:jc w:val="both"/>
      </w:pPr>
      <w:r w:rsidRPr="0077615B">
        <w:rPr>
          <w:szCs w:val="22"/>
        </w:rPr>
        <w:t>Une enveloppe budgétaire détermine une limite des dépenses pour un secteur. Elle comprend : 1) le coût prévu des programmes en v</w:t>
      </w:r>
      <w:r w:rsidRPr="0077615B">
        <w:rPr>
          <w:szCs w:val="22"/>
        </w:rPr>
        <w:t>i</w:t>
      </w:r>
      <w:r w:rsidRPr="0077615B">
        <w:rPr>
          <w:szCs w:val="22"/>
        </w:rPr>
        <w:t>gueur (budget-A) ; 2) une réserve d'exploitation devant couvrir l'au</w:t>
      </w:r>
      <w:r w:rsidRPr="0077615B">
        <w:rPr>
          <w:szCs w:val="22"/>
        </w:rPr>
        <w:t>g</w:t>
      </w:r>
      <w:r w:rsidRPr="0077615B">
        <w:rPr>
          <w:szCs w:val="22"/>
        </w:rPr>
        <w:t>mentation des coûts des programmes existants ; 3) une réserve génér</w:t>
      </w:r>
      <w:r w:rsidRPr="0077615B">
        <w:rPr>
          <w:szCs w:val="22"/>
        </w:rPr>
        <w:t>a</w:t>
      </w:r>
      <w:r w:rsidRPr="0077615B">
        <w:rPr>
          <w:szCs w:val="22"/>
        </w:rPr>
        <w:t>le (ou réserve d'intervention).</w:t>
      </w:r>
    </w:p>
    <w:p w:rsidR="00AD690E" w:rsidRDefault="00AD690E" w:rsidP="00AD690E">
      <w:pPr>
        <w:pStyle w:val="Grillecouleur-Accent1"/>
      </w:pPr>
    </w:p>
    <w:p w:rsidR="00AD690E" w:rsidRDefault="00AD690E" w:rsidP="00AD690E">
      <w:pPr>
        <w:pStyle w:val="Grillecouleur-Accent1"/>
        <w:rPr>
          <w:i/>
        </w:rPr>
      </w:pPr>
      <w:r w:rsidRPr="001137F0">
        <w:t>Au cours de la révision annuelle du plan financier, des réserves gén</w:t>
      </w:r>
      <w:r w:rsidRPr="001137F0">
        <w:t>é</w:t>
      </w:r>
      <w:r w:rsidRPr="001137F0">
        <w:t>rales peuvent être prévues à l'intérieur d'une enveloppe pour permettre le financement de nouveaux programmes ou l'enrichissement de progra</w:t>
      </w:r>
      <w:r w:rsidRPr="001137F0">
        <w:t>m</w:t>
      </w:r>
      <w:r w:rsidRPr="001137F0">
        <w:t>mes existants. Dans d'autres cas, une réserve semblable peut ne pas être pr</w:t>
      </w:r>
      <w:r w:rsidRPr="001137F0">
        <w:t>é</w:t>
      </w:r>
      <w:r w:rsidRPr="001137F0">
        <w:t>vue, mais certaines réductions doivent être faites au moyen de chang</w:t>
      </w:r>
      <w:r w:rsidRPr="001137F0">
        <w:t>e</w:t>
      </w:r>
      <w:r w:rsidRPr="001137F0">
        <w:t>ments a</w:t>
      </w:r>
      <w:r w:rsidRPr="001137F0">
        <w:t>p</w:t>
      </w:r>
      <w:r w:rsidRPr="001137F0">
        <w:t>portés aux politiques ou aux programmes en vigueur, au niveau des engagements contractés dans le plan d'action. Les comités des polit</w:t>
      </w:r>
      <w:r w:rsidRPr="001137F0">
        <w:t>i</w:t>
      </w:r>
      <w:r w:rsidRPr="001137F0">
        <w:t>ques contr</w:t>
      </w:r>
      <w:r w:rsidRPr="001137F0">
        <w:t>ô</w:t>
      </w:r>
      <w:r w:rsidRPr="001137F0">
        <w:t>lent les fonds prélevés sur la réserve générale pour la création ou l'élargissement de programmes, et peuvent accroître la réserve initial</w:t>
      </w:r>
      <w:r w:rsidRPr="001137F0">
        <w:t>e</w:t>
      </w:r>
      <w:r w:rsidRPr="001137F0">
        <w:t>ment prévue dans le plan financier en décidant de réduire ou d'éliminer certains pr</w:t>
      </w:r>
      <w:r w:rsidRPr="001137F0">
        <w:t>o</w:t>
      </w:r>
      <w:r w:rsidRPr="001137F0">
        <w:t>grammes</w:t>
      </w:r>
      <w:r>
        <w:t> </w:t>
      </w:r>
      <w:r w:rsidRPr="00427269">
        <w:rPr>
          <w:rStyle w:val="Appelnotedebasdep"/>
          <w:szCs w:val="18"/>
        </w:rPr>
        <w:footnoteReference w:id="261"/>
      </w:r>
      <w:r w:rsidRPr="0077615B">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La mise en place du SGPD a eu pour effet de réduire considér</w:t>
      </w:r>
      <w:r w:rsidRPr="0077615B">
        <w:rPr>
          <w:szCs w:val="22"/>
        </w:rPr>
        <w:t>a</w:t>
      </w:r>
      <w:r w:rsidRPr="0077615B">
        <w:rPr>
          <w:szCs w:val="22"/>
        </w:rPr>
        <w:t>blement le rôle politique du Conseil du trésor et de le confiner larg</w:t>
      </w:r>
      <w:r w:rsidRPr="0077615B">
        <w:rPr>
          <w:szCs w:val="22"/>
        </w:rPr>
        <w:t>e</w:t>
      </w:r>
      <w:r w:rsidRPr="0077615B">
        <w:rPr>
          <w:szCs w:val="22"/>
        </w:rPr>
        <w:t>ment aux aspects techniques du budget des dépenses</w:t>
      </w:r>
      <w:r>
        <w:rPr>
          <w:szCs w:val="22"/>
        </w:rPr>
        <w:t> </w:t>
      </w:r>
      <w:r w:rsidRPr="00427269">
        <w:rPr>
          <w:rStyle w:val="Appelnotedebasdep"/>
        </w:rPr>
        <w:footnoteReference w:id="262"/>
      </w:r>
      <w:r w:rsidRPr="0077615B">
        <w:rPr>
          <w:szCs w:val="22"/>
        </w:rPr>
        <w:t>. Il a</w:t>
      </w:r>
      <w:r w:rsidRPr="0077615B">
        <w:rPr>
          <w:szCs w:val="22"/>
        </w:rPr>
        <w:t>s</w:t>
      </w:r>
      <w:r w:rsidRPr="0077615B">
        <w:rPr>
          <w:szCs w:val="22"/>
        </w:rPr>
        <w:t>sure la comptabilité du système des enveloppes et évalue l'efficacité des pr</w:t>
      </w:r>
      <w:r w:rsidRPr="0077615B">
        <w:rPr>
          <w:szCs w:val="22"/>
        </w:rPr>
        <w:t>o</w:t>
      </w:r>
      <w:r w:rsidRPr="0077615B">
        <w:rPr>
          <w:szCs w:val="22"/>
        </w:rPr>
        <w:t>grammes. Bien qu'en vertu de la Loi sur l'administration fina</w:t>
      </w:r>
      <w:r w:rsidRPr="0077615B">
        <w:rPr>
          <w:szCs w:val="22"/>
        </w:rPr>
        <w:t>n</w:t>
      </w:r>
      <w:r w:rsidRPr="0077615B">
        <w:rPr>
          <w:szCs w:val="22"/>
        </w:rPr>
        <w:t>cière l'approbation du Conseil du trésor est toujours</w:t>
      </w:r>
      <w:r>
        <w:rPr>
          <w:szCs w:val="22"/>
        </w:rPr>
        <w:t xml:space="preserve"> </w:t>
      </w:r>
      <w:r w:rsidRPr="0077615B">
        <w:rPr>
          <w:szCs w:val="18"/>
        </w:rPr>
        <w:t>[153]</w:t>
      </w:r>
      <w:r>
        <w:rPr>
          <w:szCs w:val="18"/>
        </w:rPr>
        <w:t xml:space="preserve"> </w:t>
      </w:r>
      <w:r w:rsidRPr="0077615B">
        <w:rPr>
          <w:szCs w:val="22"/>
        </w:rPr>
        <w:t>nécessaire pour engager de nouvelles ressources, cette étape est dev</w:t>
      </w:r>
      <w:r w:rsidRPr="0077615B">
        <w:rPr>
          <w:szCs w:val="22"/>
        </w:rPr>
        <w:t>e</w:t>
      </w:r>
      <w:r w:rsidRPr="0077615B">
        <w:rPr>
          <w:szCs w:val="22"/>
        </w:rPr>
        <w:t>nue largement formelle. Par contre, le Bureau du Conseil pr</w:t>
      </w:r>
      <w:r w:rsidRPr="0077615B">
        <w:rPr>
          <w:szCs w:val="22"/>
        </w:rPr>
        <w:t>i</w:t>
      </w:r>
      <w:r w:rsidRPr="0077615B">
        <w:rPr>
          <w:szCs w:val="22"/>
        </w:rPr>
        <w:t>vé joue maintenant un rôle central dans le système de révision de l'e</w:t>
      </w:r>
      <w:r w:rsidRPr="0077615B">
        <w:rPr>
          <w:szCs w:val="22"/>
        </w:rPr>
        <w:t>n</w:t>
      </w:r>
      <w:r w:rsidRPr="0077615B">
        <w:rPr>
          <w:szCs w:val="22"/>
        </w:rPr>
        <w:t>semble des dépenses, dans l'établissement des liens entre la révision des d</w:t>
      </w:r>
      <w:r w:rsidRPr="0077615B">
        <w:rPr>
          <w:szCs w:val="22"/>
        </w:rPr>
        <w:t>é</w:t>
      </w:r>
      <w:r w:rsidRPr="0077615B">
        <w:rPr>
          <w:szCs w:val="22"/>
        </w:rPr>
        <w:t>penses et les priorités ainsi que dans la résolution des problèmes to</w:t>
      </w:r>
      <w:r w:rsidRPr="0077615B">
        <w:rPr>
          <w:szCs w:val="22"/>
        </w:rPr>
        <w:t>u</w:t>
      </w:r>
      <w:r w:rsidRPr="0077615B">
        <w:rPr>
          <w:szCs w:val="22"/>
        </w:rPr>
        <w:t>chant plus d'une enveloppe budgétaire.</w:t>
      </w:r>
    </w:p>
    <w:p w:rsidR="00AD690E" w:rsidRDefault="00AD690E" w:rsidP="00AD690E">
      <w:pPr>
        <w:spacing w:before="120" w:after="120"/>
        <w:jc w:val="both"/>
        <w:rPr>
          <w:szCs w:val="22"/>
        </w:rPr>
      </w:pPr>
      <w:r w:rsidRPr="0077615B">
        <w:rPr>
          <w:szCs w:val="22"/>
        </w:rPr>
        <w:t>En théorie, ce nouveau système accroît la délégation des po</w:t>
      </w:r>
      <w:r w:rsidRPr="0077615B">
        <w:rPr>
          <w:szCs w:val="22"/>
        </w:rPr>
        <w:t>u</w:t>
      </w:r>
      <w:r w:rsidRPr="0077615B">
        <w:rPr>
          <w:szCs w:val="22"/>
        </w:rPr>
        <w:t>voirs de décision aux comités d'orientation sectoriels du Cabinet et renforce la nécessité pour les ministres membres d'un comité de prendre des décisions d'une manière collective.</w:t>
      </w:r>
    </w:p>
    <w:p w:rsidR="00AD690E" w:rsidRPr="0077615B" w:rsidRDefault="00AD690E" w:rsidP="00AD690E">
      <w:pPr>
        <w:spacing w:before="120" w:after="120"/>
        <w:jc w:val="both"/>
      </w:pPr>
    </w:p>
    <w:p w:rsidR="00AD690E" w:rsidRDefault="00AD690E" w:rsidP="00AD690E">
      <w:pPr>
        <w:pStyle w:val="Grillecouleur-Accent1"/>
        <w:rPr>
          <w:i/>
        </w:rPr>
      </w:pPr>
      <w:r w:rsidRPr="001137F0">
        <w:t>[... ] the policy process now appears to be more decentralized w</w:t>
      </w:r>
      <w:r w:rsidRPr="001137F0">
        <w:t>i</w:t>
      </w:r>
      <w:r w:rsidRPr="001137F0">
        <w:t>thin the Cabinet, with a major devolution of responsibility to the policy co</w:t>
      </w:r>
      <w:r w:rsidRPr="001137F0">
        <w:t>m</w:t>
      </w:r>
      <w:r w:rsidRPr="001137F0">
        <w:t>mittees [...] Ministers have gained in collective respo</w:t>
      </w:r>
      <w:r w:rsidRPr="001137F0">
        <w:t>n</w:t>
      </w:r>
      <w:r>
        <w:t>sibility what they ha</w:t>
      </w:r>
      <w:r w:rsidRPr="001137F0">
        <w:t>ve lost in individual a</w:t>
      </w:r>
      <w:r w:rsidRPr="001137F0">
        <w:t>u</w:t>
      </w:r>
      <w:r w:rsidRPr="001137F0">
        <w:t>thority</w:t>
      </w:r>
      <w:r>
        <w:t> </w:t>
      </w:r>
      <w:r w:rsidRPr="00427269">
        <w:rPr>
          <w:rStyle w:val="Appelnotedebasdep"/>
          <w:szCs w:val="18"/>
        </w:rPr>
        <w:footnoteReference w:id="263"/>
      </w:r>
      <w:r w:rsidRPr="001137F0">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Toutefois, la pratique démontre qu'aucun ministre n'accepte fac</w:t>
      </w:r>
      <w:r w:rsidRPr="0077615B">
        <w:rPr>
          <w:szCs w:val="22"/>
        </w:rPr>
        <w:t>i</w:t>
      </w:r>
      <w:r w:rsidRPr="0077615B">
        <w:rPr>
          <w:szCs w:val="22"/>
        </w:rPr>
        <w:t>lement qu'un de « ses » programmes soit éliminé ou même réduit et ce, même si l'argent épargné demeure à l'intérieur de l'enveloppe bu</w:t>
      </w:r>
      <w:r w:rsidRPr="0077615B">
        <w:rPr>
          <w:szCs w:val="22"/>
        </w:rPr>
        <w:t>d</w:t>
      </w:r>
      <w:r w:rsidRPr="0077615B">
        <w:rPr>
          <w:szCs w:val="22"/>
        </w:rPr>
        <w:t>gétaire sectorielle. De plus, certains comités du Cabinet ont te</w:t>
      </w:r>
      <w:r w:rsidRPr="0077615B">
        <w:rPr>
          <w:szCs w:val="22"/>
        </w:rPr>
        <w:t>n</w:t>
      </w:r>
      <w:r w:rsidRPr="0077615B">
        <w:rPr>
          <w:szCs w:val="22"/>
        </w:rPr>
        <w:t>dance à répartir les fonds afin que chaque ministre ait sa part plutôt que sur la base des priorités définies collectivement. Enfin, la majorité des no</w:t>
      </w:r>
      <w:r w:rsidRPr="0077615B">
        <w:rPr>
          <w:szCs w:val="22"/>
        </w:rPr>
        <w:t>u</w:t>
      </w:r>
      <w:r w:rsidRPr="0077615B">
        <w:rPr>
          <w:szCs w:val="22"/>
        </w:rPr>
        <w:t>veaux programmes importants et les restruct</w:t>
      </w:r>
      <w:r w:rsidRPr="0077615B">
        <w:rPr>
          <w:szCs w:val="22"/>
        </w:rPr>
        <w:t>u</w:t>
      </w:r>
      <w:r w:rsidRPr="0077615B">
        <w:rPr>
          <w:szCs w:val="22"/>
        </w:rPr>
        <w:t>rations majeures des programmes existants ont été initiées par le Comité des priorités et de la planification sous le leadership du premier m</w:t>
      </w:r>
      <w:r w:rsidRPr="0077615B">
        <w:rPr>
          <w:szCs w:val="22"/>
        </w:rPr>
        <w:t>i</w:t>
      </w:r>
      <w:r w:rsidRPr="0077615B">
        <w:rPr>
          <w:szCs w:val="22"/>
        </w:rPr>
        <w:t>nistre et du ministre des Finances. Ces nouveaux programmes et les sommes qui les a</w:t>
      </w:r>
      <w:r w:rsidRPr="0077615B">
        <w:rPr>
          <w:szCs w:val="22"/>
        </w:rPr>
        <w:t>c</w:t>
      </w:r>
      <w:r w:rsidRPr="0077615B">
        <w:rPr>
          <w:szCs w:val="22"/>
        </w:rPr>
        <w:t>compagnent sont attribués directement à un m</w:t>
      </w:r>
      <w:r w:rsidRPr="0077615B">
        <w:rPr>
          <w:szCs w:val="22"/>
        </w:rPr>
        <w:t>i</w:t>
      </w:r>
      <w:r w:rsidRPr="0077615B">
        <w:rPr>
          <w:szCs w:val="22"/>
        </w:rPr>
        <w:t>nistère, court-circuitant tout effort de planification à long terme des comités.</w:t>
      </w:r>
    </w:p>
    <w:p w:rsidR="00AD690E" w:rsidRPr="0077615B" w:rsidRDefault="00AD690E" w:rsidP="00AD690E">
      <w:pPr>
        <w:spacing w:before="120" w:after="120"/>
        <w:jc w:val="both"/>
      </w:pPr>
      <w:r w:rsidRPr="0077615B">
        <w:rPr>
          <w:szCs w:val="22"/>
        </w:rPr>
        <w:t>La mise en place du SGPD semble avoir pour objectifs princ</w:t>
      </w:r>
      <w:r w:rsidRPr="0077615B">
        <w:rPr>
          <w:szCs w:val="22"/>
        </w:rPr>
        <w:t>i</w:t>
      </w:r>
      <w:r w:rsidRPr="0077615B">
        <w:rPr>
          <w:szCs w:val="22"/>
        </w:rPr>
        <w:t>paux d'accroître l'autonomie administrative des comités du Cab</w:t>
      </w:r>
      <w:r w:rsidRPr="0077615B">
        <w:rPr>
          <w:szCs w:val="22"/>
        </w:rPr>
        <w:t>i</w:t>
      </w:r>
      <w:r w:rsidRPr="0077615B">
        <w:rPr>
          <w:szCs w:val="22"/>
        </w:rPr>
        <w:t>net, de permettre le développement de nouveaux programmes dans une conjoncture de restriction budgétaire et de réduire l'autonomie d'initi</w:t>
      </w:r>
      <w:r w:rsidRPr="0077615B">
        <w:rPr>
          <w:szCs w:val="22"/>
        </w:rPr>
        <w:t>a</w:t>
      </w:r>
      <w:r w:rsidRPr="0077615B">
        <w:rPr>
          <w:szCs w:val="22"/>
        </w:rPr>
        <w:t>tive des ministres sectoriels. En fait, la capacité du Comité des prior</w:t>
      </w:r>
      <w:r w:rsidRPr="0077615B">
        <w:rPr>
          <w:szCs w:val="22"/>
        </w:rPr>
        <w:t>i</w:t>
      </w:r>
      <w:r w:rsidRPr="0077615B">
        <w:rPr>
          <w:szCs w:val="22"/>
        </w:rPr>
        <w:t>tés et de la planification d'initier de no</w:t>
      </w:r>
      <w:r w:rsidRPr="0077615B">
        <w:rPr>
          <w:szCs w:val="22"/>
        </w:rPr>
        <w:t>u</w:t>
      </w:r>
      <w:r w:rsidRPr="0077615B">
        <w:rPr>
          <w:szCs w:val="22"/>
        </w:rPr>
        <w:t>veaux programmes n'a pas été réduite par le système des env</w:t>
      </w:r>
      <w:r w:rsidRPr="0077615B">
        <w:rPr>
          <w:szCs w:val="22"/>
        </w:rPr>
        <w:t>e</w:t>
      </w:r>
      <w:r w:rsidRPr="0077615B">
        <w:rPr>
          <w:szCs w:val="22"/>
        </w:rPr>
        <w:t>loppes budgétaires, ce comité étant en mesure d'imposer des pr</w:t>
      </w:r>
      <w:r w:rsidRPr="0077615B">
        <w:rPr>
          <w:szCs w:val="22"/>
        </w:rPr>
        <w:t>o</w:t>
      </w:r>
      <w:r w:rsidRPr="0077615B">
        <w:rPr>
          <w:szCs w:val="22"/>
        </w:rPr>
        <w:t>grammes « prioritaires » sans même que le comité du Cabinet compétent ait eu à débattre de leur valeur ou même de leur concordance avec les priorités telles que définies par ce comité du Cabinet. Par contre, un ministre qui désire mettre en place un no</w:t>
      </w:r>
      <w:r w:rsidRPr="0077615B">
        <w:rPr>
          <w:szCs w:val="22"/>
        </w:rPr>
        <w:t>u</w:t>
      </w:r>
      <w:r w:rsidRPr="0077615B">
        <w:rPr>
          <w:szCs w:val="22"/>
        </w:rPr>
        <w:t>veau programme doit obtenir l'accord des autres ministres membres du comité et il est en concurrence avec ces derniers pour l'obtention des fonds.</w:t>
      </w:r>
    </w:p>
    <w:p w:rsidR="00AD690E" w:rsidRPr="0077615B" w:rsidRDefault="00AD690E" w:rsidP="00AD690E">
      <w:pPr>
        <w:spacing w:before="120" w:after="120"/>
        <w:jc w:val="both"/>
      </w:pPr>
      <w:r w:rsidRPr="0077615B">
        <w:rPr>
          <w:szCs w:val="22"/>
        </w:rPr>
        <w:t>La perte de pouvoir des ministres sectoriels fut accentuée par la création des ministères d'État au développement économique et régi</w:t>
      </w:r>
      <w:r w:rsidRPr="0077615B">
        <w:rPr>
          <w:szCs w:val="22"/>
        </w:rPr>
        <w:t>o</w:t>
      </w:r>
      <w:r w:rsidRPr="0077615B">
        <w:rPr>
          <w:szCs w:val="22"/>
        </w:rPr>
        <w:t>nal (MEDER) et au</w:t>
      </w:r>
      <w:r>
        <w:rPr>
          <w:szCs w:val="22"/>
        </w:rPr>
        <w:t xml:space="preserve"> </w:t>
      </w:r>
      <w:r w:rsidRPr="0077615B">
        <w:t>[152]</w:t>
      </w:r>
      <w:r>
        <w:t xml:space="preserve"> </w:t>
      </w:r>
      <w:r w:rsidRPr="0077615B">
        <w:t>développement social (MEDS). Ces deux ministères d'État f</w:t>
      </w:r>
      <w:r w:rsidRPr="0077615B">
        <w:t>u</w:t>
      </w:r>
      <w:r w:rsidRPr="0077615B">
        <w:t>rent créés officiellement en 1979 dans le cas du MEDER, et en 1980, pour le MEDS</w:t>
      </w:r>
      <w:r>
        <w:t> </w:t>
      </w:r>
      <w:r w:rsidRPr="00427269">
        <w:rPr>
          <w:rStyle w:val="Appelnotedebasdep"/>
        </w:rPr>
        <w:footnoteReference w:id="264"/>
      </w:r>
      <w:r w:rsidRPr="0077615B">
        <w:t>. Ils furent abolis par John Turner durant l'été 1984. Ces ministères d'État étaient dirigés par des ministres d'État — ces de</w:t>
      </w:r>
      <w:r w:rsidRPr="0077615B">
        <w:t>r</w:t>
      </w:r>
      <w:r w:rsidRPr="0077615B">
        <w:t>niers présidaient les comités du Cabinet du même nom et étaient membres du CPP — et avaient leur propre pe</w:t>
      </w:r>
      <w:r w:rsidRPr="0077615B">
        <w:t>r</w:t>
      </w:r>
      <w:r w:rsidRPr="0077615B">
        <w:t>sonnel. Les deux mini</w:t>
      </w:r>
      <w:r w:rsidRPr="0077615B">
        <w:t>s</w:t>
      </w:r>
      <w:r w:rsidRPr="0077615B">
        <w:t>tères d'État assuraient les services de secrétariat requis par leur comité respectif — en collaboration avec le BCP — et supervisaient la ge</w:t>
      </w:r>
      <w:r w:rsidRPr="0077615B">
        <w:t>s</w:t>
      </w:r>
      <w:r w:rsidRPr="0077615B">
        <w:t>tion et le fonctionnement du SGPD.</w:t>
      </w:r>
    </w:p>
    <w:p w:rsidR="00AD690E" w:rsidRDefault="00AD690E" w:rsidP="00AD690E">
      <w:pPr>
        <w:pStyle w:val="Grillecouleur-Accent1"/>
      </w:pPr>
    </w:p>
    <w:p w:rsidR="00AD690E" w:rsidRDefault="00AD690E" w:rsidP="00AD690E">
      <w:pPr>
        <w:pStyle w:val="Grillecouleur-Accent1"/>
      </w:pPr>
      <w:r w:rsidRPr="00866C28">
        <w:t>Ces ministères concentrent leurs activités sur les éléments esse</w:t>
      </w:r>
      <w:r w:rsidRPr="00866C28">
        <w:t>n</w:t>
      </w:r>
      <w:r w:rsidRPr="00866C28">
        <w:t>tiels des stratégies et des priorités établies pour leur secteur, la coordination e</w:t>
      </w:r>
      <w:r w:rsidRPr="00866C28">
        <w:t>n</w:t>
      </w:r>
      <w:r w:rsidRPr="00866C28">
        <w:t>tre les ministères, l'affectation et la gestion des ressources et l'analyse de l'efficacité des pr</w:t>
      </w:r>
      <w:r w:rsidRPr="00866C28">
        <w:t>o</w:t>
      </w:r>
      <w:r w:rsidRPr="00866C28">
        <w:t>grammes</w:t>
      </w:r>
      <w:r>
        <w:t> </w:t>
      </w:r>
      <w:r w:rsidRPr="000F7900">
        <w:rPr>
          <w:rStyle w:val="Appelnotedebasdep"/>
          <w:szCs w:val="18"/>
        </w:rPr>
        <w:footnoteReference w:id="265"/>
      </w:r>
      <w:r w:rsidRPr="00866C28">
        <w:t>.</w:t>
      </w:r>
    </w:p>
    <w:p w:rsidR="00AD690E" w:rsidRPr="00866C28" w:rsidRDefault="00AD690E" w:rsidP="00AD690E">
      <w:pPr>
        <w:pStyle w:val="Grillecouleur-Accent1"/>
        <w:rPr>
          <w:i/>
        </w:rPr>
      </w:pPr>
    </w:p>
    <w:p w:rsidR="00AD690E" w:rsidRDefault="00AD690E" w:rsidP="00AD690E">
      <w:pPr>
        <w:spacing w:before="120" w:after="120"/>
        <w:jc w:val="both"/>
      </w:pPr>
      <w:r w:rsidRPr="00866C28">
        <w:t>Ces responsabilités très larges accordées aux ministères d'État permettaient d'encadrer davantage les ministères sectoriels et d'inc</w:t>
      </w:r>
      <w:r w:rsidRPr="00866C28">
        <w:t>i</w:t>
      </w:r>
      <w:r w:rsidRPr="00866C28">
        <w:t>ter les ministres à décider collectivement. Toutefois, ces nouvelles age</w:t>
      </w:r>
      <w:r w:rsidRPr="00866C28">
        <w:t>n</w:t>
      </w:r>
      <w:r w:rsidRPr="00866C28">
        <w:t>ces centrales n'impliquaient aucunement une perte de po</w:t>
      </w:r>
      <w:r w:rsidRPr="00866C28">
        <w:t>u</w:t>
      </w:r>
      <w:r w:rsidRPr="00866C28">
        <w:t>voir pour le Comité des priorités et de la planification et pour le BCP. Au contra</w:t>
      </w:r>
      <w:r w:rsidRPr="00866C28">
        <w:t>i</w:t>
      </w:r>
      <w:r w:rsidRPr="00866C28">
        <w:t>re, il était même possible de renforcer, grâce à ce no</w:t>
      </w:r>
      <w:r w:rsidRPr="00866C28">
        <w:t>u</w:t>
      </w:r>
      <w:r w:rsidRPr="00866C28">
        <w:t>veau système, l'influence des ministres d'État sur les comités du C</w:t>
      </w:r>
      <w:r w:rsidRPr="00866C28">
        <w:t>a</w:t>
      </w:r>
      <w:r w:rsidRPr="00866C28">
        <w:t>binet chargés du développement économique et du développement social. Les ministres d'État étaient en mesure de coordonner dava</w:t>
      </w:r>
      <w:r w:rsidRPr="00866C28">
        <w:t>n</w:t>
      </w:r>
      <w:r w:rsidRPr="00866C28">
        <w:t>tage les priorités et les programmes à l'intérieur du comité du Cabinet sous leur responsabil</w:t>
      </w:r>
      <w:r w:rsidRPr="00866C28">
        <w:t>i</w:t>
      </w:r>
      <w:r w:rsidRPr="00866C28">
        <w:t>té, d'informer le CPP des politiques qui y étaient discutées et de faire en sorte que les différents ministères respectent le cadre budgétaire et les priorités fixées par le CPP. L'abolition des ministères d'État a a</w:t>
      </w:r>
      <w:r w:rsidRPr="00866C28">
        <w:t>c</w:t>
      </w:r>
      <w:r w:rsidRPr="00866C28">
        <w:t>cru les responsabilités des age</w:t>
      </w:r>
      <w:r w:rsidRPr="00866C28">
        <w:t>n</w:t>
      </w:r>
      <w:r w:rsidRPr="00866C28">
        <w:t xml:space="preserve">ces centrales traditionnelles, soit le BCP, le Conseil du trésor et le ministère des Finances. </w:t>
      </w:r>
    </w:p>
    <w:p w:rsidR="00AD690E" w:rsidRPr="0077615B" w:rsidRDefault="00AD690E" w:rsidP="00AD690E">
      <w:pPr>
        <w:spacing w:before="120" w:after="120"/>
        <w:jc w:val="both"/>
      </w:pPr>
    </w:p>
    <w:p w:rsidR="00AD690E" w:rsidRPr="0077615B" w:rsidRDefault="00AD690E" w:rsidP="00AD690E">
      <w:pPr>
        <w:pStyle w:val="c"/>
      </w:pPr>
      <w:r w:rsidRPr="0077615B">
        <w:t>*  *  *</w:t>
      </w:r>
    </w:p>
    <w:p w:rsidR="00AD690E" w:rsidRDefault="00AD690E" w:rsidP="00AD690E">
      <w:pPr>
        <w:spacing w:before="120" w:after="120"/>
        <w:jc w:val="both"/>
      </w:pPr>
      <w:r w:rsidRPr="0077615B">
        <w:t>[153]</w:t>
      </w:r>
    </w:p>
    <w:p w:rsidR="00AD690E" w:rsidRPr="0077615B" w:rsidRDefault="00AD690E" w:rsidP="00AD690E">
      <w:pPr>
        <w:spacing w:before="120" w:after="120"/>
        <w:jc w:val="both"/>
      </w:pPr>
      <w:r w:rsidRPr="0077615B">
        <w:t>Les différentes réformes au sein de l'exécutif fédéral et des age</w:t>
      </w:r>
      <w:r w:rsidRPr="0077615B">
        <w:t>n</w:t>
      </w:r>
      <w:r w:rsidRPr="0077615B">
        <w:t>ces centrales au cours des vingt dernières années apparaissent avoir r</w:t>
      </w:r>
      <w:r w:rsidRPr="0077615B">
        <w:t>é</w:t>
      </w:r>
      <w:r w:rsidRPr="0077615B">
        <w:t>duit considérablement l'autonomie et le pouvoir des m</w:t>
      </w:r>
      <w:r w:rsidRPr="0077615B">
        <w:t>i</w:t>
      </w:r>
      <w:r w:rsidRPr="0077615B">
        <w:t>nistères et ministres sectoriels. De plus, les nouvelles structures et les no</w:t>
      </w:r>
      <w:r w:rsidRPr="0077615B">
        <w:t>u</w:t>
      </w:r>
      <w:r w:rsidRPr="0077615B">
        <w:t>veaux processus n'ont aucunement renforcé le rôle du Cabinet comme organisme déc</w:t>
      </w:r>
      <w:r w:rsidRPr="0077615B">
        <w:t>i</w:t>
      </w:r>
      <w:r w:rsidRPr="0077615B">
        <w:t>sionnel ; au contraire, ils ont permis l'éme</w:t>
      </w:r>
      <w:r w:rsidRPr="0077615B">
        <w:t>r</w:t>
      </w:r>
      <w:r w:rsidRPr="0077615B">
        <w:t>gence de fait d'un Cabinet restreint et d'une « super-bureaucratie » au sein des agences centrales. Le rôle central et déterminant du Comité des priorités et de la planif</w:t>
      </w:r>
      <w:r w:rsidRPr="0077615B">
        <w:t>i</w:t>
      </w:r>
      <w:r w:rsidRPr="0077615B">
        <w:t>cation dans le processus décisionnel a enlevé toute importance au C</w:t>
      </w:r>
      <w:r w:rsidRPr="0077615B">
        <w:t>a</w:t>
      </w:r>
      <w:r w:rsidRPr="0077615B">
        <w:t>binet comme lieu décisionnel. On n'y discute que des questions gén</w:t>
      </w:r>
      <w:r w:rsidRPr="0077615B">
        <w:t>é</w:t>
      </w:r>
      <w:r w:rsidRPr="0077615B">
        <w:t>rales, des problèmes de comm</w:t>
      </w:r>
      <w:r w:rsidRPr="0077615B">
        <w:t>u</w:t>
      </w:r>
      <w:r w:rsidRPr="0077615B">
        <w:t>nication et, parfois, le premier ministre y informe l'e</w:t>
      </w:r>
      <w:r w:rsidRPr="0077615B">
        <w:t>n</w:t>
      </w:r>
      <w:r w:rsidRPr="0077615B">
        <w:t xml:space="preserve">semble des ministres de certaines décisions majeures qu'il veut voir défendues publiquement par eux, par exemple, le choix de Canadair pour l'entretien des avions </w:t>
      </w:r>
      <w:r w:rsidRPr="002C46BD">
        <w:rPr>
          <w:i/>
        </w:rPr>
        <w:t>F-18</w:t>
      </w:r>
      <w:r w:rsidRPr="0077615B">
        <w:t>. Enfin, quant à l'affirm</w:t>
      </w:r>
      <w:r w:rsidRPr="0077615B">
        <w:t>a</w:t>
      </w:r>
      <w:r w:rsidRPr="0077615B">
        <w:t>tion que les comités du Cabinet sont devenus le lieu où les déc</w:t>
      </w:r>
      <w:r w:rsidRPr="0077615B">
        <w:t>i</w:t>
      </w:r>
      <w:r w:rsidRPr="0077615B">
        <w:t>sions sont prises collectivement, ceci nécessiterait que les ministres acce</w:t>
      </w:r>
      <w:r w:rsidRPr="0077615B">
        <w:t>p</w:t>
      </w:r>
      <w:r w:rsidRPr="0077615B">
        <w:t>tent de mettre au second plan leurs intérêts sectoriels et, comme le dit très bien Peter Aucoin : « The fundamental flow in this design was that it was too optimistic about the collegiality of ministers : that is, about their wi</w:t>
      </w:r>
      <w:r w:rsidRPr="0077615B">
        <w:t>l</w:t>
      </w:r>
      <w:r w:rsidRPr="0077615B">
        <w:t>lingness, in the absence of a strong prime ministerial présence, to compromise their personal objectives and departmental ambitions in pursuit of coh</w:t>
      </w:r>
      <w:r>
        <w:t>e</w:t>
      </w:r>
      <w:r w:rsidRPr="0077615B">
        <w:t>rent corporate policies »</w:t>
      </w:r>
      <w:r>
        <w:t> </w:t>
      </w:r>
      <w:r w:rsidRPr="00427269">
        <w:rPr>
          <w:rStyle w:val="Appelnotedebasdep"/>
        </w:rPr>
        <w:footnoteReference w:id="266"/>
      </w:r>
      <w:r w:rsidRPr="0077615B">
        <w:t>. Donc, conclure comme le font beaucoup d'auteurs que la création des com</w:t>
      </w:r>
      <w:r w:rsidRPr="0077615B">
        <w:t>i</w:t>
      </w:r>
      <w:r w:rsidRPr="0077615B">
        <w:t>tés du Cabinet a permis de redonner un sens à la notion de responsab</w:t>
      </w:r>
      <w:r w:rsidRPr="0077615B">
        <w:t>i</w:t>
      </w:r>
      <w:r w:rsidRPr="0077615B">
        <w:t>lité collective du gouvernement nous apparaît fondé sur une surév</w:t>
      </w:r>
      <w:r w:rsidRPr="0077615B">
        <w:t>a</w:t>
      </w:r>
      <w:r w:rsidRPr="0077615B">
        <w:t>luation du degré de détachement des ministres vis-à-vis des intérêts de leur m</w:t>
      </w:r>
      <w:r w:rsidRPr="0077615B">
        <w:t>i</w:t>
      </w:r>
      <w:r w:rsidRPr="0077615B">
        <w:t>nistère, et sur une sous-évaluation du degré de contrôle qu'exercent le CPP et les agences centrales sur les décisions prises dans les comités du C</w:t>
      </w:r>
      <w:r w:rsidRPr="0077615B">
        <w:t>a</w:t>
      </w:r>
      <w:r w:rsidRPr="0077615B">
        <w:t>binet.</w:t>
      </w:r>
    </w:p>
    <w:p w:rsidR="00AD690E" w:rsidRPr="0077615B" w:rsidRDefault="00AD690E" w:rsidP="00AD690E">
      <w:pPr>
        <w:spacing w:before="120" w:after="120"/>
        <w:ind w:firstLine="284"/>
        <w:jc w:val="both"/>
      </w:pPr>
      <w:r w:rsidRPr="0077615B">
        <w:t>Bien que les différentes modifications apportées aux structures de l'exécutif fédéral et aux agences centrales depuis vingt ans ont permis au premier ministre et à un groupe restreint de ministres d'exercer un très grand contrôle sur les décisions et l'appareil go</w:t>
      </w:r>
      <w:r w:rsidRPr="0077615B">
        <w:t>u</w:t>
      </w:r>
      <w:r w:rsidRPr="0077615B">
        <w:t>vernemental, ceci n'implique aucunement que toutes les déc</w:t>
      </w:r>
      <w:r w:rsidRPr="0077615B">
        <w:t>i</w:t>
      </w:r>
      <w:r w:rsidRPr="0077615B">
        <w:t>sions sont prises par eux. En effet, les objectifs étaient davantage de mettre en place des proce</w:t>
      </w:r>
      <w:r w:rsidRPr="0077615B">
        <w:t>s</w:t>
      </w:r>
      <w:r w:rsidRPr="0077615B">
        <w:t>sus et des structures visant à perme</w:t>
      </w:r>
      <w:r w:rsidRPr="0077615B">
        <w:t>t</w:t>
      </w:r>
      <w:r w:rsidRPr="0077615B">
        <w:t>tre au Cabinet restreint d'orienter les décisions, d'être informé rapid</w:t>
      </w:r>
      <w:r w:rsidRPr="0077615B">
        <w:t>e</w:t>
      </w:r>
      <w:r w:rsidRPr="0077615B">
        <w:t>ment des initiatives des ministères et d'être en mesure d'imposer des déc</w:t>
      </w:r>
      <w:r w:rsidRPr="0077615B">
        <w:t>i</w:t>
      </w:r>
      <w:r w:rsidRPr="0077615B">
        <w:t>sions qui apparaissaient urgentes et prioritaires. Ces obje</w:t>
      </w:r>
      <w:r w:rsidRPr="0077615B">
        <w:t>c</w:t>
      </w:r>
      <w:r w:rsidRPr="0077615B">
        <w:t>tifs ont été atteints et ce, au détriment de l'exercice du pouvoir i</w:t>
      </w:r>
      <w:r w:rsidRPr="0077615B">
        <w:t>n</w:t>
      </w:r>
      <w:r w:rsidRPr="0077615B">
        <w:t>dividuel des ministres, et sans qu'un véritable pouvoir co</w:t>
      </w:r>
      <w:r w:rsidRPr="0077615B">
        <w:t>l</w:t>
      </w:r>
      <w:r w:rsidRPr="0077615B">
        <w:t>lectif n'ait été créé dans les comités du Cabinet.</w:t>
      </w:r>
    </w:p>
    <w:p w:rsidR="00AD690E" w:rsidRPr="0077615B" w:rsidRDefault="00AD690E" w:rsidP="00AD690E">
      <w:pPr>
        <w:spacing w:before="120" w:after="120"/>
        <w:jc w:val="both"/>
      </w:pPr>
      <w:r w:rsidRPr="0077615B">
        <w:t>Cette centralisation du processus décisionnel au sein de l'app</w:t>
      </w:r>
      <w:r w:rsidRPr="0077615B">
        <w:t>a</w:t>
      </w:r>
      <w:r w:rsidRPr="0077615B">
        <w:t>reil politique fédéral n'est pas, comme l'ont remarqué plusieurs a</w:t>
      </w:r>
      <w:r w:rsidRPr="0077615B">
        <w:t>u</w:t>
      </w:r>
      <w:r w:rsidRPr="0077615B">
        <w:t>teurs, un phénomène canadien. On le retrouve à des degrés divers dans la pl</w:t>
      </w:r>
      <w:r w:rsidRPr="0077615B">
        <w:t>u</w:t>
      </w:r>
      <w:r w:rsidRPr="0077615B">
        <w:t>part des démocraties occidentales. De plus, bien que la majeure partie des réformes ont été</w:t>
      </w:r>
      <w:r>
        <w:t xml:space="preserve"> </w:t>
      </w:r>
      <w:r w:rsidRPr="0077615B">
        <w:t>[</w:t>
      </w:r>
      <w:r w:rsidRPr="0077615B">
        <w:rPr>
          <w:szCs w:val="18"/>
        </w:rPr>
        <w:t>154]</w:t>
      </w:r>
      <w:r>
        <w:rPr>
          <w:szCs w:val="18"/>
        </w:rPr>
        <w:t xml:space="preserve"> </w:t>
      </w:r>
      <w:r w:rsidRPr="0077615B">
        <w:rPr>
          <w:szCs w:val="22"/>
        </w:rPr>
        <w:t>faites sous les gouvernements Pearson et Trudeau, il serait surpr</w:t>
      </w:r>
      <w:r w:rsidRPr="0077615B">
        <w:rPr>
          <w:szCs w:val="22"/>
        </w:rPr>
        <w:t>e</w:t>
      </w:r>
      <w:r w:rsidRPr="0077615B">
        <w:rPr>
          <w:szCs w:val="22"/>
        </w:rPr>
        <w:t>nant que le gouvernement Mulroney altère radicalement le processus déc</w:t>
      </w:r>
      <w:r w:rsidRPr="0077615B">
        <w:rPr>
          <w:szCs w:val="22"/>
        </w:rPr>
        <w:t>i</w:t>
      </w:r>
      <w:r w:rsidRPr="0077615B">
        <w:rPr>
          <w:szCs w:val="22"/>
        </w:rPr>
        <w:t>sionnel en place. En effet, bien que les personnalités de Pierre Trudeau et de Michael Pitfield ont été des fa</w:t>
      </w:r>
      <w:r w:rsidRPr="0077615B">
        <w:rPr>
          <w:szCs w:val="22"/>
        </w:rPr>
        <w:t>c</w:t>
      </w:r>
      <w:r w:rsidRPr="0077615B">
        <w:rPr>
          <w:szCs w:val="22"/>
        </w:rPr>
        <w:t>teurs importants dans la mise en place des nouvelles structures déc</w:t>
      </w:r>
      <w:r w:rsidRPr="0077615B">
        <w:rPr>
          <w:szCs w:val="22"/>
        </w:rPr>
        <w:t>i</w:t>
      </w:r>
      <w:r w:rsidRPr="0077615B">
        <w:rPr>
          <w:szCs w:val="22"/>
        </w:rPr>
        <w:t>sionnelles, il demeure que ces dernières visaient à résoudre des pr</w:t>
      </w:r>
      <w:r w:rsidRPr="0077615B">
        <w:rPr>
          <w:szCs w:val="22"/>
        </w:rPr>
        <w:t>o</w:t>
      </w:r>
      <w:r w:rsidRPr="0077615B">
        <w:rPr>
          <w:szCs w:val="22"/>
        </w:rPr>
        <w:t>blèmes qui sont toujours présents : l'étendue et la complexité de l'a</w:t>
      </w:r>
      <w:r w:rsidRPr="0077615B">
        <w:rPr>
          <w:szCs w:val="22"/>
        </w:rPr>
        <w:t>p</w:t>
      </w:r>
      <w:r w:rsidRPr="0077615B">
        <w:rPr>
          <w:szCs w:val="22"/>
        </w:rPr>
        <w:t>pareil gouvernemental, la difficile gestion de l'économie canadie</w:t>
      </w:r>
      <w:r w:rsidRPr="0077615B">
        <w:rPr>
          <w:szCs w:val="22"/>
        </w:rPr>
        <w:t>n</w:t>
      </w:r>
      <w:r w:rsidRPr="0077615B">
        <w:rPr>
          <w:szCs w:val="22"/>
        </w:rPr>
        <w:t>ne</w:t>
      </w:r>
      <w:r>
        <w:rPr>
          <w:szCs w:val="22"/>
        </w:rPr>
        <w:t> </w:t>
      </w:r>
      <w:r w:rsidRPr="00427269">
        <w:rPr>
          <w:rStyle w:val="Appelnotedebasdep"/>
        </w:rPr>
        <w:footnoteReference w:id="267"/>
      </w:r>
      <w:r w:rsidRPr="0077615B">
        <w:rPr>
          <w:szCs w:val="22"/>
        </w:rPr>
        <w:t>, les contraintes budgétaires et la nécessité de mettre en place des programmes conformes aux priorités du gouvern</w:t>
      </w:r>
      <w:r w:rsidRPr="0077615B">
        <w:rPr>
          <w:szCs w:val="22"/>
        </w:rPr>
        <w:t>e</w:t>
      </w:r>
      <w:r w:rsidRPr="0077615B">
        <w:rPr>
          <w:szCs w:val="22"/>
        </w:rPr>
        <w:t>ment.</w:t>
      </w:r>
    </w:p>
    <w:p w:rsidR="00AD690E" w:rsidRPr="0077615B" w:rsidRDefault="00AD690E" w:rsidP="00AD690E">
      <w:pPr>
        <w:spacing w:before="120" w:after="120"/>
        <w:jc w:val="both"/>
      </w:pPr>
      <w:r w:rsidRPr="0077615B">
        <w:br w:type="page"/>
        <w:t>[155]</w:t>
      </w:r>
    </w:p>
    <w:p w:rsidR="00AD690E" w:rsidRPr="0077615B" w:rsidRDefault="00AD690E" w:rsidP="00AD690E">
      <w:pPr>
        <w:pStyle w:val="figtitre"/>
      </w:pPr>
      <w:r w:rsidRPr="0077615B">
        <w:t>ANNEXE 1</w:t>
      </w:r>
      <w:r w:rsidRPr="0077615B">
        <w:br/>
        <w:t>Enveloppes budgétaires 1986-1987</w:t>
      </w:r>
      <w:r w:rsidRPr="0077615B">
        <w:br/>
        <w:t>(en millions de dollars)</w:t>
      </w:r>
    </w:p>
    <w:tbl>
      <w:tblPr>
        <w:tblW w:w="0" w:type="auto"/>
        <w:tblLook w:val="00BF" w:firstRow="1" w:lastRow="0" w:firstColumn="1" w:lastColumn="0" w:noHBand="0" w:noVBand="0"/>
      </w:tblPr>
      <w:tblGrid>
        <w:gridCol w:w="6228"/>
        <w:gridCol w:w="1832"/>
      </w:tblGrid>
      <w:tr w:rsidR="00AD690E" w:rsidRPr="00094209">
        <w:tc>
          <w:tcPr>
            <w:tcW w:w="6228" w:type="dxa"/>
            <w:tcBorders>
              <w:top w:val="single" w:sz="12" w:space="0" w:color="auto"/>
            </w:tcBorders>
          </w:tcPr>
          <w:p w:rsidR="00AD690E" w:rsidRPr="00094209" w:rsidRDefault="00AD690E" w:rsidP="00AD690E">
            <w:pPr>
              <w:spacing w:before="120"/>
              <w:ind w:firstLine="0"/>
              <w:jc w:val="both"/>
              <w:rPr>
                <w:rFonts w:eastAsia="Times"/>
                <w:sz w:val="24"/>
                <w:szCs w:val="22"/>
              </w:rPr>
            </w:pPr>
            <w:r w:rsidRPr="00094209">
              <w:rPr>
                <w:rFonts w:eastAsia="Times"/>
                <w:sz w:val="24"/>
                <w:szCs w:val="22"/>
              </w:rPr>
              <w:t>Comités des priorités de la planification</w:t>
            </w:r>
          </w:p>
        </w:tc>
        <w:tc>
          <w:tcPr>
            <w:tcW w:w="1832" w:type="dxa"/>
            <w:tcBorders>
              <w:top w:val="single" w:sz="12" w:space="0" w:color="auto"/>
            </w:tcBorders>
          </w:tcPr>
          <w:p w:rsidR="00AD690E" w:rsidRPr="00094209" w:rsidRDefault="00AD690E" w:rsidP="00AD690E">
            <w:pPr>
              <w:ind w:right="554" w:firstLine="0"/>
              <w:jc w:val="right"/>
              <w:rPr>
                <w:rFonts w:eastAsia="Times"/>
                <w:sz w:val="24"/>
                <w:szCs w:val="22"/>
              </w:rPr>
            </w:pPr>
          </w:p>
        </w:tc>
      </w:tr>
      <w:tr w:rsidR="00AD690E" w:rsidRPr="00094209">
        <w:tc>
          <w:tcPr>
            <w:tcW w:w="6228" w:type="dxa"/>
          </w:tcPr>
          <w:p w:rsidR="00AD690E" w:rsidRPr="00094209" w:rsidRDefault="00AD690E" w:rsidP="00AD690E">
            <w:pPr>
              <w:spacing w:before="40" w:after="40"/>
              <w:ind w:left="720" w:firstLine="0"/>
              <w:rPr>
                <w:rFonts w:eastAsia="Times" w:cs="Arial"/>
                <w:sz w:val="24"/>
                <w:szCs w:val="22"/>
              </w:rPr>
            </w:pPr>
            <w:r w:rsidRPr="00094209">
              <w:rPr>
                <w:rFonts w:eastAsia="Times"/>
                <w:sz w:val="24"/>
                <w:szCs w:val="22"/>
              </w:rPr>
              <w:t>• Arrangements fiscaux</w:t>
            </w:r>
          </w:p>
        </w:tc>
        <w:tc>
          <w:tcPr>
            <w:tcW w:w="1832" w:type="dxa"/>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6,060</w:t>
            </w:r>
          </w:p>
        </w:tc>
      </w:tr>
      <w:tr w:rsidR="00AD690E" w:rsidRPr="00094209">
        <w:tc>
          <w:tcPr>
            <w:tcW w:w="6228" w:type="dxa"/>
          </w:tcPr>
          <w:p w:rsidR="00AD690E" w:rsidRPr="00094209" w:rsidRDefault="00AD690E" w:rsidP="00AD690E">
            <w:pPr>
              <w:spacing w:before="40" w:after="40"/>
              <w:ind w:left="720" w:firstLine="0"/>
              <w:rPr>
                <w:rFonts w:eastAsia="Times" w:cs="Arial"/>
                <w:sz w:val="24"/>
                <w:szCs w:val="22"/>
              </w:rPr>
            </w:pPr>
            <w:r w:rsidRPr="00094209">
              <w:rPr>
                <w:rFonts w:eastAsia="Times"/>
                <w:sz w:val="24"/>
                <w:szCs w:val="22"/>
              </w:rPr>
              <w:t>• Service de la dette</w:t>
            </w:r>
          </w:p>
        </w:tc>
        <w:tc>
          <w:tcPr>
            <w:tcW w:w="1832" w:type="dxa"/>
          </w:tcPr>
          <w:p w:rsidR="00AD690E" w:rsidRPr="00094209" w:rsidRDefault="00AD690E" w:rsidP="00AD690E">
            <w:pPr>
              <w:spacing w:before="40" w:after="40"/>
              <w:ind w:right="554" w:firstLine="0"/>
              <w:jc w:val="right"/>
              <w:rPr>
                <w:rFonts w:eastAsia="Times"/>
                <w:sz w:val="24"/>
              </w:rPr>
            </w:pPr>
            <w:r w:rsidRPr="00094209">
              <w:rPr>
                <w:rFonts w:eastAsia="Times"/>
                <w:sz w:val="24"/>
                <w:szCs w:val="22"/>
              </w:rPr>
              <w:t>27,345</w:t>
            </w:r>
          </w:p>
        </w:tc>
      </w:tr>
      <w:tr w:rsidR="00AD690E" w:rsidRPr="00094209">
        <w:tc>
          <w:tcPr>
            <w:tcW w:w="6228" w:type="dxa"/>
          </w:tcPr>
          <w:p w:rsidR="00AD690E" w:rsidRPr="00427269" w:rsidRDefault="00AD690E" w:rsidP="00AD690E">
            <w:pPr>
              <w:spacing w:before="120"/>
              <w:ind w:firstLine="0"/>
              <w:jc w:val="both"/>
              <w:rPr>
                <w:rFonts w:eastAsia="Times"/>
                <w:sz w:val="24"/>
                <w:szCs w:val="22"/>
              </w:rPr>
            </w:pPr>
            <w:r w:rsidRPr="00427269">
              <w:rPr>
                <w:rFonts w:eastAsia="Times"/>
                <w:sz w:val="24"/>
                <w:szCs w:val="22"/>
              </w:rPr>
              <w:t xml:space="preserve">Comités du développement économique et régional </w:t>
            </w:r>
            <w:r w:rsidRPr="00427269">
              <w:rPr>
                <w:rFonts w:eastAsia="Times"/>
                <w:color w:val="FF0000"/>
                <w:sz w:val="24"/>
                <w:szCs w:val="22"/>
                <w:vertAlign w:val="superscript"/>
              </w:rPr>
              <w:t>1</w:t>
            </w:r>
          </w:p>
        </w:tc>
        <w:tc>
          <w:tcPr>
            <w:tcW w:w="1832" w:type="dxa"/>
          </w:tcPr>
          <w:p w:rsidR="00AD690E" w:rsidRPr="00094209" w:rsidRDefault="00AD690E" w:rsidP="00AD690E">
            <w:pPr>
              <w:spacing w:before="40" w:after="40"/>
              <w:ind w:right="554" w:firstLine="0"/>
              <w:jc w:val="right"/>
              <w:rPr>
                <w:rFonts w:eastAsia="Times"/>
                <w:sz w:val="24"/>
                <w:szCs w:val="22"/>
              </w:rPr>
            </w:pPr>
          </w:p>
        </w:tc>
      </w:tr>
      <w:tr w:rsidR="00AD690E" w:rsidRPr="00094209">
        <w:tc>
          <w:tcPr>
            <w:tcW w:w="6228" w:type="dxa"/>
          </w:tcPr>
          <w:p w:rsidR="00AD690E" w:rsidRPr="00427269" w:rsidRDefault="00AD690E" w:rsidP="00AD690E">
            <w:pPr>
              <w:spacing w:before="40" w:after="40"/>
              <w:ind w:left="720" w:firstLine="0"/>
              <w:rPr>
                <w:rFonts w:eastAsia="Times"/>
                <w:sz w:val="24"/>
                <w:szCs w:val="22"/>
              </w:rPr>
            </w:pPr>
            <w:r w:rsidRPr="00427269">
              <w:rPr>
                <w:rFonts w:eastAsia="Times"/>
                <w:sz w:val="24"/>
                <w:szCs w:val="22"/>
              </w:rPr>
              <w:t>• Développement économique et régional</w:t>
            </w:r>
          </w:p>
        </w:tc>
        <w:tc>
          <w:tcPr>
            <w:tcW w:w="1832" w:type="dxa"/>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11,080</w:t>
            </w:r>
          </w:p>
        </w:tc>
      </w:tr>
      <w:tr w:rsidR="00AD690E" w:rsidRPr="00094209">
        <w:tc>
          <w:tcPr>
            <w:tcW w:w="6228" w:type="dxa"/>
          </w:tcPr>
          <w:p w:rsidR="00AD690E" w:rsidRPr="00427269" w:rsidRDefault="00AD690E" w:rsidP="00AD690E">
            <w:pPr>
              <w:spacing w:before="120"/>
              <w:ind w:firstLine="0"/>
              <w:jc w:val="both"/>
              <w:rPr>
                <w:rFonts w:eastAsia="Times"/>
                <w:sz w:val="24"/>
                <w:szCs w:val="22"/>
              </w:rPr>
            </w:pPr>
            <w:r w:rsidRPr="00427269">
              <w:rPr>
                <w:rFonts w:eastAsia="Times"/>
                <w:sz w:val="24"/>
                <w:szCs w:val="22"/>
              </w:rPr>
              <w:t>Comité du développement social</w:t>
            </w:r>
            <w:r>
              <w:rPr>
                <w:rFonts w:eastAsia="Times"/>
                <w:sz w:val="24"/>
                <w:szCs w:val="22"/>
              </w:rPr>
              <w:t xml:space="preserve"> </w:t>
            </w:r>
            <w:r w:rsidRPr="00427269">
              <w:rPr>
                <w:rFonts w:eastAsia="Times"/>
                <w:color w:val="FF0000"/>
                <w:sz w:val="24"/>
                <w:szCs w:val="22"/>
                <w:vertAlign w:val="superscript"/>
              </w:rPr>
              <w:t>1</w:t>
            </w:r>
          </w:p>
        </w:tc>
        <w:tc>
          <w:tcPr>
            <w:tcW w:w="1832" w:type="dxa"/>
          </w:tcPr>
          <w:p w:rsidR="00AD690E" w:rsidRPr="00094209" w:rsidRDefault="00AD690E" w:rsidP="00AD690E">
            <w:pPr>
              <w:spacing w:before="40" w:after="40"/>
              <w:ind w:right="554" w:firstLine="0"/>
              <w:jc w:val="right"/>
              <w:rPr>
                <w:rFonts w:eastAsia="Times"/>
                <w:sz w:val="24"/>
                <w:szCs w:val="22"/>
              </w:rPr>
            </w:pPr>
          </w:p>
        </w:tc>
      </w:tr>
      <w:tr w:rsidR="00AD690E" w:rsidRPr="00094209">
        <w:tc>
          <w:tcPr>
            <w:tcW w:w="6228" w:type="dxa"/>
          </w:tcPr>
          <w:p w:rsidR="00AD690E" w:rsidRPr="00427269" w:rsidRDefault="00AD690E" w:rsidP="00AD690E">
            <w:pPr>
              <w:spacing w:before="40" w:after="40"/>
              <w:ind w:left="720" w:firstLine="0"/>
              <w:rPr>
                <w:rFonts w:eastAsia="Times"/>
                <w:sz w:val="24"/>
                <w:szCs w:val="22"/>
              </w:rPr>
            </w:pPr>
            <w:r w:rsidRPr="00427269">
              <w:rPr>
                <w:rFonts w:eastAsia="Times"/>
                <w:sz w:val="24"/>
                <w:szCs w:val="22"/>
              </w:rPr>
              <w:t>• Développement social</w:t>
            </w:r>
          </w:p>
        </w:tc>
        <w:tc>
          <w:tcPr>
            <w:tcW w:w="1832" w:type="dxa"/>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54,865</w:t>
            </w:r>
          </w:p>
        </w:tc>
      </w:tr>
      <w:tr w:rsidR="00AD690E" w:rsidRPr="00094209">
        <w:tc>
          <w:tcPr>
            <w:tcW w:w="6228" w:type="dxa"/>
          </w:tcPr>
          <w:p w:rsidR="00AD690E" w:rsidRPr="00427269" w:rsidRDefault="00AD690E" w:rsidP="00AD690E">
            <w:pPr>
              <w:spacing w:before="120"/>
              <w:ind w:firstLine="0"/>
              <w:jc w:val="both"/>
              <w:rPr>
                <w:rFonts w:eastAsia="Times"/>
                <w:sz w:val="24"/>
                <w:szCs w:val="22"/>
              </w:rPr>
            </w:pPr>
            <w:r w:rsidRPr="00427269">
              <w:rPr>
                <w:rFonts w:eastAsia="Times"/>
                <w:sz w:val="24"/>
                <w:szCs w:val="22"/>
              </w:rPr>
              <w:t>Comité de la politique étrangère et de la défense</w:t>
            </w:r>
          </w:p>
        </w:tc>
        <w:tc>
          <w:tcPr>
            <w:tcW w:w="1832" w:type="dxa"/>
          </w:tcPr>
          <w:p w:rsidR="00AD690E" w:rsidRPr="00094209" w:rsidRDefault="00AD690E" w:rsidP="00AD690E">
            <w:pPr>
              <w:spacing w:before="40" w:after="40"/>
              <w:ind w:right="554" w:firstLine="0"/>
              <w:jc w:val="right"/>
              <w:rPr>
                <w:rFonts w:eastAsia="Times"/>
                <w:sz w:val="24"/>
                <w:szCs w:val="22"/>
              </w:rPr>
            </w:pPr>
          </w:p>
        </w:tc>
      </w:tr>
      <w:tr w:rsidR="00AD690E" w:rsidRPr="00094209">
        <w:tc>
          <w:tcPr>
            <w:tcW w:w="6228" w:type="dxa"/>
          </w:tcPr>
          <w:p w:rsidR="00AD690E" w:rsidRPr="00427269" w:rsidRDefault="00AD690E" w:rsidP="00AD690E">
            <w:pPr>
              <w:spacing w:before="40" w:after="40"/>
              <w:ind w:left="720" w:firstLine="0"/>
              <w:rPr>
                <w:rFonts w:eastAsia="Times"/>
                <w:sz w:val="24"/>
                <w:szCs w:val="22"/>
              </w:rPr>
            </w:pPr>
            <w:r w:rsidRPr="00427269">
              <w:rPr>
                <w:rFonts w:eastAsia="Times"/>
                <w:sz w:val="24"/>
                <w:szCs w:val="22"/>
              </w:rPr>
              <w:t>• Affaires extérieures et aide</w:t>
            </w:r>
          </w:p>
        </w:tc>
        <w:tc>
          <w:tcPr>
            <w:tcW w:w="1832" w:type="dxa"/>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3,100</w:t>
            </w:r>
          </w:p>
        </w:tc>
      </w:tr>
      <w:tr w:rsidR="00AD690E" w:rsidRPr="00094209">
        <w:tc>
          <w:tcPr>
            <w:tcW w:w="6228" w:type="dxa"/>
          </w:tcPr>
          <w:p w:rsidR="00AD690E" w:rsidRPr="00427269" w:rsidRDefault="00AD690E" w:rsidP="00AD690E">
            <w:pPr>
              <w:spacing w:before="40" w:after="40"/>
              <w:ind w:left="720" w:firstLine="0"/>
              <w:rPr>
                <w:rFonts w:eastAsia="Times"/>
                <w:sz w:val="24"/>
                <w:szCs w:val="22"/>
              </w:rPr>
            </w:pPr>
            <w:r w:rsidRPr="00427269">
              <w:rPr>
                <w:rFonts w:eastAsia="Times"/>
                <w:sz w:val="24"/>
                <w:szCs w:val="22"/>
              </w:rPr>
              <w:t>• Défense</w:t>
            </w:r>
          </w:p>
        </w:tc>
        <w:tc>
          <w:tcPr>
            <w:tcW w:w="1832" w:type="dxa"/>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9,860</w:t>
            </w:r>
          </w:p>
        </w:tc>
      </w:tr>
      <w:tr w:rsidR="00AD690E" w:rsidRPr="00094209">
        <w:tc>
          <w:tcPr>
            <w:tcW w:w="6228" w:type="dxa"/>
          </w:tcPr>
          <w:p w:rsidR="00AD690E" w:rsidRPr="00427269" w:rsidRDefault="00AD690E" w:rsidP="00AD690E">
            <w:pPr>
              <w:spacing w:before="120"/>
              <w:ind w:firstLine="0"/>
              <w:jc w:val="both"/>
              <w:rPr>
                <w:rFonts w:eastAsia="Times"/>
                <w:sz w:val="24"/>
                <w:szCs w:val="22"/>
              </w:rPr>
            </w:pPr>
            <w:r w:rsidRPr="00427269">
              <w:rPr>
                <w:rFonts w:eastAsia="Times"/>
                <w:sz w:val="24"/>
                <w:szCs w:val="22"/>
              </w:rPr>
              <w:t>Comité des opérations gouvernementales</w:t>
            </w:r>
            <w:r>
              <w:rPr>
                <w:rFonts w:eastAsia="Times"/>
                <w:sz w:val="24"/>
                <w:szCs w:val="22"/>
              </w:rPr>
              <w:t xml:space="preserve"> </w:t>
            </w:r>
            <w:r w:rsidRPr="00427269">
              <w:rPr>
                <w:rFonts w:eastAsia="Times"/>
                <w:color w:val="FF0000"/>
                <w:sz w:val="24"/>
                <w:szCs w:val="22"/>
                <w:vertAlign w:val="superscript"/>
              </w:rPr>
              <w:t>2</w:t>
            </w:r>
          </w:p>
        </w:tc>
        <w:tc>
          <w:tcPr>
            <w:tcW w:w="1832" w:type="dxa"/>
          </w:tcPr>
          <w:p w:rsidR="00AD690E" w:rsidRPr="00094209" w:rsidRDefault="00AD690E" w:rsidP="00AD690E">
            <w:pPr>
              <w:spacing w:before="40" w:after="40"/>
              <w:ind w:right="554" w:firstLine="0"/>
              <w:jc w:val="right"/>
              <w:rPr>
                <w:rFonts w:eastAsia="Times"/>
                <w:sz w:val="24"/>
                <w:szCs w:val="22"/>
              </w:rPr>
            </w:pPr>
          </w:p>
        </w:tc>
      </w:tr>
      <w:tr w:rsidR="00AD690E" w:rsidRPr="00094209">
        <w:tc>
          <w:tcPr>
            <w:tcW w:w="6228" w:type="dxa"/>
          </w:tcPr>
          <w:p w:rsidR="00AD690E" w:rsidRPr="00094209" w:rsidRDefault="00AD690E" w:rsidP="00AD690E">
            <w:pPr>
              <w:spacing w:before="40" w:after="40"/>
              <w:ind w:left="720" w:firstLine="0"/>
              <w:rPr>
                <w:rFonts w:eastAsia="Times"/>
                <w:sz w:val="24"/>
                <w:szCs w:val="22"/>
              </w:rPr>
            </w:pPr>
            <w:r w:rsidRPr="00094209">
              <w:rPr>
                <w:rFonts w:eastAsia="Times"/>
                <w:sz w:val="24"/>
                <w:szCs w:val="22"/>
              </w:rPr>
              <w:t>• Parlement</w:t>
            </w:r>
          </w:p>
        </w:tc>
        <w:tc>
          <w:tcPr>
            <w:tcW w:w="1832" w:type="dxa"/>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207</w:t>
            </w:r>
          </w:p>
        </w:tc>
      </w:tr>
      <w:tr w:rsidR="00AD690E" w:rsidRPr="00094209">
        <w:tc>
          <w:tcPr>
            <w:tcW w:w="6228" w:type="dxa"/>
            <w:tcBorders>
              <w:bottom w:val="single" w:sz="12" w:space="0" w:color="auto"/>
            </w:tcBorders>
          </w:tcPr>
          <w:p w:rsidR="00AD690E" w:rsidRPr="00094209" w:rsidRDefault="00AD690E" w:rsidP="00AD690E">
            <w:pPr>
              <w:spacing w:before="40" w:after="40"/>
              <w:ind w:left="720" w:firstLine="0"/>
              <w:rPr>
                <w:rFonts w:eastAsia="Times"/>
                <w:sz w:val="24"/>
                <w:szCs w:val="22"/>
              </w:rPr>
            </w:pPr>
            <w:r w:rsidRPr="00094209">
              <w:rPr>
                <w:rFonts w:eastAsia="Times"/>
                <w:sz w:val="24"/>
                <w:szCs w:val="22"/>
              </w:rPr>
              <w:t>• Services gouvernementaux</w:t>
            </w:r>
          </w:p>
        </w:tc>
        <w:tc>
          <w:tcPr>
            <w:tcW w:w="1832" w:type="dxa"/>
            <w:tcBorders>
              <w:bottom w:val="single" w:sz="12" w:space="0" w:color="auto"/>
            </w:tcBorders>
          </w:tcPr>
          <w:p w:rsidR="00AD690E" w:rsidRPr="00094209" w:rsidRDefault="00AD690E" w:rsidP="00AD690E">
            <w:pPr>
              <w:spacing w:before="40" w:after="40"/>
              <w:ind w:right="554" w:firstLine="0"/>
              <w:jc w:val="right"/>
              <w:rPr>
                <w:rFonts w:eastAsia="Times"/>
                <w:sz w:val="24"/>
                <w:szCs w:val="22"/>
              </w:rPr>
            </w:pPr>
            <w:r w:rsidRPr="00094209">
              <w:rPr>
                <w:rFonts w:eastAsia="Times"/>
                <w:sz w:val="24"/>
                <w:szCs w:val="22"/>
              </w:rPr>
              <w:t>3,380</w:t>
            </w:r>
          </w:p>
        </w:tc>
      </w:tr>
    </w:tbl>
    <w:p w:rsidR="00AD690E" w:rsidRPr="0077615B" w:rsidRDefault="00AD690E" w:rsidP="00AD690E">
      <w:pPr>
        <w:pStyle w:val="figst"/>
      </w:pPr>
      <w:r w:rsidRPr="0077615B">
        <w:t>Source : Ministère des Finances, Le plan financier, Ottawa, février 1986, p. 33.</w:t>
      </w:r>
    </w:p>
    <w:p w:rsidR="00AD690E" w:rsidRDefault="00AD690E" w:rsidP="00AD690E">
      <w:pPr>
        <w:spacing w:before="120" w:after="120"/>
        <w:jc w:val="both"/>
        <w:rPr>
          <w:szCs w:val="18"/>
        </w:rPr>
      </w:pPr>
    </w:p>
    <w:p w:rsidR="00AD690E" w:rsidRPr="0077615B" w:rsidRDefault="00AD690E" w:rsidP="00AD690E">
      <w:pPr>
        <w:spacing w:before="120" w:after="120"/>
        <w:ind w:hanging="142"/>
        <w:jc w:val="both"/>
        <w:rPr>
          <w:sz w:val="24"/>
          <w:szCs w:val="18"/>
        </w:rPr>
      </w:pPr>
      <w:r w:rsidRPr="0077615B">
        <w:rPr>
          <w:sz w:val="24"/>
          <w:szCs w:val="18"/>
        </w:rPr>
        <w:t>1. À l'arrivée au pouvoir du gouvernement conservateur dirigé par Brian Mulr</w:t>
      </w:r>
      <w:r w:rsidRPr="0077615B">
        <w:rPr>
          <w:sz w:val="24"/>
          <w:szCs w:val="18"/>
        </w:rPr>
        <w:t>o</w:t>
      </w:r>
      <w:r w:rsidRPr="0077615B">
        <w:rPr>
          <w:sz w:val="24"/>
          <w:szCs w:val="18"/>
        </w:rPr>
        <w:t>ney, les comités du Cabinet respectivement chargés du développement économ</w:t>
      </w:r>
      <w:r w:rsidRPr="0077615B">
        <w:rPr>
          <w:sz w:val="24"/>
          <w:szCs w:val="18"/>
        </w:rPr>
        <w:t>i</w:t>
      </w:r>
      <w:r w:rsidRPr="0077615B">
        <w:rPr>
          <w:sz w:val="24"/>
          <w:szCs w:val="18"/>
        </w:rPr>
        <w:t>que et régional et du développement social ont vu leurs deux enveloppes budg</w:t>
      </w:r>
      <w:r w:rsidRPr="0077615B">
        <w:rPr>
          <w:sz w:val="24"/>
          <w:szCs w:val="18"/>
        </w:rPr>
        <w:t>é</w:t>
      </w:r>
      <w:r w:rsidRPr="0077615B">
        <w:rPr>
          <w:sz w:val="24"/>
          <w:szCs w:val="18"/>
        </w:rPr>
        <w:t>taires propres fusionnées en une seule pour chaque comité. L'enveloppe de l'éne</w:t>
      </w:r>
      <w:r w:rsidRPr="0077615B">
        <w:rPr>
          <w:sz w:val="24"/>
          <w:szCs w:val="18"/>
        </w:rPr>
        <w:t>r</w:t>
      </w:r>
      <w:r w:rsidRPr="0077615B">
        <w:rPr>
          <w:sz w:val="24"/>
          <w:szCs w:val="18"/>
        </w:rPr>
        <w:t>gie a été intégrée à celle du développement économique et l'enveloppe des affaires jur</w:t>
      </w:r>
      <w:r w:rsidRPr="0077615B">
        <w:rPr>
          <w:sz w:val="24"/>
          <w:szCs w:val="18"/>
        </w:rPr>
        <w:t>i</w:t>
      </w:r>
      <w:r w:rsidRPr="0077615B">
        <w:rPr>
          <w:sz w:val="24"/>
          <w:szCs w:val="18"/>
        </w:rPr>
        <w:t>diques et de la justice à celle du dévelo</w:t>
      </w:r>
      <w:r w:rsidRPr="0077615B">
        <w:rPr>
          <w:sz w:val="24"/>
          <w:szCs w:val="18"/>
        </w:rPr>
        <w:t>p</w:t>
      </w:r>
      <w:r w:rsidRPr="0077615B">
        <w:rPr>
          <w:sz w:val="24"/>
          <w:szCs w:val="18"/>
        </w:rPr>
        <w:t>pement social.</w:t>
      </w:r>
    </w:p>
    <w:p w:rsidR="00AD690E" w:rsidRPr="0077615B" w:rsidRDefault="00AD690E" w:rsidP="00AD690E">
      <w:pPr>
        <w:spacing w:before="120" w:after="120"/>
        <w:ind w:hanging="142"/>
        <w:jc w:val="both"/>
        <w:rPr>
          <w:sz w:val="24"/>
          <w:szCs w:val="18"/>
        </w:rPr>
      </w:pPr>
      <w:r w:rsidRPr="0077615B">
        <w:rPr>
          <w:sz w:val="24"/>
          <w:szCs w:val="18"/>
        </w:rPr>
        <w:t>2. Lors de la restructuration des comités du Cabinet en septembre 1985, le comité du Cabinet chargé des opérations a non seulement changé de nom (voir graphique IV) mais il a aussi perdu le contrôle de son enveloppe bu</w:t>
      </w:r>
      <w:r w:rsidRPr="0077615B">
        <w:rPr>
          <w:sz w:val="24"/>
          <w:szCs w:val="18"/>
        </w:rPr>
        <w:t>d</w:t>
      </w:r>
      <w:r w:rsidRPr="0077615B">
        <w:rPr>
          <w:sz w:val="24"/>
          <w:szCs w:val="18"/>
        </w:rPr>
        <w:t>gétaire. Le budget de dépenses est passé au Conseil du trésor et le fonds de réserve a été r</w:t>
      </w:r>
      <w:r w:rsidRPr="0077615B">
        <w:rPr>
          <w:sz w:val="24"/>
          <w:szCs w:val="18"/>
        </w:rPr>
        <w:t>é</w:t>
      </w:r>
      <w:r w:rsidRPr="0077615B">
        <w:rPr>
          <w:sz w:val="24"/>
          <w:szCs w:val="18"/>
        </w:rPr>
        <w:t>parti entre les enveloppes du développement social et du développement économique et régi</w:t>
      </w:r>
      <w:r w:rsidRPr="0077615B">
        <w:rPr>
          <w:sz w:val="24"/>
          <w:szCs w:val="18"/>
        </w:rPr>
        <w:t>o</w:t>
      </w:r>
      <w:r w:rsidRPr="0077615B">
        <w:rPr>
          <w:sz w:val="24"/>
          <w:szCs w:val="18"/>
        </w:rPr>
        <w:t>nal.</w:t>
      </w:r>
      <w:r w:rsidRPr="00CF2707">
        <w:rPr>
          <w:sz w:val="24"/>
          <w:szCs w:val="18"/>
        </w:rPr>
        <w:t xml:space="preserve"> </w:t>
      </w:r>
    </w:p>
    <w:p w:rsidR="00AD690E" w:rsidRDefault="00AD690E" w:rsidP="00AD690E">
      <w:pPr>
        <w:spacing w:before="120" w:after="120"/>
        <w:ind w:firstLine="0"/>
        <w:jc w:val="both"/>
        <w:rPr>
          <w:szCs w:val="18"/>
        </w:rPr>
      </w:pPr>
    </w:p>
    <w:p w:rsidR="00AD690E" w:rsidRDefault="00AD690E" w:rsidP="00AD690E">
      <w:pPr>
        <w:spacing w:before="120" w:after="120"/>
        <w:ind w:firstLine="0"/>
        <w:jc w:val="both"/>
        <w:rPr>
          <w:szCs w:val="18"/>
        </w:rPr>
      </w:pPr>
      <w:r>
        <w:rPr>
          <w:szCs w:val="18"/>
        </w:rPr>
        <w:t>[156]</w:t>
      </w:r>
    </w:p>
    <w:p w:rsidR="00AD690E" w:rsidRDefault="00AD690E" w:rsidP="00AD690E">
      <w:pPr>
        <w:spacing w:before="120" w:after="120"/>
        <w:ind w:firstLine="0"/>
        <w:jc w:val="both"/>
        <w:rPr>
          <w:szCs w:val="18"/>
        </w:rPr>
      </w:pPr>
      <w:r w:rsidRPr="0077615B">
        <w:rPr>
          <w:szCs w:val="18"/>
        </w:rPr>
        <w:br w:type="page"/>
      </w:r>
      <w:r>
        <w:rPr>
          <w:szCs w:val="18"/>
        </w:rPr>
        <w:t>[157]</w:t>
      </w:r>
    </w:p>
    <w:p w:rsidR="00AD690E" w:rsidRPr="00E07116" w:rsidRDefault="00AD690E" w:rsidP="00AD690E">
      <w:pPr>
        <w:jc w:val="both"/>
      </w:pPr>
    </w:p>
    <w:p w:rsidR="00AD690E" w:rsidRPr="00E07116" w:rsidRDefault="00AD690E" w:rsidP="00AD690E"/>
    <w:p w:rsidR="00AD690E" w:rsidRPr="00E07116" w:rsidRDefault="00AD690E" w:rsidP="00AD690E">
      <w:pPr>
        <w:jc w:val="both"/>
      </w:pPr>
    </w:p>
    <w:p w:rsidR="00AD690E" w:rsidRPr="00E07116" w:rsidRDefault="00AD690E" w:rsidP="00AD690E">
      <w:pPr>
        <w:jc w:val="both"/>
      </w:pPr>
    </w:p>
    <w:p w:rsidR="00AD690E" w:rsidRPr="00A32BFB" w:rsidRDefault="00AD690E" w:rsidP="00AD690E">
      <w:pPr>
        <w:spacing w:after="120"/>
        <w:jc w:val="center"/>
        <w:rPr>
          <w:b/>
        </w:rPr>
      </w:pPr>
      <w:bookmarkStart w:id="11" w:name="ere_Liberaux_pt2"/>
      <w:r w:rsidRPr="00A32BFB">
        <w:rPr>
          <w:b/>
        </w:rPr>
        <w:t>L’ère des Libéraux.</w:t>
      </w:r>
      <w:r w:rsidRPr="00A32BFB">
        <w:rPr>
          <w:b/>
        </w:rPr>
        <w:br/>
        <w:t>Le pouvoir fédéral de 1963 à 1984.</w:t>
      </w:r>
    </w:p>
    <w:p w:rsidR="00AD690E" w:rsidRPr="00E07116" w:rsidRDefault="00AD690E" w:rsidP="00AD690E">
      <w:pPr>
        <w:jc w:val="both"/>
      </w:pPr>
    </w:p>
    <w:p w:rsidR="00AD690E" w:rsidRPr="00384B20" w:rsidRDefault="00AD690E" w:rsidP="00AD690E">
      <w:pPr>
        <w:pStyle w:val="partie"/>
        <w:jc w:val="center"/>
        <w:rPr>
          <w:sz w:val="72"/>
        </w:rPr>
      </w:pPr>
      <w:r>
        <w:rPr>
          <w:sz w:val="72"/>
        </w:rPr>
        <w:t>Deuxième</w:t>
      </w:r>
      <w:r w:rsidRPr="00384B20">
        <w:rPr>
          <w:sz w:val="72"/>
        </w:rPr>
        <w:t xml:space="preserve"> partie</w:t>
      </w:r>
    </w:p>
    <w:p w:rsidR="00AD690E" w:rsidRPr="00E07116" w:rsidRDefault="00AD690E" w:rsidP="00AD690E">
      <w:pPr>
        <w:jc w:val="both"/>
      </w:pPr>
    </w:p>
    <w:p w:rsidR="00AD690E" w:rsidRPr="00384B20" w:rsidRDefault="00AD690E" w:rsidP="00AD690E">
      <w:pPr>
        <w:pStyle w:val="Titreniveau2"/>
      </w:pPr>
      <w:r>
        <w:t>QUESTIONS ÉCONOMIQUES</w:t>
      </w:r>
    </w:p>
    <w:bookmarkEnd w:id="11"/>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E07116" w:rsidRDefault="00AD690E" w:rsidP="00AD690E">
      <w:pPr>
        <w:jc w:val="both"/>
      </w:pPr>
    </w:p>
    <w:p w:rsidR="00AD690E" w:rsidRDefault="00AD690E" w:rsidP="00AD690E">
      <w:pPr>
        <w:spacing w:before="120" w:after="120"/>
        <w:ind w:firstLine="0"/>
        <w:jc w:val="both"/>
      </w:pPr>
      <w:r>
        <w:t>[158]</w:t>
      </w:r>
    </w:p>
    <w:p w:rsidR="00AD690E" w:rsidRDefault="00AD690E" w:rsidP="00AD690E">
      <w:pPr>
        <w:spacing w:before="120" w:after="120"/>
        <w:ind w:firstLine="0"/>
        <w:jc w:val="both"/>
      </w:pPr>
    </w:p>
    <w:p w:rsidR="00AD690E" w:rsidRDefault="00AD690E" w:rsidP="00AD690E">
      <w:pPr>
        <w:spacing w:before="120" w:after="120"/>
        <w:ind w:firstLine="0"/>
        <w:jc w:val="both"/>
      </w:pPr>
      <w:r w:rsidRPr="0077615B">
        <w:br w:type="page"/>
      </w:r>
      <w:r>
        <w:t>[159]</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2" w:name="ere_Liberaux_pt2_texte_07"/>
      <w:r>
        <w:rPr>
          <w:b/>
          <w:color w:val="000080"/>
          <w:sz w:val="24"/>
        </w:rPr>
        <w:t>DEUXIÈME</w:t>
      </w:r>
      <w:r w:rsidRPr="003634E0">
        <w:rPr>
          <w:b/>
          <w:color w:val="000080"/>
          <w:sz w:val="24"/>
        </w:rPr>
        <w:t xml:space="preserve"> PARTIE</w:t>
      </w:r>
      <w:r w:rsidRPr="003634E0">
        <w:rPr>
          <w:b/>
          <w:color w:val="000080"/>
          <w:sz w:val="24"/>
        </w:rPr>
        <w:br/>
        <w:t xml:space="preserve">QUESTIONS </w:t>
      </w:r>
      <w:r>
        <w:rPr>
          <w:b/>
          <w:color w:val="000080"/>
          <w:sz w:val="24"/>
        </w:rPr>
        <w:t>ÉCONOMIQUES</w:t>
      </w:r>
    </w:p>
    <w:p w:rsidR="00AD690E" w:rsidRPr="00E07116" w:rsidRDefault="00AD690E" w:rsidP="00AD690E">
      <w:pPr>
        <w:jc w:val="both"/>
        <w:rPr>
          <w:szCs w:val="36"/>
        </w:rPr>
      </w:pPr>
    </w:p>
    <w:p w:rsidR="00AD690E" w:rsidRPr="00E07116" w:rsidRDefault="00AD690E" w:rsidP="00AD690E">
      <w:pPr>
        <w:pStyle w:val="planchest"/>
      </w:pPr>
      <w:r>
        <w:t>“L’économie politique</w:t>
      </w:r>
      <w:r>
        <w:br/>
        <w:t>du fédéralisme canadien</w:t>
      </w:r>
      <w:r>
        <w:br/>
        <w:t>de 1963 à 1984.”</w:t>
      </w:r>
    </w:p>
    <w:bookmarkEnd w:id="12"/>
    <w:p w:rsidR="00AD690E" w:rsidRPr="00E07116" w:rsidRDefault="00AD690E" w:rsidP="00AD690E">
      <w:pPr>
        <w:ind w:firstLine="0"/>
        <w:jc w:val="center"/>
      </w:pPr>
    </w:p>
    <w:p w:rsidR="00AD690E" w:rsidRDefault="00AD690E" w:rsidP="00AD690E">
      <w:pPr>
        <w:ind w:firstLine="0"/>
        <w:jc w:val="center"/>
      </w:pPr>
      <w:r>
        <w:t>par</w:t>
      </w:r>
    </w:p>
    <w:p w:rsidR="00AD690E" w:rsidRDefault="00AD690E" w:rsidP="00AD690E">
      <w:pPr>
        <w:ind w:firstLine="0"/>
        <w:jc w:val="center"/>
      </w:pPr>
    </w:p>
    <w:tbl>
      <w:tblPr>
        <w:tblW w:w="0" w:type="auto"/>
        <w:tblLook w:val="00BF" w:firstRow="1" w:lastRow="0" w:firstColumn="1" w:lastColumn="0" w:noHBand="0" w:noVBand="0"/>
      </w:tblPr>
      <w:tblGrid>
        <w:gridCol w:w="4030"/>
        <w:gridCol w:w="4030"/>
      </w:tblGrid>
      <w:tr w:rsidR="00AD690E">
        <w:tc>
          <w:tcPr>
            <w:tcW w:w="4030" w:type="dxa"/>
          </w:tcPr>
          <w:p w:rsidR="00AD690E" w:rsidRPr="00E07116" w:rsidRDefault="00AD690E" w:rsidP="00AD690E">
            <w:pPr>
              <w:pStyle w:val="suite"/>
            </w:pPr>
            <w:r>
              <w:t>Dorval BRUNELLE</w:t>
            </w:r>
          </w:p>
          <w:p w:rsidR="00AD690E" w:rsidRDefault="00AD690E" w:rsidP="00AD690E">
            <w:pPr>
              <w:spacing w:before="120"/>
              <w:ind w:firstLine="0"/>
              <w:jc w:val="center"/>
            </w:pPr>
            <w:r w:rsidRPr="00AD690E">
              <w:rPr>
                <w:sz w:val="24"/>
                <w:szCs w:val="22"/>
              </w:rPr>
              <w:t>Département de sociologie</w:t>
            </w:r>
            <w:r w:rsidRPr="00AD690E">
              <w:rPr>
                <w:sz w:val="24"/>
                <w:szCs w:val="22"/>
              </w:rPr>
              <w:br/>
              <w:t>Un</w:t>
            </w:r>
            <w:r w:rsidRPr="00AD690E">
              <w:rPr>
                <w:sz w:val="24"/>
                <w:szCs w:val="22"/>
              </w:rPr>
              <w:t>i</w:t>
            </w:r>
            <w:r w:rsidRPr="00AD690E">
              <w:rPr>
                <w:sz w:val="24"/>
                <w:szCs w:val="22"/>
              </w:rPr>
              <w:t>versité du Québec à Montréal</w:t>
            </w:r>
          </w:p>
        </w:tc>
        <w:tc>
          <w:tcPr>
            <w:tcW w:w="4030" w:type="dxa"/>
          </w:tcPr>
          <w:p w:rsidR="00AD690E" w:rsidRPr="00E07116" w:rsidRDefault="00AD690E" w:rsidP="00AD690E">
            <w:pPr>
              <w:pStyle w:val="suite"/>
            </w:pPr>
            <w:r>
              <w:t>Christian DEBLOCK</w:t>
            </w:r>
          </w:p>
          <w:p w:rsidR="00AD690E" w:rsidRDefault="00AD690E" w:rsidP="00AD690E">
            <w:pPr>
              <w:spacing w:before="120"/>
              <w:ind w:firstLine="0"/>
              <w:jc w:val="center"/>
            </w:pPr>
            <w:r w:rsidRPr="00AD690E">
              <w:rPr>
                <w:sz w:val="24"/>
                <w:szCs w:val="22"/>
              </w:rPr>
              <w:t>Département de science politique</w:t>
            </w:r>
            <w:r w:rsidRPr="00AD690E">
              <w:rPr>
                <w:sz w:val="24"/>
                <w:szCs w:val="22"/>
              </w:rPr>
              <w:br/>
              <w:t>Un</w:t>
            </w:r>
            <w:r w:rsidRPr="00AD690E">
              <w:rPr>
                <w:sz w:val="24"/>
                <w:szCs w:val="22"/>
              </w:rPr>
              <w:t>i</w:t>
            </w:r>
            <w:r w:rsidRPr="00AD690E">
              <w:rPr>
                <w:sz w:val="24"/>
                <w:szCs w:val="22"/>
              </w:rPr>
              <w:t>versité du Québec à Montréal</w:t>
            </w:r>
          </w:p>
        </w:tc>
      </w:tr>
    </w:tbl>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77615B" w:rsidRDefault="00AD690E" w:rsidP="00AD690E">
      <w:pPr>
        <w:spacing w:before="120" w:after="120"/>
        <w:jc w:val="both"/>
      </w:pPr>
      <w:r w:rsidRPr="0077615B">
        <w:rPr>
          <w:szCs w:val="22"/>
        </w:rPr>
        <w:t>Si on ne peut dissocier l'État et le marché</w:t>
      </w:r>
      <w:r>
        <w:rPr>
          <w:szCs w:val="22"/>
          <w:vertAlign w:val="superscript"/>
        </w:rPr>
        <w:t xml:space="preserve"> </w:t>
      </w:r>
      <w:r w:rsidRPr="003F3D5C">
        <w:rPr>
          <w:rStyle w:val="Appelnotedebasdep"/>
        </w:rPr>
        <w:footnoteReference w:id="268"/>
      </w:r>
      <w:r w:rsidRPr="0077615B">
        <w:rPr>
          <w:szCs w:val="22"/>
        </w:rPr>
        <w:t>, on ne peut non plus di</w:t>
      </w:r>
      <w:r w:rsidRPr="0077615B">
        <w:rPr>
          <w:szCs w:val="22"/>
        </w:rPr>
        <w:t>s</w:t>
      </w:r>
      <w:r w:rsidRPr="0077615B">
        <w:rPr>
          <w:szCs w:val="22"/>
        </w:rPr>
        <w:t>socier celui-ci du contexte historique et géographique dans lequel il s'insère, c'est-à-dire des modalités particulières de la croissance éc</w:t>
      </w:r>
      <w:r w:rsidRPr="0077615B">
        <w:rPr>
          <w:szCs w:val="22"/>
        </w:rPr>
        <w:t>o</w:t>
      </w:r>
      <w:r w:rsidRPr="0077615B">
        <w:rPr>
          <w:szCs w:val="22"/>
        </w:rPr>
        <w:t>nom</w:t>
      </w:r>
      <w:r w:rsidRPr="0077615B">
        <w:rPr>
          <w:szCs w:val="22"/>
        </w:rPr>
        <w:t>i</w:t>
      </w:r>
      <w:r w:rsidRPr="0077615B">
        <w:rPr>
          <w:szCs w:val="22"/>
        </w:rPr>
        <w:t>que et du développement social dans le temps et l'espace. L'État keynésien, tel qu'il s'est déployé depuis l'après-guerre aux années qu</w:t>
      </w:r>
      <w:r w:rsidRPr="0077615B">
        <w:rPr>
          <w:szCs w:val="22"/>
        </w:rPr>
        <w:t>a</w:t>
      </w:r>
      <w:r w:rsidRPr="0077615B">
        <w:rPr>
          <w:szCs w:val="22"/>
        </w:rPr>
        <w:t>tre-vingt, a correspondu à une époque donnée du capit</w:t>
      </w:r>
      <w:r w:rsidRPr="0077615B">
        <w:rPr>
          <w:szCs w:val="22"/>
        </w:rPr>
        <w:t>a</w:t>
      </w:r>
      <w:r w:rsidRPr="0077615B">
        <w:rPr>
          <w:szCs w:val="22"/>
        </w:rPr>
        <w:t>lisme, celle du fordisme</w:t>
      </w:r>
      <w:r>
        <w:rPr>
          <w:szCs w:val="22"/>
          <w:vertAlign w:val="superscript"/>
        </w:rPr>
        <w:t xml:space="preserve"> </w:t>
      </w:r>
      <w:r w:rsidRPr="003F3D5C">
        <w:rPr>
          <w:rStyle w:val="Appelnotedebasdep"/>
        </w:rPr>
        <w:footnoteReference w:id="269"/>
      </w:r>
      <w:r w:rsidRPr="0077615B">
        <w:rPr>
          <w:szCs w:val="22"/>
        </w:rPr>
        <w:t>. D'un pays à l'autre, l'intervention de l'État a pris des fo</w:t>
      </w:r>
      <w:r w:rsidRPr="0077615B">
        <w:rPr>
          <w:szCs w:val="22"/>
        </w:rPr>
        <w:t>r</w:t>
      </w:r>
      <w:r w:rsidRPr="0077615B">
        <w:rPr>
          <w:szCs w:val="22"/>
        </w:rPr>
        <w:t>mes différentes, mais toujours à l'i</w:t>
      </w:r>
      <w:r w:rsidRPr="0077615B">
        <w:rPr>
          <w:szCs w:val="22"/>
        </w:rPr>
        <w:t>n</w:t>
      </w:r>
      <w:r w:rsidRPr="0077615B">
        <w:rPr>
          <w:szCs w:val="22"/>
        </w:rPr>
        <w:t>térieur d'un même modèle de sorte que c'est dans la nature du projet d'économie mixte qui a servi de fo</w:t>
      </w:r>
      <w:r w:rsidRPr="0077615B">
        <w:rPr>
          <w:szCs w:val="22"/>
        </w:rPr>
        <w:t>n</w:t>
      </w:r>
      <w:r w:rsidRPr="0077615B">
        <w:rPr>
          <w:szCs w:val="22"/>
        </w:rPr>
        <w:t>dement à l'interventionnisme et dans les caractéristiques de la croi</w:t>
      </w:r>
      <w:r w:rsidRPr="0077615B">
        <w:rPr>
          <w:szCs w:val="22"/>
        </w:rPr>
        <w:t>s</w:t>
      </w:r>
      <w:r w:rsidRPr="0077615B">
        <w:rPr>
          <w:szCs w:val="22"/>
        </w:rPr>
        <w:t>sance économique propres à chaque pays qu'il faut rechercher ces di</w:t>
      </w:r>
      <w:r w:rsidRPr="0077615B">
        <w:rPr>
          <w:szCs w:val="22"/>
        </w:rPr>
        <w:t>f</w:t>
      </w:r>
      <w:r w:rsidRPr="0077615B">
        <w:rPr>
          <w:szCs w:val="22"/>
        </w:rPr>
        <w:t>férences. Les facteurs politiques, comme l'allégeance du parti au po</w:t>
      </w:r>
      <w:r w:rsidRPr="0077615B">
        <w:rPr>
          <w:szCs w:val="22"/>
        </w:rPr>
        <w:t>u</w:t>
      </w:r>
      <w:r w:rsidRPr="0077615B">
        <w:rPr>
          <w:szCs w:val="22"/>
        </w:rPr>
        <w:t>voir, l'identité du premier ministre, le cadre constitutionnel, le jeu de la démocratie et des groupes de pression, ainsi que les facteurs éc</w:t>
      </w:r>
      <w:r w:rsidRPr="0077615B">
        <w:rPr>
          <w:szCs w:val="22"/>
        </w:rPr>
        <w:t>o</w:t>
      </w:r>
      <w:r w:rsidRPr="0077615B">
        <w:rPr>
          <w:szCs w:val="22"/>
        </w:rPr>
        <w:t>nomiques, comme le degré d'ouverture de l'économie, le comport</w:t>
      </w:r>
      <w:r w:rsidRPr="0077615B">
        <w:rPr>
          <w:szCs w:val="22"/>
        </w:rPr>
        <w:t>e</w:t>
      </w:r>
      <w:r w:rsidRPr="0077615B">
        <w:rPr>
          <w:szCs w:val="22"/>
        </w:rPr>
        <w:t>ment de l'activité économique, les problèmes structurels de</w:t>
      </w:r>
      <w:r>
        <w:rPr>
          <w:szCs w:val="22"/>
        </w:rPr>
        <w:t xml:space="preserve"> </w:t>
      </w:r>
      <w:r>
        <w:rPr>
          <w:szCs w:val="18"/>
        </w:rPr>
        <w:t>[</w:t>
      </w:r>
      <w:r w:rsidRPr="0077615B">
        <w:rPr>
          <w:szCs w:val="18"/>
        </w:rPr>
        <w:t>160</w:t>
      </w:r>
      <w:r>
        <w:rPr>
          <w:szCs w:val="18"/>
        </w:rPr>
        <w:t xml:space="preserve">] </w:t>
      </w:r>
      <w:r w:rsidRPr="0077615B">
        <w:rPr>
          <w:szCs w:val="22"/>
        </w:rPr>
        <w:t>d</w:t>
      </w:r>
      <w:r w:rsidRPr="0077615B">
        <w:rPr>
          <w:szCs w:val="22"/>
        </w:rPr>
        <w:t>é</w:t>
      </w:r>
      <w:r w:rsidRPr="0077615B">
        <w:rPr>
          <w:szCs w:val="22"/>
        </w:rPr>
        <w:t>veloppement, sont ici déterminants pour expliquer ces différe</w:t>
      </w:r>
      <w:r w:rsidRPr="0077615B">
        <w:rPr>
          <w:szCs w:val="22"/>
        </w:rPr>
        <w:t>n</w:t>
      </w:r>
      <w:r w:rsidRPr="0077615B">
        <w:rPr>
          <w:szCs w:val="22"/>
        </w:rPr>
        <w:t>ces</w:t>
      </w:r>
      <w:r>
        <w:rPr>
          <w:szCs w:val="22"/>
        </w:rPr>
        <w:t> </w:t>
      </w:r>
      <w:r w:rsidRPr="00427269">
        <w:rPr>
          <w:rStyle w:val="Appelnotedebasdep"/>
        </w:rPr>
        <w:footnoteReference w:id="270"/>
      </w:r>
      <w:r w:rsidRPr="0077615B">
        <w:rPr>
          <w:szCs w:val="22"/>
        </w:rPr>
        <w:t>. C'est à ce niveau qu'il faut se situer si nous voulons expliquer la croi</w:t>
      </w:r>
      <w:r w:rsidRPr="0077615B">
        <w:rPr>
          <w:szCs w:val="22"/>
        </w:rPr>
        <w:t>s</w:t>
      </w:r>
      <w:r w:rsidRPr="0077615B">
        <w:rPr>
          <w:szCs w:val="22"/>
        </w:rPr>
        <w:t>sance de l'intervention de l'État tant sur le plan éc</w:t>
      </w:r>
      <w:r w:rsidRPr="0077615B">
        <w:rPr>
          <w:szCs w:val="22"/>
        </w:rPr>
        <w:t>o</w:t>
      </w:r>
      <w:r w:rsidRPr="0077615B">
        <w:rPr>
          <w:szCs w:val="22"/>
        </w:rPr>
        <w:t>nomique que sur le plan social.</w:t>
      </w:r>
    </w:p>
    <w:p w:rsidR="00AD690E" w:rsidRPr="0077615B" w:rsidRDefault="00AD690E" w:rsidP="00AD690E">
      <w:pPr>
        <w:spacing w:before="120" w:after="120"/>
        <w:jc w:val="both"/>
      </w:pPr>
      <w:r w:rsidRPr="0077615B">
        <w:rPr>
          <w:szCs w:val="22"/>
        </w:rPr>
        <w:t>Qu'il se soit agi de corriger les déséquilibres structurels dans le d</w:t>
      </w:r>
      <w:r w:rsidRPr="0077615B">
        <w:rPr>
          <w:szCs w:val="22"/>
        </w:rPr>
        <w:t>é</w:t>
      </w:r>
      <w:r w:rsidRPr="0077615B">
        <w:rPr>
          <w:szCs w:val="22"/>
        </w:rPr>
        <w:t>veloppement, de mieux asseoir l'assise industrielle du pays ou encore de mieux répartir les richesses, cela présupposait l'existence d'une ce</w:t>
      </w:r>
      <w:r w:rsidRPr="0077615B">
        <w:rPr>
          <w:szCs w:val="22"/>
        </w:rPr>
        <w:t>r</w:t>
      </w:r>
      <w:r w:rsidRPr="0077615B">
        <w:rPr>
          <w:szCs w:val="22"/>
        </w:rPr>
        <w:t>taine conception « positive » du rôle que pouvait jouer l'État dans la société.</w:t>
      </w:r>
    </w:p>
    <w:p w:rsidR="00AD690E" w:rsidRPr="0077615B" w:rsidRDefault="00AD690E" w:rsidP="00AD690E">
      <w:pPr>
        <w:spacing w:before="120" w:after="120"/>
        <w:jc w:val="both"/>
      </w:pPr>
      <w:r w:rsidRPr="0077615B">
        <w:rPr>
          <w:szCs w:val="22"/>
        </w:rPr>
        <w:t>À son tour, le nationalisme allait constituer le ciment idéolog</w:t>
      </w:r>
      <w:r w:rsidRPr="0077615B">
        <w:rPr>
          <w:szCs w:val="22"/>
        </w:rPr>
        <w:t>i</w:t>
      </w:r>
      <w:r w:rsidRPr="0077615B">
        <w:rPr>
          <w:szCs w:val="22"/>
        </w:rPr>
        <w:t>que de l'intervention de l'État, donner à celle-ci la cohérence qui lui faisait défaut en l'absence d'un projet social-démocrate vigo</w:t>
      </w:r>
      <w:r w:rsidRPr="0077615B">
        <w:rPr>
          <w:szCs w:val="22"/>
        </w:rPr>
        <w:t>u</w:t>
      </w:r>
      <w:r w:rsidRPr="0077615B">
        <w:rPr>
          <w:szCs w:val="22"/>
        </w:rPr>
        <w:t>reux, comme ce fut le cas dans d'autres pays et, par le fait même, justifier une implic</w:t>
      </w:r>
      <w:r w:rsidRPr="0077615B">
        <w:rPr>
          <w:szCs w:val="22"/>
        </w:rPr>
        <w:t>a</w:t>
      </w:r>
      <w:r w:rsidRPr="0077615B">
        <w:rPr>
          <w:szCs w:val="22"/>
        </w:rPr>
        <w:t>tion toujours plus grande du gouve</w:t>
      </w:r>
      <w:r w:rsidRPr="0077615B">
        <w:rPr>
          <w:szCs w:val="22"/>
        </w:rPr>
        <w:t>r</w:t>
      </w:r>
      <w:r w:rsidRPr="0077615B">
        <w:rPr>
          <w:szCs w:val="22"/>
        </w:rPr>
        <w:t>nement fédéral dans les différents domaines de sa compétence. L'unité du pays face à la montée des « provincialismes », d'une part, l'indépendance du C</w:t>
      </w:r>
      <w:r w:rsidRPr="0077615B">
        <w:rPr>
          <w:szCs w:val="22"/>
        </w:rPr>
        <w:t>a</w:t>
      </w:r>
      <w:r w:rsidRPr="0077615B">
        <w:rPr>
          <w:szCs w:val="22"/>
        </w:rPr>
        <w:t>nada face à la menace que laissait planer sur sa souveraineté le voisinage de la pr</w:t>
      </w:r>
      <w:r w:rsidRPr="0077615B">
        <w:rPr>
          <w:szCs w:val="22"/>
        </w:rPr>
        <w:t>e</w:t>
      </w:r>
      <w:r w:rsidRPr="0077615B">
        <w:rPr>
          <w:szCs w:val="22"/>
        </w:rPr>
        <w:t xml:space="preserve">mière puissance au monde, d'autre part, allaient être au </w:t>
      </w:r>
      <w:r>
        <w:rPr>
          <w:szCs w:val="22"/>
        </w:rPr>
        <w:t>cœur</w:t>
      </w:r>
      <w:r w:rsidRPr="0077615B">
        <w:rPr>
          <w:szCs w:val="22"/>
        </w:rPr>
        <w:t xml:space="preserve"> des pr</w:t>
      </w:r>
      <w:r w:rsidRPr="0077615B">
        <w:rPr>
          <w:szCs w:val="22"/>
        </w:rPr>
        <w:t>é</w:t>
      </w:r>
      <w:r w:rsidRPr="0077615B">
        <w:rPr>
          <w:szCs w:val="22"/>
        </w:rPr>
        <w:t xml:space="preserve">occupations durant toute cette période. Au </w:t>
      </w:r>
      <w:r>
        <w:rPr>
          <w:szCs w:val="22"/>
        </w:rPr>
        <w:t>cœur</w:t>
      </w:r>
      <w:r w:rsidRPr="0077615B">
        <w:rPr>
          <w:szCs w:val="22"/>
        </w:rPr>
        <w:t xml:space="preserve"> des débats aussi, pa</w:t>
      </w:r>
      <w:r w:rsidRPr="0077615B">
        <w:rPr>
          <w:szCs w:val="22"/>
        </w:rPr>
        <w:t>r</w:t>
      </w:r>
      <w:r w:rsidRPr="0077615B">
        <w:rPr>
          <w:szCs w:val="22"/>
        </w:rPr>
        <w:t>ce que si l'émergence d'un nouveau nationalisme pouvait justifier une présence plus marquée du gouvernement fédéral sur la scène écon</w:t>
      </w:r>
      <w:r w:rsidRPr="0077615B">
        <w:rPr>
          <w:szCs w:val="22"/>
        </w:rPr>
        <w:t>o</w:t>
      </w:r>
      <w:r w:rsidRPr="0077615B">
        <w:rPr>
          <w:szCs w:val="22"/>
        </w:rPr>
        <w:t>mique, cette présence sera loin d'être toujours ressentie comme rass</w:t>
      </w:r>
      <w:r w:rsidRPr="0077615B">
        <w:rPr>
          <w:szCs w:val="22"/>
        </w:rPr>
        <w:t>u</w:t>
      </w:r>
      <w:r w:rsidRPr="0077615B">
        <w:rPr>
          <w:szCs w:val="22"/>
        </w:rPr>
        <w:t xml:space="preserve">rante par les </w:t>
      </w:r>
      <w:r>
        <w:rPr>
          <w:szCs w:val="22"/>
        </w:rPr>
        <w:t>État</w:t>
      </w:r>
      <w:r w:rsidRPr="0077615B">
        <w:rPr>
          <w:szCs w:val="22"/>
        </w:rPr>
        <w:t>s-Unis, entre autres, qui s</w:t>
      </w:r>
      <w:r w:rsidRPr="0077615B">
        <w:rPr>
          <w:szCs w:val="22"/>
        </w:rPr>
        <w:t>e</w:t>
      </w:r>
      <w:r w:rsidRPr="0077615B">
        <w:rPr>
          <w:szCs w:val="22"/>
        </w:rPr>
        <w:t>ront directement visés par les nouvelles politiques économiques c</w:t>
      </w:r>
      <w:r w:rsidRPr="0077615B">
        <w:rPr>
          <w:szCs w:val="22"/>
        </w:rPr>
        <w:t>a</w:t>
      </w:r>
      <w:r w:rsidRPr="0077615B">
        <w:rPr>
          <w:szCs w:val="22"/>
        </w:rPr>
        <w:t>nadiennes, mais aussi par les provinces elles-mêmes, jalouses qu'e</w:t>
      </w:r>
      <w:r w:rsidRPr="0077615B">
        <w:rPr>
          <w:szCs w:val="22"/>
        </w:rPr>
        <w:t>l</w:t>
      </w:r>
      <w:r w:rsidRPr="0077615B">
        <w:rPr>
          <w:szCs w:val="22"/>
        </w:rPr>
        <w:t>les resteront de leur domaine de juridi</w:t>
      </w:r>
      <w:r w:rsidRPr="0077615B">
        <w:rPr>
          <w:szCs w:val="22"/>
        </w:rPr>
        <w:t>c</w:t>
      </w:r>
      <w:r w:rsidRPr="0077615B">
        <w:rPr>
          <w:szCs w:val="22"/>
        </w:rPr>
        <w:t>tion. Dans ce contexte, si la crise de l'État amorcée durant la deuxième moitié des années soixante-dix est celle de l'État keynésien, cette crise sera aussi celle du nationalisme canadien, le socle idéolog</w:t>
      </w:r>
      <w:r w:rsidRPr="0077615B">
        <w:rPr>
          <w:szCs w:val="22"/>
        </w:rPr>
        <w:t>i</w:t>
      </w:r>
      <w:r w:rsidRPr="0077615B">
        <w:rPr>
          <w:szCs w:val="22"/>
        </w:rPr>
        <w:t>que de l'interventionnisme du gouvernement fédéral pe</w:t>
      </w:r>
      <w:r w:rsidRPr="0077615B">
        <w:rPr>
          <w:szCs w:val="22"/>
        </w:rPr>
        <w:t>n</w:t>
      </w:r>
      <w:r w:rsidRPr="0077615B">
        <w:rPr>
          <w:szCs w:val="22"/>
        </w:rPr>
        <w:t>dant près de deux décennies.</w:t>
      </w:r>
    </w:p>
    <w:p w:rsidR="00AD690E" w:rsidRPr="0077615B" w:rsidRDefault="00AD690E" w:rsidP="00AD690E">
      <w:pPr>
        <w:spacing w:before="120" w:after="120"/>
        <w:jc w:val="both"/>
      </w:pPr>
      <w:r w:rsidRPr="0077615B">
        <w:rPr>
          <w:szCs w:val="22"/>
        </w:rPr>
        <w:t>Avant d'étudier l'économie politique du fédéralisme canadien sous les libéraux, nous allons aborder successivement et sommair</w:t>
      </w:r>
      <w:r w:rsidRPr="0077615B">
        <w:rPr>
          <w:szCs w:val="22"/>
        </w:rPr>
        <w:t>e</w:t>
      </w:r>
      <w:r w:rsidRPr="0077615B">
        <w:rPr>
          <w:szCs w:val="22"/>
        </w:rPr>
        <w:t>ment deux questions qui nous permettront de mettre en place le cadre d'an</w:t>
      </w:r>
      <w:r w:rsidRPr="0077615B">
        <w:rPr>
          <w:szCs w:val="22"/>
        </w:rPr>
        <w:t>a</w:t>
      </w:r>
      <w:r w:rsidRPr="0077615B">
        <w:rPr>
          <w:szCs w:val="22"/>
        </w:rPr>
        <w:t>lyse auquel nous aurons recours par la suite. À cette fin, nous vo</w:t>
      </w:r>
      <w:r w:rsidRPr="0077615B">
        <w:rPr>
          <w:szCs w:val="22"/>
        </w:rPr>
        <w:t>u</w:t>
      </w:r>
      <w:r w:rsidRPr="0077615B">
        <w:rPr>
          <w:szCs w:val="22"/>
        </w:rPr>
        <w:t>drions, dans un premier temps, effectuer un retour sur le keynésiani</w:t>
      </w:r>
      <w:r w:rsidRPr="0077615B">
        <w:rPr>
          <w:szCs w:val="22"/>
        </w:rPr>
        <w:t>s</w:t>
      </w:r>
      <w:r w:rsidRPr="0077615B">
        <w:rPr>
          <w:szCs w:val="22"/>
        </w:rPr>
        <w:t>me et son application dans le contexte canadien et, dans un deuxième temps, aborder la question de la continentalis</w:t>
      </w:r>
      <w:r w:rsidRPr="0077615B">
        <w:rPr>
          <w:szCs w:val="22"/>
        </w:rPr>
        <w:t>a</w:t>
      </w:r>
      <w:r w:rsidRPr="0077615B">
        <w:rPr>
          <w:szCs w:val="22"/>
        </w:rPr>
        <w:t>tion de l'économie nord-américaine.</w:t>
      </w:r>
    </w:p>
    <w:p w:rsidR="00AD690E" w:rsidRDefault="00AD690E" w:rsidP="00AD690E">
      <w:pPr>
        <w:spacing w:before="120" w:after="120"/>
        <w:jc w:val="both"/>
        <w:rPr>
          <w:szCs w:val="22"/>
        </w:rPr>
      </w:pPr>
    </w:p>
    <w:p w:rsidR="00AD690E" w:rsidRPr="00872824" w:rsidRDefault="00AD690E" w:rsidP="00AD690E">
      <w:pPr>
        <w:pStyle w:val="a"/>
      </w:pPr>
      <w:r w:rsidRPr="00872824">
        <w:t>Le cadre fédéral au Canada</w:t>
      </w:r>
    </w:p>
    <w:p w:rsidR="00AD690E" w:rsidRDefault="00AD690E" w:rsidP="00AD690E">
      <w:pPr>
        <w:spacing w:before="120" w:after="120"/>
        <w:jc w:val="both"/>
        <w:rPr>
          <w:szCs w:val="22"/>
        </w:rPr>
      </w:pPr>
    </w:p>
    <w:p w:rsidR="00AD690E" w:rsidRPr="0077615B" w:rsidRDefault="00AD690E" w:rsidP="00AD690E">
      <w:pPr>
        <w:spacing w:before="120" w:after="120"/>
        <w:ind w:firstLine="0"/>
        <w:jc w:val="both"/>
      </w:pPr>
      <w:r w:rsidRPr="0077615B">
        <w:rPr>
          <w:szCs w:val="22"/>
        </w:rPr>
        <w:t xml:space="preserve">En vertu de </w:t>
      </w:r>
      <w:r>
        <w:rPr>
          <w:szCs w:val="22"/>
        </w:rPr>
        <w:t>l’</w:t>
      </w:r>
      <w:r w:rsidRPr="00872824">
        <w:rPr>
          <w:i/>
          <w:szCs w:val="22"/>
        </w:rPr>
        <w:t>Acte de l'Amérique du Nord britannique</w:t>
      </w:r>
      <w:r w:rsidRPr="0077615B">
        <w:rPr>
          <w:szCs w:val="22"/>
        </w:rPr>
        <w:t xml:space="preserve"> de 1867, la j</w:t>
      </w:r>
      <w:r w:rsidRPr="0077615B">
        <w:rPr>
          <w:szCs w:val="22"/>
        </w:rPr>
        <w:t>u</w:t>
      </w:r>
      <w:r w:rsidRPr="0077615B">
        <w:rPr>
          <w:szCs w:val="22"/>
        </w:rPr>
        <w:t>ridiction sur l'économie est partagée entre les deux niveaux de go</w:t>
      </w:r>
      <w:r w:rsidRPr="0077615B">
        <w:rPr>
          <w:szCs w:val="22"/>
        </w:rPr>
        <w:t>u</w:t>
      </w:r>
      <w:r w:rsidRPr="0077615B">
        <w:rPr>
          <w:szCs w:val="22"/>
        </w:rPr>
        <w:t>vernement au Canada de sorte que, si le fédéral détient les po</w:t>
      </w:r>
      <w:r w:rsidRPr="0077615B">
        <w:rPr>
          <w:szCs w:val="22"/>
        </w:rPr>
        <w:t>u</w:t>
      </w:r>
      <w:r w:rsidRPr="0077615B">
        <w:rPr>
          <w:szCs w:val="22"/>
        </w:rPr>
        <w:t>voirs de légiférer sur le trafic et le commerce, l'imposition d'un sy</w:t>
      </w:r>
      <w:r w:rsidRPr="0077615B">
        <w:rPr>
          <w:szCs w:val="22"/>
        </w:rPr>
        <w:t>s</w:t>
      </w:r>
      <w:r w:rsidRPr="0077615B">
        <w:rPr>
          <w:szCs w:val="22"/>
        </w:rPr>
        <w:t>tème de taxation, le transport et la frappe de la monnaie, entre autres, les pr</w:t>
      </w:r>
      <w:r w:rsidRPr="0077615B">
        <w:rPr>
          <w:szCs w:val="22"/>
        </w:rPr>
        <w:t>o</w:t>
      </w:r>
      <w:r w:rsidRPr="0077615B">
        <w:rPr>
          <w:szCs w:val="22"/>
        </w:rPr>
        <w:t>vinces conservent entière juridiction sur des</w:t>
      </w:r>
      <w:r>
        <w:rPr>
          <w:szCs w:val="22"/>
        </w:rPr>
        <w:t xml:space="preserve"> </w:t>
      </w:r>
      <w:r>
        <w:t xml:space="preserve">[161] </w:t>
      </w:r>
      <w:r w:rsidRPr="0077615B">
        <w:rPr>
          <w:szCs w:val="22"/>
        </w:rPr>
        <w:t>domaines comme le prélèvement des revenus à des fins provinciales, les travaux et les o</w:t>
      </w:r>
      <w:r w:rsidRPr="0077615B">
        <w:rPr>
          <w:szCs w:val="22"/>
        </w:rPr>
        <w:t>u</w:t>
      </w:r>
      <w:r w:rsidRPr="0077615B">
        <w:rPr>
          <w:szCs w:val="22"/>
        </w:rPr>
        <w:t>vrages de nature locale et, surtout, la pr</w:t>
      </w:r>
      <w:r w:rsidRPr="0077615B">
        <w:rPr>
          <w:szCs w:val="22"/>
        </w:rPr>
        <w:t>o</w:t>
      </w:r>
      <w:r w:rsidRPr="0077615B">
        <w:rPr>
          <w:szCs w:val="22"/>
        </w:rPr>
        <w:t>priété et les droits civils.</w:t>
      </w:r>
    </w:p>
    <w:p w:rsidR="00AD690E" w:rsidRPr="0077615B" w:rsidRDefault="00AD690E" w:rsidP="00AD690E">
      <w:pPr>
        <w:spacing w:before="120" w:after="120"/>
        <w:jc w:val="both"/>
      </w:pPr>
      <w:r w:rsidRPr="0077615B">
        <w:rPr>
          <w:szCs w:val="22"/>
        </w:rPr>
        <w:t>À la différence du régime américain où le Sénat représente les int</w:t>
      </w:r>
      <w:r w:rsidRPr="0077615B">
        <w:rPr>
          <w:szCs w:val="22"/>
        </w:rPr>
        <w:t>é</w:t>
      </w:r>
      <w:r w:rsidRPr="0077615B">
        <w:rPr>
          <w:szCs w:val="22"/>
        </w:rPr>
        <w:t>rêts des états sur une base paritaire, au Canada, le poids démograph</w:t>
      </w:r>
      <w:r w:rsidRPr="0077615B">
        <w:rPr>
          <w:szCs w:val="22"/>
        </w:rPr>
        <w:t>i</w:t>
      </w:r>
      <w:r w:rsidRPr="0077615B">
        <w:rPr>
          <w:szCs w:val="22"/>
        </w:rPr>
        <w:t>que des provinces sert à établir leur représentation au Parl</w:t>
      </w:r>
      <w:r w:rsidRPr="0077615B">
        <w:rPr>
          <w:szCs w:val="22"/>
        </w:rPr>
        <w:t>e</w:t>
      </w:r>
      <w:r w:rsidRPr="0077615B">
        <w:rPr>
          <w:szCs w:val="22"/>
        </w:rPr>
        <w:t>ment. Dans ces conditions, les provinces les plus pauvres étant les moins pe</w:t>
      </w:r>
      <w:r w:rsidRPr="0077615B">
        <w:rPr>
          <w:szCs w:val="22"/>
        </w:rPr>
        <w:t>u</w:t>
      </w:r>
      <w:r w:rsidRPr="0077615B">
        <w:rPr>
          <w:szCs w:val="22"/>
        </w:rPr>
        <w:t>plées, elles n'auront pas l'ascendant suffisant pour faire valoir leurs doléances de manière déterminante à rencontre des int</w:t>
      </w:r>
      <w:r w:rsidRPr="0077615B">
        <w:rPr>
          <w:szCs w:val="22"/>
        </w:rPr>
        <w:t>é</w:t>
      </w:r>
      <w:r w:rsidRPr="0077615B">
        <w:rPr>
          <w:szCs w:val="22"/>
        </w:rPr>
        <w:t>rêts des deux provinces du centre, l'Ontario et le Québec. Afin de compenser les inégalités surgies des spécialisations des écon</w:t>
      </w:r>
      <w:r w:rsidRPr="0077615B">
        <w:rPr>
          <w:szCs w:val="22"/>
        </w:rPr>
        <w:t>o</w:t>
      </w:r>
      <w:r w:rsidRPr="0077615B">
        <w:rPr>
          <w:szCs w:val="22"/>
        </w:rPr>
        <w:t>mies provinciales dans des domaines pour le</w:t>
      </w:r>
      <w:r w:rsidRPr="0077615B">
        <w:rPr>
          <w:szCs w:val="22"/>
        </w:rPr>
        <w:t>s</w:t>
      </w:r>
      <w:r w:rsidRPr="0077615B">
        <w:rPr>
          <w:szCs w:val="22"/>
        </w:rPr>
        <w:t>quels elles détenaient un avantage comparé, le régime fédéral c</w:t>
      </w:r>
      <w:r w:rsidRPr="0077615B">
        <w:rPr>
          <w:szCs w:val="22"/>
        </w:rPr>
        <w:t>a</w:t>
      </w:r>
      <w:r w:rsidRPr="0077615B">
        <w:rPr>
          <w:szCs w:val="22"/>
        </w:rPr>
        <w:t>nadien a évolué vers la mise en place d'un système complexe de subventions et de transferts aux provinces les moins na</w:t>
      </w:r>
      <w:r w:rsidRPr="0077615B">
        <w:rPr>
          <w:szCs w:val="22"/>
        </w:rPr>
        <w:t>n</w:t>
      </w:r>
      <w:r w:rsidRPr="0077615B">
        <w:rPr>
          <w:szCs w:val="22"/>
        </w:rPr>
        <w:t>ties de la richesse accumulée par les plus avantagées.</w:t>
      </w:r>
    </w:p>
    <w:p w:rsidR="00AD690E" w:rsidRPr="0077615B" w:rsidRDefault="00AD690E" w:rsidP="00AD690E">
      <w:pPr>
        <w:spacing w:before="120" w:after="120"/>
        <w:jc w:val="both"/>
      </w:pPr>
      <w:r w:rsidRPr="0077615B">
        <w:rPr>
          <w:szCs w:val="22"/>
        </w:rPr>
        <w:t>Sans allonger l'étude des fondements du fédéralisme canadien, il convient de relever que le fonctionnement du système fédéral, tout au long de l'après-guerre, s'inspire essentiellement du cadre d'analyse d</w:t>
      </w:r>
      <w:r w:rsidRPr="0077615B">
        <w:rPr>
          <w:szCs w:val="22"/>
        </w:rPr>
        <w:t>é</w:t>
      </w:r>
      <w:r w:rsidRPr="0077615B">
        <w:rPr>
          <w:szCs w:val="22"/>
        </w:rPr>
        <w:t>veloppé par la Commission royale d'enquête sur les relations entre le Dominion et les provinces, soit la Commission Rowell-Sirois, mise sur pied par le premier ministre Mackenzie King le 14 avril 1937, c'est-à-dire en pleine période de crise économique et s</w:t>
      </w:r>
      <w:r w:rsidRPr="0077615B">
        <w:rPr>
          <w:szCs w:val="22"/>
        </w:rPr>
        <w:t>o</w:t>
      </w:r>
      <w:r w:rsidRPr="0077615B">
        <w:rPr>
          <w:szCs w:val="22"/>
        </w:rPr>
        <w:t>ciale. Devant la détérioration de la position financière des provinces dans un conte</w:t>
      </w:r>
      <w:r w:rsidRPr="0077615B">
        <w:rPr>
          <w:szCs w:val="22"/>
        </w:rPr>
        <w:t>x</w:t>
      </w:r>
      <w:r w:rsidRPr="0077615B">
        <w:rPr>
          <w:szCs w:val="22"/>
        </w:rPr>
        <w:t>te où leurs responsabilités sociales croissaient sans cesse, les réda</w:t>
      </w:r>
      <w:r w:rsidRPr="0077615B">
        <w:rPr>
          <w:szCs w:val="22"/>
        </w:rPr>
        <w:t>c</w:t>
      </w:r>
      <w:r w:rsidRPr="0077615B">
        <w:rPr>
          <w:szCs w:val="22"/>
        </w:rPr>
        <w:t>teurs du Rapport Rowell-Sirois proposent de mettre sur pied un « plan financier » national articulé autour de quatre o</w:t>
      </w:r>
      <w:r w:rsidRPr="0077615B">
        <w:rPr>
          <w:szCs w:val="22"/>
        </w:rPr>
        <w:t>b</w:t>
      </w:r>
      <w:r w:rsidRPr="0077615B">
        <w:rPr>
          <w:szCs w:val="22"/>
        </w:rPr>
        <w:t>jectifs : premièrement, en chargeant le Dominion de la dette nette des provinces ; deuxièm</w:t>
      </w:r>
      <w:r w:rsidRPr="0077615B">
        <w:rPr>
          <w:szCs w:val="22"/>
        </w:rPr>
        <w:t>e</w:t>
      </w:r>
      <w:r w:rsidRPr="0077615B">
        <w:rPr>
          <w:szCs w:val="22"/>
        </w:rPr>
        <w:t>ment, en lui acco</w:t>
      </w:r>
      <w:r w:rsidRPr="0077615B">
        <w:rPr>
          <w:szCs w:val="22"/>
        </w:rPr>
        <w:t>r</w:t>
      </w:r>
      <w:r w:rsidRPr="0077615B">
        <w:rPr>
          <w:szCs w:val="22"/>
        </w:rPr>
        <w:t>dant le pouvoir exclusif de percevoir les droits de succession ainsi que l'impôt sur le revenu des particuliers et des soci</w:t>
      </w:r>
      <w:r w:rsidRPr="0077615B">
        <w:rPr>
          <w:szCs w:val="22"/>
        </w:rPr>
        <w:t>é</w:t>
      </w:r>
      <w:r w:rsidRPr="0077615B">
        <w:rPr>
          <w:szCs w:val="22"/>
        </w:rPr>
        <w:t>tés ; troisi</w:t>
      </w:r>
      <w:r w:rsidRPr="0077615B">
        <w:rPr>
          <w:szCs w:val="22"/>
        </w:rPr>
        <w:t>è</w:t>
      </w:r>
      <w:r w:rsidRPr="0077615B">
        <w:rPr>
          <w:szCs w:val="22"/>
        </w:rPr>
        <w:t>mement, en accordant aux provinces des subventions « d'après la norme nationale, calculées de façon à permettre aux pr</w:t>
      </w:r>
      <w:r w:rsidRPr="0077615B">
        <w:rPr>
          <w:szCs w:val="22"/>
        </w:rPr>
        <w:t>o</w:t>
      </w:r>
      <w:r w:rsidRPr="0077615B">
        <w:rPr>
          <w:szCs w:val="22"/>
        </w:rPr>
        <w:t>vinces de maintenir une norme canadienne des services esse</w:t>
      </w:r>
      <w:r w:rsidRPr="0077615B">
        <w:rPr>
          <w:szCs w:val="22"/>
        </w:rPr>
        <w:t>n</w:t>
      </w:r>
      <w:r w:rsidRPr="0077615B">
        <w:rPr>
          <w:szCs w:val="22"/>
        </w:rPr>
        <w:t>tiels moyennant un niveau moyen d'impôt »</w:t>
      </w:r>
      <w:r>
        <w:rPr>
          <w:szCs w:val="22"/>
        </w:rPr>
        <w:t> </w:t>
      </w:r>
      <w:r w:rsidRPr="00427269">
        <w:rPr>
          <w:rStyle w:val="Appelnotedebasdep"/>
        </w:rPr>
        <w:footnoteReference w:id="271"/>
      </w:r>
      <w:r w:rsidRPr="0077615B">
        <w:rPr>
          <w:szCs w:val="22"/>
        </w:rPr>
        <w:t>. Une quatrième reco</w:t>
      </w:r>
      <w:r w:rsidRPr="0077615B">
        <w:rPr>
          <w:szCs w:val="22"/>
        </w:rPr>
        <w:t>m</w:t>
      </w:r>
      <w:r w:rsidRPr="0077615B">
        <w:rPr>
          <w:szCs w:val="22"/>
        </w:rPr>
        <w:t>mandation, qui visait à transférer la respons</w:t>
      </w:r>
      <w:r w:rsidRPr="0077615B">
        <w:rPr>
          <w:szCs w:val="22"/>
        </w:rPr>
        <w:t>a</w:t>
      </w:r>
      <w:r w:rsidRPr="0077615B">
        <w:rPr>
          <w:szCs w:val="22"/>
        </w:rPr>
        <w:t>bilité en matière d'emploi — ce qui, dans la problématique canadienne de l'époque s'appelait la re</w:t>
      </w:r>
      <w:r w:rsidRPr="0077615B">
        <w:rPr>
          <w:szCs w:val="22"/>
        </w:rPr>
        <w:t>s</w:t>
      </w:r>
      <w:r w:rsidRPr="0077615B">
        <w:rPr>
          <w:szCs w:val="22"/>
        </w:rPr>
        <w:t>ponsabilité relative au « chômage des aptes au travail » — depuis les provinces vers le fédéral, refl</w:t>
      </w:r>
      <w:r w:rsidRPr="0077615B">
        <w:rPr>
          <w:szCs w:val="22"/>
        </w:rPr>
        <w:t>é</w:t>
      </w:r>
      <w:r w:rsidRPr="0077615B">
        <w:rPr>
          <w:szCs w:val="22"/>
        </w:rPr>
        <w:t>tait le genre de stratégie keynésienne auquel on avait alors recours là où le niveau d'emploi constituait l'élément essentiel d'une polit</w:t>
      </w:r>
      <w:r w:rsidRPr="0077615B">
        <w:rPr>
          <w:szCs w:val="22"/>
        </w:rPr>
        <w:t>i</w:t>
      </w:r>
      <w:r w:rsidRPr="0077615B">
        <w:rPr>
          <w:szCs w:val="22"/>
        </w:rPr>
        <w:t>que de développement, un enjeu que la sévérité de la récession des années 30 avait contribué à actual</w:t>
      </w:r>
      <w:r w:rsidRPr="0077615B">
        <w:rPr>
          <w:szCs w:val="22"/>
        </w:rPr>
        <w:t>i</w:t>
      </w:r>
      <w:r w:rsidRPr="0077615B">
        <w:rPr>
          <w:szCs w:val="22"/>
        </w:rPr>
        <w:t>ser.</w:t>
      </w:r>
    </w:p>
    <w:p w:rsidR="00AD690E" w:rsidRDefault="00AD690E" w:rsidP="00AD690E">
      <w:pPr>
        <w:spacing w:before="120" w:after="120"/>
        <w:jc w:val="both"/>
        <w:rPr>
          <w:szCs w:val="22"/>
        </w:rPr>
      </w:pPr>
      <w:r w:rsidRPr="0077615B">
        <w:rPr>
          <w:szCs w:val="22"/>
        </w:rPr>
        <w:t>Durant les deux décennies qui vont suivre, c'est-à-dire jusqu'à l'a</w:t>
      </w:r>
      <w:r w:rsidRPr="0077615B">
        <w:rPr>
          <w:szCs w:val="22"/>
        </w:rPr>
        <w:t>u</w:t>
      </w:r>
      <w:r w:rsidRPr="0077615B">
        <w:rPr>
          <w:szCs w:val="22"/>
        </w:rPr>
        <w:t>be des années 60, le gouvernement fédéral ne déviera pas des param</w:t>
      </w:r>
      <w:r w:rsidRPr="0077615B">
        <w:rPr>
          <w:szCs w:val="22"/>
        </w:rPr>
        <w:t>è</w:t>
      </w:r>
      <w:r w:rsidRPr="0077615B">
        <w:rPr>
          <w:szCs w:val="22"/>
        </w:rPr>
        <w:t>tres keynésiens développés par le Rapport Rowell-Sirois et ce, quo</w:t>
      </w:r>
      <w:r w:rsidRPr="0077615B">
        <w:rPr>
          <w:szCs w:val="22"/>
        </w:rPr>
        <w:t>i</w:t>
      </w:r>
      <w:r w:rsidRPr="0077615B">
        <w:rPr>
          <w:szCs w:val="22"/>
        </w:rPr>
        <w:t>qu'on puisse avancer concernant la fidélité aux thèses ava</w:t>
      </w:r>
      <w:r w:rsidRPr="0077615B">
        <w:rPr>
          <w:szCs w:val="22"/>
        </w:rPr>
        <w:t>n</w:t>
      </w:r>
      <w:r w:rsidRPr="0077615B">
        <w:rPr>
          <w:szCs w:val="22"/>
        </w:rPr>
        <w:t>cées par le célèbre économiste par ailleurs</w:t>
      </w:r>
      <w:r>
        <w:rPr>
          <w:szCs w:val="22"/>
        </w:rPr>
        <w:t> </w:t>
      </w:r>
      <w:r w:rsidRPr="00427269">
        <w:rPr>
          <w:rStyle w:val="Appelnotedebasdep"/>
        </w:rPr>
        <w:footnoteReference w:id="272"/>
      </w:r>
      <w:r w:rsidRPr="0077615B">
        <w:rPr>
          <w:szCs w:val="22"/>
        </w:rPr>
        <w:t>.</w:t>
      </w:r>
      <w:r>
        <w:rPr>
          <w:szCs w:val="22"/>
        </w:rPr>
        <w:t xml:space="preserve"> </w:t>
      </w:r>
    </w:p>
    <w:p w:rsidR="00AD690E" w:rsidRPr="0077615B" w:rsidRDefault="00AD690E" w:rsidP="00AD690E">
      <w:pPr>
        <w:spacing w:before="120" w:after="120"/>
        <w:jc w:val="both"/>
      </w:pPr>
      <w:r>
        <w:rPr>
          <w:szCs w:val="18"/>
        </w:rPr>
        <w:t>[</w:t>
      </w:r>
      <w:r w:rsidRPr="0077615B">
        <w:t>162</w:t>
      </w:r>
      <w:r>
        <w:t>]</w:t>
      </w:r>
    </w:p>
    <w:p w:rsidR="00AD690E" w:rsidRPr="0077615B" w:rsidRDefault="00AD690E" w:rsidP="00AD690E">
      <w:pPr>
        <w:spacing w:before="120" w:after="120"/>
        <w:ind w:firstLine="0"/>
        <w:jc w:val="both"/>
      </w:pPr>
      <w:r w:rsidRPr="0077615B">
        <w:t>Par la suite, et tout au long des vingt et une années que couvre la pr</w:t>
      </w:r>
      <w:r w:rsidRPr="0077615B">
        <w:t>é</w:t>
      </w:r>
      <w:r w:rsidRPr="0077615B">
        <w:t>sente étude, c'est-à-dire de 1963 à 1984, on assistera à la mise en a</w:t>
      </w:r>
      <w:r w:rsidRPr="0077615B">
        <w:t>p</w:t>
      </w:r>
      <w:r w:rsidRPr="0077615B">
        <w:t>plication d'une double préoccupation visant d'une part à a</w:t>
      </w:r>
      <w:r w:rsidRPr="0077615B">
        <w:t>c</w:t>
      </w:r>
      <w:r w:rsidRPr="0077615B">
        <w:t>croître le nombre des mesures d'intervention, et d'autre part, à en accroître l'e</w:t>
      </w:r>
      <w:r w:rsidRPr="0077615B">
        <w:t>f</w:t>
      </w:r>
      <w:r w:rsidRPr="0077615B">
        <w:t>ficacité et l'impact grâce à l'élaboration de cadres d'analyse et d'inte</w:t>
      </w:r>
      <w:r w:rsidRPr="0077615B">
        <w:t>r</w:t>
      </w:r>
      <w:r w:rsidRPr="0077615B">
        <w:t>vention de plus en plus complexes et affinés.</w:t>
      </w:r>
    </w:p>
    <w:p w:rsidR="00AD690E" w:rsidRPr="0077615B" w:rsidRDefault="00AD690E" w:rsidP="00AD690E">
      <w:pPr>
        <w:spacing w:before="120" w:after="120"/>
        <w:jc w:val="both"/>
      </w:pPr>
      <w:r w:rsidRPr="0077615B">
        <w:t>En attendant, le keynésianisme auquel on aura recours à Ottawa v</w:t>
      </w:r>
      <w:r w:rsidRPr="0077615B">
        <w:t>i</w:t>
      </w:r>
      <w:r w:rsidRPr="0077615B">
        <w:t>se à atteindre un équilibre macro-économique caractérisé à la fois par le plein-emploi, la stabilité des prix et l'équilibre de la b</w:t>
      </w:r>
      <w:r w:rsidRPr="0077615B">
        <w:t>a</w:t>
      </w:r>
      <w:r w:rsidRPr="0077615B">
        <w:t>lance des paiements, de sorte que la stratégie gouvernementale d'interve</w:t>
      </w:r>
      <w:r w:rsidRPr="0077615B">
        <w:t>n</w:t>
      </w:r>
      <w:r w:rsidRPr="0077615B">
        <w:t>tion s'appuiera sur quatre outils privilégiés, à savoir : la politique monéta</w:t>
      </w:r>
      <w:r w:rsidRPr="0077615B">
        <w:t>i</w:t>
      </w:r>
      <w:r w:rsidRPr="0077615B">
        <w:t>re, la politique budgétaire, la politique fiscale et la politique comme</w:t>
      </w:r>
      <w:r w:rsidRPr="0077615B">
        <w:t>r</w:t>
      </w:r>
      <w:r w:rsidRPr="0077615B">
        <w:t>ciale.</w:t>
      </w:r>
    </w:p>
    <w:p w:rsidR="00AD690E" w:rsidRPr="0077615B" w:rsidRDefault="00AD690E" w:rsidP="00AD690E">
      <w:pPr>
        <w:spacing w:before="120" w:after="120"/>
        <w:jc w:val="both"/>
      </w:pPr>
      <w:r w:rsidRPr="0077615B">
        <w:t>Ainsi, dans la foulée des recommandations de la Commission R</w:t>
      </w:r>
      <w:r w:rsidRPr="0077615B">
        <w:t>o</w:t>
      </w:r>
      <w:r w:rsidRPr="0077615B">
        <w:t xml:space="preserve">well-Sirois, reprises pour partie dans le Livre blanc </w:t>
      </w:r>
      <w:r w:rsidRPr="00773912">
        <w:rPr>
          <w:i/>
        </w:rPr>
        <w:t>Travail et revenus</w:t>
      </w:r>
      <w:r w:rsidRPr="0077615B">
        <w:t xml:space="preserve"> et le Livre vert </w:t>
      </w:r>
      <w:r w:rsidRPr="00773912">
        <w:rPr>
          <w:i/>
        </w:rPr>
        <w:t>Propositions du gouvernement du Can</w:t>
      </w:r>
      <w:r w:rsidRPr="00773912">
        <w:rPr>
          <w:i/>
        </w:rPr>
        <w:t>a</w:t>
      </w:r>
      <w:r w:rsidRPr="00773912">
        <w:rPr>
          <w:i/>
        </w:rPr>
        <w:t>da</w:t>
      </w:r>
      <w:r w:rsidRPr="0077615B">
        <w:t xml:space="preserve"> déposé à la Conférence fédérale-provinciale de 1945, « le gouve</w:t>
      </w:r>
      <w:r w:rsidRPr="0077615B">
        <w:t>r</w:t>
      </w:r>
      <w:r w:rsidRPr="0077615B">
        <w:t>nement fédéral fit part des mesures qu'il croyait nécessa</w:t>
      </w:r>
      <w:r w:rsidRPr="0077615B">
        <w:t>i</w:t>
      </w:r>
      <w:r w:rsidRPr="0077615B">
        <w:t>res pour maintenir la stabilité économique »</w:t>
      </w:r>
      <w:r>
        <w:t> </w:t>
      </w:r>
      <w:r w:rsidRPr="000D6A43">
        <w:rPr>
          <w:rStyle w:val="Appelnotedebasdep"/>
        </w:rPr>
        <w:footnoteReference w:id="273"/>
      </w:r>
      <w:r w:rsidRPr="0077615B">
        <w:t>. Ces mesures s'appuyaient essentiellement sur la ce</w:t>
      </w:r>
      <w:r w:rsidRPr="0077615B">
        <w:t>n</w:t>
      </w:r>
      <w:r w:rsidRPr="0077615B">
        <w:t>tralisation fiscale avec, en compensation, l'octroi de subventions fédér</w:t>
      </w:r>
      <w:r w:rsidRPr="0077615B">
        <w:t>a</w:t>
      </w:r>
      <w:r w:rsidRPr="0077615B">
        <w:t>les aux provinces consentantes. D'abord encadré par les Tax Rental Agreements de 1947 à 1957, qui constituent une cession de sources d'impôts des provinces au gouvernement fédéral, la conve</w:t>
      </w:r>
      <w:r w:rsidRPr="0077615B">
        <w:t>n</w:t>
      </w:r>
      <w:r w:rsidRPr="0077615B">
        <w:t>tion de partage des impôts a par la suite été assouplie par le Tax Sh</w:t>
      </w:r>
      <w:r w:rsidRPr="0077615B">
        <w:t>a</w:t>
      </w:r>
      <w:r w:rsidRPr="0077615B">
        <w:t>ring Arra</w:t>
      </w:r>
      <w:r w:rsidRPr="0077615B">
        <w:t>n</w:t>
      </w:r>
      <w:r w:rsidRPr="0077615B">
        <w:t>gement de 1957, qui définit un partage conventionnel des impôts entre le pouvoir ce</w:t>
      </w:r>
      <w:r w:rsidRPr="0077615B">
        <w:t>n</w:t>
      </w:r>
      <w:r w:rsidRPr="0077615B">
        <w:t>tral et les provinces, de telle sorte que :</w:t>
      </w:r>
    </w:p>
    <w:p w:rsidR="00AD690E" w:rsidRDefault="00AD690E" w:rsidP="00AD690E">
      <w:pPr>
        <w:pStyle w:val="Grillecouleur-Accent1"/>
      </w:pPr>
    </w:p>
    <w:p w:rsidR="00AD690E" w:rsidRDefault="00AD690E" w:rsidP="00AD690E">
      <w:pPr>
        <w:pStyle w:val="Grillecouleur-Accent1"/>
        <w:rPr>
          <w:i/>
        </w:rPr>
      </w:pPr>
      <w:r w:rsidRPr="00773912">
        <w:t>[...] l'autonomie fiscale des provinces fut restaurée dans un cadre qui préservait autan</w:t>
      </w:r>
      <w:r w:rsidRPr="000F7900">
        <w:t>t</w:t>
      </w:r>
      <w:r w:rsidRPr="00773912">
        <w:t xml:space="preserve"> que possible l'unité fiscale du pays, et qui assurait une certaine péréquation interprovinciale, une garantie de recettes m</w:t>
      </w:r>
      <w:r w:rsidRPr="00773912">
        <w:t>i</w:t>
      </w:r>
      <w:r w:rsidRPr="00773912">
        <w:t>nimales aux provinces et une plus grande élasticité à la hausse des revenus provi</w:t>
      </w:r>
      <w:r w:rsidRPr="00773912">
        <w:t>n</w:t>
      </w:r>
      <w:r w:rsidRPr="00773912">
        <w:t>ciaux</w:t>
      </w:r>
      <w:r>
        <w:t> </w:t>
      </w:r>
      <w:r w:rsidRPr="000D6A43">
        <w:rPr>
          <w:rStyle w:val="Appelnotedebasdep"/>
          <w:szCs w:val="18"/>
        </w:rPr>
        <w:footnoteReference w:id="274"/>
      </w:r>
      <w:r w:rsidRPr="00773912">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t>À compter de 1962, toutes les provinces devaient recouvrer une certaine autonomie fiscale, ce qui n'empêche pas que « le flux fina</w:t>
      </w:r>
      <w:r w:rsidRPr="0077615B">
        <w:t>n</w:t>
      </w:r>
      <w:r w:rsidRPr="0077615B">
        <w:t>cier du gouvernement fédéral aux provinces au titre des octrois cond</w:t>
      </w:r>
      <w:r w:rsidRPr="0077615B">
        <w:t>i</w:t>
      </w:r>
      <w:r w:rsidRPr="0077615B">
        <w:t>tionnels [...] passe de 83 millions de dollars en 1955 à 1075 millions en 1967 »</w:t>
      </w:r>
      <w:r>
        <w:t> </w:t>
      </w:r>
      <w:r w:rsidRPr="000D6A43">
        <w:rPr>
          <w:rStyle w:val="Appelnotedebasdep"/>
        </w:rPr>
        <w:footnoteReference w:id="275"/>
      </w:r>
      <w:r w:rsidRPr="0077615B">
        <w:t>.</w:t>
      </w:r>
    </w:p>
    <w:p w:rsidR="00AD690E" w:rsidRPr="0077615B" w:rsidRDefault="00AD690E" w:rsidP="00AD690E">
      <w:pPr>
        <w:spacing w:before="120" w:after="120"/>
        <w:jc w:val="both"/>
      </w:pPr>
      <w:r w:rsidRPr="0077615B">
        <w:t>À cet égard, le premier ministre Pearson hérite d'un dossier fort complexe où, jusqu'à l'arrivée au pouvoir de son successeur Pierre Trudeau, il préférera accumuler les accommodements pl</w:t>
      </w:r>
      <w:r w:rsidRPr="0077615B">
        <w:t>u</w:t>
      </w:r>
      <w:r w:rsidRPr="0077615B">
        <w:t>tôt que de s'engager dans la voie d'une</w:t>
      </w:r>
      <w:r>
        <w:t xml:space="preserve"> </w:t>
      </w:r>
      <w:r>
        <w:rPr>
          <w:szCs w:val="18"/>
        </w:rPr>
        <w:t xml:space="preserve">[163] </w:t>
      </w:r>
      <w:r w:rsidRPr="0077615B">
        <w:t>révision en profondeur de l'écon</w:t>
      </w:r>
      <w:r w:rsidRPr="0077615B">
        <w:t>o</w:t>
      </w:r>
      <w:r w:rsidRPr="0077615B">
        <w:t>mie politique du fédéralisme canadien. En fait, le keynésianisme a</w:t>
      </w:r>
      <w:r w:rsidRPr="0077615B">
        <w:t>p</w:t>
      </w:r>
      <w:r w:rsidRPr="0077615B">
        <w:t>pliqué à Ottawa ne sera définitiv</w:t>
      </w:r>
      <w:r w:rsidRPr="0077615B">
        <w:t>e</w:t>
      </w:r>
      <w:r w:rsidRPr="0077615B">
        <w:t>ment contesté, et il lui sera substitué une approche néo-libérale de la même envergure, qu'à la suite du d</w:t>
      </w:r>
      <w:r w:rsidRPr="0077615B">
        <w:t>é</w:t>
      </w:r>
      <w:r w:rsidRPr="0077615B">
        <w:t>pôt du rapport de la Co</w:t>
      </w:r>
      <w:r w:rsidRPr="0077615B">
        <w:t>m</w:t>
      </w:r>
      <w:r w:rsidRPr="0077615B">
        <w:t>mission d'enquête sur l'Union économique et les perspectives de développement du Canada en septembre 1985. E</w:t>
      </w:r>
      <w:r w:rsidRPr="0077615B">
        <w:t>n</w:t>
      </w:r>
      <w:r w:rsidRPr="0077615B">
        <w:t>tre temps, bien sûr, c'est toute une série d'échecs en matière de polit</w:t>
      </w:r>
      <w:r w:rsidRPr="0077615B">
        <w:t>i</w:t>
      </w:r>
      <w:r w:rsidRPr="0077615B">
        <w:t>ques de développement qui au</w:t>
      </w:r>
      <w:r>
        <w:t>ront contribué à délé</w:t>
      </w:r>
      <w:r w:rsidRPr="0077615B">
        <w:t>gitimer son appl</w:t>
      </w:r>
      <w:r w:rsidRPr="0077615B">
        <w:t>i</w:t>
      </w:r>
      <w:r w:rsidRPr="0077615B">
        <w:t>cation dans le cadre can</w:t>
      </w:r>
      <w:r w:rsidRPr="0077615B">
        <w:t>a</w:t>
      </w:r>
      <w:r w:rsidRPr="0077615B">
        <w:t>dien et ces échecs, comme nous le verrons ci-après, s'accumuleront surtout sous le règne du premier ministre Tr</w:t>
      </w:r>
      <w:r w:rsidRPr="0077615B">
        <w:t>u</w:t>
      </w:r>
      <w:r w:rsidRPr="0077615B">
        <w:t>deau de 1968 à 1984. Toutefois, avant d'aborder plus avant ces que</w:t>
      </w:r>
      <w:r w:rsidRPr="0077615B">
        <w:t>s</w:t>
      </w:r>
      <w:r w:rsidRPr="0077615B">
        <w:t>tions, nous allons rapidement so</w:t>
      </w:r>
      <w:r w:rsidRPr="0077615B">
        <w:t>u</w:t>
      </w:r>
      <w:r w:rsidRPr="0077615B">
        <w:t>ligner l'importance du phénomène de l'intégration des économies c</w:t>
      </w:r>
      <w:r w:rsidRPr="0077615B">
        <w:t>a</w:t>
      </w:r>
      <w:r w:rsidRPr="0077615B">
        <w:t>nadienne et états-unienne.</w:t>
      </w:r>
    </w:p>
    <w:p w:rsidR="00AD690E" w:rsidRDefault="00AD690E" w:rsidP="00AD690E">
      <w:pPr>
        <w:spacing w:before="120" w:after="120"/>
        <w:jc w:val="both"/>
      </w:pPr>
    </w:p>
    <w:p w:rsidR="00AD690E" w:rsidRPr="006520D4" w:rsidRDefault="00AD690E" w:rsidP="00AD690E">
      <w:pPr>
        <w:pStyle w:val="a"/>
      </w:pPr>
      <w:r w:rsidRPr="006520D4">
        <w:t>La continentalisation de l'économie canado-américaine</w:t>
      </w:r>
    </w:p>
    <w:p w:rsidR="00AD690E" w:rsidRDefault="00AD690E" w:rsidP="00AD690E">
      <w:pPr>
        <w:spacing w:before="120" w:after="120"/>
        <w:jc w:val="both"/>
      </w:pPr>
    </w:p>
    <w:p w:rsidR="00AD690E" w:rsidRPr="0077615B" w:rsidRDefault="00AD690E" w:rsidP="00AD690E">
      <w:pPr>
        <w:spacing w:before="120" w:after="120"/>
        <w:jc w:val="both"/>
      </w:pPr>
      <w:r w:rsidRPr="0077615B">
        <w:t>Le phénomène d'accroissement et d'approfondissement de l'int</w:t>
      </w:r>
      <w:r w:rsidRPr="0077615B">
        <w:t>é</w:t>
      </w:r>
      <w:r w:rsidRPr="0077615B">
        <w:t>gration économique entre le Canada et les États-Unis constitue sans doute le processus majeur dans l'évolution économique des deux pays depuis la Deuxième Guerre. Même si ce rapprochement s'inscrit à l'i</w:t>
      </w:r>
      <w:r w:rsidRPr="0077615B">
        <w:t>n</w:t>
      </w:r>
      <w:r w:rsidRPr="0077615B">
        <w:t>térieur d'un cadre géographique et social spéc</w:t>
      </w:r>
      <w:r w:rsidRPr="0077615B">
        <w:t>i</w:t>
      </w:r>
      <w:r w:rsidRPr="0077615B">
        <w:t>fique, il n'en demeure pas moins que des facteurs exogènes ont pesé d'un poids déterminant dans ce rapprochement.</w:t>
      </w:r>
    </w:p>
    <w:p w:rsidR="00AD690E" w:rsidRPr="0077615B" w:rsidRDefault="00AD690E" w:rsidP="00AD690E">
      <w:pPr>
        <w:spacing w:before="120" w:after="120"/>
        <w:jc w:val="both"/>
      </w:pPr>
      <w:r w:rsidRPr="0077615B">
        <w:t>Nous pouvons retenir parmi les contraintes extérieures des cons</w:t>
      </w:r>
      <w:r w:rsidRPr="0077615B">
        <w:t>i</w:t>
      </w:r>
      <w:r w:rsidRPr="0077615B">
        <w:t>dérations géopolitiques liées à la montée de la puissance de l'URSS et à l'accélération de l'accession à l'indépendance des a</w:t>
      </w:r>
      <w:r w:rsidRPr="0077615B">
        <w:t>n</w:t>
      </w:r>
      <w:r w:rsidRPr="0077615B">
        <w:t>ciennes colonies européennes. Plus récemment, c'est surtout la concurrence exercée par la Communauté économique européenne et les pays de la bordure de l'Océan Pacifique qui entrera en ligne de compte dans la consolidation d'un bloc économique canado-américain. Reprenons ces éléments dans l'ordre.</w:t>
      </w:r>
    </w:p>
    <w:p w:rsidR="00AD690E" w:rsidRPr="0077615B" w:rsidRDefault="00AD690E" w:rsidP="00AD690E">
      <w:pPr>
        <w:spacing w:before="120" w:after="120"/>
        <w:jc w:val="both"/>
      </w:pPr>
      <w:r w:rsidRPr="0077615B">
        <w:t>Au sortir de la Deuxième Guerre, dans la foulée des destru</w:t>
      </w:r>
      <w:r w:rsidRPr="0077615B">
        <w:t>c</w:t>
      </w:r>
      <w:r w:rsidRPr="0077615B">
        <w:t>tions intervenues au sein des économies belligérantes d'Europe, les États-Unis et le Canada occupent respectivement les premier et troisième rang au sein de l'économie mondiale. Déjà inscrit dans la géogr</w:t>
      </w:r>
      <w:r w:rsidRPr="0077615B">
        <w:t>a</w:t>
      </w:r>
      <w:r w:rsidRPr="0077615B">
        <w:t>phie et l'histoire, cet affermissement d'une écon</w:t>
      </w:r>
      <w:r w:rsidRPr="0077615B">
        <w:t>o</w:t>
      </w:r>
      <w:r w:rsidRPr="0077615B">
        <w:t>mie continentale connaîtra sa première conceptualisation au plus fort de la guerre de Corée, d</w:t>
      </w:r>
      <w:r w:rsidRPr="0077615B">
        <w:t>é</w:t>
      </w:r>
      <w:r w:rsidRPr="0077615B">
        <w:t>clenchée en juin 1950, alors que le gouvernement amér</w:t>
      </w:r>
      <w:r w:rsidRPr="0077615B">
        <w:t>i</w:t>
      </w:r>
      <w:r w:rsidRPr="0077615B">
        <w:t>cain sera poussé à privilégier un approvisionnement continental de son écon</w:t>
      </w:r>
      <w:r w:rsidRPr="0077615B">
        <w:t>o</w:t>
      </w:r>
      <w:r w:rsidRPr="0077615B">
        <w:t>mie en richesses naturelles devant l'éventualité d'un d</w:t>
      </w:r>
      <w:r w:rsidRPr="0077615B">
        <w:t>é</w:t>
      </w:r>
      <w:r w:rsidRPr="0077615B">
        <w:t>bordement du conflit et d'un affront</w:t>
      </w:r>
      <w:r w:rsidRPr="0077615B">
        <w:t>e</w:t>
      </w:r>
      <w:r w:rsidRPr="0077615B">
        <w:t>ment avec l'ensemble des pays communistes. Dans une lettre datée du 22 janvier 1951, le président Harry S. Tr</w:t>
      </w:r>
      <w:r w:rsidRPr="0077615B">
        <w:t>u</w:t>
      </w:r>
      <w:r w:rsidRPr="0077615B">
        <w:t>man précise le cadre du mandat qu'il entend confier à la Commission :</w:t>
      </w:r>
    </w:p>
    <w:p w:rsidR="00AD690E" w:rsidRDefault="00AD690E" w:rsidP="00AD690E">
      <w:pPr>
        <w:pStyle w:val="Grillecouleur-Accent1"/>
      </w:pPr>
    </w:p>
    <w:p w:rsidR="00AD690E" w:rsidRPr="000217F5" w:rsidRDefault="00AD690E" w:rsidP="00AD690E">
      <w:pPr>
        <w:pStyle w:val="Grillecouleur-Accent1"/>
        <w:rPr>
          <w:i/>
        </w:rPr>
      </w:pPr>
      <w:r w:rsidRPr="006520D4">
        <w:t>La Commission [...] doit étudier les dimensions plus larges et à plus long terme du problème des matériaux pour la nation en le disti</w:t>
      </w:r>
      <w:r w:rsidRPr="006520D4">
        <w:t>n</w:t>
      </w:r>
      <w:r w:rsidRPr="006520D4">
        <w:t>guant des besoins imm</w:t>
      </w:r>
      <w:r w:rsidRPr="006520D4">
        <w:t>é</w:t>
      </w:r>
      <w:r w:rsidRPr="006520D4">
        <w:t>diats liés à la défense.</w:t>
      </w:r>
      <w:r w:rsidRPr="006520D4">
        <w:rPr>
          <w:i/>
        </w:rPr>
        <w:t xml:space="preserve"> </w:t>
      </w:r>
    </w:p>
    <w:p w:rsidR="00AD690E" w:rsidRDefault="00AD690E" w:rsidP="00AD690E">
      <w:pPr>
        <w:pStyle w:val="Grillecouleur-Accent1"/>
      </w:pPr>
      <w:r w:rsidRPr="006520D4">
        <w:t xml:space="preserve"> [...] Grâce à une planification éclairée et en posant des gestes déterm</w:t>
      </w:r>
      <w:r w:rsidRPr="006520D4">
        <w:t>i</w:t>
      </w:r>
      <w:r w:rsidRPr="006520D4">
        <w:t>nés, nous pouvons à la fois combler les besoins essentiels à notre séc</w:t>
      </w:r>
      <w:r w:rsidRPr="006520D4">
        <w:t>u</w:t>
      </w:r>
      <w:r w:rsidRPr="006520D4">
        <w:t>rité militaire, au bien-être civil et à la croissance</w:t>
      </w:r>
      <w:r>
        <w:t xml:space="preserve"> [</w:t>
      </w:r>
      <w:r w:rsidRPr="0077615B">
        <w:t>164</w:t>
      </w:r>
      <w:r>
        <w:t xml:space="preserve">] </w:t>
      </w:r>
      <w:r w:rsidRPr="006520D4">
        <w:t>économique soutenue des États-Unis. Nous ne pouvons pas tolérer que des pénuries de mat</w:t>
      </w:r>
      <w:r w:rsidRPr="006520D4">
        <w:t>é</w:t>
      </w:r>
      <w:r w:rsidRPr="006520D4">
        <w:t>riaux mettent en péril notre sécurité nationale ou créent des goulots d'étranglement dans notre expansion économ</w:t>
      </w:r>
      <w:r w:rsidRPr="006520D4">
        <w:t>i</w:t>
      </w:r>
      <w:r>
        <w:t xml:space="preserve">que </w:t>
      </w:r>
      <w:r>
        <w:rPr>
          <w:rStyle w:val="Appelnotedebasdep"/>
          <w:szCs w:val="18"/>
        </w:rPr>
        <w:footnoteReference w:id="276"/>
      </w:r>
      <w:r w:rsidRPr="006520D4">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 xml:space="preserve">Le </w:t>
      </w:r>
      <w:r w:rsidRPr="006520D4">
        <w:rPr>
          <w:i/>
          <w:szCs w:val="22"/>
        </w:rPr>
        <w:t>Rapport Paley</w:t>
      </w:r>
      <w:r w:rsidRPr="0077615B">
        <w:rPr>
          <w:szCs w:val="22"/>
        </w:rPr>
        <w:t xml:space="preserve"> publié en cinq volumes à Washington en 1952, constitue la pièce maîtresse dans la réorientation des investiss</w:t>
      </w:r>
      <w:r w:rsidRPr="0077615B">
        <w:rPr>
          <w:szCs w:val="22"/>
        </w:rPr>
        <w:t>e</w:t>
      </w:r>
      <w:r w:rsidRPr="0077615B">
        <w:rPr>
          <w:szCs w:val="22"/>
        </w:rPr>
        <w:t>ments américains vers le Canada, qui devient alors le princ</w:t>
      </w:r>
      <w:r w:rsidRPr="0077615B">
        <w:rPr>
          <w:szCs w:val="22"/>
        </w:rPr>
        <w:t>i</w:t>
      </w:r>
      <w:r w:rsidRPr="0077615B">
        <w:rPr>
          <w:szCs w:val="22"/>
        </w:rPr>
        <w:t>pal pourvoyeur de l'industrie américaine. D'ailleurs, le Rapport Paley propose la con</w:t>
      </w:r>
      <w:r w:rsidRPr="0077615B">
        <w:rPr>
          <w:szCs w:val="22"/>
        </w:rPr>
        <w:t>s</w:t>
      </w:r>
      <w:r w:rsidRPr="0077615B">
        <w:rPr>
          <w:szCs w:val="22"/>
        </w:rPr>
        <w:t>truction de la Voie maritime du Saint-Laurent, cet ouvrage d'infra</w:t>
      </w:r>
      <w:r w:rsidRPr="0077615B">
        <w:rPr>
          <w:szCs w:val="22"/>
        </w:rPr>
        <w:t>s</w:t>
      </w:r>
      <w:r w:rsidRPr="0077615B">
        <w:rPr>
          <w:szCs w:val="22"/>
        </w:rPr>
        <w:t>tructure qui ouvre désormais le continent au dév</w:t>
      </w:r>
      <w:r w:rsidRPr="0077615B">
        <w:rPr>
          <w:szCs w:val="22"/>
        </w:rPr>
        <w:t>e</w:t>
      </w:r>
      <w:r w:rsidRPr="0077615B">
        <w:rPr>
          <w:szCs w:val="22"/>
        </w:rPr>
        <w:t>loppement dans un axe nord-sud en permettant aux plus grands n</w:t>
      </w:r>
      <w:r w:rsidRPr="0077615B">
        <w:rPr>
          <w:szCs w:val="22"/>
        </w:rPr>
        <w:t>a</w:t>
      </w:r>
      <w:r w:rsidRPr="0077615B">
        <w:rPr>
          <w:szCs w:val="22"/>
        </w:rPr>
        <w:t xml:space="preserve">vires d'atteindre sans transbordement les rives des Grands Lacs. </w:t>
      </w:r>
      <w:r>
        <w:rPr>
          <w:szCs w:val="22"/>
        </w:rPr>
        <w:t>À</w:t>
      </w:r>
      <w:r w:rsidRPr="0077615B">
        <w:rPr>
          <w:szCs w:val="22"/>
        </w:rPr>
        <w:t xml:space="preserve"> la fin des années ci</w:t>
      </w:r>
      <w:r w:rsidRPr="0077615B">
        <w:rPr>
          <w:szCs w:val="22"/>
        </w:rPr>
        <w:t>n</w:t>
      </w:r>
      <w:r w:rsidRPr="0077615B">
        <w:rPr>
          <w:szCs w:val="22"/>
        </w:rPr>
        <w:t>quante, l'économiste c</w:t>
      </w:r>
      <w:r w:rsidRPr="0077615B">
        <w:rPr>
          <w:szCs w:val="22"/>
        </w:rPr>
        <w:t>a</w:t>
      </w:r>
      <w:r w:rsidRPr="0077615B">
        <w:rPr>
          <w:szCs w:val="22"/>
        </w:rPr>
        <w:t>nadien Hugh Aitken a pu écrire que, entre les recommandations du Rapport Paley et le pattern des investissements américains au Canada dans le courant des a</w:t>
      </w:r>
      <w:r w:rsidRPr="0077615B">
        <w:rPr>
          <w:szCs w:val="22"/>
        </w:rPr>
        <w:t>n</w:t>
      </w:r>
      <w:r w:rsidRPr="0077615B">
        <w:rPr>
          <w:szCs w:val="22"/>
        </w:rPr>
        <w:t>nées 50, il subsistait un parallèle probant</w:t>
      </w:r>
      <w:r>
        <w:rPr>
          <w:szCs w:val="22"/>
        </w:rPr>
        <w:t> </w:t>
      </w:r>
      <w:r w:rsidRPr="000D6A43">
        <w:rPr>
          <w:rStyle w:val="Appelnotedebasdep"/>
        </w:rPr>
        <w:footnoteReference w:id="277"/>
      </w:r>
      <w:r w:rsidRPr="0077615B">
        <w:rPr>
          <w:szCs w:val="22"/>
        </w:rPr>
        <w:t>.</w:t>
      </w:r>
      <w:r w:rsidRPr="006520D4">
        <w:t xml:space="preserve"> </w:t>
      </w:r>
    </w:p>
    <w:p w:rsidR="00AD690E" w:rsidRPr="0077615B" w:rsidRDefault="00AD690E" w:rsidP="00AD690E">
      <w:pPr>
        <w:spacing w:before="120" w:after="120"/>
        <w:jc w:val="both"/>
      </w:pPr>
      <w:r w:rsidRPr="0077615B">
        <w:rPr>
          <w:szCs w:val="22"/>
        </w:rPr>
        <w:t>Pour ajouter encore à cette dimension économique un volet milita</w:t>
      </w:r>
      <w:r w:rsidRPr="0077615B">
        <w:rPr>
          <w:szCs w:val="22"/>
        </w:rPr>
        <w:t>i</w:t>
      </w:r>
      <w:r w:rsidRPr="0077615B">
        <w:rPr>
          <w:szCs w:val="22"/>
        </w:rPr>
        <w:t>re, il faudrait rappeler que c'est également aux fins de protéger cette éc</w:t>
      </w:r>
      <w:r w:rsidRPr="0077615B">
        <w:rPr>
          <w:szCs w:val="22"/>
        </w:rPr>
        <w:t>o</w:t>
      </w:r>
      <w:r w:rsidRPr="0077615B">
        <w:rPr>
          <w:szCs w:val="22"/>
        </w:rPr>
        <w:t>nomie nord-américaine qu'ont été négociés entre le Canada et les États-Unis des accords conjoints de défense du continent qui culmin</w:t>
      </w:r>
      <w:r w:rsidRPr="0077615B">
        <w:rPr>
          <w:szCs w:val="22"/>
        </w:rPr>
        <w:t>e</w:t>
      </w:r>
      <w:r w:rsidRPr="0077615B">
        <w:rPr>
          <w:szCs w:val="22"/>
        </w:rPr>
        <w:t>ront dans la signature de NORAD à la fin des années ci</w:t>
      </w:r>
      <w:r w:rsidRPr="0077615B">
        <w:rPr>
          <w:szCs w:val="22"/>
        </w:rPr>
        <w:t>n</w:t>
      </w:r>
      <w:r w:rsidRPr="0077615B">
        <w:rPr>
          <w:szCs w:val="22"/>
        </w:rPr>
        <w:t>quante.</w:t>
      </w:r>
      <w:r w:rsidRPr="006520D4">
        <w:t xml:space="preserve"> </w:t>
      </w:r>
    </w:p>
    <w:p w:rsidR="00AD690E" w:rsidRPr="0077615B" w:rsidRDefault="00AD690E" w:rsidP="00AD690E">
      <w:pPr>
        <w:spacing w:before="120" w:after="120"/>
        <w:jc w:val="both"/>
      </w:pPr>
      <w:r w:rsidRPr="0077615B">
        <w:rPr>
          <w:szCs w:val="22"/>
        </w:rPr>
        <w:t>Cependant, d'autres facteurs externes viendront bientôt s'ajo</w:t>
      </w:r>
      <w:r w:rsidRPr="0077615B">
        <w:rPr>
          <w:szCs w:val="22"/>
        </w:rPr>
        <w:t>u</w:t>
      </w:r>
      <w:r w:rsidRPr="0077615B">
        <w:rPr>
          <w:szCs w:val="22"/>
        </w:rPr>
        <w:t>ter aux premiers : il s'agit bien sûr de la formation de la Communauté e</w:t>
      </w:r>
      <w:r w:rsidRPr="0077615B">
        <w:rPr>
          <w:szCs w:val="22"/>
        </w:rPr>
        <w:t>u</w:t>
      </w:r>
      <w:r w:rsidRPr="0077615B">
        <w:rPr>
          <w:szCs w:val="22"/>
        </w:rPr>
        <w:t>ropéenne et de l'élargissement progressif du bloc économique de l'E</w:t>
      </w:r>
      <w:r w:rsidRPr="0077615B">
        <w:rPr>
          <w:szCs w:val="22"/>
        </w:rPr>
        <w:t>u</w:t>
      </w:r>
      <w:r w:rsidRPr="0077615B">
        <w:rPr>
          <w:szCs w:val="22"/>
        </w:rPr>
        <w:t>rope des Six à l</w:t>
      </w:r>
      <w:r>
        <w:rPr>
          <w:szCs w:val="22"/>
        </w:rPr>
        <w:t>’</w:t>
      </w:r>
      <w:r w:rsidRPr="0077615B">
        <w:rPr>
          <w:szCs w:val="22"/>
        </w:rPr>
        <w:t>Europe des Neuf en 1973, avec l'entrée de la Grande-Bretagne dans le Marché commun. Ces événements ont beau suivre chronologiquement ceux dont il vient d'être question, leur mise en place s'est produite concurremment et l'on pourrait en toute « vérisimilitude » avancer que les effets que nous voulons ici disti</w:t>
      </w:r>
      <w:r w:rsidRPr="0077615B">
        <w:rPr>
          <w:szCs w:val="22"/>
        </w:rPr>
        <w:t>n</w:t>
      </w:r>
      <w:r w:rsidRPr="0077615B">
        <w:rPr>
          <w:szCs w:val="22"/>
        </w:rPr>
        <w:t>guer n'ont pas opéré de manière ind</w:t>
      </w:r>
      <w:r w:rsidRPr="0077615B">
        <w:rPr>
          <w:szCs w:val="22"/>
        </w:rPr>
        <w:t>é</w:t>
      </w:r>
      <w:r w:rsidRPr="0077615B">
        <w:rPr>
          <w:szCs w:val="22"/>
        </w:rPr>
        <w:t>pendante, et ce serait vrai. Il s'agit donc d'envisager des causes externes cumulatives.</w:t>
      </w:r>
    </w:p>
    <w:p w:rsidR="00AD690E" w:rsidRPr="0077615B" w:rsidRDefault="00AD690E" w:rsidP="00AD690E">
      <w:pPr>
        <w:spacing w:before="120" w:after="120"/>
        <w:jc w:val="both"/>
      </w:pPr>
      <w:r w:rsidRPr="0077615B">
        <w:rPr>
          <w:szCs w:val="22"/>
        </w:rPr>
        <w:t xml:space="preserve">Entre la signature du </w:t>
      </w:r>
      <w:r w:rsidRPr="0074455E">
        <w:rPr>
          <w:i/>
          <w:szCs w:val="22"/>
        </w:rPr>
        <w:t>Traité de Rome</w:t>
      </w:r>
      <w:r w:rsidRPr="0077615B">
        <w:rPr>
          <w:szCs w:val="22"/>
        </w:rPr>
        <w:t xml:space="preserve"> en 1957 et l'entrée de la Grande-Bretagne dans le Marché commun seize ans plus tard, on a</w:t>
      </w:r>
      <w:r w:rsidRPr="0077615B">
        <w:rPr>
          <w:szCs w:val="22"/>
        </w:rPr>
        <w:t>s</w:t>
      </w:r>
      <w:r w:rsidRPr="0077615B">
        <w:rPr>
          <w:szCs w:val="22"/>
        </w:rPr>
        <w:t>siste à la mise en place d'une véritable économie politique continent</w:t>
      </w:r>
      <w:r w:rsidRPr="0077615B">
        <w:rPr>
          <w:szCs w:val="22"/>
        </w:rPr>
        <w:t>a</w:t>
      </w:r>
      <w:r w:rsidRPr="0077615B">
        <w:rPr>
          <w:szCs w:val="22"/>
        </w:rPr>
        <w:t>le, au fur et à mesure que les options alternatives s'avèrent obs</w:t>
      </w:r>
      <w:r w:rsidRPr="0077615B">
        <w:rPr>
          <w:szCs w:val="22"/>
        </w:rPr>
        <w:t>o</w:t>
      </w:r>
      <w:r w:rsidRPr="0077615B">
        <w:rPr>
          <w:szCs w:val="22"/>
        </w:rPr>
        <w:t>lètes ou impraticables, comme l'est celle de Diefenbaker qui, en 1958, pr</w:t>
      </w:r>
      <w:r w:rsidRPr="0077615B">
        <w:rPr>
          <w:szCs w:val="22"/>
        </w:rPr>
        <w:t>o</w:t>
      </w:r>
      <w:r w:rsidRPr="0077615B">
        <w:rPr>
          <w:szCs w:val="22"/>
        </w:rPr>
        <w:t>pose de détourner 15</w:t>
      </w:r>
      <w:r>
        <w:rPr>
          <w:szCs w:val="22"/>
        </w:rPr>
        <w:t>%</w:t>
      </w:r>
      <w:r w:rsidRPr="0077615B">
        <w:rPr>
          <w:szCs w:val="22"/>
        </w:rPr>
        <w:t xml:space="preserve"> du commerce extérieur canadien depuis les États-Unis vers la Grande-Bretagne, ou comme l'est celle de cet inte</w:t>
      </w:r>
      <w:r w:rsidRPr="0077615B">
        <w:rPr>
          <w:szCs w:val="22"/>
        </w:rPr>
        <w:t>r</w:t>
      </w:r>
      <w:r w:rsidRPr="0077615B">
        <w:rPr>
          <w:szCs w:val="22"/>
        </w:rPr>
        <w:t xml:space="preserve">venant à la conférence </w:t>
      </w:r>
      <w:r w:rsidRPr="00ED6BC6">
        <w:rPr>
          <w:i/>
          <w:szCs w:val="22"/>
        </w:rPr>
        <w:t>Resources for Tomorrow</w:t>
      </w:r>
      <w:r w:rsidRPr="0077615B">
        <w:rPr>
          <w:szCs w:val="22"/>
        </w:rPr>
        <w:t>, tenue à Montréal en 1961, qui propose l'adhésion du Canada au Marché commun.</w:t>
      </w:r>
    </w:p>
    <w:p w:rsidR="00AD690E" w:rsidRPr="0077615B" w:rsidRDefault="00AD690E" w:rsidP="00AD690E">
      <w:pPr>
        <w:spacing w:before="120" w:after="120"/>
        <w:jc w:val="both"/>
      </w:pPr>
      <w:r w:rsidRPr="0077615B">
        <w:rPr>
          <w:szCs w:val="22"/>
        </w:rPr>
        <w:t>Au niveau conjoncturel, l'entrée de la Grande-Bretagne dans le Marché commun marque l'effondrement du « triangle de l'Atlant</w:t>
      </w:r>
      <w:r w:rsidRPr="0077615B">
        <w:rPr>
          <w:szCs w:val="22"/>
        </w:rPr>
        <w:t>i</w:t>
      </w:r>
      <w:r w:rsidRPr="0077615B">
        <w:rPr>
          <w:szCs w:val="22"/>
        </w:rPr>
        <w:t>que Nord » ; à un niveau plus fondamental cependant, cet effo</w:t>
      </w:r>
      <w:r w:rsidRPr="0077615B">
        <w:rPr>
          <w:szCs w:val="22"/>
        </w:rPr>
        <w:t>n</w:t>
      </w:r>
      <w:r w:rsidRPr="0077615B">
        <w:rPr>
          <w:szCs w:val="22"/>
        </w:rPr>
        <w:t>drement s'inscrit dans l'accroissement de la puissance eur</w:t>
      </w:r>
      <w:r w:rsidRPr="0077615B">
        <w:rPr>
          <w:szCs w:val="22"/>
        </w:rPr>
        <w:t>o</w:t>
      </w:r>
      <w:r w:rsidRPr="0077615B">
        <w:rPr>
          <w:szCs w:val="22"/>
        </w:rPr>
        <w:t>péenne et dans la nouvelle menace que cette concurrence fait p</w:t>
      </w:r>
      <w:r w:rsidRPr="0077615B">
        <w:rPr>
          <w:szCs w:val="22"/>
        </w:rPr>
        <w:t>e</w:t>
      </w:r>
      <w:r w:rsidRPr="0077615B">
        <w:rPr>
          <w:szCs w:val="22"/>
        </w:rPr>
        <w:t>ser sur la puissance américaine, sans compter l'isolement que ces développ</w:t>
      </w:r>
      <w:r w:rsidRPr="0077615B">
        <w:rPr>
          <w:szCs w:val="22"/>
        </w:rPr>
        <w:t>e</w:t>
      </w:r>
      <w:r w:rsidRPr="0077615B">
        <w:rPr>
          <w:szCs w:val="22"/>
        </w:rPr>
        <w:t>ments</w:t>
      </w:r>
      <w:r>
        <w:rPr>
          <w:szCs w:val="22"/>
        </w:rPr>
        <w:t xml:space="preserve"> </w:t>
      </w:r>
      <w:r>
        <w:rPr>
          <w:szCs w:val="18"/>
        </w:rPr>
        <w:t xml:space="preserve">[165] </w:t>
      </w:r>
      <w:r w:rsidRPr="0077615B">
        <w:rPr>
          <w:szCs w:val="22"/>
        </w:rPr>
        <w:t>entraînent pour le Canada. Ceci dit, il nous est désormais possible de situer les mesures politiques qui ont tenté de faire face ou d'o</w:t>
      </w:r>
      <w:r w:rsidRPr="0077615B">
        <w:rPr>
          <w:szCs w:val="22"/>
        </w:rPr>
        <w:t>b</w:t>
      </w:r>
      <w:r w:rsidRPr="0077615B">
        <w:rPr>
          <w:szCs w:val="22"/>
        </w:rPr>
        <w:t>vier à cette contrainte, mesures qui déboucheront sur cette stratégie de continentalisation que l'on verra à l'œuvre dans le rapport de la Co</w:t>
      </w:r>
      <w:r w:rsidRPr="0077615B">
        <w:rPr>
          <w:szCs w:val="22"/>
        </w:rPr>
        <w:t>m</w:t>
      </w:r>
      <w:r w:rsidRPr="0077615B">
        <w:rPr>
          <w:szCs w:val="22"/>
        </w:rPr>
        <w:t>mission royale sur l'Union économique et les perspectives de dév</w:t>
      </w:r>
      <w:r w:rsidRPr="0077615B">
        <w:rPr>
          <w:szCs w:val="22"/>
        </w:rPr>
        <w:t>e</w:t>
      </w:r>
      <w:r w:rsidRPr="0077615B">
        <w:rPr>
          <w:szCs w:val="22"/>
        </w:rPr>
        <w:t>loppement du Canada déposé à l'automne 1985. Tout au long de la période qui nous retiendra, la démarche politique et économ</w:t>
      </w:r>
      <w:r w:rsidRPr="0077615B">
        <w:rPr>
          <w:szCs w:val="22"/>
        </w:rPr>
        <w:t>i</w:t>
      </w:r>
      <w:r w:rsidRPr="0077615B">
        <w:rPr>
          <w:szCs w:val="22"/>
        </w:rPr>
        <w:t>que des libéraux évoluera depuis le continentalisme sectoriel du premier m</w:t>
      </w:r>
      <w:r w:rsidRPr="0077615B">
        <w:rPr>
          <w:szCs w:val="22"/>
        </w:rPr>
        <w:t>i</w:t>
      </w:r>
      <w:r w:rsidRPr="0077615B">
        <w:rPr>
          <w:szCs w:val="22"/>
        </w:rPr>
        <w:t>nistre Pearson, en passant par le nationalisme économ</w:t>
      </w:r>
      <w:r w:rsidRPr="0077615B">
        <w:rPr>
          <w:szCs w:val="22"/>
        </w:rPr>
        <w:t>i</w:t>
      </w:r>
      <w:r w:rsidRPr="0077615B">
        <w:rPr>
          <w:szCs w:val="22"/>
        </w:rPr>
        <w:t>que de Pierre Trudeau dans les années 70, jusqu'au continentalisme global des a</w:t>
      </w:r>
      <w:r w:rsidRPr="0077615B">
        <w:rPr>
          <w:szCs w:val="22"/>
        </w:rPr>
        <w:t>n</w:t>
      </w:r>
      <w:r w:rsidRPr="0077615B">
        <w:rPr>
          <w:szCs w:val="22"/>
        </w:rPr>
        <w:t>nées 80, engagé d'abord sous Trudeau également et poursuivi par les conservateurs ensu</w:t>
      </w:r>
      <w:r w:rsidRPr="0077615B">
        <w:rPr>
          <w:szCs w:val="22"/>
        </w:rPr>
        <w:t>i</w:t>
      </w:r>
      <w:r w:rsidRPr="0077615B">
        <w:rPr>
          <w:szCs w:val="22"/>
        </w:rPr>
        <w:t>te.</w:t>
      </w:r>
    </w:p>
    <w:p w:rsidR="00AD690E" w:rsidRDefault="00AD690E" w:rsidP="00AD690E">
      <w:pPr>
        <w:spacing w:before="120" w:after="120"/>
        <w:jc w:val="both"/>
        <w:rPr>
          <w:szCs w:val="22"/>
        </w:rPr>
      </w:pPr>
    </w:p>
    <w:p w:rsidR="00AD690E" w:rsidRPr="0077615B" w:rsidRDefault="00AD690E" w:rsidP="00AD690E">
      <w:pPr>
        <w:pStyle w:val="planche"/>
      </w:pPr>
      <w:r>
        <w:t>LES ANNÉ</w:t>
      </w:r>
      <w:r w:rsidRPr="0077615B">
        <w:t>ES PEARSON</w:t>
      </w:r>
    </w:p>
    <w:p w:rsidR="00AD690E"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Entre 1957 et 1961, l'économie canadienne traverse une p</w:t>
      </w:r>
      <w:r w:rsidRPr="0077615B">
        <w:rPr>
          <w:szCs w:val="22"/>
        </w:rPr>
        <w:t>é</w:t>
      </w:r>
      <w:r w:rsidRPr="0077615B">
        <w:rPr>
          <w:szCs w:val="22"/>
        </w:rPr>
        <w:t>riode difficile, la première depuis la Deuxième Guerre, caractér</w:t>
      </w:r>
      <w:r w:rsidRPr="0077615B">
        <w:rPr>
          <w:szCs w:val="22"/>
        </w:rPr>
        <w:t>i</w:t>
      </w:r>
      <w:r w:rsidRPr="0077615B">
        <w:rPr>
          <w:szCs w:val="22"/>
        </w:rPr>
        <w:t>sée par une sous-utilisation des ressources productives, l'accroissement des disp</w:t>
      </w:r>
      <w:r w:rsidRPr="0077615B">
        <w:rPr>
          <w:szCs w:val="22"/>
        </w:rPr>
        <w:t>a</w:t>
      </w:r>
      <w:r w:rsidRPr="0077615B">
        <w:rPr>
          <w:szCs w:val="22"/>
        </w:rPr>
        <w:t>rités régionales et l'érosion de son statut de puissance intern</w:t>
      </w:r>
      <w:r w:rsidRPr="0077615B">
        <w:rPr>
          <w:szCs w:val="22"/>
        </w:rPr>
        <w:t>a</w:t>
      </w:r>
      <w:r w:rsidRPr="0077615B">
        <w:rPr>
          <w:szCs w:val="22"/>
        </w:rPr>
        <w:t>tionale.</w:t>
      </w:r>
    </w:p>
    <w:p w:rsidR="00AD690E" w:rsidRPr="0077615B" w:rsidRDefault="00AD690E" w:rsidP="00AD690E">
      <w:pPr>
        <w:spacing w:before="120" w:after="120"/>
        <w:jc w:val="both"/>
      </w:pPr>
      <w:r w:rsidRPr="0077615B">
        <w:rPr>
          <w:szCs w:val="22"/>
        </w:rPr>
        <w:t>Même si, entre 1957 et 1963, Diefenbaker avait engagé son go</w:t>
      </w:r>
      <w:r w:rsidRPr="0077615B">
        <w:rPr>
          <w:szCs w:val="22"/>
        </w:rPr>
        <w:t>u</w:t>
      </w:r>
      <w:r w:rsidRPr="0077615B">
        <w:rPr>
          <w:szCs w:val="22"/>
        </w:rPr>
        <w:t>vernement sur la voie d'un interventionnisme plus soutenu que celui qui caractérisait son prédécesseur libéral, Louis Saint-Laurent, il a</w:t>
      </w:r>
      <w:r w:rsidRPr="0077615B">
        <w:rPr>
          <w:szCs w:val="22"/>
        </w:rPr>
        <w:t>p</w:t>
      </w:r>
      <w:r w:rsidRPr="0077615B">
        <w:rPr>
          <w:szCs w:val="22"/>
        </w:rPr>
        <w:t>partiendra au premier Cabinet de Lester B. Pearson, nouvellement élu le 8 avril 1963, de redéfinir une politique orie</w:t>
      </w:r>
      <w:r w:rsidRPr="0077615B">
        <w:rPr>
          <w:szCs w:val="22"/>
        </w:rPr>
        <w:t>n</w:t>
      </w:r>
      <w:r w:rsidRPr="0077615B">
        <w:rPr>
          <w:szCs w:val="22"/>
        </w:rPr>
        <w:t>tée vers le soutien de la croissance, la remise en cause du contrôle étranger et la rédu</w:t>
      </w:r>
      <w:r w:rsidRPr="0077615B">
        <w:rPr>
          <w:szCs w:val="22"/>
        </w:rPr>
        <w:t>c</w:t>
      </w:r>
      <w:r w:rsidRPr="0077615B">
        <w:rPr>
          <w:szCs w:val="22"/>
        </w:rPr>
        <w:t>tion des disparités régionales. Déjà, alors qu'ils étaient encore dans l'oppos</w:t>
      </w:r>
      <w:r w:rsidRPr="0077615B">
        <w:rPr>
          <w:szCs w:val="22"/>
        </w:rPr>
        <w:t>i</w:t>
      </w:r>
      <w:r w:rsidRPr="0077615B">
        <w:rPr>
          <w:szCs w:val="22"/>
        </w:rPr>
        <w:t>tion, les libéraux devaient opérer un rajustement de programme m</w:t>
      </w:r>
      <w:r w:rsidRPr="0077615B">
        <w:rPr>
          <w:szCs w:val="22"/>
        </w:rPr>
        <w:t>a</w:t>
      </w:r>
      <w:r w:rsidRPr="0077615B">
        <w:rPr>
          <w:szCs w:val="22"/>
        </w:rPr>
        <w:t>jeur lors de la Conférence de Kingston, tenue du 6 au 10 septembre 1960 ; ce rajustement conduit le parti à se déplacer vers la gauche sur l'échiquier polit</w:t>
      </w:r>
      <w:r w:rsidRPr="0077615B">
        <w:rPr>
          <w:szCs w:val="22"/>
        </w:rPr>
        <w:t>i</w:t>
      </w:r>
      <w:r w:rsidRPr="0077615B">
        <w:rPr>
          <w:szCs w:val="22"/>
        </w:rPr>
        <w:t>que canadien, c'est-à-dire à engager plus directement l</w:t>
      </w:r>
      <w:r>
        <w:rPr>
          <w:szCs w:val="22"/>
        </w:rPr>
        <w:t>’État</w:t>
      </w:r>
      <w:r w:rsidRPr="0077615B">
        <w:rPr>
          <w:szCs w:val="22"/>
        </w:rPr>
        <w:t xml:space="preserve"> dans le développement économique et social et ce, en partie pour contrer la montée des sociaux-démocrates qui allaient se doter d'une nouvelle formation politique, le Nouveau Parti démocrat</w:t>
      </w:r>
      <w:r w:rsidRPr="0077615B">
        <w:rPr>
          <w:szCs w:val="22"/>
        </w:rPr>
        <w:t>i</w:t>
      </w:r>
      <w:r w:rsidRPr="0077615B">
        <w:rPr>
          <w:szCs w:val="22"/>
        </w:rPr>
        <w:t>que, en août 1961.</w:t>
      </w:r>
    </w:p>
    <w:p w:rsidR="00AD690E" w:rsidRPr="0077615B" w:rsidRDefault="00AD690E" w:rsidP="00AD690E">
      <w:pPr>
        <w:spacing w:before="120" w:after="120"/>
        <w:jc w:val="both"/>
      </w:pPr>
      <w:r w:rsidRPr="0077615B">
        <w:rPr>
          <w:szCs w:val="22"/>
        </w:rPr>
        <w:t>Le premier discours du trône, lu le 16 mai 1963, était centré sur la croissance économique et faisait valoir que le chômage const</w:t>
      </w:r>
      <w:r w:rsidRPr="0077615B">
        <w:rPr>
          <w:szCs w:val="22"/>
        </w:rPr>
        <w:t>i</w:t>
      </w:r>
      <w:r w:rsidRPr="0077615B">
        <w:rPr>
          <w:szCs w:val="22"/>
        </w:rPr>
        <w:t>tuait un problème majeur. Il annonçait également la création du Conseil éc</w:t>
      </w:r>
      <w:r w:rsidRPr="0077615B">
        <w:rPr>
          <w:szCs w:val="22"/>
        </w:rPr>
        <w:t>o</w:t>
      </w:r>
      <w:r w:rsidRPr="0077615B">
        <w:rPr>
          <w:szCs w:val="22"/>
        </w:rPr>
        <w:t>nomique du Canada et mentionnait l'éventuelle création d'une Co</w:t>
      </w:r>
      <w:r w:rsidRPr="0077615B">
        <w:rPr>
          <w:szCs w:val="22"/>
        </w:rPr>
        <w:t>m</w:t>
      </w:r>
      <w:r w:rsidRPr="0077615B">
        <w:rPr>
          <w:szCs w:val="22"/>
        </w:rPr>
        <w:t>mission d'enquête sur le bilinguisme. Cependant, il fa</w:t>
      </w:r>
      <w:r w:rsidRPr="0077615B">
        <w:rPr>
          <w:szCs w:val="22"/>
        </w:rPr>
        <w:t>u</w:t>
      </w:r>
      <w:r w:rsidRPr="0077615B">
        <w:rPr>
          <w:szCs w:val="22"/>
        </w:rPr>
        <w:t>dra attendre, le 13 juin, le discours du budget du ministre des Finances, Walter Go</w:t>
      </w:r>
      <w:r w:rsidRPr="0077615B">
        <w:rPr>
          <w:szCs w:val="22"/>
        </w:rPr>
        <w:t>r</w:t>
      </w:r>
      <w:r w:rsidRPr="0077615B">
        <w:rPr>
          <w:szCs w:val="22"/>
        </w:rPr>
        <w:t>don, pour prendre toute la mesure du programme économique du go</w:t>
      </w:r>
      <w:r w:rsidRPr="0077615B">
        <w:rPr>
          <w:szCs w:val="22"/>
        </w:rPr>
        <w:t>u</w:t>
      </w:r>
      <w:r w:rsidRPr="0077615B">
        <w:rPr>
          <w:szCs w:val="22"/>
        </w:rPr>
        <w:t>vernement. Ce discours entendait s'attaquer au problème du contrôle étranger de l'industrie canadienne et il repr</w:t>
      </w:r>
      <w:r w:rsidRPr="0077615B">
        <w:rPr>
          <w:szCs w:val="22"/>
        </w:rPr>
        <w:t>e</w:t>
      </w:r>
      <w:r w:rsidRPr="0077615B">
        <w:rPr>
          <w:szCs w:val="22"/>
        </w:rPr>
        <w:t>nait en cela, sinon l'une ou l'autre des recommandations de la Co</w:t>
      </w:r>
      <w:r w:rsidRPr="0077615B">
        <w:rPr>
          <w:szCs w:val="22"/>
        </w:rPr>
        <w:t>m</w:t>
      </w:r>
      <w:r w:rsidRPr="0077615B">
        <w:rPr>
          <w:szCs w:val="22"/>
        </w:rPr>
        <w:t>mission royale d'enquête sur les perspectives économiques du Canada — créée en juin 1955 et d</w:t>
      </w:r>
      <w:r w:rsidRPr="0077615B">
        <w:rPr>
          <w:szCs w:val="22"/>
        </w:rPr>
        <w:t>i</w:t>
      </w:r>
      <w:r w:rsidRPr="0077615B">
        <w:rPr>
          <w:szCs w:val="22"/>
        </w:rPr>
        <w:t>rigée par Walter Gordon lui-même —, à tout le moins l'esprit de ce</w:t>
      </w:r>
      <w:r w:rsidRPr="0077615B">
        <w:rPr>
          <w:szCs w:val="22"/>
        </w:rPr>
        <w:t>r</w:t>
      </w:r>
      <w:r w:rsidRPr="0077615B">
        <w:rPr>
          <w:szCs w:val="22"/>
        </w:rPr>
        <w:t>tains énoncés sur le contentieux canado-américain. À cet égard, nous pouvons d'ores et déjà relever que deux dossiers m</w:t>
      </w:r>
      <w:r w:rsidRPr="0077615B">
        <w:rPr>
          <w:szCs w:val="22"/>
        </w:rPr>
        <w:t>a</w:t>
      </w:r>
      <w:r w:rsidRPr="0077615B">
        <w:rPr>
          <w:szCs w:val="22"/>
        </w:rPr>
        <w:t>jeurs caractérisent les années Pearson, à s</w:t>
      </w:r>
      <w:r w:rsidRPr="0077615B">
        <w:rPr>
          <w:szCs w:val="22"/>
        </w:rPr>
        <w:t>a</w:t>
      </w:r>
      <w:r w:rsidRPr="0077615B">
        <w:rPr>
          <w:szCs w:val="22"/>
        </w:rPr>
        <w:t>voir : l'exacerbation de la question régionale caractérisée, en particulier, par l'accumulation des revendications a</w:t>
      </w:r>
      <w:r w:rsidRPr="0077615B">
        <w:rPr>
          <w:szCs w:val="22"/>
        </w:rPr>
        <w:t>u</w:t>
      </w:r>
      <w:r w:rsidRPr="0077615B">
        <w:rPr>
          <w:szCs w:val="22"/>
        </w:rPr>
        <w:t>tonomistes du go</w:t>
      </w:r>
      <w:r w:rsidRPr="0077615B">
        <w:rPr>
          <w:szCs w:val="22"/>
        </w:rPr>
        <w:t>u</w:t>
      </w:r>
      <w:r w:rsidRPr="0077615B">
        <w:rPr>
          <w:szCs w:val="22"/>
        </w:rPr>
        <w:t>vernement québécois d'une part, et l'enjeu du contrôle américain de l'économie can</w:t>
      </w:r>
      <w:r w:rsidRPr="0077615B">
        <w:rPr>
          <w:szCs w:val="22"/>
        </w:rPr>
        <w:t>a</w:t>
      </w:r>
      <w:r w:rsidRPr="0077615B">
        <w:rPr>
          <w:szCs w:val="22"/>
        </w:rPr>
        <w:t>dienne d'autre part. À ce</w:t>
      </w:r>
      <w:r>
        <w:rPr>
          <w:szCs w:val="22"/>
        </w:rPr>
        <w:t xml:space="preserve"> </w:t>
      </w:r>
      <w:r>
        <w:t>[</w:t>
      </w:r>
      <w:r w:rsidRPr="0077615B">
        <w:rPr>
          <w:szCs w:val="22"/>
        </w:rPr>
        <w:t>166</w:t>
      </w:r>
      <w:r>
        <w:rPr>
          <w:szCs w:val="22"/>
        </w:rPr>
        <w:t xml:space="preserve">] </w:t>
      </w:r>
      <w:r w:rsidRPr="0077615B">
        <w:rPr>
          <w:szCs w:val="22"/>
        </w:rPr>
        <w:t xml:space="preserve">sujet, le </w:t>
      </w:r>
      <w:r w:rsidRPr="00ED6BC6">
        <w:rPr>
          <w:i/>
          <w:szCs w:val="22"/>
        </w:rPr>
        <w:t>Rapport préliminaire</w:t>
      </w:r>
      <w:r w:rsidRPr="0077615B">
        <w:rPr>
          <w:szCs w:val="22"/>
        </w:rPr>
        <w:t xml:space="preserve"> publié en décembre 1956 par la Co</w:t>
      </w:r>
      <w:r w:rsidRPr="0077615B">
        <w:rPr>
          <w:szCs w:val="22"/>
        </w:rPr>
        <w:t>m</w:t>
      </w:r>
      <w:r w:rsidRPr="0077615B">
        <w:rPr>
          <w:szCs w:val="22"/>
        </w:rPr>
        <w:t>mission royale d'enquête sur les perspectives économiques du Canada donnait déjà le ton des initiatives que l'on verra apparaître avec l'arr</w:t>
      </w:r>
      <w:r w:rsidRPr="0077615B">
        <w:rPr>
          <w:szCs w:val="22"/>
        </w:rPr>
        <w:t>i</w:t>
      </w:r>
      <w:r w:rsidRPr="0077615B">
        <w:rPr>
          <w:szCs w:val="22"/>
        </w:rPr>
        <w:t>vée au pouvoir des libéraux en 1963. Les co</w:t>
      </w:r>
      <w:r w:rsidRPr="0077615B">
        <w:rPr>
          <w:szCs w:val="22"/>
        </w:rPr>
        <w:t>m</w:t>
      </w:r>
      <w:r w:rsidRPr="0077615B">
        <w:rPr>
          <w:szCs w:val="22"/>
        </w:rPr>
        <w:t>missaires y relèvent en particulier que la question du contrôle étranger comptait parmi les préoccupations majeures au cours des audiences tenues à travers le pays.</w:t>
      </w:r>
    </w:p>
    <w:p w:rsidR="00AD690E" w:rsidRPr="0077615B" w:rsidRDefault="00AD690E" w:rsidP="00AD690E">
      <w:pPr>
        <w:spacing w:before="120" w:after="120"/>
        <w:jc w:val="both"/>
      </w:pPr>
      <w:r w:rsidRPr="0077615B">
        <w:rPr>
          <w:szCs w:val="22"/>
        </w:rPr>
        <w:t>Néanmoins, dans la section 11 du Rapport préliminaire intit</w:t>
      </w:r>
      <w:r w:rsidRPr="0077615B">
        <w:rPr>
          <w:szCs w:val="22"/>
        </w:rPr>
        <w:t>u</w:t>
      </w:r>
      <w:r w:rsidRPr="0077615B">
        <w:rPr>
          <w:szCs w:val="22"/>
        </w:rPr>
        <w:t>lée « La politique commerciale », les commissaires ne proposent auc</w:t>
      </w:r>
      <w:r w:rsidRPr="0077615B">
        <w:rPr>
          <w:szCs w:val="22"/>
        </w:rPr>
        <w:t>u</w:t>
      </w:r>
      <w:r w:rsidRPr="0077615B">
        <w:rPr>
          <w:szCs w:val="22"/>
        </w:rPr>
        <w:t>ne modification substantielle à la démarche canadienne, même s'ils font état du f</w:t>
      </w:r>
      <w:r>
        <w:rPr>
          <w:szCs w:val="22"/>
        </w:rPr>
        <w:t>ait que le multilatéralisme app</w:t>
      </w:r>
      <w:r w:rsidRPr="0077615B">
        <w:rPr>
          <w:szCs w:val="22"/>
        </w:rPr>
        <w:t>liqué par le pays n'a pas été payé en retour, de telle sorte « qu'il serait sage que le pays, pour le moment du moins, maintienne son tarif à peu près à son niveau a</w:t>
      </w:r>
      <w:r w:rsidRPr="0077615B">
        <w:rPr>
          <w:szCs w:val="22"/>
        </w:rPr>
        <w:t>c</w:t>
      </w:r>
      <w:r w:rsidRPr="0077615B">
        <w:rPr>
          <w:szCs w:val="22"/>
        </w:rPr>
        <w:t>tuel »</w:t>
      </w:r>
      <w:r>
        <w:rPr>
          <w:szCs w:val="22"/>
        </w:rPr>
        <w:t> </w:t>
      </w:r>
      <w:r w:rsidRPr="000D6A43">
        <w:rPr>
          <w:rStyle w:val="Appelnotedebasdep"/>
        </w:rPr>
        <w:footnoteReference w:id="278"/>
      </w:r>
      <w:r w:rsidRPr="0077615B">
        <w:rPr>
          <w:szCs w:val="22"/>
        </w:rPr>
        <w:t>. Et si la possibilité de la libéralisation des échanges avec les États-Unis est évoquée, « de l'avis de la Commission, il ne serait pas pratique pour le moment, ni avant bien longtemps, d'établir une large réciprocité commerciale entre le Canada et les États-Unis »</w:t>
      </w:r>
      <w:r>
        <w:rPr>
          <w:szCs w:val="22"/>
        </w:rPr>
        <w:t> </w:t>
      </w:r>
      <w:r w:rsidRPr="000D6A43">
        <w:rPr>
          <w:rStyle w:val="Appelnotedebasdep"/>
        </w:rPr>
        <w:footnoteReference w:id="279"/>
      </w:r>
      <w:r w:rsidRPr="0077615B">
        <w:rPr>
          <w:szCs w:val="22"/>
        </w:rPr>
        <w:t>. Cela n'empêchera pas les commissaires de consacrer une des plus impo</w:t>
      </w:r>
      <w:r w:rsidRPr="0077615B">
        <w:rPr>
          <w:szCs w:val="22"/>
        </w:rPr>
        <w:t>r</w:t>
      </w:r>
      <w:r w:rsidRPr="0077615B">
        <w:rPr>
          <w:szCs w:val="22"/>
        </w:rPr>
        <w:t>tantes sections de ce rapport aux « placements étrangers au Canada », et d'écrire : « L'activité des filiales établies à l'étranger doit être conforme et subordonnée au bien de l'ensemble de la soci</w:t>
      </w:r>
      <w:r w:rsidRPr="0077615B">
        <w:rPr>
          <w:szCs w:val="22"/>
        </w:rPr>
        <w:t>é</w:t>
      </w:r>
      <w:r w:rsidRPr="0077615B">
        <w:rPr>
          <w:szCs w:val="22"/>
        </w:rPr>
        <w:t>té »</w:t>
      </w:r>
      <w:r>
        <w:rPr>
          <w:szCs w:val="22"/>
        </w:rPr>
        <w:t> </w:t>
      </w:r>
      <w:r w:rsidRPr="000D6A43">
        <w:rPr>
          <w:rStyle w:val="Appelnotedebasdep"/>
        </w:rPr>
        <w:footnoteReference w:id="280"/>
      </w:r>
      <w:r w:rsidRPr="0077615B">
        <w:rPr>
          <w:szCs w:val="22"/>
        </w:rPr>
        <w:t>.</w:t>
      </w:r>
    </w:p>
    <w:p w:rsidR="00AD690E" w:rsidRPr="0077615B" w:rsidRDefault="00AD690E" w:rsidP="00AD690E">
      <w:pPr>
        <w:spacing w:before="120" w:after="120"/>
        <w:jc w:val="both"/>
      </w:pPr>
      <w:r w:rsidRPr="0077615B">
        <w:rPr>
          <w:szCs w:val="22"/>
        </w:rPr>
        <w:t>Même si l'on s'accorde assez facilement pour relever que le C</w:t>
      </w:r>
      <w:r w:rsidRPr="0077615B">
        <w:rPr>
          <w:szCs w:val="22"/>
        </w:rPr>
        <w:t>a</w:t>
      </w:r>
      <w:r w:rsidRPr="0077615B">
        <w:rPr>
          <w:szCs w:val="22"/>
        </w:rPr>
        <w:t>nada n'aurait vraisemblablement pas atteint son niveau actuel de dévelo</w:t>
      </w:r>
      <w:r w:rsidRPr="0077615B">
        <w:rPr>
          <w:szCs w:val="22"/>
        </w:rPr>
        <w:t>p</w:t>
      </w:r>
      <w:r w:rsidRPr="0077615B">
        <w:rPr>
          <w:szCs w:val="22"/>
        </w:rPr>
        <w:t>pement sans ces placements, on relève le fait que ceux-ci prennent surtout la forme d'investissements directs dans les industries de l'e</w:t>
      </w:r>
      <w:r w:rsidRPr="0077615B">
        <w:rPr>
          <w:szCs w:val="22"/>
        </w:rPr>
        <w:t>x</w:t>
      </w:r>
      <w:r w:rsidRPr="0077615B">
        <w:rPr>
          <w:szCs w:val="22"/>
        </w:rPr>
        <w:t>traction et de la transformation, qui sont par ailleurs ha</w:t>
      </w:r>
      <w:r w:rsidRPr="0077615B">
        <w:rPr>
          <w:szCs w:val="22"/>
        </w:rPr>
        <w:t>u</w:t>
      </w:r>
      <w:r w:rsidRPr="0077615B">
        <w:rPr>
          <w:szCs w:val="22"/>
        </w:rPr>
        <w:t>tement concentrées. Sans remettre en cause ce processus, les réda</w:t>
      </w:r>
      <w:r w:rsidRPr="0077615B">
        <w:rPr>
          <w:szCs w:val="22"/>
        </w:rPr>
        <w:t>c</w:t>
      </w:r>
      <w:r w:rsidRPr="0077615B">
        <w:rPr>
          <w:szCs w:val="22"/>
        </w:rPr>
        <w:t>teurs du Rapport proposent trois mesures pour faire face au problème : premi</w:t>
      </w:r>
      <w:r w:rsidRPr="0077615B">
        <w:rPr>
          <w:szCs w:val="22"/>
        </w:rPr>
        <w:t>è</w:t>
      </w:r>
      <w:r w:rsidRPr="0077615B">
        <w:rPr>
          <w:szCs w:val="22"/>
        </w:rPr>
        <w:t>rement, accroître la présence « des Canadiens aux po</w:t>
      </w:r>
      <w:r w:rsidRPr="0077615B">
        <w:rPr>
          <w:szCs w:val="22"/>
        </w:rPr>
        <w:t>s</w:t>
      </w:r>
      <w:r w:rsidRPr="0077615B">
        <w:rPr>
          <w:szCs w:val="22"/>
        </w:rPr>
        <w:t>tes supérieurs d'un caractère administratif et technique, retenir les services d'ing</w:t>
      </w:r>
      <w:r w:rsidRPr="0077615B">
        <w:rPr>
          <w:szCs w:val="22"/>
        </w:rPr>
        <w:t>é</w:t>
      </w:r>
      <w:r w:rsidRPr="0077615B">
        <w:rPr>
          <w:szCs w:val="22"/>
        </w:rPr>
        <w:t>nieurs et autres professionnels canadiens et acheter leurs fournitures, leurs matières premières et leur équipement au Canada » ; deuxièm</w:t>
      </w:r>
      <w:r w:rsidRPr="0077615B">
        <w:rPr>
          <w:szCs w:val="22"/>
        </w:rPr>
        <w:t>e</w:t>
      </w:r>
      <w:r w:rsidRPr="0077615B">
        <w:rPr>
          <w:szCs w:val="22"/>
        </w:rPr>
        <w:t>ment, obliger ces entr</w:t>
      </w:r>
      <w:r w:rsidRPr="0077615B">
        <w:rPr>
          <w:szCs w:val="22"/>
        </w:rPr>
        <w:t>e</w:t>
      </w:r>
      <w:r w:rsidRPr="0077615B">
        <w:rPr>
          <w:szCs w:val="22"/>
        </w:rPr>
        <w:t>prises « à publier leurs états financiers et [à] y exposer dans le détail leur activité au Canada » ; troisièmement, me</w:t>
      </w:r>
      <w:r w:rsidRPr="0077615B">
        <w:rPr>
          <w:szCs w:val="22"/>
        </w:rPr>
        <w:t>t</w:t>
      </w:r>
      <w:r w:rsidRPr="0077615B">
        <w:rPr>
          <w:szCs w:val="22"/>
        </w:rPr>
        <w:t>tre en vente « une part importante » (de 20 à 25</w:t>
      </w:r>
      <w:r>
        <w:rPr>
          <w:szCs w:val="22"/>
        </w:rPr>
        <w:t>%</w:t>
      </w:r>
      <w:r w:rsidRPr="0077615B">
        <w:rPr>
          <w:szCs w:val="22"/>
        </w:rPr>
        <w:t>, peut-être) de leur capital-actions à des Canadiens et nommer « parmi les membres de leur conseil d'administration un certain nombre de Canadiens »</w:t>
      </w:r>
      <w:r>
        <w:rPr>
          <w:szCs w:val="22"/>
        </w:rPr>
        <w:t> </w:t>
      </w:r>
      <w:r w:rsidRPr="000D6A43">
        <w:rPr>
          <w:rStyle w:val="Appelnotedebasdep"/>
        </w:rPr>
        <w:footnoteReference w:id="281"/>
      </w:r>
      <w:r w:rsidRPr="0077615B">
        <w:rPr>
          <w:szCs w:val="22"/>
        </w:rPr>
        <w:t>.</w:t>
      </w:r>
    </w:p>
    <w:p w:rsidR="00AD690E" w:rsidRPr="0077615B" w:rsidRDefault="00AD690E" w:rsidP="00AD690E">
      <w:pPr>
        <w:spacing w:before="120" w:after="120"/>
        <w:jc w:val="both"/>
      </w:pPr>
      <w:r w:rsidRPr="0077615B">
        <w:rPr>
          <w:szCs w:val="22"/>
        </w:rPr>
        <w:t>Ces propositions demeureront sans suite, essentiellement pa</w:t>
      </w:r>
      <w:r w:rsidRPr="0077615B">
        <w:rPr>
          <w:szCs w:val="22"/>
        </w:rPr>
        <w:t>r</w:t>
      </w:r>
      <w:r w:rsidRPr="0077615B">
        <w:rPr>
          <w:szCs w:val="22"/>
        </w:rPr>
        <w:t>ce qu'au moment du dépôt du rapport final en 1957, on assistera à un changement de gouvernement à Ottawa avec l'arrivée au po</w:t>
      </w:r>
      <w:r w:rsidRPr="0077615B">
        <w:rPr>
          <w:szCs w:val="22"/>
        </w:rPr>
        <w:t>u</w:t>
      </w:r>
      <w:r w:rsidRPr="0077615B">
        <w:rPr>
          <w:szCs w:val="22"/>
        </w:rPr>
        <w:t>voir des progressistes conservateurs de John Diefenbaker.</w:t>
      </w:r>
    </w:p>
    <w:p w:rsidR="00AD690E" w:rsidRPr="0077615B" w:rsidRDefault="00AD690E" w:rsidP="00AD690E">
      <w:pPr>
        <w:spacing w:before="120" w:after="120"/>
        <w:jc w:val="both"/>
      </w:pPr>
      <w:r w:rsidRPr="0077615B">
        <w:rPr>
          <w:szCs w:val="22"/>
        </w:rPr>
        <w:t>Quoi qu'il en soit, de ces deux approches à la continentalis</w:t>
      </w:r>
      <w:r w:rsidRPr="0077615B">
        <w:rPr>
          <w:szCs w:val="22"/>
        </w:rPr>
        <w:t>a</w:t>
      </w:r>
      <w:r w:rsidRPr="0077615B">
        <w:rPr>
          <w:szCs w:val="22"/>
        </w:rPr>
        <w:t>tion que sont la libéralisation pure et simple d'un côté, le contrôle des i</w:t>
      </w:r>
      <w:r w:rsidRPr="0077615B">
        <w:rPr>
          <w:szCs w:val="22"/>
        </w:rPr>
        <w:t>n</w:t>
      </w:r>
      <w:r w:rsidRPr="0077615B">
        <w:rPr>
          <w:szCs w:val="22"/>
        </w:rPr>
        <w:t>vestissements étrangers de l'autre, c'est la seconde qui pr</w:t>
      </w:r>
      <w:r w:rsidRPr="0077615B">
        <w:rPr>
          <w:szCs w:val="22"/>
        </w:rPr>
        <w:t>é</w:t>
      </w:r>
      <w:r w:rsidRPr="0077615B">
        <w:rPr>
          <w:szCs w:val="22"/>
        </w:rPr>
        <w:t>vaudra au niveau de la gestion politique tout au long des deux décennies suiva</w:t>
      </w:r>
      <w:r w:rsidRPr="0077615B">
        <w:rPr>
          <w:szCs w:val="22"/>
        </w:rPr>
        <w:t>n</w:t>
      </w:r>
      <w:r w:rsidRPr="0077615B">
        <w:rPr>
          <w:szCs w:val="22"/>
        </w:rPr>
        <w:t>tes, même si l'on assiste à</w:t>
      </w:r>
      <w:r>
        <w:rPr>
          <w:szCs w:val="22"/>
        </w:rPr>
        <w:t xml:space="preserve"> </w:t>
      </w:r>
      <w:r>
        <w:rPr>
          <w:szCs w:val="18"/>
        </w:rPr>
        <w:t xml:space="preserve">[167] </w:t>
      </w:r>
      <w:r w:rsidRPr="0077615B">
        <w:rPr>
          <w:szCs w:val="22"/>
        </w:rPr>
        <w:t>l'émergence d'un continentalisme se</w:t>
      </w:r>
      <w:r w:rsidRPr="0077615B">
        <w:rPr>
          <w:szCs w:val="22"/>
        </w:rPr>
        <w:t>c</w:t>
      </w:r>
      <w:r w:rsidRPr="0077615B">
        <w:rPr>
          <w:szCs w:val="22"/>
        </w:rPr>
        <w:t>toriel sous la gouverne du lib</w:t>
      </w:r>
      <w:r w:rsidRPr="0077615B">
        <w:rPr>
          <w:szCs w:val="22"/>
        </w:rPr>
        <w:t>é</w:t>
      </w:r>
      <w:r w:rsidRPr="0077615B">
        <w:rPr>
          <w:szCs w:val="22"/>
        </w:rPr>
        <w:t>ral Lester Pearson entre 1963 et 1968.</w:t>
      </w:r>
    </w:p>
    <w:p w:rsidR="00AD690E" w:rsidRDefault="00AD690E" w:rsidP="00AD690E">
      <w:pPr>
        <w:spacing w:before="120" w:after="120"/>
        <w:jc w:val="both"/>
        <w:rPr>
          <w:szCs w:val="22"/>
        </w:rPr>
      </w:pPr>
      <w:r>
        <w:rPr>
          <w:szCs w:val="22"/>
        </w:rPr>
        <w:br w:type="page"/>
      </w:r>
    </w:p>
    <w:p w:rsidR="00AD690E" w:rsidRPr="00882FFB" w:rsidRDefault="00AD690E" w:rsidP="00AD690E">
      <w:pPr>
        <w:pStyle w:val="a"/>
      </w:pPr>
      <w:r w:rsidRPr="00882FFB">
        <w:t>Le sout</w:t>
      </w:r>
      <w:r>
        <w:t>ien de la croissance économique</w:t>
      </w:r>
      <w:r>
        <w:br/>
      </w:r>
      <w:r w:rsidRPr="00882FFB">
        <w:t>et les relations avec les États-Unis</w:t>
      </w:r>
    </w:p>
    <w:p w:rsidR="00AD690E" w:rsidRDefault="00AD690E" w:rsidP="00AD690E">
      <w:pPr>
        <w:spacing w:before="120" w:after="120"/>
        <w:jc w:val="both"/>
        <w:rPr>
          <w:szCs w:val="22"/>
        </w:rPr>
      </w:pPr>
    </w:p>
    <w:p w:rsidR="00AD690E" w:rsidRPr="000F7900" w:rsidRDefault="00AD690E" w:rsidP="00AD690E">
      <w:pPr>
        <w:spacing w:before="120" w:after="120"/>
        <w:jc w:val="both"/>
        <w:rPr>
          <w:szCs w:val="22"/>
        </w:rPr>
      </w:pPr>
      <w:r w:rsidRPr="0077615B">
        <w:rPr>
          <w:szCs w:val="22"/>
        </w:rPr>
        <w:t>On a reproché au gouvernement Pearson, à l'époque, son manque de détermination dans l'adoption de mesures législatives concrètes au soutien de la croissance économique. Il convient de rappeler à cet égard que les gouvernements dirigés par Pearson de 1963 à 1965, puis de 1965 à 1968, étaient des gouvernements m</w:t>
      </w:r>
      <w:r w:rsidRPr="0077615B">
        <w:rPr>
          <w:szCs w:val="22"/>
        </w:rPr>
        <w:t>i</w:t>
      </w:r>
      <w:r w:rsidRPr="0077615B">
        <w:rPr>
          <w:szCs w:val="22"/>
        </w:rPr>
        <w:t>noritaires d'une part, que le Cabinet était aux prises avec le surgissement in</w:t>
      </w:r>
      <w:r w:rsidRPr="0077615B">
        <w:rPr>
          <w:szCs w:val="22"/>
        </w:rPr>
        <w:t>o</w:t>
      </w:r>
      <w:r w:rsidRPr="0077615B">
        <w:rPr>
          <w:szCs w:val="22"/>
        </w:rPr>
        <w:t>piné et cumulé de scandales politiques d'autre part, deux facteurs qui ont grandement contribué à miner sa crédibilité et son ascendant sur la société et la politique. Au surplus, aussi bien dans le domaine financier que dans le domaine fiscal, les initiatives du Cabinet se voulaient temporaires en attendant le dépôt des résultats des travaux de deux importantes co</w:t>
      </w:r>
      <w:r w:rsidRPr="0077615B">
        <w:rPr>
          <w:szCs w:val="22"/>
        </w:rPr>
        <w:t>m</w:t>
      </w:r>
      <w:r w:rsidRPr="0077615B">
        <w:rPr>
          <w:szCs w:val="22"/>
        </w:rPr>
        <w:t>missions d'enquête, à savoir la Commi</w:t>
      </w:r>
      <w:r w:rsidRPr="0077615B">
        <w:rPr>
          <w:szCs w:val="22"/>
        </w:rPr>
        <w:t>s</w:t>
      </w:r>
      <w:r w:rsidRPr="0077615B">
        <w:rPr>
          <w:szCs w:val="22"/>
        </w:rPr>
        <w:t>sion royale d'enquête sur les banques et la finance, et la Commission royale d'enquête sur la tax</w:t>
      </w:r>
      <w:r w:rsidRPr="0077615B">
        <w:rPr>
          <w:szCs w:val="22"/>
        </w:rPr>
        <w:t>a</w:t>
      </w:r>
      <w:r w:rsidRPr="0077615B">
        <w:rPr>
          <w:szCs w:val="22"/>
        </w:rPr>
        <w:t>tion, instituées respectivement en 1961 et 1962.</w:t>
      </w:r>
    </w:p>
    <w:p w:rsidR="00AD690E" w:rsidRPr="0077615B" w:rsidRDefault="00AD690E" w:rsidP="00AD690E">
      <w:pPr>
        <w:spacing w:before="120" w:after="120"/>
        <w:jc w:val="both"/>
      </w:pPr>
      <w:r w:rsidRPr="0077615B">
        <w:rPr>
          <w:szCs w:val="22"/>
        </w:rPr>
        <w:t>Dans ces conditions, ce qu'il importe de retenir des trois di</w:t>
      </w:r>
      <w:r w:rsidRPr="0077615B">
        <w:rPr>
          <w:szCs w:val="22"/>
        </w:rPr>
        <w:t>s</w:t>
      </w:r>
      <w:r w:rsidRPr="0077615B">
        <w:rPr>
          <w:szCs w:val="22"/>
        </w:rPr>
        <w:t>cours du budget présentés par le ministre des Finances, Walter Gordon, d</w:t>
      </w:r>
      <w:r w:rsidRPr="0077615B">
        <w:rPr>
          <w:szCs w:val="22"/>
        </w:rPr>
        <w:t>u</w:t>
      </w:r>
      <w:r w:rsidRPr="0077615B">
        <w:rPr>
          <w:szCs w:val="22"/>
        </w:rPr>
        <w:t>rant le premier mandat du gouvernement Pearson, ce sont essentiell</w:t>
      </w:r>
      <w:r w:rsidRPr="0077615B">
        <w:rPr>
          <w:szCs w:val="22"/>
        </w:rPr>
        <w:t>e</w:t>
      </w:r>
      <w:r w:rsidRPr="0077615B">
        <w:rPr>
          <w:szCs w:val="22"/>
        </w:rPr>
        <w:t>ment ses initiatives visant à réduire le niveau et le degré de propriété et de contrôle des Américains sur l'économie canadienne, même si les mesures proposées ont toutes été suivies de nets reculs sur tous les fronts.</w:t>
      </w:r>
    </w:p>
    <w:p w:rsidR="00AD690E" w:rsidRPr="0077615B" w:rsidRDefault="00AD690E" w:rsidP="00AD690E">
      <w:pPr>
        <w:spacing w:before="120" w:after="120"/>
        <w:jc w:val="both"/>
      </w:pPr>
      <w:r w:rsidRPr="0077615B">
        <w:rPr>
          <w:szCs w:val="22"/>
        </w:rPr>
        <w:t>La question du contrôle américain de l'économie canadienne surgit à l'aube des années 60, comme le révélateur d'une double di</w:t>
      </w:r>
      <w:r w:rsidRPr="0077615B">
        <w:rPr>
          <w:szCs w:val="22"/>
        </w:rPr>
        <w:t>f</w:t>
      </w:r>
      <w:r w:rsidRPr="0077615B">
        <w:rPr>
          <w:szCs w:val="22"/>
        </w:rPr>
        <w:t>ficulté pour les autorités en place. En premier lieu, les rajustements de la str</w:t>
      </w:r>
      <w:r w:rsidRPr="0077615B">
        <w:rPr>
          <w:szCs w:val="22"/>
        </w:rPr>
        <w:t>a</w:t>
      </w:r>
      <w:r w:rsidRPr="0077615B">
        <w:rPr>
          <w:szCs w:val="22"/>
        </w:rPr>
        <w:t>tégie américaine de développement international affectent d'abord et surtout l'approvisionnement en capital de l'économie c</w:t>
      </w:r>
      <w:r w:rsidRPr="0077615B">
        <w:rPr>
          <w:szCs w:val="22"/>
        </w:rPr>
        <w:t>a</w:t>
      </w:r>
      <w:r w:rsidRPr="0077615B">
        <w:rPr>
          <w:szCs w:val="22"/>
        </w:rPr>
        <w:t>nadienne ; en deuxième lieu, il importe également de souligner que le niveau de d</w:t>
      </w:r>
      <w:r w:rsidRPr="0077615B">
        <w:rPr>
          <w:szCs w:val="22"/>
        </w:rPr>
        <w:t>é</w:t>
      </w:r>
      <w:r w:rsidRPr="0077615B">
        <w:rPr>
          <w:szCs w:val="22"/>
        </w:rPr>
        <w:t>pendance de l'économie canadienne entrave les capacités d'interve</w:t>
      </w:r>
      <w:r w:rsidRPr="0077615B">
        <w:rPr>
          <w:szCs w:val="22"/>
        </w:rPr>
        <w:t>n</w:t>
      </w:r>
      <w:r w:rsidRPr="0077615B">
        <w:rPr>
          <w:szCs w:val="22"/>
        </w:rPr>
        <w:t>tion du gouvernement, au moment même où sa m</w:t>
      </w:r>
      <w:r w:rsidRPr="0077615B">
        <w:rPr>
          <w:szCs w:val="22"/>
        </w:rPr>
        <w:t>é</w:t>
      </w:r>
      <w:r w:rsidRPr="0077615B">
        <w:rPr>
          <w:szCs w:val="22"/>
        </w:rPr>
        <w:t>diation est de plus en plus sollicitée.</w:t>
      </w:r>
    </w:p>
    <w:p w:rsidR="00AD690E" w:rsidRPr="0077615B" w:rsidRDefault="00AD690E" w:rsidP="00AD690E">
      <w:pPr>
        <w:spacing w:before="120" w:after="120"/>
        <w:jc w:val="both"/>
      </w:pPr>
      <w:r w:rsidRPr="0077615B">
        <w:rPr>
          <w:szCs w:val="22"/>
        </w:rPr>
        <w:t>L'exacerbation de la concurrence internationale au tournant des années 60 affecte la position économique des États-Unis qui connai</w:t>
      </w:r>
      <w:r w:rsidRPr="0077615B">
        <w:rPr>
          <w:szCs w:val="22"/>
        </w:rPr>
        <w:t>s</w:t>
      </w:r>
      <w:r w:rsidRPr="0077615B">
        <w:rPr>
          <w:szCs w:val="22"/>
        </w:rPr>
        <w:t>sent une courte mais sévère récession en 1960-1961. M</w:t>
      </w:r>
      <w:r w:rsidRPr="0077615B">
        <w:rPr>
          <w:szCs w:val="22"/>
        </w:rPr>
        <w:t>ê</w:t>
      </w:r>
      <w:r w:rsidRPr="0077615B">
        <w:rPr>
          <w:szCs w:val="22"/>
        </w:rPr>
        <w:t>me si leur position devait s'améliorer notablement par après, il apparaissait avec de plus en plus d'évidence que le gouvernement américain allait lég</w:t>
      </w:r>
      <w:r w:rsidRPr="0077615B">
        <w:rPr>
          <w:szCs w:val="22"/>
        </w:rPr>
        <w:t>i</w:t>
      </w:r>
      <w:r w:rsidRPr="0077615B">
        <w:rPr>
          <w:szCs w:val="22"/>
        </w:rPr>
        <w:t>férer afin de contrôler l'exportation de capital à l'étranger.</w:t>
      </w:r>
    </w:p>
    <w:p w:rsidR="00AD690E" w:rsidRPr="0077615B" w:rsidRDefault="00AD690E" w:rsidP="00AD690E">
      <w:pPr>
        <w:spacing w:before="120" w:after="120"/>
        <w:jc w:val="both"/>
      </w:pPr>
      <w:r w:rsidRPr="0077615B">
        <w:rPr>
          <w:szCs w:val="22"/>
        </w:rPr>
        <w:t>La première mesure à cet effet, annoncée en juillet 1963, d</w:t>
      </w:r>
      <w:r w:rsidRPr="0077615B">
        <w:rPr>
          <w:szCs w:val="22"/>
        </w:rPr>
        <w:t>e</w:t>
      </w:r>
      <w:r w:rsidRPr="0077615B">
        <w:rPr>
          <w:szCs w:val="22"/>
        </w:rPr>
        <w:t>vait conduire le Congrès à lever une « taxe de péréquation des taux d'int</w:t>
      </w:r>
      <w:r w:rsidRPr="0077615B">
        <w:rPr>
          <w:szCs w:val="22"/>
        </w:rPr>
        <w:t>é</w:t>
      </w:r>
      <w:r w:rsidRPr="0077615B">
        <w:rPr>
          <w:szCs w:val="22"/>
        </w:rPr>
        <w:t>rêt » dans le but de décourager les emprunteurs étra</w:t>
      </w:r>
      <w:r w:rsidRPr="0077615B">
        <w:rPr>
          <w:szCs w:val="22"/>
        </w:rPr>
        <w:t>n</w:t>
      </w:r>
      <w:r w:rsidRPr="0077615B">
        <w:rPr>
          <w:szCs w:val="22"/>
        </w:rPr>
        <w:t>gers de transiger sur le marché américain de capital où les taux étaient inférieurs à ce qu'ils étaient sur les marchés internati</w:t>
      </w:r>
      <w:r w:rsidRPr="0077615B">
        <w:rPr>
          <w:szCs w:val="22"/>
        </w:rPr>
        <w:t>o</w:t>
      </w:r>
      <w:r w:rsidRPr="0077615B">
        <w:rPr>
          <w:szCs w:val="22"/>
        </w:rPr>
        <w:t>naux. Dans la mesure où, à cause de sa dépendance vis-à-vis du marché américain de capital, le Canada risquait d'être au premier chef affecté par cette</w:t>
      </w:r>
      <w:r>
        <w:rPr>
          <w:szCs w:val="22"/>
        </w:rPr>
        <w:t xml:space="preserve"> </w:t>
      </w:r>
      <w:r>
        <w:t>[</w:t>
      </w:r>
      <w:r w:rsidRPr="0077615B">
        <w:rPr>
          <w:szCs w:val="18"/>
        </w:rPr>
        <w:t>168</w:t>
      </w:r>
      <w:r>
        <w:rPr>
          <w:szCs w:val="18"/>
        </w:rPr>
        <w:t xml:space="preserve">] </w:t>
      </w:r>
      <w:r w:rsidRPr="0077615B">
        <w:rPr>
          <w:szCs w:val="22"/>
        </w:rPr>
        <w:t>initiat</w:t>
      </w:r>
      <w:r w:rsidRPr="0077615B">
        <w:rPr>
          <w:szCs w:val="22"/>
        </w:rPr>
        <w:t>i</w:t>
      </w:r>
      <w:r w:rsidRPr="0077615B">
        <w:rPr>
          <w:szCs w:val="22"/>
        </w:rPr>
        <w:t>ve, le gouvernement demande et obtient une exemption. Malgré cette réserve toutefois, « pour le reste de 1963 et l'année 1964, le ma</w:t>
      </w:r>
      <w:r w:rsidRPr="0077615B">
        <w:rPr>
          <w:szCs w:val="22"/>
        </w:rPr>
        <w:t>r</w:t>
      </w:r>
      <w:r w:rsidRPr="0077615B">
        <w:rPr>
          <w:szCs w:val="22"/>
        </w:rPr>
        <w:t>ché américain des obligations est virtuellement fermé aux empru</w:t>
      </w:r>
      <w:r w:rsidRPr="0077615B">
        <w:rPr>
          <w:szCs w:val="22"/>
        </w:rPr>
        <w:t>n</w:t>
      </w:r>
      <w:r w:rsidRPr="0077615B">
        <w:rPr>
          <w:szCs w:val="22"/>
        </w:rPr>
        <w:t>teurs canadiens »</w:t>
      </w:r>
      <w:r>
        <w:rPr>
          <w:szCs w:val="22"/>
        </w:rPr>
        <w:t> </w:t>
      </w:r>
      <w:r w:rsidRPr="000D6A43">
        <w:rPr>
          <w:rStyle w:val="Appelnotedebasdep"/>
        </w:rPr>
        <w:footnoteReference w:id="282"/>
      </w:r>
      <w:r w:rsidRPr="0077615B">
        <w:rPr>
          <w:szCs w:val="22"/>
        </w:rPr>
        <w:t>. N'eût été de la décision de l'URSS d'effectuer des achats massifs de blé canadien à ce moment-là, la balance des pai</w:t>
      </w:r>
      <w:r w:rsidRPr="0077615B">
        <w:rPr>
          <w:szCs w:val="22"/>
        </w:rPr>
        <w:t>e</w:t>
      </w:r>
      <w:r w:rsidRPr="0077615B">
        <w:rPr>
          <w:szCs w:val="22"/>
        </w:rPr>
        <w:t>ments aurait été considérablement déséquilibrée.</w:t>
      </w:r>
    </w:p>
    <w:p w:rsidR="00AD690E" w:rsidRPr="0077615B" w:rsidRDefault="00AD690E" w:rsidP="00AD690E">
      <w:pPr>
        <w:spacing w:before="120" w:after="120"/>
        <w:jc w:val="both"/>
      </w:pPr>
      <w:r w:rsidRPr="0077615B">
        <w:rPr>
          <w:szCs w:val="22"/>
        </w:rPr>
        <w:t>Or, le gouvernement américain devait revenir à la charge en d</w:t>
      </w:r>
      <w:r w:rsidRPr="0077615B">
        <w:rPr>
          <w:szCs w:val="22"/>
        </w:rPr>
        <w:t>é</w:t>
      </w:r>
      <w:r w:rsidRPr="0077615B">
        <w:rPr>
          <w:szCs w:val="22"/>
        </w:rPr>
        <w:t>cembre 1965 avec l'adoption de nouvelles mesures visant à contrôler le flux d'investissement américain à l'étranger. Cette fois, le ministre de l'Industrie et du Commerce, Robert Winters, édicté des normes v</w:t>
      </w:r>
      <w:r w:rsidRPr="0077615B">
        <w:rPr>
          <w:szCs w:val="22"/>
        </w:rPr>
        <w:t>i</w:t>
      </w:r>
      <w:r w:rsidRPr="0077615B">
        <w:rPr>
          <w:szCs w:val="22"/>
        </w:rPr>
        <w:t>sant à contraindre les entreprises étrangères à garder au pays des pr</w:t>
      </w:r>
      <w:r w:rsidRPr="0077615B">
        <w:rPr>
          <w:szCs w:val="22"/>
        </w:rPr>
        <w:t>o</w:t>
      </w:r>
      <w:r w:rsidRPr="0077615B">
        <w:rPr>
          <w:szCs w:val="22"/>
        </w:rPr>
        <w:t>fits suffisants pour financer leur expansion au Canada.</w:t>
      </w:r>
    </w:p>
    <w:p w:rsidR="00AD690E" w:rsidRPr="0077615B" w:rsidRDefault="00AD690E" w:rsidP="00AD690E">
      <w:pPr>
        <w:spacing w:before="120" w:after="120"/>
        <w:jc w:val="both"/>
      </w:pPr>
      <w:r w:rsidRPr="0077615B">
        <w:rPr>
          <w:szCs w:val="22"/>
        </w:rPr>
        <w:t>Le premier janvier 1968, le gouvernement américain revient de nouveau à la charge pour exiger de ses entreprises opérant à l'étranger qu'elles rapatrient 30</w:t>
      </w:r>
      <w:r>
        <w:rPr>
          <w:szCs w:val="22"/>
        </w:rPr>
        <w:t>%</w:t>
      </w:r>
      <w:r w:rsidRPr="0077615B">
        <w:rPr>
          <w:szCs w:val="22"/>
        </w:rPr>
        <w:t xml:space="preserve"> de leurs revenus. Même si, en mars de la m</w:t>
      </w:r>
      <w:r w:rsidRPr="0077615B">
        <w:rPr>
          <w:szCs w:val="22"/>
        </w:rPr>
        <w:t>ê</w:t>
      </w:r>
      <w:r w:rsidRPr="0077615B">
        <w:rPr>
          <w:szCs w:val="22"/>
        </w:rPr>
        <w:t>me année, le Canada obtient quelques exemptions, il n'en demeure pas moins que le dollar canadien se trouve dans une situation précaire sur les marchés internationaux, où la spéculation contre le dollar se pou</w:t>
      </w:r>
      <w:r w:rsidRPr="0077615B">
        <w:rPr>
          <w:szCs w:val="22"/>
        </w:rPr>
        <w:t>r</w:t>
      </w:r>
      <w:r w:rsidRPr="0077615B">
        <w:rPr>
          <w:szCs w:val="22"/>
        </w:rPr>
        <w:t>suit.</w:t>
      </w:r>
    </w:p>
    <w:p w:rsidR="00AD690E" w:rsidRDefault="00AD690E" w:rsidP="00AD690E">
      <w:pPr>
        <w:spacing w:before="120" w:after="120"/>
        <w:jc w:val="both"/>
        <w:rPr>
          <w:szCs w:val="22"/>
        </w:rPr>
      </w:pPr>
      <w:r w:rsidRPr="0077615B">
        <w:rPr>
          <w:szCs w:val="22"/>
        </w:rPr>
        <w:t>Pour les États-Unis, le problème est de taille, comme le relève Ha</w:t>
      </w:r>
      <w:r w:rsidRPr="0077615B">
        <w:rPr>
          <w:szCs w:val="22"/>
        </w:rPr>
        <w:t>r</w:t>
      </w:r>
      <w:r w:rsidRPr="0077615B">
        <w:rPr>
          <w:szCs w:val="22"/>
        </w:rPr>
        <w:t>ry Magdoff :</w:t>
      </w:r>
    </w:p>
    <w:p w:rsidR="00AD690E" w:rsidRPr="0077615B" w:rsidRDefault="00AD690E" w:rsidP="00AD690E">
      <w:pPr>
        <w:spacing w:before="120" w:after="120"/>
        <w:jc w:val="both"/>
      </w:pPr>
    </w:p>
    <w:p w:rsidR="00AD690E" w:rsidRDefault="00AD690E" w:rsidP="00AD690E">
      <w:pPr>
        <w:pStyle w:val="Grillecouleur-Accent1"/>
      </w:pPr>
      <w:r w:rsidRPr="00DE796E">
        <w:t>Il convient de remarquer tout particulièrement que, dans toutes les i</w:t>
      </w:r>
      <w:r w:rsidRPr="00DE796E">
        <w:t>n</w:t>
      </w:r>
      <w:r w:rsidRPr="00DE796E">
        <w:t>dustries en 1965, les ventes des filiales étrangères étaient plus él</w:t>
      </w:r>
      <w:r w:rsidRPr="00DE796E">
        <w:t>e</w:t>
      </w:r>
      <w:r w:rsidRPr="00DE796E">
        <w:t>vées que les exportations des usines mères aux États-Unis. Mieux que cela, l'a</w:t>
      </w:r>
      <w:r w:rsidRPr="00DE796E">
        <w:t>c</w:t>
      </w:r>
      <w:r w:rsidRPr="00DE796E">
        <w:t>croissement pendant ces mêmes années a été plus important dans le cas des usines filiales étrangères que dans les exportations. Parce que les i</w:t>
      </w:r>
      <w:r w:rsidRPr="00DE796E">
        <w:t>n</w:t>
      </w:r>
      <w:r w:rsidRPr="00DE796E">
        <w:t>dustries se complètent, les ventes des usines impla</w:t>
      </w:r>
      <w:r w:rsidRPr="00DE796E">
        <w:t>n</w:t>
      </w:r>
      <w:r w:rsidRPr="00DE796E">
        <w:t>tées à l'étranger ont augmenté de 140%, tandis que les exportations des USA ne se sont a</w:t>
      </w:r>
      <w:r w:rsidRPr="00DE796E">
        <w:t>c</w:t>
      </w:r>
      <w:r w:rsidRPr="00DE796E">
        <w:t>crues que de 55%</w:t>
      </w:r>
      <w:r>
        <w:t> </w:t>
      </w:r>
      <w:r w:rsidRPr="000F7900">
        <w:rPr>
          <w:rStyle w:val="Appelnotedebasdep"/>
          <w:szCs w:val="18"/>
        </w:rPr>
        <w:footnoteReference w:id="283"/>
      </w:r>
      <w:r w:rsidRPr="00DE796E">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Cette situation posait aux autorités américaines un problème i</w:t>
      </w:r>
      <w:r w:rsidRPr="0077615B">
        <w:rPr>
          <w:szCs w:val="22"/>
        </w:rPr>
        <w:t>n</w:t>
      </w:r>
      <w:r w:rsidRPr="0077615B">
        <w:rPr>
          <w:szCs w:val="22"/>
        </w:rPr>
        <w:t>surmontable : pouvaient-elles et devaient-elles maintenir un tel niveau de croissance sur les marchés extérieurs si cette stratégie conduit à déséquilibrer de manière permanente la balance américaine des pai</w:t>
      </w:r>
      <w:r w:rsidRPr="0077615B">
        <w:rPr>
          <w:szCs w:val="22"/>
        </w:rPr>
        <w:t>e</w:t>
      </w:r>
      <w:r w:rsidRPr="0077615B">
        <w:rPr>
          <w:szCs w:val="22"/>
        </w:rPr>
        <w:t>ments internationaux ?</w:t>
      </w:r>
    </w:p>
    <w:p w:rsidR="00AD690E" w:rsidRDefault="00AD690E" w:rsidP="00AD690E">
      <w:pPr>
        <w:spacing w:before="120" w:after="120"/>
        <w:jc w:val="both"/>
        <w:rPr>
          <w:szCs w:val="22"/>
        </w:rPr>
      </w:pPr>
      <w:r w:rsidRPr="0077615B">
        <w:rPr>
          <w:szCs w:val="22"/>
        </w:rPr>
        <w:t>En définitive, cette contradiction ne trouvera de solution qu'avec la remise en cause de l'ordre économique mondial hérité des institutions mises en place au lendemain de la Deuxième Guerre, comme nous le verrons ci-après.</w:t>
      </w:r>
    </w:p>
    <w:p w:rsidR="00AD690E" w:rsidRDefault="00AD690E" w:rsidP="00AD690E">
      <w:pPr>
        <w:spacing w:before="120" w:after="120"/>
        <w:jc w:val="both"/>
      </w:pPr>
      <w:r>
        <w:t>[169]</w:t>
      </w:r>
    </w:p>
    <w:p w:rsidR="00AD690E" w:rsidRDefault="00AD690E" w:rsidP="00AD690E">
      <w:pPr>
        <w:spacing w:before="120" w:after="120"/>
        <w:jc w:val="both"/>
        <w:rPr>
          <w:szCs w:val="22"/>
        </w:rPr>
      </w:pPr>
    </w:p>
    <w:p w:rsidR="00AD690E" w:rsidRPr="00205B12" w:rsidRDefault="00AD690E" w:rsidP="00AD690E">
      <w:pPr>
        <w:pStyle w:val="a"/>
      </w:pPr>
      <w:r w:rsidRPr="00205B12">
        <w:t xml:space="preserve">Le </w:t>
      </w:r>
      <w:r w:rsidRPr="00DE796E">
        <w:t>Pacte de l'auto</w:t>
      </w:r>
    </w:p>
    <w:p w:rsidR="00AD690E" w:rsidRDefault="00AD690E" w:rsidP="00AD690E">
      <w:pPr>
        <w:spacing w:before="120" w:after="120"/>
        <w:jc w:val="both"/>
        <w:rPr>
          <w:szCs w:val="22"/>
        </w:rPr>
      </w:pPr>
    </w:p>
    <w:p w:rsidR="00AD690E" w:rsidRPr="000F7900" w:rsidRDefault="00AD690E" w:rsidP="00AD690E">
      <w:pPr>
        <w:spacing w:before="120" w:after="120"/>
        <w:jc w:val="both"/>
        <w:rPr>
          <w:szCs w:val="22"/>
        </w:rPr>
      </w:pPr>
      <w:r w:rsidRPr="0077615B">
        <w:rPr>
          <w:szCs w:val="22"/>
        </w:rPr>
        <w:t>Après avoir relevé l'importance de l'enjeu du contrôle étranger et avant d'aborder la section consacrée aux disparités régionales, il est intéressant de se pencher sur le dossier du Pacte de l'auto, quand cela ne serait que pour faire ressortir deux choses. Premièrement, le cara</w:t>
      </w:r>
      <w:r w:rsidRPr="0077615B">
        <w:rPr>
          <w:szCs w:val="22"/>
        </w:rPr>
        <w:t>c</w:t>
      </w:r>
      <w:r w:rsidRPr="0077615B">
        <w:rPr>
          <w:szCs w:val="22"/>
        </w:rPr>
        <w:t>tère unique des relations entre les deux pays qui conviennent d'artic</w:t>
      </w:r>
      <w:r w:rsidRPr="0077615B">
        <w:rPr>
          <w:szCs w:val="22"/>
        </w:rPr>
        <w:t>u</w:t>
      </w:r>
      <w:r w:rsidRPr="0077615B">
        <w:rPr>
          <w:szCs w:val="22"/>
        </w:rPr>
        <w:t>ler leurs échanges dans un secteur aussi n</w:t>
      </w:r>
      <w:r w:rsidRPr="0077615B">
        <w:rPr>
          <w:szCs w:val="22"/>
        </w:rPr>
        <w:t>é</w:t>
      </w:r>
      <w:r w:rsidRPr="0077615B">
        <w:rPr>
          <w:szCs w:val="22"/>
        </w:rPr>
        <w:t>vralgique en ayant recours à une formule à la fois originale et ambiguë ; originale, en ce sens que le pacte est une entente qui ne pouvait intervenir qu'entre deux part</w:t>
      </w:r>
      <w:r w:rsidRPr="0077615B">
        <w:rPr>
          <w:szCs w:val="22"/>
        </w:rPr>
        <w:t>e</w:t>
      </w:r>
      <w:r w:rsidRPr="0077615B">
        <w:rPr>
          <w:szCs w:val="22"/>
        </w:rPr>
        <w:t>naires déjà liés par toute une panoplie d'accommodements économ</w:t>
      </w:r>
      <w:r w:rsidRPr="0077615B">
        <w:rPr>
          <w:szCs w:val="22"/>
        </w:rPr>
        <w:t>i</w:t>
      </w:r>
      <w:r w:rsidRPr="0077615B">
        <w:rPr>
          <w:szCs w:val="22"/>
        </w:rPr>
        <w:t>ques, politiques et sociaux ; ambiguë, parce que le pacte participe à la fois d'un accord sect</w:t>
      </w:r>
      <w:r w:rsidRPr="0077615B">
        <w:rPr>
          <w:szCs w:val="22"/>
        </w:rPr>
        <w:t>o</w:t>
      </w:r>
      <w:r w:rsidRPr="0077615B">
        <w:rPr>
          <w:szCs w:val="22"/>
        </w:rPr>
        <w:t>riel de libre-échange et de la mise en place d'un protectionnisme continental face à la montée des économies capitali</w:t>
      </w:r>
      <w:r w:rsidRPr="0077615B">
        <w:rPr>
          <w:szCs w:val="22"/>
        </w:rPr>
        <w:t>s</w:t>
      </w:r>
      <w:r w:rsidRPr="0077615B">
        <w:rPr>
          <w:szCs w:val="22"/>
        </w:rPr>
        <w:t>tes dévelo</w:t>
      </w:r>
      <w:r w:rsidRPr="0077615B">
        <w:rPr>
          <w:szCs w:val="22"/>
        </w:rPr>
        <w:t>p</w:t>
      </w:r>
      <w:r w:rsidRPr="0077615B">
        <w:rPr>
          <w:szCs w:val="22"/>
        </w:rPr>
        <w:t>pées d'outre-mer. Deuxièmement, malgré et au-delà de ses d</w:t>
      </w:r>
      <w:r w:rsidRPr="0077615B">
        <w:rPr>
          <w:szCs w:val="22"/>
        </w:rPr>
        <w:t>i</w:t>
      </w:r>
      <w:r w:rsidRPr="0077615B">
        <w:rPr>
          <w:szCs w:val="22"/>
        </w:rPr>
        <w:t>mensions originales, le pacte préfigure le genre d'entente globale qui interviendra 23 années plus tard avec la signature de l'Accord de libre-échange entre le Canada et les États-Unis le 2 janvier 1988.</w:t>
      </w:r>
    </w:p>
    <w:p w:rsidR="00AD690E" w:rsidRPr="0077615B" w:rsidRDefault="00AD690E" w:rsidP="00AD690E">
      <w:pPr>
        <w:spacing w:before="120" w:after="120"/>
        <w:jc w:val="both"/>
      </w:pPr>
      <w:r w:rsidRPr="0077615B">
        <w:rPr>
          <w:szCs w:val="22"/>
        </w:rPr>
        <w:t>À la fin des années 50, il apparaissait avec de plus en plus d'év</w:t>
      </w:r>
      <w:r w:rsidRPr="0077615B">
        <w:rPr>
          <w:szCs w:val="22"/>
        </w:rPr>
        <w:t>i</w:t>
      </w:r>
      <w:r w:rsidRPr="0077615B">
        <w:rPr>
          <w:szCs w:val="22"/>
        </w:rPr>
        <w:t>dence que l'industrie automobile canadienne était en diff</w:t>
      </w:r>
      <w:r w:rsidRPr="0077615B">
        <w:rPr>
          <w:szCs w:val="22"/>
        </w:rPr>
        <w:t>i</w:t>
      </w:r>
      <w:r w:rsidRPr="0077615B">
        <w:rPr>
          <w:szCs w:val="22"/>
        </w:rPr>
        <w:t>culté sur trois fronts : en premier lieu, la consommation canadienne d'autom</w:t>
      </w:r>
      <w:r w:rsidRPr="0077615B">
        <w:rPr>
          <w:szCs w:val="22"/>
        </w:rPr>
        <w:t>o</w:t>
      </w:r>
      <w:r w:rsidRPr="0077615B">
        <w:rPr>
          <w:szCs w:val="22"/>
        </w:rPr>
        <w:t>biles excédait progressivement la production l</w:t>
      </w:r>
      <w:r w:rsidRPr="0077615B">
        <w:rPr>
          <w:szCs w:val="22"/>
        </w:rPr>
        <w:t>o</w:t>
      </w:r>
      <w:r w:rsidRPr="0077615B">
        <w:rPr>
          <w:szCs w:val="22"/>
        </w:rPr>
        <w:t>cale avec le résultat qu'en 1960, par exemple, le déficit canadien dans le secteur vis-à-vis des États-Unis atteignait 403 millions de dollars ; en deuxième lieu, la concurrence internationale accap</w:t>
      </w:r>
      <w:r w:rsidRPr="0077615B">
        <w:rPr>
          <w:szCs w:val="22"/>
        </w:rPr>
        <w:t>a</w:t>
      </w:r>
      <w:r w:rsidRPr="0077615B">
        <w:rPr>
          <w:szCs w:val="22"/>
        </w:rPr>
        <w:t>rait une part grandissante du marché canadien, de sorte que, de 5,7</w:t>
      </w:r>
      <w:r>
        <w:rPr>
          <w:szCs w:val="22"/>
        </w:rPr>
        <w:t>%</w:t>
      </w:r>
      <w:r w:rsidRPr="0077615B">
        <w:rPr>
          <w:szCs w:val="22"/>
        </w:rPr>
        <w:t xml:space="preserve"> en 1955, la part des manufacturiers d'outre-mer passait à 28,1</w:t>
      </w:r>
      <w:r>
        <w:rPr>
          <w:szCs w:val="22"/>
        </w:rPr>
        <w:t>% en 1</w:t>
      </w:r>
      <w:r w:rsidRPr="0077615B">
        <w:rPr>
          <w:szCs w:val="22"/>
        </w:rPr>
        <w:t>960</w:t>
      </w:r>
      <w:r>
        <w:rPr>
          <w:szCs w:val="22"/>
        </w:rPr>
        <w:t> </w:t>
      </w:r>
      <w:r w:rsidRPr="000D6A43">
        <w:rPr>
          <w:rStyle w:val="Appelnotedebasdep"/>
        </w:rPr>
        <w:footnoteReference w:id="284"/>
      </w:r>
      <w:r w:rsidRPr="0077615B">
        <w:rPr>
          <w:szCs w:val="22"/>
        </w:rPr>
        <w:t> ; en troisième lieu, enfin, la production can</w:t>
      </w:r>
      <w:r w:rsidRPr="0077615B">
        <w:rPr>
          <w:szCs w:val="22"/>
        </w:rPr>
        <w:t>a</w:t>
      </w:r>
      <w:r w:rsidRPr="0077615B">
        <w:rPr>
          <w:szCs w:val="22"/>
        </w:rPr>
        <w:t>dienne s'était vue fermer les marchés d'exportation vers la Grande Bretagne et le Commonwealth qu'elle s'était assurés entre les deux guerres, et contrainte désormais de s'accommoder de l'exiguïté de son marché domestique puis, éventuellement, de comp</w:t>
      </w:r>
      <w:r w:rsidRPr="0077615B">
        <w:rPr>
          <w:szCs w:val="22"/>
        </w:rPr>
        <w:t>o</w:t>
      </w:r>
      <w:r w:rsidRPr="0077615B">
        <w:rPr>
          <w:szCs w:val="22"/>
        </w:rPr>
        <w:t>ser avec l'intégration continentale. Cette situation appelait des corre</w:t>
      </w:r>
      <w:r w:rsidRPr="0077615B">
        <w:rPr>
          <w:szCs w:val="22"/>
        </w:rPr>
        <w:t>c</w:t>
      </w:r>
      <w:r w:rsidRPr="0077615B">
        <w:rPr>
          <w:szCs w:val="22"/>
        </w:rPr>
        <w:t>tifs et, à cet égard, la solution à laquelle on en arrivera i</w:t>
      </w:r>
      <w:r w:rsidRPr="0077615B">
        <w:rPr>
          <w:szCs w:val="22"/>
        </w:rPr>
        <w:t>l</w:t>
      </w:r>
      <w:r w:rsidRPr="0077615B">
        <w:rPr>
          <w:szCs w:val="22"/>
        </w:rPr>
        <w:t>lustre au mieux les contraintes et les paradoxes qui prévalent en matière de stratégie industrielle au Canada. Dans l'incapacité o</w:t>
      </w:r>
      <w:r w:rsidRPr="0077615B">
        <w:rPr>
          <w:szCs w:val="22"/>
        </w:rPr>
        <w:t>b</w:t>
      </w:r>
      <w:r w:rsidRPr="0077615B">
        <w:rPr>
          <w:szCs w:val="22"/>
        </w:rPr>
        <w:t>jective d'avoir recours soit à une stratégie de substitution des importations, en sout</w:t>
      </w:r>
      <w:r w:rsidRPr="0077615B">
        <w:rPr>
          <w:szCs w:val="22"/>
        </w:rPr>
        <w:t>e</w:t>
      </w:r>
      <w:r w:rsidRPr="0077615B">
        <w:rPr>
          <w:szCs w:val="22"/>
        </w:rPr>
        <w:t>nant une industrie nationale qui avait déjà été emportée par la cont</w:t>
      </w:r>
      <w:r w:rsidRPr="0077615B">
        <w:rPr>
          <w:szCs w:val="22"/>
        </w:rPr>
        <w:t>i</w:t>
      </w:r>
      <w:r w:rsidRPr="0077615B">
        <w:rPr>
          <w:szCs w:val="22"/>
        </w:rPr>
        <w:t>nentalisation dans le secteur durant les a</w:t>
      </w:r>
      <w:r w:rsidRPr="0077615B">
        <w:rPr>
          <w:szCs w:val="22"/>
        </w:rPr>
        <w:t>n</w:t>
      </w:r>
      <w:r w:rsidRPr="0077615B">
        <w:rPr>
          <w:szCs w:val="22"/>
        </w:rPr>
        <w:t>nées 20, soit à une politique de rationalisation des filières de pr</w:t>
      </w:r>
      <w:r w:rsidRPr="0077615B">
        <w:rPr>
          <w:szCs w:val="22"/>
        </w:rPr>
        <w:t>o</w:t>
      </w:r>
      <w:r w:rsidRPr="0077615B">
        <w:rPr>
          <w:szCs w:val="22"/>
        </w:rPr>
        <w:t>duction, qui aurait entraîné une diminution des choix offerts aux consommateurs habitués à avoir a</w:t>
      </w:r>
      <w:r w:rsidRPr="0077615B">
        <w:rPr>
          <w:szCs w:val="22"/>
        </w:rPr>
        <w:t>c</w:t>
      </w:r>
      <w:r w:rsidRPr="0077615B">
        <w:rPr>
          <w:szCs w:val="22"/>
        </w:rPr>
        <w:t>cès à toute la panoplie des modèles produits aux États-Unis, le go</w:t>
      </w:r>
      <w:r w:rsidRPr="0077615B">
        <w:rPr>
          <w:szCs w:val="22"/>
        </w:rPr>
        <w:t>u</w:t>
      </w:r>
      <w:r w:rsidRPr="0077615B">
        <w:rPr>
          <w:szCs w:val="22"/>
        </w:rPr>
        <w:t>vernement Diefe</w:t>
      </w:r>
      <w:r w:rsidRPr="0077615B">
        <w:rPr>
          <w:szCs w:val="22"/>
        </w:rPr>
        <w:t>n</w:t>
      </w:r>
      <w:r w:rsidRPr="0077615B">
        <w:rPr>
          <w:szCs w:val="22"/>
        </w:rPr>
        <w:t>baker nomme Vincent M. Bladen membre unique d'une commission royale qui a pour mandat d'étudier les perspectives d'avenir de l'indu</w:t>
      </w:r>
      <w:r w:rsidRPr="0077615B">
        <w:rPr>
          <w:szCs w:val="22"/>
        </w:rPr>
        <w:t>s</w:t>
      </w:r>
      <w:r w:rsidRPr="0077615B">
        <w:rPr>
          <w:szCs w:val="22"/>
        </w:rPr>
        <w:t>trie automobile.</w:t>
      </w:r>
    </w:p>
    <w:p w:rsidR="00AD690E" w:rsidRPr="0077615B" w:rsidRDefault="00AD690E" w:rsidP="00AD690E">
      <w:pPr>
        <w:spacing w:before="120" w:after="120"/>
        <w:jc w:val="both"/>
      </w:pPr>
      <w:r w:rsidRPr="0077615B">
        <w:rPr>
          <w:szCs w:val="22"/>
        </w:rPr>
        <w:t xml:space="preserve">Le </w:t>
      </w:r>
      <w:r w:rsidRPr="00205B12">
        <w:rPr>
          <w:i/>
          <w:szCs w:val="22"/>
        </w:rPr>
        <w:t>Rapport Bladen</w:t>
      </w:r>
      <w:r w:rsidRPr="0077615B">
        <w:rPr>
          <w:szCs w:val="22"/>
        </w:rPr>
        <w:t>, publié en avril 1961, arrive à la concl</w:t>
      </w:r>
      <w:r w:rsidRPr="0077615B">
        <w:rPr>
          <w:szCs w:val="22"/>
        </w:rPr>
        <w:t>u</w:t>
      </w:r>
      <w:r w:rsidRPr="0077615B">
        <w:rPr>
          <w:szCs w:val="22"/>
        </w:rPr>
        <w:t>sion que l'industrie est mal équipée pour faire face aux nouveaux défis qui se présentent à</w:t>
      </w:r>
      <w:r>
        <w:rPr>
          <w:szCs w:val="22"/>
        </w:rPr>
        <w:t xml:space="preserve"> </w:t>
      </w:r>
      <w:r>
        <w:t>[</w:t>
      </w:r>
      <w:r w:rsidRPr="0077615B">
        <w:rPr>
          <w:szCs w:val="18"/>
        </w:rPr>
        <w:t>170</w:t>
      </w:r>
      <w:r>
        <w:rPr>
          <w:szCs w:val="18"/>
        </w:rPr>
        <w:t xml:space="preserve">] </w:t>
      </w:r>
      <w:r w:rsidRPr="0077615B">
        <w:rPr>
          <w:szCs w:val="22"/>
        </w:rPr>
        <w:t>elle et il propose l'entrée en franchise des pièces originales, pour autant que certaines conditions quant au contenu c</w:t>
      </w:r>
      <w:r w:rsidRPr="0077615B">
        <w:rPr>
          <w:szCs w:val="22"/>
        </w:rPr>
        <w:t>a</w:t>
      </w:r>
      <w:r w:rsidRPr="0077615B">
        <w:rPr>
          <w:szCs w:val="22"/>
        </w:rPr>
        <w:t>nadien soient respe</w:t>
      </w:r>
      <w:r w:rsidRPr="0077615B">
        <w:rPr>
          <w:szCs w:val="22"/>
        </w:rPr>
        <w:t>c</w:t>
      </w:r>
      <w:r w:rsidRPr="0077615B">
        <w:rPr>
          <w:szCs w:val="22"/>
        </w:rPr>
        <w:t>tées.</w:t>
      </w:r>
    </w:p>
    <w:p w:rsidR="00AD690E" w:rsidRPr="0077615B" w:rsidRDefault="00AD690E" w:rsidP="00AD690E">
      <w:pPr>
        <w:spacing w:before="120" w:after="120"/>
        <w:jc w:val="both"/>
      </w:pPr>
      <w:r w:rsidRPr="0077615B">
        <w:rPr>
          <w:szCs w:val="22"/>
        </w:rPr>
        <w:t>Sollicité par les grands producteurs américains qui souha</w:t>
      </w:r>
      <w:r w:rsidRPr="0077615B">
        <w:rPr>
          <w:szCs w:val="22"/>
        </w:rPr>
        <w:t>i</w:t>
      </w:r>
      <w:r w:rsidRPr="0077615B">
        <w:rPr>
          <w:szCs w:val="22"/>
        </w:rPr>
        <w:t>taient une intégration plus poussée des réseaux de production nord-américains, Bladen recommandera une libéralisation des tarifs et taxes contre un engagement des producteurs à garantir un niveau stable de valeur ajoutée canadienne. Le concept de valeur ajoutée canadienne (selon le niveau de production de chaque f</w:t>
      </w:r>
      <w:r w:rsidRPr="0077615B">
        <w:rPr>
          <w:szCs w:val="22"/>
        </w:rPr>
        <w:t>a</w:t>
      </w:r>
      <w:r w:rsidRPr="0077615B">
        <w:rPr>
          <w:szCs w:val="22"/>
        </w:rPr>
        <w:t>bricant) devait alors remplacer la notion de contenu canadien de façon à mieux contrôler le niveau de production et, éventuell</w:t>
      </w:r>
      <w:r w:rsidRPr="0077615B">
        <w:rPr>
          <w:szCs w:val="22"/>
        </w:rPr>
        <w:t>e</w:t>
      </w:r>
      <w:r w:rsidRPr="0077615B">
        <w:rPr>
          <w:szCs w:val="22"/>
        </w:rPr>
        <w:t>ment, de supporter de façon plus efficace l'industrie des pièces</w:t>
      </w:r>
      <w:r>
        <w:rPr>
          <w:szCs w:val="22"/>
        </w:rPr>
        <w:t> </w:t>
      </w:r>
      <w:r w:rsidRPr="000D6A43">
        <w:rPr>
          <w:rStyle w:val="Appelnotedebasdep"/>
        </w:rPr>
        <w:footnoteReference w:id="285"/>
      </w:r>
      <w:r w:rsidRPr="0077615B">
        <w:rPr>
          <w:szCs w:val="22"/>
        </w:rPr>
        <w:t>.</w:t>
      </w:r>
    </w:p>
    <w:p w:rsidR="00AD690E" w:rsidRPr="0077615B" w:rsidRDefault="00AD690E" w:rsidP="00AD690E">
      <w:pPr>
        <w:spacing w:before="120" w:after="120"/>
        <w:jc w:val="both"/>
      </w:pPr>
      <w:r w:rsidRPr="0077615B">
        <w:rPr>
          <w:szCs w:val="22"/>
        </w:rPr>
        <w:t>La situation qui prévalait dans le secteur automobile devait pousser le gouvernement à élargir son action. Ainsi, selon Yves Bélanger,</w:t>
      </w:r>
    </w:p>
    <w:p w:rsidR="00AD690E" w:rsidRDefault="00AD690E" w:rsidP="00AD690E">
      <w:pPr>
        <w:pStyle w:val="Grillecouleur-Accent1"/>
      </w:pPr>
    </w:p>
    <w:p w:rsidR="00AD690E" w:rsidRDefault="00AD690E" w:rsidP="00AD690E">
      <w:pPr>
        <w:pStyle w:val="Grillecouleur-Accent1"/>
      </w:pPr>
      <w:r w:rsidRPr="00CA7111">
        <w:t>Ottawa se rendra rapidement compte de l'urgence de se donner une p</w:t>
      </w:r>
      <w:r w:rsidRPr="00CA7111">
        <w:t>o</w:t>
      </w:r>
      <w:r w:rsidRPr="00CA7111">
        <w:t>litique globale susceptible de préserver les intérêts can</w:t>
      </w:r>
      <w:r w:rsidRPr="00CA7111">
        <w:t>a</w:t>
      </w:r>
      <w:r w:rsidRPr="00CA7111">
        <w:t>diens. En 1963, dès la prise du pouvoir, le nouveau gouvernement libéral crée un ministère de l'Industrie et du Commerce, dont le titulaire déposera, l'année suivante, un plan applicable aux con</w:t>
      </w:r>
      <w:r w:rsidRPr="00CA7111">
        <w:t>s</w:t>
      </w:r>
      <w:r w:rsidRPr="00CA7111">
        <w:t>tructeurs automobiles destiné à accroître la production et l'emploi, tout en réglant le problème de balance des pai</w:t>
      </w:r>
      <w:r w:rsidRPr="00CA7111">
        <w:t>e</w:t>
      </w:r>
      <w:r w:rsidRPr="00CA7111">
        <w:t>ments. Ce projet émettra l'hypothèse d'un remboursement de taxe équiv</w:t>
      </w:r>
      <w:r w:rsidRPr="00CA7111">
        <w:t>a</w:t>
      </w:r>
      <w:r w:rsidRPr="00CA7111">
        <w:t>lant au niveau de nouvelles exportations. Une des conséquences du plan devait être d'amener les fabricants c</w:t>
      </w:r>
      <w:r w:rsidRPr="00CA7111">
        <w:t>a</w:t>
      </w:r>
      <w:r w:rsidRPr="00CA7111">
        <w:t>nadiens de pièces à se spécialiser. La dissidence fut forte au sud de la frontière, le plan fut donc aba</w:t>
      </w:r>
      <w:r w:rsidRPr="00CA7111">
        <w:t>n</w:t>
      </w:r>
      <w:r w:rsidRPr="00CA7111">
        <w:t xml:space="preserve">donné, mais le statu quo n'était plus possible. La porte était maintenant ouverte à un accord fondé sur le principe de l'équilibre des rapports commerciaux entre les États-Unis et le </w:t>
      </w:r>
      <w:r>
        <w:t>Canada </w:t>
      </w:r>
      <w:r w:rsidRPr="000D6A43">
        <w:rPr>
          <w:rStyle w:val="Appelnotedebasdep"/>
          <w:szCs w:val="18"/>
        </w:rPr>
        <w:footnoteReference w:id="286"/>
      </w:r>
      <w:r w:rsidRPr="00CA7111">
        <w:t>.</w:t>
      </w:r>
    </w:p>
    <w:p w:rsidR="00AD690E" w:rsidRPr="00CA7111" w:rsidRDefault="00AD690E" w:rsidP="00AD690E">
      <w:pPr>
        <w:pStyle w:val="Grillecouleur-Accent1"/>
      </w:pPr>
    </w:p>
    <w:p w:rsidR="00AD690E" w:rsidRDefault="00AD690E" w:rsidP="00AD690E">
      <w:pPr>
        <w:spacing w:before="120" w:after="120"/>
        <w:jc w:val="both"/>
        <w:rPr>
          <w:szCs w:val="22"/>
        </w:rPr>
      </w:pPr>
      <w:r w:rsidRPr="0077615B">
        <w:rPr>
          <w:szCs w:val="22"/>
        </w:rPr>
        <w:t>Le gouvernement canadien allait procéder unilatéralement et bai</w:t>
      </w:r>
      <w:r w:rsidRPr="0077615B">
        <w:rPr>
          <w:szCs w:val="22"/>
        </w:rPr>
        <w:t>s</w:t>
      </w:r>
      <w:r w:rsidRPr="0077615B">
        <w:rPr>
          <w:szCs w:val="22"/>
        </w:rPr>
        <w:t>ser les taxes jusqu'à ce qu'en avril 1964, le Trésor américain soit saisi d'une plainte contre les pratiques canadiennes de su</w:t>
      </w:r>
      <w:r w:rsidRPr="0077615B">
        <w:rPr>
          <w:szCs w:val="22"/>
        </w:rPr>
        <w:t>b</w:t>
      </w:r>
      <w:r w:rsidRPr="0077615B">
        <w:rPr>
          <w:szCs w:val="22"/>
        </w:rPr>
        <w:t>vention formulée par le Modine Manufacturing Company de R</w:t>
      </w:r>
      <w:r w:rsidRPr="0077615B">
        <w:rPr>
          <w:szCs w:val="22"/>
        </w:rPr>
        <w:t>a</w:t>
      </w:r>
      <w:r w:rsidRPr="0077615B">
        <w:rPr>
          <w:szCs w:val="22"/>
        </w:rPr>
        <w:t>cine au Wisconsin. Or, si la révision de la politique canadienne par les autorités américaines avait eu la latitude de conclure à une pratique discriminatoire, la loi américaine prévoyait alors que les douanes devaient imposer des droits compensatoires. C'est afin d'éviter une dégradation dans les r</w:t>
      </w:r>
      <w:r w:rsidRPr="0077615B">
        <w:rPr>
          <w:szCs w:val="22"/>
        </w:rPr>
        <w:t>e</w:t>
      </w:r>
      <w:r w:rsidRPr="0077615B">
        <w:rPr>
          <w:szCs w:val="22"/>
        </w:rPr>
        <w:t xml:space="preserve">lations canado-américaines à un moment particulièrement délicat dans l'histoire des deux pays que les deux parties en viendront à une entente et que sera finalement signé le </w:t>
      </w:r>
      <w:r w:rsidRPr="00DE796E">
        <w:rPr>
          <w:i/>
          <w:szCs w:val="22"/>
        </w:rPr>
        <w:t>Pacte de l'auto</w:t>
      </w:r>
      <w:r w:rsidRPr="0077615B">
        <w:rPr>
          <w:szCs w:val="22"/>
        </w:rPr>
        <w:t xml:space="preserve"> par le président Joh</w:t>
      </w:r>
      <w:r w:rsidRPr="0077615B">
        <w:rPr>
          <w:szCs w:val="22"/>
        </w:rPr>
        <w:t>n</w:t>
      </w:r>
      <w:r w:rsidRPr="0077615B">
        <w:rPr>
          <w:szCs w:val="22"/>
        </w:rPr>
        <w:t>son et le premier ministre Pearson le 16 janvier 1965</w:t>
      </w:r>
      <w:r>
        <w:rPr>
          <w:szCs w:val="22"/>
        </w:rPr>
        <w:t> </w:t>
      </w:r>
      <w:r w:rsidRPr="000D6A43">
        <w:rPr>
          <w:rStyle w:val="Appelnotedebasdep"/>
        </w:rPr>
        <w:footnoteReference w:id="287"/>
      </w:r>
      <w:r w:rsidRPr="0077615B">
        <w:rPr>
          <w:szCs w:val="22"/>
        </w:rPr>
        <w:t>.</w:t>
      </w:r>
    </w:p>
    <w:p w:rsidR="00AD690E" w:rsidRDefault="00AD690E" w:rsidP="00AD690E">
      <w:pPr>
        <w:spacing w:before="120" w:after="120"/>
        <w:jc w:val="both"/>
        <w:rPr>
          <w:szCs w:val="18"/>
        </w:rPr>
      </w:pPr>
      <w:r>
        <w:rPr>
          <w:szCs w:val="18"/>
        </w:rPr>
        <w:t>[171]</w:t>
      </w:r>
    </w:p>
    <w:p w:rsidR="00AD690E" w:rsidRPr="0077615B" w:rsidRDefault="00AD690E" w:rsidP="00AD690E">
      <w:pPr>
        <w:spacing w:before="120" w:after="120"/>
        <w:jc w:val="both"/>
      </w:pPr>
      <w:r w:rsidRPr="0077615B">
        <w:rPr>
          <w:szCs w:val="22"/>
        </w:rPr>
        <w:t xml:space="preserve">Dès sa sanction — celle du Congrès n'intervenant que dix mois plus tard, en octobre — le </w:t>
      </w:r>
      <w:r w:rsidRPr="00CA7111">
        <w:rPr>
          <w:i/>
          <w:szCs w:val="22"/>
        </w:rPr>
        <w:t>Pacte de l'auto</w:t>
      </w:r>
      <w:r w:rsidRPr="0077615B">
        <w:rPr>
          <w:szCs w:val="22"/>
        </w:rPr>
        <w:t xml:space="preserve"> devait donner lieu à deux interprétations divergentes : pour les Américains, le pacte constituait bel et bien un accord de libre-échange conduisant, e</w:t>
      </w:r>
      <w:r w:rsidRPr="0077615B">
        <w:rPr>
          <w:szCs w:val="22"/>
        </w:rPr>
        <w:t>n</w:t>
      </w:r>
      <w:r w:rsidRPr="0077615B">
        <w:rPr>
          <w:szCs w:val="22"/>
        </w:rPr>
        <w:t>tre autres choses, à l'élimination de toutes les barrières tarifaires dans le secteur entre les deux pays ; pour le Canada, par contre, l'entente devait permettre aux deux partenaires de participer de manière juste et équitable au dév</w:t>
      </w:r>
      <w:r w:rsidRPr="0077615B">
        <w:rPr>
          <w:szCs w:val="22"/>
        </w:rPr>
        <w:t>e</w:t>
      </w:r>
      <w:r w:rsidRPr="0077615B">
        <w:rPr>
          <w:szCs w:val="22"/>
        </w:rPr>
        <w:t>loppement d'un marché cont</w:t>
      </w:r>
      <w:r w:rsidRPr="0077615B">
        <w:rPr>
          <w:szCs w:val="22"/>
        </w:rPr>
        <w:t>i</w:t>
      </w:r>
      <w:r w:rsidRPr="0077615B">
        <w:rPr>
          <w:szCs w:val="22"/>
        </w:rPr>
        <w:t>nental</w:t>
      </w:r>
      <w:r>
        <w:rPr>
          <w:szCs w:val="22"/>
        </w:rPr>
        <w:t> </w:t>
      </w:r>
      <w:r w:rsidRPr="000D6A43">
        <w:rPr>
          <w:rStyle w:val="Appelnotedebasdep"/>
        </w:rPr>
        <w:footnoteReference w:id="288"/>
      </w:r>
      <w:r w:rsidRPr="0077615B">
        <w:rPr>
          <w:szCs w:val="22"/>
        </w:rPr>
        <w:t>.</w:t>
      </w:r>
    </w:p>
    <w:p w:rsidR="00AD690E" w:rsidRPr="0077615B" w:rsidRDefault="00AD690E" w:rsidP="00AD690E">
      <w:pPr>
        <w:spacing w:before="120" w:after="120"/>
        <w:jc w:val="both"/>
      </w:pPr>
      <w:r w:rsidRPr="0077615B">
        <w:rPr>
          <w:szCs w:val="22"/>
        </w:rPr>
        <w:t>Quoi qu'il en soit des interprétations des uns et des autres, le</w:t>
      </w:r>
      <w:r w:rsidRPr="00CA7111">
        <w:rPr>
          <w:i/>
          <w:szCs w:val="22"/>
        </w:rPr>
        <w:t xml:space="preserve"> Pacte de l'auto </w:t>
      </w:r>
      <w:r w:rsidRPr="0077615B">
        <w:rPr>
          <w:szCs w:val="22"/>
        </w:rPr>
        <w:t>a bel et bien conduit à une intégration de l'industrie autom</w:t>
      </w:r>
      <w:r w:rsidRPr="0077615B">
        <w:rPr>
          <w:szCs w:val="22"/>
        </w:rPr>
        <w:t>o</w:t>
      </w:r>
      <w:r w:rsidRPr="0077615B">
        <w:rPr>
          <w:szCs w:val="22"/>
        </w:rPr>
        <w:t>bile à l'échelle continentale alors que, précédemment, les flux co</w:t>
      </w:r>
      <w:r w:rsidRPr="0077615B">
        <w:rPr>
          <w:szCs w:val="22"/>
        </w:rPr>
        <w:t>m</w:t>
      </w:r>
      <w:r w:rsidRPr="0077615B">
        <w:rPr>
          <w:szCs w:val="22"/>
        </w:rPr>
        <w:t>merciaux étaient plutôt à sens unique, c'est-à-dire orientés depuis le sud vers le nord. Ce résultat à lui seul constitue déjà un acquis impo</w:t>
      </w:r>
      <w:r w:rsidRPr="0077615B">
        <w:rPr>
          <w:szCs w:val="22"/>
        </w:rPr>
        <w:t>r</w:t>
      </w:r>
      <w:r w:rsidRPr="0077615B">
        <w:rPr>
          <w:szCs w:val="22"/>
        </w:rPr>
        <w:t>tant quand on aura rappelé que rien ne devait conduire à une telle forme d'intégration, bien au contraire, puisque la totalité des manufa</w:t>
      </w:r>
      <w:r w:rsidRPr="0077615B">
        <w:rPr>
          <w:szCs w:val="22"/>
        </w:rPr>
        <w:t>c</w:t>
      </w:r>
      <w:r w:rsidRPr="0077615B">
        <w:rPr>
          <w:szCs w:val="22"/>
        </w:rPr>
        <w:t>turiers d'automobile au Canada sont des multinationales américaines. En attendant, l'industrie can</w:t>
      </w:r>
      <w:r w:rsidRPr="0077615B">
        <w:rPr>
          <w:szCs w:val="22"/>
        </w:rPr>
        <w:t>a</w:t>
      </w:r>
      <w:r w:rsidRPr="0077615B">
        <w:rPr>
          <w:szCs w:val="22"/>
        </w:rPr>
        <w:t>dienne continuera de croître à l'ombre des tarifs imposés à l'i</w:t>
      </w:r>
      <w:r w:rsidRPr="0077615B">
        <w:rPr>
          <w:szCs w:val="22"/>
        </w:rPr>
        <w:t>m</w:t>
      </w:r>
      <w:r w:rsidRPr="0077615B">
        <w:rPr>
          <w:szCs w:val="22"/>
        </w:rPr>
        <w:t>portation des véhicules fabriqués outre-mer tandis qu'aux États-Unis, la concurrence internationale se fera de plus en plus vive, surtout avec l'arrivée des Japonais au début des années 70, de sorte que le gouvernement américain se verra contraint d'imp</w:t>
      </w:r>
      <w:r w:rsidRPr="0077615B">
        <w:rPr>
          <w:szCs w:val="22"/>
        </w:rPr>
        <w:t>o</w:t>
      </w:r>
      <w:r w:rsidRPr="0077615B">
        <w:rPr>
          <w:szCs w:val="22"/>
        </w:rPr>
        <w:t>ser des quotas « volontaires » aux manufacturiers japonais à compter de 1981. Par ailleurs, le déclin de la valeur du dollar canadien vis-à-vis du dollar américain tout au long de la période, mais su</w:t>
      </w:r>
      <w:r w:rsidRPr="0077615B">
        <w:rPr>
          <w:szCs w:val="22"/>
        </w:rPr>
        <w:t>r</w:t>
      </w:r>
      <w:r w:rsidRPr="0077615B">
        <w:rPr>
          <w:szCs w:val="22"/>
        </w:rPr>
        <w:t>tout à compter des années 80, contribuera, entre autres facteurs, à accroître le surplus canadien dans le secteur de la production a</w:t>
      </w:r>
      <w:r w:rsidRPr="0077615B">
        <w:rPr>
          <w:szCs w:val="22"/>
        </w:rPr>
        <w:t>u</w:t>
      </w:r>
      <w:r w:rsidRPr="0077615B">
        <w:rPr>
          <w:szCs w:val="22"/>
        </w:rPr>
        <w:t>tomobile. Ce surplus gagne tellement en importance ces dernières années qu'il est apparu à certains moments durant les négociations d'un accord de l</w:t>
      </w:r>
      <w:r w:rsidRPr="0077615B">
        <w:rPr>
          <w:szCs w:val="22"/>
        </w:rPr>
        <w:t>i</w:t>
      </w:r>
      <w:r w:rsidRPr="0077615B">
        <w:rPr>
          <w:szCs w:val="22"/>
        </w:rPr>
        <w:t>bre-échange entre les deux pays, en 1987, que l'inclusion ou la non-inclusion du Pacte de l'auto comptait parmi les contentieux les plus délicats dans les discussions</w:t>
      </w:r>
      <w:r>
        <w:rPr>
          <w:szCs w:val="22"/>
        </w:rPr>
        <w:t> </w:t>
      </w:r>
      <w:r w:rsidRPr="000D6A43">
        <w:rPr>
          <w:rStyle w:val="Appelnotedebasdep"/>
        </w:rPr>
        <w:footnoteReference w:id="289"/>
      </w:r>
      <w:r w:rsidRPr="0077615B">
        <w:rPr>
          <w:szCs w:val="22"/>
        </w:rPr>
        <w:t>.</w:t>
      </w:r>
    </w:p>
    <w:p w:rsidR="00AD690E" w:rsidRDefault="00AD690E" w:rsidP="00AD690E">
      <w:pPr>
        <w:spacing w:before="120" w:after="120"/>
        <w:jc w:val="both"/>
        <w:rPr>
          <w:szCs w:val="22"/>
        </w:rPr>
      </w:pPr>
      <w:r w:rsidRPr="0077615B">
        <w:rPr>
          <w:szCs w:val="22"/>
        </w:rPr>
        <w:t>Quoi qu'il en soit, c'est moins sur les conséquences éventuelles du Pacte que nous voudrions conclure cette section, sinon sur son impo</w:t>
      </w:r>
      <w:r w:rsidRPr="0077615B">
        <w:rPr>
          <w:szCs w:val="22"/>
        </w:rPr>
        <w:t>r</w:t>
      </w:r>
      <w:r w:rsidRPr="0077615B">
        <w:rPr>
          <w:szCs w:val="22"/>
        </w:rPr>
        <w:t>tance en tant qu'élément de stratégie de développement pr</w:t>
      </w:r>
      <w:r w:rsidRPr="0077615B">
        <w:rPr>
          <w:szCs w:val="22"/>
        </w:rPr>
        <w:t>i</w:t>
      </w:r>
      <w:r w:rsidRPr="0077615B">
        <w:rPr>
          <w:szCs w:val="22"/>
        </w:rPr>
        <w:t>vilégiée et défendue par le gouvernement Pearson à l'époque. En ce sens, le Pacte illustre la nature des compromis que le gouve</w:t>
      </w:r>
      <w:r w:rsidRPr="0077615B">
        <w:rPr>
          <w:szCs w:val="22"/>
        </w:rPr>
        <w:t>r</w:t>
      </w:r>
      <w:r w:rsidRPr="0077615B">
        <w:rPr>
          <w:szCs w:val="22"/>
        </w:rPr>
        <w:t>nement canadien doit négocier et avec lesquels il doit composer s'il entend accroître au maximum les retombées économiques et politiques d'une production engagée dans un secteur où la pr</w:t>
      </w:r>
      <w:r w:rsidRPr="0077615B">
        <w:rPr>
          <w:szCs w:val="22"/>
        </w:rPr>
        <w:t>o</w:t>
      </w:r>
      <w:r w:rsidRPr="0077615B">
        <w:rPr>
          <w:szCs w:val="22"/>
        </w:rPr>
        <w:t>priété est entièrement aux mains d'investisseurs étrangers.</w:t>
      </w:r>
    </w:p>
    <w:p w:rsidR="00AD690E" w:rsidRPr="0077615B" w:rsidRDefault="00AD690E" w:rsidP="00AD690E">
      <w:pPr>
        <w:spacing w:before="120" w:after="120"/>
        <w:jc w:val="both"/>
      </w:pPr>
      <w:r>
        <w:rPr>
          <w:szCs w:val="18"/>
        </w:rPr>
        <w:t>[</w:t>
      </w:r>
      <w:r w:rsidRPr="0077615B">
        <w:t>172</w:t>
      </w:r>
      <w:r>
        <w:t>]</w:t>
      </w:r>
    </w:p>
    <w:p w:rsidR="00AD690E" w:rsidRDefault="00AD690E" w:rsidP="00AD690E">
      <w:pPr>
        <w:spacing w:before="120" w:after="120"/>
        <w:jc w:val="both"/>
        <w:rPr>
          <w:bCs/>
        </w:rPr>
      </w:pPr>
    </w:p>
    <w:p w:rsidR="00AD690E" w:rsidRPr="00601A0D" w:rsidRDefault="00AD690E" w:rsidP="00AD690E">
      <w:pPr>
        <w:pStyle w:val="a"/>
      </w:pPr>
      <w:r w:rsidRPr="00601A0D">
        <w:t>Les disparités régionales</w:t>
      </w:r>
    </w:p>
    <w:p w:rsidR="00AD690E" w:rsidRDefault="00AD690E" w:rsidP="00AD690E">
      <w:pPr>
        <w:spacing w:before="120" w:after="120"/>
        <w:jc w:val="both"/>
      </w:pPr>
    </w:p>
    <w:p w:rsidR="00AD690E" w:rsidRPr="0077615B" w:rsidRDefault="00AD690E" w:rsidP="00AD690E">
      <w:pPr>
        <w:spacing w:before="120" w:after="120"/>
        <w:ind w:firstLine="0"/>
        <w:jc w:val="both"/>
      </w:pPr>
      <w:r w:rsidRPr="0077615B">
        <w:t>Même si l'économie canadienne croît, dans l'ensemble, à un rythme satisfaisant durant la première moitié des années 60, un problème n'en surgit pas moins à la même époque, celui de la redistribution inégal</w:t>
      </w:r>
      <w:r w:rsidRPr="0077615B">
        <w:t>i</w:t>
      </w:r>
      <w:r w:rsidRPr="0077615B">
        <w:t>taire de la richesse entre les régions.</w:t>
      </w:r>
    </w:p>
    <w:p w:rsidR="00AD690E" w:rsidRPr="0077615B" w:rsidRDefault="00AD690E" w:rsidP="00AD690E">
      <w:pPr>
        <w:spacing w:before="120" w:after="120"/>
        <w:jc w:val="both"/>
      </w:pPr>
      <w:r w:rsidRPr="0077615B">
        <w:t>Afin de faire face à cette situation, en mai 1961, le gouvern</w:t>
      </w:r>
      <w:r w:rsidRPr="0077615B">
        <w:t>e</w:t>
      </w:r>
      <w:r w:rsidRPr="0077615B">
        <w:t>ment Diefenbaker avait mis en place les programmes à frais pa</w:t>
      </w:r>
      <w:r w:rsidRPr="0077615B">
        <w:t>r</w:t>
      </w:r>
      <w:r w:rsidRPr="0077615B">
        <w:t>tagés dans le domaine agricole, programmes connus sous l'acr</w:t>
      </w:r>
      <w:r w:rsidRPr="0077615B">
        <w:t>o</w:t>
      </w:r>
      <w:r w:rsidRPr="0077615B">
        <w:t>nyme ARDA</w:t>
      </w:r>
      <w:r>
        <w:t> </w:t>
      </w:r>
      <w:r w:rsidRPr="000D6A43">
        <w:rPr>
          <w:rStyle w:val="Appelnotedebasdep"/>
        </w:rPr>
        <w:footnoteReference w:id="290"/>
      </w:r>
      <w:r w:rsidRPr="0077615B">
        <w:t>.</w:t>
      </w:r>
    </w:p>
    <w:p w:rsidR="00AD690E" w:rsidRPr="0077615B" w:rsidRDefault="00AD690E" w:rsidP="00AD690E">
      <w:pPr>
        <w:spacing w:before="120" w:after="120"/>
        <w:jc w:val="both"/>
      </w:pPr>
      <w:r w:rsidRPr="0077615B">
        <w:t>Quelques années plus tard, la Loi établissant le Conseil économ</w:t>
      </w:r>
      <w:r w:rsidRPr="0077615B">
        <w:t>i</w:t>
      </w:r>
      <w:r w:rsidRPr="0077615B">
        <w:t>que du Canada de 1963 l'enjoignait, entre autres choses, « d'étudier comment les programmes économiques à l'échelle n</w:t>
      </w:r>
      <w:r w:rsidRPr="0077615B">
        <w:t>a</w:t>
      </w:r>
      <w:r w:rsidRPr="0077615B">
        <w:t>tionale peuvent davantage stimuler dans un équilibre harmonieux l'essor économique de toutes les régions du Canada »</w:t>
      </w:r>
      <w:r>
        <w:t> </w:t>
      </w:r>
      <w:r w:rsidRPr="000D6A43">
        <w:rPr>
          <w:rStyle w:val="Appelnotedebasdep"/>
        </w:rPr>
        <w:footnoteReference w:id="291"/>
      </w:r>
      <w:r w:rsidRPr="0077615B">
        <w:t>. Dans sa définition d'une région, le Conseil prend acte au point de départ des espaces provinciaux, « même si cette délimitation n'est pas toujours conforme à de rigo</w:t>
      </w:r>
      <w:r w:rsidRPr="0077615B">
        <w:t>u</w:t>
      </w:r>
      <w:r w:rsidRPr="0077615B">
        <w:t>reux critères géographiques ou économiques », avec la réserve suiva</w:t>
      </w:r>
      <w:r w:rsidRPr="0077615B">
        <w:t>n</w:t>
      </w:r>
      <w:r w:rsidRPr="0077615B">
        <w:t>te :</w:t>
      </w:r>
    </w:p>
    <w:p w:rsidR="00AD690E" w:rsidRDefault="00AD690E" w:rsidP="00AD690E">
      <w:pPr>
        <w:pStyle w:val="Grillecouleur-Accent1"/>
      </w:pPr>
    </w:p>
    <w:p w:rsidR="00AD690E" w:rsidRDefault="00AD690E" w:rsidP="00AD690E">
      <w:pPr>
        <w:pStyle w:val="Grillecouleur-Accent1"/>
        <w:rPr>
          <w:i/>
        </w:rPr>
      </w:pPr>
      <w:r w:rsidRPr="00101244">
        <w:t>Toutefois, il sera parfois nécessaire ou utile, à certaines fins d'an</w:t>
      </w:r>
      <w:r w:rsidRPr="00101244">
        <w:t>a</w:t>
      </w:r>
      <w:r w:rsidRPr="00101244">
        <w:t>lyse, de grouper quelques-unes des provinces de façon à diviser le C</w:t>
      </w:r>
      <w:r w:rsidRPr="00101244">
        <w:t>a</w:t>
      </w:r>
      <w:r w:rsidRPr="00101244">
        <w:t>nada en cinq grandes régions, soit : l'Atlantique (les trois provinces Maritimes et Terre-Neuve), le Qu</w:t>
      </w:r>
      <w:r w:rsidRPr="00101244">
        <w:t>é</w:t>
      </w:r>
      <w:r w:rsidRPr="00101244">
        <w:t>bec, l'Ontario, les trois provinces des Prairies et la Colombie-Britannique</w:t>
      </w:r>
      <w:r>
        <w:t> </w:t>
      </w:r>
      <w:r w:rsidRPr="000D6A43">
        <w:rPr>
          <w:rStyle w:val="Appelnotedebasdep"/>
          <w:szCs w:val="18"/>
        </w:rPr>
        <w:footnoteReference w:id="292"/>
      </w:r>
      <w:r w:rsidRPr="00101244">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t>Cette nomenclature est importante puisque c'est celle qui préva</w:t>
      </w:r>
      <w:r w:rsidRPr="0077615B">
        <w:t>u</w:t>
      </w:r>
      <w:r w:rsidRPr="0077615B">
        <w:t>dra dans l'établissement des politiques régionales de dévelo</w:t>
      </w:r>
      <w:r w:rsidRPr="0077615B">
        <w:t>p</w:t>
      </w:r>
      <w:r w:rsidRPr="0077615B">
        <w:t>pement durant toutes les années sous étude, c'est-à-dire jusqu'à la fin des a</w:t>
      </w:r>
      <w:r w:rsidRPr="0077615B">
        <w:t>n</w:t>
      </w:r>
      <w:r w:rsidRPr="0077615B">
        <w:t>nées Trudeau.</w:t>
      </w:r>
    </w:p>
    <w:p w:rsidR="00AD690E" w:rsidRDefault="00AD690E" w:rsidP="00AD690E">
      <w:pPr>
        <w:spacing w:before="120" w:after="120"/>
        <w:jc w:val="both"/>
      </w:pPr>
      <w:r w:rsidRPr="0077615B">
        <w:t>Dans ses premiers travaux consacrés à ces questions, le Conseil f</w:t>
      </w:r>
      <w:r w:rsidRPr="0077615B">
        <w:t>e</w:t>
      </w:r>
      <w:r w:rsidRPr="0077615B">
        <w:t>ra état de la détérioration relative de certaines régions par rapport à d'autres, aussi bien au niveau du revenu personnel par habitant selon les provinces qu'au niveau des flux migratoires. Le Québec, en part</w:t>
      </w:r>
      <w:r w:rsidRPr="0077615B">
        <w:t>i</w:t>
      </w:r>
      <w:r w:rsidRPr="0077615B">
        <w:t>culier, même s'il reste près de la moyenne en termes de revenu par habitant, voit sa situation se détériorer considérablement par rapport à l'Ontario, qui occupe la tête de liste et, fait plus significatif encore, « certains symptômes de te</w:t>
      </w:r>
      <w:r w:rsidRPr="0077615B">
        <w:t>n</w:t>
      </w:r>
      <w:r w:rsidRPr="0077615B">
        <w:t>sions semblent concentrés dans certaines régions, par exemple, la Colombie-Britannique et dans certaines zones métropolitaines, comme Montréal... »</w:t>
      </w:r>
      <w:r>
        <w:t> </w:t>
      </w:r>
      <w:r>
        <w:rPr>
          <w:rStyle w:val="Appelnotedebasdep"/>
        </w:rPr>
        <w:footnoteReference w:id="293"/>
      </w:r>
      <w:r>
        <w:rPr>
          <w:vertAlign w:val="superscript"/>
        </w:rPr>
        <w:t xml:space="preserve"> </w:t>
      </w:r>
      <w:r w:rsidRPr="0077615B">
        <w:t>.</w:t>
      </w:r>
    </w:p>
    <w:p w:rsidR="00AD690E" w:rsidRDefault="00AD690E" w:rsidP="00AD690E">
      <w:pPr>
        <w:spacing w:before="120" w:after="120"/>
        <w:jc w:val="both"/>
      </w:pPr>
      <w:r>
        <w:t>[173]</w:t>
      </w:r>
    </w:p>
    <w:p w:rsidR="00AD690E" w:rsidRPr="0077615B" w:rsidRDefault="00AD690E" w:rsidP="00AD690E">
      <w:pPr>
        <w:spacing w:before="120" w:after="120"/>
        <w:jc w:val="both"/>
      </w:pPr>
      <w:r w:rsidRPr="0077615B">
        <w:t>Parmi les recommandations qui seront proposées par le Conseil, l'une concerne la coordination entre les niveaux de go</w:t>
      </w:r>
      <w:r w:rsidRPr="0077615B">
        <w:t>u</w:t>
      </w:r>
      <w:r w:rsidRPr="0077615B">
        <w:t>vernement face à l'existence du grand nombre de programmes et de politiques visant le développement régional, tandis qu'une a</w:t>
      </w:r>
      <w:r w:rsidRPr="0077615B">
        <w:t>u</w:t>
      </w:r>
      <w:r w:rsidRPr="0077615B">
        <w:t>tre propose « d'encourager la formation d'agglomérations efficaces d'activité (pôles de croissa</w:t>
      </w:r>
      <w:r w:rsidRPr="0077615B">
        <w:t>n</w:t>
      </w:r>
      <w:r w:rsidRPr="0077615B">
        <w:t>ce) dans les diverses régions afin d'assurer des économies d'échelle croissantes, des marchés plus étendus et des réservoirs plus utiles de talents et d'éviter les éparpillements et la dispersion non économ</w:t>
      </w:r>
      <w:r w:rsidRPr="0077615B">
        <w:t>i</w:t>
      </w:r>
      <w:r w:rsidRPr="0077615B">
        <w:t>ques »</w:t>
      </w:r>
      <w:r>
        <w:t> </w:t>
      </w:r>
      <w:r w:rsidRPr="000D6A43">
        <w:rPr>
          <w:rStyle w:val="Appelnotedebasdep"/>
        </w:rPr>
        <w:footnoteReference w:id="294"/>
      </w:r>
      <w:r w:rsidRPr="0077615B">
        <w:t>. L'un dans l'a</w:t>
      </w:r>
      <w:r w:rsidRPr="0077615B">
        <w:t>u</w:t>
      </w:r>
      <w:r w:rsidRPr="0077615B">
        <w:t>tre, le projet ARDA et les recommandations du CEC conduiront à la mise sur pied du ministère de l'Expansion économique région</w:t>
      </w:r>
      <w:r w:rsidRPr="0077615B">
        <w:t>a</w:t>
      </w:r>
      <w:r w:rsidRPr="0077615B">
        <w:t>le en 1968.</w:t>
      </w:r>
    </w:p>
    <w:p w:rsidR="00AD690E" w:rsidRPr="0077615B" w:rsidRDefault="00AD690E" w:rsidP="00AD690E">
      <w:pPr>
        <w:spacing w:before="120" w:after="120"/>
        <w:jc w:val="both"/>
      </w:pPr>
      <w:r w:rsidRPr="0077615B">
        <w:t>En attendant, en matière de politique régionale, l'héritage des a</w:t>
      </w:r>
      <w:r w:rsidRPr="0077615B">
        <w:t>n</w:t>
      </w:r>
      <w:r w:rsidRPr="0077615B">
        <w:t>nées Pearson est bien mince. Peut-être faut-il faire appel à l'importa</w:t>
      </w:r>
      <w:r w:rsidRPr="0077615B">
        <w:t>n</w:t>
      </w:r>
      <w:r w:rsidRPr="0077615B">
        <w:t>ce de l'émergence d'une conscience nationale au Québec pour expl</w:t>
      </w:r>
      <w:r w:rsidRPr="0077615B">
        <w:t>i</w:t>
      </w:r>
      <w:r w:rsidRPr="0077615B">
        <w:t>quer que les énergies du gouvernement aient été esse</w:t>
      </w:r>
      <w:r w:rsidRPr="0077615B">
        <w:t>n</w:t>
      </w:r>
      <w:r w:rsidRPr="0077615B">
        <w:t>tiellement concentrées sur l'amélioration des relations entre les deux groupes li</w:t>
      </w:r>
      <w:r w:rsidRPr="0077615B">
        <w:t>n</w:t>
      </w:r>
      <w:r w:rsidRPr="0077615B">
        <w:t>guistiques au Canada. À cet égard, il faudrait alors porter à son actif la mise sur pied de la Commission royale d'enquête sur le bilinguisme et le biculturalisme, qui mettra en lumière le phénomène d'une profonde discrimination systémique prévalant à rencontre des Canadiens fra</w:t>
      </w:r>
      <w:r w:rsidRPr="0077615B">
        <w:t>n</w:t>
      </w:r>
      <w:r w:rsidRPr="0077615B">
        <w:t>çais.</w:t>
      </w:r>
    </w:p>
    <w:p w:rsidR="00AD690E" w:rsidRDefault="00AD690E" w:rsidP="00AD690E">
      <w:pPr>
        <w:spacing w:before="120" w:after="120"/>
        <w:jc w:val="both"/>
      </w:pPr>
    </w:p>
    <w:p w:rsidR="00AD690E" w:rsidRPr="0077615B" w:rsidRDefault="00AD690E" w:rsidP="00AD690E">
      <w:pPr>
        <w:pStyle w:val="planche"/>
      </w:pPr>
      <w:r>
        <w:t>LES ANNÉ</w:t>
      </w:r>
      <w:r w:rsidRPr="0077615B">
        <w:t>ES TRUDEAU</w:t>
      </w:r>
    </w:p>
    <w:p w:rsidR="00AD690E" w:rsidRDefault="00AD690E" w:rsidP="00AD690E">
      <w:pPr>
        <w:spacing w:before="120" w:after="120"/>
        <w:jc w:val="both"/>
      </w:pPr>
    </w:p>
    <w:p w:rsidR="00AD690E" w:rsidRPr="0077615B" w:rsidRDefault="00AD690E" w:rsidP="00AD690E">
      <w:pPr>
        <w:spacing w:before="120" w:after="120"/>
        <w:jc w:val="both"/>
      </w:pPr>
      <w:r w:rsidRPr="0077615B">
        <w:t>Même si les initiatives des deux gouvernements dirigés par Lester Pearson s'avèrent, en rétrospective, plus articulées et mieux ciblées que celles de ses prédécesseurs, il n'en demeure pas moins qu'au m</w:t>
      </w:r>
      <w:r w:rsidRPr="0077615B">
        <w:t>o</w:t>
      </w:r>
      <w:r w:rsidRPr="0077615B">
        <w:t>ment où Pierre Trudeau accède aux plus hautes responsabilités, il reste encore beaucoup à faire pour resserrer les contrôles de l'État sur l'éc</w:t>
      </w:r>
      <w:r w:rsidRPr="0077615B">
        <w:t>o</w:t>
      </w:r>
      <w:r w:rsidRPr="0077615B">
        <w:t>nomie et, surtout, pour accroître les retombées économiques région</w:t>
      </w:r>
      <w:r w:rsidRPr="0077615B">
        <w:t>a</w:t>
      </w:r>
      <w:r w:rsidRPr="0077615B">
        <w:t>les et sociales des interventions publiques.</w:t>
      </w:r>
    </w:p>
    <w:p w:rsidR="00AD690E" w:rsidRPr="0077615B" w:rsidRDefault="00AD690E" w:rsidP="00AD690E">
      <w:pPr>
        <w:spacing w:before="120" w:after="120"/>
        <w:jc w:val="both"/>
      </w:pPr>
      <w:r w:rsidRPr="0077615B">
        <w:t>Le projet d'édification, puis de consolidation d'une économie can</w:t>
      </w:r>
      <w:r w:rsidRPr="0077615B">
        <w:t>a</w:t>
      </w:r>
      <w:r w:rsidRPr="0077615B">
        <w:t>dienne mieux intégrée sur le plan interne et plus concurre</w:t>
      </w:r>
      <w:r w:rsidRPr="0077615B">
        <w:t>n</w:t>
      </w:r>
      <w:r w:rsidRPr="0077615B">
        <w:t>tielle sur le plan international, passait par la rationalisation de l'activité gouve</w:t>
      </w:r>
      <w:r w:rsidRPr="0077615B">
        <w:t>r</w:t>
      </w:r>
      <w:r w:rsidRPr="0077615B">
        <w:t>nementale et par la concentration du pouvoir sur l'économie politique. Trudeau n'accède pas au poste de premier ministre avec un progra</w:t>
      </w:r>
      <w:r w:rsidRPr="0077615B">
        <w:t>m</w:t>
      </w:r>
      <w:r w:rsidRPr="0077615B">
        <w:t>me clair et défini mais plutôt avec une vision nationale qui ne recule pas face à l'accumulation des interventions, même si le cumul des in</w:t>
      </w:r>
      <w:r w:rsidRPr="0077615B">
        <w:t>i</w:t>
      </w:r>
      <w:r w:rsidRPr="0077615B">
        <w:t>tiatives et des programmes d</w:t>
      </w:r>
      <w:r w:rsidRPr="0077615B">
        <w:t>e</w:t>
      </w:r>
      <w:r w:rsidRPr="0077615B">
        <w:t>vait s'avérer de plus en plus complexe à gérer par la suite.</w:t>
      </w:r>
    </w:p>
    <w:p w:rsidR="00AD690E" w:rsidRDefault="00AD690E" w:rsidP="00AD690E">
      <w:pPr>
        <w:spacing w:before="120" w:after="120"/>
        <w:jc w:val="both"/>
        <w:rPr>
          <w:szCs w:val="18"/>
        </w:rPr>
      </w:pPr>
    </w:p>
    <w:p w:rsidR="00AD690E" w:rsidRPr="004A4341" w:rsidRDefault="00AD690E" w:rsidP="00AD690E">
      <w:pPr>
        <w:pStyle w:val="a"/>
      </w:pPr>
      <w:r w:rsidRPr="004A4341">
        <w:t>La connexion américaine</w:t>
      </w:r>
    </w:p>
    <w:p w:rsidR="00AD690E" w:rsidRDefault="00AD690E" w:rsidP="00AD690E">
      <w:pPr>
        <w:spacing w:before="120" w:after="120"/>
        <w:jc w:val="both"/>
      </w:pPr>
    </w:p>
    <w:p w:rsidR="00AD690E" w:rsidRPr="0077615B" w:rsidRDefault="00AD690E" w:rsidP="00AD690E">
      <w:pPr>
        <w:spacing w:before="120" w:after="120"/>
        <w:jc w:val="both"/>
      </w:pPr>
      <w:r w:rsidRPr="0077615B">
        <w:t>Tout de suite après son arrivée au pouvoir en juin 1968, les rel</w:t>
      </w:r>
      <w:r w:rsidRPr="0077615B">
        <w:t>a</w:t>
      </w:r>
      <w:r w:rsidRPr="0077615B">
        <w:t>tions entre le Canada et les États-Unis se détériorent de manière tout à fait sensible.</w:t>
      </w:r>
    </w:p>
    <w:p w:rsidR="00AD690E" w:rsidRPr="0077615B" w:rsidRDefault="00AD690E" w:rsidP="00AD690E">
      <w:pPr>
        <w:spacing w:before="120" w:after="120"/>
        <w:jc w:val="both"/>
      </w:pPr>
      <w:r w:rsidRPr="0077615B">
        <w:t>L'enjeu du contrôle américain de l'économie canadienne avait r</w:t>
      </w:r>
      <w:r w:rsidRPr="0077615B">
        <w:t>e</w:t>
      </w:r>
      <w:r w:rsidRPr="0077615B">
        <w:t xml:space="preserve">fait surface, en janvier 1968, à l'occasion du dépôt du Rapport du groupe d'études </w:t>
      </w:r>
      <w:r w:rsidRPr="004A4341">
        <w:rPr>
          <w:i/>
        </w:rPr>
        <w:t>ad</w:t>
      </w:r>
      <w:r>
        <w:t xml:space="preserve"> [</w:t>
      </w:r>
      <w:r w:rsidRPr="0077615B">
        <w:rPr>
          <w:szCs w:val="18"/>
        </w:rPr>
        <w:t>174</w:t>
      </w:r>
      <w:r>
        <w:rPr>
          <w:szCs w:val="18"/>
        </w:rPr>
        <w:t xml:space="preserve">] </w:t>
      </w:r>
      <w:r w:rsidRPr="004A4341">
        <w:rPr>
          <w:i/>
          <w:szCs w:val="22"/>
        </w:rPr>
        <w:t>hoc</w:t>
      </w:r>
      <w:r w:rsidRPr="0077615B">
        <w:rPr>
          <w:szCs w:val="22"/>
        </w:rPr>
        <w:t xml:space="preserve"> chargé d'étudier la structure de l'indu</w:t>
      </w:r>
      <w:r w:rsidRPr="0077615B">
        <w:rPr>
          <w:szCs w:val="22"/>
        </w:rPr>
        <w:t>s</w:t>
      </w:r>
      <w:r w:rsidRPr="0077615B">
        <w:rPr>
          <w:szCs w:val="22"/>
        </w:rPr>
        <w:t>trie canadienne, intitulé « Propriété étrangère et structure de l'industrie canadienne »</w:t>
      </w:r>
      <w:r>
        <w:rPr>
          <w:szCs w:val="22"/>
        </w:rPr>
        <w:t> </w:t>
      </w:r>
      <w:r w:rsidRPr="000D6A43">
        <w:rPr>
          <w:rStyle w:val="Appelnotedebasdep"/>
        </w:rPr>
        <w:footnoteReference w:id="295"/>
      </w:r>
      <w:r w:rsidRPr="0077615B">
        <w:rPr>
          <w:szCs w:val="22"/>
        </w:rPr>
        <w:t>.</w:t>
      </w:r>
    </w:p>
    <w:p w:rsidR="00AD690E" w:rsidRPr="0077615B" w:rsidRDefault="00AD690E" w:rsidP="00AD690E">
      <w:pPr>
        <w:spacing w:before="120" w:after="120"/>
        <w:jc w:val="both"/>
      </w:pPr>
      <w:r w:rsidRPr="0077615B">
        <w:rPr>
          <w:szCs w:val="22"/>
        </w:rPr>
        <w:t>Le Rapport Watkins rappelle les faits suivants :</w:t>
      </w:r>
    </w:p>
    <w:p w:rsidR="00AD690E" w:rsidRDefault="00AD690E" w:rsidP="00AD690E">
      <w:pPr>
        <w:pStyle w:val="Grillecouleur-Accent1"/>
      </w:pPr>
    </w:p>
    <w:p w:rsidR="00AD690E" w:rsidRDefault="00AD690E" w:rsidP="00AD690E">
      <w:pPr>
        <w:pStyle w:val="Grillecouleur-Accent1"/>
      </w:pPr>
      <w:r w:rsidRPr="00304C2C">
        <w:t>En 1964, les étrangers possédaient une valeur de 33 milliards de do</w:t>
      </w:r>
      <w:r w:rsidRPr="00304C2C">
        <w:t>l</w:t>
      </w:r>
      <w:r w:rsidRPr="00304C2C">
        <w:t>lars d'a</w:t>
      </w:r>
      <w:r w:rsidRPr="00304C2C">
        <w:t>c</w:t>
      </w:r>
      <w:r w:rsidRPr="00304C2C">
        <w:t>tifs au Canada, tandis que les Canadiens possédaient 13 milliards de dollars d'actifs à l'étranger. Ainsi, la balance canadienne de l'endett</w:t>
      </w:r>
      <w:r w:rsidRPr="00304C2C">
        <w:t>e</w:t>
      </w:r>
      <w:r w:rsidRPr="00304C2C">
        <w:t>ment i</w:t>
      </w:r>
      <w:r w:rsidRPr="00304C2C">
        <w:t>n</w:t>
      </w:r>
      <w:r w:rsidRPr="00304C2C">
        <w:t>ternational se chiffrait à 20 milliards de dollars en comparaison des 4 mi</w:t>
      </w:r>
      <w:r w:rsidRPr="00304C2C">
        <w:t>l</w:t>
      </w:r>
      <w:r w:rsidRPr="00304C2C">
        <w:t>liards de 1949, plancher d'après-guerre. Comme au cours de la même péri</w:t>
      </w:r>
      <w:r w:rsidRPr="00304C2C">
        <w:t>o</w:t>
      </w:r>
      <w:r w:rsidRPr="00304C2C">
        <w:t>de, le produit national brut s'est accru de 16 à 47 milliards de dollars, le pourcentage d'augmentation de l'endettement étranger net a été sup</w:t>
      </w:r>
      <w:r w:rsidRPr="00304C2C">
        <w:t>é</w:t>
      </w:r>
      <w:r w:rsidRPr="00304C2C">
        <w:t xml:space="preserve">rieur à celui de la production globale au </w:t>
      </w:r>
      <w:r>
        <w:t>Canada </w:t>
      </w:r>
      <w:r w:rsidRPr="000F7900">
        <w:rPr>
          <w:rStyle w:val="Appelnotedebasdep"/>
          <w:szCs w:val="18"/>
        </w:rPr>
        <w:footnoteReference w:id="296"/>
      </w:r>
      <w:r w:rsidRPr="00304C2C">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Cette situation entraîne deux conséquences pour l'économie : la première, c'est qu'elle limite sérieusement les possibilités de l'inte</w:t>
      </w:r>
      <w:r w:rsidRPr="0077615B">
        <w:rPr>
          <w:szCs w:val="22"/>
        </w:rPr>
        <w:t>r</w:t>
      </w:r>
      <w:r w:rsidRPr="0077615B">
        <w:rPr>
          <w:szCs w:val="22"/>
        </w:rPr>
        <w:t>vention des pouvoirs publics au moment même où l'État est de plus en plus sollicité pour alléger les disparités régionales et pour implanter de nouvelles politiques sociales ; la seconde, c'est que le paiement des intérêts et dividendes opère une ponction de l'ordre du milliard de do</w:t>
      </w:r>
      <w:r w:rsidRPr="0077615B">
        <w:rPr>
          <w:szCs w:val="22"/>
        </w:rPr>
        <w:t>l</w:t>
      </w:r>
      <w:r w:rsidRPr="0077615B">
        <w:rPr>
          <w:szCs w:val="22"/>
        </w:rPr>
        <w:t>lars annuellement sur l'économie et ce, sans compter les revenus ve</w:t>
      </w:r>
      <w:r w:rsidRPr="0077615B">
        <w:rPr>
          <w:szCs w:val="22"/>
        </w:rPr>
        <w:t>r</w:t>
      </w:r>
      <w:r w:rsidRPr="0077615B">
        <w:rPr>
          <w:szCs w:val="22"/>
        </w:rPr>
        <w:t>sés à l'étranger en paiement de serv</w:t>
      </w:r>
      <w:r w:rsidRPr="0077615B">
        <w:rPr>
          <w:szCs w:val="22"/>
        </w:rPr>
        <w:t>i</w:t>
      </w:r>
      <w:r w:rsidRPr="0077615B">
        <w:rPr>
          <w:szCs w:val="22"/>
        </w:rPr>
        <w:t>ces comme les frais de gestion, les redevances, le droit d'exclusivité, la publicité, les honoraires profe</w:t>
      </w:r>
      <w:r w:rsidRPr="0077615B">
        <w:rPr>
          <w:szCs w:val="22"/>
        </w:rPr>
        <w:t>s</w:t>
      </w:r>
      <w:r w:rsidRPr="0077615B">
        <w:rPr>
          <w:szCs w:val="22"/>
        </w:rPr>
        <w:t>sionnels ou les assurances. Malgré l'absence de données statistiques sur l'activité des succu</w:t>
      </w:r>
      <w:r w:rsidRPr="0077615B">
        <w:rPr>
          <w:szCs w:val="22"/>
        </w:rPr>
        <w:t>r</w:t>
      </w:r>
      <w:r w:rsidRPr="0077615B">
        <w:rPr>
          <w:szCs w:val="22"/>
        </w:rPr>
        <w:t>sales étrangères opérant dans ces domaines, on calculait à l'ép</w:t>
      </w:r>
      <w:r w:rsidRPr="0077615B">
        <w:rPr>
          <w:szCs w:val="22"/>
        </w:rPr>
        <w:t>o</w:t>
      </w:r>
      <w:r w:rsidRPr="0077615B">
        <w:rPr>
          <w:szCs w:val="22"/>
        </w:rPr>
        <w:t>que que ces revenus se chiffraient à 245 millions de dollars en 1963.</w:t>
      </w:r>
    </w:p>
    <w:p w:rsidR="00AD690E" w:rsidRPr="0077615B" w:rsidRDefault="00AD690E" w:rsidP="00AD690E">
      <w:pPr>
        <w:spacing w:before="120" w:after="120"/>
        <w:jc w:val="both"/>
      </w:pPr>
      <w:r w:rsidRPr="0077615B">
        <w:rPr>
          <w:szCs w:val="22"/>
        </w:rPr>
        <w:t xml:space="preserve">Même si le </w:t>
      </w:r>
      <w:r w:rsidRPr="009217D5">
        <w:rPr>
          <w:i/>
          <w:szCs w:val="22"/>
        </w:rPr>
        <w:t>Rapport Watkins</w:t>
      </w:r>
      <w:r w:rsidRPr="0077615B">
        <w:rPr>
          <w:szCs w:val="22"/>
        </w:rPr>
        <w:t xml:space="preserve"> ne remettait pas non plus en ca</w:t>
      </w:r>
      <w:r w:rsidRPr="0077615B">
        <w:rPr>
          <w:szCs w:val="22"/>
        </w:rPr>
        <w:t>u</w:t>
      </w:r>
      <w:r w:rsidRPr="0077615B">
        <w:rPr>
          <w:szCs w:val="22"/>
        </w:rPr>
        <w:t>se la propriété et le contrôle étrangers, reprenant en cela l'appr</w:t>
      </w:r>
      <w:r w:rsidRPr="0077615B">
        <w:rPr>
          <w:szCs w:val="22"/>
        </w:rPr>
        <w:t>o</w:t>
      </w:r>
      <w:r w:rsidRPr="0077615B">
        <w:rPr>
          <w:szCs w:val="22"/>
        </w:rPr>
        <w:t xml:space="preserve">che du </w:t>
      </w:r>
      <w:r w:rsidRPr="009217D5">
        <w:rPr>
          <w:i/>
          <w:szCs w:val="22"/>
        </w:rPr>
        <w:t>Rapport Gordon</w:t>
      </w:r>
      <w:r w:rsidRPr="0077615B">
        <w:rPr>
          <w:szCs w:val="22"/>
        </w:rPr>
        <w:t>, il manifestait le souci de veiller à ce que les Can</w:t>
      </w:r>
      <w:r w:rsidRPr="0077615B">
        <w:rPr>
          <w:szCs w:val="22"/>
        </w:rPr>
        <w:t>a</w:t>
      </w:r>
      <w:r w:rsidRPr="0077615B">
        <w:rPr>
          <w:szCs w:val="22"/>
        </w:rPr>
        <w:t>diens tirent le plus de bénéfices possibles de la situation. Ses reco</w:t>
      </w:r>
      <w:r w:rsidRPr="0077615B">
        <w:rPr>
          <w:szCs w:val="22"/>
        </w:rPr>
        <w:t>m</w:t>
      </w:r>
      <w:r w:rsidRPr="0077615B">
        <w:rPr>
          <w:szCs w:val="22"/>
        </w:rPr>
        <w:t>mandations portent ainsi sur la révision du régime fi</w:t>
      </w:r>
      <w:r w:rsidRPr="0077615B">
        <w:rPr>
          <w:szCs w:val="22"/>
        </w:rPr>
        <w:t>s</w:t>
      </w:r>
      <w:r w:rsidRPr="0077615B">
        <w:rPr>
          <w:szCs w:val="22"/>
        </w:rPr>
        <w:t>cal et sur la transformation de la Corporation de développement du Canada en « holding de dimensions imposantes, capable d'a</w:t>
      </w:r>
      <w:r w:rsidRPr="0077615B">
        <w:rPr>
          <w:szCs w:val="22"/>
        </w:rPr>
        <w:t>s</w:t>
      </w:r>
      <w:r w:rsidRPr="0077615B">
        <w:rPr>
          <w:szCs w:val="22"/>
        </w:rPr>
        <w:t>sumer les fonctions d'entrepreneur et d'administrateur et de jouer ainsi un rôle de premier plan, de concert avec les institutions déjà en place, dans les milieux industriels et financiers canadiens »</w:t>
      </w:r>
      <w:r>
        <w:rPr>
          <w:szCs w:val="22"/>
        </w:rPr>
        <w:t> </w:t>
      </w:r>
      <w:r w:rsidRPr="000D6A43">
        <w:rPr>
          <w:rStyle w:val="Appelnotedebasdep"/>
        </w:rPr>
        <w:footnoteReference w:id="297"/>
      </w:r>
      <w:r w:rsidRPr="0077615B">
        <w:rPr>
          <w:szCs w:val="22"/>
        </w:rPr>
        <w:t>.</w:t>
      </w:r>
    </w:p>
    <w:p w:rsidR="00AD690E" w:rsidRPr="0077615B" w:rsidRDefault="00AD690E" w:rsidP="00AD690E">
      <w:pPr>
        <w:spacing w:before="120" w:after="120"/>
        <w:jc w:val="both"/>
      </w:pPr>
      <w:r w:rsidRPr="0077615B">
        <w:rPr>
          <w:szCs w:val="22"/>
        </w:rPr>
        <w:t>En conclusion générale, le rapport propose ni plus ni moins que l'établissement d'une « nouvelle politique nationale » et il termine sa réflexion de la manière suivante :</w:t>
      </w:r>
    </w:p>
    <w:p w:rsidR="00AD690E" w:rsidRDefault="00AD690E" w:rsidP="00AD690E">
      <w:pPr>
        <w:pStyle w:val="Grillecouleur-Accent1"/>
      </w:pPr>
    </w:p>
    <w:p w:rsidR="00AD690E" w:rsidRPr="000217F5" w:rsidRDefault="00AD690E" w:rsidP="00AD690E">
      <w:pPr>
        <w:pStyle w:val="Grillecouleur-Accent1"/>
        <w:rPr>
          <w:i/>
        </w:rPr>
      </w:pPr>
      <w:r w:rsidRPr="00304C2C">
        <w:t>Le courant actuel au Canada vers des régimes provinciaux armés de plus d'a</w:t>
      </w:r>
      <w:r w:rsidRPr="00304C2C">
        <w:t>u</w:t>
      </w:r>
      <w:r w:rsidRPr="00304C2C">
        <w:t>torité est aussi un fait admis, mais cela ne dérange en rien le fait que la propriété étrangère constitue une question nationale et transcenda</w:t>
      </w:r>
      <w:r w:rsidRPr="00304C2C">
        <w:t>n</w:t>
      </w:r>
      <w:r w:rsidRPr="00304C2C">
        <w:t>te par rapport aux préo</w:t>
      </w:r>
      <w:r w:rsidRPr="00304C2C">
        <w:t>c</w:t>
      </w:r>
      <w:r w:rsidRPr="00304C2C">
        <w:t>cupations régionales</w:t>
      </w:r>
      <w:r w:rsidRPr="0077615B">
        <w:t>.</w:t>
      </w:r>
      <w:r w:rsidRPr="00304C2C">
        <w:rPr>
          <w:i/>
        </w:rPr>
        <w:t xml:space="preserve"> </w:t>
      </w:r>
    </w:p>
    <w:p w:rsidR="00AD690E" w:rsidRDefault="00AD690E" w:rsidP="00AD690E">
      <w:pPr>
        <w:pStyle w:val="p"/>
      </w:pPr>
      <w:r>
        <w:t>[175]</w:t>
      </w:r>
    </w:p>
    <w:p w:rsidR="00AD690E" w:rsidRDefault="00AD690E" w:rsidP="00AD690E">
      <w:pPr>
        <w:pStyle w:val="Grillecouleur-Accent1"/>
        <w:rPr>
          <w:i/>
        </w:rPr>
      </w:pPr>
      <w:r w:rsidRPr="00B36088">
        <w:t>La dépendance mutuelle croissante des nations de nos jours suggère enfin qu'il est possible de donner plus d'effets à la politique étrangère du Canada et à son rôle au plan universel en prêtant constamment re</w:t>
      </w:r>
      <w:r w:rsidRPr="00B36088">
        <w:t>n</w:t>
      </w:r>
      <w:r w:rsidRPr="00B36088">
        <w:t>fort à une indépendance nationale fort</w:t>
      </w:r>
      <w:r w:rsidRPr="00B36088">
        <w:t>i</w:t>
      </w:r>
      <w:r w:rsidRPr="00B36088">
        <w:t>fiée</w:t>
      </w:r>
      <w:r>
        <w:t> </w:t>
      </w:r>
      <w:r w:rsidRPr="000D6A43">
        <w:rPr>
          <w:rStyle w:val="Appelnotedebasdep"/>
          <w:szCs w:val="18"/>
        </w:rPr>
        <w:footnoteReference w:id="298"/>
      </w:r>
      <w:r w:rsidRPr="00B36088">
        <w:t>.</w:t>
      </w:r>
    </w:p>
    <w:p w:rsidR="00AD690E" w:rsidRPr="00B36088" w:rsidRDefault="00AD690E" w:rsidP="00AD690E">
      <w:pPr>
        <w:pStyle w:val="Grillecouleur-Accent1"/>
        <w:rPr>
          <w:i/>
        </w:rPr>
      </w:pPr>
    </w:p>
    <w:p w:rsidR="00AD690E" w:rsidRPr="0077615B" w:rsidRDefault="00AD690E" w:rsidP="00AD690E">
      <w:pPr>
        <w:spacing w:before="120" w:after="120"/>
        <w:jc w:val="both"/>
      </w:pPr>
      <w:r w:rsidRPr="0077615B">
        <w:rPr>
          <w:szCs w:val="22"/>
        </w:rPr>
        <w:t>À peine deux années plus tard, un autre rapport, celui émanant du Comité permanent des affaires extérieures et de la défense n</w:t>
      </w:r>
      <w:r w:rsidRPr="0077615B">
        <w:rPr>
          <w:szCs w:val="22"/>
        </w:rPr>
        <w:t>a</w:t>
      </w:r>
      <w:r w:rsidRPr="0077615B">
        <w:rPr>
          <w:szCs w:val="22"/>
        </w:rPr>
        <w:t>tionale au sujet des relations canado-américaines, le Rapport Wahn, étudiera à nouveau la question de la dépendance de l'éc</w:t>
      </w:r>
      <w:r w:rsidRPr="0077615B">
        <w:rPr>
          <w:szCs w:val="22"/>
        </w:rPr>
        <w:t>o</w:t>
      </w:r>
      <w:r w:rsidRPr="0077615B">
        <w:rPr>
          <w:szCs w:val="22"/>
        </w:rPr>
        <w:t>nomie canadienne vis-à-vis de celle des États-Unis.</w:t>
      </w:r>
    </w:p>
    <w:p w:rsidR="00AD690E" w:rsidRPr="0077615B" w:rsidRDefault="00AD690E" w:rsidP="00AD690E">
      <w:pPr>
        <w:spacing w:before="120" w:after="120"/>
        <w:jc w:val="both"/>
      </w:pPr>
      <w:r w:rsidRPr="0077615B">
        <w:rPr>
          <w:szCs w:val="22"/>
        </w:rPr>
        <w:t xml:space="preserve">Se penchant cette fois sur le problème du déficit commercial, le </w:t>
      </w:r>
      <w:r>
        <w:rPr>
          <w:szCs w:val="22"/>
        </w:rPr>
        <w:t xml:space="preserve">   </w:t>
      </w:r>
      <w:r w:rsidRPr="0077615B">
        <w:rPr>
          <w:szCs w:val="22"/>
        </w:rPr>
        <w:t>rapport note que le manque à gagner est</w:t>
      </w:r>
    </w:p>
    <w:p w:rsidR="00AD690E" w:rsidRDefault="00AD690E" w:rsidP="00AD690E">
      <w:pPr>
        <w:pStyle w:val="Citation0"/>
      </w:pPr>
    </w:p>
    <w:p w:rsidR="00AD690E" w:rsidRDefault="00AD690E" w:rsidP="00AD690E">
      <w:pPr>
        <w:pStyle w:val="Citation0"/>
      </w:pPr>
      <w:r w:rsidRPr="00B36088">
        <w:t>partiellement financé par un excédent d'exportations à destination des pays d'outremer : toutefois, le reste a été comblé par des importations ma</w:t>
      </w:r>
      <w:r w:rsidRPr="00B36088">
        <w:t>s</w:t>
      </w:r>
      <w:r w:rsidRPr="00B36088">
        <w:t>sives de cap</w:t>
      </w:r>
      <w:r w:rsidRPr="00B36088">
        <w:t>i</w:t>
      </w:r>
      <w:r w:rsidRPr="00B36088">
        <w:t xml:space="preserve">taux, le plus souvent des </w:t>
      </w:r>
      <w:r>
        <w:t>É</w:t>
      </w:r>
      <w:r w:rsidRPr="00B36088">
        <w:t>tats-Unis</w:t>
      </w:r>
      <w:r>
        <w:t> </w:t>
      </w:r>
      <w:r w:rsidRPr="000D6A43">
        <w:rPr>
          <w:rStyle w:val="Appelnotedebasdep"/>
          <w:szCs w:val="18"/>
        </w:rPr>
        <w:footnoteReference w:id="299"/>
      </w:r>
      <w:r w:rsidRPr="00B36088">
        <w:t>.</w:t>
      </w:r>
    </w:p>
    <w:p w:rsidR="00AD690E" w:rsidRPr="000217F5" w:rsidRDefault="00AD690E" w:rsidP="00AD690E">
      <w:pPr>
        <w:pStyle w:val="Citation0"/>
        <w:rPr>
          <w:i/>
        </w:rPr>
      </w:pPr>
    </w:p>
    <w:p w:rsidR="00AD690E" w:rsidRPr="0077615B" w:rsidRDefault="00AD690E" w:rsidP="00AD690E">
      <w:pPr>
        <w:spacing w:before="120" w:after="120"/>
        <w:jc w:val="both"/>
      </w:pPr>
      <w:r w:rsidRPr="0077615B">
        <w:rPr>
          <w:szCs w:val="22"/>
        </w:rPr>
        <w:t>Rappelons à ce sujet que, durant la période de l'après-guerre, les importations du Canada en provenance des États-Unis passent de 69</w:t>
      </w:r>
      <w:r>
        <w:rPr>
          <w:szCs w:val="22"/>
        </w:rPr>
        <w:t>%</w:t>
      </w:r>
      <w:r w:rsidRPr="0077615B">
        <w:rPr>
          <w:szCs w:val="22"/>
        </w:rPr>
        <w:t xml:space="preserve"> en 1948 à 73</w:t>
      </w:r>
      <w:r>
        <w:rPr>
          <w:szCs w:val="22"/>
        </w:rPr>
        <w:t>%</w:t>
      </w:r>
      <w:r w:rsidRPr="0077615B">
        <w:rPr>
          <w:szCs w:val="22"/>
        </w:rPr>
        <w:t xml:space="preserve"> en 1968. Quant aux exportations, la proportion pa</w:t>
      </w:r>
      <w:r w:rsidRPr="0077615B">
        <w:rPr>
          <w:szCs w:val="22"/>
        </w:rPr>
        <w:t>s</w:t>
      </w:r>
      <w:r w:rsidRPr="0077615B">
        <w:rPr>
          <w:szCs w:val="22"/>
        </w:rPr>
        <w:t>se de 50</w:t>
      </w:r>
      <w:r>
        <w:rPr>
          <w:szCs w:val="22"/>
        </w:rPr>
        <w:t>%</w:t>
      </w:r>
      <w:r w:rsidRPr="0077615B">
        <w:rPr>
          <w:szCs w:val="22"/>
        </w:rPr>
        <w:t xml:space="preserve"> à 66</w:t>
      </w:r>
      <w:r>
        <w:rPr>
          <w:szCs w:val="22"/>
        </w:rPr>
        <w:t>%</w:t>
      </w:r>
      <w:r w:rsidRPr="0077615B">
        <w:rPr>
          <w:szCs w:val="22"/>
        </w:rPr>
        <w:t xml:space="preserve"> entre ces deux dates. Même si la part des matières premières tend à décroître dans les deux cas, ce sont d'abord les pr</w:t>
      </w:r>
      <w:r w:rsidRPr="0077615B">
        <w:rPr>
          <w:szCs w:val="22"/>
        </w:rPr>
        <w:t>o</w:t>
      </w:r>
      <w:r w:rsidRPr="0077615B">
        <w:rPr>
          <w:szCs w:val="22"/>
        </w:rPr>
        <w:t>duits semi-finis qui constituent le gros des export</w:t>
      </w:r>
      <w:r w:rsidRPr="0077615B">
        <w:rPr>
          <w:szCs w:val="22"/>
        </w:rPr>
        <w:t>a</w:t>
      </w:r>
      <w:r w:rsidRPr="0077615B">
        <w:rPr>
          <w:szCs w:val="22"/>
        </w:rPr>
        <w:t>tions, tandis que les produits finis en provenance des États-Unis occupent le premier rang de nos importations.</w:t>
      </w:r>
    </w:p>
    <w:p w:rsidR="00AD690E" w:rsidRPr="0077615B" w:rsidRDefault="00AD690E" w:rsidP="00AD690E">
      <w:pPr>
        <w:spacing w:before="120" w:after="120"/>
        <w:jc w:val="both"/>
      </w:pPr>
      <w:r w:rsidRPr="0077615B">
        <w:rPr>
          <w:szCs w:val="22"/>
        </w:rPr>
        <w:t xml:space="preserve">Le </w:t>
      </w:r>
      <w:r w:rsidRPr="009217D5">
        <w:rPr>
          <w:i/>
          <w:szCs w:val="22"/>
        </w:rPr>
        <w:t>Rapport Wahn</w:t>
      </w:r>
      <w:r w:rsidRPr="0077615B">
        <w:rPr>
          <w:szCs w:val="22"/>
        </w:rPr>
        <w:t xml:space="preserve"> note à cet égard qu'« une dépendance aussi a</w:t>
      </w:r>
      <w:r w:rsidRPr="0077615B">
        <w:rPr>
          <w:szCs w:val="22"/>
        </w:rPr>
        <w:t>c</w:t>
      </w:r>
      <w:r w:rsidRPr="0077615B">
        <w:rPr>
          <w:szCs w:val="22"/>
        </w:rPr>
        <w:t>cusée par rapport aux capitaux américains a entraîné pour le Canada de graves conséquences »</w:t>
      </w:r>
      <w:r>
        <w:rPr>
          <w:szCs w:val="22"/>
        </w:rPr>
        <w:t> </w:t>
      </w:r>
      <w:r w:rsidRPr="000D6A43">
        <w:rPr>
          <w:rStyle w:val="Appelnotedebasdep"/>
        </w:rPr>
        <w:footnoteReference w:id="300"/>
      </w:r>
    </w:p>
    <w:p w:rsidR="00AD690E" w:rsidRPr="0077615B" w:rsidRDefault="00AD690E" w:rsidP="00AD690E">
      <w:pPr>
        <w:spacing w:before="120" w:after="120"/>
        <w:jc w:val="both"/>
      </w:pPr>
      <w:r w:rsidRPr="0077615B">
        <w:rPr>
          <w:szCs w:val="22"/>
        </w:rPr>
        <w:t>Les exemples relevés illustrent à quel point le gouvernement a les mains liées, c'est-à-dire à quel point sa politique économique est trib</w:t>
      </w:r>
      <w:r w:rsidRPr="0077615B">
        <w:rPr>
          <w:szCs w:val="22"/>
        </w:rPr>
        <w:t>u</w:t>
      </w:r>
      <w:r w:rsidRPr="0077615B">
        <w:rPr>
          <w:szCs w:val="22"/>
        </w:rPr>
        <w:t xml:space="preserve">taire de celle de la Maison-Blanche. Cependant, même s'il ne se rabat sur aucune option claire et radicale, le </w:t>
      </w:r>
      <w:r w:rsidRPr="0067472C">
        <w:rPr>
          <w:i/>
          <w:szCs w:val="22"/>
        </w:rPr>
        <w:t>Rapport Wahn</w:t>
      </w:r>
      <w:r w:rsidRPr="0077615B">
        <w:rPr>
          <w:szCs w:val="22"/>
        </w:rPr>
        <w:t xml:space="preserve"> recommande au gouvernement de rechercher d'autres sou</w:t>
      </w:r>
      <w:r w:rsidRPr="0077615B">
        <w:rPr>
          <w:szCs w:val="22"/>
        </w:rPr>
        <w:t>r</w:t>
      </w:r>
      <w:r w:rsidRPr="0077615B">
        <w:rPr>
          <w:szCs w:val="22"/>
        </w:rPr>
        <w:t>ces d'importations, d'autres prêteurs et « d'encourager l'investi</w:t>
      </w:r>
      <w:r w:rsidRPr="0077615B">
        <w:rPr>
          <w:szCs w:val="22"/>
        </w:rPr>
        <w:t>s</w:t>
      </w:r>
      <w:r w:rsidRPr="0077615B">
        <w:rPr>
          <w:szCs w:val="22"/>
        </w:rPr>
        <w:t>sement de capital canadien dans des programmes d'expansion au pays »</w:t>
      </w:r>
      <w:r>
        <w:rPr>
          <w:szCs w:val="22"/>
        </w:rPr>
        <w:t> </w:t>
      </w:r>
      <w:r w:rsidRPr="000D6A43">
        <w:rPr>
          <w:rStyle w:val="Appelnotedebasdep"/>
        </w:rPr>
        <w:footnoteReference w:id="301"/>
      </w:r>
      <w:r w:rsidRPr="0077615B">
        <w:rPr>
          <w:szCs w:val="22"/>
        </w:rPr>
        <w:t>.</w:t>
      </w:r>
    </w:p>
    <w:p w:rsidR="00AD690E" w:rsidRPr="0077615B" w:rsidRDefault="00AD690E" w:rsidP="00AD690E">
      <w:pPr>
        <w:spacing w:before="120" w:after="120"/>
        <w:jc w:val="both"/>
      </w:pPr>
      <w:r w:rsidRPr="0077615B">
        <w:rPr>
          <w:szCs w:val="22"/>
        </w:rPr>
        <w:t>Il s'agit donc de proposer une ouverture sur le multilatéralisme et une forme timide de politique nationale.</w:t>
      </w:r>
    </w:p>
    <w:p w:rsidR="00AD690E" w:rsidRDefault="00AD690E" w:rsidP="00AD690E">
      <w:pPr>
        <w:spacing w:before="120" w:after="120"/>
        <w:jc w:val="both"/>
        <w:rPr>
          <w:szCs w:val="22"/>
        </w:rPr>
      </w:pPr>
      <w:r w:rsidRPr="0077615B">
        <w:rPr>
          <w:szCs w:val="22"/>
        </w:rPr>
        <w:t>Pourtant, le document le plus percutant sur cette épineuse question suivra de près. En effet, le</w:t>
      </w:r>
      <w:r w:rsidRPr="0067472C">
        <w:rPr>
          <w:i/>
          <w:szCs w:val="22"/>
        </w:rPr>
        <w:t xml:space="preserve"> Rapport Gray</w:t>
      </w:r>
      <w:r w:rsidRPr="0077615B">
        <w:rPr>
          <w:szCs w:val="22"/>
        </w:rPr>
        <w:t xml:space="preserve"> sur la maîtrise économique du milieu national sera publié en partie par le Canadian Forum de T</w:t>
      </w:r>
      <w:r w:rsidRPr="0077615B">
        <w:rPr>
          <w:szCs w:val="22"/>
        </w:rPr>
        <w:t>o</w:t>
      </w:r>
      <w:r w:rsidRPr="0077615B">
        <w:rPr>
          <w:szCs w:val="22"/>
        </w:rPr>
        <w:t xml:space="preserve">ronto le 12 novembre 1971 et rediffusé par après, à l'instigation du </w:t>
      </w:r>
      <w:r w:rsidRPr="0067472C">
        <w:rPr>
          <w:i/>
          <w:szCs w:val="22"/>
        </w:rPr>
        <w:t>Devoir</w:t>
      </w:r>
      <w:r>
        <w:rPr>
          <w:szCs w:val="22"/>
        </w:rPr>
        <w:t> </w:t>
      </w:r>
      <w:r w:rsidRPr="000D6A43">
        <w:rPr>
          <w:rStyle w:val="Appelnotedebasdep"/>
        </w:rPr>
        <w:footnoteReference w:id="302"/>
      </w:r>
      <w:r w:rsidRPr="0077615B">
        <w:rPr>
          <w:szCs w:val="22"/>
        </w:rPr>
        <w:t>.</w:t>
      </w:r>
    </w:p>
    <w:p w:rsidR="00AD690E" w:rsidRPr="0077615B" w:rsidRDefault="00AD690E" w:rsidP="00AD690E">
      <w:pPr>
        <w:spacing w:before="120" w:after="120"/>
        <w:jc w:val="both"/>
      </w:pPr>
      <w:r>
        <w:rPr>
          <w:szCs w:val="18"/>
        </w:rPr>
        <w:t>[</w:t>
      </w:r>
      <w:r w:rsidRPr="0077615B">
        <w:rPr>
          <w:szCs w:val="22"/>
        </w:rPr>
        <w:t>176</w:t>
      </w:r>
      <w:r>
        <w:rPr>
          <w:szCs w:val="22"/>
        </w:rPr>
        <w:t>]</w:t>
      </w:r>
    </w:p>
    <w:p w:rsidR="00AD690E" w:rsidRPr="0077615B" w:rsidRDefault="00AD690E" w:rsidP="00AD690E">
      <w:pPr>
        <w:spacing w:before="120" w:after="120"/>
        <w:jc w:val="both"/>
      </w:pPr>
      <w:r w:rsidRPr="0077615B">
        <w:rPr>
          <w:szCs w:val="22"/>
        </w:rPr>
        <w:t xml:space="preserve">Le </w:t>
      </w:r>
      <w:r w:rsidRPr="0067472C">
        <w:rPr>
          <w:i/>
          <w:szCs w:val="22"/>
        </w:rPr>
        <w:t>Rapport Gray</w:t>
      </w:r>
      <w:r w:rsidRPr="0077615B">
        <w:rPr>
          <w:szCs w:val="22"/>
        </w:rPr>
        <w:t xml:space="preserve"> avait été préparé en prévision de l'échéance éle</w:t>
      </w:r>
      <w:r w:rsidRPr="0077615B">
        <w:rPr>
          <w:szCs w:val="22"/>
        </w:rPr>
        <w:t>c</w:t>
      </w:r>
      <w:r w:rsidRPr="0077615B">
        <w:rPr>
          <w:szCs w:val="22"/>
        </w:rPr>
        <w:t>torale de l'année suivante qui marquait la fin du premier mandat du gouvernement Trudeau. Son ton était à ce point radical que l'on a pu écrire que certaines des solutions envisagées rejo</w:t>
      </w:r>
      <w:r w:rsidRPr="0077615B">
        <w:rPr>
          <w:szCs w:val="22"/>
        </w:rPr>
        <w:t>i</w:t>
      </w:r>
      <w:r w:rsidRPr="0077615B">
        <w:rPr>
          <w:szCs w:val="22"/>
        </w:rPr>
        <w:t>gnaient des mesures proposées dans le document « Ne comptons que sur nos propres moyens » préparé par la CSN et publié l'année précédente. En partic</w:t>
      </w:r>
      <w:r w:rsidRPr="0077615B">
        <w:rPr>
          <w:szCs w:val="22"/>
        </w:rPr>
        <w:t>u</w:t>
      </w:r>
      <w:r w:rsidRPr="0077615B">
        <w:rPr>
          <w:szCs w:val="22"/>
        </w:rPr>
        <w:t>lier, le rapport s'ouvrait sur un constat laconique :</w:t>
      </w:r>
    </w:p>
    <w:p w:rsidR="00AD690E" w:rsidRDefault="00AD690E" w:rsidP="00AD690E">
      <w:pPr>
        <w:pStyle w:val="Grillecouleur-Accent1"/>
      </w:pPr>
    </w:p>
    <w:p w:rsidR="00AD690E" w:rsidRDefault="00AD690E" w:rsidP="00AD690E">
      <w:pPr>
        <w:pStyle w:val="Grillecouleur-Accent1"/>
        <w:rPr>
          <w:i/>
        </w:rPr>
      </w:pPr>
      <w:r w:rsidRPr="0067472C">
        <w:t>Le niveau élevé et croissant de la mainmise étrangère — tout partic</w:t>
      </w:r>
      <w:r w:rsidRPr="0067472C">
        <w:t>u</w:t>
      </w:r>
      <w:r w:rsidRPr="0067472C">
        <w:t>lièrement américaine — sur l'activité économique au Canada a fait app</w:t>
      </w:r>
      <w:r w:rsidRPr="0067472C">
        <w:t>a</w:t>
      </w:r>
      <w:r w:rsidRPr="0067472C">
        <w:t>raître au pays une structure industrielle qui reflète largement les priorités de croi</w:t>
      </w:r>
      <w:r w:rsidRPr="0067472C">
        <w:t>s</w:t>
      </w:r>
      <w:r w:rsidRPr="0067472C">
        <w:t>sance d'entreprises étrangères</w:t>
      </w:r>
      <w:r>
        <w:t> </w:t>
      </w:r>
      <w:r w:rsidRPr="000D6A43">
        <w:rPr>
          <w:rStyle w:val="Appelnotedebasdep"/>
          <w:szCs w:val="18"/>
        </w:rPr>
        <w:footnoteReference w:id="303"/>
      </w:r>
      <w:r w:rsidRPr="0067472C">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Le rapport propose alors d'établir un mécanisme de « tamisage » des investissements étrangers, voire même d'« opposer une résistance aux entreprises multinationales lorsque celles-ci contribuent en rien à la réalisation d'objectifs économiques nationaux »</w:t>
      </w:r>
      <w:r>
        <w:rPr>
          <w:szCs w:val="22"/>
        </w:rPr>
        <w:t> </w:t>
      </w:r>
      <w:r w:rsidRPr="000D6A43">
        <w:rPr>
          <w:rStyle w:val="Appelnotedebasdep"/>
        </w:rPr>
        <w:footnoteReference w:id="304"/>
      </w:r>
      <w:r w:rsidRPr="0077615B">
        <w:rPr>
          <w:szCs w:val="22"/>
        </w:rPr>
        <w:t>. Il propose ég</w:t>
      </w:r>
      <w:r w:rsidRPr="0077615B">
        <w:rPr>
          <w:szCs w:val="22"/>
        </w:rPr>
        <w:t>a</w:t>
      </w:r>
      <w:r w:rsidRPr="0077615B">
        <w:rPr>
          <w:szCs w:val="22"/>
        </w:rPr>
        <w:t>lement d'élaborer une « politique commerciale qui souligne les lignes de force can</w:t>
      </w:r>
      <w:r w:rsidRPr="0077615B">
        <w:rPr>
          <w:szCs w:val="22"/>
        </w:rPr>
        <w:t>a</w:t>
      </w:r>
      <w:r w:rsidRPr="0077615B">
        <w:rPr>
          <w:szCs w:val="22"/>
        </w:rPr>
        <w:t>diennes et qui chercherait à les développer dans le cadre de nouvelles ententes avec l'Europe et les pays du Pacifique »</w:t>
      </w:r>
      <w:r>
        <w:rPr>
          <w:szCs w:val="22"/>
        </w:rPr>
        <w:t> </w:t>
      </w:r>
      <w:r w:rsidRPr="000D6A43">
        <w:rPr>
          <w:rStyle w:val="Appelnotedebasdep"/>
        </w:rPr>
        <w:footnoteReference w:id="305"/>
      </w:r>
      <w:r w:rsidRPr="0077615B">
        <w:rPr>
          <w:szCs w:val="22"/>
        </w:rPr>
        <w:t>. Il propose enfin que « les sociétés de la Couronne et les ministères util</w:t>
      </w:r>
      <w:r w:rsidRPr="0077615B">
        <w:rPr>
          <w:szCs w:val="22"/>
        </w:rPr>
        <w:t>i</w:t>
      </w:r>
      <w:r w:rsidRPr="0077615B">
        <w:rPr>
          <w:szCs w:val="22"/>
        </w:rPr>
        <w:t>sent leurs approvisionnements pour se conformer à des objectifs de polit</w:t>
      </w:r>
      <w:r w:rsidRPr="0077615B">
        <w:rPr>
          <w:szCs w:val="22"/>
        </w:rPr>
        <w:t>i</w:t>
      </w:r>
      <w:r w:rsidRPr="0077615B">
        <w:rPr>
          <w:szCs w:val="22"/>
        </w:rPr>
        <w:t>que nationale »</w:t>
      </w:r>
      <w:r>
        <w:rPr>
          <w:szCs w:val="22"/>
        </w:rPr>
        <w:t> </w:t>
      </w:r>
      <w:r>
        <w:rPr>
          <w:rStyle w:val="Appelnotedebasdep"/>
        </w:rPr>
        <w:footnoteReference w:id="306"/>
      </w:r>
      <w:r w:rsidRPr="0077615B">
        <w:rPr>
          <w:szCs w:val="22"/>
        </w:rPr>
        <w:t>.</w:t>
      </w:r>
    </w:p>
    <w:p w:rsidR="00AD690E" w:rsidRPr="0077615B" w:rsidRDefault="00AD690E" w:rsidP="00AD690E">
      <w:pPr>
        <w:spacing w:before="120" w:after="120"/>
        <w:jc w:val="both"/>
      </w:pPr>
      <w:r w:rsidRPr="0077615B">
        <w:rPr>
          <w:szCs w:val="22"/>
        </w:rPr>
        <w:t xml:space="preserve">Malheureusement, peu après que le contenu du </w:t>
      </w:r>
      <w:r w:rsidRPr="0067472C">
        <w:rPr>
          <w:i/>
          <w:szCs w:val="22"/>
        </w:rPr>
        <w:t>Rapport Gray</w:t>
      </w:r>
      <w:r w:rsidRPr="0077615B">
        <w:rPr>
          <w:szCs w:val="22"/>
        </w:rPr>
        <w:t xml:space="preserve"> ait été discuté par le Cabinet, en mai, il est advenu que le prés</w:t>
      </w:r>
      <w:r w:rsidRPr="0077615B">
        <w:rPr>
          <w:szCs w:val="22"/>
        </w:rPr>
        <w:t>i</w:t>
      </w:r>
      <w:r w:rsidRPr="0077615B">
        <w:rPr>
          <w:szCs w:val="22"/>
        </w:rPr>
        <w:t>dent des États-Unis a lancé, le 15 août 1971, sa « nouvelle politique économ</w:t>
      </w:r>
      <w:r w:rsidRPr="0077615B">
        <w:rPr>
          <w:szCs w:val="22"/>
        </w:rPr>
        <w:t>i</w:t>
      </w:r>
      <w:r w:rsidRPr="0077615B">
        <w:rPr>
          <w:szCs w:val="22"/>
        </w:rPr>
        <w:t>que ». Cette politique visait à imposer un gel des prix et des salaires pendant une durée de 90 jours, réduisait les impôts, restreignait l'i</w:t>
      </w:r>
      <w:r w:rsidRPr="0077615B">
        <w:rPr>
          <w:szCs w:val="22"/>
        </w:rPr>
        <w:t>m</w:t>
      </w:r>
      <w:r w:rsidRPr="0077615B">
        <w:rPr>
          <w:szCs w:val="22"/>
        </w:rPr>
        <w:t>portation de produits étrangers par l'imp</w:t>
      </w:r>
      <w:r w:rsidRPr="0077615B">
        <w:rPr>
          <w:szCs w:val="22"/>
        </w:rPr>
        <w:t>o</w:t>
      </w:r>
      <w:r w:rsidRPr="0077615B">
        <w:rPr>
          <w:szCs w:val="22"/>
        </w:rPr>
        <w:t>sition d'une surtaxe de 10</w:t>
      </w:r>
      <w:r>
        <w:rPr>
          <w:szCs w:val="22"/>
        </w:rPr>
        <w:t>%</w:t>
      </w:r>
      <w:r w:rsidRPr="0077615B">
        <w:rPr>
          <w:szCs w:val="22"/>
        </w:rPr>
        <w:t xml:space="preserve"> et, finalement, supprimait la conve</w:t>
      </w:r>
      <w:r w:rsidRPr="0077615B">
        <w:rPr>
          <w:szCs w:val="22"/>
        </w:rPr>
        <w:t>r</w:t>
      </w:r>
      <w:r w:rsidRPr="0077615B">
        <w:rPr>
          <w:szCs w:val="22"/>
        </w:rPr>
        <w:t>tibilité du dollar en or.</w:t>
      </w:r>
    </w:p>
    <w:p w:rsidR="00AD690E" w:rsidRPr="0077615B" w:rsidRDefault="00AD690E" w:rsidP="00AD690E">
      <w:pPr>
        <w:spacing w:before="120" w:after="120"/>
        <w:jc w:val="both"/>
      </w:pPr>
      <w:r w:rsidRPr="0077615B">
        <w:rPr>
          <w:szCs w:val="22"/>
        </w:rPr>
        <w:t>Quelles qu'aient été les raisons qui ont pu, sur le plan interne, pousser Richard Nixon à agir de la sorte en cette année préélect</w:t>
      </w:r>
      <w:r w:rsidRPr="0077615B">
        <w:rPr>
          <w:szCs w:val="22"/>
        </w:rPr>
        <w:t>o</w:t>
      </w:r>
      <w:r w:rsidRPr="0077615B">
        <w:rPr>
          <w:szCs w:val="22"/>
        </w:rPr>
        <w:t>rale, il n'en reste pas moins que, parmi les mesures annoncées, l'imposition d'une surtaxe de 10</w:t>
      </w:r>
      <w:r>
        <w:rPr>
          <w:szCs w:val="22"/>
        </w:rPr>
        <w:t>%</w:t>
      </w:r>
      <w:r w:rsidRPr="0077615B">
        <w:rPr>
          <w:szCs w:val="22"/>
        </w:rPr>
        <w:t xml:space="preserve"> à l'importation des produits étrangers allait a</w:t>
      </w:r>
      <w:r w:rsidRPr="0077615B">
        <w:rPr>
          <w:szCs w:val="22"/>
        </w:rPr>
        <w:t>f</w:t>
      </w:r>
      <w:r w:rsidRPr="0077615B">
        <w:rPr>
          <w:szCs w:val="22"/>
        </w:rPr>
        <w:t>fecter gravement l'économie canadienne dans la mesure où celle-ci est de loin la plus dépendante, pour son appr</w:t>
      </w:r>
      <w:r w:rsidRPr="0077615B">
        <w:rPr>
          <w:szCs w:val="22"/>
        </w:rPr>
        <w:t>o</w:t>
      </w:r>
      <w:r w:rsidRPr="0077615B">
        <w:rPr>
          <w:szCs w:val="22"/>
        </w:rPr>
        <w:t>visionnement, du marché américain.</w:t>
      </w:r>
    </w:p>
    <w:p w:rsidR="00AD690E" w:rsidRPr="0077615B" w:rsidRDefault="00AD690E" w:rsidP="00AD690E">
      <w:pPr>
        <w:spacing w:before="120" w:after="120"/>
        <w:jc w:val="both"/>
      </w:pPr>
      <w:r w:rsidRPr="0077615B">
        <w:rPr>
          <w:szCs w:val="22"/>
        </w:rPr>
        <w:t>Toutefois, un taux de chômage persistant, une inflation qui était passée d'un peu plus de 1</w:t>
      </w:r>
      <w:r>
        <w:rPr>
          <w:szCs w:val="22"/>
        </w:rPr>
        <w:t>%</w:t>
      </w:r>
      <w:r w:rsidRPr="0077615B">
        <w:rPr>
          <w:szCs w:val="22"/>
        </w:rPr>
        <w:t xml:space="preserve"> à 7,2</w:t>
      </w:r>
      <w:r>
        <w:rPr>
          <w:szCs w:val="22"/>
        </w:rPr>
        <w:t>%</w:t>
      </w:r>
      <w:r w:rsidRPr="0077615B">
        <w:rPr>
          <w:szCs w:val="22"/>
        </w:rPr>
        <w:t xml:space="preserve"> en six mois, un déficit budgétaire de l'ordre de 23,5 milliards de dollars où se reflétait la double pression exercée par la demande interne de services s</w:t>
      </w:r>
      <w:r w:rsidRPr="0077615B">
        <w:rPr>
          <w:szCs w:val="22"/>
        </w:rPr>
        <w:t>o</w:t>
      </w:r>
      <w:r w:rsidRPr="0077615B">
        <w:rPr>
          <w:szCs w:val="22"/>
        </w:rPr>
        <w:t>ciaux et les dépenses encourues pour la poursuite de la guerre au Vietnam, avaient forcé le gouvernement des États-Unis à un r</w:t>
      </w:r>
      <w:r w:rsidRPr="0077615B">
        <w:rPr>
          <w:szCs w:val="22"/>
        </w:rPr>
        <w:t>a</w:t>
      </w:r>
      <w:r w:rsidRPr="0077615B">
        <w:rPr>
          <w:szCs w:val="22"/>
        </w:rPr>
        <w:t>justement économique d'ampleur. Si, dans un premier temps, Ottawa cherche à négocier un statut d'e</w:t>
      </w:r>
      <w:r w:rsidRPr="0077615B">
        <w:rPr>
          <w:szCs w:val="22"/>
        </w:rPr>
        <w:t>x</w:t>
      </w:r>
      <w:r w:rsidRPr="0077615B">
        <w:rPr>
          <w:szCs w:val="22"/>
        </w:rPr>
        <w:t>ception face aux mesures Nixon et même si Herb Gray, ministre du Revenu national, laisse savoir lors d'une allocution prononcée devant</w:t>
      </w:r>
      <w:r>
        <w:rPr>
          <w:szCs w:val="22"/>
        </w:rPr>
        <w:t xml:space="preserve"> </w:t>
      </w:r>
      <w:r>
        <w:t xml:space="preserve">[177] </w:t>
      </w:r>
      <w:r w:rsidRPr="0077615B">
        <w:rPr>
          <w:szCs w:val="22"/>
        </w:rPr>
        <w:t>le Co</w:t>
      </w:r>
      <w:r>
        <w:rPr>
          <w:szCs w:val="22"/>
        </w:rPr>
        <w:t>nfe</w:t>
      </w:r>
      <w:r w:rsidRPr="0077615B">
        <w:rPr>
          <w:szCs w:val="22"/>
        </w:rPr>
        <w:t>rence Board que le Canada risque d'être touché plus qu'aucune autre économie par cette initiative, rien n'y fait. En e</w:t>
      </w:r>
      <w:r w:rsidRPr="0077615B">
        <w:rPr>
          <w:szCs w:val="22"/>
        </w:rPr>
        <w:t>f</w:t>
      </w:r>
      <w:r w:rsidRPr="0077615B">
        <w:rPr>
          <w:szCs w:val="22"/>
        </w:rPr>
        <w:t>fet, selon le Conf</w:t>
      </w:r>
      <w:r>
        <w:rPr>
          <w:szCs w:val="22"/>
        </w:rPr>
        <w:t>e</w:t>
      </w:r>
      <w:r w:rsidRPr="0077615B">
        <w:rPr>
          <w:szCs w:val="22"/>
        </w:rPr>
        <w:t>rence Board, « ces développements ont fait surgir la question de savoir si, en produisant à une telle échelle à l'étranger, l'industrie américaine n'a pas miné ses propres marchés d'export</w:t>
      </w:r>
      <w:r w:rsidRPr="0077615B">
        <w:rPr>
          <w:szCs w:val="22"/>
        </w:rPr>
        <w:t>a</w:t>
      </w:r>
      <w:r w:rsidRPr="0077615B">
        <w:rPr>
          <w:szCs w:val="22"/>
        </w:rPr>
        <w:t>tion »</w:t>
      </w:r>
      <w:r>
        <w:rPr>
          <w:szCs w:val="22"/>
        </w:rPr>
        <w:t> </w:t>
      </w:r>
      <w:r w:rsidRPr="000D6A43">
        <w:rPr>
          <w:rStyle w:val="Appelnotedebasdep"/>
        </w:rPr>
        <w:footnoteReference w:id="307"/>
      </w:r>
      <w:r w:rsidRPr="0077615B">
        <w:rPr>
          <w:szCs w:val="22"/>
        </w:rPr>
        <w:t>.</w:t>
      </w:r>
    </w:p>
    <w:p w:rsidR="00AD690E" w:rsidRPr="0077615B" w:rsidRDefault="00AD690E" w:rsidP="00AD690E">
      <w:pPr>
        <w:spacing w:before="120" w:after="120"/>
        <w:jc w:val="both"/>
      </w:pPr>
      <w:r w:rsidRPr="0077615B">
        <w:rPr>
          <w:szCs w:val="22"/>
        </w:rPr>
        <w:t>Par ailleurs, la pression interne pour la consolidation d'une écon</w:t>
      </w:r>
      <w:r w:rsidRPr="0077615B">
        <w:rPr>
          <w:szCs w:val="22"/>
        </w:rPr>
        <w:t>o</w:t>
      </w:r>
      <w:r w:rsidRPr="0077615B">
        <w:rPr>
          <w:szCs w:val="22"/>
        </w:rPr>
        <w:t>mie nationale au Canada doit également être prise en com</w:t>
      </w:r>
      <w:r w:rsidRPr="0077615B">
        <w:rPr>
          <w:szCs w:val="22"/>
        </w:rPr>
        <w:t>p</w:t>
      </w:r>
      <w:r w:rsidRPr="0077615B">
        <w:rPr>
          <w:szCs w:val="22"/>
        </w:rPr>
        <w:t>te. Déjà en 1963, Walter Gordon, à l'époque ministre des Fina</w:t>
      </w:r>
      <w:r w:rsidRPr="0077615B">
        <w:rPr>
          <w:szCs w:val="22"/>
        </w:rPr>
        <w:t>n</w:t>
      </w:r>
      <w:r w:rsidRPr="0077615B">
        <w:rPr>
          <w:szCs w:val="22"/>
        </w:rPr>
        <w:t>ces, avait proposé de mettre sur pied une compagnie d'État dont ce serait précisément une des fonctions. Or, la Corporation de développement du Canada, mise sur pied à l'hiver 1971, cherche très timidement à rationaliser et à développer les secteurs nati</w:t>
      </w:r>
      <w:r w:rsidRPr="0077615B">
        <w:rPr>
          <w:szCs w:val="22"/>
        </w:rPr>
        <w:t>o</w:t>
      </w:r>
      <w:r w:rsidRPr="0077615B">
        <w:rPr>
          <w:szCs w:val="22"/>
        </w:rPr>
        <w:t>naux de l'économie plutôt qu'à racheter des entreprises sous contrôle étranger comme le proposait à l'époque le programme du Nouveau Parti démocratique notamment.</w:t>
      </w:r>
    </w:p>
    <w:p w:rsidR="00AD690E" w:rsidRPr="0077615B" w:rsidRDefault="00AD690E" w:rsidP="00AD690E">
      <w:pPr>
        <w:spacing w:before="120" w:after="120"/>
        <w:jc w:val="both"/>
      </w:pPr>
      <w:r w:rsidRPr="0077615B">
        <w:rPr>
          <w:szCs w:val="22"/>
        </w:rPr>
        <w:t>Grâce à cette initiative, le gouvernement reprenait une des reco</w:t>
      </w:r>
      <w:r w:rsidRPr="0077615B">
        <w:rPr>
          <w:szCs w:val="22"/>
        </w:rPr>
        <w:t>m</w:t>
      </w:r>
      <w:r w:rsidRPr="0077615B">
        <w:rPr>
          <w:szCs w:val="22"/>
        </w:rPr>
        <w:t xml:space="preserve">mandations du </w:t>
      </w:r>
      <w:r w:rsidRPr="005B3DA8">
        <w:rPr>
          <w:i/>
          <w:szCs w:val="22"/>
        </w:rPr>
        <w:t>Rapport Gray</w:t>
      </w:r>
      <w:r w:rsidRPr="0077615B">
        <w:rPr>
          <w:szCs w:val="22"/>
        </w:rPr>
        <w:t xml:space="preserve"> qui avait été mandaté en 1971 pour ét</w:t>
      </w:r>
      <w:r w:rsidRPr="0077615B">
        <w:rPr>
          <w:szCs w:val="22"/>
        </w:rPr>
        <w:t>u</w:t>
      </w:r>
      <w:r w:rsidRPr="0077615B">
        <w:rPr>
          <w:szCs w:val="22"/>
        </w:rPr>
        <w:t>dier la question des investissements étrangers au Canada.</w:t>
      </w:r>
    </w:p>
    <w:p w:rsidR="00AD690E" w:rsidRPr="0077615B" w:rsidRDefault="00AD690E" w:rsidP="00AD690E">
      <w:pPr>
        <w:spacing w:before="120" w:after="120"/>
        <w:jc w:val="both"/>
      </w:pPr>
      <w:r w:rsidRPr="0077615B">
        <w:rPr>
          <w:szCs w:val="22"/>
        </w:rPr>
        <w:t>Réélu en octobre 1972, le Parti libéral forme désormais un gouve</w:t>
      </w:r>
      <w:r w:rsidRPr="0077615B">
        <w:rPr>
          <w:szCs w:val="22"/>
        </w:rPr>
        <w:t>r</w:t>
      </w:r>
      <w:r w:rsidRPr="0077615B">
        <w:rPr>
          <w:szCs w:val="22"/>
        </w:rPr>
        <w:t>nement minoritaire qui n'a pas les moyens de se donner une politique économique propre puisqu'il doit, sur le plan tact</w:t>
      </w:r>
      <w:r w:rsidRPr="0077615B">
        <w:rPr>
          <w:szCs w:val="22"/>
        </w:rPr>
        <w:t>i</w:t>
      </w:r>
      <w:r w:rsidRPr="0077615B">
        <w:rPr>
          <w:szCs w:val="22"/>
        </w:rPr>
        <w:t>que, composer avec le NPD s'il entend demeurer au pouvoir : il se trouve dès lors pass</w:t>
      </w:r>
      <w:r w:rsidRPr="0077615B">
        <w:rPr>
          <w:szCs w:val="22"/>
        </w:rPr>
        <w:t>a</w:t>
      </w:r>
      <w:r w:rsidRPr="0077615B">
        <w:rPr>
          <w:szCs w:val="22"/>
        </w:rPr>
        <w:t>blement démuni lors de l'éclatement de la crise du pétrole à l'hiver 1973. En effet, une étude du gouvern</w:t>
      </w:r>
      <w:r w:rsidRPr="0077615B">
        <w:rPr>
          <w:szCs w:val="22"/>
        </w:rPr>
        <w:t>e</w:t>
      </w:r>
      <w:r w:rsidRPr="0077615B">
        <w:rPr>
          <w:szCs w:val="22"/>
        </w:rPr>
        <w:t>ment préparée par le ministre de l'Énergie, des Mines et des Re</w:t>
      </w:r>
      <w:r w:rsidRPr="0077615B">
        <w:rPr>
          <w:szCs w:val="22"/>
        </w:rPr>
        <w:t>s</w:t>
      </w:r>
      <w:r w:rsidRPr="0077615B">
        <w:rPr>
          <w:szCs w:val="22"/>
        </w:rPr>
        <w:t>sources, Donald Macdonald, n'avait pas repris l'idée qui circulait déjà à l'époque de mettre sur pied une compagnie fédérale d'e</w:t>
      </w:r>
      <w:r w:rsidRPr="0077615B">
        <w:rPr>
          <w:szCs w:val="22"/>
        </w:rPr>
        <w:t>x</w:t>
      </w:r>
      <w:r w:rsidRPr="0077615B">
        <w:rPr>
          <w:szCs w:val="22"/>
        </w:rPr>
        <w:t>ploitation du pétrole</w:t>
      </w:r>
      <w:r>
        <w:rPr>
          <w:szCs w:val="22"/>
        </w:rPr>
        <w:t> </w:t>
      </w:r>
      <w:r w:rsidRPr="000D6A43">
        <w:rPr>
          <w:rStyle w:val="Appelnotedebasdep"/>
        </w:rPr>
        <w:footnoteReference w:id="308"/>
      </w:r>
      <w:r w:rsidRPr="0077615B">
        <w:rPr>
          <w:szCs w:val="22"/>
        </w:rPr>
        <w:t>, ce qui ne l'empêche pas de se rabattre sur l'imposition de contrôle à l'exportation de pétrole aux États-Unis, première ébauche de ce qui deviendra une politique nationale de l'énergie.</w:t>
      </w:r>
    </w:p>
    <w:p w:rsidR="00AD690E" w:rsidRPr="0077615B" w:rsidRDefault="00AD690E" w:rsidP="00AD690E">
      <w:pPr>
        <w:spacing w:before="120" w:after="120"/>
        <w:jc w:val="both"/>
      </w:pPr>
      <w:r w:rsidRPr="0077615B">
        <w:rPr>
          <w:szCs w:val="22"/>
        </w:rPr>
        <w:t>Ne pas agir du tout, cela aurait été non seulement oublier l'e</w:t>
      </w:r>
      <w:r w:rsidRPr="0077615B">
        <w:rPr>
          <w:szCs w:val="22"/>
        </w:rPr>
        <w:t>f</w:t>
      </w:r>
      <w:r w:rsidRPr="0077615B">
        <w:rPr>
          <w:szCs w:val="22"/>
        </w:rPr>
        <w:t>fet des mesures Nixon sur l'économie canadienne, mais cela a</w:t>
      </w:r>
      <w:r w:rsidRPr="0077615B">
        <w:rPr>
          <w:szCs w:val="22"/>
        </w:rPr>
        <w:t>u</w:t>
      </w:r>
      <w:r w:rsidRPr="0077615B">
        <w:rPr>
          <w:szCs w:val="22"/>
        </w:rPr>
        <w:t>rait été surtout faire peu de cas de l'effet de rupture sur l'économie nationale, entre l'Ouest producteur et l'Est consommateur, que risquait de causer un approvisionnement sur demande du marché américain par les provi</w:t>
      </w:r>
      <w:r w:rsidRPr="0077615B">
        <w:rPr>
          <w:szCs w:val="22"/>
        </w:rPr>
        <w:t>n</w:t>
      </w:r>
      <w:r w:rsidRPr="0077615B">
        <w:rPr>
          <w:szCs w:val="22"/>
        </w:rPr>
        <w:t>ces productrices de pétrole, sans engagement ferme de la part des mu</w:t>
      </w:r>
      <w:r w:rsidRPr="0077615B">
        <w:rPr>
          <w:szCs w:val="22"/>
        </w:rPr>
        <w:t>l</w:t>
      </w:r>
      <w:r w:rsidRPr="0077615B">
        <w:rPr>
          <w:szCs w:val="22"/>
        </w:rPr>
        <w:t>tinationales américaines d'appr</w:t>
      </w:r>
      <w:r w:rsidRPr="0077615B">
        <w:rPr>
          <w:szCs w:val="22"/>
        </w:rPr>
        <w:t>o</w:t>
      </w:r>
      <w:r w:rsidRPr="0077615B">
        <w:rPr>
          <w:szCs w:val="22"/>
        </w:rPr>
        <w:t>visionner l'Est du Canada. C'est cette contradiction qui justifiera l'intervention du fédéral et conduira éve</w:t>
      </w:r>
      <w:r w:rsidRPr="0077615B">
        <w:rPr>
          <w:szCs w:val="22"/>
        </w:rPr>
        <w:t>n</w:t>
      </w:r>
      <w:r w:rsidRPr="0077615B">
        <w:rPr>
          <w:szCs w:val="22"/>
        </w:rPr>
        <w:t>tuellement à la politique de canadianisation de l'industrie pétrolière avec le rachat de P</w:t>
      </w:r>
      <w:r w:rsidRPr="0077615B">
        <w:rPr>
          <w:szCs w:val="22"/>
        </w:rPr>
        <w:t>e</w:t>
      </w:r>
      <w:r w:rsidRPr="0077615B">
        <w:rPr>
          <w:szCs w:val="22"/>
        </w:rPr>
        <w:t>trofina en 1976 par Pétro-Canada, une société créée en 1975.</w:t>
      </w:r>
    </w:p>
    <w:p w:rsidR="00AD690E" w:rsidRPr="0077615B" w:rsidRDefault="00AD690E" w:rsidP="00AD690E">
      <w:pPr>
        <w:spacing w:before="120" w:after="120"/>
        <w:jc w:val="both"/>
      </w:pPr>
      <w:r w:rsidRPr="0077615B">
        <w:rPr>
          <w:szCs w:val="22"/>
        </w:rPr>
        <w:t>À la fin de l'année 1973, le gouvernement avait déjà adopté ses premières mesures de nationalisme économique en sanctio</w:t>
      </w:r>
      <w:r w:rsidRPr="0077615B">
        <w:rPr>
          <w:szCs w:val="22"/>
        </w:rPr>
        <w:t>n</w:t>
      </w:r>
      <w:r w:rsidRPr="0077615B">
        <w:rPr>
          <w:szCs w:val="22"/>
        </w:rPr>
        <w:t xml:space="preserve">nant le </w:t>
      </w:r>
      <w:r w:rsidRPr="005B3DA8">
        <w:rPr>
          <w:i/>
          <w:szCs w:val="22"/>
        </w:rPr>
        <w:t>Bill C-132</w:t>
      </w:r>
      <w:r w:rsidRPr="0077615B">
        <w:rPr>
          <w:szCs w:val="22"/>
        </w:rPr>
        <w:t xml:space="preserve"> qui créait une Agence d'examen des investissements étra</w:t>
      </w:r>
      <w:r w:rsidRPr="0077615B">
        <w:rPr>
          <w:szCs w:val="22"/>
        </w:rPr>
        <w:t>n</w:t>
      </w:r>
      <w:r w:rsidRPr="0077615B">
        <w:rPr>
          <w:szCs w:val="22"/>
        </w:rPr>
        <w:t>gers.</w:t>
      </w:r>
    </w:p>
    <w:p w:rsidR="00AD690E" w:rsidRDefault="00AD690E" w:rsidP="00AD690E">
      <w:pPr>
        <w:spacing w:before="120" w:after="120"/>
        <w:jc w:val="both"/>
        <w:rPr>
          <w:szCs w:val="22"/>
        </w:rPr>
      </w:pPr>
      <w:r w:rsidRPr="0077615B">
        <w:rPr>
          <w:szCs w:val="22"/>
        </w:rPr>
        <w:t>Réélu le 8 juillet 1974, avec un gouvernement majoritaire ce</w:t>
      </w:r>
      <w:r w:rsidRPr="0077615B">
        <w:rPr>
          <w:szCs w:val="22"/>
        </w:rPr>
        <w:t>t</w:t>
      </w:r>
      <w:r w:rsidRPr="0077615B">
        <w:rPr>
          <w:szCs w:val="22"/>
        </w:rPr>
        <w:t>te fois, le Parti libéral tente moins dans l'immédiat de consolider l'éc</w:t>
      </w:r>
      <w:r w:rsidRPr="0077615B">
        <w:rPr>
          <w:szCs w:val="22"/>
        </w:rPr>
        <w:t>o</w:t>
      </w:r>
      <w:r w:rsidRPr="0077615B">
        <w:rPr>
          <w:szCs w:val="22"/>
        </w:rPr>
        <w:t>nomie nationale que d'engager la bataille pour le partage des bénéfices que tire l'Alberta de l'exploitation du pétrole.</w:t>
      </w:r>
    </w:p>
    <w:p w:rsidR="00AD690E" w:rsidRPr="0077615B" w:rsidRDefault="00AD690E" w:rsidP="00AD690E">
      <w:pPr>
        <w:spacing w:before="120" w:after="120"/>
        <w:jc w:val="both"/>
      </w:pPr>
      <w:r>
        <w:rPr>
          <w:szCs w:val="18"/>
        </w:rPr>
        <w:t>[</w:t>
      </w:r>
      <w:r w:rsidRPr="0077615B">
        <w:rPr>
          <w:szCs w:val="22"/>
        </w:rPr>
        <w:t>178</w:t>
      </w:r>
      <w:r>
        <w:rPr>
          <w:szCs w:val="22"/>
        </w:rPr>
        <w:t>]</w:t>
      </w:r>
    </w:p>
    <w:p w:rsidR="00AD690E" w:rsidRPr="0077615B" w:rsidRDefault="00AD690E" w:rsidP="00AD690E">
      <w:pPr>
        <w:spacing w:before="120" w:after="120"/>
        <w:jc w:val="both"/>
      </w:pPr>
      <w:r w:rsidRPr="0077615B">
        <w:rPr>
          <w:szCs w:val="22"/>
        </w:rPr>
        <w:t>Au même moment, la fragilité de sa position face aux grands ca</w:t>
      </w:r>
      <w:r w:rsidRPr="0077615B">
        <w:rPr>
          <w:szCs w:val="22"/>
        </w:rPr>
        <w:t>r</w:t>
      </w:r>
      <w:r w:rsidRPr="0077615B">
        <w:rPr>
          <w:szCs w:val="22"/>
        </w:rPr>
        <w:t>tels du pétrole sera révélée au grand jour en janvier 1975, avec les n</w:t>
      </w:r>
      <w:r w:rsidRPr="0077615B">
        <w:rPr>
          <w:szCs w:val="22"/>
        </w:rPr>
        <w:t>é</w:t>
      </w:r>
      <w:r w:rsidRPr="0077615B">
        <w:rPr>
          <w:szCs w:val="22"/>
        </w:rPr>
        <w:t>gociations qui sont conduites entre Imp</w:t>
      </w:r>
      <w:r>
        <w:rPr>
          <w:szCs w:val="22"/>
        </w:rPr>
        <w:t>e</w:t>
      </w:r>
      <w:r w:rsidRPr="0077615B">
        <w:rPr>
          <w:szCs w:val="22"/>
        </w:rPr>
        <w:t>rial Oil, Gulf et Cities Serv</w:t>
      </w:r>
      <w:r w:rsidRPr="0077615B">
        <w:rPr>
          <w:szCs w:val="22"/>
        </w:rPr>
        <w:t>i</w:t>
      </w:r>
      <w:r w:rsidRPr="0077615B">
        <w:rPr>
          <w:szCs w:val="22"/>
        </w:rPr>
        <w:t>ces d'une part, les gouvernements du Canada, de l'Ontario et de l'A</w:t>
      </w:r>
      <w:r w:rsidRPr="0077615B">
        <w:rPr>
          <w:szCs w:val="22"/>
        </w:rPr>
        <w:t>l</w:t>
      </w:r>
      <w:r w:rsidRPr="0077615B">
        <w:rPr>
          <w:szCs w:val="22"/>
        </w:rPr>
        <w:t xml:space="preserve">berta d'autre part, pour la mise en chantier du projet </w:t>
      </w:r>
      <w:r w:rsidRPr="005C10BA">
        <w:rPr>
          <w:i/>
          <w:szCs w:val="22"/>
        </w:rPr>
        <w:t>Syncrude</w:t>
      </w:r>
      <w:r w:rsidRPr="0077615B">
        <w:rPr>
          <w:szCs w:val="22"/>
        </w:rPr>
        <w:t xml:space="preserve"> d'e</w:t>
      </w:r>
      <w:r w:rsidRPr="0077615B">
        <w:rPr>
          <w:szCs w:val="22"/>
        </w:rPr>
        <w:t>x</w:t>
      </w:r>
      <w:r w:rsidRPr="0077615B">
        <w:rPr>
          <w:szCs w:val="22"/>
        </w:rPr>
        <w:t>ploitation des sables bitumineux de l'Arthabaska. Il ressortait en effet de ces négociations, « selon certains calculs, que les concessions fi</w:t>
      </w:r>
      <w:r w:rsidRPr="0077615B">
        <w:rPr>
          <w:szCs w:val="22"/>
        </w:rPr>
        <w:t>s</w:t>
      </w:r>
      <w:r w:rsidRPr="0077615B">
        <w:rPr>
          <w:szCs w:val="22"/>
        </w:rPr>
        <w:t>cales faites à Syncrude voulaient dire que les compagnies en ne payant que 25</w:t>
      </w:r>
      <w:r>
        <w:rPr>
          <w:szCs w:val="22"/>
        </w:rPr>
        <w:t>%</w:t>
      </w:r>
      <w:r w:rsidRPr="0077615B">
        <w:rPr>
          <w:szCs w:val="22"/>
        </w:rPr>
        <w:t xml:space="preserve"> d'un capital total investi de 2 milliards de dollars, d</w:t>
      </w:r>
      <w:r w:rsidRPr="0077615B">
        <w:rPr>
          <w:szCs w:val="22"/>
        </w:rPr>
        <w:t>é</w:t>
      </w:r>
      <w:r w:rsidRPr="0077615B">
        <w:rPr>
          <w:szCs w:val="22"/>
        </w:rPr>
        <w:t>tiendraient 70</w:t>
      </w:r>
      <w:r>
        <w:rPr>
          <w:szCs w:val="22"/>
        </w:rPr>
        <w:t>%</w:t>
      </w:r>
      <w:r w:rsidRPr="0077615B">
        <w:rPr>
          <w:szCs w:val="22"/>
        </w:rPr>
        <w:t xml:space="preserve"> de la propriété, tandis que les trois gouvernements impliqués verseraient 75</w:t>
      </w:r>
      <w:r>
        <w:rPr>
          <w:szCs w:val="22"/>
        </w:rPr>
        <w:t>%</w:t>
      </w:r>
      <w:r w:rsidRPr="0077615B">
        <w:rPr>
          <w:szCs w:val="22"/>
        </w:rPr>
        <w:t xml:space="preserve"> du coût et n'obtiendraient que 30</w:t>
      </w:r>
      <w:r>
        <w:rPr>
          <w:szCs w:val="22"/>
        </w:rPr>
        <w:t>%</w:t>
      </w:r>
      <w:r w:rsidRPr="0077615B">
        <w:rPr>
          <w:szCs w:val="22"/>
        </w:rPr>
        <w:t xml:space="preserve"> de la propriété »</w:t>
      </w:r>
      <w:r>
        <w:rPr>
          <w:szCs w:val="22"/>
        </w:rPr>
        <w:t> </w:t>
      </w:r>
      <w:r w:rsidRPr="000D6A43">
        <w:rPr>
          <w:rStyle w:val="Appelnotedebasdep"/>
        </w:rPr>
        <w:footnoteReference w:id="309"/>
      </w:r>
      <w:r w:rsidRPr="0077615B">
        <w:rPr>
          <w:szCs w:val="22"/>
        </w:rPr>
        <w:t>.</w:t>
      </w:r>
    </w:p>
    <w:p w:rsidR="00AD690E" w:rsidRDefault="00AD690E" w:rsidP="00AD690E">
      <w:pPr>
        <w:spacing w:before="120" w:after="120"/>
        <w:jc w:val="both"/>
        <w:rPr>
          <w:szCs w:val="22"/>
        </w:rPr>
      </w:pPr>
    </w:p>
    <w:p w:rsidR="00AD690E" w:rsidRPr="00C93333" w:rsidRDefault="00AD690E" w:rsidP="00AD690E">
      <w:pPr>
        <w:pStyle w:val="a"/>
      </w:pPr>
      <w:r w:rsidRPr="00C93333">
        <w:t>Le dossier régional : vers la « balkanisation » ?</w:t>
      </w:r>
    </w:p>
    <w:p w:rsidR="00AD690E"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En matière d'économie politique, depuis la Deuxième Guerre ju</w:t>
      </w:r>
      <w:r w:rsidRPr="0077615B">
        <w:rPr>
          <w:szCs w:val="22"/>
        </w:rPr>
        <w:t>s</w:t>
      </w:r>
      <w:r w:rsidRPr="0077615B">
        <w:rPr>
          <w:szCs w:val="22"/>
        </w:rPr>
        <w:t>qu'à la fin des années 50, c'est l'approche centralisatrice class</w:t>
      </w:r>
      <w:r w:rsidRPr="0077615B">
        <w:rPr>
          <w:szCs w:val="22"/>
        </w:rPr>
        <w:t>i</w:t>
      </w:r>
      <w:r w:rsidRPr="0077615B">
        <w:rPr>
          <w:szCs w:val="22"/>
        </w:rPr>
        <w:t>que qui prévaut. Dans un deuxième temps, auquel on peut faire correspondre les dates de création et de transformation du mini</w:t>
      </w:r>
      <w:r w:rsidRPr="0077615B">
        <w:rPr>
          <w:szCs w:val="22"/>
        </w:rPr>
        <w:t>s</w:t>
      </w:r>
      <w:r w:rsidRPr="0077615B">
        <w:rPr>
          <w:szCs w:val="22"/>
        </w:rPr>
        <w:t>tère de l'Expansion économique régionale (1969-1982), prédom</w:t>
      </w:r>
      <w:r w:rsidRPr="0077615B">
        <w:rPr>
          <w:szCs w:val="22"/>
        </w:rPr>
        <w:t>i</w:t>
      </w:r>
      <w:r w:rsidRPr="0077615B">
        <w:rPr>
          <w:szCs w:val="22"/>
        </w:rPr>
        <w:t>ne l'adaptation régionale à la centralisation. Dans un troisième et dernier temps, nous assist</w:t>
      </w:r>
      <w:r w:rsidRPr="0077615B">
        <w:rPr>
          <w:szCs w:val="22"/>
        </w:rPr>
        <w:t>e</w:t>
      </w:r>
      <w:r w:rsidRPr="0077615B">
        <w:rPr>
          <w:szCs w:val="22"/>
        </w:rPr>
        <w:t>rions à l'émergence d'une approche plurielle en vertu de laquelle il s'agirait désormais de prendre acte de la coexistence de onze polit</w:t>
      </w:r>
      <w:r w:rsidRPr="0077615B">
        <w:rPr>
          <w:szCs w:val="22"/>
        </w:rPr>
        <w:t>i</w:t>
      </w:r>
      <w:r w:rsidRPr="0077615B">
        <w:rPr>
          <w:szCs w:val="22"/>
        </w:rPr>
        <w:t>ques industrielles au pays et de s'accommoder des convergences et oppositions que cet état de fait peut induire dans la poursuite d'obje</w:t>
      </w:r>
      <w:r w:rsidRPr="0077615B">
        <w:rPr>
          <w:szCs w:val="22"/>
        </w:rPr>
        <w:t>c</w:t>
      </w:r>
      <w:r w:rsidRPr="0077615B">
        <w:rPr>
          <w:szCs w:val="22"/>
        </w:rPr>
        <w:t>tifs communs.</w:t>
      </w:r>
    </w:p>
    <w:p w:rsidR="00AD690E" w:rsidRPr="0077615B" w:rsidRDefault="00AD690E" w:rsidP="00AD690E">
      <w:pPr>
        <w:spacing w:before="120" w:after="120"/>
        <w:jc w:val="both"/>
      </w:pPr>
      <w:r w:rsidRPr="0077615B">
        <w:rPr>
          <w:szCs w:val="22"/>
        </w:rPr>
        <w:t>Au moment de l'établissement du ministère de l'Expansion écon</w:t>
      </w:r>
      <w:r w:rsidRPr="0077615B">
        <w:rPr>
          <w:szCs w:val="22"/>
        </w:rPr>
        <w:t>o</w:t>
      </w:r>
      <w:r w:rsidRPr="0077615B">
        <w:rPr>
          <w:szCs w:val="22"/>
        </w:rPr>
        <w:t>mique régionale en 1969, le premier ministre fait valoir d</w:t>
      </w:r>
      <w:r w:rsidRPr="0077615B">
        <w:rPr>
          <w:szCs w:val="22"/>
        </w:rPr>
        <w:t>e</w:t>
      </w:r>
      <w:r w:rsidRPr="0077615B">
        <w:rPr>
          <w:szCs w:val="22"/>
        </w:rPr>
        <w:t>vant la Chambre des communes la nécessité de « réaliser une véritable coo</w:t>
      </w:r>
      <w:r w:rsidRPr="0077615B">
        <w:rPr>
          <w:szCs w:val="22"/>
        </w:rPr>
        <w:t>r</w:t>
      </w:r>
      <w:r w:rsidRPr="0077615B">
        <w:rPr>
          <w:szCs w:val="22"/>
        </w:rPr>
        <w:t>dination » des initiatives et des projets du gouvern</w:t>
      </w:r>
      <w:r w:rsidRPr="0077615B">
        <w:rPr>
          <w:szCs w:val="22"/>
        </w:rPr>
        <w:t>e</w:t>
      </w:r>
      <w:r w:rsidRPr="0077615B">
        <w:rPr>
          <w:szCs w:val="22"/>
        </w:rPr>
        <w:t>ment fédéral dans le domaine régional</w:t>
      </w:r>
      <w:r>
        <w:rPr>
          <w:szCs w:val="22"/>
        </w:rPr>
        <w:t> </w:t>
      </w:r>
      <w:r w:rsidRPr="000D6A43">
        <w:rPr>
          <w:rStyle w:val="Appelnotedebasdep"/>
        </w:rPr>
        <w:footnoteReference w:id="310"/>
      </w:r>
      <w:r w:rsidRPr="0077615B">
        <w:rPr>
          <w:szCs w:val="22"/>
        </w:rPr>
        <w:t>.</w:t>
      </w:r>
    </w:p>
    <w:p w:rsidR="00AD690E" w:rsidRPr="0077615B" w:rsidRDefault="00AD690E" w:rsidP="00AD690E">
      <w:pPr>
        <w:spacing w:before="120" w:after="120"/>
        <w:jc w:val="both"/>
      </w:pPr>
      <w:r w:rsidRPr="0077615B">
        <w:rPr>
          <w:szCs w:val="22"/>
        </w:rPr>
        <w:t>L'approche développée par le Ministère vise essentiellement à r</w:t>
      </w:r>
      <w:r w:rsidRPr="0077615B">
        <w:rPr>
          <w:szCs w:val="22"/>
        </w:rPr>
        <w:t>é</w:t>
      </w:r>
      <w:r w:rsidRPr="0077615B">
        <w:rPr>
          <w:szCs w:val="22"/>
        </w:rPr>
        <w:t>duire les « disparités régionales » grâce au recours à ces strat</w:t>
      </w:r>
      <w:r w:rsidRPr="0077615B">
        <w:rPr>
          <w:szCs w:val="22"/>
        </w:rPr>
        <w:t>é</w:t>
      </w:r>
      <w:r w:rsidRPr="0077615B">
        <w:rPr>
          <w:szCs w:val="22"/>
        </w:rPr>
        <w:t>gies de développement appuyées sur la notion de « pôle de croi</w:t>
      </w:r>
      <w:r w:rsidRPr="0077615B">
        <w:rPr>
          <w:szCs w:val="22"/>
        </w:rPr>
        <w:t>s</w:t>
      </w:r>
      <w:r w:rsidRPr="0077615B">
        <w:rPr>
          <w:szCs w:val="22"/>
        </w:rPr>
        <w:t>sance ».</w:t>
      </w:r>
    </w:p>
    <w:p w:rsidR="00AD690E" w:rsidRPr="0077615B" w:rsidRDefault="00AD690E" w:rsidP="00AD690E">
      <w:pPr>
        <w:spacing w:before="120" w:after="120"/>
        <w:jc w:val="both"/>
      </w:pPr>
      <w:r w:rsidRPr="0077615B">
        <w:rPr>
          <w:szCs w:val="22"/>
        </w:rPr>
        <w:t>Synthétisée dans le Rapport Higgins, Martin et Raynauld</w:t>
      </w:r>
      <w:r>
        <w:rPr>
          <w:szCs w:val="22"/>
        </w:rPr>
        <w:t> </w:t>
      </w:r>
      <w:r w:rsidRPr="000D6A43">
        <w:rPr>
          <w:rStyle w:val="Appelnotedebasdep"/>
        </w:rPr>
        <w:footnoteReference w:id="311"/>
      </w:r>
      <w:r w:rsidRPr="0077615B">
        <w:rPr>
          <w:szCs w:val="22"/>
        </w:rPr>
        <w:t>, l'orie</w:t>
      </w:r>
      <w:r w:rsidRPr="0077615B">
        <w:rPr>
          <w:szCs w:val="22"/>
        </w:rPr>
        <w:t>n</w:t>
      </w:r>
      <w:r w:rsidRPr="0077615B">
        <w:rPr>
          <w:szCs w:val="22"/>
        </w:rPr>
        <w:t>tation du développement économique envisagée pour le Québec devait s'appuyer sur la promotion de la ville de Montréal et de ses e</w:t>
      </w:r>
      <w:r w:rsidRPr="0077615B">
        <w:rPr>
          <w:szCs w:val="22"/>
        </w:rPr>
        <w:t>n</w:t>
      </w:r>
      <w:r w:rsidRPr="0077615B">
        <w:rPr>
          <w:szCs w:val="22"/>
        </w:rPr>
        <w:t>virons. Le MEER s'opposait très spécifiquement, à ce moment-là, à l'approche élaborée au sein de l'Office de planification et de dévelo</w:t>
      </w:r>
      <w:r w:rsidRPr="0077615B">
        <w:rPr>
          <w:szCs w:val="22"/>
        </w:rPr>
        <w:t>p</w:t>
      </w:r>
      <w:r w:rsidRPr="0077615B">
        <w:rPr>
          <w:szCs w:val="22"/>
        </w:rPr>
        <w:t>pement du Québec et à son projet de favoriser l'implantation d'un s</w:t>
      </w:r>
      <w:r w:rsidRPr="0077615B">
        <w:rPr>
          <w:szCs w:val="22"/>
        </w:rPr>
        <w:t>e</w:t>
      </w:r>
      <w:r w:rsidRPr="0077615B">
        <w:rPr>
          <w:szCs w:val="22"/>
        </w:rPr>
        <w:t>cond a</w:t>
      </w:r>
      <w:r w:rsidRPr="0077615B">
        <w:rPr>
          <w:szCs w:val="22"/>
        </w:rPr>
        <w:t>é</w:t>
      </w:r>
      <w:r w:rsidRPr="0077615B">
        <w:rPr>
          <w:szCs w:val="22"/>
        </w:rPr>
        <w:t>roport dans la région montréalaise à Granby et défendait plutôt une localisation dans ce qui allait d</w:t>
      </w:r>
      <w:r w:rsidRPr="0077615B">
        <w:rPr>
          <w:szCs w:val="22"/>
        </w:rPr>
        <w:t>e</w:t>
      </w:r>
      <w:r w:rsidRPr="0077615B">
        <w:rPr>
          <w:szCs w:val="22"/>
        </w:rPr>
        <w:t>venir Mirabel. À son tour,</w:t>
      </w:r>
      <w:r>
        <w:rPr>
          <w:szCs w:val="22"/>
        </w:rPr>
        <w:t xml:space="preserve"> </w:t>
      </w:r>
      <w:r>
        <w:t xml:space="preserve">[179] </w:t>
      </w:r>
      <w:r w:rsidRPr="0077615B">
        <w:rPr>
          <w:szCs w:val="22"/>
        </w:rPr>
        <w:t>ce projet à la fois grandiose et ambitieux qui visait rien de moins que de faire de la nouvelle zone aéroportuaire un des points d'entrée à l'i</w:t>
      </w:r>
      <w:r w:rsidRPr="0077615B">
        <w:rPr>
          <w:szCs w:val="22"/>
        </w:rPr>
        <w:t>n</w:t>
      </w:r>
      <w:r w:rsidRPr="0077615B">
        <w:rPr>
          <w:szCs w:val="22"/>
        </w:rPr>
        <w:t>térieur du continent nord-américain en y intégrant toute une pan</w:t>
      </w:r>
      <w:r w:rsidRPr="0077615B">
        <w:rPr>
          <w:szCs w:val="22"/>
        </w:rPr>
        <w:t>o</w:t>
      </w:r>
      <w:r w:rsidRPr="0077615B">
        <w:rPr>
          <w:szCs w:val="22"/>
        </w:rPr>
        <w:t>plie de services et d'industries, devait échouer dès qu'il sera apparu, lors du premier choc pétrolier de 1973, que les prév</w:t>
      </w:r>
      <w:r w:rsidRPr="0077615B">
        <w:rPr>
          <w:szCs w:val="22"/>
        </w:rPr>
        <w:t>i</w:t>
      </w:r>
      <w:r w:rsidRPr="0077615B">
        <w:rPr>
          <w:szCs w:val="22"/>
        </w:rPr>
        <w:t>sions étaient tout à fait irréalistes puisque l'on assistait à l'imposition de nouvelles m</w:t>
      </w:r>
      <w:r w:rsidRPr="0077615B">
        <w:rPr>
          <w:szCs w:val="22"/>
        </w:rPr>
        <w:t>e</w:t>
      </w:r>
      <w:r w:rsidRPr="0077615B">
        <w:rPr>
          <w:szCs w:val="22"/>
        </w:rPr>
        <w:t>sures de conservation d'énergie et de rentab</w:t>
      </w:r>
      <w:r w:rsidRPr="0077615B">
        <w:rPr>
          <w:szCs w:val="22"/>
        </w:rPr>
        <w:t>i</w:t>
      </w:r>
      <w:r w:rsidRPr="0077615B">
        <w:rPr>
          <w:szCs w:val="22"/>
        </w:rPr>
        <w:t>lisation des installations existantes.</w:t>
      </w:r>
    </w:p>
    <w:p w:rsidR="00AD690E" w:rsidRPr="0077615B" w:rsidRDefault="00AD690E" w:rsidP="00AD690E">
      <w:pPr>
        <w:spacing w:before="120" w:after="120"/>
        <w:jc w:val="both"/>
      </w:pPr>
      <w:r w:rsidRPr="0077615B">
        <w:rPr>
          <w:szCs w:val="22"/>
        </w:rPr>
        <w:t>Le projet de Mirabel se révélera ainsi comme une des mesures les plus absurdes prise par le gouvernement et l'enjeu d'une e</w:t>
      </w:r>
      <w:r w:rsidRPr="0077615B">
        <w:rPr>
          <w:szCs w:val="22"/>
        </w:rPr>
        <w:t>x</w:t>
      </w:r>
      <w:r w:rsidRPr="0077615B">
        <w:rPr>
          <w:szCs w:val="22"/>
        </w:rPr>
        <w:t>propriation massive et inutile d'agriculteurs continuera de le ha</w:t>
      </w:r>
      <w:r w:rsidRPr="0077615B">
        <w:rPr>
          <w:szCs w:val="22"/>
        </w:rPr>
        <w:t>n</w:t>
      </w:r>
      <w:r w:rsidRPr="0077615B">
        <w:rPr>
          <w:szCs w:val="22"/>
        </w:rPr>
        <w:t>ter tout au long de son règne.</w:t>
      </w:r>
    </w:p>
    <w:p w:rsidR="00AD690E" w:rsidRPr="0077615B" w:rsidRDefault="00AD690E" w:rsidP="00AD690E">
      <w:pPr>
        <w:spacing w:before="120" w:after="120"/>
        <w:jc w:val="both"/>
      </w:pPr>
      <w:r w:rsidRPr="0077615B">
        <w:rPr>
          <w:szCs w:val="22"/>
        </w:rPr>
        <w:t>Parallèlement, l'activité du MEER sera de plus en plus conte</w:t>
      </w:r>
      <w:r w:rsidRPr="0077615B">
        <w:rPr>
          <w:szCs w:val="22"/>
        </w:rPr>
        <w:t>s</w:t>
      </w:r>
      <w:r w:rsidRPr="0077615B">
        <w:rPr>
          <w:szCs w:val="22"/>
        </w:rPr>
        <w:t>tée à la fois parce qu'elle supplantait l'approche sectorielle propre à tous les autres ministères fédéraux et parce qu'elle substituait une démarche en termes de réduction d'écarts à celle, considérée beaucoup plus rentable économiquement et politiquement, fondée sur l'autonomie et la pr</w:t>
      </w:r>
      <w:r w:rsidRPr="0077615B">
        <w:rPr>
          <w:szCs w:val="22"/>
        </w:rPr>
        <w:t>o</w:t>
      </w:r>
      <w:r w:rsidRPr="0077615B">
        <w:rPr>
          <w:szCs w:val="22"/>
        </w:rPr>
        <w:t xml:space="preserve">motion régionales. </w:t>
      </w:r>
      <w:r>
        <w:rPr>
          <w:szCs w:val="22"/>
        </w:rPr>
        <w:t>À</w:t>
      </w:r>
      <w:r w:rsidRPr="0077615B">
        <w:rPr>
          <w:szCs w:val="22"/>
        </w:rPr>
        <w:t xml:space="preserve"> cet égard, l'identif</w:t>
      </w:r>
      <w:r w:rsidRPr="0077615B">
        <w:rPr>
          <w:szCs w:val="22"/>
        </w:rPr>
        <w:t>i</w:t>
      </w:r>
      <w:r w:rsidRPr="0077615B">
        <w:rPr>
          <w:szCs w:val="22"/>
        </w:rPr>
        <w:t>cation de « zones désignées » au Canada le cédera bientôt devant une approche visant un dévelo</w:t>
      </w:r>
      <w:r w:rsidRPr="0077615B">
        <w:rPr>
          <w:szCs w:val="22"/>
        </w:rPr>
        <w:t>p</w:t>
      </w:r>
      <w:r w:rsidRPr="0077615B">
        <w:rPr>
          <w:szCs w:val="22"/>
        </w:rPr>
        <w:t>pement industriel intégré</w:t>
      </w:r>
      <w:r>
        <w:rPr>
          <w:szCs w:val="22"/>
        </w:rPr>
        <w:t> </w:t>
      </w:r>
      <w:r w:rsidRPr="000D6A43">
        <w:rPr>
          <w:rStyle w:val="Appelnotedebasdep"/>
        </w:rPr>
        <w:footnoteReference w:id="312"/>
      </w:r>
      <w:r w:rsidRPr="0077615B">
        <w:rPr>
          <w:szCs w:val="22"/>
        </w:rPr>
        <w:t>.</w:t>
      </w:r>
    </w:p>
    <w:p w:rsidR="00AD690E" w:rsidRPr="0077615B" w:rsidRDefault="00AD690E" w:rsidP="00AD690E">
      <w:pPr>
        <w:spacing w:before="120" w:after="120"/>
        <w:jc w:val="both"/>
      </w:pPr>
      <w:r w:rsidRPr="0077615B">
        <w:rPr>
          <w:szCs w:val="22"/>
        </w:rPr>
        <w:t>Si l'on devait ajouter à ces éléments quelques faits : d'abord que l'arrivée du Parti québécois au pouvoir à Québec en nove</w:t>
      </w:r>
      <w:r w:rsidRPr="0077615B">
        <w:rPr>
          <w:szCs w:val="22"/>
        </w:rPr>
        <w:t>m</w:t>
      </w:r>
      <w:r w:rsidRPr="0077615B">
        <w:rPr>
          <w:szCs w:val="22"/>
        </w:rPr>
        <w:t>bre 1976 pousse le gouvernement fédéral à r</w:t>
      </w:r>
      <w:r>
        <w:rPr>
          <w:szCs w:val="22"/>
        </w:rPr>
        <w:t>é</w:t>
      </w:r>
      <w:r w:rsidRPr="0077615B">
        <w:rPr>
          <w:szCs w:val="22"/>
        </w:rPr>
        <w:t>viser sa stratégie de développ</w:t>
      </w:r>
      <w:r w:rsidRPr="0077615B">
        <w:rPr>
          <w:szCs w:val="22"/>
        </w:rPr>
        <w:t>e</w:t>
      </w:r>
      <w:r w:rsidRPr="0077615B">
        <w:rPr>
          <w:szCs w:val="22"/>
        </w:rPr>
        <w:t>ment régional, ensuite que l'éventuelle reconversion vers l'accroiss</w:t>
      </w:r>
      <w:r w:rsidRPr="0077615B">
        <w:rPr>
          <w:szCs w:val="22"/>
        </w:rPr>
        <w:t>e</w:t>
      </w:r>
      <w:r w:rsidRPr="0077615B">
        <w:rPr>
          <w:szCs w:val="22"/>
        </w:rPr>
        <w:t>ment des retombées des mégaprojets milite en f</w:t>
      </w:r>
      <w:r w:rsidRPr="0077615B">
        <w:rPr>
          <w:szCs w:val="22"/>
        </w:rPr>
        <w:t>a</w:t>
      </w:r>
      <w:r w:rsidRPr="0077615B">
        <w:rPr>
          <w:szCs w:val="22"/>
        </w:rPr>
        <w:t>veur de l'abandon de la démarche initiale, on comprendra pou</w:t>
      </w:r>
      <w:r w:rsidRPr="0077615B">
        <w:rPr>
          <w:szCs w:val="22"/>
        </w:rPr>
        <w:t>r</w:t>
      </w:r>
      <w:r w:rsidRPr="0077615B">
        <w:rPr>
          <w:szCs w:val="22"/>
        </w:rPr>
        <w:t>quoi le MEER est remplacé par un ministère d'État au dévelo</w:t>
      </w:r>
      <w:r w:rsidRPr="0077615B">
        <w:rPr>
          <w:szCs w:val="22"/>
        </w:rPr>
        <w:t>p</w:t>
      </w:r>
      <w:r w:rsidRPr="0077615B">
        <w:rPr>
          <w:szCs w:val="22"/>
        </w:rPr>
        <w:t>pement économique et régional, tandis que certaines de ses activités sont transférées à un nouveau m</w:t>
      </w:r>
      <w:r w:rsidRPr="0077615B">
        <w:rPr>
          <w:szCs w:val="22"/>
        </w:rPr>
        <w:t>i</w:t>
      </w:r>
      <w:r w:rsidRPr="0077615B">
        <w:rPr>
          <w:szCs w:val="22"/>
        </w:rPr>
        <w:t>nistère de l'Expansion i</w:t>
      </w:r>
      <w:r w:rsidRPr="0077615B">
        <w:rPr>
          <w:szCs w:val="22"/>
        </w:rPr>
        <w:t>n</w:t>
      </w:r>
      <w:r w:rsidRPr="0077615B">
        <w:rPr>
          <w:szCs w:val="22"/>
        </w:rPr>
        <w:t>dustrielle régionale. Il faudrait aussi faire droit aux critiques adressées à ce que certains considéraient comme une politique discriminatoire vis-à-vis des régions appliquée par le MEER, su</w:t>
      </w:r>
      <w:r w:rsidRPr="0077615B">
        <w:rPr>
          <w:szCs w:val="22"/>
        </w:rPr>
        <w:t>r</w:t>
      </w:r>
      <w:r w:rsidRPr="0077615B">
        <w:rPr>
          <w:szCs w:val="22"/>
        </w:rPr>
        <w:t>tout au Québec, de même qu'aux nombreux et incessants conflits entre le MIC et le MEER pour expliquer l'abandon de cette pol</w:t>
      </w:r>
      <w:r w:rsidRPr="0077615B">
        <w:rPr>
          <w:szCs w:val="22"/>
        </w:rPr>
        <w:t>i</w:t>
      </w:r>
      <w:r w:rsidRPr="0077615B">
        <w:rPr>
          <w:szCs w:val="22"/>
        </w:rPr>
        <w:t>tique.</w:t>
      </w:r>
    </w:p>
    <w:p w:rsidR="00AD690E" w:rsidRPr="0077615B" w:rsidRDefault="00AD690E" w:rsidP="00AD690E">
      <w:pPr>
        <w:spacing w:before="120" w:after="120"/>
        <w:jc w:val="both"/>
      </w:pPr>
      <w:r w:rsidRPr="0077615B">
        <w:rPr>
          <w:szCs w:val="22"/>
        </w:rPr>
        <w:t>Dans ces circonstances, à compter de 1982 surtout, le dossier r</w:t>
      </w:r>
      <w:r w:rsidRPr="0077615B">
        <w:rPr>
          <w:szCs w:val="22"/>
        </w:rPr>
        <w:t>é</w:t>
      </w:r>
      <w:r w:rsidRPr="0077615B">
        <w:rPr>
          <w:szCs w:val="22"/>
        </w:rPr>
        <w:t>gional est lié intimement à celui de l'énergie</w:t>
      </w:r>
      <w:r>
        <w:rPr>
          <w:szCs w:val="22"/>
        </w:rPr>
        <w:t> </w:t>
      </w:r>
      <w:r w:rsidRPr="000D6A43">
        <w:rPr>
          <w:rStyle w:val="Appelnotedebasdep"/>
        </w:rPr>
        <w:footnoteReference w:id="313"/>
      </w:r>
      <w:r w:rsidRPr="0077615B">
        <w:rPr>
          <w:szCs w:val="22"/>
        </w:rPr>
        <w:t>, alors qu'il était préc</w:t>
      </w:r>
      <w:r w:rsidRPr="0077615B">
        <w:rPr>
          <w:szCs w:val="22"/>
        </w:rPr>
        <w:t>é</w:t>
      </w:r>
      <w:r w:rsidRPr="0077615B">
        <w:rPr>
          <w:szCs w:val="22"/>
        </w:rPr>
        <w:t>demment combiné soit avec le développement industriel, soit avec l'extension de l'infrastructure des transports. En effet, dans le contexte d'éclatement d'une nouvelle crise énergétique au début des années 80, la question du partage des rentes pétrolières entre le fédéral et les pr</w:t>
      </w:r>
      <w:r w:rsidRPr="0077615B">
        <w:rPr>
          <w:szCs w:val="22"/>
        </w:rPr>
        <w:t>o</w:t>
      </w:r>
      <w:r w:rsidRPr="0077615B">
        <w:rPr>
          <w:szCs w:val="22"/>
        </w:rPr>
        <w:t>vinces productrices comme l'Alberta et la Nouvelle-</w:t>
      </w:r>
      <w:r>
        <w:rPr>
          <w:szCs w:val="22"/>
        </w:rPr>
        <w:t>É</w:t>
      </w:r>
      <w:r w:rsidRPr="0077615B">
        <w:rPr>
          <w:szCs w:val="22"/>
        </w:rPr>
        <w:t>cosse occupera l'avant-scène dans les relations f</w:t>
      </w:r>
      <w:r w:rsidRPr="0077615B">
        <w:rPr>
          <w:szCs w:val="22"/>
        </w:rPr>
        <w:t>é</w:t>
      </w:r>
      <w:r w:rsidRPr="0077615B">
        <w:rPr>
          <w:szCs w:val="22"/>
        </w:rPr>
        <w:t>dérales-provinciales.</w:t>
      </w:r>
    </w:p>
    <w:p w:rsidR="00AD690E" w:rsidRPr="0077615B" w:rsidRDefault="00AD690E" w:rsidP="00AD690E">
      <w:pPr>
        <w:spacing w:before="120" w:after="120"/>
        <w:jc w:val="both"/>
      </w:pPr>
      <w:r w:rsidRPr="0077615B">
        <w:rPr>
          <w:szCs w:val="22"/>
        </w:rPr>
        <w:t>Quant à la stratégie de développement régional comme telle, on a</w:t>
      </w:r>
      <w:r w:rsidRPr="0077615B">
        <w:rPr>
          <w:szCs w:val="22"/>
        </w:rPr>
        <w:t>s</w:t>
      </w:r>
      <w:r w:rsidRPr="0077615B">
        <w:rPr>
          <w:szCs w:val="22"/>
        </w:rPr>
        <w:t>siste à l'abandon des programmes à frais partagés et au r</w:t>
      </w:r>
      <w:r w:rsidRPr="0077615B">
        <w:rPr>
          <w:szCs w:val="22"/>
        </w:rPr>
        <w:t>e</w:t>
      </w:r>
      <w:r w:rsidRPr="0077615B">
        <w:rPr>
          <w:szCs w:val="22"/>
        </w:rPr>
        <w:t>cours à des ententes-cadres de développement, une tactique qui vise essentiell</w:t>
      </w:r>
      <w:r w:rsidRPr="0077615B">
        <w:rPr>
          <w:szCs w:val="22"/>
        </w:rPr>
        <w:t>e</w:t>
      </w:r>
      <w:r w:rsidRPr="0077615B">
        <w:rPr>
          <w:szCs w:val="22"/>
        </w:rPr>
        <w:t>ment à accroître la visibilité du</w:t>
      </w:r>
      <w:r>
        <w:rPr>
          <w:szCs w:val="22"/>
        </w:rPr>
        <w:t xml:space="preserve"> </w:t>
      </w:r>
      <w:r>
        <w:rPr>
          <w:szCs w:val="18"/>
        </w:rPr>
        <w:t>[</w:t>
      </w:r>
      <w:r w:rsidRPr="0077615B">
        <w:rPr>
          <w:szCs w:val="18"/>
        </w:rPr>
        <w:t>180</w:t>
      </w:r>
      <w:r>
        <w:rPr>
          <w:szCs w:val="18"/>
        </w:rPr>
        <w:t xml:space="preserve">] </w:t>
      </w:r>
      <w:r w:rsidRPr="0077615B">
        <w:rPr>
          <w:szCs w:val="22"/>
        </w:rPr>
        <w:t>gouvernement central dans le domaine et à éviter la récupération, par les provinces, de ses initiat</w:t>
      </w:r>
      <w:r w:rsidRPr="0077615B">
        <w:rPr>
          <w:szCs w:val="22"/>
        </w:rPr>
        <w:t>i</w:t>
      </w:r>
      <w:r w:rsidRPr="0077615B">
        <w:rPr>
          <w:szCs w:val="22"/>
        </w:rPr>
        <w:t>ves</w:t>
      </w:r>
      <w:r>
        <w:rPr>
          <w:szCs w:val="22"/>
        </w:rPr>
        <w:t> </w:t>
      </w:r>
      <w:r w:rsidRPr="000D6A43">
        <w:rPr>
          <w:rStyle w:val="Appelnotedebasdep"/>
        </w:rPr>
        <w:footnoteReference w:id="314"/>
      </w:r>
      <w:r w:rsidRPr="0077615B">
        <w:rPr>
          <w:szCs w:val="22"/>
        </w:rPr>
        <w:t>.</w:t>
      </w:r>
    </w:p>
    <w:p w:rsidR="00AD690E" w:rsidRPr="0077615B" w:rsidRDefault="00AD690E" w:rsidP="00AD690E">
      <w:pPr>
        <w:spacing w:before="120" w:after="120"/>
        <w:jc w:val="both"/>
      </w:pPr>
      <w:r w:rsidRPr="0077615B">
        <w:rPr>
          <w:szCs w:val="22"/>
        </w:rPr>
        <w:t>C'est ainsi que le terme « mégaprojet » vient s'ajouter au vocab</w:t>
      </w:r>
      <w:r w:rsidRPr="0077615B">
        <w:rPr>
          <w:szCs w:val="22"/>
        </w:rPr>
        <w:t>u</w:t>
      </w:r>
      <w:r w:rsidRPr="0077615B">
        <w:rPr>
          <w:szCs w:val="22"/>
        </w:rPr>
        <w:t>laire de la politique économique canadienne à compter du début de la présente décennie, dans la foulée du dévoilement d'une politique éne</w:t>
      </w:r>
      <w:r w:rsidRPr="0077615B">
        <w:rPr>
          <w:szCs w:val="22"/>
        </w:rPr>
        <w:t>r</w:t>
      </w:r>
      <w:r w:rsidRPr="0077615B">
        <w:rPr>
          <w:szCs w:val="22"/>
        </w:rPr>
        <w:t>gétique nationale lors de la lecture du di</w:t>
      </w:r>
      <w:r w:rsidRPr="0077615B">
        <w:rPr>
          <w:szCs w:val="22"/>
        </w:rPr>
        <w:t>s</w:t>
      </w:r>
      <w:r w:rsidRPr="0077615B">
        <w:rPr>
          <w:szCs w:val="22"/>
        </w:rPr>
        <w:t>cours du budget d'octobre 1980</w:t>
      </w:r>
      <w:r>
        <w:rPr>
          <w:szCs w:val="22"/>
        </w:rPr>
        <w:t> </w:t>
      </w:r>
      <w:r w:rsidRPr="000D6A43">
        <w:rPr>
          <w:rStyle w:val="Appelnotedebasdep"/>
        </w:rPr>
        <w:footnoteReference w:id="315"/>
      </w:r>
      <w:r w:rsidRPr="0077615B">
        <w:rPr>
          <w:szCs w:val="22"/>
        </w:rPr>
        <w:t>.</w:t>
      </w:r>
    </w:p>
    <w:p w:rsidR="00AD690E" w:rsidRPr="0077615B" w:rsidRDefault="00AD690E" w:rsidP="00AD690E">
      <w:pPr>
        <w:spacing w:before="120" w:after="120"/>
        <w:jc w:val="both"/>
      </w:pPr>
      <w:r w:rsidRPr="0077615B">
        <w:rPr>
          <w:szCs w:val="22"/>
        </w:rPr>
        <w:t>Selon Bruce Doern, la nouvelle approche du gouvernement l</w:t>
      </w:r>
      <w:r w:rsidRPr="0077615B">
        <w:rPr>
          <w:szCs w:val="22"/>
        </w:rPr>
        <w:t>i</w:t>
      </w:r>
      <w:r w:rsidRPr="0077615B">
        <w:rPr>
          <w:szCs w:val="22"/>
        </w:rPr>
        <w:t>béral nouvellement élu en février, après neuf mois dans l'oppos</w:t>
      </w:r>
      <w:r w:rsidRPr="0077615B">
        <w:rPr>
          <w:szCs w:val="22"/>
        </w:rPr>
        <w:t>i</w:t>
      </w:r>
      <w:r w:rsidRPr="0077615B">
        <w:rPr>
          <w:szCs w:val="22"/>
        </w:rPr>
        <w:t>tion, sera centrée autour de deux préoccupations majeures (éve</w:t>
      </w:r>
      <w:r w:rsidRPr="0077615B">
        <w:rPr>
          <w:szCs w:val="22"/>
        </w:rPr>
        <w:t>n</w:t>
      </w:r>
      <w:r w:rsidRPr="0077615B">
        <w:rPr>
          <w:szCs w:val="22"/>
        </w:rPr>
        <w:t>tuellement confirmée par le résultat du référendum tenu au Qu</w:t>
      </w:r>
      <w:r w:rsidRPr="0077615B">
        <w:rPr>
          <w:szCs w:val="22"/>
        </w:rPr>
        <w:t>é</w:t>
      </w:r>
      <w:r w:rsidRPr="0077615B">
        <w:rPr>
          <w:szCs w:val="22"/>
        </w:rPr>
        <w:t>bec en mai), à savoir la PEN et le rapatriement de la Constitution avec l'enchâss</w:t>
      </w:r>
      <w:r w:rsidRPr="0077615B">
        <w:rPr>
          <w:szCs w:val="22"/>
        </w:rPr>
        <w:t>e</w:t>
      </w:r>
      <w:r w:rsidRPr="0077615B">
        <w:rPr>
          <w:szCs w:val="22"/>
        </w:rPr>
        <w:t>ment d'une Charte des droits</w:t>
      </w:r>
      <w:r>
        <w:rPr>
          <w:szCs w:val="22"/>
        </w:rPr>
        <w:t> </w:t>
      </w:r>
      <w:r w:rsidRPr="000D6A43">
        <w:rPr>
          <w:rStyle w:val="Appelnotedebasdep"/>
        </w:rPr>
        <w:footnoteReference w:id="316"/>
      </w:r>
      <w:r w:rsidRPr="0077615B">
        <w:rPr>
          <w:szCs w:val="22"/>
        </w:rPr>
        <w:t>. Non seulement ces deux volets d</w:t>
      </w:r>
      <w:r w:rsidRPr="0077615B">
        <w:rPr>
          <w:szCs w:val="22"/>
        </w:rPr>
        <w:t>e</w:t>
      </w:r>
      <w:r w:rsidRPr="0077615B">
        <w:rPr>
          <w:szCs w:val="22"/>
        </w:rPr>
        <w:t>vaient accroître la visibilité et l'importance du go</w:t>
      </w:r>
      <w:r w:rsidRPr="0077615B">
        <w:rPr>
          <w:szCs w:val="22"/>
        </w:rPr>
        <w:t>u</w:t>
      </w:r>
      <w:r w:rsidRPr="0077615B">
        <w:rPr>
          <w:szCs w:val="22"/>
        </w:rPr>
        <w:t>vernement central dans la fédération, mais ils étaient tous deux soutenus par l'opinion publique et, qui plus est, ils correspondaient tous deux à la vision c</w:t>
      </w:r>
      <w:r w:rsidRPr="0077615B">
        <w:rPr>
          <w:szCs w:val="22"/>
        </w:rPr>
        <w:t>a</w:t>
      </w:r>
      <w:r w:rsidRPr="0077615B">
        <w:rPr>
          <w:szCs w:val="22"/>
        </w:rPr>
        <w:t>nadienne défendue par le premier ministre Trudeau, le ministre de l'Energie, Marc Lalonde et le ministre de la Justice, Jean Chrétien.</w:t>
      </w:r>
    </w:p>
    <w:p w:rsidR="00AD690E" w:rsidRPr="0077615B" w:rsidRDefault="00AD690E" w:rsidP="00AD690E">
      <w:pPr>
        <w:spacing w:before="120" w:after="120"/>
        <w:jc w:val="both"/>
      </w:pPr>
      <w:r w:rsidRPr="0077615B">
        <w:rPr>
          <w:szCs w:val="22"/>
        </w:rPr>
        <w:t>Cependant, de ces initiatives, seul le rapatriement devait être mené à terme, les autres périssant dans la foulée de la récession économique des années 1981-1982.</w:t>
      </w:r>
    </w:p>
    <w:p w:rsidR="00AD690E" w:rsidRDefault="00AD690E" w:rsidP="00AD690E">
      <w:pPr>
        <w:spacing w:before="120" w:after="120"/>
        <w:jc w:val="both"/>
      </w:pPr>
    </w:p>
    <w:p w:rsidR="00AD690E" w:rsidRPr="00EF01F1" w:rsidRDefault="00AD690E" w:rsidP="00AD690E">
      <w:pPr>
        <w:pStyle w:val="a"/>
      </w:pPr>
      <w:r w:rsidRPr="00EF01F1">
        <w:t>La politique économique</w:t>
      </w:r>
    </w:p>
    <w:p w:rsidR="00AD690E"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Rien ne laissait présager, au tournant des années 70, que la déce</w:t>
      </w:r>
      <w:r w:rsidRPr="0077615B">
        <w:rPr>
          <w:szCs w:val="22"/>
        </w:rPr>
        <w:t>n</w:t>
      </w:r>
      <w:r w:rsidRPr="0077615B">
        <w:rPr>
          <w:szCs w:val="22"/>
        </w:rPr>
        <w:t>nie qui s'ouvrait serait différente de la précédente sur le plan écon</w:t>
      </w:r>
      <w:r w:rsidRPr="0077615B">
        <w:rPr>
          <w:szCs w:val="22"/>
        </w:rPr>
        <w:t>o</w:t>
      </w:r>
      <w:r w:rsidRPr="0077615B">
        <w:rPr>
          <w:szCs w:val="22"/>
        </w:rPr>
        <w:t>mique. Certes, il y avait bien eu, en 1970, un recul de l'activité éc</w:t>
      </w:r>
      <w:r w:rsidRPr="0077615B">
        <w:rPr>
          <w:szCs w:val="22"/>
        </w:rPr>
        <w:t>o</w:t>
      </w:r>
      <w:r w:rsidRPr="0077615B">
        <w:rPr>
          <w:szCs w:val="22"/>
        </w:rPr>
        <w:t>nomique et il fallait noter, comme le rappellera dans sa rétrospective de la décennie la Revue économique du ministère des Finances</w:t>
      </w:r>
      <w:r>
        <w:rPr>
          <w:szCs w:val="22"/>
        </w:rPr>
        <w:t> </w:t>
      </w:r>
      <w:r w:rsidRPr="000D6A43">
        <w:rPr>
          <w:rStyle w:val="Appelnotedebasdep"/>
        </w:rPr>
        <w:footnoteReference w:id="317"/>
      </w:r>
      <w:r w:rsidRPr="0077615B">
        <w:rPr>
          <w:szCs w:val="22"/>
        </w:rPr>
        <w:t>, l'exi</w:t>
      </w:r>
      <w:r w:rsidRPr="0077615B">
        <w:rPr>
          <w:szCs w:val="22"/>
        </w:rPr>
        <w:t>s</w:t>
      </w:r>
      <w:r w:rsidRPr="0077615B">
        <w:rPr>
          <w:szCs w:val="22"/>
        </w:rPr>
        <w:t>tence de certains « problèmes ennuyeux » comme l'inflation ou les problèmes régionaux mais rien qui pui</w:t>
      </w:r>
      <w:r w:rsidRPr="0077615B">
        <w:rPr>
          <w:szCs w:val="22"/>
        </w:rPr>
        <w:t>s</w:t>
      </w:r>
      <w:r w:rsidRPr="0077615B">
        <w:rPr>
          <w:szCs w:val="22"/>
        </w:rPr>
        <w:t>se vraiment entamer la confiance en l'avenir et remettre en cause les paramètres keynésiens d'une politique économique qui avait largement contribué à l'essor économique du pays durant la dernière décennie. L'économie parai</w:t>
      </w:r>
      <w:r w:rsidRPr="0077615B">
        <w:rPr>
          <w:szCs w:val="22"/>
        </w:rPr>
        <w:t>s</w:t>
      </w:r>
      <w:r w:rsidRPr="0077615B">
        <w:rPr>
          <w:szCs w:val="22"/>
        </w:rPr>
        <w:t>sait en bonne santé, la récession de 1970 paraissait davantage attr</w:t>
      </w:r>
      <w:r w:rsidRPr="0077615B">
        <w:rPr>
          <w:szCs w:val="22"/>
        </w:rPr>
        <w:t>i</w:t>
      </w:r>
      <w:r w:rsidRPr="0077615B">
        <w:rPr>
          <w:szCs w:val="22"/>
        </w:rPr>
        <w:t>buable aux politiques, jugées trop restrictives, de la fin des années 1960 et les perspectives de croissance étaient dans l'ensemble exce</w:t>
      </w:r>
      <w:r w:rsidRPr="0077615B">
        <w:rPr>
          <w:szCs w:val="22"/>
        </w:rPr>
        <w:t>l</w:t>
      </w:r>
      <w:r w:rsidRPr="0077615B">
        <w:rPr>
          <w:szCs w:val="22"/>
        </w:rPr>
        <w:t>lentes. De plus, tout portait à croire que, sous le couvert du nation</w:t>
      </w:r>
      <w:r w:rsidRPr="0077615B">
        <w:rPr>
          <w:szCs w:val="22"/>
        </w:rPr>
        <w:t>a</w:t>
      </w:r>
      <w:r w:rsidRPr="0077615B">
        <w:rPr>
          <w:szCs w:val="22"/>
        </w:rPr>
        <w:t>lisme économique, le gouvernement allait donner à la politique éc</w:t>
      </w:r>
      <w:r w:rsidRPr="0077615B">
        <w:rPr>
          <w:szCs w:val="22"/>
        </w:rPr>
        <w:t>o</w:t>
      </w:r>
      <w:r w:rsidRPr="0077615B">
        <w:rPr>
          <w:szCs w:val="22"/>
        </w:rPr>
        <w:t>nomique une</w:t>
      </w:r>
      <w:r>
        <w:rPr>
          <w:szCs w:val="22"/>
        </w:rPr>
        <w:t xml:space="preserve"> </w:t>
      </w:r>
      <w:r>
        <w:t xml:space="preserve">[181] </w:t>
      </w:r>
      <w:r w:rsidRPr="0077615B">
        <w:rPr>
          <w:szCs w:val="22"/>
        </w:rPr>
        <w:t>impulsion et une orientation nouvelles afin de mieux coordonner ses instruments et ses priorités. Cette impression était alors d'autant plus fondée que, le gouvernement lui-même se</w:t>
      </w:r>
      <w:r w:rsidRPr="0077615B">
        <w:rPr>
          <w:szCs w:val="22"/>
        </w:rPr>
        <w:t>m</w:t>
      </w:r>
      <w:r w:rsidRPr="0077615B">
        <w:rPr>
          <w:szCs w:val="22"/>
        </w:rPr>
        <w:t>blait s'être engagé sur cette voie en réorganisant le système des com</w:t>
      </w:r>
      <w:r w:rsidRPr="0077615B">
        <w:rPr>
          <w:szCs w:val="22"/>
        </w:rPr>
        <w:t>i</w:t>
      </w:r>
      <w:r w:rsidRPr="0077615B">
        <w:rPr>
          <w:szCs w:val="22"/>
        </w:rPr>
        <w:t>tés m</w:t>
      </w:r>
      <w:r w:rsidRPr="0077615B">
        <w:rPr>
          <w:szCs w:val="22"/>
        </w:rPr>
        <w:t>i</w:t>
      </w:r>
      <w:r w:rsidRPr="0077615B">
        <w:rPr>
          <w:szCs w:val="22"/>
        </w:rPr>
        <w:t>nistériels</w:t>
      </w:r>
      <w:r>
        <w:rPr>
          <w:szCs w:val="22"/>
        </w:rPr>
        <w:t> </w:t>
      </w:r>
      <w:r w:rsidRPr="000D6A43">
        <w:rPr>
          <w:rStyle w:val="Appelnotedebasdep"/>
        </w:rPr>
        <w:footnoteReference w:id="318"/>
      </w:r>
      <w:r w:rsidRPr="0077615B">
        <w:rPr>
          <w:szCs w:val="22"/>
        </w:rPr>
        <w:t xml:space="preserve"> et en se prêtant à l'exercice de redéfinir sa politique de développement régi</w:t>
      </w:r>
      <w:r w:rsidRPr="0077615B">
        <w:rPr>
          <w:szCs w:val="22"/>
        </w:rPr>
        <w:t>o</w:t>
      </w:r>
      <w:r w:rsidRPr="0077615B">
        <w:rPr>
          <w:szCs w:val="22"/>
        </w:rPr>
        <w:t>nal de même que sa politique étrangère</w:t>
      </w:r>
      <w:r>
        <w:rPr>
          <w:szCs w:val="22"/>
        </w:rPr>
        <w:t> </w:t>
      </w:r>
      <w:r w:rsidRPr="000D6A43">
        <w:rPr>
          <w:rStyle w:val="Appelnotedebasdep"/>
        </w:rPr>
        <w:footnoteReference w:id="319"/>
      </w:r>
      <w:r w:rsidRPr="0077615B">
        <w:rPr>
          <w:szCs w:val="22"/>
        </w:rPr>
        <w:t>. D'ailleurs, les tensions de plus en plus vives sur la scène écon</w:t>
      </w:r>
      <w:r w:rsidRPr="0077615B">
        <w:rPr>
          <w:szCs w:val="22"/>
        </w:rPr>
        <w:t>o</w:t>
      </w:r>
      <w:r w:rsidRPr="0077615B">
        <w:rPr>
          <w:szCs w:val="22"/>
        </w:rPr>
        <w:t>mique internationale semblaient confirmer la nécessité pour le Canada de se doter de stratégies indu</w:t>
      </w:r>
      <w:r w:rsidRPr="0077615B">
        <w:rPr>
          <w:szCs w:val="22"/>
        </w:rPr>
        <w:t>s</w:t>
      </w:r>
      <w:r w:rsidRPr="0077615B">
        <w:rPr>
          <w:szCs w:val="22"/>
        </w:rPr>
        <w:t>trielles et commerciales qui correspondraient mieux aux besoins et aux réalités d'un pays à la recherche de sa mat</w:t>
      </w:r>
      <w:r w:rsidRPr="0077615B">
        <w:rPr>
          <w:szCs w:val="22"/>
        </w:rPr>
        <w:t>u</w:t>
      </w:r>
      <w:r w:rsidRPr="0077615B">
        <w:rPr>
          <w:szCs w:val="22"/>
        </w:rPr>
        <w:t>rité économique et de son indépendance e</w:t>
      </w:r>
      <w:r w:rsidRPr="0077615B">
        <w:rPr>
          <w:szCs w:val="22"/>
        </w:rPr>
        <w:t>x</w:t>
      </w:r>
      <w:r w:rsidRPr="0077615B">
        <w:rPr>
          <w:szCs w:val="22"/>
        </w:rPr>
        <w:t>térieure.</w:t>
      </w:r>
    </w:p>
    <w:p w:rsidR="00AD690E" w:rsidRPr="0077615B" w:rsidRDefault="00AD690E" w:rsidP="00AD690E">
      <w:pPr>
        <w:spacing w:before="120" w:after="120"/>
        <w:jc w:val="both"/>
      </w:pPr>
      <w:r w:rsidRPr="0077615B">
        <w:rPr>
          <w:szCs w:val="22"/>
        </w:rPr>
        <w:t>Le gouvernement, à l'instigation de Mitchell Sharp et de Jean-Luc Pépin respectivement ministre des Affaires étrangères et m</w:t>
      </w:r>
      <w:r w:rsidRPr="0077615B">
        <w:rPr>
          <w:szCs w:val="22"/>
        </w:rPr>
        <w:t>i</w:t>
      </w:r>
      <w:r w:rsidRPr="0077615B">
        <w:rPr>
          <w:szCs w:val="22"/>
        </w:rPr>
        <w:t>nistre de l'Industrie et du Commerce, semblait résolu à redéfinir ses priorités et ses objectifs.</w:t>
      </w:r>
    </w:p>
    <w:p w:rsidR="00AD690E" w:rsidRPr="0077615B" w:rsidRDefault="00AD690E" w:rsidP="00AD690E">
      <w:pPr>
        <w:spacing w:before="120" w:after="120"/>
        <w:jc w:val="both"/>
      </w:pPr>
      <w:r w:rsidRPr="0077615B">
        <w:rPr>
          <w:szCs w:val="22"/>
        </w:rPr>
        <w:t>Le livre blanc de 1970 sur la politique étrangère</w:t>
      </w:r>
      <w:r>
        <w:rPr>
          <w:szCs w:val="22"/>
        </w:rPr>
        <w:t> </w:t>
      </w:r>
      <w:r w:rsidRPr="000D6A43">
        <w:rPr>
          <w:rStyle w:val="Appelnotedebasdep"/>
        </w:rPr>
        <w:footnoteReference w:id="320"/>
      </w:r>
      <w:r w:rsidRPr="0077615B">
        <w:rPr>
          <w:szCs w:val="22"/>
        </w:rPr>
        <w:t xml:space="preserve"> avait clair</w:t>
      </w:r>
      <w:r w:rsidRPr="0077615B">
        <w:rPr>
          <w:szCs w:val="22"/>
        </w:rPr>
        <w:t>e</w:t>
      </w:r>
      <w:r w:rsidRPr="0077615B">
        <w:rPr>
          <w:szCs w:val="22"/>
        </w:rPr>
        <w:t>ment précisé les paramètres et la direction que devaient prendre la p</w:t>
      </w:r>
      <w:r w:rsidRPr="0077615B">
        <w:rPr>
          <w:szCs w:val="22"/>
        </w:rPr>
        <w:t>o</w:t>
      </w:r>
      <w:r w:rsidRPr="0077615B">
        <w:rPr>
          <w:szCs w:val="22"/>
        </w:rPr>
        <w:t>litique commerciale et la politique industrielle. Comme le rappellera le m</w:t>
      </w:r>
      <w:r w:rsidRPr="0077615B">
        <w:rPr>
          <w:szCs w:val="22"/>
        </w:rPr>
        <w:t>i</w:t>
      </w:r>
      <w:r w:rsidRPr="0077615B">
        <w:rPr>
          <w:szCs w:val="22"/>
        </w:rPr>
        <w:t>nistre Sharp, dans le numéro spécial d'automne 1972 de la revue du ministère des Affaires extérieures, Perspectives internationales, le l</w:t>
      </w:r>
      <w:r w:rsidRPr="0077615B">
        <w:rPr>
          <w:szCs w:val="22"/>
        </w:rPr>
        <w:t>i</w:t>
      </w:r>
      <w:r w:rsidRPr="0077615B">
        <w:rPr>
          <w:szCs w:val="22"/>
        </w:rPr>
        <w:t>vre blanc de 1970 avait mis en évidence :</w:t>
      </w:r>
    </w:p>
    <w:p w:rsidR="00AD690E" w:rsidRDefault="00AD690E" w:rsidP="00AD690E">
      <w:pPr>
        <w:pStyle w:val="Grillecouleur-Accent1"/>
      </w:pPr>
    </w:p>
    <w:p w:rsidR="00AD690E" w:rsidRDefault="00AD690E" w:rsidP="00AD690E">
      <w:pPr>
        <w:pStyle w:val="Grillecouleur-Accent1"/>
      </w:pPr>
      <w:r w:rsidRPr="00BB74DE">
        <w:t>[...] deux réalités primordiales, essentielles à la survie du Canada et en fon</w:t>
      </w:r>
      <w:r w:rsidRPr="00BB74DE">
        <w:t>c</w:t>
      </w:r>
      <w:r w:rsidRPr="00BB74DE">
        <w:t>tion desquelles les besoins de la politique canadienne, tant sur le plan interne qu'externe, doivent être évalués. L'une de ces réalités est le défi de mener une vie distincte, mais en harmonie avec l'État le plus puissant et la société la plus dynamique du monde, les États-Unis ; l'autre étant le pr</w:t>
      </w:r>
      <w:r w:rsidRPr="00BB74DE">
        <w:t>o</w:t>
      </w:r>
      <w:r w:rsidRPr="00BB74DE">
        <w:t>blème complexe de la sauv</w:t>
      </w:r>
      <w:r w:rsidRPr="00BB74DE">
        <w:t>e</w:t>
      </w:r>
      <w:r w:rsidRPr="00BB74DE">
        <w:t>garde de l'unité nationale</w:t>
      </w:r>
      <w:r>
        <w:t> </w:t>
      </w:r>
      <w:r w:rsidRPr="000D6A43">
        <w:rPr>
          <w:rStyle w:val="Appelnotedebasdep"/>
          <w:szCs w:val="18"/>
        </w:rPr>
        <w:footnoteReference w:id="321"/>
      </w:r>
      <w:r w:rsidRPr="00BB74DE">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C'est à l'intérieur de ces deux paramètres, la sauvegarde de l'unité nationale et l'indépendance nationale, qu'allait être lancé à peu près au même moment en 1972, soit peu de temps après l'adoption des mes</w:t>
      </w:r>
      <w:r w:rsidRPr="0077615B">
        <w:rPr>
          <w:szCs w:val="22"/>
        </w:rPr>
        <w:t>u</w:t>
      </w:r>
      <w:r w:rsidRPr="0077615B">
        <w:rPr>
          <w:szCs w:val="22"/>
        </w:rPr>
        <w:t>res Nixon, en août 1971, le débat sur la pol</w:t>
      </w:r>
      <w:r w:rsidRPr="0077615B">
        <w:rPr>
          <w:szCs w:val="22"/>
        </w:rPr>
        <w:t>i</w:t>
      </w:r>
      <w:r w:rsidRPr="0077615B">
        <w:rPr>
          <w:szCs w:val="22"/>
        </w:rPr>
        <w:t>tique industrielle et celui sur ce qu'il est convenu d'appeler la « troisième option »</w:t>
      </w:r>
      <w:r>
        <w:rPr>
          <w:szCs w:val="22"/>
        </w:rPr>
        <w:t> </w:t>
      </w:r>
      <w:r w:rsidRPr="000D6A43">
        <w:rPr>
          <w:rStyle w:val="Appelnotedebasdep"/>
        </w:rPr>
        <w:footnoteReference w:id="322"/>
      </w:r>
      <w:r w:rsidRPr="0077615B">
        <w:rPr>
          <w:szCs w:val="22"/>
        </w:rPr>
        <w:t>. Le débat, malgré l'intérêt et les attentes</w:t>
      </w:r>
      <w:r>
        <w:rPr>
          <w:szCs w:val="22"/>
        </w:rPr>
        <w:t xml:space="preserve"> </w:t>
      </w:r>
      <w:r>
        <w:rPr>
          <w:szCs w:val="18"/>
        </w:rPr>
        <w:t>[</w:t>
      </w:r>
      <w:r w:rsidRPr="0077615B">
        <w:t>182</w:t>
      </w:r>
      <w:r>
        <w:t xml:space="preserve">] </w:t>
      </w:r>
      <w:r w:rsidRPr="0077615B">
        <w:t>suscitées par les premières initi</w:t>
      </w:r>
      <w:r w:rsidRPr="0077615B">
        <w:t>a</w:t>
      </w:r>
      <w:r w:rsidRPr="0077615B">
        <w:t>tives qui seront prises, devait cepe</w:t>
      </w:r>
      <w:r w:rsidRPr="0077615B">
        <w:t>n</w:t>
      </w:r>
      <w:r w:rsidRPr="0077615B">
        <w:t>dant rapidement tourner court</w:t>
      </w:r>
      <w:r>
        <w:t> </w:t>
      </w:r>
      <w:r w:rsidRPr="000D6A43">
        <w:rPr>
          <w:rStyle w:val="Appelnotedebasdep"/>
        </w:rPr>
        <w:footnoteReference w:id="323"/>
      </w:r>
      <w:r w:rsidRPr="0077615B">
        <w:t>. D'une part, l'idée même de ge</w:t>
      </w:r>
      <w:r w:rsidRPr="0077615B">
        <w:t>s</w:t>
      </w:r>
      <w:r w:rsidRPr="0077615B">
        <w:t>tion des relations commerciales tout comme celle de politique industrielle étaient loin de susciter l'entho</w:t>
      </w:r>
      <w:r w:rsidRPr="0077615B">
        <w:t>u</w:t>
      </w:r>
      <w:r w:rsidRPr="0077615B">
        <w:t>siasme parmi les milieux d'affa</w:t>
      </w:r>
      <w:r w:rsidRPr="0077615B">
        <w:t>i</w:t>
      </w:r>
      <w:r w:rsidRPr="0077615B">
        <w:t>res et le personnel ministériel</w:t>
      </w:r>
      <w:r>
        <w:t> </w:t>
      </w:r>
      <w:r w:rsidRPr="000D6A43">
        <w:rPr>
          <w:rStyle w:val="Appelnotedebasdep"/>
        </w:rPr>
        <w:footnoteReference w:id="324"/>
      </w:r>
      <w:r w:rsidRPr="0077615B">
        <w:t>. D'autre part, quelles que fussent ses inte</w:t>
      </w:r>
      <w:r w:rsidRPr="0077615B">
        <w:t>n</w:t>
      </w:r>
      <w:r w:rsidRPr="0077615B">
        <w:t>tions de consolider par des mesures appropriées l'assise manufacturière du pays ou celles de d</w:t>
      </w:r>
      <w:r w:rsidRPr="0077615B">
        <w:t>i</w:t>
      </w:r>
      <w:r w:rsidRPr="0077615B">
        <w:t>versifier le commerce extérieur, le gouve</w:t>
      </w:r>
      <w:r w:rsidRPr="0077615B">
        <w:t>r</w:t>
      </w:r>
      <w:r w:rsidRPr="0077615B">
        <w:t>nement fédéral se devait de co</w:t>
      </w:r>
      <w:r w:rsidRPr="0077615B">
        <w:t>m</w:t>
      </w:r>
      <w:r w:rsidRPr="0077615B">
        <w:t>poser avec des partenaires hostiles à l'idée que, sous le couvert d'une meilleure coordination des politiques industrielles, on finisse par déboucher sur une plus grande centralisation des pouvoirs. Ces crai</w:t>
      </w:r>
      <w:r w:rsidRPr="0077615B">
        <w:t>n</w:t>
      </w:r>
      <w:r w:rsidRPr="0077615B">
        <w:t>tes, en partie fondées, seront suff</w:t>
      </w:r>
      <w:r w:rsidRPr="0077615B">
        <w:t>i</w:t>
      </w:r>
      <w:r w:rsidRPr="0077615B">
        <w:t xml:space="preserve">santes pour rendre de plus en plus difficile, comme on s'en rendra compte durant la deuxième moitié de la décennie à propos du programme énergétique national, la mise en </w:t>
      </w:r>
      <w:r>
        <w:t>œuvre</w:t>
      </w:r>
      <w:r w:rsidRPr="0077615B">
        <w:t xml:space="preserve"> de politiques nation</w:t>
      </w:r>
      <w:r w:rsidRPr="0077615B">
        <w:t>a</w:t>
      </w:r>
      <w:r w:rsidRPr="0077615B">
        <w:t>les.</w:t>
      </w:r>
    </w:p>
    <w:p w:rsidR="00AD690E" w:rsidRPr="0077615B" w:rsidRDefault="00AD690E" w:rsidP="00AD690E">
      <w:pPr>
        <w:spacing w:before="120" w:after="120"/>
        <w:jc w:val="both"/>
      </w:pPr>
      <w:r w:rsidRPr="0077615B">
        <w:t>Les débats sur la politique industrielle et la politique comme</w:t>
      </w:r>
      <w:r w:rsidRPr="0077615B">
        <w:t>r</w:t>
      </w:r>
      <w:r w:rsidRPr="0077615B">
        <w:t>ciale resurgiront au début des années 80, mais cette fois dans une conjon</w:t>
      </w:r>
      <w:r w:rsidRPr="0077615B">
        <w:t>c</w:t>
      </w:r>
      <w:r w:rsidRPr="0077615B">
        <w:t>ture tout à fait différente de celle du début des années 70, beaucoup moins favorable en raison des difficultés économiques et du climat de crise politique qui prévaudront à ce moment-là. Entre-temps, la dét</w:t>
      </w:r>
      <w:r w:rsidRPr="0077615B">
        <w:t>é</w:t>
      </w:r>
      <w:r w:rsidRPr="0077615B">
        <w:t>rioration rapide de la conjoncture économique allait forcer le gouve</w:t>
      </w:r>
      <w:r w:rsidRPr="0077615B">
        <w:t>r</w:t>
      </w:r>
      <w:r w:rsidRPr="0077615B">
        <w:t>nement Trudeau, après une période de doute et de flottement qui suivit l'élection de 1974, à changer d'a</w:t>
      </w:r>
      <w:r w:rsidRPr="0077615B">
        <w:t>t</w:t>
      </w:r>
      <w:r w:rsidRPr="0077615B">
        <w:t>titude face à l'inflation et à déplacer en conséquence ses priorités en matière économique.</w:t>
      </w:r>
    </w:p>
    <w:p w:rsidR="00AD690E" w:rsidRPr="0077615B" w:rsidRDefault="00AD690E" w:rsidP="00AD690E">
      <w:pPr>
        <w:spacing w:before="120" w:after="120"/>
        <w:jc w:val="both"/>
      </w:pPr>
      <w:r w:rsidRPr="0077615B">
        <w:t>L'inflation, mesurée par le taux de croissance annuel de l'ind</w:t>
      </w:r>
      <w:r w:rsidRPr="0077615B">
        <w:t>i</w:t>
      </w:r>
      <w:r w:rsidRPr="0077615B">
        <w:t>ce des prix à la consommation, était passée, sous l'effet conjugué de la hau</w:t>
      </w:r>
      <w:r w:rsidRPr="0077615B">
        <w:t>s</w:t>
      </w:r>
      <w:r w:rsidRPr="0077615B">
        <w:t>se des prix des matières premières et des augmentations salariales, de 3 à 11 pour cent environ entre 1971 et 1974. Lon</w:t>
      </w:r>
      <w:r w:rsidRPr="0077615B">
        <w:t>g</w:t>
      </w:r>
      <w:r w:rsidRPr="0077615B">
        <w:t>temps divisé quant aux moyens à prendre, le Cabinet se résoudra finalement à imposer à l'automne 1975, dans le cadre d'un pr</w:t>
      </w:r>
      <w:r w:rsidRPr="0077615B">
        <w:t>o</w:t>
      </w:r>
      <w:r w:rsidRPr="0077615B">
        <w:t>gramme en quatre points, un contrôle des prix et des revenus</w:t>
      </w:r>
      <w:r>
        <w:t> </w:t>
      </w:r>
      <w:r w:rsidRPr="000D6A43">
        <w:rPr>
          <w:rStyle w:val="Appelnotedebasdep"/>
        </w:rPr>
        <w:footnoteReference w:id="325"/>
      </w:r>
      <w:r w:rsidRPr="0077615B">
        <w:t xml:space="preserve"> qui devait s'appliquer pour une p</w:t>
      </w:r>
      <w:r w:rsidRPr="0077615B">
        <w:t>é</w:t>
      </w:r>
      <w:r w:rsidRPr="0077615B">
        <w:t>riode de trois ans à toutes les entreprises de plus de 500 employés, à toutes les entreprises de plus de 20 employés dans le secteur de la con</w:t>
      </w:r>
      <w:r w:rsidRPr="0077615B">
        <w:t>s</w:t>
      </w:r>
      <w:r w:rsidRPr="0077615B">
        <w:t>truction, à tous les employés du gouvernement et des entreprises de la Couronne, ainsi qu'à</w:t>
      </w:r>
      <w:r>
        <w:t xml:space="preserve"> [183] </w:t>
      </w:r>
      <w:r w:rsidRPr="0077615B">
        <w:t>certaines catégories de professio</w:t>
      </w:r>
      <w:r w:rsidRPr="0077615B">
        <w:t>n</w:t>
      </w:r>
      <w:r w:rsidRPr="0077615B">
        <w:t>nels. Comme plusieurs catég</w:t>
      </w:r>
      <w:r w:rsidRPr="0077615B">
        <w:t>o</w:t>
      </w:r>
      <w:r w:rsidRPr="0077615B">
        <w:t>ries de salariés ne tombaient pas sous la juridiction du fédéral, il demeurait à l'initiative des provinces d'i</w:t>
      </w:r>
      <w:r w:rsidRPr="0077615B">
        <w:t>m</w:t>
      </w:r>
      <w:r w:rsidRPr="0077615B">
        <w:t xml:space="preserve">planter ces contrôles sur leur territoire, ce que fera le gouvernement Bourassa quelques semaines plus tard avec son projet de loi 64, </w:t>
      </w:r>
      <w:r w:rsidRPr="00851184">
        <w:rPr>
          <w:i/>
        </w:rPr>
        <w:t>Loi concernant les mesures anti-inflationnistes.</w:t>
      </w:r>
    </w:p>
    <w:p w:rsidR="00AD690E" w:rsidRPr="0077615B" w:rsidRDefault="00AD690E" w:rsidP="00AD690E">
      <w:pPr>
        <w:spacing w:before="120" w:after="120"/>
        <w:jc w:val="both"/>
      </w:pPr>
      <w:r w:rsidRPr="0077615B">
        <w:t>Outre le contrôle des prix et des revenus qui en constituait la pièce maîtresse, le Programme de lutte contre l'inflation prévoyait égal</w:t>
      </w:r>
      <w:r w:rsidRPr="0077615B">
        <w:t>e</w:t>
      </w:r>
      <w:r w:rsidRPr="0077615B">
        <w:t>ment un resserrement graduel du taux de croissance de la masse m</w:t>
      </w:r>
      <w:r w:rsidRPr="0077615B">
        <w:t>o</w:t>
      </w:r>
      <w:r w:rsidRPr="0077615B">
        <w:t>nétaire et des dépenses budgétaires et leur alignement progressif sur le taux de croissance de l'économie.</w:t>
      </w:r>
    </w:p>
    <w:p w:rsidR="00AD690E" w:rsidRPr="0077615B" w:rsidRDefault="00AD690E" w:rsidP="00AD690E">
      <w:pPr>
        <w:spacing w:before="120" w:after="120"/>
        <w:jc w:val="both"/>
      </w:pPr>
      <w:r w:rsidRPr="0077615B">
        <w:t>Ces mesures prises à la hâte, avaient essentiellement pour o</w:t>
      </w:r>
      <w:r w:rsidRPr="0077615B">
        <w:t>b</w:t>
      </w:r>
      <w:r w:rsidRPr="0077615B">
        <w:t>jet de montrer la détermination d'un gouvernement littéralement pris de court par la conjoncture économique, de briser les attentes inflatio</w:t>
      </w:r>
      <w:r w:rsidRPr="0077615B">
        <w:t>n</w:t>
      </w:r>
      <w:r w:rsidRPr="0077615B">
        <w:t>nistes et de juguler la croissance d'une demande jugée excédentaire par rapport au potentiel de production de l'économie en dépit du fait que celle-ci était entrée en récession à la fin de l'année 1974</w:t>
      </w:r>
      <w:r>
        <w:t> </w:t>
      </w:r>
      <w:r w:rsidRPr="000D6A43">
        <w:rPr>
          <w:rStyle w:val="Appelnotedebasdep"/>
        </w:rPr>
        <w:footnoteReference w:id="326"/>
      </w:r>
      <w:r w:rsidRPr="0077615B">
        <w:t>.</w:t>
      </w:r>
    </w:p>
    <w:p w:rsidR="00AD690E" w:rsidRPr="0077615B" w:rsidRDefault="00AD690E" w:rsidP="00AD690E">
      <w:pPr>
        <w:spacing w:before="120" w:after="120"/>
        <w:jc w:val="both"/>
      </w:pPr>
      <w:r w:rsidRPr="0077615B">
        <w:t>Les difficultés plus grandes que prévues à réduire l'inflation et le climat de plus en plus tendu sur la scène économique intern</w:t>
      </w:r>
      <w:r w:rsidRPr="0077615B">
        <w:t>a</w:t>
      </w:r>
      <w:r w:rsidRPr="0077615B">
        <w:t>tionale, particulièrement au lendemain du second choc pétrolier en 1978, fo</w:t>
      </w:r>
      <w:r w:rsidRPr="0077615B">
        <w:t>r</w:t>
      </w:r>
      <w:r w:rsidRPr="0077615B">
        <w:t>cèrent le gouvernement à resserrer davantage ses p</w:t>
      </w:r>
      <w:r w:rsidRPr="0077615B">
        <w:t>o</w:t>
      </w:r>
      <w:r w:rsidRPr="0077615B">
        <w:t>litiques monétaire et budgétaire au détriment de l'emploi et de la croissance entre 1978 et 1981 et à imposer de nouveau des mesures de contrôle, cette fois lim</w:t>
      </w:r>
      <w:r w:rsidRPr="0077615B">
        <w:t>i</w:t>
      </w:r>
      <w:r w:rsidRPr="0077615B">
        <w:t>tées aux employés du secteur p</w:t>
      </w:r>
      <w:r w:rsidRPr="0077615B">
        <w:t>u</w:t>
      </w:r>
      <w:r w:rsidRPr="0077615B">
        <w:t>blic, en 1981</w:t>
      </w:r>
      <w:r>
        <w:t> </w:t>
      </w:r>
      <w:r w:rsidRPr="000D6A43">
        <w:rPr>
          <w:rStyle w:val="Appelnotedebasdep"/>
        </w:rPr>
        <w:footnoteReference w:id="327"/>
      </w:r>
      <w:r w:rsidRPr="0077615B">
        <w:t>. Il faudra attendre l'année 1982 pour que, devant l'ampleur du chômage, le gouvern</w:t>
      </w:r>
      <w:r w:rsidRPr="0077615B">
        <w:t>e</w:t>
      </w:r>
      <w:r w:rsidRPr="0077615B">
        <w:t>ment, à l'instigation du no</w:t>
      </w:r>
      <w:r w:rsidRPr="0077615B">
        <w:t>u</w:t>
      </w:r>
      <w:r w:rsidRPr="0077615B">
        <w:t>veau ministre des Finances, Marc Lalonde, accepte de relâcher quelque peu le caractère restrictif des politiques monétaire et budgétaire et redonne priorité à la croissance économ</w:t>
      </w:r>
      <w:r w:rsidRPr="0077615B">
        <w:t>i</w:t>
      </w:r>
      <w:r w:rsidRPr="0077615B">
        <w:t>que.</w:t>
      </w:r>
    </w:p>
    <w:p w:rsidR="00AD690E" w:rsidRPr="0077615B" w:rsidRDefault="00AD690E" w:rsidP="00AD690E">
      <w:pPr>
        <w:spacing w:before="120" w:after="120"/>
        <w:jc w:val="both"/>
      </w:pPr>
      <w:r w:rsidRPr="0077615B">
        <w:t>Les contrôles et les politiques macro-économiques restrictives qui les accompagnèrent contribuèrent à juguler l'inflation, encore que ce fut à un coût social et à un coût économique relativement élevé, leur principal effet fut de remettre en cause les paramètres qui avaient été ceux de la politique économique en matière de croissance depuis la guerre et de briser le consensus social min</w:t>
      </w:r>
      <w:r w:rsidRPr="0077615B">
        <w:t>i</w:t>
      </w:r>
      <w:r w:rsidRPr="0077615B">
        <w:t>mal qui avait existé jusque-là autour de l'objectif du plein emploi. En ramenant le plein emploi au statut de variable macroéconom</w:t>
      </w:r>
      <w:r w:rsidRPr="0077615B">
        <w:t>i</w:t>
      </w:r>
      <w:r w:rsidRPr="0077615B">
        <w:t>que d'ajustement, le gouvernement Trudeau abandonnait par le fait même l'idéal keynésien de plein e</w:t>
      </w:r>
      <w:r w:rsidRPr="0077615B">
        <w:t>m</w:t>
      </w:r>
      <w:r w:rsidRPr="0077615B">
        <w:t>ploi propre au projet d'économie mixte d'après-guerre</w:t>
      </w:r>
      <w:r>
        <w:t> </w:t>
      </w:r>
      <w:r w:rsidRPr="000D6A43">
        <w:rPr>
          <w:rStyle w:val="Appelnotedebasdep"/>
        </w:rPr>
        <w:footnoteReference w:id="328"/>
      </w:r>
      <w:r w:rsidRPr="0077615B">
        <w:t>. En 1975, le gouvernement fédéral n'avait pas entièrement abandonné l'idée de p</w:t>
      </w:r>
      <w:r w:rsidRPr="0077615B">
        <w:t>o</w:t>
      </w:r>
      <w:r w:rsidRPr="0077615B">
        <w:t>litique i</w:t>
      </w:r>
      <w:r w:rsidRPr="0077615B">
        <w:t>n</w:t>
      </w:r>
      <w:r w:rsidRPr="0077615B">
        <w:t>dustrielle, comme le confirmera l'initiative qu'il prendra de créer, au lendemain de la Conférence des premiers ministres en 1978, une série de groupes</w:t>
      </w:r>
      <w:r>
        <w:t xml:space="preserve"> [</w:t>
      </w:r>
      <w:r w:rsidRPr="0077615B">
        <w:rPr>
          <w:szCs w:val="18"/>
        </w:rPr>
        <w:t>184</w:t>
      </w:r>
      <w:r>
        <w:rPr>
          <w:szCs w:val="18"/>
        </w:rPr>
        <w:t xml:space="preserve">] </w:t>
      </w:r>
      <w:r w:rsidRPr="0077615B">
        <w:t>consultatifs d'études sectorielles représe</w:t>
      </w:r>
      <w:r w:rsidRPr="0077615B">
        <w:t>n</w:t>
      </w:r>
      <w:r w:rsidRPr="0077615B">
        <w:t>tant chacun les vingt-et-une industries manufacturières, la constru</w:t>
      </w:r>
      <w:r w:rsidRPr="0077615B">
        <w:t>c</w:t>
      </w:r>
      <w:r w:rsidRPr="0077615B">
        <w:t>tion et le tourisme (comités du premier palier) et d'un comité dit « du second palier » dont la mi</w:t>
      </w:r>
      <w:r w:rsidRPr="0077615B">
        <w:t>s</w:t>
      </w:r>
      <w:r w:rsidRPr="0077615B">
        <w:t>sion était de faire la jonction entre les groupes et le Cabinet et de présenter des recommandations plus gén</w:t>
      </w:r>
      <w:r w:rsidRPr="0077615B">
        <w:t>é</w:t>
      </w:r>
      <w:r w:rsidRPr="0077615B">
        <w:t>rales. Le rapport du « comité du s</w:t>
      </w:r>
      <w:r w:rsidRPr="0077615B">
        <w:t>e</w:t>
      </w:r>
      <w:r w:rsidRPr="0077615B">
        <w:t>cond palier », déposé en automne 1978, c'est-à-dire au moment où le gouvernement s'engageait dans une deuxième phase de restrictions budgétaires, restera à toutes fins prat</w:t>
      </w:r>
      <w:r w:rsidRPr="0077615B">
        <w:t>i</w:t>
      </w:r>
      <w:r w:rsidRPr="0077615B">
        <w:t>ques lettre morte</w:t>
      </w:r>
      <w:r>
        <w:t> </w:t>
      </w:r>
      <w:r w:rsidRPr="000D6A43">
        <w:rPr>
          <w:rStyle w:val="Appelnotedebasdep"/>
        </w:rPr>
        <w:footnoteReference w:id="329"/>
      </w:r>
      <w:r w:rsidRPr="0077615B">
        <w:t>. Le Cabinet se dotera aussi cette année-là d'un nouveau conseil ministériel, le Conseil ministériel de l'expansion éc</w:t>
      </w:r>
      <w:r w:rsidRPr="0077615B">
        <w:t>o</w:t>
      </w:r>
      <w:r w:rsidRPr="0077615B">
        <w:t>nomique, dont la fonction sera de coordonner les initiatives et les d</w:t>
      </w:r>
      <w:r w:rsidRPr="0077615B">
        <w:t>é</w:t>
      </w:r>
      <w:r w:rsidRPr="0077615B">
        <w:t>penses en matière économique, et d'un secrétariat^ pour le desservir, le Département d'État au dév</w:t>
      </w:r>
      <w:r w:rsidRPr="0077615B">
        <w:t>e</w:t>
      </w:r>
      <w:r w:rsidRPr="0077615B">
        <w:t>loppement économique (DÉDÉ). Ce Département d'</w:t>
      </w:r>
      <w:r>
        <w:t>État</w:t>
      </w:r>
      <w:r w:rsidRPr="0077615B">
        <w:t xml:space="preserve"> aurait dû jouer un rôle important au tournant des années 80 dans l'élaboration d'une nouvelle straté</w:t>
      </w:r>
      <w:r>
        <w:t>gie de développ</w:t>
      </w:r>
      <w:r>
        <w:t>e</w:t>
      </w:r>
      <w:r>
        <w:t>ment économique</w:t>
      </w:r>
      <w:r w:rsidRPr="0077615B">
        <w:t>. Tel ne fut cependant pas le cas en raison des di</w:t>
      </w:r>
      <w:r w:rsidRPr="0077615B">
        <w:t>s</w:t>
      </w:r>
      <w:r w:rsidRPr="0077615B">
        <w:t>sensions qui existaient alors au sein du Cabinet, particulièrement entre H.A. Oison, responsable du DÉDÉ, et H. Gray, responsable de l'I</w:t>
      </w:r>
      <w:r w:rsidRPr="0077615B">
        <w:t>n</w:t>
      </w:r>
      <w:r w:rsidRPr="0077615B">
        <w:t>dustrie et du Commerce, sur l'orientation que devait prendre cette str</w:t>
      </w:r>
      <w:r w:rsidRPr="0077615B">
        <w:t>a</w:t>
      </w:r>
      <w:r w:rsidRPr="0077615B">
        <w:t>tégie. C'est finalement à un comité ad hoc, réuni au lac Meech, qu'i</w:t>
      </w:r>
      <w:r w:rsidRPr="0077615B">
        <w:t>n</w:t>
      </w:r>
      <w:r w:rsidRPr="0077615B">
        <w:t>combera la tâche de définir cette stratégie que le ministre des Fina</w:t>
      </w:r>
      <w:r w:rsidRPr="0077615B">
        <w:t>n</w:t>
      </w:r>
      <w:r w:rsidRPr="0077615B">
        <w:t>ces, A. MacEachen, présentera lors du discours du budget de nove</w:t>
      </w:r>
      <w:r w:rsidRPr="0077615B">
        <w:t>m</w:t>
      </w:r>
      <w:r w:rsidRPr="0077615B">
        <w:t>bre 1981, dans un livre blanc,</w:t>
      </w:r>
      <w:r w:rsidRPr="007915EB">
        <w:rPr>
          <w:i/>
        </w:rPr>
        <w:t xml:space="preserve"> Le développement économique du C</w:t>
      </w:r>
      <w:r w:rsidRPr="007915EB">
        <w:rPr>
          <w:i/>
        </w:rPr>
        <w:t>a</w:t>
      </w:r>
      <w:r w:rsidRPr="007915EB">
        <w:rPr>
          <w:i/>
        </w:rPr>
        <w:t>nada dans les années 80</w:t>
      </w:r>
      <w:r>
        <w:t> </w:t>
      </w:r>
      <w:r w:rsidRPr="000D6A43">
        <w:rPr>
          <w:rStyle w:val="Appelnotedebasdep"/>
        </w:rPr>
        <w:footnoteReference w:id="330"/>
      </w:r>
      <w:r w:rsidRPr="0077615B">
        <w:t>.</w:t>
      </w:r>
    </w:p>
    <w:p w:rsidR="00AD690E" w:rsidRPr="0077615B" w:rsidRDefault="00AD690E" w:rsidP="00AD690E">
      <w:pPr>
        <w:spacing w:before="120" w:after="120"/>
        <w:jc w:val="both"/>
      </w:pPr>
      <w:r w:rsidRPr="0077615B">
        <w:t>Rédigé dans la foulée du programme énergétique qui avait été adopté un an plus tôt, fortement influencé par les conclusions optimi</w:t>
      </w:r>
      <w:r w:rsidRPr="0077615B">
        <w:t>s</w:t>
      </w:r>
      <w:r w:rsidRPr="0077615B">
        <w:t>tes pour le Canada du rapport américain, Global 2000, sur les perspe</w:t>
      </w:r>
      <w:r w:rsidRPr="0077615B">
        <w:t>c</w:t>
      </w:r>
      <w:r w:rsidRPr="0077615B">
        <w:t>tives de développement dans le secteur des ressources naturelles</w:t>
      </w:r>
      <w:r>
        <w:rPr>
          <w:vertAlign w:val="superscript"/>
        </w:rPr>
        <w:t xml:space="preserve"> </w:t>
      </w:r>
      <w:r>
        <w:rPr>
          <w:rStyle w:val="Appelnotedebasdep"/>
          <w:vertAlign w:val="superscript"/>
        </w:rPr>
        <w:footnoteReference w:id="331"/>
      </w:r>
      <w:r w:rsidRPr="0077615B">
        <w:t xml:space="preserve"> et par le rapport final sur les mégaprojets présenté peu de temps aupar</w:t>
      </w:r>
      <w:r w:rsidRPr="0077615B">
        <w:t>a</w:t>
      </w:r>
      <w:r w:rsidRPr="0077615B">
        <w:t>vant par le groupe de travail Blair-Carr</w:t>
      </w:r>
      <w:r>
        <w:t> </w:t>
      </w:r>
      <w:r w:rsidRPr="000D6A43">
        <w:rPr>
          <w:rStyle w:val="Appelnotedebasdep"/>
        </w:rPr>
        <w:footnoteReference w:id="332"/>
      </w:r>
      <w:r w:rsidRPr="0077615B">
        <w:t>, le livre blanc entrevoyait lier étroitement le développement économique futur du Canada au d</w:t>
      </w:r>
      <w:r w:rsidRPr="0077615B">
        <w:t>é</w:t>
      </w:r>
      <w:r w:rsidRPr="0077615B">
        <w:t>veloppement des richesses naturelles et de faire de celles-ci la pierre angulaire de la stratégie de reno</w:t>
      </w:r>
      <w:r w:rsidRPr="0077615B">
        <w:t>u</w:t>
      </w:r>
      <w:r w:rsidRPr="0077615B">
        <w:t>veau économique national qu'avait promis le premier ministre au lendemain de l'élection de 1980. D</w:t>
      </w:r>
      <w:r w:rsidRPr="0077615B">
        <w:t>é</w:t>
      </w:r>
      <w:r w:rsidRPr="0077615B">
        <w:t>sormais responsable du dossier du développement régional, le mini</w:t>
      </w:r>
      <w:r w:rsidRPr="0077615B">
        <w:t>s</w:t>
      </w:r>
      <w:r w:rsidRPr="0077615B">
        <w:t>tre d'État au Dévelo</w:t>
      </w:r>
      <w:r w:rsidRPr="0077615B">
        <w:t>p</w:t>
      </w:r>
      <w:r w:rsidRPr="0077615B">
        <w:t xml:space="preserve">pement économique et régional, D. Johnston, devait assurer la coordination et la mise en </w:t>
      </w:r>
      <w:r>
        <w:t>œuvre</w:t>
      </w:r>
      <w:r w:rsidRPr="0077615B">
        <w:t xml:space="preserve"> de cette nouvelle stratégie de développement de concert avec les provinces. La dégrad</w:t>
      </w:r>
      <w:r w:rsidRPr="0077615B">
        <w:t>a</w:t>
      </w:r>
      <w:r w:rsidRPr="0077615B">
        <w:t>tion de la conjoncture économique en 1982 et la chute des prix des m</w:t>
      </w:r>
      <w:r w:rsidRPr="0077615B">
        <w:t>a</w:t>
      </w:r>
      <w:r w:rsidRPr="0077615B">
        <w:t>tières premières, dont ceux du pétrole, contribuèrent largement à discréditer cette stratégie dans le public et à remettre en cause les grands projets</w:t>
      </w:r>
      <w:r>
        <w:t xml:space="preserve"> </w:t>
      </w:r>
      <w:r>
        <w:rPr>
          <w:szCs w:val="18"/>
        </w:rPr>
        <w:t xml:space="preserve">[185] </w:t>
      </w:r>
      <w:r w:rsidRPr="0077615B">
        <w:t>d'investissement</w:t>
      </w:r>
      <w:r>
        <w:t>s</w:t>
      </w:r>
      <w:r w:rsidRPr="0077615B">
        <w:t xml:space="preserve"> prévus. Cet échec devait sy</w:t>
      </w:r>
      <w:r w:rsidRPr="0077615B">
        <w:t>m</w:t>
      </w:r>
      <w:r w:rsidRPr="0077615B">
        <w:t>boliser celui du nationalisme économique et du fédéralisme centralis</w:t>
      </w:r>
      <w:r w:rsidRPr="0077615B">
        <w:t>a</w:t>
      </w:r>
      <w:r w:rsidRPr="0077615B">
        <w:t>teur qui l'avait a</w:t>
      </w:r>
      <w:r w:rsidRPr="0077615B">
        <w:t>c</w:t>
      </w:r>
      <w:r w:rsidRPr="0077615B">
        <w:t>compagné</w:t>
      </w:r>
      <w:r>
        <w:t> </w:t>
      </w:r>
      <w:r>
        <w:rPr>
          <w:rStyle w:val="Appelnotedebasdep"/>
        </w:rPr>
        <w:footnoteReference w:id="333"/>
      </w:r>
      <w:r w:rsidRPr="0077615B">
        <w:t>.</w:t>
      </w:r>
    </w:p>
    <w:p w:rsidR="00AD690E" w:rsidRDefault="00AD690E" w:rsidP="00AD690E">
      <w:pPr>
        <w:spacing w:before="120" w:after="120"/>
        <w:jc w:val="both"/>
      </w:pPr>
      <w:r>
        <w:br w:type="page"/>
      </w:r>
    </w:p>
    <w:p w:rsidR="00AD690E" w:rsidRPr="0077615B" w:rsidRDefault="00AD690E" w:rsidP="00AD690E">
      <w:pPr>
        <w:pStyle w:val="planche"/>
      </w:pPr>
      <w:r>
        <w:t>SYNTHÈSE :</w:t>
      </w:r>
      <w:r>
        <w:br/>
      </w:r>
      <w:r w:rsidRPr="0077615B">
        <w:t xml:space="preserve">DE TRUDEAU </w:t>
      </w:r>
      <w:r>
        <w:t>À</w:t>
      </w:r>
      <w:r w:rsidRPr="0077615B">
        <w:t xml:space="preserve"> MULRONEY</w:t>
      </w:r>
    </w:p>
    <w:p w:rsidR="00AD690E" w:rsidRDefault="00AD690E" w:rsidP="00AD690E">
      <w:pPr>
        <w:spacing w:before="120" w:after="120"/>
        <w:jc w:val="both"/>
      </w:pPr>
    </w:p>
    <w:p w:rsidR="00AD690E" w:rsidRPr="0077615B" w:rsidRDefault="00AD690E" w:rsidP="00AD690E">
      <w:pPr>
        <w:spacing w:before="120" w:after="120"/>
        <w:ind w:firstLine="0"/>
        <w:jc w:val="both"/>
      </w:pPr>
      <w:r w:rsidRPr="0077615B">
        <w:t>Jusqu'à tout récemment, la très grande majorité des travaux cons</w:t>
      </w:r>
      <w:r w:rsidRPr="0077615B">
        <w:t>a</w:t>
      </w:r>
      <w:r w:rsidRPr="0077615B">
        <w:t>crés à l'étude de l'économie politique du Canada déplorait l'absence de ce</w:t>
      </w:r>
      <w:r w:rsidRPr="0077615B">
        <w:t>n</w:t>
      </w:r>
      <w:r w:rsidRPr="0077615B">
        <w:t>tralisation des décisions en matière d'économie politique au pays. Ce</w:t>
      </w:r>
      <w:r w:rsidRPr="0077615B">
        <w:t>t</w:t>
      </w:r>
      <w:r w:rsidRPr="0077615B">
        <w:t>te approche, développée à l'origine par les Commissaires respo</w:t>
      </w:r>
      <w:r w:rsidRPr="0077615B">
        <w:t>n</w:t>
      </w:r>
      <w:r w:rsidRPr="0077615B">
        <w:t>sables de la rédaction du Rapport Rowell-Sirois en 1940, a été reprise de manière récurrente depuis, que ce soit dans les travaux de la Commi</w:t>
      </w:r>
      <w:r w:rsidRPr="0077615B">
        <w:t>s</w:t>
      </w:r>
      <w:r w:rsidRPr="0077615B">
        <w:t xml:space="preserve">sion Gordon (1959), ceux des </w:t>
      </w:r>
      <w:r w:rsidRPr="00690D53">
        <w:rPr>
          <w:i/>
        </w:rPr>
        <w:t>Rapports Watkins</w:t>
      </w:r>
      <w:r w:rsidRPr="0077615B">
        <w:t xml:space="preserve"> (1968), </w:t>
      </w:r>
      <w:r w:rsidRPr="00690D53">
        <w:rPr>
          <w:i/>
        </w:rPr>
        <w:t>Gray</w:t>
      </w:r>
      <w:r w:rsidRPr="0077615B">
        <w:t xml:space="preserve"> (1970) et, tout récemment encore, par la Commission Macdonald sur l'Union économique et les perspectives de développement du Canada (1985).</w:t>
      </w:r>
    </w:p>
    <w:p w:rsidR="00AD690E" w:rsidRPr="0077615B" w:rsidRDefault="00AD690E" w:rsidP="00AD690E">
      <w:pPr>
        <w:spacing w:before="120" w:after="120"/>
        <w:jc w:val="both"/>
      </w:pPr>
      <w:r w:rsidRPr="0077615B">
        <w:t>L'angle d'analyse a été sensiblement le même chez les analy</w:t>
      </w:r>
      <w:r w:rsidRPr="0077615B">
        <w:t>s</w:t>
      </w:r>
      <w:r w:rsidRPr="0077615B">
        <w:t>tes de la précédente génération comme Harry J. Johnson ou les frères Wo</w:t>
      </w:r>
      <w:r w:rsidRPr="0077615B">
        <w:t>n</w:t>
      </w:r>
      <w:r w:rsidRPr="0077615B">
        <w:t>nacott.</w:t>
      </w:r>
    </w:p>
    <w:p w:rsidR="00AD690E" w:rsidRPr="0077615B" w:rsidRDefault="00AD690E" w:rsidP="00AD690E">
      <w:pPr>
        <w:spacing w:before="120" w:after="120"/>
        <w:jc w:val="both"/>
      </w:pPr>
      <w:r w:rsidRPr="0077615B">
        <w:t>Enfin, c'est également la démarche qui a été adoptée par les princ</w:t>
      </w:r>
      <w:r w:rsidRPr="0077615B">
        <w:t>i</w:t>
      </w:r>
      <w:r w:rsidRPr="0077615B">
        <w:t>paux groupes de pression et pompes à idées ou « </w:t>
      </w:r>
      <w:r w:rsidRPr="00294D1A">
        <w:rPr>
          <w:i/>
        </w:rPr>
        <w:t>think tanks </w:t>
      </w:r>
      <w:r w:rsidRPr="0077615B">
        <w:t>» qu</w:t>
      </w:r>
      <w:r>
        <w:t>i opèrent au pays comme le Confe</w:t>
      </w:r>
      <w:r w:rsidRPr="0077615B">
        <w:t>rence Board of C</w:t>
      </w:r>
      <w:r w:rsidRPr="0077615B">
        <w:t>a</w:t>
      </w:r>
      <w:r w:rsidRPr="0077615B">
        <w:t>nada, l'Institut de recherche CD. Howe, l'Association des man</w:t>
      </w:r>
      <w:r w:rsidRPr="0077615B">
        <w:t>u</w:t>
      </w:r>
      <w:r w:rsidRPr="0077615B">
        <w:t>facturiers canadiens ou l'Institut Hudson du Canada.</w:t>
      </w:r>
    </w:p>
    <w:p w:rsidR="00AD690E" w:rsidRPr="0077615B" w:rsidRDefault="00AD690E" w:rsidP="00AD690E">
      <w:pPr>
        <w:spacing w:before="120" w:after="120"/>
        <w:jc w:val="both"/>
      </w:pPr>
      <w:r w:rsidRPr="0077615B">
        <w:t>Cependant, depuis plus d'une quinzaine d'années déjà, ce param</w:t>
      </w:r>
      <w:r w:rsidRPr="0077615B">
        <w:t>è</w:t>
      </w:r>
      <w:r w:rsidRPr="0077615B">
        <w:t>tre a été remplacé par une approche plus souple qui a tenté de trouver dans la notion de « région » une certaine réconciliation entre les faits et la théorie. Développée en particulier dans les premières analyses du ministère de l'Expansion économique r</w:t>
      </w:r>
      <w:r w:rsidRPr="0077615B">
        <w:t>é</w:t>
      </w:r>
      <w:r w:rsidRPr="0077615B">
        <w:t>gionale, l'approche régionale entendait substituer à l'opposition entre la fédération et les provinces une grille d'analyse fondée sur des réalités économiques nouvelles définies comme des « disparités régionales ». Cette démarche ne r</w:t>
      </w:r>
      <w:r w:rsidRPr="0077615B">
        <w:t>é</w:t>
      </w:r>
      <w:r w:rsidRPr="0077615B">
        <w:t>glait pas l'ancien contentieux entre la centralisation et la décentralis</w:t>
      </w:r>
      <w:r w:rsidRPr="0077615B">
        <w:t>a</w:t>
      </w:r>
      <w:r w:rsidRPr="0077615B">
        <w:t>tion ; elle le déplaçait en investissant dorénavant le pouvoir central d'une mission régionale théoriquement et programmatiquement di</w:t>
      </w:r>
      <w:r w:rsidRPr="0077615B">
        <w:t>s</w:t>
      </w:r>
      <w:r w:rsidRPr="0077615B">
        <w:t>tincte des stratégies qui prévalaient antérieurement.</w:t>
      </w:r>
    </w:p>
    <w:p w:rsidR="00AD690E" w:rsidRDefault="00AD690E" w:rsidP="00AD690E">
      <w:pPr>
        <w:spacing w:before="120" w:after="120"/>
        <w:jc w:val="both"/>
      </w:pPr>
      <w:r w:rsidRPr="0077615B">
        <w:t>Or, malgré les programmes et les mesures mis en place tout au long des années 60 et 70 et malgré l'accroissement du poids de l'</w:t>
      </w:r>
      <w:r>
        <w:t>État</w:t>
      </w:r>
      <w:r w:rsidRPr="0077615B">
        <w:t xml:space="preserve"> central dans la fédération, il ne semble pas qu'Ottawa ait su ou pu contrer le processus de la régionalisation du marché can</w:t>
      </w:r>
      <w:r w:rsidRPr="0077615B">
        <w:t>a</w:t>
      </w:r>
      <w:r w:rsidRPr="0077615B">
        <w:t>dien, c'est-à-dire ce que certains vont jusqu'à appeler sa « balkanisation »</w:t>
      </w:r>
      <w:r>
        <w:t> </w:t>
      </w:r>
      <w:r w:rsidRPr="000D6A43">
        <w:rPr>
          <w:rStyle w:val="Appelnotedebasdep"/>
        </w:rPr>
        <w:footnoteReference w:id="334"/>
      </w:r>
      <w:r w:rsidRPr="0077615B">
        <w:t>. Ai</w:t>
      </w:r>
      <w:r w:rsidRPr="0077615B">
        <w:t>n</w:t>
      </w:r>
      <w:r w:rsidRPr="0077615B">
        <w:t>si, au lieu d'assister à une plus grande homogénéisation économique à la grandeur du pays, nous assisterions au contraire au repli des éc</w:t>
      </w:r>
      <w:r w:rsidRPr="0077615B">
        <w:t>o</w:t>
      </w:r>
      <w:r w:rsidRPr="0077615B">
        <w:t>nomies provinciales sur elles-mêmes, avec la conséquence suiva</w:t>
      </w:r>
      <w:r w:rsidRPr="0077615B">
        <w:t>n</w:t>
      </w:r>
      <w:r w:rsidRPr="0077615B">
        <w:t>te :</w:t>
      </w:r>
    </w:p>
    <w:p w:rsidR="00AD690E" w:rsidRDefault="00AD690E" w:rsidP="00AD690E">
      <w:pPr>
        <w:spacing w:before="120" w:after="120"/>
        <w:jc w:val="both"/>
        <w:rPr>
          <w:szCs w:val="18"/>
        </w:rPr>
      </w:pPr>
      <w:r>
        <w:rPr>
          <w:szCs w:val="18"/>
        </w:rPr>
        <w:t>[</w:t>
      </w:r>
      <w:r w:rsidRPr="0077615B">
        <w:rPr>
          <w:szCs w:val="18"/>
        </w:rPr>
        <w:t>186</w:t>
      </w:r>
      <w:r>
        <w:rPr>
          <w:szCs w:val="18"/>
        </w:rPr>
        <w:t>]</w:t>
      </w:r>
    </w:p>
    <w:p w:rsidR="00AD690E" w:rsidRPr="0077615B" w:rsidRDefault="00AD690E" w:rsidP="00AD690E">
      <w:pPr>
        <w:pStyle w:val="Grillecouleur-Accent1"/>
      </w:pPr>
    </w:p>
    <w:p w:rsidR="00AD690E" w:rsidRDefault="00AD690E" w:rsidP="00AD690E">
      <w:pPr>
        <w:pStyle w:val="Grillecouleur-Accent1"/>
        <w:rPr>
          <w:szCs w:val="18"/>
        </w:rPr>
      </w:pPr>
      <w:r w:rsidRPr="00EA4F22">
        <w:rPr>
          <w:szCs w:val="18"/>
        </w:rPr>
        <w:t>Il devenait de plus en plus évident que les industries manufacturières c</w:t>
      </w:r>
      <w:r w:rsidRPr="00EA4F22">
        <w:rPr>
          <w:szCs w:val="18"/>
        </w:rPr>
        <w:t>a</w:t>
      </w:r>
      <w:r w:rsidRPr="00EA4F22">
        <w:rPr>
          <w:szCs w:val="18"/>
        </w:rPr>
        <w:t>nadiennes voyaient leur part des marchés domestiques et internationaux décroître depuis au moins une décennie. L'importation des produits man</w:t>
      </w:r>
      <w:r w:rsidRPr="00EA4F22">
        <w:rPr>
          <w:szCs w:val="18"/>
        </w:rPr>
        <w:t>u</w:t>
      </w:r>
      <w:r w:rsidRPr="00EA4F22">
        <w:rPr>
          <w:szCs w:val="18"/>
        </w:rPr>
        <w:t>facturés était pa</w:t>
      </w:r>
      <w:r w:rsidRPr="00EA4F22">
        <w:rPr>
          <w:szCs w:val="18"/>
        </w:rPr>
        <w:t>s</w:t>
      </w:r>
      <w:r w:rsidRPr="00EA4F22">
        <w:rPr>
          <w:szCs w:val="18"/>
        </w:rPr>
        <w:t>sée de 21,6% en 1966 à 29,6% en 1976, et à un peu moins de 31% en 1977</w:t>
      </w:r>
      <w:r>
        <w:rPr>
          <w:szCs w:val="18"/>
        </w:rPr>
        <w:t> </w:t>
      </w:r>
      <w:r w:rsidRPr="000D6A43">
        <w:rPr>
          <w:rStyle w:val="Appelnotedebasdep"/>
          <w:szCs w:val="18"/>
        </w:rPr>
        <w:footnoteReference w:id="335"/>
      </w:r>
      <w:r w:rsidRPr="00EA4F22">
        <w:rPr>
          <w:szCs w:val="18"/>
        </w:rPr>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En octobre de la même année, le Conseil des sciences du C</w:t>
      </w:r>
      <w:r w:rsidRPr="0077615B">
        <w:rPr>
          <w:szCs w:val="22"/>
        </w:rPr>
        <w:t>a</w:t>
      </w:r>
      <w:r w:rsidRPr="0077615B">
        <w:rPr>
          <w:szCs w:val="22"/>
        </w:rPr>
        <w:t xml:space="preserve">nada publie </w:t>
      </w:r>
      <w:r w:rsidRPr="00B04C26">
        <w:rPr>
          <w:i/>
          <w:szCs w:val="22"/>
        </w:rPr>
        <w:t>Uncertain Prospects</w:t>
      </w:r>
      <w:r w:rsidRPr="0077615B">
        <w:rPr>
          <w:szCs w:val="22"/>
        </w:rPr>
        <w:t>, où l'on invoque pour la premi</w:t>
      </w:r>
      <w:r w:rsidRPr="0077615B">
        <w:rPr>
          <w:szCs w:val="22"/>
        </w:rPr>
        <w:t>è</w:t>
      </w:r>
      <w:r w:rsidRPr="0077615B">
        <w:rPr>
          <w:szCs w:val="22"/>
        </w:rPr>
        <w:t>re fois le phénomène de la « désindustrialisation » de l'économie canadienne.</w:t>
      </w:r>
    </w:p>
    <w:p w:rsidR="00AD690E" w:rsidRPr="0077615B" w:rsidRDefault="00AD690E" w:rsidP="00AD690E">
      <w:pPr>
        <w:spacing w:before="120" w:after="120"/>
        <w:jc w:val="both"/>
      </w:pPr>
      <w:r w:rsidRPr="0077615B">
        <w:rPr>
          <w:szCs w:val="22"/>
        </w:rPr>
        <w:t>Ainsi, à rencontre des schémas bipolaires développés par Tr</w:t>
      </w:r>
      <w:r w:rsidRPr="0077615B">
        <w:rPr>
          <w:szCs w:val="22"/>
        </w:rPr>
        <w:t>u</w:t>
      </w:r>
      <w:r w:rsidRPr="0077615B">
        <w:rPr>
          <w:szCs w:val="22"/>
        </w:rPr>
        <w:t>deau (1967), Gilpin (1977), voire par tout un courant radical, s'est progre</w:t>
      </w:r>
      <w:r w:rsidRPr="0077615B">
        <w:rPr>
          <w:szCs w:val="22"/>
        </w:rPr>
        <w:t>s</w:t>
      </w:r>
      <w:r w:rsidRPr="0077615B">
        <w:rPr>
          <w:szCs w:val="22"/>
        </w:rPr>
        <w:t xml:space="preserve">sivement imposée une démarche plus souple esquissée au départ par Richard Simeon dans son </w:t>
      </w:r>
      <w:r w:rsidRPr="00B04C26">
        <w:rPr>
          <w:i/>
          <w:szCs w:val="22"/>
        </w:rPr>
        <w:t>Federal-Provincial Dipl</w:t>
      </w:r>
      <w:r w:rsidRPr="00B04C26">
        <w:rPr>
          <w:i/>
          <w:szCs w:val="22"/>
        </w:rPr>
        <w:t>o</w:t>
      </w:r>
      <w:r w:rsidRPr="00B04C26">
        <w:rPr>
          <w:i/>
          <w:szCs w:val="22"/>
        </w:rPr>
        <w:t>macy</w:t>
      </w:r>
      <w:r w:rsidRPr="0077615B">
        <w:rPr>
          <w:szCs w:val="22"/>
        </w:rPr>
        <w:t xml:space="preserve">. </w:t>
      </w:r>
      <w:r w:rsidRPr="00B04C26">
        <w:rPr>
          <w:i/>
          <w:szCs w:val="22"/>
        </w:rPr>
        <w:t>The making of recent policy in Canada</w:t>
      </w:r>
      <w:r w:rsidRPr="0077615B">
        <w:rPr>
          <w:szCs w:val="22"/>
        </w:rPr>
        <w:t>, publié en 1972, et enrichi depuis. Par exemple, Barbara Hodgins écrivait, peu avant le rapatriement de la Constitution, en 1981 :</w:t>
      </w:r>
    </w:p>
    <w:p w:rsidR="00AD690E" w:rsidRDefault="00AD690E" w:rsidP="00AD690E">
      <w:pPr>
        <w:pStyle w:val="Grillecouleur-Accent1"/>
      </w:pPr>
    </w:p>
    <w:p w:rsidR="00AD690E" w:rsidRDefault="00AD690E" w:rsidP="00AD690E">
      <w:pPr>
        <w:pStyle w:val="Grillecouleur-Accent1"/>
        <w:rPr>
          <w:i/>
        </w:rPr>
      </w:pPr>
      <w:r w:rsidRPr="00B04C26">
        <w:t xml:space="preserve">Le précédent examen des négociations constitutionnelles a montré que les provinces </w:t>
      </w:r>
      <w:r w:rsidRPr="00B04C26">
        <w:rPr>
          <w:i/>
        </w:rPr>
        <w:t>(province-builders)</w:t>
      </w:r>
      <w:r w:rsidRPr="00B04C26">
        <w:t xml:space="preserve"> cherchent à étendre leur pouvoir const</w:t>
      </w:r>
      <w:r w:rsidRPr="00B04C26">
        <w:t>i</w:t>
      </w:r>
      <w:r w:rsidRPr="00B04C26">
        <w:t>tutionnel et à réaliser une plus grande décentralisation du pouvoir au C</w:t>
      </w:r>
      <w:r w:rsidRPr="00B04C26">
        <w:t>a</w:t>
      </w:r>
      <w:r w:rsidRPr="00B04C26">
        <w:t>nada. Dans l'ensemble, le gouvernement fédéral</w:t>
      </w:r>
      <w:r w:rsidRPr="00B04C26">
        <w:rPr>
          <w:i/>
        </w:rPr>
        <w:t xml:space="preserve"> (country-builders) ne </w:t>
      </w:r>
      <w:r w:rsidRPr="00B04C26">
        <w:t>te</w:t>
      </w:r>
      <w:r w:rsidRPr="00B04C26">
        <w:t>n</w:t>
      </w:r>
      <w:r w:rsidRPr="00B04C26">
        <w:t>te pas d'opérer un mouvement concomitant vers une plus grande central</w:t>
      </w:r>
      <w:r w:rsidRPr="00B04C26">
        <w:t>i</w:t>
      </w:r>
      <w:r w:rsidRPr="00B04C26">
        <w:t>sation du pouvoir. Au contraire, celui-ci semble plus orienté vers l'annul</w:t>
      </w:r>
      <w:r w:rsidRPr="00B04C26">
        <w:t>a</w:t>
      </w:r>
      <w:r w:rsidRPr="00B04C26">
        <w:t>tion de l'offensive provinciale et à serrer la marge de manœuvre des pr</w:t>
      </w:r>
      <w:r w:rsidRPr="00B04C26">
        <w:t>o</w:t>
      </w:r>
      <w:r w:rsidRPr="00B04C26">
        <w:t>vinces au lieu, en particulier, d'accorder une plus grande standardisation et une meilleure protection contre l'érosion du rôle du gouvernement fédéral dans la définition de l'« intérêt national » et d'une politique nation</w:t>
      </w:r>
      <w:r w:rsidRPr="00B04C26">
        <w:t>a</w:t>
      </w:r>
      <w:r w:rsidRPr="00B04C26">
        <w:t>le</w:t>
      </w:r>
      <w:r>
        <w:t> </w:t>
      </w:r>
      <w:r w:rsidRPr="000D6A43">
        <w:rPr>
          <w:rStyle w:val="Appelnotedebasdep"/>
          <w:szCs w:val="18"/>
        </w:rPr>
        <w:footnoteReference w:id="336"/>
      </w:r>
      <w:r w:rsidRPr="00B04C26">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Sans aller aussi loin, la récente étude de Michael Jenkin établit que « la légitimité d'une action fédérale en matière de politique industrie</w:t>
      </w:r>
      <w:r w:rsidRPr="0077615B">
        <w:rPr>
          <w:szCs w:val="22"/>
        </w:rPr>
        <w:t>l</w:t>
      </w:r>
      <w:r w:rsidRPr="0077615B">
        <w:rPr>
          <w:szCs w:val="22"/>
        </w:rPr>
        <w:t>le, considérée sous l'angle régional, est parfois mise en doute »</w:t>
      </w:r>
      <w:r>
        <w:rPr>
          <w:szCs w:val="22"/>
        </w:rPr>
        <w:t> </w:t>
      </w:r>
      <w:r w:rsidRPr="000D6A43">
        <w:rPr>
          <w:rStyle w:val="Appelnotedebasdep"/>
        </w:rPr>
        <w:footnoteReference w:id="337"/>
      </w:r>
      <w:r w:rsidRPr="0077615B">
        <w:rPr>
          <w:szCs w:val="22"/>
        </w:rPr>
        <w:t>.</w:t>
      </w:r>
    </w:p>
    <w:p w:rsidR="00AD690E" w:rsidRPr="0077615B" w:rsidRDefault="00AD690E" w:rsidP="00AD690E">
      <w:pPr>
        <w:spacing w:before="120" w:after="120"/>
        <w:jc w:val="both"/>
      </w:pPr>
      <w:r w:rsidRPr="0077615B">
        <w:rPr>
          <w:szCs w:val="22"/>
        </w:rPr>
        <w:t>Et l'auteur conclut en ces termes :</w:t>
      </w:r>
    </w:p>
    <w:p w:rsidR="00AD690E" w:rsidRDefault="00AD690E" w:rsidP="00AD690E">
      <w:pPr>
        <w:pStyle w:val="Grillecouleur-Accent1"/>
      </w:pPr>
    </w:p>
    <w:p w:rsidR="00AD690E" w:rsidRDefault="00AD690E" w:rsidP="00AD690E">
      <w:pPr>
        <w:pStyle w:val="Grillecouleur-Accent1"/>
      </w:pPr>
      <w:r w:rsidRPr="0092495C">
        <w:t>En principe, il faudrait créer un mécanisme administratif pouvant a</w:t>
      </w:r>
      <w:r w:rsidRPr="0092495C">
        <w:t>s</w:t>
      </w:r>
      <w:r w:rsidRPr="0092495C">
        <w:t>socier des programmes de développement industriel mieux adaptés aux besoins des régions avec une méthode intégrée et cohérente de dévelo</w:t>
      </w:r>
      <w:r w:rsidRPr="0092495C">
        <w:t>p</w:t>
      </w:r>
      <w:r w:rsidRPr="0092495C">
        <w:t>pement industriel au plan n</w:t>
      </w:r>
      <w:r w:rsidRPr="0092495C">
        <w:t>a</w:t>
      </w:r>
      <w:r w:rsidRPr="0092495C">
        <w:t>tional</w:t>
      </w:r>
      <w:r>
        <w:t> </w:t>
      </w:r>
      <w:r w:rsidRPr="000D6A43">
        <w:rPr>
          <w:rStyle w:val="Appelnotedebasdep"/>
          <w:szCs w:val="18"/>
        </w:rPr>
        <w:footnoteReference w:id="338"/>
      </w:r>
      <w:r w:rsidRPr="0092495C">
        <w:t>.</w:t>
      </w:r>
    </w:p>
    <w:p w:rsidR="00AD690E" w:rsidRPr="000217F5" w:rsidRDefault="00AD690E" w:rsidP="00AD690E">
      <w:pPr>
        <w:pStyle w:val="Grillecouleur-Accent1"/>
        <w:rPr>
          <w:i/>
        </w:rPr>
      </w:pPr>
    </w:p>
    <w:p w:rsidR="00AD690E" w:rsidRPr="002A0B80" w:rsidRDefault="00AD690E" w:rsidP="00AD690E">
      <w:pPr>
        <w:spacing w:before="120" w:after="120"/>
        <w:jc w:val="both"/>
        <w:rPr>
          <w:szCs w:val="22"/>
        </w:rPr>
      </w:pPr>
      <w:r w:rsidRPr="002A0B80">
        <w:rPr>
          <w:szCs w:val="22"/>
        </w:rPr>
        <w:t>[187]</w:t>
      </w:r>
    </w:p>
    <w:p w:rsidR="00AD690E" w:rsidRPr="0077615B" w:rsidRDefault="00AD690E" w:rsidP="00AD690E">
      <w:pPr>
        <w:spacing w:before="120" w:after="120"/>
        <w:jc w:val="both"/>
      </w:pPr>
      <w:r w:rsidRPr="0077615B">
        <w:rPr>
          <w:szCs w:val="22"/>
        </w:rPr>
        <w:t>C'est ce genre d'assouplissement que les conservateurs vont che</w:t>
      </w:r>
      <w:r w:rsidRPr="0077615B">
        <w:rPr>
          <w:szCs w:val="22"/>
        </w:rPr>
        <w:t>r</w:t>
      </w:r>
      <w:r w:rsidRPr="0077615B">
        <w:rPr>
          <w:szCs w:val="22"/>
        </w:rPr>
        <w:t>cher à instituer peu après leur arrivée au pouvoir en septe</w:t>
      </w:r>
      <w:r w:rsidRPr="0077615B">
        <w:rPr>
          <w:szCs w:val="22"/>
        </w:rPr>
        <w:t>m</w:t>
      </w:r>
      <w:r w:rsidRPr="0077615B">
        <w:rPr>
          <w:szCs w:val="22"/>
        </w:rPr>
        <w:t>bre 1984.</w:t>
      </w:r>
    </w:p>
    <w:p w:rsidR="00AD690E" w:rsidRPr="0077615B" w:rsidRDefault="00AD690E" w:rsidP="00AD690E">
      <w:pPr>
        <w:spacing w:before="120" w:after="120"/>
        <w:jc w:val="both"/>
      </w:pPr>
      <w:r w:rsidRPr="0077615B">
        <w:rPr>
          <w:szCs w:val="22"/>
        </w:rPr>
        <w:t>Ainsi, dans son exposé du 8 novembre 1984, le ministre féd</w:t>
      </w:r>
      <w:r w:rsidRPr="0077615B">
        <w:rPr>
          <w:szCs w:val="22"/>
        </w:rPr>
        <w:t>é</w:t>
      </w:r>
      <w:r w:rsidRPr="0077615B">
        <w:rPr>
          <w:szCs w:val="22"/>
        </w:rPr>
        <w:t>ral des Finances établissait un « programme fédéral de renouveau éc</w:t>
      </w:r>
      <w:r w:rsidRPr="0077615B">
        <w:rPr>
          <w:szCs w:val="22"/>
        </w:rPr>
        <w:t>o</w:t>
      </w:r>
      <w:r w:rsidRPr="0077615B">
        <w:rPr>
          <w:szCs w:val="22"/>
        </w:rPr>
        <w:t>nomique » en quatre points où il était question : premièrement, de r</w:t>
      </w:r>
      <w:r w:rsidRPr="0077615B">
        <w:rPr>
          <w:szCs w:val="22"/>
        </w:rPr>
        <w:t>é</w:t>
      </w:r>
      <w:r w:rsidRPr="0077615B">
        <w:rPr>
          <w:szCs w:val="22"/>
        </w:rPr>
        <w:t>sorber l'accumulation massive de la dette publique ; deuxièmement, de redéfinir le rôle de l'État ; troisièmement, d'améliorer la performance au niveau des investissements ; et, quatrièmement, de réaliser ces changements de manière équit</w:t>
      </w:r>
      <w:r w:rsidRPr="0077615B">
        <w:rPr>
          <w:szCs w:val="22"/>
        </w:rPr>
        <w:t>a</w:t>
      </w:r>
      <w:r w:rsidRPr="0077615B">
        <w:rPr>
          <w:szCs w:val="22"/>
        </w:rPr>
        <w:t>ble.</w:t>
      </w:r>
    </w:p>
    <w:p w:rsidR="00AD690E" w:rsidRPr="0077615B" w:rsidRDefault="00AD690E" w:rsidP="00AD690E">
      <w:pPr>
        <w:spacing w:before="120" w:after="120"/>
        <w:jc w:val="both"/>
      </w:pPr>
      <w:r w:rsidRPr="0077615B">
        <w:rPr>
          <w:szCs w:val="22"/>
        </w:rPr>
        <w:t>La tâche de redéfinir le rôle de l'État a été confiée au vice-premier ministre, Erik Nielsen. En attendant, il vaut de rappeler que cette question de la réduction de l'interventionnisme a aussi été mise à l'o</w:t>
      </w:r>
      <w:r w:rsidRPr="0077615B">
        <w:rPr>
          <w:szCs w:val="22"/>
        </w:rPr>
        <w:t>r</w:t>
      </w:r>
      <w:r w:rsidRPr="0077615B">
        <w:rPr>
          <w:szCs w:val="22"/>
        </w:rPr>
        <w:t>dre du jour de la Conférence des premiers ministres sur l'économie, tenue à Régina les 14 et 15 février 1985. Dans son allocution d'ouve</w:t>
      </w:r>
      <w:r w:rsidRPr="0077615B">
        <w:rPr>
          <w:szCs w:val="22"/>
        </w:rPr>
        <w:t>r</w:t>
      </w:r>
      <w:r w:rsidRPr="0077615B">
        <w:rPr>
          <w:szCs w:val="22"/>
        </w:rPr>
        <w:t>ture, le premier ministre Mulroney donnait le ton dans les termes su</w:t>
      </w:r>
      <w:r w:rsidRPr="0077615B">
        <w:rPr>
          <w:szCs w:val="22"/>
        </w:rPr>
        <w:t>i</w:t>
      </w:r>
      <w:r w:rsidRPr="0077615B">
        <w:rPr>
          <w:szCs w:val="22"/>
        </w:rPr>
        <w:t>vants :</w:t>
      </w:r>
    </w:p>
    <w:p w:rsidR="00AD690E" w:rsidRDefault="00AD690E" w:rsidP="00AD690E">
      <w:pPr>
        <w:pStyle w:val="Grillecouleur-Accent1"/>
      </w:pPr>
    </w:p>
    <w:p w:rsidR="00AD690E" w:rsidRPr="000217F5" w:rsidRDefault="00AD690E" w:rsidP="00AD690E">
      <w:pPr>
        <w:pStyle w:val="Grillecouleur-Accent1"/>
        <w:rPr>
          <w:i/>
        </w:rPr>
      </w:pPr>
      <w:r w:rsidRPr="0092495C">
        <w:t>La préparation conjointe de cette Conférence démontre notre volo</w:t>
      </w:r>
      <w:r w:rsidRPr="0092495C">
        <w:t>n</w:t>
      </w:r>
      <w:r w:rsidRPr="0092495C">
        <w:t>té commune de travailler ensemble dans un nouvel esprit d'harm</w:t>
      </w:r>
      <w:r w:rsidRPr="0092495C">
        <w:t>o</w:t>
      </w:r>
      <w:r w:rsidRPr="0092495C">
        <w:t>nie et de confiance m</w:t>
      </w:r>
      <w:r w:rsidRPr="0092495C">
        <w:t>u</w:t>
      </w:r>
      <w:r w:rsidRPr="0092495C">
        <w:t>tuelle.</w:t>
      </w:r>
      <w:r w:rsidRPr="0092495C">
        <w:rPr>
          <w:i/>
        </w:rPr>
        <w:t xml:space="preserve"> </w:t>
      </w:r>
    </w:p>
    <w:p w:rsidR="00AD690E" w:rsidRPr="000217F5" w:rsidRDefault="00AD690E" w:rsidP="00AD690E">
      <w:pPr>
        <w:pStyle w:val="Grillecouleur-Accent1"/>
        <w:rPr>
          <w:i/>
        </w:rPr>
      </w:pPr>
      <w:r w:rsidRPr="0092495C">
        <w:t xml:space="preserve"> [...] Au cours de la campagne électorale, j'ai déclaré à maintes r</w:t>
      </w:r>
      <w:r w:rsidRPr="0092495C">
        <w:t>e</w:t>
      </w:r>
      <w:r w:rsidRPr="0092495C">
        <w:t>prises que l'objectif fondamental du nouveau gouvernement serait d'engager le Canada sur la voie de la réconciliation nationale et du renouveau écon</w:t>
      </w:r>
      <w:r w:rsidRPr="0092495C">
        <w:t>o</w:t>
      </w:r>
      <w:r w:rsidRPr="0092495C">
        <w:t>mique.</w:t>
      </w:r>
      <w:r w:rsidRPr="0092495C">
        <w:rPr>
          <w:i/>
        </w:rPr>
        <w:t xml:space="preserve"> </w:t>
      </w:r>
    </w:p>
    <w:p w:rsidR="00AD690E" w:rsidRDefault="00AD690E" w:rsidP="00AD690E">
      <w:pPr>
        <w:pStyle w:val="Grillecouleur-Accent1"/>
        <w:rPr>
          <w:i/>
        </w:rPr>
      </w:pPr>
      <w:r w:rsidRPr="0092495C">
        <w:t>À Sept-Îles, au mois d'août, j'ai affirmé que nous devions insuffler un nouvel esprit au fédéralisme...</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À la vérité, ce renouveau du fédéralisme s'inscrit dans la do</w:t>
      </w:r>
      <w:r w:rsidRPr="0077615B">
        <w:rPr>
          <w:szCs w:val="22"/>
        </w:rPr>
        <w:t>u</w:t>
      </w:r>
      <w:r w:rsidRPr="0077615B">
        <w:rPr>
          <w:szCs w:val="22"/>
        </w:rPr>
        <w:t>ble stratégie de désengagement de l</w:t>
      </w:r>
      <w:r>
        <w:rPr>
          <w:szCs w:val="22"/>
        </w:rPr>
        <w:t>’</w:t>
      </w:r>
      <w:r w:rsidRPr="0077615B">
        <w:rPr>
          <w:szCs w:val="22"/>
        </w:rPr>
        <w:t>État central et d'ouverture sur le continent nord-américain, double stratégie qui trouve son prolong</w:t>
      </w:r>
      <w:r w:rsidRPr="0077615B">
        <w:rPr>
          <w:szCs w:val="22"/>
        </w:rPr>
        <w:t>e</w:t>
      </w:r>
      <w:r w:rsidRPr="0077615B">
        <w:rPr>
          <w:szCs w:val="22"/>
        </w:rPr>
        <w:t>ment dans les accords signés par Mulroney et Reagan à Québec en mars de la même année, puis sanctionnée par la sign</w:t>
      </w:r>
      <w:r w:rsidRPr="0077615B">
        <w:rPr>
          <w:szCs w:val="22"/>
        </w:rPr>
        <w:t>a</w:t>
      </w:r>
      <w:r w:rsidRPr="0077615B">
        <w:rPr>
          <w:szCs w:val="22"/>
        </w:rPr>
        <w:t xml:space="preserve">ture de </w:t>
      </w:r>
      <w:r>
        <w:rPr>
          <w:szCs w:val="22"/>
        </w:rPr>
        <w:t>l’</w:t>
      </w:r>
      <w:r w:rsidRPr="00161ACD">
        <w:rPr>
          <w:i/>
          <w:szCs w:val="22"/>
        </w:rPr>
        <w:t>Accord de l</w:t>
      </w:r>
      <w:r w:rsidRPr="00161ACD">
        <w:rPr>
          <w:i/>
          <w:szCs w:val="22"/>
        </w:rPr>
        <w:t>i</w:t>
      </w:r>
      <w:r w:rsidRPr="00161ACD">
        <w:rPr>
          <w:i/>
          <w:szCs w:val="22"/>
        </w:rPr>
        <w:t xml:space="preserve">bre-échange </w:t>
      </w:r>
      <w:r w:rsidRPr="0077615B">
        <w:rPr>
          <w:szCs w:val="22"/>
        </w:rPr>
        <w:t>le 2 janvier 1988.</w:t>
      </w:r>
    </w:p>
    <w:p w:rsidR="00AD690E" w:rsidRPr="0077615B" w:rsidRDefault="00AD690E" w:rsidP="00AD690E">
      <w:pPr>
        <w:spacing w:before="120" w:after="120"/>
        <w:jc w:val="both"/>
      </w:pPr>
      <w:r w:rsidRPr="0077615B">
        <w:rPr>
          <w:szCs w:val="22"/>
        </w:rPr>
        <w:t>En effet, depuis la mise au rancart du nationalisme économ</w:t>
      </w:r>
      <w:r w:rsidRPr="0077615B">
        <w:rPr>
          <w:szCs w:val="22"/>
        </w:rPr>
        <w:t>i</w:t>
      </w:r>
      <w:r w:rsidRPr="0077615B">
        <w:rPr>
          <w:szCs w:val="22"/>
        </w:rPr>
        <w:t>que en 1982, on a assisté à un retour en force de l'option cont</w:t>
      </w:r>
      <w:r w:rsidRPr="0077615B">
        <w:rPr>
          <w:szCs w:val="22"/>
        </w:rPr>
        <w:t>i</w:t>
      </w:r>
      <w:r w:rsidRPr="0077615B">
        <w:rPr>
          <w:szCs w:val="22"/>
        </w:rPr>
        <w:t>nentale. Et cela était déjà apparent durant les toutes dernières années du règne de Tr</w:t>
      </w:r>
      <w:r w:rsidRPr="0077615B">
        <w:rPr>
          <w:szCs w:val="22"/>
        </w:rPr>
        <w:t>u</w:t>
      </w:r>
      <w:r w:rsidRPr="0077615B">
        <w:rPr>
          <w:szCs w:val="22"/>
        </w:rPr>
        <w:t>deau.</w:t>
      </w:r>
    </w:p>
    <w:p w:rsidR="00AD690E" w:rsidRPr="0077615B" w:rsidRDefault="00AD690E" w:rsidP="00AD690E">
      <w:pPr>
        <w:spacing w:before="120" w:after="120"/>
        <w:jc w:val="both"/>
      </w:pPr>
      <w:r w:rsidRPr="0077615B">
        <w:rPr>
          <w:szCs w:val="22"/>
        </w:rPr>
        <w:t>C'est pourquoi, pour le Canada, le pacte de libre-échange a</w:t>
      </w:r>
      <w:r w:rsidRPr="0077615B">
        <w:rPr>
          <w:szCs w:val="22"/>
        </w:rPr>
        <w:t>p</w:t>
      </w:r>
      <w:r w:rsidRPr="0077615B">
        <w:rPr>
          <w:szCs w:val="22"/>
        </w:rPr>
        <w:t>paraît comme un prolongement de deux enjeux en apparence di</w:t>
      </w:r>
      <w:r w:rsidRPr="0077615B">
        <w:rPr>
          <w:szCs w:val="22"/>
        </w:rPr>
        <w:t>s</w:t>
      </w:r>
      <w:r w:rsidRPr="0077615B">
        <w:rPr>
          <w:szCs w:val="22"/>
        </w:rPr>
        <w:t>tincts : il peut d'abord s'avérer être une stratégie visant à surmo</w:t>
      </w:r>
      <w:r w:rsidRPr="0077615B">
        <w:rPr>
          <w:szCs w:val="22"/>
        </w:rPr>
        <w:t>n</w:t>
      </w:r>
      <w:r w:rsidRPr="0077615B">
        <w:rPr>
          <w:szCs w:val="22"/>
        </w:rPr>
        <w:t>ter l'actuelle fragmentation du marché canadien, il peut ensuite servir à implanter de force une spécialisation industrielle.</w:t>
      </w:r>
    </w:p>
    <w:p w:rsidR="00AD690E" w:rsidRPr="0077615B" w:rsidRDefault="00AD690E" w:rsidP="00AD690E">
      <w:pPr>
        <w:spacing w:before="120" w:after="120"/>
        <w:jc w:val="both"/>
      </w:pPr>
      <w:r w:rsidRPr="0077615B">
        <w:rPr>
          <w:szCs w:val="22"/>
        </w:rPr>
        <w:t>Sous ces deux angles, le libre-échange constitue une option qui instituerait une politique industrielle par défaut, voire, comme une substitution de contraintes propres à l'établissement d'un marché continental à rencontre d'une implantation d'une politique industrielle en bonne et due forme.</w:t>
      </w:r>
    </w:p>
    <w:p w:rsidR="00AD690E" w:rsidRPr="0077615B" w:rsidRDefault="00AD690E" w:rsidP="00AD690E">
      <w:pPr>
        <w:spacing w:before="120" w:after="120"/>
        <w:ind w:firstLine="0"/>
        <w:jc w:val="both"/>
      </w:pPr>
      <w:r w:rsidRPr="0077615B">
        <w:br w:type="page"/>
      </w:r>
      <w:r>
        <w:t>[</w:t>
      </w:r>
      <w:r w:rsidRPr="0077615B">
        <w:t>188</w:t>
      </w:r>
      <w:r>
        <w:t>]</w:t>
      </w:r>
    </w:p>
    <w:p w:rsidR="00AD690E" w:rsidRDefault="00AD690E" w:rsidP="00AD690E">
      <w:pPr>
        <w:spacing w:before="120" w:after="120"/>
        <w:jc w:val="both"/>
      </w:pPr>
    </w:p>
    <w:p w:rsidR="00AD690E" w:rsidRPr="0077615B" w:rsidRDefault="00AD690E" w:rsidP="00AD690E">
      <w:pPr>
        <w:pStyle w:val="planche"/>
      </w:pPr>
      <w:r w:rsidRPr="0077615B">
        <w:t>LE CANADA</w:t>
      </w:r>
      <w:r>
        <w:br/>
      </w:r>
      <w:r w:rsidRPr="0077615B">
        <w:t xml:space="preserve"> ET LE CONTEXTE INTERNATI</w:t>
      </w:r>
      <w:r w:rsidRPr="0077615B">
        <w:t>O</w:t>
      </w:r>
      <w:r w:rsidRPr="0077615B">
        <w:t>NAL</w:t>
      </w:r>
    </w:p>
    <w:p w:rsidR="00AD690E" w:rsidRDefault="00AD690E" w:rsidP="00AD690E">
      <w:pPr>
        <w:spacing w:before="120" w:after="120"/>
        <w:jc w:val="both"/>
      </w:pPr>
    </w:p>
    <w:p w:rsidR="00AD690E" w:rsidRPr="0077615B" w:rsidRDefault="00AD690E" w:rsidP="00AD690E">
      <w:pPr>
        <w:spacing w:before="120" w:after="120"/>
        <w:jc w:val="both"/>
      </w:pPr>
      <w:r w:rsidRPr="0077615B">
        <w:t>Les économies américaine et canadienne ont évolué à l'ombre des institutions issues de la Conférence de Bretton Woods, tenue en 1944. Néanmoins, la montée concurrente des économies européenne et j</w:t>
      </w:r>
      <w:r w:rsidRPr="0077615B">
        <w:t>a</w:t>
      </w:r>
      <w:r w:rsidRPr="0077615B">
        <w:t>ponaise, de même que la politique économique adoptée par l'admini</w:t>
      </w:r>
      <w:r w:rsidRPr="0077615B">
        <w:t>s</w:t>
      </w:r>
      <w:r w:rsidRPr="0077615B">
        <w:t>tration démocrate du président Johnson durant la guerre du Vietnam, ont conduit le président républicain Richard Nixon à décréter une d</w:t>
      </w:r>
      <w:r w:rsidRPr="0077615B">
        <w:t>é</w:t>
      </w:r>
      <w:r w:rsidRPr="0077615B">
        <w:t>valuation dramatique et à suspendre la convertibilité en or du dollar le 15 août 1971</w:t>
      </w:r>
      <w:r>
        <w:t> </w:t>
      </w:r>
      <w:r w:rsidRPr="000D6A43">
        <w:rPr>
          <w:rStyle w:val="Appelnotedebasdep"/>
        </w:rPr>
        <w:footnoteReference w:id="339"/>
      </w:r>
      <w:r w:rsidRPr="0077615B">
        <w:t>.</w:t>
      </w:r>
    </w:p>
    <w:p w:rsidR="00AD690E" w:rsidRPr="0077615B" w:rsidRDefault="00AD690E" w:rsidP="00AD690E">
      <w:pPr>
        <w:spacing w:before="120" w:after="120"/>
        <w:jc w:val="both"/>
      </w:pPr>
      <w:r w:rsidRPr="0077615B">
        <w:t>Depuis la sanction de ces mesures, on a assisté à diverses te</w:t>
      </w:r>
      <w:r w:rsidRPr="0077615B">
        <w:t>n</w:t>
      </w:r>
      <w:r w:rsidRPr="0077615B">
        <w:t>tatives d'ébauche d'un « nouvel ordre économique mondial » c</w:t>
      </w:r>
      <w:r w:rsidRPr="0077615B">
        <w:t>a</w:t>
      </w:r>
      <w:r w:rsidRPr="0077615B">
        <w:t>ractérisé par le flottement généralisé des monnaies. Si, en principe, ce nouveau sy</w:t>
      </w:r>
      <w:r w:rsidRPr="0077615B">
        <w:t>s</w:t>
      </w:r>
      <w:r w:rsidRPr="0077615B">
        <w:t>tème devait permettre de maintenir la stabilité des cours internati</w:t>
      </w:r>
      <w:r w:rsidRPr="0077615B">
        <w:t>o</w:t>
      </w:r>
      <w:r w:rsidRPr="0077615B">
        <w:t>naux, en pratique, cependant, le flottement généralisé s'est avéré dé</w:t>
      </w:r>
      <w:r w:rsidRPr="0077615B">
        <w:t>s</w:t>
      </w:r>
      <w:r w:rsidRPr="0077615B">
        <w:t>tabilisateur puisque le nombre des a</w:t>
      </w:r>
      <w:r w:rsidRPr="0077615B">
        <w:t>c</w:t>
      </w:r>
      <w:r w:rsidRPr="0077615B">
        <w:t>teurs qui ont une influence réelle est limité aux « cinq monnaies les plus importantes »</w:t>
      </w:r>
      <w:r>
        <w:t> </w:t>
      </w:r>
      <w:r w:rsidRPr="000D6A43">
        <w:rPr>
          <w:rStyle w:val="Appelnotedebasdep"/>
        </w:rPr>
        <w:footnoteReference w:id="340"/>
      </w:r>
      <w:r w:rsidRPr="0077615B">
        <w:t>. En cons</w:t>
      </w:r>
      <w:r w:rsidRPr="0077615B">
        <w:t>é</w:t>
      </w:r>
      <w:r w:rsidRPr="0077615B">
        <w:t>quence, ce sont moins les fo</w:t>
      </w:r>
      <w:r w:rsidRPr="0077615B">
        <w:t>r</w:t>
      </w:r>
      <w:r w:rsidRPr="0077615B">
        <w:t>ces d'un marché anonyme qui prévalent dans l'édification du no</w:t>
      </w:r>
      <w:r w:rsidRPr="0077615B">
        <w:t>u</w:t>
      </w:r>
      <w:r w:rsidRPr="0077615B">
        <w:t>vel ordre économique, mais bien la gestion colle</w:t>
      </w:r>
      <w:r w:rsidRPr="0077615B">
        <w:t>c</w:t>
      </w:r>
      <w:r w:rsidRPr="0077615B">
        <w:t>tive du marché mondial telle qu'elle a pu opérer, en particulier, lors de la tenue des sommets économiques des chefs des pays les plus industrial</w:t>
      </w:r>
      <w:r w:rsidRPr="0077615B">
        <w:t>i</w:t>
      </w:r>
      <w:r w:rsidRPr="0077615B">
        <w:t>sés.</w:t>
      </w:r>
    </w:p>
    <w:p w:rsidR="00AD690E" w:rsidRPr="0077615B" w:rsidRDefault="00AD690E" w:rsidP="00AD690E">
      <w:pPr>
        <w:spacing w:before="120" w:after="120"/>
        <w:jc w:val="both"/>
      </w:pPr>
      <w:r w:rsidRPr="0077615B">
        <w:t>Réuni une première fois à six au château de Rambouillet, du 15 au 17 novembre 1975, le groupe des pays les plus industrial</w:t>
      </w:r>
      <w:r w:rsidRPr="0077615B">
        <w:t>i</w:t>
      </w:r>
      <w:r w:rsidRPr="0077615B">
        <w:t>sés devait inclure le Canada dès l'année suivante, en 1976</w:t>
      </w:r>
      <w:r>
        <w:t> </w:t>
      </w:r>
      <w:r w:rsidRPr="000D6A43">
        <w:rPr>
          <w:rStyle w:val="Appelnotedebasdep"/>
        </w:rPr>
        <w:footnoteReference w:id="341"/>
      </w:r>
      <w:r w:rsidRPr="0077615B">
        <w:t>.</w:t>
      </w:r>
    </w:p>
    <w:p w:rsidR="00AD690E" w:rsidRPr="0077615B" w:rsidRDefault="00AD690E" w:rsidP="00AD690E">
      <w:pPr>
        <w:spacing w:before="120" w:after="120"/>
        <w:jc w:val="both"/>
      </w:pPr>
      <w:r w:rsidRPr="0077615B">
        <w:t>À l'occasion de ces sommets, il a été question aussi bien de coop</w:t>
      </w:r>
      <w:r w:rsidRPr="0077615B">
        <w:t>é</w:t>
      </w:r>
      <w:r w:rsidRPr="0077615B">
        <w:t>ration monétaire, de politique macroéconomique, de commerce inte</w:t>
      </w:r>
      <w:r w:rsidRPr="0077615B">
        <w:t>r</w:t>
      </w:r>
      <w:r w:rsidRPr="0077615B">
        <w:t>national, des relations Est-Ouest et d'énergie que des relations Nord-Sud.</w:t>
      </w:r>
    </w:p>
    <w:p w:rsidR="00AD690E" w:rsidRPr="0077615B" w:rsidRDefault="00AD690E" w:rsidP="00AD690E">
      <w:pPr>
        <w:spacing w:before="120" w:after="120"/>
        <w:jc w:val="both"/>
      </w:pPr>
      <w:r w:rsidRPr="0077615B">
        <w:t>Depuis Rambouillet, les « six », puis les « sept » par après, se sont engagés sur la voie de la libéralisation des échanges et se sont ente</w:t>
      </w:r>
      <w:r w:rsidRPr="0077615B">
        <w:t>n</w:t>
      </w:r>
      <w:r w:rsidRPr="0077615B">
        <w:t>dus pour éviter l'application de nouvelles restrictions commerciales.</w:t>
      </w:r>
    </w:p>
    <w:p w:rsidR="00AD690E" w:rsidRDefault="00AD690E" w:rsidP="00AD690E">
      <w:pPr>
        <w:pStyle w:val="Grillecouleur-Accent1"/>
      </w:pPr>
    </w:p>
    <w:p w:rsidR="00AD690E" w:rsidRDefault="00AD690E" w:rsidP="00AD690E">
      <w:pPr>
        <w:pStyle w:val="Grillecouleur-Accent1"/>
      </w:pPr>
      <w:r w:rsidRPr="0081599C">
        <w:t>On estime généralement que la réaffirmation de cet attachement à l'e</w:t>
      </w:r>
      <w:r w:rsidRPr="0081599C">
        <w:t>n</w:t>
      </w:r>
      <w:r w:rsidRPr="0081599C">
        <w:t>gag</w:t>
      </w:r>
      <w:r w:rsidRPr="0081599C">
        <w:t>e</w:t>
      </w:r>
      <w:r w:rsidRPr="0081599C">
        <w:t>ment pris par les pays de l'OCDE, qui devait s'avérer être un leitmotiv des sommets ultérieurs, a renforcé la capacité des gouvernements des pays participant au sommet à faire face aux pressions infl</w:t>
      </w:r>
      <w:r w:rsidRPr="0081599C">
        <w:t>a</w:t>
      </w:r>
      <w:r w:rsidRPr="0081599C">
        <w:t>tionnistes.</w:t>
      </w:r>
      <w:r>
        <w:t> </w:t>
      </w:r>
      <w:r w:rsidRPr="000D6A43">
        <w:rPr>
          <w:rStyle w:val="Appelnotedebasdep"/>
          <w:szCs w:val="18"/>
        </w:rPr>
        <w:footnoteReference w:id="342"/>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t>En attendant, la situation économique au sein des pays me</w:t>
      </w:r>
      <w:r w:rsidRPr="0077615B">
        <w:t>m</w:t>
      </w:r>
      <w:r w:rsidRPr="0077615B">
        <w:t>bres continue de se détériorer durant la deuxième moitié des a</w:t>
      </w:r>
      <w:r w:rsidRPr="0077615B">
        <w:t>n</w:t>
      </w:r>
      <w:r w:rsidRPr="0077615B">
        <w:t>nées 70. Si, à l'occasion du premier choc pétrolier consécutif à la guerre du Yom Kippour en 1973, l'absence de concertation entre les pays industrial</w:t>
      </w:r>
      <w:r w:rsidRPr="0077615B">
        <w:t>i</w:t>
      </w:r>
      <w:r w:rsidRPr="0077615B">
        <w:t>sés prévaut en matière énergétique, lors du s</w:t>
      </w:r>
      <w:r w:rsidRPr="0077615B">
        <w:t>e</w:t>
      </w:r>
      <w:r w:rsidRPr="0077615B">
        <w:t>cond choc qui suit le renversement du Shah d'Iran, « le doubl</w:t>
      </w:r>
      <w:r w:rsidRPr="0077615B">
        <w:t>e</w:t>
      </w:r>
      <w:r w:rsidRPr="0077615B">
        <w:t>ment du prix</w:t>
      </w:r>
      <w:r>
        <w:t xml:space="preserve"> </w:t>
      </w:r>
      <w:r>
        <w:rPr>
          <w:szCs w:val="18"/>
        </w:rPr>
        <w:t xml:space="preserve">[189] </w:t>
      </w:r>
      <w:r w:rsidRPr="0077615B">
        <w:t>du pétrole brut dans le courant de l'année 1979, et le désordre économique mo</w:t>
      </w:r>
      <w:r w:rsidRPr="0077615B">
        <w:t>n</w:t>
      </w:r>
      <w:r w:rsidRPr="0077615B">
        <w:t>dial qui s'ensuivit, ont dans tous les grands pays attiré l'a</w:t>
      </w:r>
      <w:r w:rsidRPr="0077615B">
        <w:t>t</w:t>
      </w:r>
      <w:r w:rsidRPr="0077615B">
        <w:t>tention sur la nécessité d'économiser l'énergie et de réduire les importations de p</w:t>
      </w:r>
      <w:r w:rsidRPr="0077615B">
        <w:t>é</w:t>
      </w:r>
      <w:r w:rsidRPr="0077615B">
        <w:t>trole »</w:t>
      </w:r>
      <w:r>
        <w:t> </w:t>
      </w:r>
      <w:r w:rsidRPr="000D6A43">
        <w:rPr>
          <w:rStyle w:val="Appelnotedebasdep"/>
        </w:rPr>
        <w:footnoteReference w:id="343"/>
      </w:r>
      <w:r w:rsidRPr="0077615B">
        <w:t>.</w:t>
      </w:r>
    </w:p>
    <w:p w:rsidR="00AD690E" w:rsidRPr="0077615B" w:rsidRDefault="00AD690E" w:rsidP="00AD690E">
      <w:pPr>
        <w:spacing w:before="120" w:after="120"/>
        <w:jc w:val="both"/>
      </w:pPr>
      <w:r w:rsidRPr="0077615B">
        <w:t>En fait, et malgré les limites inscrites auprès des sommets de T</w:t>
      </w:r>
      <w:r w:rsidRPr="0077615B">
        <w:t>o</w:t>
      </w:r>
      <w:r w:rsidRPr="0077615B">
        <w:t>kyo en 1979 et de Venise en 1980, des mesures d'économie d'énergie ont été appliquées par les pays membres.</w:t>
      </w:r>
    </w:p>
    <w:p w:rsidR="00AD690E" w:rsidRDefault="00AD690E" w:rsidP="00AD690E">
      <w:pPr>
        <w:pStyle w:val="Grillecouleur-Accent1"/>
      </w:pPr>
    </w:p>
    <w:p w:rsidR="00AD690E" w:rsidRDefault="00AD690E" w:rsidP="00AD690E">
      <w:pPr>
        <w:pStyle w:val="Grillecouleur-Accent1"/>
        <w:rPr>
          <w:i/>
        </w:rPr>
      </w:pPr>
      <w:r w:rsidRPr="0081599C">
        <w:t>Dans la majorité des démocraties industrielles, les gouvernements ont réagi au second choc pétrolier par des politiques macroéconmiques nett</w:t>
      </w:r>
      <w:r w:rsidRPr="0081599C">
        <w:t>e</w:t>
      </w:r>
      <w:r w:rsidRPr="0081599C">
        <w:t>ment plus restrictives qu'après le premier choc pétrolier, et ils s'y sont t</w:t>
      </w:r>
      <w:r w:rsidRPr="0081599C">
        <w:t>e</w:t>
      </w:r>
      <w:r w:rsidRPr="0081599C">
        <w:t>nus plus longtemps.</w:t>
      </w:r>
    </w:p>
    <w:p w:rsidR="00AD690E" w:rsidRPr="000217F5" w:rsidRDefault="00AD690E" w:rsidP="00AD690E">
      <w:pPr>
        <w:pStyle w:val="Grillecouleur-Accent1"/>
        <w:rPr>
          <w:i/>
        </w:rPr>
      </w:pPr>
      <w:r>
        <w:rPr>
          <w:i/>
        </w:rPr>
        <w:br w:type="page"/>
      </w:r>
    </w:p>
    <w:p w:rsidR="00AD690E" w:rsidRPr="0077615B" w:rsidRDefault="00AD690E" w:rsidP="00AD690E">
      <w:pPr>
        <w:spacing w:before="120" w:after="120"/>
        <w:jc w:val="both"/>
      </w:pPr>
      <w:r w:rsidRPr="0077615B">
        <w:t>[aux États-Unis],</w:t>
      </w:r>
    </w:p>
    <w:p w:rsidR="00AD690E" w:rsidRDefault="00AD690E" w:rsidP="00AD690E">
      <w:pPr>
        <w:pStyle w:val="Citation0"/>
      </w:pPr>
    </w:p>
    <w:p w:rsidR="00AD690E" w:rsidRDefault="00AD690E" w:rsidP="00AD690E">
      <w:pPr>
        <w:pStyle w:val="Citation0"/>
        <w:rPr>
          <w:i/>
        </w:rPr>
      </w:pPr>
      <w:r w:rsidRPr="0081599C">
        <w:t>le tournant fut pris en novembre 1979, lorsque sous la direction de son no</w:t>
      </w:r>
      <w:r w:rsidRPr="0081599C">
        <w:t>u</w:t>
      </w:r>
      <w:r w:rsidRPr="0081599C">
        <w:t>veau président, Paul Volcker, la Réserve fédérale adopta des objectifs draconiens en matière de croissance des agrégats monétaires. Cette polit</w:t>
      </w:r>
      <w:r w:rsidRPr="0081599C">
        <w:t>i</w:t>
      </w:r>
      <w:r w:rsidRPr="0081599C">
        <w:t>que fut maintenue et confirmée après l'élection du prés</w:t>
      </w:r>
      <w:r w:rsidRPr="0081599C">
        <w:t>i</w:t>
      </w:r>
      <w:r w:rsidRPr="0081599C">
        <w:t>dent Reagan. La rigueur des objectifs et la d</w:t>
      </w:r>
      <w:r w:rsidRPr="0081599C">
        <w:t>é</w:t>
      </w:r>
      <w:r w:rsidRPr="0081599C">
        <w:t>termination avec laquelle ils furent poursuivis ont fait monter les taux d'intérêts réels et nominaux à des sommets encore jamais a</w:t>
      </w:r>
      <w:r w:rsidRPr="0081599C">
        <w:t>t</w:t>
      </w:r>
      <w:r w:rsidRPr="0081599C">
        <w:t>teints</w:t>
      </w:r>
      <w:r>
        <w:rPr>
          <w:vertAlign w:val="superscript"/>
        </w:rPr>
        <w:t xml:space="preserve">  </w:t>
      </w:r>
      <w:r w:rsidRPr="000D6A43">
        <w:rPr>
          <w:rStyle w:val="Appelnotedebasdep"/>
          <w:szCs w:val="18"/>
        </w:rPr>
        <w:footnoteReference w:id="344"/>
      </w:r>
      <w:r w:rsidRPr="0081599C">
        <w:t>.</w:t>
      </w:r>
    </w:p>
    <w:p w:rsidR="00AD690E" w:rsidRPr="000217F5" w:rsidRDefault="00AD690E" w:rsidP="00AD690E">
      <w:pPr>
        <w:pStyle w:val="Citation0"/>
        <w:rPr>
          <w:i/>
        </w:rPr>
      </w:pPr>
    </w:p>
    <w:p w:rsidR="00AD690E" w:rsidRPr="0077615B" w:rsidRDefault="00AD690E" w:rsidP="00AD690E">
      <w:pPr>
        <w:spacing w:before="120" w:after="120"/>
        <w:jc w:val="both"/>
      </w:pPr>
      <w:r w:rsidRPr="0077615B">
        <w:t>Incapable de mener une politique autonome, le Canada misera sur le suivisme à cette occasion, avec le résultat qu'il sera un des tout premiers touché par la sévérité de la récession.</w:t>
      </w:r>
    </w:p>
    <w:p w:rsidR="00AD690E" w:rsidRPr="0077615B" w:rsidRDefault="00AD690E" w:rsidP="00AD690E">
      <w:pPr>
        <w:spacing w:before="120" w:after="120"/>
        <w:jc w:val="both"/>
      </w:pPr>
      <w:r w:rsidRPr="0077615B">
        <w:t>Dans l'année qui suit le Sommet d'Ottawa, l'inflation ralentit et les taux d'intérêt commencent à baisser, tandis que le déficit fédéral am</w:t>
      </w:r>
      <w:r w:rsidRPr="0077615B">
        <w:t>é</w:t>
      </w:r>
      <w:r w:rsidRPr="0077615B">
        <w:t>ricain continue de croître. Au Sommet de Versailles, en 1982,</w:t>
      </w:r>
    </w:p>
    <w:p w:rsidR="00AD690E" w:rsidRDefault="00AD690E" w:rsidP="00AD690E">
      <w:pPr>
        <w:pStyle w:val="Grillecouleur-Accent1"/>
      </w:pPr>
    </w:p>
    <w:p w:rsidR="00AD690E" w:rsidRDefault="00AD690E" w:rsidP="00AD690E">
      <w:pPr>
        <w:pStyle w:val="Grillecouleur-Accent1"/>
      </w:pPr>
      <w:r w:rsidRPr="0081599C">
        <w:t>[...] les sept chefs d'État et de gouvernement ont clairement donné pour mi</w:t>
      </w:r>
      <w:r w:rsidRPr="0081599C">
        <w:t>s</w:t>
      </w:r>
      <w:r w:rsidRPr="0081599C">
        <w:t>sion à leurs ministres des Finances d'œuvrer pour une plus grande convergence des politiques macroéconomiques</w:t>
      </w:r>
      <w:r>
        <w:t> </w:t>
      </w:r>
      <w:r w:rsidRPr="000D6A43">
        <w:rPr>
          <w:rStyle w:val="Appelnotedebasdep"/>
          <w:szCs w:val="18"/>
        </w:rPr>
        <w:footnoteReference w:id="345"/>
      </w:r>
      <w:r w:rsidRPr="0081599C">
        <w:t>.</w:t>
      </w:r>
    </w:p>
    <w:p w:rsidR="00AD690E" w:rsidRPr="0081599C" w:rsidRDefault="00AD690E" w:rsidP="00AD690E">
      <w:pPr>
        <w:pStyle w:val="Grillecouleur-Accent1"/>
      </w:pPr>
    </w:p>
    <w:p w:rsidR="00AD690E" w:rsidRPr="0077615B" w:rsidRDefault="00AD690E" w:rsidP="00AD690E">
      <w:pPr>
        <w:spacing w:before="120" w:after="120"/>
        <w:jc w:val="both"/>
      </w:pPr>
      <w:r w:rsidRPr="0077615B">
        <w:t>Pour le Canada, le problème majeur demeure l'incapacité dans l</w:t>
      </w:r>
      <w:r w:rsidRPr="0077615B">
        <w:t>a</w:t>
      </w:r>
      <w:r w:rsidRPr="0077615B">
        <w:t>quelle le gouvernement se trouve de prendre ses distances face au gouvernement américain, de telle sorte que toute « convergence des politiques macroéconomiques » contribue à accroître la continental</w:t>
      </w:r>
      <w:r w:rsidRPr="0077615B">
        <w:t>i</w:t>
      </w:r>
      <w:r w:rsidRPr="0077615B">
        <w:t>sation de l'économie américaine, au lieu de contribuer à raffermir la position internationale du pays en tant que partenaire indépendant et éclairé susceptible de joindre, le cas échéant, le peloton des adversa</w:t>
      </w:r>
      <w:r w:rsidRPr="0077615B">
        <w:t>i</w:t>
      </w:r>
      <w:r w:rsidRPr="0077615B">
        <w:t>res de la politique macroéc</w:t>
      </w:r>
      <w:r w:rsidRPr="0077615B">
        <w:t>o</w:t>
      </w:r>
      <w:r w:rsidRPr="0077615B">
        <w:t>nomique américaine.</w:t>
      </w:r>
    </w:p>
    <w:p w:rsidR="00AD690E" w:rsidRPr="0077615B" w:rsidRDefault="00AD690E" w:rsidP="00AD690E">
      <w:pPr>
        <w:spacing w:before="120" w:after="120"/>
        <w:jc w:val="both"/>
      </w:pPr>
      <w:r w:rsidRPr="0077615B">
        <w:t>En conséquence, depuis son entrée dans le Groupe des Sept en 1976 jusqu'en 1984 — et même par après, puisque rien n'a cha</w:t>
      </w:r>
      <w:r w:rsidRPr="0077615B">
        <w:t>n</w:t>
      </w:r>
      <w:r w:rsidRPr="0077615B">
        <w:t>gé à ce chapitre avec l'arrivée des conservateurs au pouvoir le 4 septembre de la même année, bien au contraire —, la gestion de l'économie au Canada a été progressivement ajustée</w:t>
      </w:r>
      <w:r>
        <w:t xml:space="preserve"> </w:t>
      </w:r>
      <w:r>
        <w:rPr>
          <w:szCs w:val="18"/>
        </w:rPr>
        <w:t>[</w:t>
      </w:r>
      <w:r w:rsidRPr="0077615B">
        <w:t>190</w:t>
      </w:r>
      <w:r>
        <w:t xml:space="preserve">] </w:t>
      </w:r>
      <w:r w:rsidRPr="0077615B">
        <w:t>sur la stratégie américa</w:t>
      </w:r>
      <w:r w:rsidRPr="0077615B">
        <w:t>i</w:t>
      </w:r>
      <w:r w:rsidRPr="0077615B">
        <w:t>ne, avec le résultat que le pays est passé d'une direction à dominante nationaliste entre 1971 et 1981-1982, à une a</w:t>
      </w:r>
      <w:r w:rsidRPr="0077615B">
        <w:t>p</w:t>
      </w:r>
      <w:r w:rsidRPr="0077615B">
        <w:t>proche continentale axée sur l'imitation du modèle américain, en a</w:t>
      </w:r>
      <w:r w:rsidRPr="0077615B">
        <w:t>t</w:t>
      </w:r>
      <w:r w:rsidRPr="0077615B">
        <w:t>tendant la mise en place d'une éventuelle intégration économique à la suite de la signature d'un accord de libre-échange canado-américain.</w:t>
      </w:r>
    </w:p>
    <w:p w:rsidR="00AD690E" w:rsidRDefault="00AD690E" w:rsidP="00AD690E">
      <w:pPr>
        <w:spacing w:before="120" w:after="120"/>
        <w:ind w:hanging="142"/>
        <w:jc w:val="both"/>
      </w:pPr>
      <w:r w:rsidRPr="0077615B">
        <w:br w:type="page"/>
      </w:r>
      <w:r>
        <w:t>[191]</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3" w:name="ere_Liberaux_pt2_texte_08"/>
      <w:r>
        <w:rPr>
          <w:b/>
          <w:color w:val="000080"/>
          <w:sz w:val="24"/>
        </w:rPr>
        <w:t>DEUXIÈME</w:t>
      </w:r>
      <w:r w:rsidRPr="003634E0">
        <w:rPr>
          <w:b/>
          <w:color w:val="000080"/>
          <w:sz w:val="24"/>
        </w:rPr>
        <w:t xml:space="preserve"> PARTIE</w:t>
      </w:r>
      <w:r w:rsidRPr="003634E0">
        <w:rPr>
          <w:b/>
          <w:color w:val="000080"/>
          <w:sz w:val="24"/>
        </w:rPr>
        <w:br/>
        <w:t xml:space="preserve">QUESTIONS </w:t>
      </w:r>
      <w:r>
        <w:rPr>
          <w:b/>
          <w:color w:val="000080"/>
          <w:sz w:val="24"/>
        </w:rPr>
        <w:t>ÉCONOMIQUES</w:t>
      </w:r>
    </w:p>
    <w:p w:rsidR="00AD690E" w:rsidRPr="00E07116" w:rsidRDefault="00AD690E" w:rsidP="00AD690E">
      <w:pPr>
        <w:jc w:val="both"/>
        <w:rPr>
          <w:szCs w:val="36"/>
        </w:rPr>
      </w:pPr>
    </w:p>
    <w:p w:rsidR="00AD690E" w:rsidRPr="00E07116" w:rsidRDefault="00AD690E" w:rsidP="00AD690E">
      <w:pPr>
        <w:pStyle w:val="planchest"/>
      </w:pPr>
      <w:r>
        <w:t>“Les politiques régionales</w:t>
      </w:r>
      <w:r>
        <w:br/>
        <w:t>au Canada sous le régime libéral</w:t>
      </w:r>
      <w:r>
        <w:br/>
        <w:t>1963-1984.”</w:t>
      </w:r>
    </w:p>
    <w:bookmarkEnd w:id="13"/>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Michel BOISVERT</w:t>
      </w:r>
      <w:r>
        <w:br/>
        <w:t>Pierre HAMEL</w:t>
      </w:r>
    </w:p>
    <w:p w:rsidR="00AD690E" w:rsidRPr="00957619" w:rsidRDefault="00AD690E" w:rsidP="00AD690E">
      <w:pPr>
        <w:spacing w:before="120"/>
        <w:ind w:firstLine="0"/>
        <w:jc w:val="center"/>
        <w:rPr>
          <w:sz w:val="24"/>
        </w:rPr>
      </w:pPr>
      <w:r>
        <w:rPr>
          <w:sz w:val="24"/>
          <w:szCs w:val="22"/>
        </w:rPr>
        <w:t>Institut d’urbanisme</w:t>
      </w:r>
      <w:r w:rsidRPr="00957619">
        <w:rPr>
          <w:sz w:val="24"/>
          <w:szCs w:val="22"/>
        </w:rPr>
        <w:br/>
        <w:t>Un</w:t>
      </w:r>
      <w:r w:rsidRPr="00957619">
        <w:rPr>
          <w:sz w:val="24"/>
          <w:szCs w:val="22"/>
        </w:rPr>
        <w:t>i</w:t>
      </w:r>
      <w:r w:rsidRPr="00957619">
        <w:rPr>
          <w:sz w:val="24"/>
          <w:szCs w:val="22"/>
        </w:rPr>
        <w:t>versité du Québec à Montréal</w:t>
      </w: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77615B" w:rsidRDefault="00AD690E" w:rsidP="00AD690E">
      <w:pPr>
        <w:spacing w:before="120" w:after="120"/>
        <w:jc w:val="both"/>
      </w:pPr>
      <w:r w:rsidRPr="0077615B">
        <w:t>L'un des thèmes majeurs de l'histoire politique canadienne déco</w:t>
      </w:r>
      <w:r w:rsidRPr="0077615B">
        <w:t>u</w:t>
      </w:r>
      <w:r w:rsidRPr="0077615B">
        <w:t>le... de sa géographie. La question régionale s'est en effet trouvée, d</w:t>
      </w:r>
      <w:r w:rsidRPr="0077615B">
        <w:t>e</w:t>
      </w:r>
      <w:r w:rsidRPr="0077615B">
        <w:t>puis les tout débuts de la Confédération, au premier plan des préocc</w:t>
      </w:r>
      <w:r w:rsidRPr="0077615B">
        <w:t>u</w:t>
      </w:r>
      <w:r w:rsidRPr="0077615B">
        <w:t>pations du gouvernement central. Cet enjeu s'avérera encore plus ne</w:t>
      </w:r>
      <w:r w:rsidRPr="0077615B">
        <w:t>t</w:t>
      </w:r>
      <w:r w:rsidRPr="0077615B">
        <w:t>tement au cours de la période 1963-1984 puisque les libéraux auront à faire face, avec la menace séce</w:t>
      </w:r>
      <w:r w:rsidRPr="0077615B">
        <w:t>s</w:t>
      </w:r>
      <w:r w:rsidRPr="0077615B">
        <w:t>sionniste du Québec en 1980, à la plus importante remise en question du régime fédéral depuis sa création.</w:t>
      </w:r>
    </w:p>
    <w:p w:rsidR="00AD690E" w:rsidRDefault="00AD690E" w:rsidP="00AD690E">
      <w:pPr>
        <w:spacing w:before="120" w:after="120"/>
        <w:jc w:val="both"/>
      </w:pPr>
      <w:r w:rsidRPr="0077615B">
        <w:t>Nous verrons d'abord dans la première partie du texte à préc</w:t>
      </w:r>
      <w:r w:rsidRPr="0077615B">
        <w:t>i</w:t>
      </w:r>
      <w:r w:rsidRPr="0077615B">
        <w:t>ser le sens donné par les libéraux tant au développement régional qu'au concept même de région. Nous examinerons ensuite l'év</w:t>
      </w:r>
      <w:r w:rsidRPr="0077615B">
        <w:t>o</w:t>
      </w:r>
      <w:r w:rsidRPr="0077615B">
        <w:t>lution d'un certain nombre d'indicateurs socio-économiques afin de vérifier dans quelle mesure les disparités régionales se sont ou non résorbées au cours de cette période. Les principaux moyens utilisés par le gouve</w:t>
      </w:r>
      <w:r w:rsidRPr="0077615B">
        <w:t>r</w:t>
      </w:r>
      <w:r w:rsidRPr="0077615B">
        <w:t xml:space="preserve">nement fédéral dans la mise en </w:t>
      </w:r>
      <w:r>
        <w:t>œuvre</w:t>
      </w:r>
      <w:r w:rsidRPr="0077615B">
        <w:t xml:space="preserve"> de sa politique régionale feront l'objet en deuxième partie d'un examen approfondi. Une plus grande place sera bien sûr accordée dans cette analyse au ministère de l'E</w:t>
      </w:r>
      <w:r w:rsidRPr="0077615B">
        <w:t>x</w:t>
      </w:r>
      <w:r w:rsidRPr="0077615B">
        <w:t>pansion économique régionale — MEER — mais nous évoquerons aussi l'impact régional d'a</w:t>
      </w:r>
      <w:r w:rsidRPr="0077615B">
        <w:t>u</w:t>
      </w:r>
      <w:r w:rsidRPr="0077615B">
        <w:t>tres politiques fédérales souvent jugées plus importantes encore. Enfin, en guise de conclusion, nous dress</w:t>
      </w:r>
      <w:r w:rsidRPr="0077615B">
        <w:t>e</w:t>
      </w:r>
      <w:r w:rsidRPr="0077615B">
        <w:t>rons un bilan proviso</w:t>
      </w:r>
      <w:r w:rsidRPr="0077615B">
        <w:t>i</w:t>
      </w:r>
      <w:r w:rsidRPr="0077615B">
        <w:t>re de l'action des libéraux en regard de l'enjeu du développement régional.</w:t>
      </w:r>
    </w:p>
    <w:p w:rsidR="00AD690E" w:rsidRPr="0077615B" w:rsidRDefault="00AD690E" w:rsidP="00AD690E">
      <w:pPr>
        <w:spacing w:before="120" w:after="120"/>
        <w:jc w:val="both"/>
      </w:pPr>
      <w:r>
        <w:t>[</w:t>
      </w:r>
      <w:r w:rsidRPr="0077615B">
        <w:rPr>
          <w:szCs w:val="18"/>
        </w:rPr>
        <w:t>192</w:t>
      </w:r>
      <w:r>
        <w:rPr>
          <w:szCs w:val="18"/>
        </w:rPr>
        <w:t>]</w:t>
      </w:r>
    </w:p>
    <w:p w:rsidR="00AD690E" w:rsidRDefault="00AD690E" w:rsidP="00AD690E">
      <w:pPr>
        <w:spacing w:before="120" w:after="120"/>
        <w:jc w:val="both"/>
      </w:pPr>
    </w:p>
    <w:p w:rsidR="00AD690E" w:rsidRPr="0077615B" w:rsidRDefault="00AD690E" w:rsidP="00AD690E">
      <w:pPr>
        <w:pStyle w:val="planche"/>
      </w:pPr>
      <w:r w:rsidRPr="0077615B">
        <w:t>D</w:t>
      </w:r>
      <w:r>
        <w:t>É</w:t>
      </w:r>
      <w:r w:rsidRPr="0077615B">
        <w:t>VELOPPEMENT R</w:t>
      </w:r>
      <w:r>
        <w:t>É</w:t>
      </w:r>
      <w:r w:rsidRPr="0077615B">
        <w:t>GIONAL</w:t>
      </w:r>
      <w:r>
        <w:br/>
      </w:r>
      <w:r w:rsidRPr="0077615B">
        <w:t>ET R</w:t>
      </w:r>
      <w:r>
        <w:t>É</w:t>
      </w:r>
      <w:r w:rsidRPr="0077615B">
        <w:t>GIME F</w:t>
      </w:r>
      <w:r>
        <w:t>É</w:t>
      </w:r>
      <w:r w:rsidRPr="0077615B">
        <w:t>D</w:t>
      </w:r>
      <w:r>
        <w:t>É</w:t>
      </w:r>
      <w:r w:rsidRPr="0077615B">
        <w:t>RAL</w:t>
      </w:r>
    </w:p>
    <w:p w:rsidR="00AD690E" w:rsidRDefault="00AD690E" w:rsidP="00AD690E">
      <w:pPr>
        <w:spacing w:before="120" w:after="120"/>
        <w:jc w:val="both"/>
      </w:pPr>
    </w:p>
    <w:p w:rsidR="00AD690E" w:rsidRPr="0077615B" w:rsidRDefault="00AD690E" w:rsidP="00AD690E">
      <w:pPr>
        <w:spacing w:before="120" w:after="120"/>
        <w:ind w:firstLine="0"/>
        <w:jc w:val="both"/>
      </w:pPr>
      <w:r w:rsidRPr="0077615B">
        <w:t xml:space="preserve">L'adoption de </w:t>
      </w:r>
      <w:r w:rsidRPr="00D7275E">
        <w:t>l'</w:t>
      </w:r>
      <w:r w:rsidRPr="00D7275E">
        <w:rPr>
          <w:i/>
        </w:rPr>
        <w:t>Acte de l'Amérique du Nord britannique</w:t>
      </w:r>
      <w:r w:rsidRPr="0077615B">
        <w:t xml:space="preserve"> en 1867 s'a</w:t>
      </w:r>
      <w:r w:rsidRPr="0077615B">
        <w:t>p</w:t>
      </w:r>
      <w:r w:rsidRPr="0077615B">
        <w:t>puie sur les motifs suivants : résister à la menace américaine en so</w:t>
      </w:r>
      <w:r w:rsidRPr="0077615B">
        <w:t>u</w:t>
      </w:r>
      <w:r w:rsidRPr="0077615B">
        <w:t>dant la frontière, réaliser le plus rapidement possible une expa</w:t>
      </w:r>
      <w:r w:rsidRPr="0077615B">
        <w:t>n</w:t>
      </w:r>
      <w:r w:rsidRPr="0077615B">
        <w:t>sion vers l'Ouest afin d'assurer grâce au chemin de fer transcontine</w:t>
      </w:r>
      <w:r w:rsidRPr="0077615B">
        <w:t>n</w:t>
      </w:r>
      <w:r w:rsidRPr="0077615B">
        <w:t>tal, le développement de cette vaste région-ressource, et résoudre l'impasse politique découlant de la présence au sein du Canada uni de deux r</w:t>
      </w:r>
      <w:r w:rsidRPr="0077615B">
        <w:t>é</w:t>
      </w:r>
      <w:r w:rsidRPr="0077615B">
        <w:t>gions dont les aspirations mènent à des affrontements stériles. Dès le début de la Conféd</w:t>
      </w:r>
      <w:r w:rsidRPr="0077615B">
        <w:t>é</w:t>
      </w:r>
      <w:r w:rsidRPr="0077615B">
        <w:t>ration, on constate que le défi le plus grand du gouvernement fédéral sera de trouver les moyens de garder ense</w:t>
      </w:r>
      <w:r w:rsidRPr="0077615B">
        <w:t>m</w:t>
      </w:r>
      <w:r w:rsidRPr="0077615B">
        <w:t>ble ces sociétés régionales dont la vision du développement économ</w:t>
      </w:r>
      <w:r w:rsidRPr="0077615B">
        <w:t>i</w:t>
      </w:r>
      <w:r w:rsidRPr="0077615B">
        <w:t>que s'appuie sur une forte volonté d'autonomie. Le recours aux subve</w:t>
      </w:r>
      <w:r w:rsidRPr="0077615B">
        <w:t>n</w:t>
      </w:r>
      <w:r w:rsidRPr="0077615B">
        <w:t>tions discrétionnaires apparaîtra très tôt comme moyen de faire taire les revendications sécessionnistes de la Nouvelle</w:t>
      </w:r>
      <w:r>
        <w:t>-É</w:t>
      </w:r>
      <w:r w:rsidRPr="0077615B">
        <w:t>cosse.</w:t>
      </w:r>
    </w:p>
    <w:p w:rsidR="00AD690E" w:rsidRPr="0077615B" w:rsidRDefault="00AD690E" w:rsidP="00AD690E">
      <w:pPr>
        <w:spacing w:before="120" w:after="120"/>
        <w:jc w:val="both"/>
      </w:pPr>
      <w:r w:rsidRPr="0077615B">
        <w:t>L'outil d'intégration le plus puissant sera ce qu'il est convenu d'a</w:t>
      </w:r>
      <w:r w:rsidRPr="0077615B">
        <w:t>p</w:t>
      </w:r>
      <w:r w:rsidRPr="0077615B">
        <w:t>peler la « politique nationale », implantée au cours des années 1890. Derrière la structure tarifaire ainsi mise en place, c'est une véritable stratégie de développement régional qui transparaît : le « Canada ce</w:t>
      </w:r>
      <w:r w:rsidRPr="0077615B">
        <w:t>n</w:t>
      </w:r>
      <w:r w:rsidRPr="0077615B">
        <w:t>tral » y trouve les moyens d'accélérer le développ</w:t>
      </w:r>
      <w:r w:rsidRPr="0077615B">
        <w:t>e</w:t>
      </w:r>
      <w:r w:rsidRPr="0077615B">
        <w:t>ment de sa base manufacturière tandis que les autres régions o</w:t>
      </w:r>
      <w:r w:rsidRPr="0077615B">
        <w:t>b</w:t>
      </w:r>
      <w:r w:rsidRPr="0077615B">
        <w:t>tiennent des débouchés pour leurs matières premières et surtout l'accès à l'intérieur d'une m</w:t>
      </w:r>
      <w:r w:rsidRPr="0077615B">
        <w:t>ê</w:t>
      </w:r>
      <w:r w:rsidRPr="0077615B">
        <w:t>me entité politique à ces activités de support (transport, financement, mise en marché) essentielles à l'exploitation des ressources naturelles.</w:t>
      </w:r>
    </w:p>
    <w:p w:rsidR="00AD690E" w:rsidRPr="0077615B" w:rsidRDefault="00AD690E" w:rsidP="00AD690E">
      <w:pPr>
        <w:spacing w:before="120" w:after="120"/>
        <w:jc w:val="both"/>
      </w:pPr>
      <w:r w:rsidRPr="0077615B">
        <w:t>Pendant la première moitié du XX</w:t>
      </w:r>
      <w:r w:rsidRPr="0077615B">
        <w:rPr>
          <w:vertAlign w:val="superscript"/>
        </w:rPr>
        <w:t>e</w:t>
      </w:r>
      <w:r w:rsidRPr="0077615B">
        <w:t xml:space="preserve"> siècle, la perpétuation des in</w:t>
      </w:r>
      <w:r w:rsidRPr="0077615B">
        <w:t>é</w:t>
      </w:r>
      <w:r w:rsidRPr="0077615B">
        <w:t>galités régionales entraînera le recours de plus en plus fréquent à des mesures redistributives ponctuelles comme les programmes d'aide spéciale aux provinces maritimes durant les années 1920 et aux pr</w:t>
      </w:r>
      <w:r w:rsidRPr="0077615B">
        <w:t>o</w:t>
      </w:r>
      <w:r w:rsidRPr="0077615B">
        <w:t>vinces des Prairies au cours de la crise des années 1930. Cette vision de l'aide publique au développement régional conçue comme une e</w:t>
      </w:r>
      <w:r w:rsidRPr="0077615B">
        <w:t>x</w:t>
      </w:r>
      <w:r w:rsidRPr="0077615B">
        <w:t>tension à l'échelle pancanadienne de la mission redistributrice propre à l'État fédéral sera une composante majeure du credo libéral. Elle tro</w:t>
      </w:r>
      <w:r w:rsidRPr="0077615B">
        <w:t>u</w:t>
      </w:r>
      <w:r w:rsidRPr="0077615B">
        <w:t>vera dans l'instauration au cours des années 1950 du régime de pai</w:t>
      </w:r>
      <w:r w:rsidRPr="0077615B">
        <w:t>e</w:t>
      </w:r>
      <w:r w:rsidRPr="0077615B">
        <w:t>ments de péréquation un moyen d'expression particulièrement pui</w:t>
      </w:r>
      <w:r w:rsidRPr="0077615B">
        <w:t>s</w:t>
      </w:r>
      <w:r w:rsidRPr="0077615B">
        <w:t>sant.</w:t>
      </w:r>
    </w:p>
    <w:p w:rsidR="00AD690E" w:rsidRPr="0077615B" w:rsidRDefault="00AD690E" w:rsidP="00AD690E">
      <w:pPr>
        <w:spacing w:before="120" w:after="120"/>
        <w:jc w:val="both"/>
      </w:pPr>
      <w:r w:rsidRPr="0077615B">
        <w:t>Mais la publication en 1957 du rapport de la commission Go</w:t>
      </w:r>
      <w:r w:rsidRPr="0077615B">
        <w:t>r</w:t>
      </w:r>
      <w:r w:rsidRPr="0077615B">
        <w:t>don suscitera de profondes remises en question puisque le mess</w:t>
      </w:r>
      <w:r w:rsidRPr="0077615B">
        <w:t>a</w:t>
      </w:r>
      <w:r w:rsidRPr="0077615B">
        <w:t>ge central du document est que seule une approche intégrée peut s'attaquer aux causes profondes des disparités régionales. La prise du pouvoir par les conservateurs de John Diefenbaker la même année y contribuera d</w:t>
      </w:r>
      <w:r w:rsidRPr="0077615B">
        <w:t>a</w:t>
      </w:r>
      <w:r w:rsidRPr="0077615B">
        <w:t>vantage encore. Ceux-ci tiendront un di</w:t>
      </w:r>
      <w:r w:rsidRPr="0077615B">
        <w:t>s</w:t>
      </w:r>
      <w:r w:rsidRPr="0077615B">
        <w:t>cours plus proche des réalités régionales, plus sensible aux r</w:t>
      </w:r>
      <w:r w:rsidRPr="0077615B">
        <w:t>e</w:t>
      </w:r>
      <w:r w:rsidRPr="0077615B">
        <w:t>vendications des régions rurales et des territoires excentriques. L'importante conférence fédérale-provinciale tenue à Montréal en 1961 sous le thème Les ressources et notre avenir apparaîtra à plusieurs comme un juste retour des choses en mettant en relief l'importance des ressources naturelles dans le développement économique du Canada et la nécessité de relations plus harm</w:t>
      </w:r>
      <w:r w:rsidRPr="0077615B">
        <w:t>o</w:t>
      </w:r>
      <w:r w:rsidRPr="0077615B">
        <w:t>nieuses avec les provinces. Ces préoccupations déboucheront sur la Loi</w:t>
      </w:r>
      <w:r>
        <w:t xml:space="preserve"> [193] </w:t>
      </w:r>
      <w:r w:rsidRPr="0077615B">
        <w:t>d'aménagement régional et développement agricole (ARDA), qui o</w:t>
      </w:r>
      <w:r w:rsidRPr="0077615B">
        <w:t>c</w:t>
      </w:r>
      <w:r w:rsidRPr="0077615B">
        <w:t>cupera jusqu'à la création du MEER en 1969 une position ce</w:t>
      </w:r>
      <w:r w:rsidRPr="0077615B">
        <w:t>n</w:t>
      </w:r>
      <w:r w:rsidRPr="0077615B">
        <w:t>trale dans la politique fédérale de développement régional.</w:t>
      </w:r>
    </w:p>
    <w:p w:rsidR="00AD690E" w:rsidRPr="0077615B" w:rsidRDefault="00AD690E" w:rsidP="00AD690E">
      <w:pPr>
        <w:spacing w:before="120" w:after="120"/>
        <w:jc w:val="both"/>
      </w:pPr>
      <w:r w:rsidRPr="0077615B">
        <w:t>Favorisés par les déboires de l'économie canadienne et le demi-échec des politiques macroéconomiques d'inspiration keynésienne, les libéraux reprennent le pouvoir en 1963, bien d</w:t>
      </w:r>
      <w:r w:rsidRPr="0077615B">
        <w:t>é</w:t>
      </w:r>
      <w:r w:rsidRPr="0077615B">
        <w:t>cidés à tirer profit de ces expériences. La classe politique cherche donc, dans un premier temps avec le gouvernement Pearson, à introduire plus de rationalité dans les politiques et programmes existants. Le programme ARDA, par exemple, sera après 1966 étendu à toutes les régions rurales du Canada et considérablement élargi dans ses moyens d'action avec le FODER (Fonds de dév</w:t>
      </w:r>
      <w:r w:rsidRPr="0077615B">
        <w:t>e</w:t>
      </w:r>
      <w:r w:rsidRPr="0077615B">
        <w:t>loppement économique rural).</w:t>
      </w:r>
    </w:p>
    <w:p w:rsidR="00AD690E" w:rsidRPr="0077615B" w:rsidRDefault="00AD690E" w:rsidP="00AD690E">
      <w:pPr>
        <w:spacing w:before="120" w:after="120"/>
        <w:jc w:val="both"/>
      </w:pPr>
      <w:r w:rsidRPr="0077615B">
        <w:t>Mais le discours libéral dans les années 1960 et 1970 relat</w:t>
      </w:r>
      <w:r w:rsidRPr="0077615B">
        <w:t>i</w:t>
      </w:r>
      <w:r w:rsidRPr="0077615B">
        <w:t>vement à la question régionale s'articulera avant tout au thème nationaliste. La priorité de Pierre Elliott Trudeau est « l'unité n</w:t>
      </w:r>
      <w:r w:rsidRPr="0077615B">
        <w:t>a</w:t>
      </w:r>
      <w:r w:rsidRPr="0077615B">
        <w:t>tionale » qu'il compte réaliser en surmontant deux problèmes qui menacent depuis les débuts la survie de la fédération canadienne : d'une part la division linguist</w:t>
      </w:r>
      <w:r w:rsidRPr="0077615B">
        <w:t>i</w:t>
      </w:r>
      <w:r w:rsidRPr="0077615B">
        <w:t>que, qu'il entend résoudre avec une politique de bilinguisme, et d'autre part les disparités régionales, qu'il compte réduire grâce à une polit</w:t>
      </w:r>
      <w:r w:rsidRPr="0077615B">
        <w:t>i</w:t>
      </w:r>
      <w:r w:rsidRPr="0077615B">
        <w:t>que d'intégration interr</w:t>
      </w:r>
      <w:r w:rsidRPr="0077615B">
        <w:t>é</w:t>
      </w:r>
      <w:r w:rsidRPr="0077615B">
        <w:t>gionale, s'opposant avec fermeté aux forces dites de désintégration</w:t>
      </w:r>
      <w:r>
        <w:t> </w:t>
      </w:r>
      <w:r w:rsidRPr="000D6A43">
        <w:rPr>
          <w:rStyle w:val="Appelnotedebasdep"/>
        </w:rPr>
        <w:footnoteReference w:id="346"/>
      </w:r>
      <w:r w:rsidRPr="0077615B">
        <w:t>. Cette mission, pour être menée à bien, n</w:t>
      </w:r>
      <w:r w:rsidRPr="0077615B">
        <w:t>é</w:t>
      </w:r>
      <w:r w:rsidRPr="0077615B">
        <w:t>cessitait un le</w:t>
      </w:r>
      <w:r w:rsidRPr="0077615B">
        <w:t>a</w:t>
      </w:r>
      <w:r w:rsidRPr="0077615B">
        <w:t>dership accru du palier fédéral : au fur et à mesure que les régionalismes s'affirmeront, les libéraux fédéraux mettront donc l'accent sur des stratégies à caractère de plus en plus interventionni</w:t>
      </w:r>
      <w:r w:rsidRPr="0077615B">
        <w:t>s</w:t>
      </w:r>
      <w:r w:rsidRPr="0077615B">
        <w:t>te.</w:t>
      </w:r>
    </w:p>
    <w:p w:rsidR="00AD690E" w:rsidRDefault="00AD690E" w:rsidP="00AD690E">
      <w:pPr>
        <w:spacing w:before="120" w:after="120"/>
        <w:jc w:val="both"/>
      </w:pPr>
      <w:r w:rsidRPr="0077615B">
        <w:t>Pour assurer le pouvoir au fil des élections, cette vision à long te</w:t>
      </w:r>
      <w:r w:rsidRPr="0077615B">
        <w:t>r</w:t>
      </w:r>
      <w:r w:rsidRPr="0077615B">
        <w:t>me devra toutefois composer avec les aléas de la conjoncture écon</w:t>
      </w:r>
      <w:r w:rsidRPr="0077615B">
        <w:t>o</w:t>
      </w:r>
      <w:r w:rsidRPr="0077615B">
        <w:t>mique et permettre aux politiques et aux programmes d'aide aux r</w:t>
      </w:r>
      <w:r w:rsidRPr="0077615B">
        <w:t>é</w:t>
      </w:r>
      <w:r w:rsidRPr="0077615B">
        <w:t>gions d'apporter, sur une base pragmatique, des éléments de réponse à court terme, sans référence explicite à la perspective de transformation structurelle. Soulignons en outre que le di</w:t>
      </w:r>
      <w:r w:rsidRPr="0077615B">
        <w:t>s</w:t>
      </w:r>
      <w:r w:rsidRPr="0077615B">
        <w:t>cours dominant à l'égard de la question régionale ne relevait pas exclusivement d'une élite polit</w:t>
      </w:r>
      <w:r w:rsidRPr="0077615B">
        <w:t>i</w:t>
      </w:r>
      <w:r w:rsidRPr="0077615B">
        <w:t>que restreinte. Les bureaucrates outaouais, et de nombreux interv</w:t>
      </w:r>
      <w:r w:rsidRPr="0077615B">
        <w:t>e</w:t>
      </w:r>
      <w:r w:rsidRPr="0077615B">
        <w:t>nants provinciaux, en plus des partis politiques d'opposition sur la scène fédérale, contribueront aussi très largement à sa formulation, chacun y défendant ses intérêts propres tout en adhérant à la probl</w:t>
      </w:r>
      <w:r w:rsidRPr="0077615B">
        <w:t>é</w:t>
      </w:r>
      <w:r w:rsidRPr="0077615B">
        <w:t>matique générale fou</w:t>
      </w:r>
      <w:r w:rsidRPr="0077615B">
        <w:t>r</w:t>
      </w:r>
      <w:r w:rsidRPr="0077615B">
        <w:t>nie par les libéraux.</w:t>
      </w:r>
    </w:p>
    <w:p w:rsidR="00AD690E" w:rsidRPr="0077615B" w:rsidRDefault="00AD690E" w:rsidP="00AD690E">
      <w:pPr>
        <w:spacing w:before="120" w:after="120"/>
        <w:jc w:val="both"/>
      </w:pPr>
      <w:r>
        <w:t>[</w:t>
      </w:r>
      <w:r w:rsidRPr="0077615B">
        <w:rPr>
          <w:szCs w:val="18"/>
        </w:rPr>
        <w:t>194</w:t>
      </w:r>
      <w:r>
        <w:rPr>
          <w:szCs w:val="18"/>
        </w:rPr>
        <w:t>]</w:t>
      </w:r>
    </w:p>
    <w:p w:rsidR="00AD690E" w:rsidRDefault="00AD690E" w:rsidP="00AD690E">
      <w:pPr>
        <w:spacing w:before="120" w:after="120"/>
        <w:jc w:val="both"/>
        <w:rPr>
          <w:szCs w:val="22"/>
        </w:rPr>
      </w:pPr>
    </w:p>
    <w:p w:rsidR="00AD690E" w:rsidRPr="0077615B" w:rsidRDefault="00AD690E" w:rsidP="00AD690E">
      <w:pPr>
        <w:pStyle w:val="planche"/>
      </w:pPr>
      <w:r w:rsidRPr="0077615B">
        <w:t>LA R</w:t>
      </w:r>
      <w:r>
        <w:t>É</w:t>
      </w:r>
      <w:r w:rsidRPr="0077615B">
        <w:t>GION POUR LES LIB</w:t>
      </w:r>
      <w:r>
        <w:t>É</w:t>
      </w:r>
      <w:r w:rsidRPr="0077615B">
        <w:t>RAUX</w:t>
      </w:r>
    </w:p>
    <w:p w:rsidR="00AD690E"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L'administration fédérale, ne serait-ce que dans le seul domaine du développement régional, a eu recours dans le passé à de no</w:t>
      </w:r>
      <w:r w:rsidRPr="0077615B">
        <w:rPr>
          <w:szCs w:val="22"/>
        </w:rPr>
        <w:t>m</w:t>
      </w:r>
      <w:r w:rsidRPr="0077615B">
        <w:rPr>
          <w:szCs w:val="22"/>
        </w:rPr>
        <w:t>breux découpages de l'espace canadien. Dans certains cas, il est possible par emboîtement de reconstituer presque intégralement le territoire à des échelles variées : les 261 divisions de recensement peuvent être r</w:t>
      </w:r>
      <w:r w:rsidRPr="0077615B">
        <w:rPr>
          <w:szCs w:val="22"/>
        </w:rPr>
        <w:t>é</w:t>
      </w:r>
      <w:r w:rsidRPr="0077615B">
        <w:rPr>
          <w:szCs w:val="22"/>
        </w:rPr>
        <w:t>unies en 61 régions économiques, puis en 10 entités provinciales et finalement en 5 grandes régions économ</w:t>
      </w:r>
      <w:r w:rsidRPr="0077615B">
        <w:rPr>
          <w:szCs w:val="22"/>
        </w:rPr>
        <w:t>i</w:t>
      </w:r>
      <w:r w:rsidRPr="0077615B">
        <w:rPr>
          <w:szCs w:val="22"/>
        </w:rPr>
        <w:t>ques. Dans d'autres cas, la régionalisation ne respecte cependant pas ces limites et ne couvre qu'une partie du territoire canadien, soit à des fins analytiques — e.g. les 18 régions statistiques manufacturières, les 59 régions métropol</w:t>
      </w:r>
      <w:r w:rsidRPr="0077615B">
        <w:rPr>
          <w:szCs w:val="22"/>
        </w:rPr>
        <w:t>i</w:t>
      </w:r>
      <w:r w:rsidRPr="0077615B">
        <w:rPr>
          <w:szCs w:val="22"/>
        </w:rPr>
        <w:t>tiaines et agglomérations de recensement —, soit pour des motifs str</w:t>
      </w:r>
      <w:r w:rsidRPr="0077615B">
        <w:rPr>
          <w:szCs w:val="22"/>
        </w:rPr>
        <w:t>a</w:t>
      </w:r>
      <w:r w:rsidRPr="0077615B">
        <w:rPr>
          <w:szCs w:val="22"/>
        </w:rPr>
        <w:t>tégiques — e.g. les régions désignées à l'origine par le MEER, la r</w:t>
      </w:r>
      <w:r w:rsidRPr="0077615B">
        <w:rPr>
          <w:szCs w:val="22"/>
        </w:rPr>
        <w:t>é</w:t>
      </w:r>
      <w:r w:rsidRPr="0077615B">
        <w:rPr>
          <w:szCs w:val="22"/>
        </w:rPr>
        <w:t>gion de Montréal dans le cadre du programme des zones spéciales, les régions d'i</w:t>
      </w:r>
      <w:r w:rsidRPr="0077615B">
        <w:rPr>
          <w:szCs w:val="22"/>
        </w:rPr>
        <w:t>n</w:t>
      </w:r>
      <w:r w:rsidRPr="0077615B">
        <w:rPr>
          <w:szCs w:val="22"/>
        </w:rPr>
        <w:t>tervention de l'Office canadien de renouveau industriel (OCRI).</w:t>
      </w:r>
    </w:p>
    <w:p w:rsidR="00AD690E" w:rsidRPr="0077615B" w:rsidRDefault="00AD690E" w:rsidP="00AD690E">
      <w:pPr>
        <w:spacing w:before="120" w:after="120"/>
        <w:jc w:val="both"/>
      </w:pPr>
      <w:r w:rsidRPr="0077615B">
        <w:rPr>
          <w:szCs w:val="22"/>
        </w:rPr>
        <w:t>D'un point de vue politique, les régions du Canada pour les lib</w:t>
      </w:r>
      <w:r w:rsidRPr="0077615B">
        <w:rPr>
          <w:szCs w:val="22"/>
        </w:rPr>
        <w:t>é</w:t>
      </w:r>
      <w:r w:rsidRPr="0077615B">
        <w:rPr>
          <w:szCs w:val="22"/>
        </w:rPr>
        <w:t>raux ont toujours été vues soit comme des territoires avec des ressou</w:t>
      </w:r>
      <w:r w:rsidRPr="0077615B">
        <w:rPr>
          <w:szCs w:val="22"/>
        </w:rPr>
        <w:t>r</w:t>
      </w:r>
      <w:r w:rsidRPr="0077615B">
        <w:rPr>
          <w:szCs w:val="22"/>
        </w:rPr>
        <w:t>ces naturelles distinctes soit comme des regroupements géographiques d'électeurs, aux appétits insatiables et aux intérêts les plus souvent conflictuels. En raison de cette diversité et de ces divergences, les i</w:t>
      </w:r>
      <w:r w:rsidRPr="0077615B">
        <w:rPr>
          <w:szCs w:val="22"/>
        </w:rPr>
        <w:t>n</w:t>
      </w:r>
      <w:r w:rsidRPr="0077615B">
        <w:rPr>
          <w:szCs w:val="22"/>
        </w:rPr>
        <w:t>térêts collectifs n'avaient de sens à leurs yeux qu'à l'échelle locale ou « nationale ». Ils refusaient donc de r</w:t>
      </w:r>
      <w:r w:rsidRPr="0077615B">
        <w:rPr>
          <w:szCs w:val="22"/>
        </w:rPr>
        <w:t>e</w:t>
      </w:r>
      <w:r w:rsidRPr="0077615B">
        <w:rPr>
          <w:szCs w:val="22"/>
        </w:rPr>
        <w:t>connaître l'existence de sociétés distinctes à un niveau intermédiaire. La position adoptée par les lib</w:t>
      </w:r>
      <w:r w:rsidRPr="0077615B">
        <w:rPr>
          <w:szCs w:val="22"/>
        </w:rPr>
        <w:t>é</w:t>
      </w:r>
      <w:r w:rsidRPr="0077615B">
        <w:rPr>
          <w:szCs w:val="22"/>
        </w:rPr>
        <w:t>raux face aux revendic</w:t>
      </w:r>
      <w:r w:rsidRPr="0077615B">
        <w:rPr>
          <w:szCs w:val="22"/>
        </w:rPr>
        <w:t>a</w:t>
      </w:r>
      <w:r w:rsidRPr="0077615B">
        <w:rPr>
          <w:szCs w:val="22"/>
        </w:rPr>
        <w:t>tions autonomistes du Québec, par exemple, le démontre clair</w:t>
      </w:r>
      <w:r w:rsidRPr="0077615B">
        <w:rPr>
          <w:szCs w:val="22"/>
        </w:rPr>
        <w:t>e</w:t>
      </w:r>
      <w:r w:rsidRPr="0077615B">
        <w:rPr>
          <w:szCs w:val="22"/>
        </w:rPr>
        <w:t>ment. Et cette interprétation s'applique aussi à d'autres réalités régionales comme celle de l'Acadie et celle de l'Ouest.</w:t>
      </w:r>
    </w:p>
    <w:p w:rsidR="00AD690E" w:rsidRDefault="00AD690E" w:rsidP="00AD690E">
      <w:pPr>
        <w:spacing w:before="120" w:after="120"/>
        <w:jc w:val="both"/>
        <w:rPr>
          <w:szCs w:val="22"/>
        </w:rPr>
      </w:pPr>
      <w:r w:rsidRPr="0077615B">
        <w:rPr>
          <w:szCs w:val="22"/>
        </w:rPr>
        <w:t>Sous Lester B. Pearson et surtout sous Pierre E. Trudeau, les go</w:t>
      </w:r>
      <w:r w:rsidRPr="0077615B">
        <w:rPr>
          <w:szCs w:val="22"/>
        </w:rPr>
        <w:t>u</w:t>
      </w:r>
      <w:r w:rsidRPr="0077615B">
        <w:rPr>
          <w:szCs w:val="22"/>
        </w:rPr>
        <w:t xml:space="preserve">vernements provinciaux ont été considérés comme des </w:t>
      </w:r>
      <w:r w:rsidRPr="001C58A8">
        <w:rPr>
          <w:i/>
          <w:szCs w:val="22"/>
        </w:rPr>
        <w:t>« junior g</w:t>
      </w:r>
      <w:r w:rsidRPr="001C58A8">
        <w:rPr>
          <w:i/>
          <w:szCs w:val="22"/>
        </w:rPr>
        <w:t>o</w:t>
      </w:r>
      <w:r w:rsidRPr="001C58A8">
        <w:rPr>
          <w:i/>
          <w:szCs w:val="22"/>
        </w:rPr>
        <w:t xml:space="preserve">vernments » </w:t>
      </w:r>
      <w:r w:rsidRPr="0077615B">
        <w:rPr>
          <w:szCs w:val="22"/>
        </w:rPr>
        <w:t>au même titre que les administrations municipales. On leur attribuait un statut de gestionnaire plutôt que de planificateur. Pour bien marquer cette conception des ra</w:t>
      </w:r>
      <w:r w:rsidRPr="0077615B">
        <w:rPr>
          <w:szCs w:val="22"/>
        </w:rPr>
        <w:t>p</w:t>
      </w:r>
      <w:r w:rsidRPr="0077615B">
        <w:rPr>
          <w:szCs w:val="22"/>
        </w:rPr>
        <w:t>ports entre les niveaux d'intervention politique, le gouvernement fédéral a, entre autres, choisi de reporter ses engagements fina</w:t>
      </w:r>
      <w:r w:rsidRPr="0077615B">
        <w:rPr>
          <w:szCs w:val="22"/>
        </w:rPr>
        <w:t>n</w:t>
      </w:r>
      <w:r w:rsidRPr="0077615B">
        <w:rPr>
          <w:szCs w:val="22"/>
        </w:rPr>
        <w:t>ciers dans le domaine de la défense pour mieux encadrer les actions des gouvernements provinciaux à tr</w:t>
      </w:r>
      <w:r w:rsidRPr="0077615B">
        <w:rPr>
          <w:szCs w:val="22"/>
        </w:rPr>
        <w:t>a</w:t>
      </w:r>
      <w:r w:rsidRPr="0077615B">
        <w:rPr>
          <w:szCs w:val="22"/>
        </w:rPr>
        <w:t>vers de multiples a</w:t>
      </w:r>
      <w:r w:rsidRPr="0077615B">
        <w:rPr>
          <w:szCs w:val="22"/>
        </w:rPr>
        <w:t>c</w:t>
      </w:r>
      <w:r w:rsidRPr="0077615B">
        <w:rPr>
          <w:szCs w:val="22"/>
        </w:rPr>
        <w:t>cords de nature fiscale ou budgétaire. De même les changements constitutionnels fondés sur la reconnaissance des r</w:t>
      </w:r>
      <w:r w:rsidRPr="0077615B">
        <w:rPr>
          <w:szCs w:val="22"/>
        </w:rPr>
        <w:t>é</w:t>
      </w:r>
      <w:r w:rsidRPr="0077615B">
        <w:rPr>
          <w:szCs w:val="22"/>
        </w:rPr>
        <w:t>alités socio-politiques régionales comme la transformation du Sénat en Chambre des provinces ou la participation des provinces au proce</w:t>
      </w:r>
      <w:r w:rsidRPr="0077615B">
        <w:rPr>
          <w:szCs w:val="22"/>
        </w:rPr>
        <w:t>s</w:t>
      </w:r>
      <w:r w:rsidRPr="0077615B">
        <w:rPr>
          <w:szCs w:val="22"/>
        </w:rPr>
        <w:t>sus de nomination des juges de la Cour suprême, proposées nota</w:t>
      </w:r>
      <w:r w:rsidRPr="0077615B">
        <w:rPr>
          <w:szCs w:val="22"/>
        </w:rPr>
        <w:t>m</w:t>
      </w:r>
      <w:r w:rsidRPr="0077615B">
        <w:rPr>
          <w:szCs w:val="22"/>
        </w:rPr>
        <w:t>ment par les « cousins » libéraux du Québec, sont deme</w:t>
      </w:r>
      <w:r w:rsidRPr="0077615B">
        <w:rPr>
          <w:szCs w:val="22"/>
        </w:rPr>
        <w:t>u</w:t>
      </w:r>
      <w:r w:rsidRPr="0077615B">
        <w:rPr>
          <w:szCs w:val="22"/>
        </w:rPr>
        <w:t>rés lettre morte</w:t>
      </w:r>
      <w:r>
        <w:rPr>
          <w:szCs w:val="22"/>
        </w:rPr>
        <w:t> </w:t>
      </w:r>
      <w:r w:rsidRPr="00D756DB">
        <w:rPr>
          <w:rStyle w:val="Appelnotedebasdep"/>
        </w:rPr>
        <w:footnoteReference w:id="347"/>
      </w:r>
      <w:r w:rsidRPr="0077615B">
        <w:rPr>
          <w:szCs w:val="22"/>
        </w:rPr>
        <w:t>.</w:t>
      </w:r>
    </w:p>
    <w:p w:rsidR="00AD690E" w:rsidRDefault="00AD690E" w:rsidP="00AD690E">
      <w:pPr>
        <w:spacing w:before="120" w:after="120"/>
        <w:jc w:val="both"/>
      </w:pPr>
      <w:r>
        <w:t>[195]</w:t>
      </w:r>
    </w:p>
    <w:p w:rsidR="00AD690E" w:rsidRPr="0077615B" w:rsidRDefault="00AD690E" w:rsidP="00AD690E">
      <w:pPr>
        <w:spacing w:before="120" w:after="120"/>
        <w:jc w:val="both"/>
      </w:pPr>
      <w:r w:rsidRPr="0077615B">
        <w:rPr>
          <w:szCs w:val="22"/>
        </w:rPr>
        <w:t>Cette attitude s'explique par une conviction profonde à savoir que l'avenir du Canada, sa survie même, dépend de l'unité « nationale », laquelle repose à la fois sur une plus grande uniformisation des ho</w:t>
      </w:r>
      <w:r w:rsidRPr="0077615B">
        <w:rPr>
          <w:szCs w:val="22"/>
        </w:rPr>
        <w:t>m</w:t>
      </w:r>
      <w:r w:rsidRPr="0077615B">
        <w:rPr>
          <w:szCs w:val="22"/>
        </w:rPr>
        <w:t>mes et des institutions, et sur une meilleure intégration interrégionale. Car l'objectif premier de la politique régionale du gouvernement lib</w:t>
      </w:r>
      <w:r w:rsidRPr="0077615B">
        <w:rPr>
          <w:szCs w:val="22"/>
        </w:rPr>
        <w:t>é</w:t>
      </w:r>
      <w:r w:rsidRPr="0077615B">
        <w:rPr>
          <w:szCs w:val="22"/>
        </w:rPr>
        <w:t>ral à Ottawa a été non pas d'encourager le développ</w:t>
      </w:r>
      <w:r w:rsidRPr="0077615B">
        <w:rPr>
          <w:szCs w:val="22"/>
        </w:rPr>
        <w:t>e</w:t>
      </w:r>
      <w:r w:rsidRPr="0077615B">
        <w:rPr>
          <w:szCs w:val="22"/>
        </w:rPr>
        <w:t>ment de chacune des régions qui comp</w:t>
      </w:r>
      <w:r w:rsidRPr="0077615B">
        <w:rPr>
          <w:szCs w:val="22"/>
        </w:rPr>
        <w:t>o</w:t>
      </w:r>
      <w:r w:rsidRPr="0077615B">
        <w:rPr>
          <w:szCs w:val="22"/>
        </w:rPr>
        <w:t>sent le pays, en s'assurant d'un niveau minimal de cohérence et d'harmonisation entre les régions, mais plutôt d'imp</w:t>
      </w:r>
      <w:r w:rsidRPr="0077615B">
        <w:rPr>
          <w:szCs w:val="22"/>
        </w:rPr>
        <w:t>o</w:t>
      </w:r>
      <w:r w:rsidRPr="0077615B">
        <w:rPr>
          <w:szCs w:val="22"/>
        </w:rPr>
        <w:t>ser les conditions favorables à la création d'une s</w:t>
      </w:r>
      <w:r w:rsidRPr="0077615B">
        <w:rPr>
          <w:szCs w:val="22"/>
        </w:rPr>
        <w:t>o</w:t>
      </w:r>
      <w:r w:rsidRPr="0077615B">
        <w:rPr>
          <w:szCs w:val="22"/>
        </w:rPr>
        <w:t>ciété moderne, avec un système économique et politique intégré, en se servant des paliers « inférieurs » de gouvernement pour s'assurer du niveau minimal de spécificité que commande la diversité des milieux dans certaines fon</w:t>
      </w:r>
      <w:r w:rsidRPr="0077615B">
        <w:rPr>
          <w:szCs w:val="22"/>
        </w:rPr>
        <w:t>c</w:t>
      </w:r>
      <w:r w:rsidRPr="0077615B">
        <w:rPr>
          <w:szCs w:val="22"/>
        </w:rPr>
        <w:t>tions « banales ». En somme, il s'agissait de concrétiser le rêve de John A. MacDonald et George-E. Cartier, en le mettant au goût du jour par la promotion du keynésianisme et une conception provide</w:t>
      </w:r>
      <w:r w:rsidRPr="0077615B">
        <w:rPr>
          <w:szCs w:val="22"/>
        </w:rPr>
        <w:t>n</w:t>
      </w:r>
      <w:r w:rsidRPr="0077615B">
        <w:rPr>
          <w:szCs w:val="22"/>
        </w:rPr>
        <w:t>tielle de l'</w:t>
      </w:r>
      <w:r>
        <w:rPr>
          <w:szCs w:val="22"/>
        </w:rPr>
        <w:t>État</w:t>
      </w:r>
      <w:r w:rsidRPr="0077615B">
        <w:rPr>
          <w:szCs w:val="22"/>
        </w:rPr>
        <w:t>.</w:t>
      </w:r>
    </w:p>
    <w:p w:rsidR="00AD690E" w:rsidRDefault="00AD690E" w:rsidP="00AD690E">
      <w:pPr>
        <w:spacing w:before="120" w:after="120"/>
        <w:jc w:val="both"/>
        <w:rPr>
          <w:bCs/>
          <w:szCs w:val="22"/>
        </w:rPr>
      </w:pPr>
    </w:p>
    <w:p w:rsidR="00AD690E" w:rsidRPr="0099095D" w:rsidRDefault="00AD690E" w:rsidP="00AD690E">
      <w:pPr>
        <w:pStyle w:val="a"/>
      </w:pPr>
      <w:r w:rsidRPr="0099095D">
        <w:t>L'évolution des réalités régionales</w:t>
      </w:r>
    </w:p>
    <w:p w:rsidR="00AD690E" w:rsidRDefault="00AD690E" w:rsidP="00AD690E">
      <w:pPr>
        <w:spacing w:before="120" w:after="120"/>
        <w:jc w:val="both"/>
        <w:rPr>
          <w:szCs w:val="22"/>
        </w:rPr>
      </w:pPr>
    </w:p>
    <w:p w:rsidR="00AD690E" w:rsidRPr="0077615B" w:rsidRDefault="00AD690E" w:rsidP="00AD690E">
      <w:pPr>
        <w:spacing w:before="120" w:after="120"/>
        <w:ind w:firstLine="0"/>
        <w:jc w:val="both"/>
      </w:pPr>
      <w:r w:rsidRPr="0077615B">
        <w:rPr>
          <w:szCs w:val="22"/>
        </w:rPr>
        <w:t>Puisque les libéraux ont fait de la lutte aux disparités régionales un de leurs principaux chevaux de bataille, il est approprié d'examiner l'év</w:t>
      </w:r>
      <w:r w:rsidRPr="0077615B">
        <w:rPr>
          <w:szCs w:val="22"/>
        </w:rPr>
        <w:t>o</w:t>
      </w:r>
      <w:r w:rsidRPr="0077615B">
        <w:rPr>
          <w:szCs w:val="22"/>
        </w:rPr>
        <w:t>lution des performances relatives de chaque r</w:t>
      </w:r>
      <w:r w:rsidRPr="0077615B">
        <w:rPr>
          <w:szCs w:val="22"/>
        </w:rPr>
        <w:t>é</w:t>
      </w:r>
      <w:r w:rsidRPr="0077615B">
        <w:rPr>
          <w:szCs w:val="22"/>
        </w:rPr>
        <w:t xml:space="preserve">gion, en particulier, sur le plan économique. Dans son analyse qu'il convient maintenant de mettre à jour, le Conseil économique du </w:t>
      </w:r>
      <w:r>
        <w:rPr>
          <w:szCs w:val="22"/>
        </w:rPr>
        <w:t>Canada </w:t>
      </w:r>
      <w:r w:rsidRPr="00D756DB">
        <w:rPr>
          <w:rStyle w:val="Appelnotedebasdep"/>
        </w:rPr>
        <w:footnoteReference w:id="348"/>
      </w:r>
      <w:r w:rsidRPr="0077615B">
        <w:rPr>
          <w:szCs w:val="22"/>
        </w:rPr>
        <w:t xml:space="preserve"> suggérait de priv</w:t>
      </w:r>
      <w:r w:rsidRPr="0077615B">
        <w:rPr>
          <w:szCs w:val="22"/>
        </w:rPr>
        <w:t>i</w:t>
      </w:r>
      <w:r w:rsidRPr="0077615B">
        <w:rPr>
          <w:szCs w:val="22"/>
        </w:rPr>
        <w:t>légier les quatre indicateurs suivants : le revenu personnel par hab</w:t>
      </w:r>
      <w:r w:rsidRPr="0077615B">
        <w:rPr>
          <w:szCs w:val="22"/>
        </w:rPr>
        <w:t>i</w:t>
      </w:r>
      <w:r w:rsidRPr="0077615B">
        <w:rPr>
          <w:szCs w:val="22"/>
        </w:rPr>
        <w:t>tant, le taux de chômage, le taux d'activité et la croissance démogr</w:t>
      </w:r>
      <w:r w:rsidRPr="0077615B">
        <w:rPr>
          <w:szCs w:val="22"/>
        </w:rPr>
        <w:t>a</w:t>
      </w:r>
      <w:r w:rsidRPr="0077615B">
        <w:rPr>
          <w:szCs w:val="22"/>
        </w:rPr>
        <w:t>phique.</w:t>
      </w:r>
    </w:p>
    <w:p w:rsidR="00AD690E" w:rsidRPr="0077615B" w:rsidRDefault="00AD690E" w:rsidP="00AD690E">
      <w:pPr>
        <w:spacing w:before="120" w:after="120"/>
        <w:jc w:val="both"/>
      </w:pPr>
      <w:r w:rsidRPr="0077615B">
        <w:rPr>
          <w:szCs w:val="22"/>
        </w:rPr>
        <w:t>Le revenu personnel par habitant a poursuivi entre 1963 et 1985 la tendance, maintes fois soulignée, à une lente convergence entre les régions. Comme on peut le constater à partir du tableau 1, chacune des provinces s'est rapprochée de la moyenne can</w:t>
      </w:r>
      <w:r w:rsidRPr="0077615B">
        <w:rPr>
          <w:szCs w:val="22"/>
        </w:rPr>
        <w:t>a</w:t>
      </w:r>
      <w:r w:rsidRPr="0077615B">
        <w:rPr>
          <w:szCs w:val="22"/>
        </w:rPr>
        <w:t>dienne, à l'exception de la Saskatchewan, alors que les variations les plus importantes ont to</w:t>
      </w:r>
      <w:r w:rsidRPr="0077615B">
        <w:rPr>
          <w:szCs w:val="22"/>
        </w:rPr>
        <w:t>u</w:t>
      </w:r>
      <w:r w:rsidRPr="0077615B">
        <w:rPr>
          <w:szCs w:val="22"/>
        </w:rPr>
        <w:t>ché les extrêmes, l'écart maximum passant ainsi de 2,08 à 1,63. Une part importante de ce phénomène est attribuable aux politiques de r</w:t>
      </w:r>
      <w:r w:rsidRPr="0077615B">
        <w:rPr>
          <w:szCs w:val="22"/>
        </w:rPr>
        <w:t>e</w:t>
      </w:r>
      <w:r w:rsidRPr="0077615B">
        <w:rPr>
          <w:szCs w:val="22"/>
        </w:rPr>
        <w:t>distribution du revenu. Nous pouvons affirmer que le gouvernement libéral à Ottawa porte à cet égard une grande responsabilité Ainsi, au même tableau, nous observons que la part des transferts de l'admini</w:t>
      </w:r>
      <w:r w:rsidRPr="0077615B">
        <w:rPr>
          <w:szCs w:val="22"/>
        </w:rPr>
        <w:t>s</w:t>
      </w:r>
      <w:r w:rsidRPr="0077615B">
        <w:rPr>
          <w:szCs w:val="22"/>
        </w:rPr>
        <w:t>tration fédérale aux particuliers en pourcentage du revenu personnel par habitant a plus que doublé durant cette période et qu'elle présentait pour les Terre-Neuviens en moyenne près de 9</w:t>
      </w:r>
      <w:r>
        <w:rPr>
          <w:szCs w:val="22"/>
        </w:rPr>
        <w:t>%</w:t>
      </w:r>
      <w:r w:rsidRPr="0077615B">
        <w:rPr>
          <w:szCs w:val="22"/>
        </w:rPr>
        <w:t xml:space="preserve"> de ce revenu. Les changements apportés en 1970 au régime d'assurance-chômage, par exemple, ont doté le Canada d'un</w:t>
      </w:r>
      <w:r>
        <w:rPr>
          <w:szCs w:val="22"/>
        </w:rPr>
        <w:t xml:space="preserve"> </w:t>
      </w:r>
      <w:r>
        <w:t>[</w:t>
      </w:r>
      <w:r w:rsidRPr="0077615B">
        <w:rPr>
          <w:szCs w:val="18"/>
        </w:rPr>
        <w:t>196</w:t>
      </w:r>
      <w:r>
        <w:rPr>
          <w:szCs w:val="18"/>
        </w:rPr>
        <w:t xml:space="preserve">] </w:t>
      </w:r>
    </w:p>
    <w:p w:rsidR="00AD690E" w:rsidRDefault="00AD690E" w:rsidP="00AD690E">
      <w:pPr>
        <w:spacing w:before="120" w:after="120"/>
        <w:ind w:firstLine="0"/>
        <w:jc w:val="both"/>
        <w:rPr>
          <w:szCs w:val="22"/>
        </w:rPr>
      </w:pPr>
      <w:r w:rsidRPr="0077615B">
        <w:rPr>
          <w:szCs w:val="22"/>
        </w:rPr>
        <w:t>programme reconnu à travers le monde comme l'un des plus la</w:t>
      </w:r>
      <w:r w:rsidRPr="0077615B">
        <w:rPr>
          <w:szCs w:val="22"/>
        </w:rPr>
        <w:t>r</w:t>
      </w:r>
      <w:r w:rsidRPr="0077615B">
        <w:rPr>
          <w:szCs w:val="22"/>
        </w:rPr>
        <w:t>ges en couverture et des plus généreux en prestations.</w:t>
      </w:r>
    </w:p>
    <w:p w:rsidR="00AD690E" w:rsidRPr="0077615B" w:rsidRDefault="00AD690E" w:rsidP="00AD690E">
      <w:pPr>
        <w:spacing w:before="120" w:after="120"/>
        <w:ind w:firstLine="0"/>
        <w:jc w:val="both"/>
      </w:pPr>
    </w:p>
    <w:p w:rsidR="00AD690E" w:rsidRPr="0077615B" w:rsidRDefault="00AD690E" w:rsidP="00AD690E">
      <w:pPr>
        <w:pStyle w:val="figtitre"/>
        <w:rPr>
          <w:szCs w:val="2"/>
        </w:rPr>
      </w:pPr>
      <w:r w:rsidRPr="0077615B">
        <w:t>Tableau 1</w:t>
      </w:r>
      <w:r>
        <w:br/>
      </w:r>
      <w:r w:rsidRPr="0077615B">
        <w:t>Indicateurs économiques provinciaux</w:t>
      </w:r>
      <w:r>
        <w:t xml:space="preserve">, </w:t>
      </w:r>
      <w:r w:rsidRPr="0077615B">
        <w:t>1963 et 1984</w:t>
      </w:r>
    </w:p>
    <w:tbl>
      <w:tblPr>
        <w:tblW w:w="0" w:type="auto"/>
        <w:tblInd w:w="-1580" w:type="dxa"/>
        <w:tblLayout w:type="fixed"/>
        <w:tblCellMar>
          <w:left w:w="40" w:type="dxa"/>
          <w:right w:w="40" w:type="dxa"/>
        </w:tblCellMar>
        <w:tblLook w:val="0000" w:firstRow="0" w:lastRow="0" w:firstColumn="0" w:lastColumn="0" w:noHBand="0" w:noVBand="0"/>
      </w:tblPr>
      <w:tblGrid>
        <w:gridCol w:w="2751"/>
        <w:gridCol w:w="1131"/>
        <w:gridCol w:w="1132"/>
        <w:gridCol w:w="1131"/>
        <w:gridCol w:w="1132"/>
        <w:gridCol w:w="1131"/>
        <w:gridCol w:w="1132"/>
      </w:tblGrid>
      <w:tr w:rsidR="00AD690E" w:rsidRPr="0077615B">
        <w:tblPrEx>
          <w:tblCellMar>
            <w:top w:w="0" w:type="dxa"/>
            <w:bottom w:w="0" w:type="dxa"/>
          </w:tblCellMar>
        </w:tblPrEx>
        <w:tc>
          <w:tcPr>
            <w:tcW w:w="2751" w:type="dxa"/>
            <w:vMerge w:val="restart"/>
            <w:tcBorders>
              <w:top w:val="single" w:sz="12" w:space="0" w:color="auto"/>
              <w:left w:val="nil"/>
              <w:right w:val="nil"/>
            </w:tcBorders>
            <w:shd w:val="clear" w:color="auto" w:fill="EEEBD2"/>
          </w:tcPr>
          <w:p w:rsidR="00AD690E" w:rsidRPr="00BE3239" w:rsidRDefault="00AD690E" w:rsidP="00AD690E">
            <w:pPr>
              <w:ind w:firstLine="0"/>
              <w:jc w:val="both"/>
              <w:rPr>
                <w:sz w:val="24"/>
              </w:rPr>
            </w:pPr>
          </w:p>
        </w:tc>
        <w:tc>
          <w:tcPr>
            <w:tcW w:w="2263" w:type="dxa"/>
            <w:gridSpan w:val="2"/>
            <w:tcBorders>
              <w:top w:val="single" w:sz="12" w:space="0" w:color="auto"/>
              <w:left w:val="nil"/>
              <w:bottom w:val="single" w:sz="6" w:space="0" w:color="auto"/>
              <w:right w:val="nil"/>
            </w:tcBorders>
            <w:shd w:val="clear" w:color="auto" w:fill="EEEBD2"/>
          </w:tcPr>
          <w:p w:rsidR="00AD690E" w:rsidRPr="00BE3239" w:rsidRDefault="00AD690E" w:rsidP="00AD690E">
            <w:pPr>
              <w:ind w:firstLine="0"/>
              <w:jc w:val="center"/>
              <w:rPr>
                <w:sz w:val="24"/>
                <w:szCs w:val="18"/>
              </w:rPr>
            </w:pPr>
            <w:r w:rsidRPr="00BE3239">
              <w:rPr>
                <w:sz w:val="24"/>
                <w:szCs w:val="18"/>
              </w:rPr>
              <w:t>Population</w:t>
            </w:r>
            <w:r w:rsidRPr="00BE3239">
              <w:rPr>
                <w:sz w:val="24"/>
                <w:szCs w:val="18"/>
              </w:rPr>
              <w:br/>
              <w:t>en %</w:t>
            </w:r>
          </w:p>
        </w:tc>
        <w:tc>
          <w:tcPr>
            <w:tcW w:w="2263" w:type="dxa"/>
            <w:gridSpan w:val="2"/>
            <w:tcBorders>
              <w:top w:val="single" w:sz="12" w:space="0" w:color="auto"/>
              <w:left w:val="nil"/>
              <w:bottom w:val="single" w:sz="6" w:space="0" w:color="auto"/>
              <w:right w:val="nil"/>
            </w:tcBorders>
            <w:shd w:val="clear" w:color="auto" w:fill="EEEBD2"/>
          </w:tcPr>
          <w:p w:rsidR="00AD690E" w:rsidRPr="00BE3239" w:rsidRDefault="00AD690E" w:rsidP="00AD690E">
            <w:pPr>
              <w:ind w:firstLine="0"/>
              <w:jc w:val="center"/>
              <w:rPr>
                <w:sz w:val="24"/>
                <w:szCs w:val="18"/>
              </w:rPr>
            </w:pPr>
            <w:r w:rsidRPr="00BE3239">
              <w:rPr>
                <w:sz w:val="24"/>
                <w:szCs w:val="18"/>
              </w:rPr>
              <w:t>Revenu personnel</w:t>
            </w:r>
            <w:r w:rsidRPr="00BE3239">
              <w:rPr>
                <w:sz w:val="24"/>
                <w:szCs w:val="18"/>
              </w:rPr>
              <w:br/>
              <w:t>par h</w:t>
            </w:r>
            <w:r w:rsidRPr="00BE3239">
              <w:rPr>
                <w:sz w:val="24"/>
                <w:szCs w:val="18"/>
              </w:rPr>
              <w:t>a</w:t>
            </w:r>
            <w:r w:rsidRPr="00BE3239">
              <w:rPr>
                <w:sz w:val="24"/>
                <w:szCs w:val="18"/>
              </w:rPr>
              <w:t>bitant</w:t>
            </w:r>
            <w:r w:rsidRPr="00BE3239">
              <w:rPr>
                <w:sz w:val="24"/>
                <w:szCs w:val="18"/>
              </w:rPr>
              <w:br/>
            </w:r>
            <w:r>
              <w:rPr>
                <w:sz w:val="24"/>
                <w:szCs w:val="18"/>
              </w:rPr>
              <w:t>Canada</w:t>
            </w:r>
            <w:r w:rsidRPr="00BE3239">
              <w:rPr>
                <w:sz w:val="24"/>
                <w:szCs w:val="18"/>
              </w:rPr>
              <w:t xml:space="preserve"> = 100</w:t>
            </w:r>
          </w:p>
        </w:tc>
        <w:tc>
          <w:tcPr>
            <w:tcW w:w="2263" w:type="dxa"/>
            <w:gridSpan w:val="2"/>
            <w:tcBorders>
              <w:top w:val="single" w:sz="12" w:space="0" w:color="auto"/>
              <w:left w:val="nil"/>
              <w:bottom w:val="single" w:sz="6" w:space="0" w:color="auto"/>
              <w:right w:val="nil"/>
            </w:tcBorders>
            <w:shd w:val="clear" w:color="auto" w:fill="EEEBD2"/>
          </w:tcPr>
          <w:p w:rsidR="00AD690E" w:rsidRPr="00BE3239" w:rsidRDefault="00AD690E" w:rsidP="00AD690E">
            <w:pPr>
              <w:ind w:firstLine="0"/>
              <w:jc w:val="center"/>
              <w:rPr>
                <w:sz w:val="24"/>
                <w:szCs w:val="18"/>
              </w:rPr>
            </w:pPr>
            <w:r w:rsidRPr="00BE3239">
              <w:rPr>
                <w:sz w:val="24"/>
                <w:szCs w:val="18"/>
              </w:rPr>
              <w:t>Paiements de transfert de l'administration fédérale aux partic</w:t>
            </w:r>
            <w:r w:rsidRPr="00BE3239">
              <w:rPr>
                <w:sz w:val="24"/>
                <w:szCs w:val="18"/>
              </w:rPr>
              <w:t>u</w:t>
            </w:r>
            <w:r w:rsidRPr="00BE3239">
              <w:rPr>
                <w:sz w:val="24"/>
                <w:szCs w:val="18"/>
              </w:rPr>
              <w:t>liers en % du revenu personnel</w:t>
            </w:r>
          </w:p>
        </w:tc>
      </w:tr>
      <w:tr w:rsidR="00AD690E" w:rsidRPr="0077615B">
        <w:tblPrEx>
          <w:tblCellMar>
            <w:top w:w="0" w:type="dxa"/>
            <w:bottom w:w="0" w:type="dxa"/>
          </w:tblCellMar>
        </w:tblPrEx>
        <w:tc>
          <w:tcPr>
            <w:tcW w:w="2751" w:type="dxa"/>
            <w:vMerge/>
            <w:tcBorders>
              <w:left w:val="nil"/>
              <w:bottom w:val="single" w:sz="12" w:space="0" w:color="auto"/>
              <w:right w:val="nil"/>
            </w:tcBorders>
            <w:shd w:val="clear" w:color="auto" w:fill="EEEBD2"/>
          </w:tcPr>
          <w:p w:rsidR="00AD690E" w:rsidRPr="00BE3239" w:rsidRDefault="00AD690E" w:rsidP="00AD690E">
            <w:pPr>
              <w:ind w:firstLine="0"/>
              <w:jc w:val="both"/>
              <w:rPr>
                <w:sz w:val="24"/>
              </w:rPr>
            </w:pPr>
          </w:p>
        </w:tc>
        <w:tc>
          <w:tcPr>
            <w:tcW w:w="1131" w:type="dxa"/>
            <w:tcBorders>
              <w:top w:val="nil"/>
              <w:left w:val="nil"/>
              <w:bottom w:val="single" w:sz="12" w:space="0" w:color="auto"/>
              <w:right w:val="nil"/>
            </w:tcBorders>
            <w:shd w:val="clear" w:color="auto" w:fill="EEEBD2"/>
          </w:tcPr>
          <w:p w:rsidR="00AD690E" w:rsidRPr="00BE3239" w:rsidRDefault="00AD690E" w:rsidP="00AD690E">
            <w:pPr>
              <w:ind w:firstLine="0"/>
              <w:jc w:val="both"/>
              <w:rPr>
                <w:sz w:val="24"/>
              </w:rPr>
            </w:pPr>
            <w:r w:rsidRPr="00BE3239">
              <w:rPr>
                <w:sz w:val="24"/>
                <w:szCs w:val="18"/>
              </w:rPr>
              <w:t>1963</w:t>
            </w:r>
          </w:p>
        </w:tc>
        <w:tc>
          <w:tcPr>
            <w:tcW w:w="1132" w:type="dxa"/>
            <w:tcBorders>
              <w:top w:val="nil"/>
              <w:left w:val="nil"/>
              <w:bottom w:val="single" w:sz="12" w:space="0" w:color="auto"/>
              <w:right w:val="nil"/>
            </w:tcBorders>
            <w:shd w:val="clear" w:color="auto" w:fill="EEEBD2"/>
          </w:tcPr>
          <w:p w:rsidR="00AD690E" w:rsidRPr="00BE3239" w:rsidRDefault="00AD690E" w:rsidP="00AD690E">
            <w:pPr>
              <w:ind w:firstLine="0"/>
              <w:jc w:val="both"/>
              <w:rPr>
                <w:sz w:val="24"/>
              </w:rPr>
            </w:pPr>
            <w:r w:rsidRPr="00BE3239">
              <w:rPr>
                <w:sz w:val="24"/>
                <w:szCs w:val="18"/>
              </w:rPr>
              <w:t>1984</w:t>
            </w:r>
          </w:p>
        </w:tc>
        <w:tc>
          <w:tcPr>
            <w:tcW w:w="1131" w:type="dxa"/>
            <w:tcBorders>
              <w:top w:val="nil"/>
              <w:left w:val="nil"/>
              <w:bottom w:val="single" w:sz="12" w:space="0" w:color="auto"/>
              <w:right w:val="nil"/>
            </w:tcBorders>
            <w:shd w:val="clear" w:color="auto" w:fill="EEEBD2"/>
          </w:tcPr>
          <w:p w:rsidR="00AD690E" w:rsidRPr="00BE3239" w:rsidRDefault="00AD690E" w:rsidP="00AD690E">
            <w:pPr>
              <w:ind w:firstLine="0"/>
              <w:jc w:val="both"/>
              <w:rPr>
                <w:sz w:val="24"/>
              </w:rPr>
            </w:pPr>
            <w:r w:rsidRPr="00BE3239">
              <w:rPr>
                <w:sz w:val="24"/>
                <w:szCs w:val="18"/>
              </w:rPr>
              <w:t>1963</w:t>
            </w:r>
          </w:p>
        </w:tc>
        <w:tc>
          <w:tcPr>
            <w:tcW w:w="1132" w:type="dxa"/>
            <w:tcBorders>
              <w:top w:val="nil"/>
              <w:left w:val="nil"/>
              <w:bottom w:val="single" w:sz="12" w:space="0" w:color="auto"/>
              <w:right w:val="nil"/>
            </w:tcBorders>
            <w:shd w:val="clear" w:color="auto" w:fill="EEEBD2"/>
          </w:tcPr>
          <w:p w:rsidR="00AD690E" w:rsidRPr="00BE3239" w:rsidRDefault="00AD690E" w:rsidP="00AD690E">
            <w:pPr>
              <w:ind w:firstLine="0"/>
              <w:jc w:val="both"/>
              <w:rPr>
                <w:sz w:val="24"/>
              </w:rPr>
            </w:pPr>
            <w:r w:rsidRPr="00BE3239">
              <w:rPr>
                <w:sz w:val="24"/>
                <w:szCs w:val="18"/>
              </w:rPr>
              <w:t>1984</w:t>
            </w:r>
          </w:p>
        </w:tc>
        <w:tc>
          <w:tcPr>
            <w:tcW w:w="1131" w:type="dxa"/>
            <w:tcBorders>
              <w:top w:val="nil"/>
              <w:left w:val="nil"/>
              <w:bottom w:val="single" w:sz="12" w:space="0" w:color="auto"/>
              <w:right w:val="nil"/>
            </w:tcBorders>
            <w:shd w:val="clear" w:color="auto" w:fill="EEEBD2"/>
          </w:tcPr>
          <w:p w:rsidR="00AD690E" w:rsidRPr="00BE3239" w:rsidRDefault="00AD690E" w:rsidP="00AD690E">
            <w:pPr>
              <w:ind w:firstLine="0"/>
              <w:jc w:val="both"/>
              <w:rPr>
                <w:sz w:val="24"/>
              </w:rPr>
            </w:pPr>
            <w:r w:rsidRPr="00BE3239">
              <w:rPr>
                <w:sz w:val="24"/>
                <w:szCs w:val="18"/>
              </w:rPr>
              <w:t>1963</w:t>
            </w:r>
          </w:p>
        </w:tc>
        <w:tc>
          <w:tcPr>
            <w:tcW w:w="1132" w:type="dxa"/>
            <w:tcBorders>
              <w:top w:val="nil"/>
              <w:left w:val="nil"/>
              <w:bottom w:val="single" w:sz="12" w:space="0" w:color="auto"/>
              <w:right w:val="nil"/>
            </w:tcBorders>
            <w:shd w:val="clear" w:color="auto" w:fill="EEEBD2"/>
          </w:tcPr>
          <w:p w:rsidR="00AD690E" w:rsidRPr="00BE3239" w:rsidRDefault="00AD690E" w:rsidP="00AD690E">
            <w:pPr>
              <w:ind w:firstLine="0"/>
              <w:jc w:val="both"/>
              <w:rPr>
                <w:sz w:val="24"/>
              </w:rPr>
            </w:pPr>
            <w:r w:rsidRPr="00BE3239">
              <w:rPr>
                <w:sz w:val="24"/>
                <w:szCs w:val="18"/>
              </w:rPr>
              <w:t>1984</w:t>
            </w:r>
          </w:p>
        </w:tc>
      </w:tr>
      <w:tr w:rsidR="00AD690E" w:rsidRPr="0077615B">
        <w:tblPrEx>
          <w:tblCellMar>
            <w:top w:w="0" w:type="dxa"/>
            <w:bottom w:w="0" w:type="dxa"/>
          </w:tblCellMar>
        </w:tblPrEx>
        <w:tc>
          <w:tcPr>
            <w:tcW w:w="2751" w:type="dxa"/>
            <w:tcBorders>
              <w:top w:val="single" w:sz="12" w:space="0" w:color="auto"/>
              <w:left w:val="nil"/>
              <w:bottom w:val="nil"/>
              <w:right w:val="nil"/>
            </w:tcBorders>
            <w:shd w:val="clear" w:color="auto" w:fill="FFFFFF"/>
          </w:tcPr>
          <w:p w:rsidR="00AD690E" w:rsidRPr="00BE3239" w:rsidRDefault="00AD690E" w:rsidP="00AD690E">
            <w:pPr>
              <w:spacing w:before="120"/>
              <w:ind w:firstLine="0"/>
              <w:jc w:val="both"/>
              <w:rPr>
                <w:sz w:val="24"/>
              </w:rPr>
            </w:pPr>
            <w:r w:rsidRPr="00BE3239">
              <w:rPr>
                <w:sz w:val="24"/>
                <w:szCs w:val="18"/>
              </w:rPr>
              <w:t>Terre-Neuve</w:t>
            </w:r>
          </w:p>
        </w:tc>
        <w:tc>
          <w:tcPr>
            <w:tcW w:w="1131" w:type="dxa"/>
            <w:tcBorders>
              <w:top w:val="single" w:sz="12" w:space="0" w:color="auto"/>
              <w:left w:val="nil"/>
              <w:bottom w:val="nil"/>
              <w:right w:val="nil"/>
            </w:tcBorders>
            <w:shd w:val="clear" w:color="auto" w:fill="FFFFFF"/>
          </w:tcPr>
          <w:p w:rsidR="00AD690E" w:rsidRPr="00BE3239" w:rsidRDefault="00AD690E" w:rsidP="00AD690E">
            <w:pPr>
              <w:tabs>
                <w:tab w:val="decimal" w:pos="629"/>
              </w:tabs>
              <w:spacing w:before="120"/>
              <w:ind w:firstLine="0"/>
              <w:jc w:val="both"/>
              <w:rPr>
                <w:sz w:val="24"/>
              </w:rPr>
            </w:pPr>
            <w:r w:rsidRPr="00BE3239">
              <w:rPr>
                <w:sz w:val="24"/>
                <w:szCs w:val="18"/>
              </w:rPr>
              <w:t>2,5</w:t>
            </w:r>
          </w:p>
        </w:tc>
        <w:tc>
          <w:tcPr>
            <w:tcW w:w="1132" w:type="dxa"/>
            <w:tcBorders>
              <w:top w:val="single" w:sz="12" w:space="0" w:color="auto"/>
              <w:left w:val="nil"/>
              <w:bottom w:val="nil"/>
              <w:right w:val="nil"/>
            </w:tcBorders>
            <w:shd w:val="clear" w:color="auto" w:fill="FFFFFF"/>
          </w:tcPr>
          <w:p w:rsidR="00AD690E" w:rsidRPr="00BE3239" w:rsidRDefault="00AD690E" w:rsidP="00AD690E">
            <w:pPr>
              <w:tabs>
                <w:tab w:val="decimal" w:pos="629"/>
              </w:tabs>
              <w:spacing w:before="120"/>
              <w:ind w:firstLine="0"/>
              <w:jc w:val="both"/>
              <w:rPr>
                <w:sz w:val="24"/>
              </w:rPr>
            </w:pPr>
            <w:r w:rsidRPr="00BE3239">
              <w:rPr>
                <w:sz w:val="24"/>
                <w:szCs w:val="18"/>
              </w:rPr>
              <w:t>2,3</w:t>
            </w:r>
          </w:p>
        </w:tc>
        <w:tc>
          <w:tcPr>
            <w:tcW w:w="1131" w:type="dxa"/>
            <w:tcBorders>
              <w:top w:val="single" w:sz="12" w:space="0" w:color="auto"/>
              <w:left w:val="nil"/>
              <w:bottom w:val="nil"/>
              <w:right w:val="nil"/>
            </w:tcBorders>
            <w:shd w:val="clear" w:color="auto" w:fill="FFFFFF"/>
          </w:tcPr>
          <w:p w:rsidR="00AD690E" w:rsidRPr="00BE3239" w:rsidRDefault="00AD690E" w:rsidP="00AD690E">
            <w:pPr>
              <w:tabs>
                <w:tab w:val="decimal" w:pos="526"/>
              </w:tabs>
              <w:spacing w:before="120"/>
              <w:ind w:firstLine="0"/>
              <w:jc w:val="both"/>
              <w:rPr>
                <w:sz w:val="24"/>
              </w:rPr>
            </w:pPr>
            <w:r w:rsidRPr="00BE3239">
              <w:rPr>
                <w:sz w:val="24"/>
                <w:szCs w:val="18"/>
              </w:rPr>
              <w:t>56,3</w:t>
            </w:r>
          </w:p>
        </w:tc>
        <w:tc>
          <w:tcPr>
            <w:tcW w:w="1132" w:type="dxa"/>
            <w:tcBorders>
              <w:top w:val="single" w:sz="12" w:space="0" w:color="auto"/>
              <w:left w:val="nil"/>
              <w:bottom w:val="nil"/>
              <w:right w:val="nil"/>
            </w:tcBorders>
            <w:shd w:val="clear" w:color="auto" w:fill="FFFFFF"/>
          </w:tcPr>
          <w:p w:rsidR="00AD690E" w:rsidRPr="00BE3239" w:rsidRDefault="00AD690E" w:rsidP="00AD690E">
            <w:pPr>
              <w:tabs>
                <w:tab w:val="decimal" w:pos="526"/>
              </w:tabs>
              <w:spacing w:before="120"/>
              <w:ind w:firstLine="0"/>
              <w:jc w:val="both"/>
              <w:rPr>
                <w:sz w:val="24"/>
              </w:rPr>
            </w:pPr>
            <w:r w:rsidRPr="00BE3239">
              <w:rPr>
                <w:sz w:val="24"/>
                <w:szCs w:val="18"/>
              </w:rPr>
              <w:t>67,4</w:t>
            </w:r>
          </w:p>
        </w:tc>
        <w:tc>
          <w:tcPr>
            <w:tcW w:w="1131" w:type="dxa"/>
            <w:tcBorders>
              <w:top w:val="single" w:sz="12" w:space="0" w:color="auto"/>
              <w:left w:val="nil"/>
              <w:bottom w:val="nil"/>
              <w:right w:val="nil"/>
            </w:tcBorders>
            <w:shd w:val="clear" w:color="auto" w:fill="FFFFFF"/>
          </w:tcPr>
          <w:p w:rsidR="00AD690E" w:rsidRPr="00BE3239" w:rsidRDefault="00AD690E" w:rsidP="00AD690E">
            <w:pPr>
              <w:tabs>
                <w:tab w:val="decimal" w:pos="423"/>
              </w:tabs>
              <w:spacing w:before="120"/>
              <w:ind w:firstLine="0"/>
              <w:jc w:val="both"/>
              <w:rPr>
                <w:sz w:val="24"/>
              </w:rPr>
            </w:pPr>
            <w:r w:rsidRPr="00BE3239">
              <w:rPr>
                <w:sz w:val="24"/>
                <w:szCs w:val="18"/>
              </w:rPr>
              <w:t>4,06</w:t>
            </w:r>
          </w:p>
        </w:tc>
        <w:tc>
          <w:tcPr>
            <w:tcW w:w="1132" w:type="dxa"/>
            <w:tcBorders>
              <w:top w:val="single" w:sz="12" w:space="0" w:color="auto"/>
              <w:left w:val="nil"/>
              <w:bottom w:val="nil"/>
              <w:right w:val="nil"/>
            </w:tcBorders>
            <w:shd w:val="clear" w:color="auto" w:fill="FFFFFF"/>
          </w:tcPr>
          <w:p w:rsidR="00AD690E" w:rsidRPr="00BE3239" w:rsidRDefault="00AD690E" w:rsidP="00AD690E">
            <w:pPr>
              <w:tabs>
                <w:tab w:val="decimal" w:pos="423"/>
              </w:tabs>
              <w:spacing w:before="120"/>
              <w:ind w:firstLine="0"/>
              <w:jc w:val="both"/>
              <w:rPr>
                <w:sz w:val="24"/>
              </w:rPr>
            </w:pPr>
            <w:r w:rsidRPr="00BE3239">
              <w:rPr>
                <w:sz w:val="24"/>
                <w:szCs w:val="18"/>
              </w:rPr>
              <w:t>8,83</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Ile-du-Prince-Édouard</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0,6</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0,5</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58,4</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71,6</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3,45</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7,54</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Nouve</w:t>
            </w:r>
            <w:r w:rsidRPr="00BE3239">
              <w:rPr>
                <w:sz w:val="24"/>
                <w:szCs w:val="18"/>
              </w:rPr>
              <w:t>l</w:t>
            </w:r>
            <w:r w:rsidRPr="00BE3239">
              <w:rPr>
                <w:sz w:val="24"/>
                <w:szCs w:val="18"/>
              </w:rPr>
              <w:t>le-Ecosse</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4,0</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3,5</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75,5</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81,2</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1,86</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4,08</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szCs w:val="18"/>
              </w:rPr>
            </w:pPr>
            <w:r w:rsidRPr="00BE3239">
              <w:rPr>
                <w:sz w:val="24"/>
                <w:szCs w:val="18"/>
              </w:rPr>
              <w:t xml:space="preserve">Nouveau-Brunswick </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szCs w:val="18"/>
              </w:rPr>
            </w:pPr>
            <w:r w:rsidRPr="00BE3239">
              <w:rPr>
                <w:sz w:val="24"/>
                <w:szCs w:val="18"/>
              </w:rPr>
              <w:t>3,2</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szCs w:val="18"/>
              </w:rPr>
            </w:pPr>
            <w:r w:rsidRPr="00BE3239">
              <w:rPr>
                <w:sz w:val="24"/>
                <w:szCs w:val="18"/>
              </w:rPr>
              <w:t>2,8</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szCs w:val="18"/>
              </w:rPr>
            </w:pPr>
            <w:r w:rsidRPr="00BE3239">
              <w:rPr>
                <w:sz w:val="24"/>
                <w:szCs w:val="18"/>
              </w:rPr>
              <w:t>67,0</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szCs w:val="18"/>
              </w:rPr>
            </w:pPr>
            <w:r w:rsidRPr="00BE3239">
              <w:rPr>
                <w:sz w:val="24"/>
                <w:szCs w:val="18"/>
              </w:rPr>
              <w:t>74,5</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szCs w:val="18"/>
              </w:rPr>
            </w:pPr>
            <w:r w:rsidRPr="00BE3239">
              <w:rPr>
                <w:sz w:val="24"/>
                <w:szCs w:val="18"/>
              </w:rPr>
              <w:t>2,53</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szCs w:val="18"/>
              </w:rPr>
            </w:pPr>
            <w:r w:rsidRPr="00BE3239">
              <w:rPr>
                <w:sz w:val="24"/>
                <w:szCs w:val="18"/>
              </w:rPr>
              <w:t>6,41</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Québec</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29,0</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26,0</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88,6</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93,6</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1,40</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3,67</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Ontario</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34,2</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35,6</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117,2</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110,0</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0,82</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1,77</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Manit</w:t>
            </w:r>
            <w:r w:rsidRPr="00BE3239">
              <w:rPr>
                <w:sz w:val="24"/>
                <w:szCs w:val="18"/>
              </w:rPr>
              <w:t>o</w:t>
            </w:r>
            <w:r w:rsidRPr="00BE3239">
              <w:rPr>
                <w:sz w:val="24"/>
                <w:szCs w:val="18"/>
              </w:rPr>
              <w:t>ba</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5,0</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4,2</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94,3</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95,4</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1,09</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2,02</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Saska</w:t>
            </w:r>
            <w:r w:rsidRPr="00BE3239">
              <w:rPr>
                <w:sz w:val="24"/>
                <w:szCs w:val="18"/>
              </w:rPr>
              <w:t>t</w:t>
            </w:r>
            <w:r w:rsidRPr="00BE3239">
              <w:rPr>
                <w:sz w:val="24"/>
                <w:szCs w:val="18"/>
              </w:rPr>
              <w:t>chewan</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4,9</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4,0</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98,2</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90,3</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0,71</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1,84</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Alberta</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7,4</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9,3</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98,2</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106,8</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0,87</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2,55</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sidRPr="00BE3239">
              <w:rPr>
                <w:sz w:val="24"/>
                <w:szCs w:val="18"/>
              </w:rPr>
              <w:t>Colombie-britann</w:t>
            </w:r>
            <w:r w:rsidRPr="00BE3239">
              <w:rPr>
                <w:sz w:val="24"/>
                <w:szCs w:val="18"/>
              </w:rPr>
              <w:t>i</w:t>
            </w:r>
            <w:r w:rsidRPr="00BE3239">
              <w:rPr>
                <w:sz w:val="24"/>
                <w:szCs w:val="18"/>
              </w:rPr>
              <w:t>que</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9,0</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11,4</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112,2</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102,6</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1,14</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3,39</w:t>
            </w:r>
          </w:p>
        </w:tc>
      </w:tr>
      <w:tr w:rsidR="00AD690E" w:rsidRPr="0077615B">
        <w:tblPrEx>
          <w:tblCellMar>
            <w:top w:w="0" w:type="dxa"/>
            <w:bottom w:w="0" w:type="dxa"/>
          </w:tblCellMar>
        </w:tblPrEx>
        <w:tc>
          <w:tcPr>
            <w:tcW w:w="2751" w:type="dxa"/>
            <w:tcBorders>
              <w:top w:val="nil"/>
              <w:left w:val="nil"/>
              <w:bottom w:val="nil"/>
              <w:right w:val="nil"/>
            </w:tcBorders>
            <w:shd w:val="clear" w:color="auto" w:fill="FFFFFF"/>
          </w:tcPr>
          <w:p w:rsidR="00AD690E" w:rsidRPr="00BE3239" w:rsidRDefault="00AD690E" w:rsidP="00AD690E">
            <w:pPr>
              <w:ind w:firstLine="0"/>
              <w:jc w:val="both"/>
              <w:rPr>
                <w:sz w:val="24"/>
              </w:rPr>
            </w:pPr>
            <w:r>
              <w:rPr>
                <w:sz w:val="24"/>
                <w:szCs w:val="18"/>
              </w:rPr>
              <w:t>Canada</w:t>
            </w:r>
          </w:p>
        </w:tc>
        <w:tc>
          <w:tcPr>
            <w:tcW w:w="1131"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100,0</w:t>
            </w:r>
          </w:p>
        </w:tc>
        <w:tc>
          <w:tcPr>
            <w:tcW w:w="1132" w:type="dxa"/>
            <w:tcBorders>
              <w:top w:val="nil"/>
              <w:left w:val="nil"/>
              <w:bottom w:val="nil"/>
              <w:right w:val="nil"/>
            </w:tcBorders>
            <w:shd w:val="clear" w:color="auto" w:fill="FFFFFF"/>
          </w:tcPr>
          <w:p w:rsidR="00AD690E" w:rsidRPr="00BE3239" w:rsidRDefault="00AD690E" w:rsidP="00AD690E">
            <w:pPr>
              <w:tabs>
                <w:tab w:val="decimal" w:pos="629"/>
              </w:tabs>
              <w:ind w:firstLine="0"/>
              <w:jc w:val="both"/>
              <w:rPr>
                <w:sz w:val="24"/>
              </w:rPr>
            </w:pPr>
            <w:r w:rsidRPr="00BE3239">
              <w:rPr>
                <w:sz w:val="24"/>
                <w:szCs w:val="18"/>
              </w:rPr>
              <w:t>100,0</w:t>
            </w:r>
          </w:p>
        </w:tc>
        <w:tc>
          <w:tcPr>
            <w:tcW w:w="1131"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100,0</w:t>
            </w:r>
          </w:p>
        </w:tc>
        <w:tc>
          <w:tcPr>
            <w:tcW w:w="1132" w:type="dxa"/>
            <w:tcBorders>
              <w:top w:val="nil"/>
              <w:left w:val="nil"/>
              <w:bottom w:val="nil"/>
              <w:right w:val="nil"/>
            </w:tcBorders>
            <w:shd w:val="clear" w:color="auto" w:fill="FFFFFF"/>
          </w:tcPr>
          <w:p w:rsidR="00AD690E" w:rsidRPr="00BE3239" w:rsidRDefault="00AD690E" w:rsidP="00AD690E">
            <w:pPr>
              <w:tabs>
                <w:tab w:val="decimal" w:pos="526"/>
              </w:tabs>
              <w:ind w:firstLine="0"/>
              <w:jc w:val="both"/>
              <w:rPr>
                <w:sz w:val="24"/>
              </w:rPr>
            </w:pPr>
            <w:r w:rsidRPr="00BE3239">
              <w:rPr>
                <w:sz w:val="24"/>
                <w:szCs w:val="18"/>
              </w:rPr>
              <w:t>100,0</w:t>
            </w:r>
          </w:p>
        </w:tc>
        <w:tc>
          <w:tcPr>
            <w:tcW w:w="1131"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100,0</w:t>
            </w:r>
          </w:p>
        </w:tc>
        <w:tc>
          <w:tcPr>
            <w:tcW w:w="1132" w:type="dxa"/>
            <w:tcBorders>
              <w:top w:val="nil"/>
              <w:left w:val="nil"/>
              <w:bottom w:val="nil"/>
              <w:right w:val="nil"/>
            </w:tcBorders>
            <w:shd w:val="clear" w:color="auto" w:fill="FFFFFF"/>
          </w:tcPr>
          <w:p w:rsidR="00AD690E" w:rsidRPr="00BE3239" w:rsidRDefault="00AD690E" w:rsidP="00AD690E">
            <w:pPr>
              <w:tabs>
                <w:tab w:val="decimal" w:pos="423"/>
              </w:tabs>
              <w:ind w:firstLine="0"/>
              <w:jc w:val="both"/>
              <w:rPr>
                <w:sz w:val="24"/>
              </w:rPr>
            </w:pPr>
            <w:r w:rsidRPr="00BE3239">
              <w:rPr>
                <w:sz w:val="24"/>
                <w:szCs w:val="18"/>
              </w:rPr>
              <w:t>100,0</w:t>
            </w:r>
          </w:p>
        </w:tc>
      </w:tr>
      <w:tr w:rsidR="00AD690E" w:rsidRPr="0099095D">
        <w:tblPrEx>
          <w:tblCellMar>
            <w:top w:w="0" w:type="dxa"/>
            <w:bottom w:w="0" w:type="dxa"/>
          </w:tblCellMar>
        </w:tblPrEx>
        <w:tc>
          <w:tcPr>
            <w:tcW w:w="2751" w:type="dxa"/>
            <w:tcBorders>
              <w:top w:val="nil"/>
              <w:left w:val="nil"/>
              <w:bottom w:val="single" w:sz="6" w:space="0" w:color="auto"/>
              <w:right w:val="nil"/>
            </w:tcBorders>
            <w:shd w:val="clear" w:color="auto" w:fill="FFFFFF"/>
          </w:tcPr>
          <w:p w:rsidR="00AD690E" w:rsidRPr="0099095D" w:rsidRDefault="00AD690E" w:rsidP="00AD690E">
            <w:pPr>
              <w:spacing w:before="120" w:after="120"/>
              <w:ind w:firstLine="0"/>
              <w:jc w:val="both"/>
              <w:rPr>
                <w:sz w:val="20"/>
              </w:rPr>
            </w:pPr>
          </w:p>
        </w:tc>
        <w:tc>
          <w:tcPr>
            <w:tcW w:w="1131" w:type="dxa"/>
            <w:tcBorders>
              <w:top w:val="nil"/>
              <w:left w:val="nil"/>
              <w:bottom w:val="single" w:sz="6" w:space="0" w:color="auto"/>
              <w:right w:val="nil"/>
            </w:tcBorders>
            <w:shd w:val="clear" w:color="auto" w:fill="FFFFFF"/>
          </w:tcPr>
          <w:p w:rsidR="00AD690E" w:rsidRPr="0099095D" w:rsidRDefault="00AD690E" w:rsidP="00AD690E">
            <w:pPr>
              <w:tabs>
                <w:tab w:val="decimal" w:pos="629"/>
              </w:tabs>
              <w:spacing w:before="120" w:after="120"/>
              <w:ind w:firstLine="0"/>
              <w:jc w:val="both"/>
              <w:rPr>
                <w:sz w:val="20"/>
              </w:rPr>
            </w:pPr>
            <w:r w:rsidRPr="0099095D">
              <w:rPr>
                <w:sz w:val="20"/>
                <w:szCs w:val="14"/>
              </w:rPr>
              <w:t>18</w:t>
            </w:r>
            <w:r>
              <w:rPr>
                <w:sz w:val="20"/>
                <w:szCs w:val="14"/>
              </w:rPr>
              <w:t xml:space="preserve"> </w:t>
            </w:r>
            <w:r w:rsidRPr="0099095D">
              <w:rPr>
                <w:sz w:val="20"/>
                <w:szCs w:val="14"/>
              </w:rPr>
              <w:t>931</w:t>
            </w:r>
            <w:r>
              <w:rPr>
                <w:sz w:val="20"/>
                <w:szCs w:val="14"/>
              </w:rPr>
              <w:t xml:space="preserve"> </w:t>
            </w:r>
            <w:r w:rsidRPr="0099095D">
              <w:rPr>
                <w:sz w:val="20"/>
                <w:szCs w:val="14"/>
              </w:rPr>
              <w:t>000</w:t>
            </w:r>
          </w:p>
        </w:tc>
        <w:tc>
          <w:tcPr>
            <w:tcW w:w="1132" w:type="dxa"/>
            <w:tcBorders>
              <w:top w:val="nil"/>
              <w:left w:val="nil"/>
              <w:bottom w:val="single" w:sz="6" w:space="0" w:color="auto"/>
              <w:right w:val="nil"/>
            </w:tcBorders>
            <w:shd w:val="clear" w:color="auto" w:fill="FFFFFF"/>
          </w:tcPr>
          <w:p w:rsidR="00AD690E" w:rsidRPr="0099095D" w:rsidRDefault="00AD690E" w:rsidP="00AD690E">
            <w:pPr>
              <w:tabs>
                <w:tab w:val="decimal" w:pos="629"/>
              </w:tabs>
              <w:spacing w:before="120" w:after="120"/>
              <w:ind w:firstLine="0"/>
              <w:jc w:val="both"/>
              <w:rPr>
                <w:sz w:val="20"/>
              </w:rPr>
            </w:pPr>
            <w:r w:rsidRPr="0099095D">
              <w:rPr>
                <w:sz w:val="20"/>
                <w:szCs w:val="14"/>
              </w:rPr>
              <w:t>25</w:t>
            </w:r>
            <w:r>
              <w:rPr>
                <w:sz w:val="20"/>
                <w:szCs w:val="14"/>
              </w:rPr>
              <w:t xml:space="preserve"> </w:t>
            </w:r>
            <w:r w:rsidRPr="0099095D">
              <w:rPr>
                <w:sz w:val="20"/>
                <w:szCs w:val="14"/>
              </w:rPr>
              <w:t>1 24</w:t>
            </w:r>
            <w:r>
              <w:rPr>
                <w:sz w:val="20"/>
                <w:szCs w:val="14"/>
              </w:rPr>
              <w:t xml:space="preserve"> </w:t>
            </w:r>
            <w:r w:rsidRPr="0099095D">
              <w:rPr>
                <w:sz w:val="20"/>
                <w:szCs w:val="14"/>
              </w:rPr>
              <w:t>000</w:t>
            </w:r>
          </w:p>
        </w:tc>
        <w:tc>
          <w:tcPr>
            <w:tcW w:w="1131" w:type="dxa"/>
            <w:tcBorders>
              <w:top w:val="nil"/>
              <w:left w:val="nil"/>
              <w:bottom w:val="single" w:sz="6" w:space="0" w:color="auto"/>
              <w:right w:val="nil"/>
            </w:tcBorders>
            <w:shd w:val="clear" w:color="auto" w:fill="FFFFFF"/>
          </w:tcPr>
          <w:p w:rsidR="00AD690E" w:rsidRPr="0099095D" w:rsidRDefault="00AD690E" w:rsidP="00AD690E">
            <w:pPr>
              <w:tabs>
                <w:tab w:val="decimal" w:pos="526"/>
              </w:tabs>
              <w:spacing w:before="120" w:after="120"/>
              <w:ind w:firstLine="0"/>
              <w:jc w:val="both"/>
              <w:rPr>
                <w:sz w:val="20"/>
              </w:rPr>
            </w:pPr>
            <w:r w:rsidRPr="0099095D">
              <w:rPr>
                <w:sz w:val="20"/>
                <w:szCs w:val="14"/>
              </w:rPr>
              <w:t>1830$</w:t>
            </w:r>
          </w:p>
        </w:tc>
        <w:tc>
          <w:tcPr>
            <w:tcW w:w="1132" w:type="dxa"/>
            <w:tcBorders>
              <w:top w:val="nil"/>
              <w:left w:val="nil"/>
              <w:bottom w:val="single" w:sz="6" w:space="0" w:color="auto"/>
              <w:right w:val="nil"/>
            </w:tcBorders>
            <w:shd w:val="clear" w:color="auto" w:fill="FFFFFF"/>
          </w:tcPr>
          <w:p w:rsidR="00AD690E" w:rsidRPr="0099095D" w:rsidRDefault="00AD690E" w:rsidP="00AD690E">
            <w:pPr>
              <w:tabs>
                <w:tab w:val="decimal" w:pos="526"/>
              </w:tabs>
              <w:spacing w:before="120" w:after="120"/>
              <w:ind w:firstLine="0"/>
              <w:jc w:val="both"/>
              <w:rPr>
                <w:sz w:val="20"/>
              </w:rPr>
            </w:pPr>
            <w:r w:rsidRPr="0099095D">
              <w:rPr>
                <w:sz w:val="20"/>
                <w:szCs w:val="14"/>
              </w:rPr>
              <w:t>14402$</w:t>
            </w:r>
          </w:p>
        </w:tc>
        <w:tc>
          <w:tcPr>
            <w:tcW w:w="1131" w:type="dxa"/>
            <w:tcBorders>
              <w:top w:val="nil"/>
              <w:left w:val="nil"/>
              <w:bottom w:val="single" w:sz="6" w:space="0" w:color="auto"/>
              <w:right w:val="nil"/>
            </w:tcBorders>
            <w:shd w:val="clear" w:color="auto" w:fill="FFFFFF"/>
          </w:tcPr>
          <w:p w:rsidR="00AD690E" w:rsidRPr="0099095D" w:rsidRDefault="00AD690E" w:rsidP="00AD690E">
            <w:pPr>
              <w:tabs>
                <w:tab w:val="decimal" w:pos="423"/>
              </w:tabs>
              <w:spacing w:before="120" w:after="120"/>
              <w:ind w:firstLine="0"/>
              <w:jc w:val="both"/>
              <w:rPr>
                <w:sz w:val="20"/>
              </w:rPr>
            </w:pPr>
            <w:r w:rsidRPr="0099095D">
              <w:rPr>
                <w:sz w:val="20"/>
                <w:szCs w:val="14"/>
              </w:rPr>
              <w:t>20,80$</w:t>
            </w:r>
          </w:p>
        </w:tc>
        <w:tc>
          <w:tcPr>
            <w:tcW w:w="1132" w:type="dxa"/>
            <w:tcBorders>
              <w:top w:val="nil"/>
              <w:left w:val="nil"/>
              <w:bottom w:val="single" w:sz="6" w:space="0" w:color="auto"/>
              <w:right w:val="nil"/>
            </w:tcBorders>
            <w:shd w:val="clear" w:color="auto" w:fill="FFFFFF"/>
          </w:tcPr>
          <w:p w:rsidR="00AD690E" w:rsidRPr="0099095D" w:rsidRDefault="00AD690E" w:rsidP="00AD690E">
            <w:pPr>
              <w:tabs>
                <w:tab w:val="decimal" w:pos="423"/>
              </w:tabs>
              <w:spacing w:before="120" w:after="120"/>
              <w:ind w:firstLine="0"/>
              <w:jc w:val="both"/>
              <w:rPr>
                <w:sz w:val="20"/>
              </w:rPr>
            </w:pPr>
            <w:r w:rsidRPr="0099095D">
              <w:rPr>
                <w:sz w:val="20"/>
                <w:szCs w:val="14"/>
              </w:rPr>
              <w:t>395,40$</w:t>
            </w:r>
          </w:p>
        </w:tc>
      </w:tr>
    </w:tbl>
    <w:p w:rsidR="00AD690E" w:rsidRPr="0077615B" w:rsidRDefault="00AD690E" w:rsidP="00AD690E">
      <w:pPr>
        <w:pStyle w:val="figst"/>
      </w:pPr>
      <w:r w:rsidRPr="0077615B">
        <w:t>Sources : Statistique Canada n° 919210 et n° 13-213, publications annuelles.</w:t>
      </w:r>
    </w:p>
    <w:p w:rsidR="00AD690E" w:rsidRPr="0077615B" w:rsidRDefault="00AD690E" w:rsidP="00AD690E">
      <w:pPr>
        <w:spacing w:before="120" w:after="120"/>
        <w:jc w:val="both"/>
      </w:pPr>
      <w:r>
        <w:rPr>
          <w:szCs w:val="22"/>
        </w:rPr>
        <w:br w:type="page"/>
      </w:r>
      <w:r w:rsidRPr="0077615B">
        <w:rPr>
          <w:szCs w:val="22"/>
        </w:rPr>
        <w:t>Les performances du système multirégional canadien en te</w:t>
      </w:r>
      <w:r w:rsidRPr="0077615B">
        <w:rPr>
          <w:szCs w:val="22"/>
        </w:rPr>
        <w:t>r</w:t>
      </w:r>
      <w:r w:rsidRPr="0077615B">
        <w:rPr>
          <w:szCs w:val="22"/>
        </w:rPr>
        <w:t>mes d'opportunités d'emploi ont cependant été moins reluisantes. Comme dans la plupart des pays industrialisés, on note au gr</w:t>
      </w:r>
      <w:r w:rsidRPr="0077615B">
        <w:rPr>
          <w:szCs w:val="22"/>
        </w:rPr>
        <w:t>a</w:t>
      </w:r>
      <w:r w:rsidRPr="0077615B">
        <w:rPr>
          <w:szCs w:val="22"/>
        </w:rPr>
        <w:t>phique</w:t>
      </w:r>
      <w:r>
        <w:rPr>
          <w:szCs w:val="22"/>
        </w:rPr>
        <w:t> </w:t>
      </w:r>
      <w:r w:rsidRPr="0077615B">
        <w:rPr>
          <w:szCs w:val="22"/>
        </w:rPr>
        <w:t>1 une augmentation tendancielle du taux de chômage a</w:t>
      </w:r>
      <w:r w:rsidRPr="0077615B">
        <w:rPr>
          <w:szCs w:val="22"/>
        </w:rPr>
        <w:t>s</w:t>
      </w:r>
      <w:r w:rsidRPr="0077615B">
        <w:rPr>
          <w:szCs w:val="22"/>
        </w:rPr>
        <w:t>socié au plein-emploi, augmentation toutefois plus importante ici qu'ailleurs. Les performances relatives de chaque région se sont de plus détériorées, du moins en termes absolus et ce, non seul</w:t>
      </w:r>
      <w:r w:rsidRPr="0077615B">
        <w:rPr>
          <w:szCs w:val="22"/>
        </w:rPr>
        <w:t>e</w:t>
      </w:r>
      <w:r w:rsidRPr="0077615B">
        <w:rPr>
          <w:szCs w:val="22"/>
        </w:rPr>
        <w:t>ment durant la crise de 1982-1984, mais même au cours de la r</w:t>
      </w:r>
      <w:r w:rsidRPr="0077615B">
        <w:rPr>
          <w:szCs w:val="22"/>
        </w:rPr>
        <w:t>é</w:t>
      </w:r>
      <w:r w:rsidRPr="0077615B">
        <w:rPr>
          <w:szCs w:val="22"/>
        </w:rPr>
        <w:t>cession de 1974-1978. Un taux de chômage en 1984 de 20,5</w:t>
      </w:r>
      <w:r>
        <w:rPr>
          <w:szCs w:val="22"/>
        </w:rPr>
        <w:t>%</w:t>
      </w:r>
      <w:r w:rsidRPr="0077615B">
        <w:rPr>
          <w:szCs w:val="22"/>
        </w:rPr>
        <w:t xml:space="preserve"> à, Terre-Neuve par rapport à 8</w:t>
      </w:r>
      <w:r>
        <w:rPr>
          <w:szCs w:val="22"/>
        </w:rPr>
        <w:t>%</w:t>
      </w:r>
      <w:r w:rsidRPr="0077615B">
        <w:rPr>
          <w:szCs w:val="22"/>
        </w:rPr>
        <w:t xml:space="preserve"> en Saskatchewan donne un ratio plus faible qu'en 1966 — 2,56 co</w:t>
      </w:r>
      <w:r w:rsidRPr="0077615B">
        <w:rPr>
          <w:szCs w:val="22"/>
        </w:rPr>
        <w:t>m</w:t>
      </w:r>
      <w:r w:rsidRPr="0077615B">
        <w:rPr>
          <w:szCs w:val="22"/>
        </w:rPr>
        <w:t>parativement à 3,87 — mais un pourcentage aussi élevé de main-d'oeuvre inemployée crée indiscutablement un problème social ép</w:t>
      </w:r>
      <w:r w:rsidRPr="0077615B">
        <w:rPr>
          <w:szCs w:val="22"/>
        </w:rPr>
        <w:t>i</w:t>
      </w:r>
      <w:r w:rsidRPr="0077615B">
        <w:rPr>
          <w:szCs w:val="22"/>
        </w:rPr>
        <w:t>neux. Surtout quand on tient compte du fait que de nombreux travai</w:t>
      </w:r>
      <w:r w:rsidRPr="0077615B">
        <w:rPr>
          <w:szCs w:val="22"/>
        </w:rPr>
        <w:t>l</w:t>
      </w:r>
      <w:r w:rsidRPr="0077615B">
        <w:rPr>
          <w:szCs w:val="22"/>
        </w:rPr>
        <w:t>leurs potentiels, d</w:t>
      </w:r>
      <w:r w:rsidRPr="0077615B">
        <w:rPr>
          <w:szCs w:val="22"/>
        </w:rPr>
        <w:t>é</w:t>
      </w:r>
      <w:r w:rsidRPr="0077615B">
        <w:rPr>
          <w:szCs w:val="22"/>
        </w:rPr>
        <w:t>couragés devant le manque d'opportunités d'emploi, décident tout simplement de se retirer du marché du travail en dev</w:t>
      </w:r>
      <w:r w:rsidRPr="0077615B">
        <w:rPr>
          <w:szCs w:val="22"/>
        </w:rPr>
        <w:t>e</w:t>
      </w:r>
      <w:r w:rsidRPr="0077615B">
        <w:rPr>
          <w:szCs w:val="22"/>
        </w:rPr>
        <w:t>nant ina</w:t>
      </w:r>
      <w:r w:rsidRPr="0077615B">
        <w:rPr>
          <w:szCs w:val="22"/>
        </w:rPr>
        <w:t>c</w:t>
      </w:r>
      <w:r w:rsidRPr="0077615B">
        <w:rPr>
          <w:szCs w:val="22"/>
        </w:rPr>
        <w:t>tifs. On estime qu'à Terre-Neuve ce nombre correspond à</w:t>
      </w:r>
      <w:r>
        <w:rPr>
          <w:szCs w:val="22"/>
        </w:rPr>
        <w:t xml:space="preserve"> </w:t>
      </w:r>
      <w:r>
        <w:t xml:space="preserve">[197] </w:t>
      </w:r>
      <w:r w:rsidRPr="0077615B">
        <w:rPr>
          <w:szCs w:val="22"/>
        </w:rPr>
        <w:t>la moitié du nombre de personnes se déclarant chômeurs</w:t>
      </w:r>
      <w:r>
        <w:rPr>
          <w:szCs w:val="22"/>
        </w:rPr>
        <w:t> </w:t>
      </w:r>
      <w:r w:rsidRPr="00D756DB">
        <w:rPr>
          <w:rStyle w:val="Appelnotedebasdep"/>
        </w:rPr>
        <w:footnoteReference w:id="349"/>
      </w:r>
      <w:r w:rsidRPr="0077615B">
        <w:rPr>
          <w:szCs w:val="22"/>
        </w:rPr>
        <w:t>.</w:t>
      </w:r>
    </w:p>
    <w:p w:rsidR="00AD690E" w:rsidRPr="0077615B" w:rsidRDefault="00AD690E" w:rsidP="00AD690E">
      <w:pPr>
        <w:spacing w:before="120" w:after="120"/>
        <w:jc w:val="both"/>
      </w:pPr>
      <w:r w:rsidRPr="0077615B">
        <w:rPr>
          <w:szCs w:val="22"/>
        </w:rPr>
        <w:t>Les données reproduites au graphique 2 montrent bien que là où le taux de chômage est élevé on trouve aussi un faible taux d'activité, et vice-versa ; l'acuité du problème de l'emploi dans certaines régions est donc sous-estimée par les seuls taux de chômage. Au total, comme dans le cas du revenu personnel par habitant, l'amélioration des cond</w:t>
      </w:r>
      <w:r w:rsidRPr="0077615B">
        <w:rPr>
          <w:szCs w:val="22"/>
        </w:rPr>
        <w:t>i</w:t>
      </w:r>
      <w:r w:rsidRPr="0077615B">
        <w:rPr>
          <w:szCs w:val="22"/>
        </w:rPr>
        <w:t>tions d'emploi à l'échelle de l'e</w:t>
      </w:r>
      <w:r w:rsidRPr="0077615B">
        <w:rPr>
          <w:szCs w:val="22"/>
        </w:rPr>
        <w:t>n</w:t>
      </w:r>
      <w:r w:rsidRPr="0077615B">
        <w:rPr>
          <w:szCs w:val="22"/>
        </w:rPr>
        <w:t>semble du Canada est remarquable, soit un accroissement de plus de 7 points de pourcentage dans le taux d'activité — de 57,3</w:t>
      </w:r>
      <w:r>
        <w:rPr>
          <w:szCs w:val="22"/>
        </w:rPr>
        <w:t>%</w:t>
      </w:r>
      <w:r w:rsidRPr="0077615B">
        <w:rPr>
          <w:szCs w:val="22"/>
        </w:rPr>
        <w:t xml:space="preserve"> à 64,8</w:t>
      </w:r>
      <w:r>
        <w:rPr>
          <w:szCs w:val="22"/>
        </w:rPr>
        <w:t>%</w:t>
      </w:r>
      <w:r w:rsidRPr="0077615B">
        <w:rPr>
          <w:szCs w:val="22"/>
        </w:rPr>
        <w:t xml:space="preserve"> — en 18 ans, mais en contrepartie il est clair que les disp</w:t>
      </w:r>
      <w:r w:rsidRPr="0077615B">
        <w:rPr>
          <w:szCs w:val="22"/>
        </w:rPr>
        <w:t>a</w:t>
      </w:r>
      <w:r w:rsidRPr="0077615B">
        <w:rPr>
          <w:szCs w:val="22"/>
        </w:rPr>
        <w:t>rités interrégionales se sont accrues au cours des vingt dernières années.</w:t>
      </w:r>
    </w:p>
    <w:p w:rsidR="00AD690E" w:rsidRPr="0077615B" w:rsidRDefault="00AD690E" w:rsidP="00AD690E">
      <w:pPr>
        <w:spacing w:before="120" w:after="120"/>
        <w:jc w:val="both"/>
      </w:pPr>
      <w:r w:rsidRPr="0077615B">
        <w:rPr>
          <w:szCs w:val="22"/>
        </w:rPr>
        <w:t>Le libéralisme économique, doctrine dont s'inspirent bien sûr tant les libéraux que les conservateurs, même si les premiers s'y réfèrent de manière peut-être moins dogmatique, insiste beaucoup sur la mobilité de la main-d'oeuvre comme moyen de pallier au chômage chronique de certaines régions : mobilité sectorielle, mobilité professionnelle et aussi mobilité géographique. Or les migrations interprovinciales ont joué un rôle important dans les changements survenus à la répartition régionale de la population canadienne et, comme on peut le constater au tableau 1, ces changements démographiques ont favorisé les r</w:t>
      </w:r>
      <w:r w:rsidRPr="0077615B">
        <w:rPr>
          <w:szCs w:val="22"/>
        </w:rPr>
        <w:t>é</w:t>
      </w:r>
      <w:r w:rsidRPr="0077615B">
        <w:rPr>
          <w:szCs w:val="22"/>
        </w:rPr>
        <w:t>gions offrant des conditions économiques plus favorables. C'est ainsi que les provinces de l'Atlantique ont vu leur part de la population d</w:t>
      </w:r>
      <w:r w:rsidRPr="0077615B">
        <w:rPr>
          <w:szCs w:val="22"/>
        </w:rPr>
        <w:t>i</w:t>
      </w:r>
      <w:r w:rsidRPr="0077615B">
        <w:rPr>
          <w:szCs w:val="22"/>
        </w:rPr>
        <w:t>minuer de 10,3</w:t>
      </w:r>
      <w:r>
        <w:rPr>
          <w:szCs w:val="22"/>
        </w:rPr>
        <w:t>%</w:t>
      </w:r>
      <w:r w:rsidRPr="0077615B">
        <w:rPr>
          <w:szCs w:val="22"/>
        </w:rPr>
        <w:t xml:space="preserve"> à 9,1</w:t>
      </w:r>
      <w:r>
        <w:rPr>
          <w:szCs w:val="22"/>
        </w:rPr>
        <w:t>%</w:t>
      </w:r>
      <w:r w:rsidRPr="0077615B">
        <w:rPr>
          <w:szCs w:val="22"/>
        </w:rPr>
        <w:t xml:space="preserve"> entre 1963 et 1984 pendant qu'ensemble les provinces d'Alberta et de Colombie-Britannique augmentaient leur part de 16,4</w:t>
      </w:r>
      <w:r>
        <w:rPr>
          <w:szCs w:val="22"/>
        </w:rPr>
        <w:t>%</w:t>
      </w:r>
      <w:r w:rsidRPr="0077615B">
        <w:rPr>
          <w:szCs w:val="22"/>
        </w:rPr>
        <w:t xml:space="preserve"> à 20,7</w:t>
      </w:r>
      <w:r>
        <w:rPr>
          <w:szCs w:val="22"/>
        </w:rPr>
        <w:t>%</w:t>
      </w:r>
      <w:r w:rsidRPr="0077615B">
        <w:rPr>
          <w:szCs w:val="22"/>
        </w:rPr>
        <w:t>.</w:t>
      </w:r>
    </w:p>
    <w:p w:rsidR="00AD690E" w:rsidRPr="0077615B" w:rsidRDefault="00AD690E" w:rsidP="00AD690E">
      <w:pPr>
        <w:spacing w:before="120" w:after="120"/>
        <w:jc w:val="both"/>
      </w:pPr>
      <w:r w:rsidRPr="0077615B">
        <w:rPr>
          <w:szCs w:val="22"/>
        </w:rPr>
        <w:t>Ces indicateur socio-économ</w:t>
      </w:r>
      <w:r>
        <w:rPr>
          <w:szCs w:val="22"/>
        </w:rPr>
        <w:t>iques reflètent a</w:t>
      </w:r>
      <w:r w:rsidRPr="0077615B">
        <w:rPr>
          <w:szCs w:val="22"/>
        </w:rPr>
        <w:t>ssez bien les n</w:t>
      </w:r>
      <w:r w:rsidRPr="0077615B">
        <w:rPr>
          <w:szCs w:val="22"/>
        </w:rPr>
        <w:t>i</w:t>
      </w:r>
      <w:r w:rsidRPr="0077615B">
        <w:rPr>
          <w:szCs w:val="22"/>
        </w:rPr>
        <w:t>veaux de vie et les opportunités qu'offre le marché du travail dans chaque région, mais il ne disent rien des causes de ces disparités. Au risque de simplifier, nous pouvons considérer que les performances économ</w:t>
      </w:r>
      <w:r w:rsidRPr="0077615B">
        <w:rPr>
          <w:szCs w:val="22"/>
        </w:rPr>
        <w:t>i</w:t>
      </w:r>
      <w:r w:rsidRPr="0077615B">
        <w:rPr>
          <w:szCs w:val="22"/>
        </w:rPr>
        <w:t>ques d'une collectivité, régionale aussi bien que nationale, dépendent certes de la quantité et de la qualité des ressources disponibles — re</w:t>
      </w:r>
      <w:r w:rsidRPr="0077615B">
        <w:rPr>
          <w:szCs w:val="22"/>
        </w:rPr>
        <w:t>s</w:t>
      </w:r>
      <w:r w:rsidRPr="0077615B">
        <w:rPr>
          <w:szCs w:val="22"/>
        </w:rPr>
        <w:t>sources naturelles, humaines et financières —, mais surtout de l'eff</w:t>
      </w:r>
      <w:r w:rsidRPr="0077615B">
        <w:rPr>
          <w:szCs w:val="22"/>
        </w:rPr>
        <w:t>i</w:t>
      </w:r>
      <w:r w:rsidRPr="0077615B">
        <w:rPr>
          <w:szCs w:val="22"/>
        </w:rPr>
        <w:t>cience avec laquelle ces ressources sont utilisées par l'appareil de pr</w:t>
      </w:r>
      <w:r w:rsidRPr="0077615B">
        <w:rPr>
          <w:szCs w:val="22"/>
        </w:rPr>
        <w:t>o</w:t>
      </w:r>
      <w:r w:rsidRPr="0077615B">
        <w:rPr>
          <w:szCs w:val="22"/>
        </w:rPr>
        <w:t>duction. Or, s'il est possible de reconnaître au gouvernement libéral la volonté de combler les écarts en termes de qualité des ressources di</w:t>
      </w:r>
      <w:r w:rsidRPr="0077615B">
        <w:rPr>
          <w:szCs w:val="22"/>
        </w:rPr>
        <w:t>s</w:t>
      </w:r>
      <w:r w:rsidRPr="0077615B">
        <w:rPr>
          <w:szCs w:val="22"/>
        </w:rPr>
        <w:t>ponibles, en partic</w:t>
      </w:r>
      <w:r w:rsidRPr="0077615B">
        <w:rPr>
          <w:szCs w:val="22"/>
        </w:rPr>
        <w:t>u</w:t>
      </w:r>
      <w:r w:rsidRPr="0077615B">
        <w:rPr>
          <w:szCs w:val="22"/>
        </w:rPr>
        <w:t>lier par ses programmes à frais partagés dans l'éducation post-secondaire et dans la santé de même que par l'impo</w:t>
      </w:r>
      <w:r w:rsidRPr="0077615B">
        <w:rPr>
          <w:szCs w:val="22"/>
        </w:rPr>
        <w:t>r</w:t>
      </w:r>
      <w:r w:rsidRPr="0077615B">
        <w:rPr>
          <w:szCs w:val="22"/>
        </w:rPr>
        <w:t>tance accordée à la péréquation, il faut aussi mentionner que les tran</w:t>
      </w:r>
      <w:r w:rsidRPr="0077615B">
        <w:rPr>
          <w:szCs w:val="22"/>
        </w:rPr>
        <w:t>s</w:t>
      </w:r>
      <w:r w:rsidRPr="0077615B">
        <w:rPr>
          <w:szCs w:val="22"/>
        </w:rPr>
        <w:t>form</w:t>
      </w:r>
      <w:r w:rsidRPr="0077615B">
        <w:rPr>
          <w:szCs w:val="22"/>
        </w:rPr>
        <w:t>a</w:t>
      </w:r>
      <w:r w:rsidRPr="0077615B">
        <w:rPr>
          <w:szCs w:val="22"/>
        </w:rPr>
        <w:t>tions structurelles des économies régionales exigées par le plein-emploi et, de façon plus large, par l'objectif d'efficience ne se sont pas produites, ou si peu. La dépendance à l'égard des mati</w:t>
      </w:r>
      <w:r w:rsidRPr="0077615B">
        <w:rPr>
          <w:szCs w:val="22"/>
        </w:rPr>
        <w:t>è</w:t>
      </w:r>
      <w:r w:rsidRPr="0077615B">
        <w:rPr>
          <w:szCs w:val="22"/>
        </w:rPr>
        <w:t xml:space="preserve">res premières n'a à peu près pas diminué dans </w:t>
      </w:r>
      <w:r>
        <w:rPr>
          <w:szCs w:val="22"/>
        </w:rPr>
        <w:t>l’</w:t>
      </w:r>
      <w:r w:rsidRPr="00BE3239">
        <w:rPr>
          <w:i/>
          <w:szCs w:val="22"/>
        </w:rPr>
        <w:t>hinterland</w:t>
      </w:r>
      <w:r w:rsidRPr="0077615B">
        <w:rPr>
          <w:szCs w:val="22"/>
        </w:rPr>
        <w:t xml:space="preserve"> alors que les problèmes structurels du Canada central se sont même accentués au cours des vingt dernières années. Ceci s'est manifesté entre autres dans la fa</w:t>
      </w:r>
      <w:r w:rsidRPr="0077615B">
        <w:rPr>
          <w:szCs w:val="22"/>
        </w:rPr>
        <w:t>i</w:t>
      </w:r>
      <w:r w:rsidRPr="0077615B">
        <w:rPr>
          <w:szCs w:val="22"/>
        </w:rPr>
        <w:t>blesse des investissement en R &amp; D et dans</w:t>
      </w:r>
    </w:p>
    <w:p w:rsidR="00AD690E" w:rsidRDefault="00AD690E" w:rsidP="00AD690E">
      <w:pPr>
        <w:spacing w:before="120" w:after="120"/>
        <w:ind w:firstLine="0"/>
        <w:jc w:val="both"/>
      </w:pPr>
      <w:r w:rsidRPr="0077615B">
        <w:br w:type="page"/>
      </w:r>
      <w:r>
        <w:t>[198]</w:t>
      </w:r>
    </w:p>
    <w:p w:rsidR="00AD690E" w:rsidRDefault="00AD690E" w:rsidP="00AD690E">
      <w:pPr>
        <w:pStyle w:val="figtitre"/>
      </w:pPr>
      <w:r>
        <w:t>Graphique 1</w:t>
      </w:r>
      <w:r>
        <w:br/>
        <w:t>Taux de chômage annuel moyen, Canada et provinces,</w:t>
      </w:r>
      <w:r>
        <w:br/>
        <w:t>1966-1984, en %.</w:t>
      </w:r>
    </w:p>
    <w:p w:rsidR="00AD690E" w:rsidRDefault="005E1315" w:rsidP="00AD690E">
      <w:pPr>
        <w:spacing w:before="120" w:after="120"/>
        <w:ind w:left="-1530" w:firstLine="0"/>
        <w:jc w:val="both"/>
        <w:rPr>
          <w:szCs w:val="24"/>
        </w:rPr>
      </w:pPr>
      <w:r w:rsidRPr="00364E43">
        <w:rPr>
          <w:noProof/>
          <w:szCs w:val="24"/>
        </w:rPr>
        <w:drawing>
          <wp:inline distT="0" distB="0" distL="0" distR="0">
            <wp:extent cx="6172200" cy="2578100"/>
            <wp:effectExtent l="25400" t="25400" r="12700" b="12700"/>
            <wp:docPr id="13" name="Image 13" descr="fig_p_198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98_st"/>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2578100"/>
                    </a:xfrm>
                    <a:prstGeom prst="rect">
                      <a:avLst/>
                    </a:prstGeom>
                    <a:noFill/>
                    <a:ln w="19050" cmpd="sng">
                      <a:solidFill>
                        <a:srgbClr val="000000"/>
                      </a:solidFill>
                      <a:miter lim="800000"/>
                      <a:headEnd/>
                      <a:tailEnd/>
                    </a:ln>
                    <a:effectLst/>
                  </pic:spPr>
                </pic:pic>
              </a:graphicData>
            </a:graphic>
          </wp:inline>
        </w:drawing>
      </w:r>
    </w:p>
    <w:p w:rsidR="00AD690E" w:rsidRDefault="00AD690E" w:rsidP="00AD690E">
      <w:pPr>
        <w:spacing w:before="120" w:after="120"/>
        <w:ind w:left="-1530" w:firstLine="0"/>
        <w:jc w:val="both"/>
        <w:rPr>
          <w:szCs w:val="24"/>
        </w:rPr>
      </w:pPr>
      <w:r>
        <w:rPr>
          <w:szCs w:val="24"/>
        </w:rPr>
        <w:t>[199]</w:t>
      </w:r>
    </w:p>
    <w:p w:rsidR="00AD690E" w:rsidRDefault="00AD690E" w:rsidP="00AD690E">
      <w:pPr>
        <w:pStyle w:val="figtitre"/>
      </w:pPr>
      <w:r>
        <w:t>Graphique 2</w:t>
      </w:r>
      <w:r>
        <w:br/>
        <w:t>Taux d’activité, 1966 et1984, Canada et provinces, en %.</w:t>
      </w:r>
    </w:p>
    <w:p w:rsidR="00AD690E" w:rsidRDefault="005E1315" w:rsidP="00AD690E">
      <w:pPr>
        <w:spacing w:before="120" w:after="120"/>
        <w:ind w:left="-1530" w:firstLine="0"/>
        <w:jc w:val="both"/>
        <w:rPr>
          <w:szCs w:val="24"/>
        </w:rPr>
      </w:pPr>
      <w:r w:rsidRPr="00364E43">
        <w:rPr>
          <w:noProof/>
          <w:szCs w:val="24"/>
        </w:rPr>
        <w:drawing>
          <wp:inline distT="0" distB="0" distL="0" distR="0">
            <wp:extent cx="6172200" cy="3175000"/>
            <wp:effectExtent l="25400" t="25400" r="12700" b="12700"/>
            <wp:docPr id="14" name="Image 14" descr="fig_p_199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99_s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31750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spacing w:before="120" w:after="120"/>
        <w:ind w:firstLine="0"/>
        <w:jc w:val="both"/>
      </w:pPr>
      <w:r w:rsidRPr="0077615B">
        <w:rPr>
          <w:szCs w:val="24"/>
        </w:rPr>
        <w:br w:type="page"/>
      </w:r>
      <w:r>
        <w:rPr>
          <w:szCs w:val="24"/>
        </w:rPr>
        <w:t>[</w:t>
      </w:r>
      <w:r w:rsidRPr="0077615B">
        <w:rPr>
          <w:rFonts w:cs="Arial"/>
          <w:szCs w:val="18"/>
        </w:rPr>
        <w:t>200</w:t>
      </w:r>
      <w:r>
        <w:rPr>
          <w:rFonts w:cs="Arial"/>
          <w:szCs w:val="18"/>
        </w:rPr>
        <w:t>]</w:t>
      </w:r>
    </w:p>
    <w:p w:rsidR="00AD690E" w:rsidRPr="0077615B" w:rsidRDefault="00AD690E" w:rsidP="00AD690E">
      <w:pPr>
        <w:spacing w:before="120" w:after="120"/>
        <w:ind w:firstLine="0"/>
        <w:jc w:val="both"/>
      </w:pPr>
      <w:r w:rsidRPr="0077615B">
        <w:rPr>
          <w:szCs w:val="22"/>
        </w:rPr>
        <w:t>l'incapacité à trouver des créneaux industriels permettant de s'affra</w:t>
      </w:r>
      <w:r w:rsidRPr="0077615B">
        <w:rPr>
          <w:szCs w:val="22"/>
        </w:rPr>
        <w:t>n</w:t>
      </w:r>
      <w:r w:rsidRPr="0077615B">
        <w:rPr>
          <w:szCs w:val="22"/>
        </w:rPr>
        <w:t>chir petit à petit du carcan protectionniste. Nous devons ég</w:t>
      </w:r>
      <w:r w:rsidRPr="0077615B">
        <w:rPr>
          <w:szCs w:val="22"/>
        </w:rPr>
        <w:t>a</w:t>
      </w:r>
      <w:r w:rsidRPr="0077615B">
        <w:rPr>
          <w:szCs w:val="22"/>
        </w:rPr>
        <w:t>lement tenir compte des succès très limités rencontrés dans l'émergence de pôles de développement concurrents à Toronto et Montréal : la concentration du pouvoir financier dans ces deux métropoles — e</w:t>
      </w:r>
      <w:r w:rsidRPr="0077615B">
        <w:rPr>
          <w:szCs w:val="22"/>
        </w:rPr>
        <w:t>n</w:t>
      </w:r>
      <w:r w:rsidRPr="0077615B">
        <w:rPr>
          <w:szCs w:val="22"/>
        </w:rPr>
        <w:t>couragée par le système bancaire sous contrôle fédéral — et du po</w:t>
      </w:r>
      <w:r w:rsidRPr="0077615B">
        <w:rPr>
          <w:szCs w:val="22"/>
        </w:rPr>
        <w:t>u</w:t>
      </w:r>
      <w:r w:rsidRPr="0077615B">
        <w:rPr>
          <w:szCs w:val="22"/>
        </w:rPr>
        <w:t xml:space="preserve">voir technologique — due en bonne partie à un degré de pénétration de l'investissement étranger beaucoup plus élevé que dans n'importe quel autre pays industrialisé — </w:t>
      </w:r>
      <w:r>
        <w:rPr>
          <w:szCs w:val="22"/>
        </w:rPr>
        <w:t>à</w:t>
      </w:r>
      <w:r w:rsidRPr="0077615B">
        <w:rPr>
          <w:szCs w:val="22"/>
        </w:rPr>
        <w:t xml:space="preserve"> de quoi étonner dans un pays aussi diversifié sur le plan écon</w:t>
      </w:r>
      <w:r w:rsidRPr="0077615B">
        <w:rPr>
          <w:szCs w:val="22"/>
        </w:rPr>
        <w:t>o</w:t>
      </w:r>
      <w:r w:rsidRPr="0077615B">
        <w:rPr>
          <w:szCs w:val="22"/>
        </w:rPr>
        <w:t>mique</w:t>
      </w:r>
      <w:r>
        <w:rPr>
          <w:szCs w:val="22"/>
        </w:rPr>
        <w:t> </w:t>
      </w:r>
      <w:r w:rsidRPr="00D756DB">
        <w:rPr>
          <w:rStyle w:val="Appelnotedebasdep"/>
        </w:rPr>
        <w:footnoteReference w:id="350"/>
      </w:r>
      <w:r w:rsidRPr="0077615B">
        <w:rPr>
          <w:szCs w:val="22"/>
        </w:rPr>
        <w:t>.</w:t>
      </w:r>
    </w:p>
    <w:p w:rsidR="00AD690E" w:rsidRPr="0077615B" w:rsidRDefault="00AD690E" w:rsidP="00AD690E">
      <w:pPr>
        <w:spacing w:before="120" w:after="120"/>
        <w:jc w:val="both"/>
      </w:pPr>
      <w:r w:rsidRPr="0077615B">
        <w:rPr>
          <w:szCs w:val="22"/>
        </w:rPr>
        <w:t>Ces disparités économiques interprovinciales cachent le plus so</w:t>
      </w:r>
      <w:r w:rsidRPr="0077615B">
        <w:rPr>
          <w:szCs w:val="22"/>
        </w:rPr>
        <w:t>u</w:t>
      </w:r>
      <w:r w:rsidRPr="0077615B">
        <w:rPr>
          <w:szCs w:val="22"/>
        </w:rPr>
        <w:t>vent des disparités plus grandes encore à l'échelle infraprovi</w:t>
      </w:r>
      <w:r w:rsidRPr="0077615B">
        <w:rPr>
          <w:szCs w:val="22"/>
        </w:rPr>
        <w:t>n</w:t>
      </w:r>
      <w:r w:rsidRPr="0077615B">
        <w:rPr>
          <w:szCs w:val="22"/>
        </w:rPr>
        <w:t>ciale. Au Québec, par exemple, le revenu personnel disponible par habitant de la région Gaspésie-Bas Saint-Laurent ne représe</w:t>
      </w:r>
      <w:r w:rsidRPr="0077615B">
        <w:rPr>
          <w:szCs w:val="22"/>
        </w:rPr>
        <w:t>n</w:t>
      </w:r>
      <w:r w:rsidRPr="0077615B">
        <w:rPr>
          <w:szCs w:val="22"/>
        </w:rPr>
        <w:t>tait en 1983 que 71,8</w:t>
      </w:r>
      <w:r>
        <w:rPr>
          <w:szCs w:val="22"/>
        </w:rPr>
        <w:t>%</w:t>
      </w:r>
      <w:r w:rsidRPr="0077615B">
        <w:rPr>
          <w:szCs w:val="22"/>
        </w:rPr>
        <w:t xml:space="preserve"> de la moyenne provinciale tandis que le taux de chômage y était de 1,57 fois plus élevé que dans le reste de la province</w:t>
      </w:r>
      <w:r>
        <w:rPr>
          <w:szCs w:val="22"/>
        </w:rPr>
        <w:t> </w:t>
      </w:r>
      <w:r w:rsidRPr="00D756DB">
        <w:rPr>
          <w:rStyle w:val="Appelnotedebasdep"/>
        </w:rPr>
        <w:footnoteReference w:id="351"/>
      </w:r>
      <w:r w:rsidRPr="0077615B">
        <w:rPr>
          <w:szCs w:val="22"/>
        </w:rPr>
        <w:t>. La pl</w:t>
      </w:r>
      <w:r w:rsidRPr="0077615B">
        <w:rPr>
          <w:szCs w:val="22"/>
        </w:rPr>
        <w:t>u</w:t>
      </w:r>
      <w:r w:rsidRPr="0077615B">
        <w:rPr>
          <w:szCs w:val="22"/>
        </w:rPr>
        <w:t>part du temps ces disparités ont évolué de la même façon qu'à l'échelle interprovinciale, vers une certaine résorption des écarts de revenu perso</w:t>
      </w:r>
      <w:r w:rsidRPr="0077615B">
        <w:rPr>
          <w:szCs w:val="22"/>
        </w:rPr>
        <w:t>n</w:t>
      </w:r>
      <w:r w:rsidRPr="0077615B">
        <w:rPr>
          <w:szCs w:val="22"/>
        </w:rPr>
        <w:t>nel mais une aggravation des problèmes d'emploi.</w:t>
      </w:r>
    </w:p>
    <w:p w:rsidR="00AD690E" w:rsidRDefault="00AD690E" w:rsidP="00AD690E">
      <w:pPr>
        <w:spacing w:before="120" w:after="120"/>
        <w:jc w:val="both"/>
        <w:rPr>
          <w:bCs/>
          <w:szCs w:val="22"/>
        </w:rPr>
      </w:pPr>
    </w:p>
    <w:p w:rsidR="00AD690E" w:rsidRPr="006B4F74" w:rsidRDefault="00AD690E" w:rsidP="00AD690E">
      <w:pPr>
        <w:pStyle w:val="a"/>
      </w:pPr>
      <w:r w:rsidRPr="006B4F74">
        <w:t>Du MEER au MEIR</w:t>
      </w:r>
    </w:p>
    <w:p w:rsidR="00AD690E"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Pour accomplir ses desseins, le gouvernement central a élab</w:t>
      </w:r>
      <w:r w:rsidRPr="0077615B">
        <w:rPr>
          <w:szCs w:val="22"/>
        </w:rPr>
        <w:t>o</w:t>
      </w:r>
      <w:r w:rsidRPr="0077615B">
        <w:rPr>
          <w:szCs w:val="22"/>
        </w:rPr>
        <w:t>ré une multitude de politiques et de programmes mais c'est en étudiant la création, les réorientations et l'abolition éventuelle du MEER qu'on peut le mieux rendre compte des principes qui ont guidé la politique libérale d'aide au développement régional.</w:t>
      </w:r>
    </w:p>
    <w:p w:rsidR="00AD690E" w:rsidRPr="0077615B" w:rsidRDefault="00AD690E" w:rsidP="00AD690E">
      <w:pPr>
        <w:spacing w:before="120" w:after="120"/>
        <w:jc w:val="both"/>
      </w:pPr>
      <w:r w:rsidRPr="0077615B">
        <w:rPr>
          <w:szCs w:val="22"/>
        </w:rPr>
        <w:t>Jusqu'au milieu des années 1960, la politique régionale d'O</w:t>
      </w:r>
      <w:r w:rsidRPr="0077615B">
        <w:rPr>
          <w:szCs w:val="22"/>
        </w:rPr>
        <w:t>t</w:t>
      </w:r>
      <w:r w:rsidRPr="0077615B">
        <w:rPr>
          <w:szCs w:val="22"/>
        </w:rPr>
        <w:t>tawa était caractérisée par la mise en place de programmes lim</w:t>
      </w:r>
      <w:r w:rsidRPr="0077615B">
        <w:rPr>
          <w:szCs w:val="22"/>
        </w:rPr>
        <w:t>i</w:t>
      </w:r>
      <w:r w:rsidRPr="0077615B">
        <w:rPr>
          <w:szCs w:val="22"/>
        </w:rPr>
        <w:t>tés, orientés vers les régions les plus défavorisées et préoccupées d'apporter des solutions ponctuelles. La création du MEER en avril 1969 avait pour objectif « d'éliminer le chevauchement et l'improductivité du gouve</w:t>
      </w:r>
      <w:r w:rsidRPr="0077615B">
        <w:rPr>
          <w:szCs w:val="22"/>
        </w:rPr>
        <w:t>r</w:t>
      </w:r>
      <w:r w:rsidRPr="0077615B">
        <w:rPr>
          <w:szCs w:val="22"/>
        </w:rPr>
        <w:t>nement fédéral en madère d'aide au développement des régions en vue de réduire les disparités éc</w:t>
      </w:r>
      <w:r w:rsidRPr="0077615B">
        <w:rPr>
          <w:szCs w:val="22"/>
        </w:rPr>
        <w:t>o</w:t>
      </w:r>
      <w:r w:rsidRPr="0077615B">
        <w:rPr>
          <w:szCs w:val="22"/>
        </w:rPr>
        <w:t>nomiques et sociales »</w:t>
      </w:r>
      <w:r>
        <w:rPr>
          <w:szCs w:val="22"/>
        </w:rPr>
        <w:t> </w:t>
      </w:r>
      <w:r w:rsidRPr="00D756DB">
        <w:rPr>
          <w:rStyle w:val="Appelnotedebasdep"/>
        </w:rPr>
        <w:footnoteReference w:id="352"/>
      </w:r>
      <w:r w:rsidRPr="0077615B">
        <w:rPr>
          <w:szCs w:val="22"/>
        </w:rPr>
        <w:t>. Le mandat du nouveau ministère devait l'orienter vers « la définition d'une politique nationale suffisa</w:t>
      </w:r>
      <w:r w:rsidRPr="0077615B">
        <w:rPr>
          <w:szCs w:val="22"/>
        </w:rPr>
        <w:t>m</w:t>
      </w:r>
      <w:r w:rsidRPr="0077615B">
        <w:rPr>
          <w:szCs w:val="22"/>
        </w:rPr>
        <w:t>ment souple pour permettre l'élaboration de plans variant selon les régions et tenant compte de l'ampleur et de la co</w:t>
      </w:r>
      <w:r w:rsidRPr="0077615B">
        <w:rPr>
          <w:szCs w:val="22"/>
        </w:rPr>
        <w:t>m</w:t>
      </w:r>
      <w:r w:rsidRPr="0077615B">
        <w:rPr>
          <w:szCs w:val="22"/>
        </w:rPr>
        <w:t>plexité</w:t>
      </w:r>
      <w:r>
        <w:rPr>
          <w:szCs w:val="22"/>
        </w:rPr>
        <w:t xml:space="preserve"> </w:t>
      </w:r>
      <w:r>
        <w:t xml:space="preserve">[201] </w:t>
      </w:r>
      <w:r w:rsidRPr="0077615B">
        <w:rPr>
          <w:szCs w:val="22"/>
        </w:rPr>
        <w:t>du problème de relèvement économique et social »</w:t>
      </w:r>
      <w:r>
        <w:rPr>
          <w:szCs w:val="22"/>
        </w:rPr>
        <w:t> </w:t>
      </w:r>
      <w:r w:rsidRPr="00D756DB">
        <w:rPr>
          <w:rStyle w:val="Appelnotedebasdep"/>
        </w:rPr>
        <w:footnoteReference w:id="353"/>
      </w:r>
      <w:r w:rsidRPr="0077615B">
        <w:rPr>
          <w:szCs w:val="22"/>
        </w:rPr>
        <w:t>.</w:t>
      </w:r>
    </w:p>
    <w:p w:rsidR="00AD690E" w:rsidRPr="0077615B" w:rsidRDefault="00AD690E" w:rsidP="00AD690E">
      <w:pPr>
        <w:spacing w:before="120" w:after="120"/>
        <w:jc w:val="both"/>
      </w:pPr>
      <w:r w:rsidRPr="0077615B">
        <w:rPr>
          <w:szCs w:val="22"/>
        </w:rPr>
        <w:t>Mais très tôt les stratèges libéraux ont adopté une problémat</w:t>
      </w:r>
      <w:r w:rsidRPr="0077615B">
        <w:rPr>
          <w:szCs w:val="22"/>
        </w:rPr>
        <w:t>i</w:t>
      </w:r>
      <w:r w:rsidRPr="0077615B">
        <w:rPr>
          <w:szCs w:val="22"/>
        </w:rPr>
        <w:t>que fondée sur la théorie des pôles de croissance en soutenant que le dév</w:t>
      </w:r>
      <w:r w:rsidRPr="0077615B">
        <w:rPr>
          <w:szCs w:val="22"/>
        </w:rPr>
        <w:t>e</w:t>
      </w:r>
      <w:r w:rsidRPr="0077615B">
        <w:rPr>
          <w:szCs w:val="22"/>
        </w:rPr>
        <w:t>loppement économique procède à partir des pôles, sectoriels et gé</w:t>
      </w:r>
      <w:r w:rsidRPr="0077615B">
        <w:rPr>
          <w:szCs w:val="22"/>
        </w:rPr>
        <w:t>o</w:t>
      </w:r>
      <w:r w:rsidRPr="0077615B">
        <w:rPr>
          <w:szCs w:val="22"/>
        </w:rPr>
        <w:t>graphiques, dont le dynamisme devrait ensuite assurer la croissance dans l'ensemble du territoire. Cette stra</w:t>
      </w:r>
      <w:r>
        <w:rPr>
          <w:szCs w:val="22"/>
        </w:rPr>
        <w:t>t</w:t>
      </w:r>
      <w:r w:rsidRPr="0077615B">
        <w:rPr>
          <w:szCs w:val="22"/>
        </w:rPr>
        <w:t>égie, très explicite pour le Québec dans le rapport HMR</w:t>
      </w:r>
      <w:r>
        <w:rPr>
          <w:szCs w:val="22"/>
        </w:rPr>
        <w:t> </w:t>
      </w:r>
      <w:r w:rsidRPr="00D756DB">
        <w:rPr>
          <w:rStyle w:val="Appelnotedebasdep"/>
        </w:rPr>
        <w:footnoteReference w:id="354"/>
      </w:r>
      <w:r w:rsidRPr="0077615B">
        <w:rPr>
          <w:szCs w:val="22"/>
        </w:rPr>
        <w:t>, a eu pour effet de lier l'avenir des r</w:t>
      </w:r>
      <w:r w:rsidRPr="0077615B">
        <w:rPr>
          <w:szCs w:val="22"/>
        </w:rPr>
        <w:t>é</w:t>
      </w:r>
      <w:r w:rsidRPr="0077615B">
        <w:rPr>
          <w:szCs w:val="22"/>
        </w:rPr>
        <w:t>gions sous-développées au renforcement de pôles de croissance et de développement souvent situés ailleurs. Elle</w:t>
      </w:r>
      <w:r>
        <w:rPr>
          <w:szCs w:val="22"/>
        </w:rPr>
        <w:t xml:space="preserve"> visait donc clairement l'objecti</w:t>
      </w:r>
      <w:r w:rsidRPr="0077615B">
        <w:rPr>
          <w:szCs w:val="22"/>
        </w:rPr>
        <w:t>f d'intégration interrégionale. Dès le départ, la loi instituant le MEER visait à concentrer l'i</w:t>
      </w:r>
      <w:r w:rsidRPr="0077615B">
        <w:rPr>
          <w:szCs w:val="22"/>
        </w:rPr>
        <w:t>n</w:t>
      </w:r>
      <w:r w:rsidRPr="0077615B">
        <w:rPr>
          <w:szCs w:val="22"/>
        </w:rPr>
        <w:t>dustrie dans des grands centres urbains de croissance ainsi que dans des petits centres industriels où les su</w:t>
      </w:r>
      <w:r w:rsidRPr="0077615B">
        <w:rPr>
          <w:szCs w:val="22"/>
        </w:rPr>
        <w:t>b</w:t>
      </w:r>
      <w:r w:rsidRPr="0077615B">
        <w:rPr>
          <w:szCs w:val="22"/>
        </w:rPr>
        <w:t>ventions étaient su</w:t>
      </w:r>
      <w:r w:rsidRPr="0077615B">
        <w:rPr>
          <w:szCs w:val="22"/>
        </w:rPr>
        <w:t>s</w:t>
      </w:r>
      <w:r w:rsidRPr="0077615B">
        <w:rPr>
          <w:szCs w:val="22"/>
        </w:rPr>
        <w:t>ceptibles de stimuler les investissements privés. Le programme de subventions au développement régional permettait en effet aux entreprises localisées ou se relocalisant dans les 23 zones désignées d'avoir accès à l'aide gouvernementale pour l'agrandiss</w:t>
      </w:r>
      <w:r w:rsidRPr="0077615B">
        <w:rPr>
          <w:szCs w:val="22"/>
        </w:rPr>
        <w:t>e</w:t>
      </w:r>
      <w:r w:rsidRPr="0077615B">
        <w:rPr>
          <w:szCs w:val="22"/>
        </w:rPr>
        <w:t>ment ou la modernisation de leurs établissements ou encore pour la fabrication de nouveaux produits</w:t>
      </w:r>
      <w:r>
        <w:rPr>
          <w:szCs w:val="22"/>
        </w:rPr>
        <w:t> </w:t>
      </w:r>
      <w:r w:rsidRPr="00D756DB">
        <w:rPr>
          <w:rStyle w:val="Appelnotedebasdep"/>
        </w:rPr>
        <w:footnoteReference w:id="355"/>
      </w:r>
      <w:r w:rsidRPr="0077615B">
        <w:rPr>
          <w:szCs w:val="22"/>
        </w:rPr>
        <w:t>.</w:t>
      </w:r>
    </w:p>
    <w:p w:rsidR="00AD690E" w:rsidRPr="0077615B" w:rsidRDefault="00AD690E" w:rsidP="00AD690E">
      <w:pPr>
        <w:spacing w:before="120" w:after="120"/>
        <w:jc w:val="both"/>
      </w:pPr>
      <w:r w:rsidRPr="0077615B">
        <w:rPr>
          <w:szCs w:val="22"/>
        </w:rPr>
        <w:t>Une première révision a toutefois été entreprise dès 1972. Minor</w:t>
      </w:r>
      <w:r w:rsidRPr="0077615B">
        <w:rPr>
          <w:szCs w:val="22"/>
        </w:rPr>
        <w:t>i</w:t>
      </w:r>
      <w:r w:rsidRPr="0077615B">
        <w:rPr>
          <w:szCs w:val="22"/>
        </w:rPr>
        <w:t>taire en chambre, le gouvernement Trudeau s'était montré sensible aux récriminations provinciales. Plusieurs gouvern</w:t>
      </w:r>
      <w:r w:rsidRPr="0077615B">
        <w:rPr>
          <w:szCs w:val="22"/>
        </w:rPr>
        <w:t>e</w:t>
      </w:r>
      <w:r w:rsidRPr="0077615B">
        <w:rPr>
          <w:szCs w:val="22"/>
        </w:rPr>
        <w:t>ments provinciaux considéraient en effet le programme des « zones spéciales » comme étant discriminatoire à leur endroit puisqu'ils en étaient exclus. Tous soulignaient par ailleurs que la collaboration avec le fédéral était à sens unique dans l</w:t>
      </w:r>
      <w:r>
        <w:rPr>
          <w:szCs w:val="22"/>
        </w:rPr>
        <w:t>a</w:t>
      </w:r>
      <w:r w:rsidRPr="0077615B">
        <w:rPr>
          <w:szCs w:val="22"/>
        </w:rPr>
        <w:t xml:space="preserve"> mesure où il n'y avait aucune compensation pour ceux qui n'acceptaient pas les conditions imposées par les progra</w:t>
      </w:r>
      <w:r w:rsidRPr="0077615B">
        <w:rPr>
          <w:szCs w:val="22"/>
        </w:rPr>
        <w:t>m</w:t>
      </w:r>
      <w:r w:rsidRPr="0077615B">
        <w:rPr>
          <w:szCs w:val="22"/>
        </w:rPr>
        <w:t>mes du MEER. En outre une évaluation interne du ministère concluait que les actions e</w:t>
      </w:r>
      <w:r w:rsidRPr="0077615B">
        <w:rPr>
          <w:szCs w:val="22"/>
        </w:rPr>
        <w:t>n</w:t>
      </w:r>
      <w:r w:rsidRPr="0077615B">
        <w:rPr>
          <w:szCs w:val="22"/>
        </w:rPr>
        <w:t>treprises avaient finalement peu contribué à réduire les inégalités régionales. Au-delà des controverses sur l'impact mitigé des divers programmes, un consensus s'était établi autour de la néce</w:t>
      </w:r>
      <w:r w:rsidRPr="0077615B">
        <w:rPr>
          <w:szCs w:val="22"/>
        </w:rPr>
        <w:t>s</w:t>
      </w:r>
      <w:r w:rsidRPr="0077615B">
        <w:rPr>
          <w:szCs w:val="22"/>
        </w:rPr>
        <w:t>sité de revoir l'approche bureaucratique qui avait prévalu jusque-là et qui mettait l'accent sur la recherche de solutions « rationnelles » ne permettant pas une participation suffisante des provinces.</w:t>
      </w:r>
    </w:p>
    <w:p w:rsidR="00AD690E" w:rsidRPr="0077615B" w:rsidRDefault="00AD690E" w:rsidP="00AD690E">
      <w:pPr>
        <w:spacing w:before="120" w:after="120"/>
        <w:jc w:val="both"/>
        <w:rPr>
          <w:szCs w:val="18"/>
        </w:rPr>
      </w:pPr>
    </w:p>
    <w:p w:rsidR="00AD690E" w:rsidRPr="0077615B" w:rsidRDefault="00AD690E" w:rsidP="00AD690E">
      <w:pPr>
        <w:spacing w:before="120" w:after="120"/>
        <w:ind w:firstLine="0"/>
        <w:jc w:val="both"/>
      </w:pPr>
      <w:r w:rsidRPr="0077615B">
        <w:rPr>
          <w:szCs w:val="18"/>
        </w:rPr>
        <w:br w:type="page"/>
      </w:r>
      <w:r>
        <w:rPr>
          <w:szCs w:val="18"/>
        </w:rPr>
        <w:t>[</w:t>
      </w:r>
      <w:r w:rsidRPr="0077615B">
        <w:rPr>
          <w:rFonts w:cs="Arial"/>
          <w:szCs w:val="18"/>
        </w:rPr>
        <w:t>202</w:t>
      </w:r>
      <w:r>
        <w:rPr>
          <w:rFonts w:cs="Arial"/>
          <w:szCs w:val="18"/>
        </w:rPr>
        <w:t>]</w:t>
      </w:r>
    </w:p>
    <w:p w:rsidR="00AD690E" w:rsidRPr="0077615B" w:rsidRDefault="00AD690E" w:rsidP="00AD690E">
      <w:pPr>
        <w:pStyle w:val="figtitre"/>
        <w:rPr>
          <w:szCs w:val="2"/>
        </w:rPr>
      </w:pPr>
      <w:r w:rsidRPr="0077615B">
        <w:t>Tableau 2</w:t>
      </w:r>
      <w:r>
        <w:br/>
      </w:r>
      <w:r w:rsidRPr="0077615B">
        <w:t>Dépenses du MEER en millions $ courants</w:t>
      </w:r>
      <w:r>
        <w:br/>
      </w:r>
      <w:r w:rsidRPr="0077615B">
        <w:t>par catégorie et par province</w:t>
      </w:r>
      <w:r>
        <w:t xml:space="preserve">, </w:t>
      </w:r>
      <w:r w:rsidRPr="0077615B">
        <w:t>1976-1977 à 1983-1983</w:t>
      </w:r>
    </w:p>
    <w:tbl>
      <w:tblPr>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24"/>
        <w:gridCol w:w="732"/>
        <w:gridCol w:w="732"/>
        <w:gridCol w:w="766"/>
        <w:gridCol w:w="733"/>
        <w:gridCol w:w="733"/>
        <w:gridCol w:w="733"/>
        <w:gridCol w:w="733"/>
        <w:gridCol w:w="736"/>
        <w:gridCol w:w="766"/>
        <w:gridCol w:w="733"/>
      </w:tblGrid>
      <w:tr w:rsidR="00AD690E" w:rsidRPr="00094209">
        <w:tc>
          <w:tcPr>
            <w:tcW w:w="2424" w:type="dxa"/>
            <w:shd w:val="clear" w:color="auto" w:fill="EEEBD2"/>
          </w:tcPr>
          <w:p w:rsidR="00AD690E" w:rsidRPr="00094209" w:rsidRDefault="00AD690E" w:rsidP="00AD690E">
            <w:pPr>
              <w:spacing w:before="120" w:after="120"/>
              <w:ind w:firstLine="0"/>
              <w:jc w:val="both"/>
              <w:rPr>
                <w:rFonts w:eastAsia="Times"/>
                <w:sz w:val="20"/>
                <w:szCs w:val="22"/>
              </w:rPr>
            </w:pPr>
          </w:p>
        </w:tc>
        <w:tc>
          <w:tcPr>
            <w:tcW w:w="1464" w:type="dxa"/>
            <w:gridSpan w:val="2"/>
            <w:shd w:val="clear" w:color="auto" w:fill="EEEBD2"/>
          </w:tcPr>
          <w:p w:rsidR="00AD690E" w:rsidRPr="00094209" w:rsidRDefault="00AD690E" w:rsidP="00AD690E">
            <w:pPr>
              <w:spacing w:before="120" w:after="120"/>
              <w:ind w:firstLine="0"/>
              <w:jc w:val="center"/>
              <w:rPr>
                <w:rFonts w:eastAsia="Times"/>
                <w:sz w:val="20"/>
                <w:szCs w:val="22"/>
              </w:rPr>
            </w:pPr>
            <w:r w:rsidRPr="00094209">
              <w:rPr>
                <w:rFonts w:ascii="Times" w:eastAsia="Times" w:hAnsi="Times"/>
                <w:sz w:val="20"/>
                <w:szCs w:val="18"/>
              </w:rPr>
              <w:t>Planific</w:t>
            </w:r>
            <w:r w:rsidRPr="00094209">
              <w:rPr>
                <w:rFonts w:ascii="Times" w:eastAsia="Times" w:hAnsi="Times"/>
                <w:sz w:val="20"/>
                <w:szCs w:val="18"/>
              </w:rPr>
              <w:t>a</w:t>
            </w:r>
            <w:r w:rsidRPr="00094209">
              <w:rPr>
                <w:rFonts w:ascii="Times" w:eastAsia="Times" w:hAnsi="Times"/>
                <w:sz w:val="20"/>
                <w:szCs w:val="18"/>
              </w:rPr>
              <w:t>tion et administr</w:t>
            </w:r>
            <w:r w:rsidRPr="00094209">
              <w:rPr>
                <w:rFonts w:ascii="Times" w:eastAsia="Times" w:hAnsi="Times"/>
                <w:sz w:val="20"/>
                <w:szCs w:val="18"/>
              </w:rPr>
              <w:t>a</w:t>
            </w:r>
            <w:r w:rsidRPr="00094209">
              <w:rPr>
                <w:rFonts w:ascii="Times" w:eastAsia="Times" w:hAnsi="Times"/>
                <w:sz w:val="20"/>
                <w:szCs w:val="18"/>
              </w:rPr>
              <w:t>tion</w:t>
            </w:r>
          </w:p>
        </w:tc>
        <w:tc>
          <w:tcPr>
            <w:tcW w:w="1499" w:type="dxa"/>
            <w:gridSpan w:val="2"/>
            <w:shd w:val="clear" w:color="auto" w:fill="EEEBD2"/>
          </w:tcPr>
          <w:p w:rsidR="00AD690E" w:rsidRPr="00094209" w:rsidRDefault="00AD690E" w:rsidP="00AD690E">
            <w:pPr>
              <w:spacing w:before="120" w:after="120"/>
              <w:ind w:firstLine="0"/>
              <w:jc w:val="center"/>
              <w:rPr>
                <w:rFonts w:eastAsia="Times"/>
                <w:sz w:val="20"/>
                <w:szCs w:val="22"/>
              </w:rPr>
            </w:pPr>
            <w:r w:rsidRPr="00094209">
              <w:rPr>
                <w:rFonts w:ascii="Times" w:eastAsia="Times" w:hAnsi="Times"/>
                <w:sz w:val="20"/>
              </w:rPr>
              <w:t>Ententes</w:t>
            </w:r>
            <w:r w:rsidRPr="00094209">
              <w:rPr>
                <w:rFonts w:ascii="Times" w:eastAsia="Times" w:hAnsi="Times"/>
                <w:sz w:val="20"/>
              </w:rPr>
              <w:br/>
              <w:t>auxiliaires</w:t>
            </w:r>
          </w:p>
        </w:tc>
        <w:tc>
          <w:tcPr>
            <w:tcW w:w="1466" w:type="dxa"/>
            <w:gridSpan w:val="2"/>
            <w:shd w:val="clear" w:color="auto" w:fill="EEEBD2"/>
          </w:tcPr>
          <w:p w:rsidR="00AD690E" w:rsidRPr="00094209" w:rsidRDefault="00AD690E" w:rsidP="00AD690E">
            <w:pPr>
              <w:spacing w:before="120" w:after="120"/>
              <w:ind w:firstLine="0"/>
              <w:jc w:val="center"/>
              <w:rPr>
                <w:rFonts w:eastAsia="Times"/>
                <w:sz w:val="20"/>
                <w:szCs w:val="22"/>
              </w:rPr>
            </w:pPr>
            <w:r w:rsidRPr="00094209">
              <w:rPr>
                <w:rFonts w:eastAsia="Times"/>
                <w:sz w:val="20"/>
                <w:szCs w:val="22"/>
              </w:rPr>
              <w:t>Subventions</w:t>
            </w:r>
            <w:r w:rsidRPr="00094209">
              <w:rPr>
                <w:rFonts w:eastAsia="Times"/>
                <w:sz w:val="20"/>
                <w:szCs w:val="22"/>
              </w:rPr>
              <w:br/>
              <w:t>à l’industrie</w:t>
            </w:r>
          </w:p>
        </w:tc>
        <w:tc>
          <w:tcPr>
            <w:tcW w:w="1466" w:type="dxa"/>
            <w:gridSpan w:val="2"/>
            <w:shd w:val="clear" w:color="auto" w:fill="EEEBD2"/>
          </w:tcPr>
          <w:p w:rsidR="00AD690E" w:rsidRPr="00094209" w:rsidRDefault="00AD690E" w:rsidP="00AD690E">
            <w:pPr>
              <w:spacing w:before="120" w:after="120"/>
              <w:ind w:firstLine="0"/>
              <w:jc w:val="center"/>
              <w:rPr>
                <w:rFonts w:eastAsia="Times"/>
                <w:sz w:val="20"/>
                <w:szCs w:val="22"/>
              </w:rPr>
            </w:pPr>
            <w:r w:rsidRPr="00094209">
              <w:rPr>
                <w:rFonts w:eastAsia="Times"/>
                <w:sz w:val="20"/>
                <w:szCs w:val="22"/>
              </w:rPr>
              <w:t>Autres</w:t>
            </w:r>
            <w:r w:rsidRPr="00094209">
              <w:rPr>
                <w:rFonts w:eastAsia="Times"/>
                <w:sz w:val="20"/>
                <w:szCs w:val="22"/>
              </w:rPr>
              <w:br/>
              <w:t>programmes</w:t>
            </w:r>
          </w:p>
        </w:tc>
        <w:tc>
          <w:tcPr>
            <w:tcW w:w="1499" w:type="dxa"/>
            <w:gridSpan w:val="2"/>
            <w:shd w:val="clear" w:color="auto" w:fill="EEEBD2"/>
          </w:tcPr>
          <w:p w:rsidR="00AD690E" w:rsidRPr="00094209" w:rsidRDefault="00AD690E" w:rsidP="00AD690E">
            <w:pPr>
              <w:spacing w:before="120" w:after="120"/>
              <w:ind w:firstLine="0"/>
              <w:jc w:val="center"/>
              <w:rPr>
                <w:rFonts w:eastAsia="Times"/>
                <w:sz w:val="20"/>
                <w:szCs w:val="22"/>
              </w:rPr>
            </w:pPr>
            <w:r w:rsidRPr="00094209">
              <w:rPr>
                <w:rFonts w:eastAsia="Times"/>
                <w:sz w:val="20"/>
                <w:szCs w:val="22"/>
              </w:rPr>
              <w:t>Total</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Région de l’Atlantique</w:t>
            </w:r>
            <w:r>
              <w:rPr>
                <w:rFonts w:ascii="Times" w:eastAsia="Times" w:hAnsi="Times"/>
                <w:sz w:val="20"/>
                <w:szCs w:val="14"/>
                <w:vertAlign w:val="superscript"/>
              </w:rPr>
              <w:t xml:space="preserve"> </w:t>
            </w:r>
            <w:r w:rsidRPr="004A257D">
              <w:rPr>
                <w:rFonts w:ascii="Times" w:eastAsia="Times" w:hAnsi="Times"/>
                <w:sz w:val="24"/>
                <w:vertAlign w:val="superscript"/>
              </w:rPr>
              <w:t>a</w:t>
            </w: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69,1</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845,8</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156,8</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310,3</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1382,0</w:t>
            </w:r>
          </w:p>
        </w:tc>
        <w:tc>
          <w:tcPr>
            <w:tcW w:w="733" w:type="dxa"/>
          </w:tcPr>
          <w:p w:rsidR="00AD690E" w:rsidRPr="00094209" w:rsidRDefault="00AD690E" w:rsidP="00AD690E">
            <w:pPr>
              <w:spacing w:before="60" w:after="60"/>
              <w:ind w:firstLine="0"/>
              <w:jc w:val="both"/>
              <w:rPr>
                <w:rFonts w:eastAsia="Times"/>
                <w:sz w:val="20"/>
                <w:szCs w:val="22"/>
              </w:rPr>
            </w:pP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Terre-Neuve</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10,7</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313,7</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22,8</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28,4</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375,6</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Île du Prince Edouard</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4,8</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bCs/>
                <w:sz w:val="20"/>
              </w:rPr>
              <w:t>—</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14,3</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186,9</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206,0</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Nouve</w:t>
            </w:r>
            <w:r w:rsidRPr="00094209">
              <w:rPr>
                <w:rFonts w:ascii="Times" w:eastAsia="Times" w:hAnsi="Times"/>
                <w:sz w:val="20"/>
                <w:szCs w:val="14"/>
              </w:rPr>
              <w:t>l</w:t>
            </w:r>
            <w:r w:rsidRPr="00094209">
              <w:rPr>
                <w:rFonts w:ascii="Times" w:eastAsia="Times" w:hAnsi="Times"/>
                <w:sz w:val="20"/>
                <w:szCs w:val="14"/>
              </w:rPr>
              <w:t>le-Écosse</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11,2</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276,6</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60,6</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9,7</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358,1</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Nouveau-Brun</w:t>
            </w:r>
            <w:r w:rsidRPr="00094209">
              <w:rPr>
                <w:rFonts w:ascii="Times" w:eastAsia="Times" w:hAnsi="Times"/>
                <w:sz w:val="20"/>
                <w:szCs w:val="14"/>
              </w:rPr>
              <w:t>s</w:t>
            </w:r>
            <w:r w:rsidRPr="00094209">
              <w:rPr>
                <w:rFonts w:ascii="Times" w:eastAsia="Times" w:hAnsi="Times"/>
                <w:sz w:val="20"/>
                <w:szCs w:val="14"/>
              </w:rPr>
              <w:t>wick</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11,7</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255,5</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59,1</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63,0</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389,1</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Québec</w:t>
            </w: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50,4</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631,9</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379,1</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36,4</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1097,8</w:t>
            </w:r>
          </w:p>
        </w:tc>
        <w:tc>
          <w:tcPr>
            <w:tcW w:w="733" w:type="dxa"/>
          </w:tcPr>
          <w:p w:rsidR="00AD690E" w:rsidRPr="00094209" w:rsidRDefault="00AD690E" w:rsidP="00AD690E">
            <w:pPr>
              <w:spacing w:before="60" w:after="60"/>
              <w:ind w:firstLine="0"/>
              <w:jc w:val="both"/>
              <w:rPr>
                <w:rFonts w:eastAsia="Times"/>
                <w:sz w:val="20"/>
                <w:szCs w:val="22"/>
              </w:rPr>
            </w:pP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Ontario</w:t>
            </w: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16,7</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124,0</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53,0</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23,2</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216,9</w:t>
            </w:r>
          </w:p>
        </w:tc>
        <w:tc>
          <w:tcPr>
            <w:tcW w:w="733" w:type="dxa"/>
          </w:tcPr>
          <w:p w:rsidR="00AD690E" w:rsidRPr="00094209" w:rsidRDefault="00AD690E" w:rsidP="00AD690E">
            <w:pPr>
              <w:spacing w:before="60" w:after="60"/>
              <w:ind w:firstLine="0"/>
              <w:jc w:val="both"/>
              <w:rPr>
                <w:rFonts w:eastAsia="Times"/>
                <w:sz w:val="20"/>
                <w:szCs w:val="22"/>
              </w:rPr>
            </w:pP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Régions de l'Ouest</w:t>
            </w:r>
            <w:r>
              <w:rPr>
                <w:rFonts w:ascii="Times" w:eastAsia="Times" w:hAnsi="Times"/>
                <w:sz w:val="20"/>
                <w:szCs w:val="14"/>
              </w:rPr>
              <w:t xml:space="preserve"> </w:t>
            </w:r>
            <w:r w:rsidRPr="004A257D">
              <w:rPr>
                <w:rFonts w:ascii="Times" w:eastAsia="Times" w:hAnsi="Times"/>
                <w:sz w:val="24"/>
                <w:szCs w:val="14"/>
                <w:vertAlign w:val="superscript"/>
              </w:rPr>
              <w:t>b</w:t>
            </w: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45,0</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359,3</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123,3</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400,9</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928,5</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Man</w:t>
            </w:r>
            <w:r w:rsidRPr="00094209">
              <w:rPr>
                <w:rFonts w:ascii="Times" w:eastAsia="Times" w:hAnsi="Times"/>
                <w:sz w:val="20"/>
                <w:szCs w:val="14"/>
              </w:rPr>
              <w:t>i</w:t>
            </w:r>
            <w:r w:rsidRPr="00094209">
              <w:rPr>
                <w:rFonts w:ascii="Times" w:eastAsia="Times" w:hAnsi="Times"/>
                <w:sz w:val="20"/>
                <w:szCs w:val="14"/>
              </w:rPr>
              <w:t>toba</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12,7</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105,7</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73,8</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86,2</w:t>
            </w:r>
            <w:r>
              <w:rPr>
                <w:rFonts w:ascii="Times" w:eastAsia="Times" w:hAnsi="Times"/>
                <w:sz w:val="20"/>
                <w:szCs w:val="14"/>
              </w:rPr>
              <w:t xml:space="preserve"> </w:t>
            </w:r>
            <w:r w:rsidRPr="004A257D">
              <w:rPr>
                <w:rFonts w:ascii="Times" w:eastAsia="Times" w:hAnsi="Times"/>
                <w:sz w:val="24"/>
                <w:szCs w:val="14"/>
                <w:vertAlign w:val="superscript"/>
              </w:rPr>
              <w:t>d</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278,4</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Saska</w:t>
            </w:r>
            <w:r w:rsidRPr="00094209">
              <w:rPr>
                <w:rFonts w:ascii="Times" w:eastAsia="Times" w:hAnsi="Times"/>
                <w:sz w:val="20"/>
                <w:szCs w:val="14"/>
              </w:rPr>
              <w:t>t</w:t>
            </w:r>
            <w:r w:rsidRPr="00094209">
              <w:rPr>
                <w:rFonts w:ascii="Times" w:eastAsia="Times" w:hAnsi="Times"/>
                <w:sz w:val="20"/>
                <w:szCs w:val="14"/>
              </w:rPr>
              <w:t>chewan</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12,7</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104,3</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27,2</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244,0</w:t>
            </w:r>
            <w:r w:rsidRPr="004A257D">
              <w:rPr>
                <w:rFonts w:ascii="Times" w:eastAsia="Times" w:hAnsi="Times"/>
                <w:sz w:val="24"/>
                <w:szCs w:val="14"/>
                <w:vertAlign w:val="superscript"/>
              </w:rPr>
              <w:t>d</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388,2</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Alberta</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6,4</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45,9</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14,0</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43,0</w:t>
            </w:r>
            <w:r w:rsidRPr="004A257D">
              <w:rPr>
                <w:rFonts w:ascii="Times" w:eastAsia="Times" w:hAnsi="Times"/>
                <w:sz w:val="24"/>
                <w:szCs w:val="14"/>
                <w:vertAlign w:val="superscript"/>
              </w:rPr>
              <w:t>d</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109,3</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Colombie-brita</w:t>
            </w:r>
            <w:r w:rsidRPr="00094209">
              <w:rPr>
                <w:rFonts w:ascii="Times" w:eastAsia="Times" w:hAnsi="Times"/>
                <w:sz w:val="20"/>
                <w:szCs w:val="14"/>
              </w:rPr>
              <w:t>n</w:t>
            </w:r>
            <w:r w:rsidRPr="00094209">
              <w:rPr>
                <w:rFonts w:ascii="Times" w:eastAsia="Times" w:hAnsi="Times"/>
                <w:sz w:val="20"/>
                <w:szCs w:val="14"/>
              </w:rPr>
              <w:t>nique</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10,0</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103,4</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8,3</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27,6</w:t>
            </w:r>
          </w:p>
        </w:tc>
        <w:tc>
          <w:tcPr>
            <w:tcW w:w="766"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149,3</w:t>
            </w:r>
          </w:p>
        </w:tc>
      </w:tr>
      <w:tr w:rsidR="00AD690E" w:rsidRPr="00094209">
        <w:tc>
          <w:tcPr>
            <w:tcW w:w="2424"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Total</w:t>
            </w:r>
            <w:r>
              <w:rPr>
                <w:rFonts w:ascii="Times" w:eastAsia="Times" w:hAnsi="Times"/>
                <w:sz w:val="20"/>
                <w:szCs w:val="14"/>
                <w:vertAlign w:val="superscript"/>
              </w:rPr>
              <w:t xml:space="preserve"> </w:t>
            </w:r>
            <w:r w:rsidRPr="004A257D">
              <w:rPr>
                <w:rFonts w:ascii="Times" w:eastAsia="Times" w:hAnsi="Times"/>
                <w:sz w:val="20"/>
                <w:vertAlign w:val="superscript"/>
              </w:rPr>
              <w:t>c</w:t>
            </w:r>
          </w:p>
        </w:tc>
        <w:tc>
          <w:tcPr>
            <w:tcW w:w="732"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bCs/>
                <w:sz w:val="20"/>
                <w:szCs w:val="14"/>
              </w:rPr>
              <w:t>351,3</w:t>
            </w:r>
          </w:p>
        </w:tc>
        <w:tc>
          <w:tcPr>
            <w:tcW w:w="732"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2011,9</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713,1</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33"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138,5</w:t>
            </w:r>
          </w:p>
        </w:tc>
        <w:tc>
          <w:tcPr>
            <w:tcW w:w="733" w:type="dxa"/>
          </w:tcPr>
          <w:p w:rsidR="00AD690E" w:rsidRPr="00094209" w:rsidRDefault="00AD690E" w:rsidP="00AD690E">
            <w:pPr>
              <w:spacing w:before="60" w:after="60"/>
              <w:ind w:firstLine="0"/>
              <w:jc w:val="both"/>
              <w:rPr>
                <w:rFonts w:ascii="Times" w:eastAsia="Times" w:hAnsi="Times"/>
                <w:sz w:val="20"/>
              </w:rPr>
            </w:pPr>
          </w:p>
        </w:tc>
        <w:tc>
          <w:tcPr>
            <w:tcW w:w="766" w:type="dxa"/>
          </w:tcPr>
          <w:p w:rsidR="00AD690E" w:rsidRPr="00094209" w:rsidRDefault="00AD690E" w:rsidP="00AD690E">
            <w:pPr>
              <w:spacing w:before="60" w:after="60"/>
              <w:ind w:firstLine="0"/>
              <w:jc w:val="both"/>
              <w:rPr>
                <w:rFonts w:ascii="Times" w:eastAsia="Times" w:hAnsi="Times"/>
                <w:sz w:val="20"/>
              </w:rPr>
            </w:pPr>
            <w:r w:rsidRPr="00094209">
              <w:rPr>
                <w:rFonts w:ascii="Times" w:eastAsia="Times" w:hAnsi="Times"/>
                <w:sz w:val="20"/>
                <w:szCs w:val="14"/>
              </w:rPr>
              <w:t>3814,8</w:t>
            </w:r>
          </w:p>
        </w:tc>
        <w:tc>
          <w:tcPr>
            <w:tcW w:w="733" w:type="dxa"/>
          </w:tcPr>
          <w:p w:rsidR="00AD690E" w:rsidRPr="00094209" w:rsidRDefault="00AD690E" w:rsidP="00AD690E">
            <w:pPr>
              <w:spacing w:before="60" w:after="60"/>
              <w:ind w:firstLine="0"/>
              <w:jc w:val="both"/>
              <w:rPr>
                <w:rFonts w:ascii="Times" w:eastAsia="Times" w:hAnsi="Times"/>
                <w:sz w:val="20"/>
                <w:szCs w:val="22"/>
              </w:rPr>
            </w:pPr>
          </w:p>
        </w:tc>
      </w:tr>
    </w:tbl>
    <w:p w:rsidR="00AD690E" w:rsidRPr="0077615B" w:rsidRDefault="00AD690E" w:rsidP="00AD690E">
      <w:pPr>
        <w:pStyle w:val="figstlegende"/>
      </w:pPr>
      <w:r>
        <w:t>a)</w:t>
      </w:r>
      <w:r>
        <w:tab/>
      </w:r>
      <w:r w:rsidRPr="0077615B">
        <w:t>Incluant le bureau régional de l'Atlantique et le Conseil de dévelo</w:t>
      </w:r>
      <w:r w:rsidRPr="0077615B">
        <w:t>p</w:t>
      </w:r>
      <w:r w:rsidRPr="0077615B">
        <w:t>pement de l'Atlantique.</w:t>
      </w:r>
    </w:p>
    <w:p w:rsidR="00AD690E" w:rsidRPr="0077615B" w:rsidRDefault="00AD690E" w:rsidP="00AD690E">
      <w:pPr>
        <w:pStyle w:val="figstlegende"/>
      </w:pPr>
      <w:r>
        <w:t>b)</w:t>
      </w:r>
      <w:r>
        <w:tab/>
      </w:r>
      <w:r w:rsidRPr="0077615B">
        <w:rPr>
          <w:szCs w:val="14"/>
        </w:rPr>
        <w:t>Incluant</w:t>
      </w:r>
      <w:r w:rsidRPr="0077615B">
        <w:t xml:space="preserve"> le bureau régional de l'Ouest.</w:t>
      </w:r>
    </w:p>
    <w:p w:rsidR="00AD690E" w:rsidRPr="0077615B" w:rsidRDefault="00AD690E" w:rsidP="00AD690E">
      <w:pPr>
        <w:pStyle w:val="figstlegende"/>
      </w:pPr>
      <w:r>
        <w:t>c)</w:t>
      </w:r>
      <w:r>
        <w:tab/>
      </w:r>
      <w:r w:rsidRPr="0077615B">
        <w:t>Incluant le bureau central d'Ottawa, Le Yukon, et les Te</w:t>
      </w:r>
      <w:r>
        <w:t>rr</w:t>
      </w:r>
      <w:r w:rsidRPr="0077615B">
        <w:t>ito</w:t>
      </w:r>
      <w:r w:rsidRPr="0077615B">
        <w:t>i</w:t>
      </w:r>
      <w:r w:rsidRPr="0077615B">
        <w:t>res du Nord.</w:t>
      </w:r>
    </w:p>
    <w:p w:rsidR="00AD690E" w:rsidRPr="0077615B" w:rsidRDefault="00AD690E" w:rsidP="00AD690E">
      <w:pPr>
        <w:pStyle w:val="figstlegende"/>
      </w:pPr>
      <w:r>
        <w:t>d)</w:t>
      </w:r>
      <w:r>
        <w:tab/>
      </w:r>
      <w:r w:rsidRPr="0077615B">
        <w:t>Incluant le programme ARAP (Administration du rétabliss</w:t>
      </w:r>
      <w:r w:rsidRPr="0077615B">
        <w:t>e</w:t>
      </w:r>
      <w:r w:rsidRPr="0077615B">
        <w:t>ment agricole des Prairies), transféré au ministère de l'Agriculture en 1982-1983.</w:t>
      </w:r>
      <w:r w:rsidRPr="00B63A1C">
        <w:t xml:space="preserve"> </w:t>
      </w:r>
    </w:p>
    <w:p w:rsidR="00AD690E" w:rsidRPr="0077615B" w:rsidRDefault="00AD690E" w:rsidP="00AD690E">
      <w:pPr>
        <w:pStyle w:val="figstlegende"/>
      </w:pPr>
      <w:r w:rsidRPr="0077615B">
        <w:t>Source : Rapports annuels, ministère de l'Expansion économique et région</w:t>
      </w:r>
      <w:r w:rsidRPr="0077615B">
        <w:t>a</w:t>
      </w:r>
      <w:r w:rsidRPr="0077615B">
        <w:t>le.</w:t>
      </w:r>
    </w:p>
    <w:p w:rsidR="00AD690E" w:rsidRDefault="00AD690E" w:rsidP="00AD690E">
      <w:pPr>
        <w:spacing w:before="120" w:after="120"/>
        <w:jc w:val="both"/>
        <w:rPr>
          <w:szCs w:val="22"/>
        </w:rPr>
      </w:pPr>
    </w:p>
    <w:p w:rsidR="00AD690E" w:rsidRDefault="00AD690E" w:rsidP="00AD690E">
      <w:pPr>
        <w:spacing w:before="120" w:after="120"/>
        <w:jc w:val="both"/>
        <w:rPr>
          <w:szCs w:val="22"/>
        </w:rPr>
      </w:pPr>
      <w:r w:rsidRPr="0077615B">
        <w:rPr>
          <w:szCs w:val="22"/>
        </w:rPr>
        <w:t>Ceci conduisit à une révision de la stratégie de développement r</w:t>
      </w:r>
      <w:r w:rsidRPr="0077615B">
        <w:rPr>
          <w:szCs w:val="22"/>
        </w:rPr>
        <w:t>é</w:t>
      </w:r>
      <w:r w:rsidRPr="0077615B">
        <w:rPr>
          <w:szCs w:val="22"/>
        </w:rPr>
        <w:t>gional. Dorénavant l'on ne pensait plus en termes de pôles de croi</w:t>
      </w:r>
      <w:r w:rsidRPr="0077615B">
        <w:rPr>
          <w:szCs w:val="22"/>
        </w:rPr>
        <w:t>s</w:t>
      </w:r>
      <w:r w:rsidRPr="0077615B">
        <w:rPr>
          <w:szCs w:val="22"/>
        </w:rPr>
        <w:t>sance mais plutôt en termes de « possibilités de développ</w:t>
      </w:r>
      <w:r w:rsidRPr="0077615B">
        <w:rPr>
          <w:szCs w:val="22"/>
        </w:rPr>
        <w:t>e</w:t>
      </w:r>
      <w:r w:rsidRPr="0077615B">
        <w:rPr>
          <w:szCs w:val="22"/>
        </w:rPr>
        <w:t>ment », ce qui impliquait une collaboration beaucoup plus étroite entre le fédéral et les provinces. L'élément-clé de la nouvelle stratégie de développ</w:t>
      </w:r>
      <w:r w:rsidRPr="0077615B">
        <w:rPr>
          <w:szCs w:val="22"/>
        </w:rPr>
        <w:t>e</w:t>
      </w:r>
      <w:r w:rsidRPr="0077615B">
        <w:rPr>
          <w:szCs w:val="22"/>
        </w:rPr>
        <w:t>ment régional devenait l'Entente-cadre de d</w:t>
      </w:r>
      <w:r w:rsidRPr="0077615B">
        <w:rPr>
          <w:szCs w:val="22"/>
        </w:rPr>
        <w:t>é</w:t>
      </w:r>
      <w:r w:rsidRPr="0077615B">
        <w:rPr>
          <w:szCs w:val="22"/>
        </w:rPr>
        <w:t>veloppement négociée avec chacune des provinces. Ainsi le MEER a-t-il signé en 1974 avec les différentes provinces, pour une période de dix ans, des ententes-cadres de développement auxquelles se sont greffées subséquemment des ententes auxilia</w:t>
      </w:r>
      <w:r w:rsidRPr="0077615B">
        <w:rPr>
          <w:szCs w:val="22"/>
        </w:rPr>
        <w:t>i</w:t>
      </w:r>
      <w:r w:rsidRPr="0077615B">
        <w:rPr>
          <w:szCs w:val="22"/>
        </w:rPr>
        <w:t>res, comme, par exemple, l'entente. 1977-1984 pour la modern</w:t>
      </w:r>
      <w:r w:rsidRPr="0077615B">
        <w:rPr>
          <w:szCs w:val="22"/>
        </w:rPr>
        <w:t>i</w:t>
      </w:r>
      <w:r w:rsidRPr="0077615B">
        <w:rPr>
          <w:szCs w:val="22"/>
        </w:rPr>
        <w:t>sation de l'industrie des pâtes et papiers au Québec ou encore celle sur le développement de la construction et de la répar</w:t>
      </w:r>
      <w:r w:rsidRPr="0077615B">
        <w:rPr>
          <w:szCs w:val="22"/>
        </w:rPr>
        <w:t>a</w:t>
      </w:r>
      <w:r>
        <w:rPr>
          <w:szCs w:val="22"/>
        </w:rPr>
        <w:t>tion n</w:t>
      </w:r>
      <w:r>
        <w:rPr>
          <w:szCs w:val="22"/>
        </w:rPr>
        <w:t>a</w:t>
      </w:r>
      <w:r>
        <w:rPr>
          <w:szCs w:val="22"/>
        </w:rPr>
        <w:t>vale en Nouvelle-É</w:t>
      </w:r>
      <w:r w:rsidRPr="0077615B">
        <w:rPr>
          <w:szCs w:val="22"/>
        </w:rPr>
        <w:t>cosse. On constatera à la lecture du tableau 2 que les subventions à l'industrie ont bénéficié relativement plus au Québec tandis que les provinces de l'Atlantique et celles des Prairies étaient dotées de programmes particuliers, le régime des ententes auxiliaires restaurant un meilleur équilibre entre toutes les régions v</w:t>
      </w:r>
      <w:r w:rsidRPr="0077615B">
        <w:rPr>
          <w:szCs w:val="22"/>
        </w:rPr>
        <w:t>i</w:t>
      </w:r>
      <w:r w:rsidRPr="0077615B">
        <w:rPr>
          <w:szCs w:val="22"/>
        </w:rPr>
        <w:t>sées par les actions du MEER. La figure 3 montre par ailleurs les écarts très importants sur les montants par habitant reçus tout au long de cette période ; le Québec notamment</w:t>
      </w:r>
      <w:r>
        <w:rPr>
          <w:szCs w:val="22"/>
        </w:rPr>
        <w:t xml:space="preserve"> </w:t>
      </w:r>
      <w:r>
        <w:t xml:space="preserve">[203] </w:t>
      </w:r>
      <w:r w:rsidRPr="0077615B">
        <w:rPr>
          <w:szCs w:val="22"/>
        </w:rPr>
        <w:t>y apparaît beaucoup plus proche des « h</w:t>
      </w:r>
      <w:r>
        <w:rPr>
          <w:szCs w:val="22"/>
        </w:rPr>
        <w:t>a</w:t>
      </w:r>
      <w:r w:rsidRPr="0077615B">
        <w:rPr>
          <w:szCs w:val="22"/>
        </w:rPr>
        <w:t>ve provinces » que des « have-not provinces ».</w:t>
      </w:r>
    </w:p>
    <w:p w:rsidR="00AD690E" w:rsidRPr="0077615B" w:rsidRDefault="00AD690E" w:rsidP="00AD690E">
      <w:pPr>
        <w:spacing w:before="120" w:after="120"/>
        <w:jc w:val="both"/>
      </w:pPr>
    </w:p>
    <w:p w:rsidR="00AD690E" w:rsidRPr="0077615B" w:rsidRDefault="00AD690E" w:rsidP="00AD690E">
      <w:pPr>
        <w:pStyle w:val="figtitre"/>
      </w:pPr>
      <w:r>
        <w:t>Graphique 3.</w:t>
      </w:r>
      <w:r>
        <w:br/>
      </w:r>
      <w:r w:rsidRPr="0077615B">
        <w:t>Dépenses du MEER par habitant,</w:t>
      </w:r>
      <w:r>
        <w:t xml:space="preserve"> </w:t>
      </w:r>
      <w:r w:rsidRPr="0077615B">
        <w:t>entre 1969-1970 et 1981-1982,</w:t>
      </w:r>
      <w:r>
        <w:br/>
      </w:r>
      <w:r w:rsidRPr="0077615B">
        <w:t>en dollars courants</w:t>
      </w:r>
    </w:p>
    <w:p w:rsidR="00AD690E" w:rsidRDefault="005E1315" w:rsidP="00AD690E">
      <w:pPr>
        <w:pStyle w:val="fig"/>
      </w:pPr>
      <w:r>
        <w:rPr>
          <w:noProof/>
        </w:rPr>
        <w:drawing>
          <wp:inline distT="0" distB="0" distL="0" distR="0">
            <wp:extent cx="5029200" cy="2717800"/>
            <wp:effectExtent l="25400" t="25400" r="12700" b="12700"/>
            <wp:docPr id="15" name="Image 15" descr="fig_p_203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203_st"/>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717800"/>
                    </a:xfrm>
                    <a:prstGeom prst="rect">
                      <a:avLst/>
                    </a:prstGeom>
                    <a:noFill/>
                    <a:ln w="19050" cmpd="sng">
                      <a:solidFill>
                        <a:srgbClr val="000000"/>
                      </a:solidFill>
                      <a:miter lim="800000"/>
                      <a:headEnd/>
                      <a:tailEnd/>
                    </a:ln>
                    <a:effectLst/>
                  </pic:spPr>
                </pic:pic>
              </a:graphicData>
            </a:graphic>
          </wp:inline>
        </w:drawing>
      </w:r>
    </w:p>
    <w:p w:rsidR="00AD690E" w:rsidRPr="0077615B" w:rsidRDefault="00AD690E" w:rsidP="00AD690E">
      <w:pPr>
        <w:pStyle w:val="figst"/>
      </w:pPr>
      <w:r w:rsidRPr="0077615B">
        <w:t>Source : Rapports annuels du MEER, pour les dépenses et Rece</w:t>
      </w:r>
      <w:r w:rsidRPr="0077615B">
        <w:t>n</w:t>
      </w:r>
      <w:r w:rsidRPr="0077615B">
        <w:t>sement 1976, pour la population.</w:t>
      </w:r>
    </w:p>
    <w:p w:rsidR="00AD690E" w:rsidRDefault="00AD690E" w:rsidP="00AD690E">
      <w:pPr>
        <w:spacing w:before="120" w:after="120"/>
        <w:jc w:val="both"/>
        <w:rPr>
          <w:szCs w:val="22"/>
        </w:rPr>
      </w:pPr>
    </w:p>
    <w:p w:rsidR="00AD690E" w:rsidRPr="0077615B" w:rsidRDefault="00AD690E" w:rsidP="00AD690E">
      <w:pPr>
        <w:spacing w:before="120" w:after="120"/>
        <w:jc w:val="both"/>
      </w:pPr>
      <w:r w:rsidRPr="0077615B">
        <w:rPr>
          <w:szCs w:val="22"/>
        </w:rPr>
        <w:t>Ces ententes-cadres faisaient appel à une approche multidime</w:t>
      </w:r>
      <w:r w:rsidRPr="0077615B">
        <w:rPr>
          <w:szCs w:val="22"/>
        </w:rPr>
        <w:t>n</w:t>
      </w:r>
      <w:r w:rsidRPr="0077615B">
        <w:rPr>
          <w:szCs w:val="22"/>
        </w:rPr>
        <w:t>sionnelle, par opposition à l'approche sectorielle qui avait caractérisé jusque-là l'action du MEER. Elles ont aussi entraîné pour le ministère la mise en place de structures administratives plus décentralisées, tout en contribuant à restaurer la légitimité des gouvernements provi</w:t>
      </w:r>
      <w:r w:rsidRPr="0077615B">
        <w:rPr>
          <w:szCs w:val="22"/>
        </w:rPr>
        <w:t>n</w:t>
      </w:r>
      <w:r w:rsidRPr="0077615B">
        <w:rPr>
          <w:szCs w:val="22"/>
        </w:rPr>
        <w:t>ciaux. Voici ce que des experts de l'OCDE concluaient à cet égard après une mission au Canada :</w:t>
      </w:r>
    </w:p>
    <w:p w:rsidR="00AD690E" w:rsidRDefault="00AD690E" w:rsidP="00AD690E">
      <w:pPr>
        <w:pStyle w:val="Grillecouleur-Accent1"/>
        <w:rPr>
          <w:i/>
        </w:rPr>
      </w:pPr>
      <w:r w:rsidRPr="00B63A1C">
        <w:t>Le système des ententes-cadres et des ententes auxiliaires de développ</w:t>
      </w:r>
      <w:r w:rsidRPr="00B63A1C">
        <w:t>e</w:t>
      </w:r>
      <w:r w:rsidRPr="00B63A1C">
        <w:t>ment entre le gouvernement fédéral et les gouvernements provinciaux con</w:t>
      </w:r>
      <w:r w:rsidRPr="00B63A1C">
        <w:t>s</w:t>
      </w:r>
      <w:r w:rsidRPr="00B63A1C">
        <w:t>titue l'une des particularités les plus intéressantes de la politique de dév</w:t>
      </w:r>
      <w:r w:rsidRPr="00B63A1C">
        <w:t>e</w:t>
      </w:r>
      <w:r w:rsidRPr="00B63A1C">
        <w:t>loppement régional. Certes ce dispositif tient à ce que le Canada est un État fédéral ; néanmoins, le Groupe de travail pense que le système de consult</w:t>
      </w:r>
      <w:r w:rsidRPr="00B63A1C">
        <w:t>a</w:t>
      </w:r>
      <w:r w:rsidRPr="00B63A1C">
        <w:t>tions conjointes sur les objectifs et de partage du financement et de l'exéc</w:t>
      </w:r>
      <w:r w:rsidRPr="00B63A1C">
        <w:t>u</w:t>
      </w:r>
      <w:r w:rsidRPr="00B63A1C">
        <w:t>tion pourrait être étudié avec profit non seulement par d'autres pays à stru</w:t>
      </w:r>
      <w:r w:rsidRPr="00B63A1C">
        <w:t>c</w:t>
      </w:r>
      <w:r w:rsidRPr="00B63A1C">
        <w:t>ture fédérale mais aussi par des pays à structure non fédérale dotés d'un solide appareil administr</w:t>
      </w:r>
      <w:r w:rsidRPr="00B63A1C">
        <w:t>a</w:t>
      </w:r>
      <w:r w:rsidRPr="00B63A1C">
        <w:t>tif régional ou local</w:t>
      </w:r>
      <w:r>
        <w:t> </w:t>
      </w:r>
      <w:r w:rsidRPr="00D756DB">
        <w:rPr>
          <w:rStyle w:val="Appelnotedebasdep"/>
          <w:szCs w:val="18"/>
        </w:rPr>
        <w:footnoteReference w:id="356"/>
      </w:r>
      <w:r w:rsidRPr="0077615B">
        <w:t>.</w:t>
      </w:r>
    </w:p>
    <w:p w:rsidR="00AD690E" w:rsidRPr="0077615B" w:rsidRDefault="00AD690E" w:rsidP="00AD690E">
      <w:pPr>
        <w:spacing w:before="120" w:after="120"/>
        <w:jc w:val="both"/>
      </w:pPr>
      <w:r w:rsidRPr="0077615B">
        <w:rPr>
          <w:szCs w:val="22"/>
        </w:rPr>
        <w:t>Mais pour plusieurs raisons, cette révision en profondeur n'a pas conduit à ce qui pourrait être considéré comme une véritable politique de développement</w:t>
      </w:r>
      <w:r>
        <w:rPr>
          <w:szCs w:val="22"/>
        </w:rPr>
        <w:t xml:space="preserve"> </w:t>
      </w:r>
      <w:r>
        <w:t>[</w:t>
      </w:r>
      <w:r w:rsidRPr="0077615B">
        <w:rPr>
          <w:rFonts w:cs="Arial"/>
          <w:szCs w:val="18"/>
        </w:rPr>
        <w:t>204</w:t>
      </w:r>
      <w:r>
        <w:rPr>
          <w:rFonts w:cs="Arial"/>
          <w:szCs w:val="18"/>
        </w:rPr>
        <w:t xml:space="preserve">] </w:t>
      </w:r>
      <w:r w:rsidRPr="0077615B">
        <w:rPr>
          <w:szCs w:val="22"/>
        </w:rPr>
        <w:t>régional. Au premier plan se trouve en cause la conception même de développement qui orientait l'intervention du gouvernement libéral. Accordant à l'entreprise privée l'initiative des actions, l'État se voyait confier un rôle supplétif, tenu en plus de s'ajuster tant à la conjoncture politique qu'à la conjoncture économ</w:t>
      </w:r>
      <w:r w:rsidRPr="0077615B">
        <w:rPr>
          <w:szCs w:val="22"/>
        </w:rPr>
        <w:t>i</w:t>
      </w:r>
      <w:r w:rsidRPr="0077615B">
        <w:rPr>
          <w:szCs w:val="22"/>
        </w:rPr>
        <w:t>que. C'est pourquoi la modern</w:t>
      </w:r>
      <w:r w:rsidRPr="0077615B">
        <w:rPr>
          <w:szCs w:val="22"/>
        </w:rPr>
        <w:t>i</w:t>
      </w:r>
      <w:r w:rsidRPr="0077615B">
        <w:rPr>
          <w:szCs w:val="22"/>
        </w:rPr>
        <w:t>sation et la réorganisation industrielles n'ont pas vraiment été planifiées sur le long terme, avec pour r</w:t>
      </w:r>
      <w:r w:rsidRPr="0077615B">
        <w:rPr>
          <w:szCs w:val="22"/>
        </w:rPr>
        <w:t>é</w:t>
      </w:r>
      <w:r w:rsidRPr="0077615B">
        <w:rPr>
          <w:szCs w:val="22"/>
        </w:rPr>
        <w:t>sultat l'accentuation des inégalités face au marché du travail à l'intérieur du pays. Des facteurs politiques expliquent également les difficultés re</w:t>
      </w:r>
      <w:r w:rsidRPr="0077615B">
        <w:rPr>
          <w:szCs w:val="22"/>
        </w:rPr>
        <w:t>n</w:t>
      </w:r>
      <w:r w:rsidRPr="0077615B">
        <w:rPr>
          <w:szCs w:val="22"/>
        </w:rPr>
        <w:t>contrées dans cette nouvelle voie. S'il est vrai que les ent</w:t>
      </w:r>
      <w:r>
        <w:rPr>
          <w:szCs w:val="22"/>
        </w:rPr>
        <w:t>entes-cadres</w:t>
      </w:r>
      <w:r w:rsidRPr="0077615B">
        <w:rPr>
          <w:szCs w:val="22"/>
        </w:rPr>
        <w:t xml:space="preserve"> de développement ont permis, pour un temps, de faire taire les récr</w:t>
      </w:r>
      <w:r w:rsidRPr="0077615B">
        <w:rPr>
          <w:szCs w:val="22"/>
        </w:rPr>
        <w:t>i</w:t>
      </w:r>
      <w:r w:rsidRPr="0077615B">
        <w:rPr>
          <w:szCs w:val="22"/>
        </w:rPr>
        <w:t>minations provinciales et d'att</w:t>
      </w:r>
      <w:r w:rsidRPr="0077615B">
        <w:rPr>
          <w:szCs w:val="22"/>
        </w:rPr>
        <w:t>é</w:t>
      </w:r>
      <w:r w:rsidRPr="0077615B">
        <w:rPr>
          <w:szCs w:val="22"/>
        </w:rPr>
        <w:t>nuer ainsi les tensions entre le fédéral et les provinces, elles ont aussi introduit beaucoup d'insatisfaction du côté ministériel. D'une part les ententes-cadres avaient exigé la mise en place d'un système burea</w:t>
      </w:r>
      <w:r w:rsidRPr="0077615B">
        <w:rPr>
          <w:szCs w:val="22"/>
        </w:rPr>
        <w:t>u</w:t>
      </w:r>
      <w:r w:rsidRPr="0077615B">
        <w:rPr>
          <w:szCs w:val="22"/>
        </w:rPr>
        <w:t>cratique de gestion qui relayait au second plan le rôle de la classe politique. D'autre part elles déplaçaient vers les provinces l'in</w:t>
      </w:r>
      <w:r w:rsidRPr="0077615B">
        <w:rPr>
          <w:szCs w:val="22"/>
        </w:rPr>
        <w:t>i</w:t>
      </w:r>
      <w:r w:rsidRPr="0077615B">
        <w:rPr>
          <w:szCs w:val="22"/>
        </w:rPr>
        <w:t>tiative de l'aide au développement régional de sorte que les dépenses engagées en vertu de ces programmes avaient peu de retombées « politiques » pour les députés et ministres libéraux, et ce au moment même où l'accession du Parti québécois au pouvoir à Qu</w:t>
      </w:r>
      <w:r w:rsidRPr="0077615B">
        <w:rPr>
          <w:szCs w:val="22"/>
        </w:rPr>
        <w:t>é</w:t>
      </w:r>
      <w:r w:rsidRPr="0077615B">
        <w:rPr>
          <w:szCs w:val="22"/>
        </w:rPr>
        <w:t>bec remettait à l'ordre du jour la question de la survie du régime féd</w:t>
      </w:r>
      <w:r w:rsidRPr="0077615B">
        <w:rPr>
          <w:szCs w:val="22"/>
        </w:rPr>
        <w:t>é</w:t>
      </w:r>
      <w:r w:rsidRPr="0077615B">
        <w:rPr>
          <w:szCs w:val="22"/>
        </w:rPr>
        <w:t>ral existant. Enfin, il est également important de tenir compte de l'év</w:t>
      </w:r>
      <w:r w:rsidRPr="0077615B">
        <w:rPr>
          <w:szCs w:val="22"/>
        </w:rPr>
        <w:t>o</w:t>
      </w:r>
      <w:r w:rsidRPr="0077615B">
        <w:rPr>
          <w:szCs w:val="22"/>
        </w:rPr>
        <w:t>lution de la conjoncture économique. À la fin des années 1970, la montée simultanée de l'inflation et du chômage avait créé une situ</w:t>
      </w:r>
      <w:r w:rsidRPr="0077615B">
        <w:rPr>
          <w:szCs w:val="22"/>
        </w:rPr>
        <w:t>a</w:t>
      </w:r>
      <w:r w:rsidRPr="0077615B">
        <w:rPr>
          <w:szCs w:val="22"/>
        </w:rPr>
        <w:t>tion de crise inédite car les inégalités région</w:t>
      </w:r>
      <w:r w:rsidRPr="0077615B">
        <w:rPr>
          <w:szCs w:val="22"/>
        </w:rPr>
        <w:t>a</w:t>
      </w:r>
      <w:r w:rsidRPr="0077615B">
        <w:rPr>
          <w:szCs w:val="22"/>
        </w:rPr>
        <w:t>les ne se cantonnaient plus dans des « zones spéci</w:t>
      </w:r>
      <w:r w:rsidRPr="0077615B">
        <w:rPr>
          <w:szCs w:val="22"/>
        </w:rPr>
        <w:t>a</w:t>
      </w:r>
      <w:r w:rsidRPr="0077615B">
        <w:rPr>
          <w:szCs w:val="22"/>
        </w:rPr>
        <w:t>les », comme c'était le cas au moment de la création du MEER : même les régions industrielles les plus dyn</w:t>
      </w:r>
      <w:r w:rsidRPr="0077615B">
        <w:rPr>
          <w:szCs w:val="22"/>
        </w:rPr>
        <w:t>a</w:t>
      </w:r>
      <w:r w:rsidRPr="0077615B">
        <w:rPr>
          <w:szCs w:val="22"/>
        </w:rPr>
        <w:t>miques étaient touchées par la récession. Une nouvelle évaluation de l'efficacité et de l'impact des programmes du MEER était devenue n</w:t>
      </w:r>
      <w:r w:rsidRPr="0077615B">
        <w:rPr>
          <w:szCs w:val="22"/>
        </w:rPr>
        <w:t>é</w:t>
      </w:r>
      <w:r w:rsidRPr="0077615B">
        <w:rPr>
          <w:szCs w:val="22"/>
        </w:rPr>
        <w:t>cessaire.</w:t>
      </w:r>
    </w:p>
    <w:p w:rsidR="00AD690E" w:rsidRPr="0077615B" w:rsidRDefault="00AD690E" w:rsidP="00AD690E">
      <w:pPr>
        <w:spacing w:before="120" w:after="120"/>
        <w:jc w:val="both"/>
      </w:pPr>
      <w:r w:rsidRPr="0077615B">
        <w:rPr>
          <w:szCs w:val="22"/>
        </w:rPr>
        <w:t>Une deuxième révision en profondeur a été entreprise en 1978 par Marcel Lessard et complétée par Pierre de Bané après le r</w:t>
      </w:r>
      <w:r w:rsidRPr="0077615B">
        <w:rPr>
          <w:szCs w:val="22"/>
        </w:rPr>
        <w:t>e</w:t>
      </w:r>
      <w:r w:rsidRPr="0077615B">
        <w:rPr>
          <w:szCs w:val="22"/>
        </w:rPr>
        <w:t>tour au pouvoir des libéraux à l'automne 1980. On y déplore n</w:t>
      </w:r>
      <w:r w:rsidRPr="0077615B">
        <w:rPr>
          <w:szCs w:val="22"/>
        </w:rPr>
        <w:t>o</w:t>
      </w:r>
      <w:r w:rsidRPr="0077615B">
        <w:rPr>
          <w:szCs w:val="22"/>
        </w:rPr>
        <w:t>tamment que le développ</w:t>
      </w:r>
      <w:r>
        <w:rPr>
          <w:szCs w:val="22"/>
        </w:rPr>
        <w:t>e</w:t>
      </w:r>
      <w:r w:rsidRPr="0077615B">
        <w:rPr>
          <w:szCs w:val="22"/>
        </w:rPr>
        <w:t>ment régional soit demeuré l'affaire du MEER sans eng</w:t>
      </w:r>
      <w:r w:rsidRPr="0077615B">
        <w:rPr>
          <w:szCs w:val="22"/>
        </w:rPr>
        <w:t>a</w:t>
      </w:r>
      <w:r w:rsidRPr="0077615B">
        <w:rPr>
          <w:szCs w:val="22"/>
        </w:rPr>
        <w:t>ger les autres ministères fédéraux. Tout en d</w:t>
      </w:r>
      <w:r w:rsidRPr="0077615B">
        <w:rPr>
          <w:szCs w:val="22"/>
        </w:rPr>
        <w:t>i</w:t>
      </w:r>
      <w:r w:rsidRPr="0077615B">
        <w:rPr>
          <w:szCs w:val="22"/>
        </w:rPr>
        <w:t>sant tenir aux ententes-cadres et à la collaboration avec les pr</w:t>
      </w:r>
      <w:r w:rsidRPr="0077615B">
        <w:rPr>
          <w:szCs w:val="22"/>
        </w:rPr>
        <w:t>o</w:t>
      </w:r>
      <w:r w:rsidRPr="0077615B">
        <w:rPr>
          <w:szCs w:val="22"/>
        </w:rPr>
        <w:t>vinces, on y soutient aussi que le gouvernement fédéral doit d</w:t>
      </w:r>
      <w:r w:rsidRPr="0077615B">
        <w:rPr>
          <w:szCs w:val="22"/>
        </w:rPr>
        <w:t>a</w:t>
      </w:r>
      <w:r w:rsidRPr="0077615B">
        <w:rPr>
          <w:szCs w:val="22"/>
        </w:rPr>
        <w:t>vantage affirmer sa présence sur la scène régionale en prenant plus d'initiatives et en soutenant des pr</w:t>
      </w:r>
      <w:r w:rsidRPr="0077615B">
        <w:rPr>
          <w:szCs w:val="22"/>
        </w:rPr>
        <w:t>o</w:t>
      </w:r>
      <w:r w:rsidRPr="0077615B">
        <w:rPr>
          <w:szCs w:val="22"/>
        </w:rPr>
        <w:t>jets, le cas échéant même sans la participation des gouvernements provinciaux. On y récl</w:t>
      </w:r>
      <w:r w:rsidRPr="0077615B">
        <w:rPr>
          <w:szCs w:val="22"/>
        </w:rPr>
        <w:t>a</w:t>
      </w:r>
      <w:r w:rsidRPr="0077615B">
        <w:rPr>
          <w:szCs w:val="22"/>
        </w:rPr>
        <w:t>me également davantage de fonds.</w:t>
      </w:r>
    </w:p>
    <w:p w:rsidR="00AD690E" w:rsidRPr="0077615B" w:rsidRDefault="00AD690E" w:rsidP="00AD690E">
      <w:pPr>
        <w:spacing w:before="120" w:after="120"/>
        <w:jc w:val="both"/>
      </w:pPr>
      <w:r w:rsidRPr="0077615B">
        <w:rPr>
          <w:szCs w:val="22"/>
        </w:rPr>
        <w:t>Ayant opté pour une approche encore plus centralisatrice, le go</w:t>
      </w:r>
      <w:r w:rsidRPr="0077615B">
        <w:rPr>
          <w:szCs w:val="22"/>
        </w:rPr>
        <w:t>u</w:t>
      </w:r>
      <w:r w:rsidRPr="0077615B">
        <w:rPr>
          <w:szCs w:val="22"/>
        </w:rPr>
        <w:t>vernement Trudeau a d'abord placé le MEER au début de 1979 sous la direction d'un Conseil ministériel de développement économique et sous la supervision du Département d'État au développement écon</w:t>
      </w:r>
      <w:r w:rsidRPr="0077615B">
        <w:rPr>
          <w:szCs w:val="22"/>
        </w:rPr>
        <w:t>o</w:t>
      </w:r>
      <w:r w:rsidRPr="0077615B">
        <w:rPr>
          <w:szCs w:val="22"/>
        </w:rPr>
        <w:t>mique et régional (le DEDER). Suit, en f</w:t>
      </w:r>
      <w:r w:rsidRPr="0077615B">
        <w:rPr>
          <w:szCs w:val="22"/>
        </w:rPr>
        <w:t>é</w:t>
      </w:r>
      <w:r w:rsidRPr="0077615B">
        <w:rPr>
          <w:szCs w:val="22"/>
        </w:rPr>
        <w:t>vrier 1982, une fusion avec le ministère de l'Industrie et du co</w:t>
      </w:r>
      <w:r w:rsidRPr="0077615B">
        <w:rPr>
          <w:szCs w:val="22"/>
        </w:rPr>
        <w:t>m</w:t>
      </w:r>
      <w:r w:rsidRPr="0077615B">
        <w:rPr>
          <w:szCs w:val="22"/>
        </w:rPr>
        <w:t>merce au ministère de l'Expansion industrielle régionale (MEIR) et le début d'u</w:t>
      </w:r>
      <w:r>
        <w:rPr>
          <w:szCs w:val="22"/>
        </w:rPr>
        <w:t>ne période marquée par les méga</w:t>
      </w:r>
      <w:r w:rsidRPr="0077615B">
        <w:rPr>
          <w:szCs w:val="22"/>
        </w:rPr>
        <w:t>projets dans le domaine de l'énergie et des ressources et par la prolifération des initiatives locales devant assurer la présence</w:t>
      </w:r>
      <w:r>
        <w:rPr>
          <w:szCs w:val="22"/>
        </w:rPr>
        <w:t xml:space="preserve"> </w:t>
      </w:r>
      <w:r>
        <w:t xml:space="preserve">[205] </w:t>
      </w:r>
      <w:r w:rsidRPr="0077615B">
        <w:rPr>
          <w:szCs w:val="22"/>
        </w:rPr>
        <w:t>fédérale partout sur le territoire. Ce nouveau ministère doit d</w:t>
      </w:r>
      <w:r w:rsidRPr="0077615B">
        <w:rPr>
          <w:szCs w:val="22"/>
        </w:rPr>
        <w:t>é</w:t>
      </w:r>
      <w:r w:rsidRPr="0077615B">
        <w:rPr>
          <w:szCs w:val="22"/>
        </w:rPr>
        <w:t>sormais concilier la gestion de programmes à vocation sectorielle et l'admini</w:t>
      </w:r>
      <w:r w:rsidRPr="0077615B">
        <w:rPr>
          <w:szCs w:val="22"/>
        </w:rPr>
        <w:t>s</w:t>
      </w:r>
      <w:r w:rsidRPr="0077615B">
        <w:rPr>
          <w:szCs w:val="22"/>
        </w:rPr>
        <w:t>tration de programmes à vocation régionale. Parmi les no</w:t>
      </w:r>
      <w:r w:rsidRPr="0077615B">
        <w:rPr>
          <w:szCs w:val="22"/>
        </w:rPr>
        <w:t>u</w:t>
      </w:r>
      <w:r w:rsidRPr="0077615B">
        <w:rPr>
          <w:szCs w:val="22"/>
        </w:rPr>
        <w:t>veaux outils à sa disposition, on doit souligner la création en 1983 du programme de développement industriel et régional (PDIR), dont l'importance pour chacune des divisions de recensement, nouvelle unité géograph</w:t>
      </w:r>
      <w:r w:rsidRPr="0077615B">
        <w:rPr>
          <w:szCs w:val="22"/>
        </w:rPr>
        <w:t>i</w:t>
      </w:r>
      <w:r w:rsidRPr="0077615B">
        <w:rPr>
          <w:szCs w:val="22"/>
        </w:rPr>
        <w:t>que de référence, dépend de la situation du marché du travail, des r</w:t>
      </w:r>
      <w:r w:rsidRPr="0077615B">
        <w:rPr>
          <w:szCs w:val="22"/>
        </w:rPr>
        <w:t>e</w:t>
      </w:r>
      <w:r w:rsidRPr="0077615B">
        <w:rPr>
          <w:szCs w:val="22"/>
        </w:rPr>
        <w:t>venus par habitant et de la capacité financière de la pr</w:t>
      </w:r>
      <w:r w:rsidRPr="0077615B">
        <w:rPr>
          <w:szCs w:val="22"/>
        </w:rPr>
        <w:t>o</w:t>
      </w:r>
      <w:r w:rsidRPr="0077615B">
        <w:rPr>
          <w:szCs w:val="22"/>
        </w:rPr>
        <w:t>vince où elle est située</w:t>
      </w:r>
      <w:r>
        <w:rPr>
          <w:szCs w:val="22"/>
        </w:rPr>
        <w:t> </w:t>
      </w:r>
      <w:r w:rsidRPr="00D756DB">
        <w:rPr>
          <w:rStyle w:val="Appelnotedebasdep"/>
        </w:rPr>
        <w:footnoteReference w:id="357"/>
      </w:r>
      <w:r w:rsidRPr="0077615B">
        <w:rPr>
          <w:szCs w:val="22"/>
        </w:rPr>
        <w:t>.</w:t>
      </w:r>
    </w:p>
    <w:p w:rsidR="00AD690E" w:rsidRPr="0077615B" w:rsidRDefault="00AD690E" w:rsidP="00AD690E">
      <w:pPr>
        <w:spacing w:before="120" w:after="120"/>
        <w:jc w:val="both"/>
      </w:pPr>
      <w:r w:rsidRPr="0077615B">
        <w:rPr>
          <w:szCs w:val="22"/>
        </w:rPr>
        <w:t>Ces nouvelles perspectives de développement régional const</w:t>
      </w:r>
      <w:r w:rsidRPr="0077615B">
        <w:rPr>
          <w:szCs w:val="22"/>
        </w:rPr>
        <w:t>i</w:t>
      </w:r>
      <w:r w:rsidRPr="0077615B">
        <w:rPr>
          <w:szCs w:val="22"/>
        </w:rPr>
        <w:t>tuent en fait l'aboutissement d'une tendance nationaliste et centr</w:t>
      </w:r>
      <w:r w:rsidRPr="0077615B">
        <w:rPr>
          <w:szCs w:val="22"/>
        </w:rPr>
        <w:t>a</w:t>
      </w:r>
      <w:r w:rsidRPr="0077615B">
        <w:rPr>
          <w:szCs w:val="22"/>
        </w:rPr>
        <w:t>lisatrice énoncée dès les premiers instants de l'arrivée de Pierre Elliott Trudeau à la tête du gouvernement fédéral. Elles coïncident avec une conce</w:t>
      </w:r>
      <w:r w:rsidRPr="0077615B">
        <w:rPr>
          <w:szCs w:val="22"/>
        </w:rPr>
        <w:t>p</w:t>
      </w:r>
      <w:r w:rsidRPr="0077615B">
        <w:rPr>
          <w:szCs w:val="22"/>
        </w:rPr>
        <w:t>tion du fédéralisme qui conduit ultimement à une intégration des r</w:t>
      </w:r>
      <w:r w:rsidRPr="0077615B">
        <w:rPr>
          <w:szCs w:val="22"/>
        </w:rPr>
        <w:t>é</w:t>
      </w:r>
      <w:r w:rsidRPr="0077615B">
        <w:rPr>
          <w:szCs w:val="22"/>
        </w:rPr>
        <w:t>gions (provinces). C'est pourquoi elles ont donné lieu à de nombreuses critiques dont certaines s'inquiètent de l'impact de cette nouvelle orientation sur les régions sous-développées. À ce propos, le Comité sénatorial permanent des finances nationales affirmait :</w:t>
      </w:r>
    </w:p>
    <w:p w:rsidR="00AD690E" w:rsidRPr="00624090" w:rsidRDefault="00AD690E" w:rsidP="00AD690E">
      <w:pPr>
        <w:pStyle w:val="Grillecouleur-Accent1"/>
        <w:rPr>
          <w:sz w:val="20"/>
        </w:rPr>
      </w:pPr>
    </w:p>
    <w:p w:rsidR="00AD690E" w:rsidRPr="000217F5" w:rsidRDefault="00AD690E" w:rsidP="00AD690E">
      <w:pPr>
        <w:pStyle w:val="Grillecouleur-Accent1"/>
        <w:rPr>
          <w:i/>
        </w:rPr>
      </w:pPr>
      <w:r w:rsidRPr="00B571D9">
        <w:t>Dans l'état de choses précédent, les régions avaient un défenseur au gouvernement, c'était le ministère fédéral de l'Expansion économique r</w:t>
      </w:r>
      <w:r w:rsidRPr="00B571D9">
        <w:t>é</w:t>
      </w:r>
      <w:r w:rsidRPr="00B571D9">
        <w:t>gionale. Maintenant que ce ministère a été dispersé, que son mandat pol</w:t>
      </w:r>
      <w:r w:rsidRPr="00B571D9">
        <w:t>i</w:t>
      </w:r>
      <w:r w:rsidRPr="00B571D9">
        <w:t>tique a été transféré au DEDER et que la mise en œuvre des pr</w:t>
      </w:r>
      <w:r w:rsidRPr="00B571D9">
        <w:t>o</w:t>
      </w:r>
      <w:r w:rsidRPr="00B571D9">
        <w:t>grammes est désormais la responsabilité du MEIR, qui va prendre à son compte, au sein du Cabinet, la cause des régions sous-développées ? Les ministres responsables du D</w:t>
      </w:r>
      <w:r w:rsidRPr="00B571D9">
        <w:t>E</w:t>
      </w:r>
      <w:r w:rsidRPr="00B571D9">
        <w:t>DER et du MEIR ont l'un et l'autre des responsabilités divisées et l'accent mis sur l'aspect régional dans la déclaration gouvern</w:t>
      </w:r>
      <w:r w:rsidRPr="00B571D9">
        <w:t>e</w:t>
      </w:r>
      <w:r w:rsidRPr="00B571D9">
        <w:t>mentale indique la ferme volonté du gouvernement de recevoir le crédit des initiatives fédér</w:t>
      </w:r>
      <w:r w:rsidRPr="00B571D9">
        <w:t>a</w:t>
      </w:r>
      <w:r w:rsidRPr="00B571D9">
        <w:t>les dans les provinces</w:t>
      </w:r>
      <w:r>
        <w:t> </w:t>
      </w:r>
      <w:r w:rsidRPr="00D756DB">
        <w:rPr>
          <w:rStyle w:val="Appelnotedebasdep"/>
          <w:szCs w:val="18"/>
        </w:rPr>
        <w:footnoteReference w:id="358"/>
      </w:r>
      <w:r w:rsidRPr="00B571D9">
        <w:t>.</w:t>
      </w:r>
    </w:p>
    <w:p w:rsidR="00AD690E" w:rsidRPr="00624090" w:rsidRDefault="00AD690E" w:rsidP="00AD690E">
      <w:pPr>
        <w:jc w:val="both"/>
        <w:rPr>
          <w:bCs/>
          <w:sz w:val="20"/>
          <w:szCs w:val="22"/>
        </w:rPr>
      </w:pPr>
    </w:p>
    <w:p w:rsidR="00AD690E" w:rsidRPr="00B571D9" w:rsidRDefault="00AD690E" w:rsidP="00AD690E">
      <w:pPr>
        <w:pStyle w:val="a"/>
      </w:pPr>
      <w:r w:rsidRPr="00B571D9">
        <w:t>L'impact régional des autres politiques fédérales</w:t>
      </w:r>
    </w:p>
    <w:p w:rsidR="00AD690E" w:rsidRPr="00624090" w:rsidRDefault="00AD690E" w:rsidP="00AD690E">
      <w:pPr>
        <w:jc w:val="both"/>
        <w:rPr>
          <w:bCs/>
          <w:sz w:val="20"/>
          <w:szCs w:val="22"/>
        </w:rPr>
      </w:pPr>
    </w:p>
    <w:p w:rsidR="00AD690E" w:rsidRPr="0077615B" w:rsidRDefault="00AD690E" w:rsidP="00AD690E">
      <w:pPr>
        <w:spacing w:before="120" w:after="120"/>
        <w:jc w:val="both"/>
      </w:pPr>
      <w:r w:rsidRPr="0077615B">
        <w:rPr>
          <w:szCs w:val="22"/>
        </w:rPr>
        <w:t>Le gouvernement central au Canada dispose d'autres moyens d'i</w:t>
      </w:r>
      <w:r w:rsidRPr="0077615B">
        <w:rPr>
          <w:szCs w:val="22"/>
        </w:rPr>
        <w:t>n</w:t>
      </w:r>
      <w:r w:rsidRPr="0077615B">
        <w:rPr>
          <w:szCs w:val="22"/>
        </w:rPr>
        <w:t>tervention dont les répercussions sur le développement des régions ne sont pas uniformes, même si l'impact régional reste dans plusieurs cas mal connu. Les stratèges libéraux ont d'ailleurs toujours été conscients de cette différenciation dans l'incidence des politiques fédérales bien que leur attitude ait parfois donné l'impression de nier</w:t>
      </w:r>
      <w:r>
        <w:rPr>
          <w:szCs w:val="22"/>
        </w:rPr>
        <w:t xml:space="preserve"> </w:t>
      </w:r>
      <w:r>
        <w:rPr>
          <w:szCs w:val="18"/>
        </w:rPr>
        <w:t>[</w:t>
      </w:r>
      <w:r w:rsidRPr="0077615B">
        <w:rPr>
          <w:szCs w:val="18"/>
        </w:rPr>
        <w:t>206</w:t>
      </w:r>
      <w:r>
        <w:rPr>
          <w:szCs w:val="18"/>
        </w:rPr>
        <w:t xml:space="preserve">] </w:t>
      </w:r>
      <w:r w:rsidRPr="0077615B">
        <w:rPr>
          <w:szCs w:val="22"/>
        </w:rPr>
        <w:t>cette r</w:t>
      </w:r>
      <w:r w:rsidRPr="0077615B">
        <w:rPr>
          <w:szCs w:val="22"/>
        </w:rPr>
        <w:t>é</w:t>
      </w:r>
      <w:r w:rsidRPr="0077615B">
        <w:rPr>
          <w:szCs w:val="22"/>
        </w:rPr>
        <w:t>alité. C'est ce qui s'est passé par exemple dans le domaine des polit</w:t>
      </w:r>
      <w:r w:rsidRPr="0077615B">
        <w:rPr>
          <w:szCs w:val="22"/>
        </w:rPr>
        <w:t>i</w:t>
      </w:r>
      <w:r w:rsidRPr="0077615B">
        <w:rPr>
          <w:szCs w:val="22"/>
        </w:rPr>
        <w:t>ques de stabilisation.</w:t>
      </w:r>
    </w:p>
    <w:p w:rsidR="00AD690E" w:rsidRPr="0077615B" w:rsidRDefault="00AD690E" w:rsidP="00AD690E">
      <w:pPr>
        <w:spacing w:before="120" w:after="120"/>
        <w:jc w:val="both"/>
      </w:pPr>
      <w:r w:rsidRPr="0077615B">
        <w:rPr>
          <w:szCs w:val="22"/>
        </w:rPr>
        <w:t>Étant donné les différences très importantes dans la structure éc</w:t>
      </w:r>
      <w:r w:rsidRPr="0077615B">
        <w:rPr>
          <w:szCs w:val="22"/>
        </w:rPr>
        <w:t>o</w:t>
      </w:r>
      <w:r w:rsidRPr="0077615B">
        <w:rPr>
          <w:szCs w:val="22"/>
        </w:rPr>
        <w:t>nomique de chaque région, non seulement à l'égard de la structure i</w:t>
      </w:r>
      <w:r w:rsidRPr="0077615B">
        <w:rPr>
          <w:szCs w:val="22"/>
        </w:rPr>
        <w:t>n</w:t>
      </w:r>
      <w:r w:rsidRPr="0077615B">
        <w:rPr>
          <w:szCs w:val="22"/>
        </w:rPr>
        <w:t>dustrielle et du taux variable d'ouverture sur les ma</w:t>
      </w:r>
      <w:r w:rsidRPr="0077615B">
        <w:rPr>
          <w:szCs w:val="22"/>
        </w:rPr>
        <w:t>r</w:t>
      </w:r>
      <w:r w:rsidRPr="0077615B">
        <w:rPr>
          <w:szCs w:val="22"/>
        </w:rPr>
        <w:t>chés extra-régionaux mais aussi au niveau de la taille des entr</w:t>
      </w:r>
      <w:r w:rsidRPr="0077615B">
        <w:rPr>
          <w:szCs w:val="22"/>
        </w:rPr>
        <w:t>e</w:t>
      </w:r>
      <w:r w:rsidRPr="0077615B">
        <w:rPr>
          <w:szCs w:val="22"/>
        </w:rPr>
        <w:t>prises et même de la structure de consommation, il faut s'attendre à ce que les politiques fiscales et monétaires d'inspiration keynésienne adoptées par le go</w:t>
      </w:r>
      <w:r w:rsidRPr="0077615B">
        <w:rPr>
          <w:szCs w:val="22"/>
        </w:rPr>
        <w:t>u</w:t>
      </w:r>
      <w:r w:rsidRPr="0077615B">
        <w:rPr>
          <w:szCs w:val="22"/>
        </w:rPr>
        <w:t>vernement fédéral aient un effet diff</w:t>
      </w:r>
      <w:r w:rsidRPr="0077615B">
        <w:rPr>
          <w:szCs w:val="22"/>
        </w:rPr>
        <w:t>é</w:t>
      </w:r>
      <w:r w:rsidRPr="0077615B">
        <w:rPr>
          <w:szCs w:val="22"/>
        </w:rPr>
        <w:t>rent d'une région à l'autre. C'est pourquoi le Conseil économique du Canada recommandait, entre a</w:t>
      </w:r>
      <w:r w:rsidRPr="0077615B">
        <w:rPr>
          <w:szCs w:val="22"/>
        </w:rPr>
        <w:t>u</w:t>
      </w:r>
      <w:r w:rsidRPr="0077615B">
        <w:rPr>
          <w:szCs w:val="22"/>
        </w:rPr>
        <w:t>tres, en 1977, que « les mes</w:t>
      </w:r>
      <w:r w:rsidRPr="0077615B">
        <w:rPr>
          <w:szCs w:val="22"/>
        </w:rPr>
        <w:t>u</w:t>
      </w:r>
      <w:r w:rsidRPr="0077615B">
        <w:rPr>
          <w:szCs w:val="22"/>
        </w:rPr>
        <w:t>res fiscales utilisées par le gouvernement fédéral à des fins de stabilisation soient combinées de telle façon que la proportion de la demande nationale allant aux régions à chômage élevé en soit accrue »</w:t>
      </w:r>
      <w:r>
        <w:rPr>
          <w:szCs w:val="22"/>
        </w:rPr>
        <w:t> </w:t>
      </w:r>
      <w:r w:rsidRPr="00D756DB">
        <w:rPr>
          <w:rStyle w:val="Appelnotedebasdep"/>
        </w:rPr>
        <w:footnoteReference w:id="359"/>
      </w:r>
      <w:r w:rsidRPr="0077615B">
        <w:rPr>
          <w:szCs w:val="22"/>
        </w:rPr>
        <w:t>. Quelques efforts ponctuels ont bien été faits, mais les exposés budgétaires annuels sont toujours demeurés avares de détails sur cette dimension et les maigres résultats obtenus perme</w:t>
      </w:r>
      <w:r w:rsidRPr="0077615B">
        <w:rPr>
          <w:szCs w:val="22"/>
        </w:rPr>
        <w:t>t</w:t>
      </w:r>
      <w:r w:rsidRPr="0077615B">
        <w:rPr>
          <w:szCs w:val="22"/>
        </w:rPr>
        <w:t>tent de douter de l'importance qui leur a été donnée. Car l'inefficacité des politiques fédérales de stabilisation du point de vue régional et ce, plus particulièrement au Québec, a fait l'objet de nombreuses analyses dont la plus documentée est celle de L</w:t>
      </w:r>
      <w:r w:rsidRPr="0077615B">
        <w:rPr>
          <w:szCs w:val="22"/>
        </w:rPr>
        <w:t>a</w:t>
      </w:r>
      <w:r w:rsidRPr="0077615B">
        <w:rPr>
          <w:szCs w:val="22"/>
        </w:rPr>
        <w:t>croix et Rabeau. Leur étude s'intéresse surtout aux dépenses de formation brute de capital fixe en raison de leur non-récurrence, de la valeur élevée de leur multiplic</w:t>
      </w:r>
      <w:r w:rsidRPr="0077615B">
        <w:rPr>
          <w:szCs w:val="22"/>
        </w:rPr>
        <w:t>a</w:t>
      </w:r>
      <w:r w:rsidRPr="0077615B">
        <w:rPr>
          <w:szCs w:val="22"/>
        </w:rPr>
        <w:t>teur local et de leur potentiel d'effet structurant, tout en reconnaissant le rôle important joué par les stabilisateurs automatiques que sont par exemple les prestations d'assurance-chômage. Or les conclusions t</w:t>
      </w:r>
      <w:r w:rsidRPr="0077615B">
        <w:rPr>
          <w:szCs w:val="22"/>
        </w:rPr>
        <w:t>i</w:t>
      </w:r>
      <w:r w:rsidRPr="0077615B">
        <w:rPr>
          <w:szCs w:val="22"/>
        </w:rPr>
        <w:t>rées par ces auteurs sont dès sévères pour les responsables gouvern</w:t>
      </w:r>
      <w:r w:rsidRPr="0077615B">
        <w:rPr>
          <w:szCs w:val="22"/>
        </w:rPr>
        <w:t>e</w:t>
      </w:r>
      <w:r w:rsidRPr="0077615B">
        <w:rPr>
          <w:szCs w:val="22"/>
        </w:rPr>
        <w:t>mentaux :</w:t>
      </w:r>
    </w:p>
    <w:p w:rsidR="00AD690E" w:rsidRDefault="00AD690E" w:rsidP="00AD690E">
      <w:pPr>
        <w:pStyle w:val="Grillecouleur-Accent1"/>
      </w:pPr>
    </w:p>
    <w:p w:rsidR="00AD690E" w:rsidRDefault="00AD690E" w:rsidP="00AD690E">
      <w:pPr>
        <w:pStyle w:val="Grillecouleur-Accent1"/>
        <w:rPr>
          <w:i/>
        </w:rPr>
      </w:pPr>
      <w:r w:rsidRPr="001527EC">
        <w:t>Le manque d'adéquation entre la politique fiscale du gouvernement ce</w:t>
      </w:r>
      <w:r w:rsidRPr="001527EC">
        <w:t>n</w:t>
      </w:r>
      <w:r w:rsidRPr="001527EC">
        <w:t>tral et les besoins de stabilisation de l'économie du Québec ne viennent pas uniquement de l'absence d'une régionalisation de la politique de stab</w:t>
      </w:r>
      <w:r w:rsidRPr="001527EC">
        <w:t>i</w:t>
      </w:r>
      <w:r w:rsidRPr="001527EC">
        <w:t>lisation mais aussi de sa mauvaise orientation au niveau macroéconom</w:t>
      </w:r>
      <w:r w:rsidRPr="001527EC">
        <w:t>i</w:t>
      </w:r>
      <w:r w:rsidRPr="001527EC">
        <w:t>que</w:t>
      </w:r>
      <w:r>
        <w:t> </w:t>
      </w:r>
      <w:r w:rsidRPr="00D756DB">
        <w:rPr>
          <w:rStyle w:val="Appelnotedebasdep"/>
          <w:szCs w:val="18"/>
        </w:rPr>
        <w:footnoteReference w:id="360"/>
      </w:r>
      <w:r w:rsidRPr="001527EC">
        <w:t>.</w:t>
      </w:r>
    </w:p>
    <w:p w:rsidR="00AD690E" w:rsidRPr="000217F5" w:rsidRDefault="00AD690E" w:rsidP="00AD690E">
      <w:pPr>
        <w:spacing w:before="120" w:after="120"/>
        <w:ind w:left="567" w:firstLine="284"/>
        <w:jc w:val="both"/>
        <w:rPr>
          <w:i/>
        </w:rPr>
      </w:pPr>
    </w:p>
    <w:p w:rsidR="00AD690E" w:rsidRPr="0077615B" w:rsidRDefault="00AD690E" w:rsidP="00AD690E">
      <w:pPr>
        <w:spacing w:before="120" w:after="120"/>
        <w:jc w:val="both"/>
      </w:pPr>
      <w:r w:rsidRPr="0077615B">
        <w:rPr>
          <w:szCs w:val="22"/>
        </w:rPr>
        <w:t>Pour être équitable, il faut ajouter que les gouvernements provi</w:t>
      </w:r>
      <w:r w:rsidRPr="0077615B">
        <w:rPr>
          <w:szCs w:val="22"/>
        </w:rPr>
        <w:t>n</w:t>
      </w:r>
      <w:r w:rsidRPr="0077615B">
        <w:rPr>
          <w:szCs w:val="22"/>
        </w:rPr>
        <w:t>ciaux ne sont pas épargnés pour autant dans cette analyse puisqu'on y montre combien l'orientation de la politique fiscale du Québec a été souvent procyclique et a même renforcé, à l'occasion, les effets nég</w:t>
      </w:r>
      <w:r w:rsidRPr="0077615B">
        <w:rPr>
          <w:szCs w:val="22"/>
        </w:rPr>
        <w:t>a</w:t>
      </w:r>
      <w:r w:rsidRPr="0077615B">
        <w:rPr>
          <w:szCs w:val="22"/>
        </w:rPr>
        <w:t>tifs de la politique fédérale.</w:t>
      </w:r>
    </w:p>
    <w:p w:rsidR="00AD690E" w:rsidRPr="0077615B" w:rsidRDefault="00AD690E" w:rsidP="00AD690E">
      <w:pPr>
        <w:spacing w:before="120" w:after="120"/>
        <w:jc w:val="both"/>
      </w:pPr>
      <w:r w:rsidRPr="0077615B">
        <w:rPr>
          <w:szCs w:val="22"/>
        </w:rPr>
        <w:t>L'une des justifications courantes d'un tel comportement des pr</w:t>
      </w:r>
      <w:r w:rsidRPr="0077615B">
        <w:rPr>
          <w:szCs w:val="22"/>
        </w:rPr>
        <w:t>o</w:t>
      </w:r>
      <w:r w:rsidRPr="0077615B">
        <w:rPr>
          <w:szCs w:val="22"/>
        </w:rPr>
        <w:t>vinces tient au fait que ces administrations ne disposent pas de cond</w:t>
      </w:r>
      <w:r w:rsidRPr="0077615B">
        <w:rPr>
          <w:szCs w:val="22"/>
        </w:rPr>
        <w:t>i</w:t>
      </w:r>
      <w:r w:rsidRPr="0077615B">
        <w:rPr>
          <w:szCs w:val="22"/>
        </w:rPr>
        <w:t>tions de financement aussi intéressantes que ce que permet au pouvoir central l'accès privilégié à la Banque du Canada. Or, le projet d'une Caisse fédérale de</w:t>
      </w:r>
      <w:r>
        <w:rPr>
          <w:szCs w:val="22"/>
        </w:rPr>
        <w:t xml:space="preserve"> </w:t>
      </w:r>
      <w:r>
        <w:t xml:space="preserve">[207] </w:t>
      </w:r>
      <w:r w:rsidRPr="0077615B">
        <w:rPr>
          <w:szCs w:val="22"/>
        </w:rPr>
        <w:t>stabilisation régionale pour les provinces, proposé par Raynauld</w:t>
      </w:r>
      <w:r>
        <w:rPr>
          <w:szCs w:val="22"/>
          <w:vertAlign w:val="superscript"/>
        </w:rPr>
        <w:t xml:space="preserve"> </w:t>
      </w:r>
      <w:r>
        <w:rPr>
          <w:rStyle w:val="Appelnotedebasdep"/>
          <w:vertAlign w:val="superscript"/>
        </w:rPr>
        <w:footnoteReference w:id="361"/>
      </w:r>
      <w:r w:rsidRPr="0077615B">
        <w:rPr>
          <w:szCs w:val="22"/>
        </w:rPr>
        <w:t xml:space="preserve"> en 1971, ou celui, plus récent, d'un Fonds de stabilisation suggéré par Lacroix et Rabeau apportaient d'intéressants changements à cet égard. Ils sont jusqu'à aujourd'hui restés sur les t</w:t>
      </w:r>
      <w:r w:rsidRPr="0077615B">
        <w:rPr>
          <w:szCs w:val="22"/>
        </w:rPr>
        <w:t>a</w:t>
      </w:r>
      <w:r w:rsidRPr="0077615B">
        <w:rPr>
          <w:szCs w:val="22"/>
        </w:rPr>
        <w:t>blettes.</w:t>
      </w:r>
    </w:p>
    <w:p w:rsidR="00AD690E" w:rsidRPr="0077615B" w:rsidRDefault="00AD690E" w:rsidP="00AD690E">
      <w:pPr>
        <w:spacing w:before="120" w:after="120"/>
        <w:jc w:val="both"/>
      </w:pPr>
      <w:r w:rsidRPr="0077615B">
        <w:rPr>
          <w:szCs w:val="22"/>
        </w:rPr>
        <w:t>Le système de péréquation mis en place au milieu des années 1950 poursuit en revanche des objectifs régionaux explicites et le Canada se distingue à cet égard des autres pays à structure fédérale, du moins en ce qui concerne l'ampleur des sommes impliquées. Le groupe de tr</w:t>
      </w:r>
      <w:r w:rsidRPr="0077615B">
        <w:rPr>
          <w:szCs w:val="22"/>
        </w:rPr>
        <w:t>a</w:t>
      </w:r>
      <w:r w:rsidRPr="0077615B">
        <w:rPr>
          <w:szCs w:val="22"/>
        </w:rPr>
        <w:t>vail de l'OCDE déjà cité conclut à cet égard :</w:t>
      </w:r>
    </w:p>
    <w:p w:rsidR="00AD690E" w:rsidRDefault="00AD690E" w:rsidP="00AD690E">
      <w:pPr>
        <w:pStyle w:val="Grillecouleur-Accent1"/>
      </w:pPr>
    </w:p>
    <w:p w:rsidR="00AD690E" w:rsidRDefault="00AD690E" w:rsidP="00AD690E">
      <w:pPr>
        <w:pStyle w:val="Grillecouleur-Accent1"/>
      </w:pPr>
      <w:r w:rsidRPr="004571B2">
        <w:t>Le système de péréquation budgétaire, qui a des équivalents dans d'a</w:t>
      </w:r>
      <w:r w:rsidRPr="004571B2">
        <w:t>u</w:t>
      </w:r>
      <w:r w:rsidRPr="004571B2">
        <w:t>tres pays, est par son ampleur, c'est-à-dire par le volume des d</w:t>
      </w:r>
      <w:r w:rsidRPr="004571B2">
        <w:t>é</w:t>
      </w:r>
      <w:r w:rsidRPr="004571B2">
        <w:t>penses, quatre fois plus important que le programme annuel courant du ministère de l'Expansion économique régionale et il semble avoir contribué dava</w:t>
      </w:r>
      <w:r w:rsidRPr="004571B2">
        <w:t>n</w:t>
      </w:r>
      <w:r w:rsidRPr="004571B2">
        <w:t>tage que la politique régionale à réduire les disparités de revenu entre r</w:t>
      </w:r>
      <w:r w:rsidRPr="004571B2">
        <w:t>é</w:t>
      </w:r>
      <w:r w:rsidRPr="004571B2">
        <w:t>gions... Il porte plutôt sur les effets de l'inégalité des ressources entre les provinces et, à l'évidence, ne saurait remplacer une politique active de d</w:t>
      </w:r>
      <w:r w:rsidRPr="004571B2">
        <w:t>é</w:t>
      </w:r>
      <w:r w:rsidRPr="004571B2">
        <w:t>veloppement di</w:t>
      </w:r>
      <w:r w:rsidRPr="004571B2">
        <w:t>f</w:t>
      </w:r>
      <w:r w:rsidRPr="004571B2">
        <w:t>férenciée</w:t>
      </w:r>
      <w:r>
        <w:t> </w:t>
      </w:r>
      <w:r w:rsidRPr="00624090">
        <w:rPr>
          <w:rStyle w:val="Appelnotedebasdep"/>
          <w:szCs w:val="18"/>
        </w:rPr>
        <w:footnoteReference w:id="362"/>
      </w:r>
      <w:r w:rsidRPr="004571B2">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Le gouvernement fédéral possède en tout l'entière juridiction sur la politique commerciale du Canada et comme l'économie canadienne est aujourd'hui encore reconnue comme l'une des plus protectionnistes dans l'ensemble des pays industrialisés, c'est donc un levier important pour l'État central. Étant donné par ailleurs la diversité des économies régionales, la structure tarifaire et la combinaison choisie de barrières non tarifaires s'avèrent importantes pour chacune des régions. La pol</w:t>
      </w:r>
      <w:r w:rsidRPr="0077615B">
        <w:rPr>
          <w:szCs w:val="22"/>
        </w:rPr>
        <w:t>i</w:t>
      </w:r>
      <w:r w:rsidRPr="0077615B">
        <w:rPr>
          <w:szCs w:val="22"/>
        </w:rPr>
        <w:t>tique commerciale est en fait l'un des principaux instruments du go</w:t>
      </w:r>
      <w:r w:rsidRPr="0077615B">
        <w:rPr>
          <w:szCs w:val="22"/>
        </w:rPr>
        <w:t>u</w:t>
      </w:r>
      <w:r w:rsidRPr="0077615B">
        <w:rPr>
          <w:szCs w:val="22"/>
        </w:rPr>
        <w:t>vernement fédéral ne nécessitant ni dépenses publiques ni modific</w:t>
      </w:r>
      <w:r w:rsidRPr="0077615B">
        <w:rPr>
          <w:szCs w:val="22"/>
        </w:rPr>
        <w:t>a</w:t>
      </w:r>
      <w:r w:rsidRPr="0077615B">
        <w:rPr>
          <w:szCs w:val="22"/>
        </w:rPr>
        <w:t>tion des opérations fiscales ou monétaires, ce qu'on appelé des « décisions pures ». Or, selon Martin,</w:t>
      </w:r>
    </w:p>
    <w:p w:rsidR="00AD690E" w:rsidRDefault="00AD690E" w:rsidP="00AD690E">
      <w:pPr>
        <w:pStyle w:val="Grillecouleur-Accent1"/>
      </w:pPr>
    </w:p>
    <w:p w:rsidR="00AD690E" w:rsidRDefault="00AD690E" w:rsidP="00AD690E">
      <w:pPr>
        <w:pStyle w:val="Grillecouleur-Accent1"/>
      </w:pPr>
      <w:r w:rsidRPr="00C93E0C">
        <w:t>On comprend d'une manière intuitive, toutes choses égales par ai</w:t>
      </w:r>
      <w:r w:rsidRPr="00C93E0C">
        <w:t>l</w:t>
      </w:r>
      <w:r w:rsidRPr="00C93E0C">
        <w:t>leurs, que dans notre économie diversifiée, les régions étant fort di</w:t>
      </w:r>
      <w:r w:rsidRPr="00C93E0C">
        <w:t>s</w:t>
      </w:r>
      <w:r w:rsidRPr="00C93E0C">
        <w:t>tantes les unes des autres, les décisions pures du gouvernement possèdent, sur une base r</w:t>
      </w:r>
      <w:r w:rsidRPr="00C93E0C">
        <w:t>é</w:t>
      </w:r>
      <w:r w:rsidRPr="00C93E0C">
        <w:t>gionale, une efficacité bien plus grande que les politiques générales eng</w:t>
      </w:r>
      <w:r w:rsidRPr="00C93E0C">
        <w:t>a</w:t>
      </w:r>
      <w:r w:rsidRPr="00C93E0C">
        <w:t>geant des dépenses</w:t>
      </w:r>
      <w:r>
        <w:t> </w:t>
      </w:r>
      <w:r>
        <w:rPr>
          <w:rStyle w:val="Appelnotedebasdep"/>
          <w:szCs w:val="18"/>
        </w:rPr>
        <w:footnoteReference w:id="363"/>
      </w:r>
      <w:r w:rsidRPr="00C93E0C">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Le gouvernement a toujours été très conscient d'un tel pouvoir et c'est pourquoi malgré quelques discours aux accents libre-échangistes — credo libéral</w:t>
      </w:r>
      <w:r>
        <w:rPr>
          <w:szCs w:val="22"/>
        </w:rPr>
        <w:t xml:space="preserve"> </w:t>
      </w:r>
      <w:r>
        <w:rPr>
          <w:szCs w:val="18"/>
        </w:rPr>
        <w:t>[</w:t>
      </w:r>
      <w:r w:rsidRPr="0077615B">
        <w:rPr>
          <w:szCs w:val="18"/>
        </w:rPr>
        <w:t>208</w:t>
      </w:r>
      <w:r>
        <w:rPr>
          <w:szCs w:val="18"/>
        </w:rPr>
        <w:t xml:space="preserve">] </w:t>
      </w:r>
      <w:r w:rsidRPr="0077615B">
        <w:rPr>
          <w:szCs w:val="22"/>
        </w:rPr>
        <w:t>oblige — le protectionnisme canadien qui, déjà sous John A. MacD</w:t>
      </w:r>
      <w:r w:rsidRPr="0077615B">
        <w:rPr>
          <w:szCs w:val="22"/>
        </w:rPr>
        <w:t>o</w:t>
      </w:r>
      <w:r w:rsidRPr="0077615B">
        <w:rPr>
          <w:szCs w:val="22"/>
        </w:rPr>
        <w:t>nald avait servi à jeter les fondements du pays, est demeuré en place jusque sous les libéraux de Pierre Elliott Tr</w:t>
      </w:r>
      <w:r w:rsidRPr="0077615B">
        <w:rPr>
          <w:szCs w:val="22"/>
        </w:rPr>
        <w:t>u</w:t>
      </w:r>
      <w:r w:rsidRPr="0077615B">
        <w:rPr>
          <w:szCs w:val="22"/>
        </w:rPr>
        <w:t>deau, si l'on fait exception des changements réalisés à l'échelle de tous les pays indu</w:t>
      </w:r>
      <w:r w:rsidRPr="0077615B">
        <w:rPr>
          <w:szCs w:val="22"/>
        </w:rPr>
        <w:t>s</w:t>
      </w:r>
      <w:r w:rsidRPr="0077615B">
        <w:rPr>
          <w:szCs w:val="22"/>
        </w:rPr>
        <w:t>triels en vertu des accords du GATT. La thèse du libre-échange n'a en fait servi qu'à pourfendre les « provinciaux » qui vo</w:t>
      </w:r>
      <w:r w:rsidRPr="0077615B">
        <w:rPr>
          <w:szCs w:val="22"/>
        </w:rPr>
        <w:t>u</w:t>
      </w:r>
      <w:r w:rsidRPr="0077615B">
        <w:rPr>
          <w:szCs w:val="22"/>
        </w:rPr>
        <w:t>laient à leurs yeux « balkaniser » le pays.</w:t>
      </w:r>
    </w:p>
    <w:p w:rsidR="00AD690E" w:rsidRPr="0077615B" w:rsidRDefault="00AD690E" w:rsidP="00AD690E">
      <w:pPr>
        <w:spacing w:before="120" w:after="120"/>
        <w:jc w:val="both"/>
      </w:pPr>
      <w:r w:rsidRPr="0077615B">
        <w:rPr>
          <w:szCs w:val="22"/>
        </w:rPr>
        <w:t>Car les bénéfices sectoriels et régionaux que peut conférer une p</w:t>
      </w:r>
      <w:r w:rsidRPr="0077615B">
        <w:rPr>
          <w:szCs w:val="22"/>
        </w:rPr>
        <w:t>o</w:t>
      </w:r>
      <w:r w:rsidRPr="0077615B">
        <w:rPr>
          <w:szCs w:val="22"/>
        </w:rPr>
        <w:t>litique commerciale ont souvent permis de consolider les appuis éle</w:t>
      </w:r>
      <w:r w:rsidRPr="0077615B">
        <w:rPr>
          <w:szCs w:val="22"/>
        </w:rPr>
        <w:t>c</w:t>
      </w:r>
      <w:r w:rsidRPr="0077615B">
        <w:rPr>
          <w:szCs w:val="22"/>
        </w:rPr>
        <w:t>toraux. Ainsi l'accord canado-américain sur les produits de l'autom</w:t>
      </w:r>
      <w:r w:rsidRPr="0077615B">
        <w:rPr>
          <w:szCs w:val="22"/>
        </w:rPr>
        <w:t>o</w:t>
      </w:r>
      <w:r w:rsidRPr="0077615B">
        <w:rPr>
          <w:szCs w:val="22"/>
        </w:rPr>
        <w:t>bile a eu depuis 1965 un impact très important sur l'économie du pays mais ses effets en termes de croissance du PIB se sont presque enti</w:t>
      </w:r>
      <w:r w:rsidRPr="0077615B">
        <w:rPr>
          <w:szCs w:val="22"/>
        </w:rPr>
        <w:t>è</w:t>
      </w:r>
      <w:r w:rsidRPr="0077615B">
        <w:rPr>
          <w:szCs w:val="22"/>
        </w:rPr>
        <w:t>rement concentrés en Ontario :</w:t>
      </w:r>
    </w:p>
    <w:p w:rsidR="00AD690E" w:rsidRDefault="00AD690E" w:rsidP="00AD690E">
      <w:pPr>
        <w:pStyle w:val="Grillecouleur-Accent1"/>
      </w:pPr>
    </w:p>
    <w:p w:rsidR="00AD690E" w:rsidRDefault="00AD690E" w:rsidP="00AD690E">
      <w:pPr>
        <w:pStyle w:val="Grillecouleur-Accent1"/>
      </w:pPr>
      <w:r w:rsidRPr="00244D27">
        <w:t>L'impact annuel moyen sur le Canada pour les années choisies est de plus d'un milliard de dollars. Près de 90% de cette somme va à l'Ontario et rel</w:t>
      </w:r>
      <w:r w:rsidRPr="00244D27">
        <w:t>a</w:t>
      </w:r>
      <w:r w:rsidRPr="00244D27">
        <w:t>tivement peu au Québec et aux autres provinces (ibid., p. 390)... Ce qu'il faut conclure de ces résultats, ce n'est pas que les décisions pures possédant des caractéristiques semblables à celles de l'Accord sur l'indu</w:t>
      </w:r>
      <w:r w:rsidRPr="00244D27">
        <w:t>s</w:t>
      </w:r>
      <w:r w:rsidRPr="00244D27">
        <w:t>trie automobile ne devraient pas être appl</w:t>
      </w:r>
      <w:r w:rsidRPr="00244D27">
        <w:t>i</w:t>
      </w:r>
      <w:r w:rsidRPr="00244D27">
        <w:t>quées, mais au contraire que, à cause du succès d'une telle décision au niveau r</w:t>
      </w:r>
      <w:r w:rsidRPr="00244D27">
        <w:t>é</w:t>
      </w:r>
      <w:r w:rsidRPr="00244D27">
        <w:t>gional comme au niveau canadien, tout un assortiment de décisions de ce genre devrait être appl</w:t>
      </w:r>
      <w:r w:rsidRPr="00244D27">
        <w:t>i</w:t>
      </w:r>
      <w:r w:rsidRPr="00244D27">
        <w:t>qué dans les diverses régions</w:t>
      </w:r>
      <w:r>
        <w:t> </w:t>
      </w:r>
      <w:r w:rsidRPr="00D756DB">
        <w:rPr>
          <w:rStyle w:val="Appelnotedebasdep"/>
          <w:szCs w:val="18"/>
        </w:rPr>
        <w:footnoteReference w:id="364"/>
      </w:r>
      <w:r w:rsidRPr="00244D27">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En réalité, aucune décision d'une telle portée n'a pu bénéficier à quelqu'autre région que ce soit. Pendant que se consolidait l'industrie automobile ontarienne, le gouvernement fédéral offrait au Québec de maintenir temporairement les tarifs et quotas protégeant les produits des secteurs « mous » comme le vêtement et la chaussure aux prises avec les concurrents des pays à bas salaire. Dans les Prairies, ce sont des tarifs de transport de céréales maintenus extrêmement bas durant des décennies qui ont à la fois permis le développement d'une agr</w:t>
      </w:r>
      <w:r w:rsidRPr="0077615B">
        <w:rPr>
          <w:szCs w:val="22"/>
        </w:rPr>
        <w:t>i</w:t>
      </w:r>
      <w:r w:rsidRPr="0077615B">
        <w:rPr>
          <w:szCs w:val="22"/>
        </w:rPr>
        <w:t>culture extensive tournée vers les marchés internationaux et rendu à peu près impossible la diversification industrielle souhaitée par les gouvernements provinciaux et les milieux d'affaires locaux. À ces d</w:t>
      </w:r>
      <w:r w:rsidRPr="0077615B">
        <w:rPr>
          <w:szCs w:val="22"/>
        </w:rPr>
        <w:t>o</w:t>
      </w:r>
      <w:r w:rsidRPr="0077615B">
        <w:rPr>
          <w:szCs w:val="22"/>
        </w:rPr>
        <w:t>léances sur la politique de transports se sont ajoutées plus récemment dans ce coin du pays des condamnations sans appel de la « politique nationale de l'énergie », politique d'ailleurs révoquée dès la première année du nouveau gouvernement conservateur.</w:t>
      </w:r>
    </w:p>
    <w:p w:rsidR="00AD690E" w:rsidRDefault="00AD690E" w:rsidP="00AD690E">
      <w:pPr>
        <w:spacing w:before="120" w:after="120"/>
        <w:jc w:val="both"/>
        <w:rPr>
          <w:szCs w:val="22"/>
        </w:rPr>
      </w:pPr>
    </w:p>
    <w:p w:rsidR="00AD690E" w:rsidRPr="0077615B" w:rsidRDefault="00AD690E" w:rsidP="00AD690E">
      <w:pPr>
        <w:pStyle w:val="planche"/>
      </w:pPr>
      <w:r w:rsidRPr="0077615B">
        <w:t>UN BILAN PROVISOIRE</w:t>
      </w:r>
    </w:p>
    <w:p w:rsidR="00AD690E" w:rsidRDefault="00AD690E" w:rsidP="00AD690E">
      <w:pPr>
        <w:spacing w:before="120" w:after="120"/>
        <w:jc w:val="both"/>
        <w:rPr>
          <w:szCs w:val="22"/>
        </w:rPr>
      </w:pPr>
    </w:p>
    <w:p w:rsidR="00AD690E" w:rsidRPr="0077615B" w:rsidRDefault="00AD690E" w:rsidP="00AD690E">
      <w:pPr>
        <w:spacing w:before="120" w:after="120"/>
        <w:ind w:firstLine="0"/>
        <w:jc w:val="both"/>
      </w:pPr>
      <w:r w:rsidRPr="0077615B">
        <w:rPr>
          <w:szCs w:val="22"/>
        </w:rPr>
        <w:t>S'il n'est pas facile d'évaluer un aspect limité d'une politique régi</w:t>
      </w:r>
      <w:r w:rsidRPr="0077615B">
        <w:rPr>
          <w:szCs w:val="22"/>
        </w:rPr>
        <w:t>o</w:t>
      </w:r>
      <w:r w:rsidRPr="0077615B">
        <w:rPr>
          <w:szCs w:val="22"/>
        </w:rPr>
        <w:t>nale, que dire de la tâche de faire un bilan de l'impact régional de l'ense</w:t>
      </w:r>
      <w:r w:rsidRPr="0077615B">
        <w:rPr>
          <w:szCs w:val="22"/>
        </w:rPr>
        <w:t>m</w:t>
      </w:r>
      <w:r w:rsidRPr="0077615B">
        <w:rPr>
          <w:szCs w:val="22"/>
        </w:rPr>
        <w:t>ble des actions de gouvernements qui se sont succédés pendant près de vingt ans ? Pourtant les électeurs s'adonnent périodiquement à l'évaluation des politiques du</w:t>
      </w:r>
      <w:r>
        <w:rPr>
          <w:szCs w:val="22"/>
        </w:rPr>
        <w:t xml:space="preserve"> </w:t>
      </w:r>
      <w:r>
        <w:t xml:space="preserve">[209] </w:t>
      </w:r>
      <w:r w:rsidRPr="0077615B">
        <w:rPr>
          <w:szCs w:val="22"/>
        </w:rPr>
        <w:t>gouvernement, leur grille d'inte</w:t>
      </w:r>
      <w:r w:rsidRPr="0077615B">
        <w:rPr>
          <w:szCs w:val="22"/>
        </w:rPr>
        <w:t>r</w:t>
      </w:r>
      <w:r w:rsidRPr="0077615B">
        <w:rPr>
          <w:szCs w:val="22"/>
        </w:rPr>
        <w:t>prétation étant élaborée à partir d'une échelle de valeurs que les plus cyniques appellent les intérêts perso</w:t>
      </w:r>
      <w:r w:rsidRPr="0077615B">
        <w:rPr>
          <w:szCs w:val="22"/>
        </w:rPr>
        <w:t>n</w:t>
      </w:r>
      <w:r w:rsidRPr="0077615B">
        <w:rPr>
          <w:szCs w:val="22"/>
        </w:rPr>
        <w:t>nels et les plus naïfs, un projet de société. À titre d'observateurs nous avons tenté de rappeler et de me</w:t>
      </w:r>
      <w:r w:rsidRPr="0077615B">
        <w:rPr>
          <w:szCs w:val="22"/>
        </w:rPr>
        <w:t>t</w:t>
      </w:r>
      <w:r w:rsidRPr="0077615B">
        <w:rPr>
          <w:szCs w:val="22"/>
        </w:rPr>
        <w:t>tre en perspective les principaux éléments de la politique régionale sous les libéraux fédéraux. Nous avons également cherché à établir les relations qui existaient entre ces éléments et un projet politique global caractérisé par des visées centr</w:t>
      </w:r>
      <w:r w:rsidRPr="0077615B">
        <w:rPr>
          <w:szCs w:val="22"/>
        </w:rPr>
        <w:t>a</w:t>
      </w:r>
      <w:r w:rsidRPr="0077615B">
        <w:rPr>
          <w:szCs w:val="22"/>
        </w:rPr>
        <w:t>lisatrices — une intégration autoritaire des régions — et un pragm</w:t>
      </w:r>
      <w:r w:rsidRPr="0077615B">
        <w:rPr>
          <w:szCs w:val="22"/>
        </w:rPr>
        <w:t>a</w:t>
      </w:r>
      <w:r w:rsidRPr="0077615B">
        <w:rPr>
          <w:szCs w:val="22"/>
        </w:rPr>
        <w:t>tisme électoral forcé de tenir compte des diversité</w:t>
      </w:r>
      <w:r>
        <w:rPr>
          <w:szCs w:val="22"/>
        </w:rPr>
        <w:t>s</w:t>
      </w:r>
      <w:r w:rsidRPr="0077615B">
        <w:rPr>
          <w:szCs w:val="22"/>
        </w:rPr>
        <w:t xml:space="preserve"> régionales. En conclusion, il convient d'abord de se dema</w:t>
      </w:r>
      <w:r w:rsidRPr="0077615B">
        <w:rPr>
          <w:szCs w:val="22"/>
        </w:rPr>
        <w:t>n</w:t>
      </w:r>
      <w:r w:rsidRPr="0077615B">
        <w:rPr>
          <w:szCs w:val="22"/>
        </w:rPr>
        <w:t>der si les objectifs du Parti libéral à l'égard des régions ont été atteints.</w:t>
      </w:r>
    </w:p>
    <w:p w:rsidR="00AD690E" w:rsidRPr="0077615B" w:rsidRDefault="00AD690E" w:rsidP="00AD690E">
      <w:pPr>
        <w:spacing w:before="120" w:after="120"/>
        <w:jc w:val="both"/>
      </w:pPr>
      <w:r w:rsidRPr="0077615B">
        <w:rPr>
          <w:szCs w:val="22"/>
        </w:rPr>
        <w:t>Il est communément admis que le premier objectif d'un parti pol</w:t>
      </w:r>
      <w:r w:rsidRPr="0077615B">
        <w:rPr>
          <w:szCs w:val="22"/>
        </w:rPr>
        <w:t>i</w:t>
      </w:r>
      <w:r w:rsidRPr="0077615B">
        <w:rPr>
          <w:szCs w:val="22"/>
        </w:rPr>
        <w:t>tique est d'accéder au pouvoir et de s'y maintenir. D'emblée, il nous semble incontestable qu'une part de la longévité du règne libéral à O</w:t>
      </w:r>
      <w:r w:rsidRPr="0077615B">
        <w:rPr>
          <w:szCs w:val="22"/>
        </w:rPr>
        <w:t>t</w:t>
      </w:r>
      <w:r w:rsidRPr="0077615B">
        <w:rPr>
          <w:szCs w:val="22"/>
        </w:rPr>
        <w:t>tawa doit être attribuée aux actions entreprises sous le couvert de la politique de développement régional : les largesses distribuées et les stratégies mises de l'avant ont en effet su plaire à une majorité d'éle</w:t>
      </w:r>
      <w:r w:rsidRPr="0077615B">
        <w:rPr>
          <w:szCs w:val="22"/>
        </w:rPr>
        <w:t>c</w:t>
      </w:r>
      <w:r w:rsidRPr="0077615B">
        <w:rPr>
          <w:szCs w:val="22"/>
        </w:rPr>
        <w:t>teurs. Les disparités régionales ont-elles pour autant été atténuées ? Comme nous l'avons vu, le bilan à cet égard varie selon les indicateurs choisis. Les écarts de revenu et donc de bien-être matériel se sont r</w:t>
      </w:r>
      <w:r w:rsidRPr="0077615B">
        <w:rPr>
          <w:szCs w:val="22"/>
        </w:rPr>
        <w:t>é</w:t>
      </w:r>
      <w:r w:rsidRPr="0077615B">
        <w:rPr>
          <w:szCs w:val="22"/>
        </w:rPr>
        <w:t>trécis, au prix cependant de la mise en place d'un imposant système de redistribution des revenus vers les particuliers et vers les gouvern</w:t>
      </w:r>
      <w:r w:rsidRPr="0077615B">
        <w:rPr>
          <w:szCs w:val="22"/>
        </w:rPr>
        <w:t>e</w:t>
      </w:r>
      <w:r w:rsidRPr="0077615B">
        <w:rPr>
          <w:szCs w:val="22"/>
        </w:rPr>
        <w:t>ments provinciaux dont on peut aujourd'hui douter de la pérennité. Les causes profondes de ces disparités, en particulier sur le plan des opportunités d'emploi, sont par ailleurs toujours présentes. Quant aux remèdes dont les libéraux attendaient un effet déterminant, ils n'ont pas vraiment réussi à les administrer avec toute la rigueur qu'ils e</w:t>
      </w:r>
      <w:r w:rsidRPr="0077615B">
        <w:rPr>
          <w:szCs w:val="22"/>
        </w:rPr>
        <w:t>s</w:t>
      </w:r>
      <w:r w:rsidRPr="0077615B">
        <w:rPr>
          <w:szCs w:val="22"/>
        </w:rPr>
        <w:t>comptaient. D'une part les résistances au bilinguisme et la remontée des régionalismes ont largement handicapé les efforts d'aplanissement des différences socio-culturelles. D'autre part la force des gouvern</w:t>
      </w:r>
      <w:r w:rsidRPr="0077615B">
        <w:rPr>
          <w:szCs w:val="22"/>
        </w:rPr>
        <w:t>e</w:t>
      </w:r>
      <w:r w:rsidRPr="0077615B">
        <w:rPr>
          <w:szCs w:val="22"/>
        </w:rPr>
        <w:t>ments provinciaux et la volonté des milieux économiques régionaux de prendre en main leurs propres destinées ont nui considérablement aux tentatives autoritaires d'intégration des régions.</w:t>
      </w:r>
    </w:p>
    <w:p w:rsidR="00AD690E" w:rsidRPr="0077615B" w:rsidRDefault="00AD690E" w:rsidP="00AD690E">
      <w:pPr>
        <w:spacing w:before="120" w:after="120"/>
        <w:jc w:val="both"/>
      </w:pPr>
      <w:r w:rsidRPr="0077615B">
        <w:rPr>
          <w:szCs w:val="22"/>
        </w:rPr>
        <w:t>Nous devons aussi nous demander si les actions du gouvernement central on su contribuer à l'atteinte des objectifs poursuivis dans ch</w:t>
      </w:r>
      <w:r w:rsidRPr="0077615B">
        <w:rPr>
          <w:szCs w:val="22"/>
        </w:rPr>
        <w:t>a</w:t>
      </w:r>
      <w:r w:rsidRPr="0077615B">
        <w:rPr>
          <w:szCs w:val="22"/>
        </w:rPr>
        <w:t>cune des régions, tels qu'ils sont exprimés, par exemple, par les go</w:t>
      </w:r>
      <w:r w:rsidRPr="0077615B">
        <w:rPr>
          <w:szCs w:val="22"/>
        </w:rPr>
        <w:t>u</w:t>
      </w:r>
      <w:r w:rsidRPr="0077615B">
        <w:rPr>
          <w:szCs w:val="22"/>
        </w:rPr>
        <w:t>vernements provinciaux. Ne serait-ce que pour avoir réussi à maint</w:t>
      </w:r>
      <w:r w:rsidRPr="0077615B">
        <w:rPr>
          <w:szCs w:val="22"/>
        </w:rPr>
        <w:t>e</w:t>
      </w:r>
      <w:r w:rsidRPr="0077615B">
        <w:rPr>
          <w:szCs w:val="22"/>
        </w:rPr>
        <w:t>nir en vie une structure fédérale dans un pays à la fois marqué par les diversités sur le plan géographique et dépourvu de références à l'unité nationale sur le plan historique, il faut conclure que d'un point de vue strictement comptable chaque collectivité régionale a considéré y avoir trouvé son compte. Dans le cadre de ce qui est devenu, à l'a</w:t>
      </w:r>
      <w:r w:rsidRPr="0077615B">
        <w:rPr>
          <w:szCs w:val="22"/>
        </w:rPr>
        <w:t>p</w:t>
      </w:r>
      <w:r w:rsidRPr="0077615B">
        <w:rPr>
          <w:szCs w:val="22"/>
        </w:rPr>
        <w:t>proche du référendum québécois, la « bataille des comptes économ</w:t>
      </w:r>
      <w:r w:rsidRPr="0077615B">
        <w:rPr>
          <w:szCs w:val="22"/>
        </w:rPr>
        <w:t>i</w:t>
      </w:r>
      <w:r w:rsidRPr="0077615B">
        <w:rPr>
          <w:szCs w:val="22"/>
        </w:rPr>
        <w:t>ques », l'Institut de recherche CD. Howe</w:t>
      </w:r>
      <w:r>
        <w:rPr>
          <w:szCs w:val="22"/>
        </w:rPr>
        <w:t> </w:t>
      </w:r>
      <w:r w:rsidRPr="00D756DB">
        <w:rPr>
          <w:rStyle w:val="Appelnotedebasdep"/>
        </w:rPr>
        <w:footnoteReference w:id="365"/>
      </w:r>
      <w:r w:rsidRPr="0077615B">
        <w:rPr>
          <w:szCs w:val="22"/>
        </w:rPr>
        <w:t>, après un examen appr</w:t>
      </w:r>
      <w:r w:rsidRPr="0077615B">
        <w:rPr>
          <w:szCs w:val="22"/>
        </w:rPr>
        <w:t>o</w:t>
      </w:r>
      <w:r w:rsidRPr="0077615B">
        <w:rPr>
          <w:szCs w:val="22"/>
        </w:rPr>
        <w:t>fondi des méthodes utilisées pour</w:t>
      </w:r>
      <w:r>
        <w:rPr>
          <w:szCs w:val="22"/>
        </w:rPr>
        <w:t xml:space="preserve"> </w:t>
      </w:r>
      <w:r>
        <w:t xml:space="preserve">[210] </w:t>
      </w:r>
      <w:r w:rsidRPr="0077615B">
        <w:rPr>
          <w:szCs w:val="22"/>
        </w:rPr>
        <w:t>établir le bilan des dépenses et des recettes fédérales au Québec, concluait à l'existence d'une tenda</w:t>
      </w:r>
      <w:r w:rsidRPr="0077615B">
        <w:rPr>
          <w:szCs w:val="22"/>
        </w:rPr>
        <w:t>n</w:t>
      </w:r>
      <w:r w:rsidRPr="0077615B">
        <w:rPr>
          <w:szCs w:val="22"/>
        </w:rPr>
        <w:t>ce réelle pour les Québécois à r</w:t>
      </w:r>
      <w:r w:rsidRPr="0077615B">
        <w:rPr>
          <w:szCs w:val="22"/>
        </w:rPr>
        <w:t>e</w:t>
      </w:r>
      <w:r w:rsidRPr="0077615B">
        <w:rPr>
          <w:szCs w:val="22"/>
        </w:rPr>
        <w:t>cevoir davantage du budget fédéral qu'ils n'y contribuaient, tendance largement fondée sur les subventions fédérales destinées à compenser la hausse spectaculaire du prix du pétrole importé. Mais la conclusion la plus importante de ce rapport demeurait la suivante :</w:t>
      </w:r>
    </w:p>
    <w:p w:rsidR="00AD690E" w:rsidRDefault="00AD690E" w:rsidP="00AD690E">
      <w:pPr>
        <w:pStyle w:val="Grillecouleur-Accent1"/>
      </w:pPr>
    </w:p>
    <w:p w:rsidR="00AD690E" w:rsidRDefault="00AD690E" w:rsidP="00AD690E">
      <w:pPr>
        <w:pStyle w:val="Grillecouleur-Accent1"/>
        <w:rPr>
          <w:i/>
        </w:rPr>
      </w:pPr>
      <w:r w:rsidRPr="00CB6AC5">
        <w:t>Même s'il était possible d'appliquer intégralement les deux méth</w:t>
      </w:r>
      <w:r w:rsidRPr="00CB6AC5">
        <w:t>o</w:t>
      </w:r>
      <w:r w:rsidRPr="00CB6AC5">
        <w:t>des d'estimation de la répartition provinciale des dépenses et des rece</w:t>
      </w:r>
      <w:r w:rsidRPr="00CB6AC5">
        <w:t>t</w:t>
      </w:r>
      <w:r w:rsidRPr="00CB6AC5">
        <w:t>tes du gouvernement fédéral, les documents ne pourraient pas fournir un bilan provincial complet du régime fédéral. Ceci est vrai pour au moins deux raisons. Premièrement, l'étude du fédéralisme ne peut se limiter simpl</w:t>
      </w:r>
      <w:r w:rsidRPr="00CB6AC5">
        <w:t>e</w:t>
      </w:r>
      <w:r w:rsidRPr="00CB6AC5">
        <w:t>ment à l'effet redistributif du budget du gouvernement fédéral. Deuxi</w:t>
      </w:r>
      <w:r w:rsidRPr="00CB6AC5">
        <w:t>è</w:t>
      </w:r>
      <w:r w:rsidRPr="00CB6AC5">
        <w:t>mement, il est nécessaire de comparer le régime actuel aux autres situ</w:t>
      </w:r>
      <w:r w:rsidRPr="00CB6AC5">
        <w:t>a</w:t>
      </w:r>
      <w:r w:rsidRPr="00CB6AC5">
        <w:t>tions possibles au moyen de la méthode du coût alte</w:t>
      </w:r>
      <w:r w:rsidRPr="00CB6AC5">
        <w:t>r</w:t>
      </w:r>
      <w:r w:rsidRPr="00CB6AC5">
        <w:t>natif</w:t>
      </w:r>
      <w:r>
        <w:t> </w:t>
      </w:r>
      <w:r w:rsidRPr="00D756DB">
        <w:rPr>
          <w:rStyle w:val="Appelnotedebasdep"/>
          <w:szCs w:val="18"/>
        </w:rPr>
        <w:footnoteReference w:id="366"/>
      </w:r>
      <w:r w:rsidRPr="00CB6AC5">
        <w:t>.</w:t>
      </w:r>
    </w:p>
    <w:p w:rsidR="00AD690E" w:rsidRPr="000217F5" w:rsidRDefault="00AD690E" w:rsidP="00AD690E">
      <w:pPr>
        <w:pStyle w:val="Grillecouleur-Accent1"/>
        <w:rPr>
          <w:i/>
        </w:rPr>
      </w:pPr>
    </w:p>
    <w:p w:rsidR="00AD690E" w:rsidRPr="0077615B" w:rsidRDefault="00AD690E" w:rsidP="00AD690E">
      <w:pPr>
        <w:spacing w:before="120" w:after="120"/>
        <w:jc w:val="both"/>
      </w:pPr>
      <w:r w:rsidRPr="0077615B">
        <w:rPr>
          <w:szCs w:val="22"/>
        </w:rPr>
        <w:t>Cette conclusion ouvre en fait la voie à deux questions majeures concernant l'enjeu du développement régional dans l'ensemble can</w:t>
      </w:r>
      <w:r w:rsidRPr="0077615B">
        <w:rPr>
          <w:szCs w:val="22"/>
        </w:rPr>
        <w:t>a</w:t>
      </w:r>
      <w:r w:rsidRPr="0077615B">
        <w:rPr>
          <w:szCs w:val="22"/>
        </w:rPr>
        <w:t>dien : les changements attendus dans la structure politique du pays ont-ils été réalisés ? les régions canadiennes sont-elles aujourd'hui d</w:t>
      </w:r>
      <w:r w:rsidRPr="0077615B">
        <w:rPr>
          <w:szCs w:val="22"/>
        </w:rPr>
        <w:t>a</w:t>
      </w:r>
      <w:r w:rsidRPr="0077615B">
        <w:rPr>
          <w:szCs w:val="22"/>
        </w:rPr>
        <w:t>vantage en mesure qu'il y a vingt ans d'assurer leur propre dévelo</w:t>
      </w:r>
      <w:r w:rsidRPr="0077615B">
        <w:rPr>
          <w:szCs w:val="22"/>
        </w:rPr>
        <w:t>p</w:t>
      </w:r>
      <w:r w:rsidRPr="0077615B">
        <w:rPr>
          <w:szCs w:val="22"/>
        </w:rPr>
        <w:t>pement ?</w:t>
      </w:r>
    </w:p>
    <w:p w:rsidR="00AD690E" w:rsidRPr="0077615B" w:rsidRDefault="00AD690E" w:rsidP="00AD690E">
      <w:pPr>
        <w:spacing w:before="120" w:after="120"/>
        <w:jc w:val="both"/>
      </w:pPr>
      <w:r w:rsidRPr="0077615B">
        <w:rPr>
          <w:szCs w:val="22"/>
        </w:rPr>
        <w:t>À la première question il faut répondre un non catégorique alors que la seconde appelle une réponse nuancée. Les problèmes de ch</w:t>
      </w:r>
      <w:r w:rsidRPr="0077615B">
        <w:rPr>
          <w:szCs w:val="22"/>
        </w:rPr>
        <w:t>e</w:t>
      </w:r>
      <w:r w:rsidRPr="0077615B">
        <w:rPr>
          <w:szCs w:val="22"/>
        </w:rPr>
        <w:t>vauchement de juridiction, de manque d'harmonisation dans les polit</w:t>
      </w:r>
      <w:r w:rsidRPr="0077615B">
        <w:rPr>
          <w:szCs w:val="22"/>
        </w:rPr>
        <w:t>i</w:t>
      </w:r>
      <w:r w:rsidRPr="0077615B">
        <w:rPr>
          <w:szCs w:val="22"/>
        </w:rPr>
        <w:t>ques et plus généralement d'inaptitude à rassembler les conditions n</w:t>
      </w:r>
      <w:r w:rsidRPr="0077615B">
        <w:rPr>
          <w:szCs w:val="22"/>
        </w:rPr>
        <w:t>é</w:t>
      </w:r>
      <w:r w:rsidRPr="0077615B">
        <w:rPr>
          <w:szCs w:val="22"/>
        </w:rPr>
        <w:t xml:space="preserve">cessaires à l'élaboration et surtout à la mise en </w:t>
      </w:r>
      <w:r>
        <w:rPr>
          <w:szCs w:val="22"/>
        </w:rPr>
        <w:t>œuvre</w:t>
      </w:r>
      <w:r w:rsidRPr="0077615B">
        <w:rPr>
          <w:szCs w:val="22"/>
        </w:rPr>
        <w:t xml:space="preserve"> de stratégies de développement adaptées à chaque contexte, loin de disparaître se sont même accentués au cours des vingt dernières années. Quant à la cap</w:t>
      </w:r>
      <w:r w:rsidRPr="0077615B">
        <w:rPr>
          <w:szCs w:val="22"/>
        </w:rPr>
        <w:t>a</w:t>
      </w:r>
      <w:r>
        <w:rPr>
          <w:szCs w:val="22"/>
        </w:rPr>
        <w:t>cité d'auto</w:t>
      </w:r>
      <w:r w:rsidRPr="0077615B">
        <w:rPr>
          <w:szCs w:val="22"/>
        </w:rPr>
        <w:t>développement, pour laquelle la complexité de la situation ne permet qu'un bilan provisoire, elle varie avec le type de région. Comme le souligne Friedman, les régions périphériques doivent r</w:t>
      </w:r>
      <w:r w:rsidRPr="0077615B">
        <w:rPr>
          <w:szCs w:val="22"/>
        </w:rPr>
        <w:t>e</w:t>
      </w:r>
      <w:r w:rsidRPr="0077615B">
        <w:rPr>
          <w:szCs w:val="22"/>
        </w:rPr>
        <w:t>vendiquer une plus grande autonomie à travers l'affirmation de leurs différences culturelles et la participation aux décisions qui les affe</w:t>
      </w:r>
      <w:r w:rsidRPr="0077615B">
        <w:rPr>
          <w:szCs w:val="22"/>
        </w:rPr>
        <w:t>c</w:t>
      </w:r>
      <w:r w:rsidRPr="0077615B">
        <w:rPr>
          <w:szCs w:val="22"/>
        </w:rPr>
        <w:t>tent : l'homégénéisation culturelle encouragée par le pouvoir central et la centralisation du pouvoir à Ottawa et à Toronto sont allées en sens inverse. Pour les régions centrales, polarisées par les grandes métr</w:t>
      </w:r>
      <w:r w:rsidRPr="0077615B">
        <w:rPr>
          <w:szCs w:val="22"/>
        </w:rPr>
        <w:t>o</w:t>
      </w:r>
      <w:r w:rsidRPr="0077615B">
        <w:rPr>
          <w:szCs w:val="22"/>
        </w:rPr>
        <w:t>po</w:t>
      </w:r>
      <w:r>
        <w:rPr>
          <w:szCs w:val="22"/>
        </w:rPr>
        <w:t>les du pays, l'auto-</w:t>
      </w:r>
      <w:r w:rsidRPr="0077615B">
        <w:rPr>
          <w:szCs w:val="22"/>
        </w:rPr>
        <w:t>développement passe plutôt par l'accompliss</w:t>
      </w:r>
      <w:r w:rsidRPr="0077615B">
        <w:rPr>
          <w:szCs w:val="22"/>
        </w:rPr>
        <w:t>e</w:t>
      </w:r>
      <w:r w:rsidRPr="0077615B">
        <w:rPr>
          <w:szCs w:val="22"/>
        </w:rPr>
        <w:t>ment de leur potentiel spécifique en relation avec la nouvelle réalité dés villes mondiales : en ce cas, on ne peut écarter le fait que les e</w:t>
      </w:r>
      <w:r w:rsidRPr="0077615B">
        <w:rPr>
          <w:szCs w:val="22"/>
        </w:rPr>
        <w:t>f</w:t>
      </w:r>
      <w:r w:rsidRPr="0077615B">
        <w:rPr>
          <w:szCs w:val="22"/>
        </w:rPr>
        <w:t>forts d'intégration socio-économique du pays menés par les libéraux aient pu contribuer à l'accession de Montréal et de Toronto à ces pos</w:t>
      </w:r>
      <w:r w:rsidRPr="0077615B">
        <w:rPr>
          <w:szCs w:val="22"/>
        </w:rPr>
        <w:t>i</w:t>
      </w:r>
      <w:r w:rsidRPr="0077615B">
        <w:rPr>
          <w:szCs w:val="22"/>
        </w:rPr>
        <w:t>tions-clés dans le nouvel ordre économique mondial. Ces deux bassins de population ont d'ailleurs représenté pour le Parti libéral durant to</w:t>
      </w:r>
      <w:r w:rsidRPr="0077615B">
        <w:rPr>
          <w:szCs w:val="22"/>
        </w:rPr>
        <w:t>u</w:t>
      </w:r>
      <w:r w:rsidRPr="0077615B">
        <w:rPr>
          <w:szCs w:val="22"/>
        </w:rPr>
        <w:t>tes ces années leur base électorale la plus fidèle.</w:t>
      </w:r>
    </w:p>
    <w:p w:rsidR="00AD690E" w:rsidRDefault="00AD690E" w:rsidP="00AD690E">
      <w:pPr>
        <w:spacing w:before="120" w:after="120"/>
        <w:ind w:firstLine="0"/>
        <w:jc w:val="both"/>
        <w:rPr>
          <w:color w:val="000000"/>
          <w:szCs w:val="28"/>
        </w:rPr>
      </w:pPr>
      <w:r>
        <w:rPr>
          <w:szCs w:val="22"/>
        </w:rPr>
        <w:br w:type="page"/>
      </w:r>
      <w:r>
        <w:rPr>
          <w:color w:val="000000"/>
          <w:szCs w:val="28"/>
        </w:rPr>
        <w:t>[211]</w:t>
      </w: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4" w:name="ere_Liberaux_pt2_texte_09"/>
      <w:r>
        <w:rPr>
          <w:b/>
          <w:color w:val="000080"/>
          <w:sz w:val="24"/>
        </w:rPr>
        <w:t>DEUXIÈME</w:t>
      </w:r>
      <w:r w:rsidRPr="003634E0">
        <w:rPr>
          <w:b/>
          <w:color w:val="000080"/>
          <w:sz w:val="24"/>
        </w:rPr>
        <w:t xml:space="preserve"> PARTIE</w:t>
      </w:r>
      <w:r w:rsidRPr="003634E0">
        <w:rPr>
          <w:b/>
          <w:color w:val="000080"/>
          <w:sz w:val="24"/>
        </w:rPr>
        <w:br/>
        <w:t xml:space="preserve">QUESTIONS </w:t>
      </w:r>
      <w:r>
        <w:rPr>
          <w:b/>
          <w:color w:val="000080"/>
          <w:sz w:val="24"/>
        </w:rPr>
        <w:t>ÉCONOMIQUES</w:t>
      </w:r>
    </w:p>
    <w:p w:rsidR="00AD690E" w:rsidRPr="00E07116" w:rsidRDefault="00AD690E" w:rsidP="00AD690E">
      <w:pPr>
        <w:jc w:val="both"/>
        <w:rPr>
          <w:szCs w:val="36"/>
        </w:rPr>
      </w:pPr>
    </w:p>
    <w:p w:rsidR="00AD690E" w:rsidRPr="00E07116" w:rsidRDefault="00AD690E" w:rsidP="00AD690E">
      <w:pPr>
        <w:pStyle w:val="planchest"/>
      </w:pPr>
      <w:r>
        <w:t>“Libéralisme ou nationalisme</w:t>
      </w:r>
      <w:r>
        <w:br/>
        <w:t>dans la politique énergétique</w:t>
      </w:r>
      <w:r>
        <w:br/>
        <w:t>canadienne ?”</w:t>
      </w:r>
    </w:p>
    <w:bookmarkEnd w:id="14"/>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Michel DUQUETTE</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science politique</w:t>
      </w:r>
      <w:r w:rsidRPr="00957619">
        <w:rPr>
          <w:sz w:val="24"/>
          <w:szCs w:val="22"/>
        </w:rPr>
        <w:br/>
        <w:t>Un</w:t>
      </w:r>
      <w:r w:rsidRPr="00957619">
        <w:rPr>
          <w:sz w:val="24"/>
          <w:szCs w:val="22"/>
        </w:rPr>
        <w:t>i</w:t>
      </w:r>
      <w:r>
        <w:rPr>
          <w:sz w:val="24"/>
          <w:szCs w:val="22"/>
        </w:rPr>
        <w:t>versité de</w:t>
      </w:r>
      <w:r w:rsidRPr="00957619">
        <w:rPr>
          <w:sz w:val="24"/>
          <w:szCs w:val="22"/>
        </w:rPr>
        <w:t xml:space="preserve"> Montréal</w:t>
      </w: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873110" w:rsidRDefault="00AD690E" w:rsidP="00AD690E">
      <w:pPr>
        <w:spacing w:before="120" w:after="120"/>
        <w:jc w:val="both"/>
      </w:pPr>
      <w:r w:rsidRPr="00873110">
        <w:rPr>
          <w:color w:val="000000"/>
          <w:szCs w:val="22"/>
        </w:rPr>
        <w:t>Les relations tissées entre participants des secteurs privé, public et acteurs gouvernementaux empruntent, dans le contexte canadien, d</w:t>
      </w:r>
      <w:r w:rsidRPr="00873110">
        <w:rPr>
          <w:color w:val="000000"/>
          <w:szCs w:val="22"/>
        </w:rPr>
        <w:t>i</w:t>
      </w:r>
      <w:r w:rsidRPr="00873110">
        <w:rPr>
          <w:color w:val="000000"/>
          <w:szCs w:val="22"/>
        </w:rPr>
        <w:t>vers modes s'inscrivant au sein d'un continuum allant « d'aucun inte</w:t>
      </w:r>
      <w:r w:rsidRPr="00873110">
        <w:rPr>
          <w:color w:val="000000"/>
          <w:szCs w:val="22"/>
        </w:rPr>
        <w:t>r</w:t>
      </w:r>
      <w:r w:rsidRPr="00873110">
        <w:rPr>
          <w:color w:val="000000"/>
          <w:szCs w:val="22"/>
        </w:rPr>
        <w:t>ventionnisme » à « plus d'interventionnisme », d'aucuns diraient d'une philosophie de laisser-faire à l'affirmation du nationalisme. Dans ce secteur comme dans d'autres, il y a une raison d'État à intervenir moins ou davantage dans l'économie, comme l'expliquent les réda</w:t>
      </w:r>
      <w:r w:rsidRPr="00873110">
        <w:rPr>
          <w:color w:val="000000"/>
          <w:szCs w:val="22"/>
        </w:rPr>
        <w:t>c</w:t>
      </w:r>
      <w:r w:rsidRPr="00873110">
        <w:rPr>
          <w:color w:val="000000"/>
          <w:szCs w:val="22"/>
        </w:rPr>
        <w:t>teurs du texte de présentation du Programme énergétique national la</w:t>
      </w:r>
      <w:r w:rsidRPr="00873110">
        <w:rPr>
          <w:color w:val="000000"/>
          <w:szCs w:val="22"/>
        </w:rPr>
        <w:t>n</w:t>
      </w:r>
      <w:r w:rsidRPr="00873110">
        <w:rPr>
          <w:color w:val="000000"/>
          <w:szCs w:val="22"/>
        </w:rPr>
        <w:t>cé par Ottawa en 1980.</w:t>
      </w:r>
    </w:p>
    <w:p w:rsidR="00AD690E" w:rsidRDefault="00AD690E" w:rsidP="00AD690E">
      <w:pPr>
        <w:pStyle w:val="Grillecouleur-Accent1"/>
      </w:pPr>
    </w:p>
    <w:p w:rsidR="00AD690E" w:rsidRDefault="00AD690E" w:rsidP="00AD690E">
      <w:pPr>
        <w:pStyle w:val="Grillecouleur-Accent1"/>
        <w:rPr>
          <w:color w:val="000000"/>
          <w:szCs w:val="18"/>
        </w:rPr>
      </w:pPr>
      <w:r w:rsidRPr="00F03972">
        <w:t>A major objective of national policy over the years has been to foster a strong petroleum industry, through pricing and tax incentives more gen</w:t>
      </w:r>
      <w:r w:rsidRPr="00F03972">
        <w:t>e</w:t>
      </w:r>
      <w:r w:rsidRPr="00F03972">
        <w:t>rous than those available outside the resource sector... The most important reason for developing thèse national policies was a determination to pr</w:t>
      </w:r>
      <w:r w:rsidRPr="00F03972">
        <w:t>o</w:t>
      </w:r>
      <w:r w:rsidRPr="00F03972">
        <w:t>mote the domestic oil industry and encourage economic growth in We</w:t>
      </w:r>
      <w:r w:rsidRPr="00F03972">
        <w:t>s</w:t>
      </w:r>
      <w:r w:rsidRPr="00F03972">
        <w:t>tern C</w:t>
      </w:r>
      <w:r w:rsidRPr="00F03972">
        <w:t>a</w:t>
      </w:r>
      <w:r w:rsidRPr="00F03972">
        <w:t>nada, even though it meant imposing higher direct costs on other parts of the country, and left the Government of Canada with little income from the petroleum industry. These policies hâve succeeded. The petr</w:t>
      </w:r>
      <w:r w:rsidRPr="00F03972">
        <w:t>o</w:t>
      </w:r>
      <w:r w:rsidRPr="00F03972">
        <w:t>leum industry enjoys unprecedented prosperity and growth. No other i</w:t>
      </w:r>
      <w:r w:rsidRPr="00F03972">
        <w:t>n</w:t>
      </w:r>
      <w:r w:rsidRPr="00F03972">
        <w:t>dustrial sector in Canada can match its vitality and outlook... Net oil and gas production r</w:t>
      </w:r>
      <w:r w:rsidRPr="00F03972">
        <w:t>e</w:t>
      </w:r>
      <w:r w:rsidRPr="00F03972">
        <w:t>venues in Canada have risen from $1.2 billion in 1970 to $11.1 billion in 1979... the effect of the (OPEC) price increases is a massive transfer of wealth, now and in the future, from consumers to pr</w:t>
      </w:r>
      <w:r w:rsidRPr="00F03972">
        <w:t>o</w:t>
      </w:r>
      <w:r w:rsidRPr="00F03972">
        <w:t>ducers. Most of these producers</w:t>
      </w:r>
      <w:r>
        <w:t xml:space="preserve"> [</w:t>
      </w:r>
      <w:r w:rsidRPr="00873110">
        <w:rPr>
          <w:rFonts w:cs="Arial"/>
          <w:color w:val="000000"/>
          <w:szCs w:val="18"/>
        </w:rPr>
        <w:t>212</w:t>
      </w:r>
      <w:r>
        <w:rPr>
          <w:rFonts w:cs="Arial"/>
          <w:color w:val="000000"/>
          <w:szCs w:val="18"/>
        </w:rPr>
        <w:t xml:space="preserve">] </w:t>
      </w:r>
      <w:r w:rsidRPr="00F03972">
        <w:rPr>
          <w:color w:val="000000"/>
          <w:szCs w:val="18"/>
        </w:rPr>
        <w:t>are foreign-owned ; the wealth transfer is therefore away from Can</w:t>
      </w:r>
      <w:r w:rsidRPr="00F03972">
        <w:rPr>
          <w:color w:val="000000"/>
          <w:szCs w:val="18"/>
        </w:rPr>
        <w:t>a</w:t>
      </w:r>
      <w:r w:rsidRPr="00F03972">
        <w:rPr>
          <w:color w:val="000000"/>
          <w:szCs w:val="18"/>
        </w:rPr>
        <w:t>dians...</w:t>
      </w:r>
      <w:r>
        <w:rPr>
          <w:color w:val="000000"/>
          <w:szCs w:val="18"/>
        </w:rPr>
        <w:t> </w:t>
      </w:r>
      <w:r>
        <w:rPr>
          <w:rStyle w:val="Appelnotedebasdep"/>
        </w:rPr>
        <w:footnoteReference w:id="367"/>
      </w:r>
    </w:p>
    <w:p w:rsidR="00AD690E" w:rsidRPr="00F03972" w:rsidRDefault="00AD690E" w:rsidP="00AD690E">
      <w:pPr>
        <w:pStyle w:val="Grillecouleur-Accent1"/>
      </w:pPr>
    </w:p>
    <w:p w:rsidR="00AD690E" w:rsidRPr="00873110" w:rsidRDefault="00AD690E" w:rsidP="00AD690E">
      <w:pPr>
        <w:spacing w:before="120" w:after="120"/>
        <w:jc w:val="both"/>
      </w:pPr>
      <w:r w:rsidRPr="00873110">
        <w:rPr>
          <w:color w:val="000000"/>
        </w:rPr>
        <w:t>Dans cet article, nous nous intéressons à tous les facteurs qui, de près ou de loin, permettent de rendre compte de la lente émergence au Canada, au sein des provinces comme du gouvernement central, d'une volonté consciente d'orienter l'essor du domaine énergétique dans le but d'accélérer l'accumulation sur place et de veiller à l'intégrité de l'espace économique canadien.</w:t>
      </w:r>
    </w:p>
    <w:p w:rsidR="00AD690E" w:rsidRPr="00873110" w:rsidRDefault="00AD690E" w:rsidP="00AD690E">
      <w:pPr>
        <w:spacing w:before="120" w:after="120"/>
        <w:jc w:val="both"/>
      </w:pPr>
      <w:r w:rsidRPr="00873110">
        <w:rPr>
          <w:color w:val="000000"/>
        </w:rPr>
        <w:t>Dans un premier temps, nous rappellerons succinctement les gra</w:t>
      </w:r>
      <w:r w:rsidRPr="00873110">
        <w:rPr>
          <w:color w:val="000000"/>
        </w:rPr>
        <w:t>n</w:t>
      </w:r>
      <w:r w:rsidRPr="00873110">
        <w:rPr>
          <w:color w:val="000000"/>
        </w:rPr>
        <w:t>des lignes d'une histoire qui n'a pas un siècle, en évoquant l'héritage laissé par la phase d'expansion pionnière et, notamment, la première politique nationale mise en place en 1961 par les conservateurs de John Diefenbaker, dans ses liens très évidents avec le secteur multin</w:t>
      </w:r>
      <w:r w:rsidRPr="00873110">
        <w:rPr>
          <w:color w:val="000000"/>
        </w:rPr>
        <w:t>a</w:t>
      </w:r>
      <w:r w:rsidRPr="00873110">
        <w:rPr>
          <w:color w:val="000000"/>
        </w:rPr>
        <w:t>tional. Ensuite, il sera question de l'émergence parallèle d'une polit</w:t>
      </w:r>
      <w:r w:rsidRPr="00873110">
        <w:rPr>
          <w:color w:val="000000"/>
        </w:rPr>
        <w:t>i</w:t>
      </w:r>
      <w:r w:rsidRPr="00873110">
        <w:rPr>
          <w:color w:val="000000"/>
        </w:rPr>
        <w:t>que provinciale de l'énergie, mise en place à partir des années 50 par l'Alberta dans le même esprit, en identifiant les prémices des futurs conflits entre cette province et Ottawa. Dans un second temps, nous montrerons les éléments de continuité qui prédominent pendant la première époque libérale de 1963 à 1973, de façon à révéler l'origin</w:t>
      </w:r>
      <w:r w:rsidRPr="00873110">
        <w:rPr>
          <w:color w:val="000000"/>
        </w:rPr>
        <w:t>a</w:t>
      </w:r>
      <w:r w:rsidRPr="00873110">
        <w:rPr>
          <w:color w:val="000000"/>
        </w:rPr>
        <w:t>lité de la période plus récente, qui se caractérise par l'élaboration, sur une base vraiment « nationale », c'est-à-dire centralisatrice, d'une pol</w:t>
      </w:r>
      <w:r w:rsidRPr="00873110">
        <w:rPr>
          <w:color w:val="000000"/>
        </w:rPr>
        <w:t>i</w:t>
      </w:r>
      <w:r w:rsidRPr="00873110">
        <w:rPr>
          <w:color w:val="000000"/>
        </w:rPr>
        <w:t>tique de l'énergie qui se lance dans un programme ambitieux, presque démesuré, d'autosuffisance et de « canadianisation » des ressources pétrolières et gazières. Ce processus s'accomplit par degrés et à travers diverses péripéties qui mettent en lumière les tensions croissantes e</w:t>
      </w:r>
      <w:r w:rsidRPr="00873110">
        <w:rPr>
          <w:color w:val="000000"/>
        </w:rPr>
        <w:t>n</w:t>
      </w:r>
      <w:r w:rsidRPr="00873110">
        <w:rPr>
          <w:color w:val="000000"/>
        </w:rPr>
        <w:t>tre acteurs privés et gouvernementaux, nationaux et étrangers. Polit</w:t>
      </w:r>
      <w:r w:rsidRPr="00873110">
        <w:rPr>
          <w:color w:val="000000"/>
        </w:rPr>
        <w:t>i</w:t>
      </w:r>
      <w:r w:rsidRPr="00873110">
        <w:rPr>
          <w:color w:val="000000"/>
        </w:rPr>
        <w:t>que ambitieuse disons-nous, car jamais dans l'histoire canadienne ne s'affirme avec autant de force la volonté d'infléchir les règles du jeu au profit de la nation, dans un domaine pourtant massivement dominé par les firmes multinationales les plus puissantes. Elle s'accompagne alors d'une instrumentation complexe, à la fois bureaucratique et fiscale qui trahit, peut-être davantage que les autres stratégies économiques du régime libéral, une « certaine idée du Canada ». Politique démesurée enfin, car elle surestime la capacité du pays à se servir de la conjon</w:t>
      </w:r>
      <w:r w:rsidRPr="00873110">
        <w:rPr>
          <w:color w:val="000000"/>
        </w:rPr>
        <w:t>c</w:t>
      </w:r>
      <w:r w:rsidRPr="00873110">
        <w:rPr>
          <w:color w:val="000000"/>
        </w:rPr>
        <w:t>ture pétrolière internationale, marquée par de puissantes tendances spéculatives, au bénéfice de son développement propre.</w:t>
      </w:r>
    </w:p>
    <w:p w:rsidR="00AD690E" w:rsidRPr="00873110" w:rsidRDefault="00AD690E" w:rsidP="00AD690E">
      <w:pPr>
        <w:spacing w:before="120" w:after="120"/>
        <w:jc w:val="both"/>
      </w:pPr>
      <w:r w:rsidRPr="00873110">
        <w:rPr>
          <w:color w:val="000000"/>
        </w:rPr>
        <w:t>D'entrée de jeu, rappelons que, dans le cadre forcément limité de ce texte, il nous sera impossible de traiter le domaine des énergies r</w:t>
      </w:r>
      <w:r w:rsidRPr="00873110">
        <w:rPr>
          <w:color w:val="000000"/>
        </w:rPr>
        <w:t>e</w:t>
      </w:r>
      <w:r w:rsidRPr="00873110">
        <w:rPr>
          <w:color w:val="000000"/>
        </w:rPr>
        <w:t>nouvelables, demeuré à ce jour au stade de l'expérimentation et des prototypes. Nous laisserons aussi de côté la filière électronucléaire, qui relève de l'effort de recherche industriel,</w:t>
      </w:r>
      <w:r>
        <w:rPr>
          <w:color w:val="000000"/>
        </w:rPr>
        <w:t xml:space="preserve"> </w:t>
      </w:r>
      <w:r>
        <w:t xml:space="preserve">[213] </w:t>
      </w:r>
      <w:r w:rsidRPr="00873110">
        <w:rPr>
          <w:color w:val="000000"/>
        </w:rPr>
        <w:t>ainsi que des fi</w:t>
      </w:r>
      <w:r w:rsidRPr="00873110">
        <w:rPr>
          <w:color w:val="000000"/>
        </w:rPr>
        <w:t>r</w:t>
      </w:r>
      <w:r w:rsidRPr="00873110">
        <w:rPr>
          <w:color w:val="000000"/>
        </w:rPr>
        <w:t>mes publiques responsables de leur développement, comme Énergie atomique du Canada (EACL) et Hydro-Ontario. Cette filière procède d'une autre dynamique et mérite un traitement à part. Nous nous lim</w:t>
      </w:r>
      <w:r w:rsidRPr="00873110">
        <w:rPr>
          <w:color w:val="000000"/>
        </w:rPr>
        <w:t>i</w:t>
      </w:r>
      <w:r w:rsidRPr="00873110">
        <w:rPr>
          <w:color w:val="000000"/>
        </w:rPr>
        <w:t>terons à une revue des principaux acteurs politiques et économiques présents dans la filière conventionnelle des hydrocarb</w:t>
      </w:r>
      <w:r w:rsidRPr="00873110">
        <w:rPr>
          <w:color w:val="000000"/>
        </w:rPr>
        <w:t>u</w:t>
      </w:r>
      <w:r w:rsidRPr="00873110">
        <w:rPr>
          <w:color w:val="000000"/>
        </w:rPr>
        <w:t>res, en nous penchant sur le rôle des divers paliers de gouvernement et leurs rel</w:t>
      </w:r>
      <w:r w:rsidRPr="00873110">
        <w:rPr>
          <w:color w:val="000000"/>
        </w:rPr>
        <w:t>a</w:t>
      </w:r>
      <w:r w:rsidRPr="00873110">
        <w:rPr>
          <w:color w:val="000000"/>
        </w:rPr>
        <w:t>tions avec l'industrie.</w:t>
      </w:r>
    </w:p>
    <w:p w:rsidR="00AD690E" w:rsidRDefault="00AD690E" w:rsidP="00AD690E">
      <w:pPr>
        <w:spacing w:before="120" w:after="120"/>
        <w:jc w:val="both"/>
        <w:rPr>
          <w:color w:val="000000"/>
        </w:rPr>
      </w:pPr>
    </w:p>
    <w:p w:rsidR="00AD690E" w:rsidRPr="00873110" w:rsidRDefault="00AD690E" w:rsidP="00AD690E">
      <w:pPr>
        <w:pStyle w:val="planche"/>
      </w:pPr>
      <w:r w:rsidRPr="00873110">
        <w:t>L'ÉMERGENCE</w:t>
      </w:r>
      <w:r>
        <w:br/>
      </w:r>
      <w:r w:rsidRPr="00873110">
        <w:t>DU SECTEUR ÉNERGÉTIQUE</w:t>
      </w:r>
    </w:p>
    <w:p w:rsidR="00AD690E" w:rsidRDefault="00AD690E" w:rsidP="00AD690E">
      <w:pPr>
        <w:spacing w:before="120" w:after="120"/>
        <w:jc w:val="both"/>
        <w:rPr>
          <w:color w:val="000000"/>
        </w:rPr>
      </w:pPr>
    </w:p>
    <w:p w:rsidR="00AD690E" w:rsidRPr="00873110" w:rsidRDefault="00AD690E" w:rsidP="00AD690E">
      <w:pPr>
        <w:spacing w:before="120" w:after="120"/>
        <w:jc w:val="both"/>
      </w:pPr>
      <w:r w:rsidRPr="00873110">
        <w:rPr>
          <w:color w:val="000000"/>
        </w:rPr>
        <w:t>Le développement du secteur énergétique canadien, relativement tardif puisque le bois et le charbon (combustibles typiques du XIX</w:t>
      </w:r>
      <w:r w:rsidRPr="00873110">
        <w:rPr>
          <w:color w:val="000000"/>
          <w:vertAlign w:val="superscript"/>
        </w:rPr>
        <w:t>e</w:t>
      </w:r>
      <w:r w:rsidRPr="00873110">
        <w:rPr>
          <w:color w:val="000000"/>
        </w:rPr>
        <w:t xml:space="preserve"> siècle) restent longtemps les principales matières utilisées, démarre graduellement avec la mise en place des services d'alimentation en énergie afin de soutenir une industrialisation basée sur la mise en v</w:t>
      </w:r>
      <w:r w:rsidRPr="00873110">
        <w:rPr>
          <w:color w:val="000000"/>
        </w:rPr>
        <w:t>a</w:t>
      </w:r>
      <w:r w:rsidRPr="00873110">
        <w:rPr>
          <w:color w:val="000000"/>
        </w:rPr>
        <w:t>leur des ressources primaires (mines, forêt, pâte et papier) entre 1890 et 1945. Le secteur privé est prédominant (Montr</w:t>
      </w:r>
      <w:r>
        <w:rPr>
          <w:color w:val="000000"/>
        </w:rPr>
        <w:t>e</w:t>
      </w:r>
      <w:r w:rsidRPr="00873110">
        <w:rPr>
          <w:color w:val="000000"/>
        </w:rPr>
        <w:t>al Light &amp; Power, Shawinigan Power, etc.). Démarre alors l'accumulation sur une base d'abord modeste</w:t>
      </w:r>
      <w:r>
        <w:rPr>
          <w:color w:val="000000"/>
        </w:rPr>
        <w:t> </w:t>
      </w:r>
      <w:r w:rsidRPr="00D756DB">
        <w:rPr>
          <w:rStyle w:val="Appelnotedebasdep"/>
        </w:rPr>
        <w:footnoteReference w:id="368"/>
      </w:r>
      <w:r w:rsidRPr="00873110">
        <w:rPr>
          <w:color w:val="000000"/>
        </w:rPr>
        <w:t>, amenant l'accélération sur une base de plus en plus régionale dans l'espace national « théorique » de la richesse or</w:t>
      </w:r>
      <w:r w:rsidRPr="00873110">
        <w:rPr>
          <w:color w:val="000000"/>
        </w:rPr>
        <w:t>i</w:t>
      </w:r>
      <w:r w:rsidRPr="00873110">
        <w:rPr>
          <w:color w:val="000000"/>
        </w:rPr>
        <w:t>ginant du complexe énergétique</w:t>
      </w:r>
      <w:r>
        <w:rPr>
          <w:color w:val="000000"/>
        </w:rPr>
        <w:t> </w:t>
      </w:r>
      <w:r w:rsidRPr="00D756DB">
        <w:rPr>
          <w:rStyle w:val="Appelnotedebasdep"/>
        </w:rPr>
        <w:footnoteReference w:id="369"/>
      </w:r>
      <w:r w:rsidRPr="00873110">
        <w:rPr>
          <w:color w:val="000000"/>
        </w:rPr>
        <w:t>. Les grandes firmes pétrolières internati</w:t>
      </w:r>
      <w:r w:rsidRPr="00873110">
        <w:rPr>
          <w:color w:val="000000"/>
        </w:rPr>
        <w:t>o</w:t>
      </w:r>
      <w:r w:rsidRPr="00873110">
        <w:rPr>
          <w:color w:val="000000"/>
        </w:rPr>
        <w:t>nales suivent Esso Impérial, la meneuse du groupe, et se voient confier le mandat d'approvisionner le pays en hydrocarbures importés à partir de l'Est : la voie du Saint-Laurent dirige les tankers vers Mo</w:t>
      </w:r>
      <w:r w:rsidRPr="00873110">
        <w:rPr>
          <w:color w:val="000000"/>
        </w:rPr>
        <w:t>n</w:t>
      </w:r>
      <w:r w:rsidRPr="00873110">
        <w:rPr>
          <w:color w:val="000000"/>
        </w:rPr>
        <w:t>tréal alors qu'un pipe-line en provenance de Portland, au Maine, prend le relais durant l'hiver. Shell fait aussi son apparition et trouve ainsi un nouveau débouché pour ses raffineries de Curaçao qui traitent le p</w:t>
      </w:r>
      <w:r w:rsidRPr="00873110">
        <w:rPr>
          <w:color w:val="000000"/>
        </w:rPr>
        <w:t>é</w:t>
      </w:r>
      <w:r w:rsidRPr="00873110">
        <w:rPr>
          <w:color w:val="000000"/>
        </w:rPr>
        <w:t>trole du Venezuela depuis 1917. Mais très tôt, le besoin de raffineries locales se fait sentir, pour satisfaire une demande en e</w:t>
      </w:r>
      <w:r w:rsidRPr="00873110">
        <w:rPr>
          <w:color w:val="000000"/>
        </w:rPr>
        <w:t>x</w:t>
      </w:r>
      <w:r w:rsidRPr="00873110">
        <w:rPr>
          <w:color w:val="000000"/>
        </w:rPr>
        <w:t>pansion qui accompagne l'essor de l'automobile et du chauffage au mazout. Dès 1931, une première unité est construite par Gulf. Rien n'arrête plus alors le développement d'une pétrochimie québécoise à Montréal-Est, mais tout l'équipement de raffinage est importé des États-Unis ou du Royaume-Uni.</w:t>
      </w:r>
    </w:p>
    <w:p w:rsidR="00AD690E" w:rsidRPr="00873110" w:rsidRDefault="00AD690E" w:rsidP="00AD690E">
      <w:pPr>
        <w:spacing w:before="120" w:after="120"/>
        <w:jc w:val="both"/>
      </w:pPr>
      <w:r w:rsidRPr="00873110">
        <w:rPr>
          <w:color w:val="000000"/>
        </w:rPr>
        <w:t>Dans l'après-guerre, on assiste à des transferts géographiques avec les importantes découvertes de pétrole dans l'Ouest (1947) qui prov</w:t>
      </w:r>
      <w:r w:rsidRPr="00873110">
        <w:rPr>
          <w:color w:val="000000"/>
        </w:rPr>
        <w:t>o</w:t>
      </w:r>
      <w:r w:rsidRPr="00873110">
        <w:rPr>
          <w:color w:val="000000"/>
        </w:rPr>
        <w:t>quent l'essor de la métropole des Prairies, Calgary, ainsi que de l'A</w:t>
      </w:r>
      <w:r w:rsidRPr="00873110">
        <w:rPr>
          <w:color w:val="000000"/>
        </w:rPr>
        <w:t>l</w:t>
      </w:r>
      <w:r w:rsidRPr="00873110">
        <w:rPr>
          <w:color w:val="000000"/>
        </w:rPr>
        <w:t>berta, l'enrichissement</w:t>
      </w:r>
      <w:r>
        <w:rPr>
          <w:color w:val="000000"/>
        </w:rPr>
        <w:t xml:space="preserve"> </w:t>
      </w:r>
      <w:r>
        <w:rPr>
          <w:color w:val="000000"/>
          <w:szCs w:val="18"/>
        </w:rPr>
        <w:t>[</w:t>
      </w:r>
      <w:r w:rsidRPr="00873110">
        <w:rPr>
          <w:color w:val="000000"/>
          <w:szCs w:val="18"/>
        </w:rPr>
        <w:t>214</w:t>
      </w:r>
      <w:r>
        <w:rPr>
          <w:color w:val="000000"/>
          <w:szCs w:val="18"/>
        </w:rPr>
        <w:t xml:space="preserve">] </w:t>
      </w:r>
      <w:r w:rsidRPr="00873110">
        <w:rPr>
          <w:color w:val="000000"/>
          <w:szCs w:val="22"/>
        </w:rPr>
        <w:t>considérable de l'industrie pétrolière qui devient la première industrie nationale, une vague d'investissements considérable de la part des fi</w:t>
      </w:r>
      <w:r w:rsidRPr="00873110">
        <w:rPr>
          <w:color w:val="000000"/>
          <w:szCs w:val="22"/>
        </w:rPr>
        <w:t>r</w:t>
      </w:r>
      <w:r w:rsidRPr="00873110">
        <w:rPr>
          <w:color w:val="000000"/>
          <w:szCs w:val="22"/>
        </w:rPr>
        <w:t>mes d'utilités publiques ou Utilities (grands</w:t>
      </w:r>
      <w:r>
        <w:rPr>
          <w:color w:val="000000"/>
          <w:szCs w:val="22"/>
        </w:rPr>
        <w:t xml:space="preserve"> projets d'Hydro-Québec, projet </w:t>
      </w:r>
      <w:r w:rsidRPr="00873110">
        <w:rPr>
          <w:color w:val="000000"/>
          <w:szCs w:val="22"/>
        </w:rPr>
        <w:t>conjoint Terre-Neuve/Québec avec Churchill Falls). L'époque de croissance des années 1947-1973 mène le secteur énergétique nord-américain et ses industries associées telles que l'automobile, à une phase de maturité et de rendement maximal de ses investiss</w:t>
      </w:r>
      <w:r w:rsidRPr="00873110">
        <w:rPr>
          <w:color w:val="000000"/>
          <w:szCs w:val="22"/>
        </w:rPr>
        <w:t>e</w:t>
      </w:r>
      <w:r w:rsidRPr="00873110">
        <w:rPr>
          <w:color w:val="000000"/>
          <w:szCs w:val="22"/>
        </w:rPr>
        <w:t>ments. D'ailleurs, le capital de risque et les innovations elles-mêmes demeurent rares dans les branches conve</w:t>
      </w:r>
      <w:r w:rsidRPr="00873110">
        <w:rPr>
          <w:color w:val="000000"/>
          <w:szCs w:val="22"/>
        </w:rPr>
        <w:t>n</w:t>
      </w:r>
      <w:r w:rsidRPr="00873110">
        <w:rPr>
          <w:color w:val="000000"/>
          <w:szCs w:val="22"/>
        </w:rPr>
        <w:t>tionnelles, alors que les entreprises recueillent tout le fruit des innov</w:t>
      </w:r>
      <w:r w:rsidRPr="00873110">
        <w:rPr>
          <w:color w:val="000000"/>
          <w:szCs w:val="22"/>
        </w:rPr>
        <w:t>a</w:t>
      </w:r>
      <w:r w:rsidRPr="00873110">
        <w:rPr>
          <w:color w:val="000000"/>
          <w:szCs w:val="22"/>
        </w:rPr>
        <w:t>tions passées, banalisées à l'extrême. C'est le binôme industrialis</w:t>
      </w:r>
      <w:r w:rsidRPr="00873110">
        <w:rPr>
          <w:color w:val="000000"/>
          <w:szCs w:val="22"/>
        </w:rPr>
        <w:t>a</w:t>
      </w:r>
      <w:r w:rsidRPr="00873110">
        <w:rPr>
          <w:color w:val="000000"/>
          <w:szCs w:val="22"/>
        </w:rPr>
        <w:t>tion/automobile qui dicte le modèle d'expansion et l'approvisionn</w:t>
      </w:r>
      <w:r w:rsidRPr="00873110">
        <w:rPr>
          <w:color w:val="000000"/>
          <w:szCs w:val="22"/>
        </w:rPr>
        <w:t>e</w:t>
      </w:r>
      <w:r w:rsidRPr="00873110">
        <w:rPr>
          <w:color w:val="000000"/>
          <w:szCs w:val="22"/>
        </w:rPr>
        <w:t>ment énergétique est pratiquement pris pour acquis, sans aucun pre</w:t>
      </w:r>
      <w:r w:rsidRPr="00873110">
        <w:rPr>
          <w:color w:val="000000"/>
          <w:szCs w:val="22"/>
        </w:rPr>
        <w:t>s</w:t>
      </w:r>
      <w:r w:rsidRPr="00873110">
        <w:rPr>
          <w:color w:val="000000"/>
          <w:szCs w:val="22"/>
        </w:rPr>
        <w:t>sentiment des chocs à venir.</w:t>
      </w:r>
    </w:p>
    <w:p w:rsidR="00AD690E" w:rsidRPr="00873110" w:rsidRDefault="00AD690E" w:rsidP="00AD690E">
      <w:pPr>
        <w:spacing w:before="120" w:after="120"/>
        <w:jc w:val="both"/>
      </w:pPr>
      <w:r w:rsidRPr="00873110">
        <w:rPr>
          <w:color w:val="000000"/>
          <w:szCs w:val="22"/>
        </w:rPr>
        <w:t>Soudain, ce sera le passage malaisé à une nouvelle époque. On ve</w:t>
      </w:r>
      <w:r w:rsidRPr="00873110">
        <w:rPr>
          <w:color w:val="000000"/>
          <w:szCs w:val="22"/>
        </w:rPr>
        <w:t>r</w:t>
      </w:r>
      <w:r w:rsidRPr="00873110">
        <w:rPr>
          <w:color w:val="000000"/>
          <w:szCs w:val="22"/>
        </w:rPr>
        <w:t>ra s'amorcer de profonds changements « qualitatifs » qui imposent, dev</w:t>
      </w:r>
      <w:r>
        <w:rPr>
          <w:color w:val="000000"/>
          <w:szCs w:val="22"/>
        </w:rPr>
        <w:t>ant la multiplication de distors</w:t>
      </w:r>
      <w:r w:rsidRPr="00873110">
        <w:rPr>
          <w:color w:val="000000"/>
          <w:szCs w:val="22"/>
        </w:rPr>
        <w:t>ions dangereuses pour l'avenir de l'économie</w:t>
      </w:r>
      <w:r>
        <w:rPr>
          <w:color w:val="000000"/>
          <w:szCs w:val="22"/>
        </w:rPr>
        <w:t> </w:t>
      </w:r>
      <w:r w:rsidRPr="00D756DB">
        <w:rPr>
          <w:rStyle w:val="Appelnotedebasdep"/>
        </w:rPr>
        <w:footnoteReference w:id="370"/>
      </w:r>
      <w:r w:rsidRPr="00873110">
        <w:rPr>
          <w:color w:val="000000"/>
          <w:szCs w:val="22"/>
        </w:rPr>
        <w:t>, la mutation en profondeur du secteur énergétique c</w:t>
      </w:r>
      <w:r w:rsidRPr="00873110">
        <w:rPr>
          <w:color w:val="000000"/>
          <w:szCs w:val="22"/>
        </w:rPr>
        <w:t>a</w:t>
      </w:r>
      <w:r w:rsidRPr="00873110">
        <w:rPr>
          <w:color w:val="000000"/>
          <w:szCs w:val="22"/>
        </w:rPr>
        <w:t>nadien</w:t>
      </w:r>
      <w:r>
        <w:rPr>
          <w:color w:val="000000"/>
          <w:szCs w:val="22"/>
        </w:rPr>
        <w:t> </w:t>
      </w:r>
      <w:r w:rsidRPr="00D756DB">
        <w:rPr>
          <w:rStyle w:val="Appelnotedebasdep"/>
        </w:rPr>
        <w:footnoteReference w:id="371"/>
      </w:r>
      <w:r w:rsidRPr="00873110">
        <w:rPr>
          <w:color w:val="000000"/>
          <w:szCs w:val="22"/>
        </w:rPr>
        <w:t>. On observera ainsi dans les années 70 l'unification de l'e</w:t>
      </w:r>
      <w:r w:rsidRPr="00873110">
        <w:rPr>
          <w:color w:val="000000"/>
          <w:szCs w:val="22"/>
        </w:rPr>
        <w:t>s</w:t>
      </w:r>
      <w:r w:rsidRPr="00873110">
        <w:rPr>
          <w:color w:val="000000"/>
          <w:szCs w:val="22"/>
        </w:rPr>
        <w:t>pace national avec la généralisation des pipelines transcontinentaux et la politique d'intégration du marché intérieur et de soutien à la conso</w:t>
      </w:r>
      <w:r w:rsidRPr="00873110">
        <w:rPr>
          <w:color w:val="000000"/>
          <w:szCs w:val="22"/>
        </w:rPr>
        <w:t>m</w:t>
      </w:r>
      <w:r w:rsidRPr="00873110">
        <w:rPr>
          <w:color w:val="000000"/>
          <w:szCs w:val="22"/>
        </w:rPr>
        <w:t>mation, l'essor sans précédent de l'industrie électro-nucléaire en Ont</w:t>
      </w:r>
      <w:r w:rsidRPr="00873110">
        <w:rPr>
          <w:color w:val="000000"/>
          <w:szCs w:val="22"/>
        </w:rPr>
        <w:t>a</w:t>
      </w:r>
      <w:r w:rsidRPr="00873110">
        <w:rPr>
          <w:color w:val="000000"/>
          <w:szCs w:val="22"/>
        </w:rPr>
        <w:t>rio et, dans une moindre mesure au Nouveau-Brunswick, la « canadianisation » croissante de l'industrie pétrolière en amont, la mission et le développement de Pétro-Canada, le Programme énerg</w:t>
      </w:r>
      <w:r w:rsidRPr="00873110">
        <w:rPr>
          <w:color w:val="000000"/>
          <w:szCs w:val="22"/>
        </w:rPr>
        <w:t>é</w:t>
      </w:r>
      <w:r w:rsidRPr="00873110">
        <w:rPr>
          <w:color w:val="000000"/>
          <w:szCs w:val="22"/>
        </w:rPr>
        <w:t>tique national (1980) et enfin, dans le cadre de cette politique, la mise en valeur des zones pionnières.</w:t>
      </w:r>
    </w:p>
    <w:p w:rsidR="00AD690E" w:rsidRPr="00873110" w:rsidRDefault="00AD690E" w:rsidP="00AD690E">
      <w:pPr>
        <w:spacing w:before="120" w:after="120"/>
        <w:jc w:val="both"/>
        <w:rPr>
          <w:szCs w:val="2"/>
        </w:rPr>
      </w:pPr>
    </w:p>
    <w:p w:rsidR="00AD690E" w:rsidRPr="00873110" w:rsidRDefault="00AD690E" w:rsidP="00AD690E">
      <w:pPr>
        <w:pStyle w:val="planche"/>
      </w:pPr>
      <w:r w:rsidRPr="00873110">
        <w:t>L'HÉRITAGE DES CONSERVATEURS</w:t>
      </w:r>
    </w:p>
    <w:p w:rsidR="00AD690E" w:rsidRDefault="00AD690E" w:rsidP="00AD690E">
      <w:pPr>
        <w:spacing w:before="120" w:after="120"/>
        <w:jc w:val="both"/>
        <w:rPr>
          <w:color w:val="000000"/>
          <w:szCs w:val="22"/>
        </w:rPr>
      </w:pPr>
    </w:p>
    <w:p w:rsidR="00AD690E" w:rsidRPr="00873110" w:rsidRDefault="00AD690E" w:rsidP="00AD690E">
      <w:pPr>
        <w:spacing w:before="120" w:after="120"/>
        <w:ind w:firstLine="0"/>
        <w:jc w:val="both"/>
      </w:pPr>
      <w:r w:rsidRPr="00873110">
        <w:rPr>
          <w:color w:val="000000"/>
          <w:szCs w:val="22"/>
        </w:rPr>
        <w:t>Si les observateurs de la scène énergétique clament à l'unisson que la politique énergétique canadienne récente représente l'irruption d'une philosophie relativement étrangère au milieu des affaires canadiennes, avec son obsession de la propriété nationale des ressources, la « planification » dans le cadre de « l'espace national » et son cortège de règlements, de taxes et de stimulants fiscaux touchant les aspects de l'activité économique reliés à l'énergie, c'est qu'ils ont compris l'importance du virage par rapport à la tradition de laisser-faire qui avait prévalu jusque-là. En retournant dans le passé, nous constatons que l'exemple le plus</w:t>
      </w:r>
      <w:r>
        <w:rPr>
          <w:color w:val="000000"/>
          <w:szCs w:val="22"/>
        </w:rPr>
        <w:t xml:space="preserve"> </w:t>
      </w:r>
      <w:r>
        <w:t xml:space="preserve">[215] </w:t>
      </w:r>
      <w:r w:rsidRPr="00873110">
        <w:rPr>
          <w:color w:val="000000"/>
          <w:szCs w:val="22"/>
        </w:rPr>
        <w:t>frappant de cette tradition fut l'imposition en 1961, par les conserv</w:t>
      </w:r>
      <w:r w:rsidRPr="00873110">
        <w:rPr>
          <w:color w:val="000000"/>
          <w:szCs w:val="22"/>
        </w:rPr>
        <w:t>a</w:t>
      </w:r>
      <w:r w:rsidRPr="00873110">
        <w:rPr>
          <w:color w:val="000000"/>
          <w:szCs w:val="22"/>
        </w:rPr>
        <w:t>teurs de John Diefenbaker, de la Politique pétrolière nationale (PPN).</w:t>
      </w:r>
    </w:p>
    <w:p w:rsidR="00AD690E" w:rsidRPr="00873110" w:rsidRDefault="00AD690E" w:rsidP="00AD690E">
      <w:pPr>
        <w:spacing w:before="120" w:after="120"/>
        <w:jc w:val="both"/>
      </w:pPr>
      <w:r w:rsidRPr="00873110">
        <w:rPr>
          <w:color w:val="000000"/>
          <w:szCs w:val="22"/>
        </w:rPr>
        <w:t>Rappelons les faits. Dès 1957, l'industrie pétrolière entre en crise, après l'essor sans précédent de l'après-guerre</w:t>
      </w:r>
      <w:r>
        <w:rPr>
          <w:color w:val="000000"/>
          <w:szCs w:val="22"/>
        </w:rPr>
        <w:t> </w:t>
      </w:r>
      <w:r w:rsidRPr="00D756DB">
        <w:rPr>
          <w:rStyle w:val="Appelnotedebasdep"/>
        </w:rPr>
        <w:footnoteReference w:id="372"/>
      </w:r>
      <w:r w:rsidRPr="00873110">
        <w:rPr>
          <w:color w:val="000000"/>
          <w:szCs w:val="22"/>
        </w:rPr>
        <w:t>. Devant les mesures restrictives appliquées par les États-Unis aux importations canadie</w:t>
      </w:r>
      <w:r w:rsidRPr="00873110">
        <w:rPr>
          <w:color w:val="000000"/>
          <w:szCs w:val="22"/>
        </w:rPr>
        <w:t>n</w:t>
      </w:r>
      <w:r w:rsidRPr="00873110">
        <w:rPr>
          <w:color w:val="000000"/>
          <w:szCs w:val="22"/>
        </w:rPr>
        <w:t>nes d'énergie et face à la concurrence nouvelle du gaz naturel (dont la production triple entre 1956 et 1961), une restructuration s'impose. Aux prises avec une production excédentaire, l'Alberta répond par des mesures volontaires de contingentement</w:t>
      </w:r>
      <w:r>
        <w:rPr>
          <w:color w:val="000000"/>
          <w:szCs w:val="22"/>
        </w:rPr>
        <w:t> </w:t>
      </w:r>
      <w:r>
        <w:rPr>
          <w:rStyle w:val="Appelnotedebasdep"/>
        </w:rPr>
        <w:footnoteReference w:id="373"/>
      </w:r>
      <w:r w:rsidRPr="00873110">
        <w:rPr>
          <w:color w:val="000000"/>
          <w:szCs w:val="22"/>
        </w:rPr>
        <w:t>. La Commission royale d'enquête sur l'énergie, ou Commission Borden, est mise sur pied en 1957 pour recueillir les doléances du secteur de l'énergie. S'y font alors sentir les premières affirmations « nationalistes » dans un secteur pourtant massivement dominé par les firmes transnationales. Spect</w:t>
      </w:r>
      <w:r w:rsidRPr="00873110">
        <w:rPr>
          <w:color w:val="000000"/>
          <w:szCs w:val="22"/>
        </w:rPr>
        <w:t>a</w:t>
      </w:r>
      <w:r w:rsidRPr="00873110">
        <w:rPr>
          <w:color w:val="000000"/>
          <w:szCs w:val="22"/>
        </w:rPr>
        <w:t>cle des plus éclairant à cet égard : alors que les petites et moyennes entreprises de propriété canadienne, engagées dans la prospection en amont ou la distribution en aval du raffinage, suggèrent au gouvern</w:t>
      </w:r>
      <w:r w:rsidRPr="00873110">
        <w:rPr>
          <w:color w:val="000000"/>
          <w:szCs w:val="22"/>
        </w:rPr>
        <w:t>e</w:t>
      </w:r>
      <w:r w:rsidRPr="00873110">
        <w:rPr>
          <w:color w:val="000000"/>
          <w:szCs w:val="22"/>
        </w:rPr>
        <w:t>ment de prolonger le pipeline interprovincial vers Montréal, unifiant ainsi davantage l'espace national et ouvrant un vaste marché en pleine expansion, les lobbies des transnationales pèsent de tout leur poids et font valoir une solution plus conforme à leurs intérêts, c'est-à-dire la rentabilité de leurs activités sur le marché international</w:t>
      </w:r>
      <w:r>
        <w:rPr>
          <w:color w:val="000000"/>
          <w:szCs w:val="22"/>
        </w:rPr>
        <w:t> </w:t>
      </w:r>
      <w:r>
        <w:rPr>
          <w:rStyle w:val="Appelnotedebasdep"/>
        </w:rPr>
        <w:footnoteReference w:id="374"/>
      </w:r>
      <w:r w:rsidRPr="00873110">
        <w:rPr>
          <w:color w:val="000000"/>
          <w:szCs w:val="22"/>
        </w:rPr>
        <w:t>. Et ils y parviennent. C'est la Politique pétrolière nationale</w:t>
      </w:r>
      <w:r>
        <w:rPr>
          <w:color w:val="000000"/>
          <w:szCs w:val="22"/>
        </w:rPr>
        <w:t> </w:t>
      </w:r>
      <w:r w:rsidRPr="00D756DB">
        <w:rPr>
          <w:rStyle w:val="Appelnotedebasdep"/>
        </w:rPr>
        <w:footnoteReference w:id="375"/>
      </w:r>
      <w:r w:rsidRPr="00873110">
        <w:rPr>
          <w:color w:val="000000"/>
          <w:szCs w:val="22"/>
        </w:rPr>
        <w:t>.</w:t>
      </w:r>
    </w:p>
    <w:p w:rsidR="00AD690E" w:rsidRPr="005814A5" w:rsidRDefault="00AD690E" w:rsidP="00AD690E">
      <w:pPr>
        <w:spacing w:before="120" w:after="120"/>
        <w:jc w:val="both"/>
        <w:rPr>
          <w:color w:val="000000"/>
        </w:rPr>
      </w:pPr>
      <w:r w:rsidRPr="00873110">
        <w:rPr>
          <w:color w:val="000000"/>
          <w:szCs w:val="22"/>
        </w:rPr>
        <w:t>Soutenant qu'il demeure plus économique d'approvisionner le ma</w:t>
      </w:r>
      <w:r w:rsidRPr="00873110">
        <w:rPr>
          <w:color w:val="000000"/>
          <w:szCs w:val="22"/>
        </w:rPr>
        <w:t>r</w:t>
      </w:r>
      <w:r w:rsidRPr="00873110">
        <w:rPr>
          <w:color w:val="000000"/>
          <w:szCs w:val="22"/>
        </w:rPr>
        <w:t>ché de l</w:t>
      </w:r>
      <w:r>
        <w:rPr>
          <w:color w:val="000000"/>
          <w:szCs w:val="22"/>
        </w:rPr>
        <w:t>’</w:t>
      </w:r>
      <w:r w:rsidRPr="00873110">
        <w:rPr>
          <w:color w:val="000000"/>
          <w:szCs w:val="22"/>
        </w:rPr>
        <w:t>Est canadien avec du brut importé, le gouvernement divise le territoire national</w:t>
      </w:r>
      <w:r>
        <w:rPr>
          <w:color w:val="000000"/>
          <w:szCs w:val="22"/>
        </w:rPr>
        <w:t xml:space="preserve"> </w:t>
      </w:r>
      <w:r>
        <w:rPr>
          <w:color w:val="000000"/>
          <w:szCs w:val="18"/>
        </w:rPr>
        <w:t>[</w:t>
      </w:r>
      <w:r w:rsidRPr="00873110">
        <w:rPr>
          <w:color w:val="000000"/>
          <w:szCs w:val="18"/>
        </w:rPr>
        <w:t>216</w:t>
      </w:r>
      <w:r>
        <w:rPr>
          <w:color w:val="000000"/>
          <w:szCs w:val="18"/>
        </w:rPr>
        <w:t xml:space="preserve">] </w:t>
      </w:r>
      <w:r w:rsidRPr="00873110">
        <w:rPr>
          <w:color w:val="000000"/>
        </w:rPr>
        <w:t>en deux. À l'est de la ligne Borden, qui suit le tracé de la rivière O</w:t>
      </w:r>
      <w:r w:rsidRPr="00873110">
        <w:rPr>
          <w:color w:val="000000"/>
        </w:rPr>
        <w:t>u</w:t>
      </w:r>
      <w:r w:rsidRPr="00873110">
        <w:rPr>
          <w:color w:val="000000"/>
        </w:rPr>
        <w:t>taouais, le Canada s'approvisionnera à l'étranger, réservant au pétrole « national » l'Ouest et l'Ontario. En confirmant l'insertion du marché canadien dans le réseau international du pétrole, dominé par les tran</w:t>
      </w:r>
      <w:r w:rsidRPr="00873110">
        <w:rPr>
          <w:color w:val="000000"/>
        </w:rPr>
        <w:t>s</w:t>
      </w:r>
      <w:r w:rsidRPr="00873110">
        <w:rPr>
          <w:color w:val="000000"/>
        </w:rPr>
        <w:t>nationales, la PPN s'avère comme un écho fidèle des préoccupations dominantes du secteur étranger, qui souhaite pr</w:t>
      </w:r>
      <w:r w:rsidRPr="00873110">
        <w:rPr>
          <w:color w:val="000000"/>
        </w:rPr>
        <w:t>o</w:t>
      </w:r>
      <w:r w:rsidRPr="00873110">
        <w:rPr>
          <w:color w:val="000000"/>
        </w:rPr>
        <w:t>téger deux secteurs également compromis dans la conjoncture intern</w:t>
      </w:r>
      <w:r w:rsidRPr="00873110">
        <w:rPr>
          <w:color w:val="000000"/>
        </w:rPr>
        <w:t>a</w:t>
      </w:r>
      <w:r w:rsidRPr="00873110">
        <w:rPr>
          <w:color w:val="000000"/>
        </w:rPr>
        <w:t>tionale : d'une part ses activités plutôt coûteuses de prospection en Alberta et d'autre part la production de ses filiales à l'étranger. Deux prix seront donc appl</w:t>
      </w:r>
      <w:r w:rsidRPr="00873110">
        <w:rPr>
          <w:color w:val="000000"/>
        </w:rPr>
        <w:t>i</w:t>
      </w:r>
      <w:r w:rsidRPr="00873110">
        <w:rPr>
          <w:color w:val="000000"/>
        </w:rPr>
        <w:t>qués : à l'est de la ligne Borden, le prix mondial très bas (autour de 2</w:t>
      </w:r>
      <w:r>
        <w:rPr>
          <w:color w:val="000000"/>
        </w:rPr>
        <w:t> $</w:t>
      </w:r>
      <w:r w:rsidRPr="00873110">
        <w:rPr>
          <w:color w:val="000000"/>
        </w:rPr>
        <w:t>), et un autre prix plus élevé (3</w:t>
      </w:r>
      <w:r>
        <w:rPr>
          <w:color w:val="000000"/>
        </w:rPr>
        <w:t> $</w:t>
      </w:r>
      <w:r w:rsidRPr="00873110">
        <w:rPr>
          <w:color w:val="000000"/>
        </w:rPr>
        <w:t xml:space="preserve"> et plus) que nous qualifierons de « continental », dans l'Ouest et en Ontario</w:t>
      </w:r>
      <w:r>
        <w:rPr>
          <w:color w:val="000000"/>
        </w:rPr>
        <w:t> </w:t>
      </w:r>
      <w:r w:rsidRPr="00D756DB">
        <w:rPr>
          <w:rStyle w:val="Appelnotedebasdep"/>
        </w:rPr>
        <w:footnoteReference w:id="376"/>
      </w:r>
      <w:r w:rsidRPr="00873110">
        <w:rPr>
          <w:color w:val="000000"/>
        </w:rPr>
        <w:t>.</w:t>
      </w:r>
    </w:p>
    <w:p w:rsidR="00AD690E" w:rsidRPr="00873110" w:rsidRDefault="00AD690E" w:rsidP="00AD690E">
      <w:pPr>
        <w:spacing w:before="120" w:after="120"/>
        <w:jc w:val="both"/>
      </w:pPr>
      <w:r w:rsidRPr="00873110">
        <w:rPr>
          <w:color w:val="000000"/>
        </w:rPr>
        <w:t>Ainsi, le gouvernement fédéral en 1961 s'attache à établir un ma</w:t>
      </w:r>
      <w:r w:rsidRPr="00873110">
        <w:rPr>
          <w:color w:val="000000"/>
        </w:rPr>
        <w:t>r</w:t>
      </w:r>
      <w:r w:rsidRPr="00873110">
        <w:rPr>
          <w:color w:val="000000"/>
        </w:rPr>
        <w:t>ché protégé dans l'Ouest et au Centre du Canada, parce que cela d</w:t>
      </w:r>
      <w:r w:rsidRPr="00873110">
        <w:rPr>
          <w:color w:val="000000"/>
        </w:rPr>
        <w:t>e</w:t>
      </w:r>
      <w:r w:rsidRPr="00873110">
        <w:rPr>
          <w:color w:val="000000"/>
        </w:rPr>
        <w:t>vrait attirer les investisseurs dans ces régions en plein développement, alors que le Québec et les Maritimes continueront à profiter des bas prix mondiaux sans effort de prospection et de modernisation partic</w:t>
      </w:r>
      <w:r w:rsidRPr="00873110">
        <w:rPr>
          <w:color w:val="000000"/>
        </w:rPr>
        <w:t>u</w:t>
      </w:r>
      <w:r w:rsidRPr="00873110">
        <w:rPr>
          <w:color w:val="000000"/>
        </w:rPr>
        <w:t>lier. Peu d'investissements nouveaux seront réalisés à l'est de la ligne Borden et, dans les années 60 et 70, l'industrie du raffinage du Québec sera graduellement déclassée par des complexes pétrochimiques plus modernes à Samia, en Ontario, et dans les Prairies</w:t>
      </w:r>
      <w:r>
        <w:rPr>
          <w:color w:val="000000"/>
        </w:rPr>
        <w:t> </w:t>
      </w:r>
      <w:r w:rsidRPr="00D756DB">
        <w:rPr>
          <w:rStyle w:val="Appelnotedebasdep"/>
        </w:rPr>
        <w:footnoteReference w:id="377"/>
      </w:r>
      <w:r w:rsidRPr="00873110">
        <w:rPr>
          <w:color w:val="000000"/>
        </w:rPr>
        <w:t>.</w:t>
      </w:r>
    </w:p>
    <w:p w:rsidR="00AD690E" w:rsidRDefault="00AD690E" w:rsidP="00AD690E">
      <w:pPr>
        <w:spacing w:before="120" w:after="120"/>
        <w:jc w:val="both"/>
        <w:rPr>
          <w:color w:val="000000"/>
        </w:rPr>
      </w:pPr>
      <w:r w:rsidRPr="00873110">
        <w:rPr>
          <w:color w:val="000000"/>
        </w:rPr>
        <w:t>Ainsi, la PPN s'avère stimulante pour le marché « protégé » can</w:t>
      </w:r>
      <w:r w:rsidRPr="00873110">
        <w:rPr>
          <w:color w:val="000000"/>
        </w:rPr>
        <w:t>a</w:t>
      </w:r>
      <w:r w:rsidRPr="00873110">
        <w:rPr>
          <w:color w:val="000000"/>
        </w:rPr>
        <w:t>dien et notamment pour les producteurs de l'Ouest, mais elle l'est moins pour l'Est qui se retrouve plus dépendant que jamais</w:t>
      </w:r>
      <w:r>
        <w:rPr>
          <w:color w:val="000000"/>
        </w:rPr>
        <w:t> </w:t>
      </w:r>
      <w:r w:rsidRPr="00D756DB">
        <w:rPr>
          <w:rStyle w:val="Appelnotedebasdep"/>
        </w:rPr>
        <w:footnoteReference w:id="378"/>
      </w:r>
      <w:r w:rsidRPr="00873110">
        <w:rPr>
          <w:color w:val="000000"/>
        </w:rPr>
        <w:t>. D</w:t>
      </w:r>
      <w:r w:rsidRPr="00873110">
        <w:rPr>
          <w:color w:val="000000"/>
        </w:rPr>
        <w:t>é</w:t>
      </w:r>
      <w:r w:rsidRPr="00873110">
        <w:rPr>
          <w:color w:val="000000"/>
        </w:rPr>
        <w:t>pendant, il le devient à double titre : du contexte international pour ses achats et du marché intérieur « protégé » pour satisfaire aux flux des capitaux et des investissements.</w:t>
      </w:r>
    </w:p>
    <w:p w:rsidR="00AD690E" w:rsidRDefault="00AD690E" w:rsidP="00AD690E">
      <w:pPr>
        <w:spacing w:before="120" w:after="120"/>
        <w:jc w:val="both"/>
        <w:rPr>
          <w:color w:val="000000"/>
          <w:szCs w:val="18"/>
        </w:rPr>
      </w:pPr>
      <w:r>
        <w:rPr>
          <w:color w:val="000000"/>
          <w:szCs w:val="18"/>
        </w:rPr>
        <w:t>[217]</w:t>
      </w:r>
    </w:p>
    <w:p w:rsidR="00AD690E" w:rsidRDefault="00AD690E" w:rsidP="00AD690E">
      <w:pPr>
        <w:spacing w:before="120" w:after="120"/>
        <w:jc w:val="both"/>
        <w:rPr>
          <w:color w:val="000000"/>
          <w:szCs w:val="18"/>
        </w:rPr>
      </w:pPr>
    </w:p>
    <w:p w:rsidR="00AD690E" w:rsidRPr="00873110" w:rsidRDefault="00AD690E" w:rsidP="00AD690E">
      <w:pPr>
        <w:pStyle w:val="planche"/>
      </w:pPr>
      <w:r>
        <w:t>UNE POLITIQUE PROVINCIALE :</w:t>
      </w:r>
      <w:r>
        <w:br/>
      </w:r>
      <w:r w:rsidRPr="00873110">
        <w:t>LE « MODÈLE ALBERTAIN »</w:t>
      </w:r>
    </w:p>
    <w:p w:rsidR="00AD690E" w:rsidRDefault="00AD690E" w:rsidP="00AD690E">
      <w:pPr>
        <w:spacing w:before="120" w:after="120"/>
        <w:jc w:val="both"/>
        <w:rPr>
          <w:color w:val="000000"/>
        </w:rPr>
      </w:pPr>
    </w:p>
    <w:p w:rsidR="00AD690E" w:rsidRPr="00873110" w:rsidRDefault="00AD690E" w:rsidP="00AD690E">
      <w:pPr>
        <w:spacing w:before="120" w:after="120"/>
        <w:ind w:firstLine="0"/>
        <w:jc w:val="both"/>
      </w:pPr>
      <w:r w:rsidRPr="00873110">
        <w:rPr>
          <w:color w:val="000000"/>
        </w:rPr>
        <w:t>Si le clivage entre intérêts multinationaux et nationaux se manifeste avec acuité dans le secteur de l'énergie, il ne faudrait pas passer sous silence cet autre clivage qui oppose traditionnellement, dans le syst</w:t>
      </w:r>
      <w:r w:rsidRPr="00873110">
        <w:rPr>
          <w:color w:val="000000"/>
        </w:rPr>
        <w:t>è</w:t>
      </w:r>
      <w:r w:rsidRPr="00873110">
        <w:rPr>
          <w:color w:val="000000"/>
        </w:rPr>
        <w:t>me de décision canadien, le gouvernement central et les provinces. Par leurs initiatives, celles-ci sont susceptibles de développer des polit</w:t>
      </w:r>
      <w:r w:rsidRPr="00873110">
        <w:rPr>
          <w:color w:val="000000"/>
        </w:rPr>
        <w:t>i</w:t>
      </w:r>
      <w:r w:rsidRPr="00873110">
        <w:rPr>
          <w:color w:val="000000"/>
        </w:rPr>
        <w:t>ques originales de mise en valeur de leurs ressources naturelles, en vertu des pouvoirs très étendus qui leur sont dévolus par l'AANB. Pouvoir de louer à bail, de concéder des territoires à des firmes, de taxer et, enfin, d'émettre des réglementations sur la formation, le tr</w:t>
      </w:r>
      <w:r w:rsidRPr="00873110">
        <w:rPr>
          <w:color w:val="000000"/>
        </w:rPr>
        <w:t>a</w:t>
      </w:r>
      <w:r w:rsidRPr="00873110">
        <w:rPr>
          <w:color w:val="000000"/>
        </w:rPr>
        <w:t>vail, l'environnement et le commerce. On connaît bien les exemples du Québec, qui a su mettre en place Hydro-Québec et ses impressio</w:t>
      </w:r>
      <w:r w:rsidRPr="00873110">
        <w:rPr>
          <w:color w:val="000000"/>
        </w:rPr>
        <w:t>n</w:t>
      </w:r>
      <w:r w:rsidRPr="00873110">
        <w:rPr>
          <w:color w:val="000000"/>
        </w:rPr>
        <w:t>nantes réalisations, et de l'Ontario, qui a lancé un ambitieux progra</w:t>
      </w:r>
      <w:r w:rsidRPr="00873110">
        <w:rPr>
          <w:color w:val="000000"/>
        </w:rPr>
        <w:t>m</w:t>
      </w:r>
      <w:r w:rsidRPr="00873110">
        <w:rPr>
          <w:color w:val="000000"/>
        </w:rPr>
        <w:t>me électronucléaire dans les années 60. On connait moins l'expérience albertaine, qui revêt pourtant toute sa signification à la lumière de la conjoncture pétrolière des années 70. Durant le règne des libéraux, l'Alberta entre peu à peu en conflit avec le gouvernement fédéral sur la question des hydrocarbures. Ce qui nous intéresse ici, ce n'est pas tant l'historique de ce conflit que le choc des « modèles » politiques qu'il nous révèle et les relations qui s'y incarnent entre acteurs publics et privés, multinationaux et locaux. L'Alberta, en ce sens, se dressera de plus en plus comme l'antithèse de la politique des libéraux fédéraux en matière d'énergie. En même temps, elle devient l'incubateur de la politique néo-conservatrice qui sera mise en pratique à l'échelle nati</w:t>
      </w:r>
      <w:r w:rsidRPr="00873110">
        <w:rPr>
          <w:color w:val="000000"/>
        </w:rPr>
        <w:t>o</w:t>
      </w:r>
      <w:r w:rsidRPr="00873110">
        <w:rPr>
          <w:color w:val="000000"/>
        </w:rPr>
        <w:t>nale après l'élection de Brian Mulroney en septembre 1984.</w:t>
      </w:r>
    </w:p>
    <w:p w:rsidR="00AD690E" w:rsidRPr="00873110" w:rsidRDefault="00AD690E" w:rsidP="00AD690E">
      <w:pPr>
        <w:spacing w:before="120" w:after="120"/>
        <w:jc w:val="both"/>
      </w:pPr>
      <w:r w:rsidRPr="00873110">
        <w:rPr>
          <w:color w:val="000000"/>
        </w:rPr>
        <w:t>Si le découpage territorial offre relativement peu de champ de contestation entre les deux niveaux de gouvernement, hormis le cas du plateau continental marin, les conflits peuvent fort bien prendre la forme d'une pratique différente dans la taxation des entreprises et la planification générale des investissements. Si des préoccupations n</w:t>
      </w:r>
      <w:r w:rsidRPr="00873110">
        <w:rPr>
          <w:color w:val="000000"/>
        </w:rPr>
        <w:t>a</w:t>
      </w:r>
      <w:r w:rsidRPr="00873110">
        <w:rPr>
          <w:color w:val="000000"/>
        </w:rPr>
        <w:t>tionalistes ou centralistes prennent le pas sur des objectifs essentie</w:t>
      </w:r>
      <w:r w:rsidRPr="00873110">
        <w:rPr>
          <w:color w:val="000000"/>
        </w:rPr>
        <w:t>l</w:t>
      </w:r>
      <w:r w:rsidRPr="00873110">
        <w:rPr>
          <w:color w:val="000000"/>
        </w:rPr>
        <w:t>lement « développementalistes » qui ne font pas la distinction entre les sources d'investissement et la propriété des entreprises, il y a fort à parier qu'un conflit sera inévitable entre le gouvernement central et une tradition provinciale déjà solide dans la définition d'une stratégie économique de mise en valeur des ressources naturelles, comme l'A</w:t>
      </w:r>
      <w:r w:rsidRPr="00873110">
        <w:rPr>
          <w:color w:val="000000"/>
        </w:rPr>
        <w:t>l</w:t>
      </w:r>
      <w:r w:rsidRPr="00873110">
        <w:rPr>
          <w:color w:val="000000"/>
        </w:rPr>
        <w:t xml:space="preserve">berta en offre un exemple frappant. Voyons ce cas de plus près. En effet, depuis 20 ans, cette province se dote d'une série d'instruments administratifs et juridico-politiques qui en font, au Canada et même par rapport à plusieurs </w:t>
      </w:r>
      <w:r>
        <w:rPr>
          <w:color w:val="000000"/>
        </w:rPr>
        <w:t>É</w:t>
      </w:r>
      <w:r w:rsidRPr="00873110">
        <w:rPr>
          <w:color w:val="000000"/>
        </w:rPr>
        <w:t>tats américains, un meneur au chapitre de la coordination des activités de mise en valeur des hydrocarbures et des politiques ponctuelles de contingentement de la production, rendues quelquefois nécessaires par la baisse des prix sur le marché d'export</w:t>
      </w:r>
      <w:r w:rsidRPr="00873110">
        <w:rPr>
          <w:color w:val="000000"/>
        </w:rPr>
        <w:t>a</w:t>
      </w:r>
      <w:r w:rsidRPr="00873110">
        <w:rPr>
          <w:color w:val="000000"/>
        </w:rPr>
        <w:t>tion.</w:t>
      </w:r>
    </w:p>
    <w:p w:rsidR="00AD690E" w:rsidRPr="00873110" w:rsidRDefault="00AD690E" w:rsidP="00AD690E">
      <w:pPr>
        <w:spacing w:before="120" w:after="120"/>
        <w:jc w:val="both"/>
      </w:pPr>
      <w:r w:rsidRPr="00873110">
        <w:rPr>
          <w:color w:val="000000"/>
        </w:rPr>
        <w:t>La découverte des grands gisements de Leduc en 1947, par Esso, ouvre une ère nouvelle dans le développement de l'Alberta. Les Albe</w:t>
      </w:r>
      <w:r w:rsidRPr="00873110">
        <w:rPr>
          <w:color w:val="000000"/>
        </w:rPr>
        <w:t>r</w:t>
      </w:r>
      <w:r w:rsidRPr="00873110">
        <w:rPr>
          <w:color w:val="000000"/>
        </w:rPr>
        <w:t>tains, désavantagés sur la scène fédérale par le poids démographique et politique</w:t>
      </w:r>
      <w:r>
        <w:rPr>
          <w:color w:val="000000"/>
        </w:rPr>
        <w:t xml:space="preserve"> </w:t>
      </w:r>
      <w:r>
        <w:t>[</w:t>
      </w:r>
      <w:r w:rsidRPr="00873110">
        <w:rPr>
          <w:color w:val="000000"/>
          <w:szCs w:val="18"/>
        </w:rPr>
        <w:t>218</w:t>
      </w:r>
      <w:r>
        <w:rPr>
          <w:color w:val="000000"/>
          <w:szCs w:val="18"/>
        </w:rPr>
        <w:t xml:space="preserve">] </w:t>
      </w:r>
      <w:r w:rsidRPr="00873110">
        <w:rPr>
          <w:color w:val="000000"/>
          <w:szCs w:val="22"/>
        </w:rPr>
        <w:t>traditionnel des grandes provinces centrales consommatrices d'hydr</w:t>
      </w:r>
      <w:r w:rsidRPr="00873110">
        <w:rPr>
          <w:color w:val="000000"/>
          <w:szCs w:val="22"/>
        </w:rPr>
        <w:t>o</w:t>
      </w:r>
      <w:r w:rsidRPr="00873110">
        <w:rPr>
          <w:color w:val="000000"/>
          <w:szCs w:val="22"/>
        </w:rPr>
        <w:t>carbures, développent très tôt une législation destinée à protéger leurs ressources des empiétements « des gens de l'Est ». Le gouvernement du Crédit social du premier ministre Ma</w:t>
      </w:r>
      <w:r w:rsidRPr="00873110">
        <w:rPr>
          <w:color w:val="000000"/>
          <w:szCs w:val="22"/>
        </w:rPr>
        <w:t>n</w:t>
      </w:r>
      <w:r w:rsidRPr="00873110">
        <w:rPr>
          <w:color w:val="000000"/>
          <w:szCs w:val="22"/>
        </w:rPr>
        <w:t xml:space="preserve">ning proclame en 1949 le </w:t>
      </w:r>
      <w:r w:rsidRPr="00986B23">
        <w:rPr>
          <w:i/>
          <w:color w:val="000000"/>
          <w:szCs w:val="22"/>
        </w:rPr>
        <w:t>Gas Resources Conservation Act</w:t>
      </w:r>
      <w:r w:rsidRPr="00873110">
        <w:rPr>
          <w:color w:val="000000"/>
          <w:szCs w:val="22"/>
        </w:rPr>
        <w:t>, censé fa</w:t>
      </w:r>
      <w:r w:rsidRPr="00873110">
        <w:rPr>
          <w:color w:val="000000"/>
          <w:szCs w:val="22"/>
        </w:rPr>
        <w:t>i</w:t>
      </w:r>
      <w:r w:rsidRPr="00873110">
        <w:rPr>
          <w:color w:val="000000"/>
          <w:szCs w:val="22"/>
        </w:rPr>
        <w:t xml:space="preserve">re échec aux initiatives centralisatrices d'Ottawa, telles que contenues dans le </w:t>
      </w:r>
      <w:r w:rsidRPr="00624FA9">
        <w:rPr>
          <w:i/>
          <w:color w:val="000000"/>
          <w:szCs w:val="22"/>
        </w:rPr>
        <w:t xml:space="preserve">Pipe Lines Act </w:t>
      </w:r>
      <w:r w:rsidRPr="00873110">
        <w:rPr>
          <w:color w:val="000000"/>
          <w:szCs w:val="22"/>
        </w:rPr>
        <w:t>du gouvernement de Louis Saint-Laurent. En l'absence d'une entente entre Edmonton et Ottawa portant sur une ge</w:t>
      </w:r>
      <w:r w:rsidRPr="00873110">
        <w:rPr>
          <w:color w:val="000000"/>
          <w:szCs w:val="22"/>
        </w:rPr>
        <w:t>s</w:t>
      </w:r>
      <w:r w:rsidRPr="00873110">
        <w:rPr>
          <w:color w:val="000000"/>
          <w:szCs w:val="22"/>
        </w:rPr>
        <w:t>tion conjointe de cette matière première, cette législation renforce considérablement les po</w:t>
      </w:r>
      <w:r w:rsidRPr="00873110">
        <w:rPr>
          <w:color w:val="000000"/>
          <w:szCs w:val="22"/>
        </w:rPr>
        <w:t>u</w:t>
      </w:r>
      <w:r w:rsidRPr="00873110">
        <w:rPr>
          <w:color w:val="000000"/>
          <w:szCs w:val="22"/>
        </w:rPr>
        <w:t>voirs de la province sur la prospection du gaz, lui permettant notamment d'émettre à volonté des permis à l'e</w:t>
      </w:r>
      <w:r w:rsidRPr="00873110">
        <w:rPr>
          <w:color w:val="000000"/>
          <w:szCs w:val="22"/>
        </w:rPr>
        <w:t>x</w:t>
      </w:r>
      <w:r w:rsidRPr="00873110">
        <w:rPr>
          <w:color w:val="000000"/>
          <w:szCs w:val="22"/>
        </w:rPr>
        <w:t>portation.</w:t>
      </w:r>
    </w:p>
    <w:p w:rsidR="00AD690E" w:rsidRPr="00873110" w:rsidRDefault="00AD690E" w:rsidP="00AD690E">
      <w:pPr>
        <w:spacing w:before="120" w:after="120"/>
        <w:jc w:val="both"/>
      </w:pPr>
      <w:r w:rsidRPr="00873110">
        <w:rPr>
          <w:color w:val="000000"/>
          <w:szCs w:val="22"/>
        </w:rPr>
        <w:t xml:space="preserve">En 1954, le gouvernement du Crédit social prend encore l'initiative en mettant sur pied un dispositif intégré de gazoducs, sous le nom d'Alberta </w:t>
      </w:r>
      <w:r w:rsidRPr="00624FA9">
        <w:rPr>
          <w:color w:val="000000"/>
          <w:szCs w:val="22"/>
        </w:rPr>
        <w:t>Gas Trunk Line</w:t>
      </w:r>
      <w:r w:rsidRPr="00873110">
        <w:rPr>
          <w:color w:val="000000"/>
          <w:szCs w:val="22"/>
        </w:rPr>
        <w:t>, qui allait devenir plus tard la firme Nova. Ceci permettra l'expansion des ventes de gaz à l'extérieur mais sous une régie strictement provinciale. Le premier ministre Manning veut ainsi devancer toute invasion du secteur local des hydrocarbures par des projets ou des initiatives fédérales. En 1971, le gouvernement conservateur de Peter Lougheed met un terme au long règne des créd</w:t>
      </w:r>
      <w:r w:rsidRPr="00873110">
        <w:rPr>
          <w:color w:val="000000"/>
          <w:szCs w:val="22"/>
        </w:rPr>
        <w:t>i</w:t>
      </w:r>
      <w:r w:rsidRPr="00873110">
        <w:rPr>
          <w:color w:val="000000"/>
          <w:szCs w:val="22"/>
        </w:rPr>
        <w:t>tistes en promettant une politique de « présence massive de la provi</w:t>
      </w:r>
      <w:r w:rsidRPr="00873110">
        <w:rPr>
          <w:color w:val="000000"/>
          <w:szCs w:val="22"/>
        </w:rPr>
        <w:t>n</w:t>
      </w:r>
      <w:r w:rsidRPr="00873110">
        <w:rPr>
          <w:color w:val="000000"/>
          <w:szCs w:val="22"/>
        </w:rPr>
        <w:t>ce dans le champ de ses ressources naturelles, notamment le pétrole », et ceci dans le but de réaliser un ambitieux programme de diversific</w:t>
      </w:r>
      <w:r w:rsidRPr="00873110">
        <w:rPr>
          <w:color w:val="000000"/>
          <w:szCs w:val="22"/>
        </w:rPr>
        <w:t>a</w:t>
      </w:r>
      <w:r w:rsidRPr="00873110">
        <w:rPr>
          <w:color w:val="000000"/>
          <w:szCs w:val="22"/>
        </w:rPr>
        <w:t>tion industrielle. De là une politique d'investissement dans les még</w:t>
      </w:r>
      <w:r w:rsidRPr="00873110">
        <w:rPr>
          <w:color w:val="000000"/>
          <w:szCs w:val="22"/>
        </w:rPr>
        <w:t>a</w:t>
      </w:r>
      <w:r w:rsidRPr="00873110">
        <w:rPr>
          <w:color w:val="000000"/>
          <w:szCs w:val="22"/>
        </w:rPr>
        <w:t>projets et de coordination économique qui font de la mise en valeur des hydrocarbures le levier de l'industrialisation de l'Alberta. Mais au-delà de ces calculs à long terme, l'originalité de l'Alberta est d'avoir réussi à développer une approche associant étroitement les secteurs privé et public, transnational et local, dans la prévision, l'achemin</w:t>
      </w:r>
      <w:r w:rsidRPr="00873110">
        <w:rPr>
          <w:color w:val="000000"/>
          <w:szCs w:val="22"/>
        </w:rPr>
        <w:t>e</w:t>
      </w:r>
      <w:r w:rsidRPr="00873110">
        <w:rPr>
          <w:color w:val="000000"/>
          <w:szCs w:val="22"/>
        </w:rPr>
        <w:t>ment et la localisation des investissements. Calquant ses attitudes sur celles du secteur privé, Edmonton se veut très « affairiste ». Chargé d'accompagner et de faciliter la pénétration des investissements ant</w:t>
      </w:r>
      <w:r w:rsidRPr="00873110">
        <w:rPr>
          <w:color w:val="000000"/>
          <w:szCs w:val="22"/>
        </w:rPr>
        <w:t>i</w:t>
      </w:r>
      <w:r w:rsidRPr="00873110">
        <w:rPr>
          <w:color w:val="000000"/>
          <w:szCs w:val="22"/>
        </w:rPr>
        <w:t>cipés, le gouvernement s'octroie une mission complémentaire : celle de créer les nécessaires infrastructures, tout en intervenant auprès des banques d'affaires, si présentes dans la région, de manière à mob</w:t>
      </w:r>
      <w:r>
        <w:rPr>
          <w:color w:val="000000"/>
          <w:szCs w:val="22"/>
        </w:rPr>
        <w:t>iliser le capital de risque. L'</w:t>
      </w:r>
      <w:r w:rsidRPr="00873110">
        <w:rPr>
          <w:color w:val="000000"/>
          <w:szCs w:val="22"/>
        </w:rPr>
        <w:t>Office de l'énergie albertain analyse l'état du marché et procède de temps à autre à une évaluation du volume de la production provinciale. Tantôt, l'Office donne son aval à une hausse modérée de la production, pour profiter au maximum des prix intern</w:t>
      </w:r>
      <w:r w:rsidRPr="00873110">
        <w:rPr>
          <w:color w:val="000000"/>
          <w:szCs w:val="22"/>
        </w:rPr>
        <w:t>a</w:t>
      </w:r>
      <w:r w:rsidRPr="00873110">
        <w:rPr>
          <w:color w:val="000000"/>
          <w:szCs w:val="22"/>
        </w:rPr>
        <w:t>tionaux ; tantôt il contingente cette production pour lutter contre la chute des prix. Axé étroitement sur les lois du marché, cet organisme provincial en suit l'évolution et propose une planification « libérale » qui se compare à celle que pratiquent certains pays producteurs de l'OPEP. Le ministère des Affaires municipales</w:t>
      </w:r>
      <w:r>
        <w:rPr>
          <w:color w:val="000000"/>
          <w:szCs w:val="22"/>
        </w:rPr>
        <w:t> </w:t>
      </w:r>
      <w:r>
        <w:rPr>
          <w:rStyle w:val="Appelnotedebasdep"/>
        </w:rPr>
        <w:footnoteReference w:id="379"/>
      </w:r>
      <w:r w:rsidRPr="00873110">
        <w:rPr>
          <w:color w:val="000000"/>
          <w:szCs w:val="22"/>
        </w:rPr>
        <w:t xml:space="preserve"> fait le pont entre le gouvernement provincial et les instances locales, si importantes en milieu de colonisation récente : municipalités, communautés en éme</w:t>
      </w:r>
      <w:r w:rsidRPr="00873110">
        <w:rPr>
          <w:color w:val="000000"/>
          <w:szCs w:val="22"/>
        </w:rPr>
        <w:t>r</w:t>
      </w:r>
      <w:r w:rsidRPr="00873110">
        <w:rPr>
          <w:color w:val="000000"/>
          <w:szCs w:val="22"/>
        </w:rPr>
        <w:t>gence et territoires amérindiens. C'est au sein de ce</w:t>
      </w:r>
      <w:r>
        <w:rPr>
          <w:color w:val="000000"/>
          <w:szCs w:val="22"/>
        </w:rPr>
        <w:t xml:space="preserve"> </w:t>
      </w:r>
      <w:r>
        <w:t xml:space="preserve">[219] </w:t>
      </w:r>
      <w:r w:rsidRPr="00873110">
        <w:rPr>
          <w:color w:val="000000"/>
          <w:szCs w:val="22"/>
        </w:rPr>
        <w:t>ministère que seraient conçus les programmes de recherche et d'expl</w:t>
      </w:r>
      <w:r w:rsidRPr="00873110">
        <w:rPr>
          <w:color w:val="000000"/>
          <w:szCs w:val="22"/>
        </w:rPr>
        <w:t>o</w:t>
      </w:r>
      <w:r w:rsidRPr="00873110">
        <w:rPr>
          <w:color w:val="000000"/>
          <w:szCs w:val="22"/>
        </w:rPr>
        <w:t>ration et définis les besoins en termes de financement. On retrouve par la suite l'Alberta Housing Authority, responsable de l'aspect « implantation sur le terrain » : ouverture de nouvelles localités, extension des serv</w:t>
      </w:r>
      <w:r w:rsidRPr="00873110">
        <w:rPr>
          <w:color w:val="000000"/>
          <w:szCs w:val="22"/>
        </w:rPr>
        <w:t>i</w:t>
      </w:r>
      <w:r w:rsidRPr="00873110">
        <w:rPr>
          <w:color w:val="000000"/>
          <w:szCs w:val="22"/>
        </w:rPr>
        <w:t>ces et adjudication des travaux de construction et d'aménagement. Quant au Conseil de préservation des ressources énergétiques</w:t>
      </w:r>
      <w:r>
        <w:rPr>
          <w:color w:val="000000"/>
          <w:szCs w:val="22"/>
        </w:rPr>
        <w:t> </w:t>
      </w:r>
      <w:r w:rsidRPr="00D756DB">
        <w:rPr>
          <w:rStyle w:val="Appelnotedebasdep"/>
        </w:rPr>
        <w:footnoteReference w:id="380"/>
      </w:r>
      <w:r w:rsidRPr="00873110">
        <w:rPr>
          <w:color w:val="000000"/>
          <w:szCs w:val="22"/>
        </w:rPr>
        <w:t>, il est mandaté pour insérer les nouveaux projets dans le cadre de la pol</w:t>
      </w:r>
      <w:r w:rsidRPr="00873110">
        <w:rPr>
          <w:color w:val="000000"/>
          <w:szCs w:val="22"/>
        </w:rPr>
        <w:t>i</w:t>
      </w:r>
      <w:r w:rsidRPr="00873110">
        <w:rPr>
          <w:color w:val="000000"/>
          <w:szCs w:val="22"/>
        </w:rPr>
        <w:t>tique provinciale de gestion et de conservation des ressources et de surveiller les retombées environnementales des pr</w:t>
      </w:r>
      <w:r w:rsidRPr="00873110">
        <w:rPr>
          <w:color w:val="000000"/>
          <w:szCs w:val="22"/>
        </w:rPr>
        <w:t>o</w:t>
      </w:r>
      <w:r w:rsidRPr="00873110">
        <w:rPr>
          <w:color w:val="000000"/>
          <w:szCs w:val="22"/>
        </w:rPr>
        <w:t>jets.</w:t>
      </w:r>
    </w:p>
    <w:p w:rsidR="00AD690E" w:rsidRPr="00873110" w:rsidRDefault="00AD690E" w:rsidP="00AD690E">
      <w:pPr>
        <w:spacing w:before="120" w:after="120"/>
        <w:jc w:val="both"/>
      </w:pPr>
      <w:r w:rsidRPr="00873110">
        <w:rPr>
          <w:color w:val="000000"/>
          <w:szCs w:val="22"/>
        </w:rPr>
        <w:t>Mais l'organisme le plus puissant dont dispose la province dans la mise en valeur de ses ressources énergétiques reste la Commission régionale du nord-est de l'Alberta</w:t>
      </w:r>
      <w:r>
        <w:rPr>
          <w:color w:val="000000"/>
          <w:szCs w:val="22"/>
        </w:rPr>
        <w:t> </w:t>
      </w:r>
      <w:r w:rsidRPr="00D756DB">
        <w:rPr>
          <w:rStyle w:val="Appelnotedebasdep"/>
        </w:rPr>
        <w:footnoteReference w:id="381"/>
      </w:r>
      <w:r w:rsidRPr="00873110">
        <w:rPr>
          <w:color w:val="000000"/>
          <w:szCs w:val="22"/>
        </w:rPr>
        <w:t>, dont les pouvoirs très étendus sont de nature semi-judiciaire. Comme définisseur de projets et « planificateur régional », cet organisme est en mesure de passer o</w:t>
      </w:r>
      <w:r w:rsidRPr="00873110">
        <w:rPr>
          <w:color w:val="000000"/>
          <w:szCs w:val="22"/>
        </w:rPr>
        <w:t>u</w:t>
      </w:r>
      <w:r w:rsidRPr="00873110">
        <w:rPr>
          <w:color w:val="000000"/>
          <w:szCs w:val="22"/>
        </w:rPr>
        <w:t>tre, si besoin est, aux législations provinciales ou locales en vertu de son mandat particulier qui est de mettre en valeur une région prome</w:t>
      </w:r>
      <w:r w:rsidRPr="00873110">
        <w:rPr>
          <w:color w:val="000000"/>
          <w:szCs w:val="22"/>
        </w:rPr>
        <w:t>t</w:t>
      </w:r>
      <w:r w:rsidRPr="00873110">
        <w:rPr>
          <w:color w:val="000000"/>
          <w:szCs w:val="22"/>
        </w:rPr>
        <w:t>teuse, où sont notamment situées les zones de sables bitumineux. Sa réussite majeure reste le développement de la zone de Fort McMurray, considéré comme un « modèle » par certains observateurs d'outre-frontière</w:t>
      </w:r>
      <w:r>
        <w:rPr>
          <w:color w:val="000000"/>
          <w:szCs w:val="22"/>
        </w:rPr>
        <w:t> </w:t>
      </w:r>
      <w:r w:rsidRPr="00D756DB">
        <w:rPr>
          <w:rStyle w:val="Appelnotedebasdep"/>
        </w:rPr>
        <w:footnoteReference w:id="382"/>
      </w:r>
      <w:r w:rsidRPr="00873110">
        <w:rPr>
          <w:color w:val="000000"/>
          <w:szCs w:val="22"/>
        </w:rPr>
        <w:t>.</w:t>
      </w:r>
    </w:p>
    <w:p w:rsidR="00AD690E" w:rsidRDefault="00AD690E" w:rsidP="00AD690E">
      <w:pPr>
        <w:spacing w:before="120" w:after="120"/>
        <w:jc w:val="both"/>
        <w:rPr>
          <w:color w:val="000000"/>
          <w:szCs w:val="22"/>
        </w:rPr>
      </w:pPr>
      <w:r w:rsidRPr="00873110">
        <w:rPr>
          <w:color w:val="000000"/>
          <w:szCs w:val="22"/>
        </w:rPr>
        <w:t>Un essor récent dans les années 70 permet ainsi à l'Alberta de me</w:t>
      </w:r>
      <w:r w:rsidRPr="00873110">
        <w:rPr>
          <w:color w:val="000000"/>
          <w:szCs w:val="22"/>
        </w:rPr>
        <w:t>t</w:t>
      </w:r>
      <w:r w:rsidRPr="00873110">
        <w:rPr>
          <w:color w:val="000000"/>
          <w:szCs w:val="22"/>
        </w:rPr>
        <w:t>tre sur</w:t>
      </w:r>
      <w:r>
        <w:rPr>
          <w:color w:val="000000"/>
          <w:szCs w:val="22"/>
        </w:rPr>
        <w:t xml:space="preserve"> pied un Fonds du patrimoine {</w:t>
      </w:r>
      <w:r w:rsidRPr="003F1433">
        <w:rPr>
          <w:i/>
          <w:color w:val="000000"/>
          <w:szCs w:val="22"/>
        </w:rPr>
        <w:t>Heritage Fund</w:t>
      </w:r>
      <w:r w:rsidRPr="00873110">
        <w:rPr>
          <w:color w:val="000000"/>
          <w:szCs w:val="22"/>
        </w:rPr>
        <w:t>), dont les re</w:t>
      </w:r>
      <w:r w:rsidRPr="00873110">
        <w:rPr>
          <w:color w:val="000000"/>
          <w:szCs w:val="22"/>
        </w:rPr>
        <w:t>s</w:t>
      </w:r>
      <w:r w:rsidRPr="00873110">
        <w:rPr>
          <w:color w:val="000000"/>
          <w:szCs w:val="22"/>
        </w:rPr>
        <w:t>sources considérables sont à la disposition des hommes d'affaires a</w:t>
      </w:r>
      <w:r w:rsidRPr="00873110">
        <w:rPr>
          <w:color w:val="000000"/>
          <w:szCs w:val="22"/>
        </w:rPr>
        <w:t>l</w:t>
      </w:r>
      <w:r w:rsidRPr="00873110">
        <w:rPr>
          <w:color w:val="000000"/>
          <w:szCs w:val="22"/>
        </w:rPr>
        <w:t>bertains et, en second lieu, des provinces consommatrices de pétrole disposées à financer leurs projets particuliers en dollars canadiens</w:t>
      </w:r>
      <w:r>
        <w:rPr>
          <w:color w:val="000000"/>
          <w:szCs w:val="22"/>
        </w:rPr>
        <w:t> </w:t>
      </w:r>
      <w:r w:rsidRPr="00D756DB">
        <w:rPr>
          <w:rStyle w:val="Appelnotedebasdep"/>
        </w:rPr>
        <w:footnoteReference w:id="383"/>
      </w:r>
      <w:r w:rsidRPr="00873110">
        <w:rPr>
          <w:color w:val="000000"/>
          <w:szCs w:val="22"/>
        </w:rPr>
        <w:t>. En cela, l'Alberta ne fait que s'inspirer des mécanismes de recyclage des pétrodollars mis en place à la même époque par les pays produ</w:t>
      </w:r>
      <w:r w:rsidRPr="00873110">
        <w:rPr>
          <w:color w:val="000000"/>
          <w:szCs w:val="22"/>
        </w:rPr>
        <w:t>c</w:t>
      </w:r>
      <w:r w:rsidRPr="00873110">
        <w:rPr>
          <w:color w:val="000000"/>
          <w:szCs w:val="22"/>
        </w:rPr>
        <w:t>teurs de pétrole</w:t>
      </w:r>
      <w:r>
        <w:rPr>
          <w:color w:val="000000"/>
          <w:szCs w:val="22"/>
        </w:rPr>
        <w:t> </w:t>
      </w:r>
      <w:r w:rsidRPr="00D756DB">
        <w:rPr>
          <w:rStyle w:val="Appelnotedebasdep"/>
        </w:rPr>
        <w:footnoteReference w:id="384"/>
      </w:r>
      <w:r w:rsidRPr="00873110">
        <w:rPr>
          <w:color w:val="000000"/>
          <w:szCs w:val="22"/>
        </w:rPr>
        <w:t>.</w:t>
      </w:r>
    </w:p>
    <w:p w:rsidR="00AD690E" w:rsidRPr="00873110" w:rsidRDefault="00AD690E" w:rsidP="00AD690E">
      <w:pPr>
        <w:spacing w:before="120" w:after="120"/>
        <w:jc w:val="both"/>
      </w:pPr>
      <w:r>
        <w:rPr>
          <w:color w:val="000000"/>
          <w:szCs w:val="18"/>
        </w:rPr>
        <w:t>[</w:t>
      </w:r>
      <w:r w:rsidRPr="00873110">
        <w:rPr>
          <w:rFonts w:cs="Arial"/>
          <w:color w:val="000000"/>
          <w:szCs w:val="18"/>
        </w:rPr>
        <w:t>220</w:t>
      </w:r>
      <w:r>
        <w:rPr>
          <w:rFonts w:cs="Arial"/>
          <w:color w:val="000000"/>
          <w:szCs w:val="18"/>
        </w:rPr>
        <w:t>]</w:t>
      </w:r>
    </w:p>
    <w:p w:rsidR="00AD690E" w:rsidRPr="00873110" w:rsidRDefault="00AD690E" w:rsidP="00AD690E">
      <w:pPr>
        <w:spacing w:before="120" w:after="120"/>
        <w:jc w:val="both"/>
      </w:pPr>
      <w:r w:rsidRPr="00873110">
        <w:rPr>
          <w:color w:val="000000"/>
          <w:szCs w:val="22"/>
        </w:rPr>
        <w:t>Que le gouvernement conservateur de Peter Lougheed fasse mo</w:t>
      </w:r>
      <w:r w:rsidRPr="00873110">
        <w:rPr>
          <w:color w:val="000000"/>
          <w:szCs w:val="22"/>
        </w:rPr>
        <w:t>n</w:t>
      </w:r>
      <w:r w:rsidRPr="00873110">
        <w:rPr>
          <w:color w:val="000000"/>
          <w:szCs w:val="22"/>
        </w:rPr>
        <w:t>tre d'un préjugé favorable envers les Grands de l'industrie pétrolière, voilà qui saute aux yeux. Ainsi en 1973, le consortium Syncrude, constitué par Esso, Atlantic Richfield et City Services à 30</w:t>
      </w:r>
      <w:r>
        <w:rPr>
          <w:color w:val="000000"/>
          <w:szCs w:val="22"/>
        </w:rPr>
        <w:t>%</w:t>
      </w:r>
      <w:r w:rsidRPr="00873110">
        <w:rPr>
          <w:color w:val="000000"/>
          <w:szCs w:val="22"/>
        </w:rPr>
        <w:t xml:space="preserve"> chacun et par Gulf à 10</w:t>
      </w:r>
      <w:r>
        <w:rPr>
          <w:color w:val="000000"/>
          <w:szCs w:val="22"/>
        </w:rPr>
        <w:t>%</w:t>
      </w:r>
      <w:r w:rsidRPr="00873110">
        <w:rPr>
          <w:color w:val="000000"/>
          <w:szCs w:val="22"/>
        </w:rPr>
        <w:t>, chargé de développer un mégaprojet de traitement des sables bitumineux, menace de se retirer du projet sans un soutien accru des gouvernements. Lougheed se porte alors à son secours et repousse les avis de ses fonctionnaires qui lui suggéraient un projet « canadien » mettant davantage l'accent sur la technologie canadienne, les firmes de services locales et la protection de l'environnement. Lougheed rejette ainsi une alternative qui aurait signifié plus de r</w:t>
      </w:r>
      <w:r w:rsidRPr="00873110">
        <w:rPr>
          <w:color w:val="000000"/>
          <w:szCs w:val="22"/>
        </w:rPr>
        <w:t>é</w:t>
      </w:r>
      <w:r w:rsidRPr="00873110">
        <w:rPr>
          <w:color w:val="000000"/>
          <w:szCs w:val="22"/>
        </w:rPr>
        <w:t>glementation et accorde à Syncrude, en août 1973, ce qu'elle dema</w:t>
      </w:r>
      <w:r w:rsidRPr="00873110">
        <w:rPr>
          <w:color w:val="000000"/>
          <w:szCs w:val="22"/>
        </w:rPr>
        <w:t>n</w:t>
      </w:r>
      <w:r w:rsidRPr="00873110">
        <w:rPr>
          <w:color w:val="000000"/>
          <w:szCs w:val="22"/>
        </w:rPr>
        <w:t>dait : diminution des royalties et des taxes, meilleurs prix pour le p</w:t>
      </w:r>
      <w:r w:rsidRPr="00873110">
        <w:rPr>
          <w:color w:val="000000"/>
          <w:szCs w:val="22"/>
        </w:rPr>
        <w:t>é</w:t>
      </w:r>
      <w:r w:rsidRPr="00873110">
        <w:rPr>
          <w:color w:val="000000"/>
          <w:szCs w:val="22"/>
        </w:rPr>
        <w:t>trole de synthèse, émasculation des lois sur les conditions de travail, construction d'infrastructures à même l'argent du contribuable, affa</w:t>
      </w:r>
      <w:r w:rsidRPr="00873110">
        <w:rPr>
          <w:color w:val="000000"/>
          <w:szCs w:val="22"/>
        </w:rPr>
        <w:t>i</w:t>
      </w:r>
      <w:r w:rsidRPr="00873110">
        <w:rPr>
          <w:color w:val="000000"/>
          <w:szCs w:val="22"/>
        </w:rPr>
        <w:t>blissement des lois environnementales, etc. Ottawa l'accompagne d'ailleurs sur ce terrain. En 1974, nouveau chantage après le départ d'Atlantic Richfield. Les deux niveaux de gouvernement injectent ce</w:t>
      </w:r>
      <w:r w:rsidRPr="00873110">
        <w:rPr>
          <w:color w:val="000000"/>
          <w:szCs w:val="22"/>
        </w:rPr>
        <w:t>t</w:t>
      </w:r>
      <w:r w:rsidRPr="00873110">
        <w:rPr>
          <w:color w:val="000000"/>
          <w:szCs w:val="22"/>
        </w:rPr>
        <w:t>te fois plus de 500 millions de dollars, au nom de l'« autosuffisance » énergétique. C'est la belle époque des mégaprojets où l'industrie dicte pratiquement ses conditions aux gouvernements.</w:t>
      </w:r>
    </w:p>
    <w:p w:rsidR="00AD690E" w:rsidRDefault="00AD690E" w:rsidP="00AD690E">
      <w:pPr>
        <w:spacing w:before="120" w:after="120"/>
        <w:jc w:val="both"/>
        <w:rPr>
          <w:color w:val="000000"/>
          <w:szCs w:val="22"/>
        </w:rPr>
      </w:pPr>
      <w:r w:rsidRPr="00873110">
        <w:rPr>
          <w:color w:val="000000"/>
          <w:szCs w:val="22"/>
        </w:rPr>
        <w:t>C'est ainsi que, vers la fin de la décennie, les projets de sables b</w:t>
      </w:r>
      <w:r w:rsidRPr="00873110">
        <w:rPr>
          <w:color w:val="000000"/>
          <w:szCs w:val="22"/>
        </w:rPr>
        <w:t>i</w:t>
      </w:r>
      <w:r w:rsidRPr="00873110">
        <w:rPr>
          <w:color w:val="000000"/>
          <w:szCs w:val="22"/>
        </w:rPr>
        <w:t>tumineux de Cold Lake et Alsands sont lancés ; le Fonds du patrimo</w:t>
      </w:r>
      <w:r w:rsidRPr="00873110">
        <w:rPr>
          <w:color w:val="000000"/>
          <w:szCs w:val="22"/>
        </w:rPr>
        <w:t>i</w:t>
      </w:r>
      <w:r w:rsidRPr="00873110">
        <w:rPr>
          <w:color w:val="000000"/>
          <w:szCs w:val="22"/>
        </w:rPr>
        <w:t>ne devient, avec ses 13 milliards, une source importante de soutien à l'investissement et un puissant outil politique, même à l'extérieur de l'Alberta</w:t>
      </w:r>
      <w:r>
        <w:rPr>
          <w:color w:val="000000"/>
          <w:szCs w:val="22"/>
        </w:rPr>
        <w:t> </w:t>
      </w:r>
      <w:r>
        <w:rPr>
          <w:rStyle w:val="Appelnotedebasdep"/>
        </w:rPr>
        <w:footnoteReference w:id="385"/>
      </w:r>
      <w:r>
        <w:rPr>
          <w:color w:val="000000"/>
          <w:szCs w:val="22"/>
          <w:vertAlign w:val="superscript"/>
        </w:rPr>
        <w:t xml:space="preserve"> </w:t>
      </w:r>
      <w:r w:rsidRPr="00873110">
        <w:rPr>
          <w:color w:val="000000"/>
          <w:szCs w:val="22"/>
        </w:rPr>
        <w:t xml:space="preserve"> Persuadé qu'il détient la clé du rêve d'autosuffisance c</w:t>
      </w:r>
      <w:r w:rsidRPr="00873110">
        <w:rPr>
          <w:color w:val="000000"/>
          <w:szCs w:val="22"/>
        </w:rPr>
        <w:t>a</w:t>
      </w:r>
      <w:r w:rsidRPr="00873110">
        <w:rPr>
          <w:color w:val="000000"/>
          <w:szCs w:val="22"/>
        </w:rPr>
        <w:t>nadien mis de l'avant par le fédéral, le gouvernement conservateur de Peter Lougheed, grâce à l'essor du secteur énergétique de sa province, fait montre d'une confiance qui va l'entraîner dans une dispute maje</w:t>
      </w:r>
      <w:r w:rsidRPr="00873110">
        <w:rPr>
          <w:color w:val="000000"/>
          <w:szCs w:val="22"/>
        </w:rPr>
        <w:t>u</w:t>
      </w:r>
      <w:r w:rsidRPr="00873110">
        <w:rPr>
          <w:color w:val="000000"/>
          <w:szCs w:val="22"/>
        </w:rPr>
        <w:t>re avec Ottawa sur la conception même du fédéralisme, contribuant peut-être au caractère unilatéral des décisions entourant la formulation du Programme énergétique national de 1980.</w:t>
      </w:r>
    </w:p>
    <w:p w:rsidR="00AD690E" w:rsidRDefault="00AD690E" w:rsidP="00AD690E">
      <w:pPr>
        <w:spacing w:before="120" w:after="120"/>
        <w:jc w:val="both"/>
      </w:pPr>
      <w:r>
        <w:t>[221]</w:t>
      </w:r>
    </w:p>
    <w:p w:rsidR="00AD690E" w:rsidRDefault="00AD690E" w:rsidP="00AD690E">
      <w:pPr>
        <w:spacing w:before="120" w:after="120"/>
        <w:jc w:val="both"/>
      </w:pPr>
    </w:p>
    <w:p w:rsidR="00AD690E" w:rsidRPr="00873110" w:rsidRDefault="00AD690E" w:rsidP="00AD690E">
      <w:pPr>
        <w:pStyle w:val="planche"/>
      </w:pPr>
      <w:r>
        <w:t>LA PREMIÈ</w:t>
      </w:r>
      <w:r w:rsidRPr="00873110">
        <w:t xml:space="preserve">RE </w:t>
      </w:r>
      <w:r>
        <w:t>É</w:t>
      </w:r>
      <w:r w:rsidRPr="00873110">
        <w:t>POQUE LIB</w:t>
      </w:r>
      <w:r>
        <w:t>É</w:t>
      </w:r>
      <w:r w:rsidRPr="00873110">
        <w:t>RALE</w:t>
      </w:r>
      <w:r>
        <w:br/>
      </w:r>
      <w:r w:rsidRPr="00873110">
        <w:t>ET LE MAINTIEN DE LA TRADITION</w:t>
      </w:r>
    </w:p>
    <w:p w:rsidR="00AD690E" w:rsidRDefault="00AD690E" w:rsidP="00AD690E">
      <w:pPr>
        <w:spacing w:before="120" w:after="120"/>
        <w:jc w:val="both"/>
        <w:rPr>
          <w:color w:val="000000"/>
          <w:szCs w:val="22"/>
        </w:rPr>
      </w:pPr>
    </w:p>
    <w:p w:rsidR="00AD690E" w:rsidRPr="00873110" w:rsidRDefault="00AD690E" w:rsidP="00AD690E">
      <w:pPr>
        <w:spacing w:before="120" w:after="120"/>
        <w:jc w:val="both"/>
      </w:pPr>
      <w:r w:rsidRPr="00873110">
        <w:rPr>
          <w:color w:val="000000"/>
          <w:szCs w:val="22"/>
        </w:rPr>
        <w:t>Ce dispositif mis en place, le gouvernement n'a théoriquement plus qu'à « laisser faire ». Toutefois, il subsiste un écart suffisant entre les deux prix, plus de un dollar le baril, pour favoriser l'essor des import</w:t>
      </w:r>
      <w:r w:rsidRPr="00873110">
        <w:rPr>
          <w:color w:val="000000"/>
          <w:szCs w:val="22"/>
        </w:rPr>
        <w:t>a</w:t>
      </w:r>
      <w:r w:rsidRPr="00873110">
        <w:rPr>
          <w:color w:val="000000"/>
          <w:szCs w:val="22"/>
        </w:rPr>
        <w:t>tions de pétrole raffiné « québécois » en direction de l'Ontario et des États-Unis. L'Office national de l'énergie intervient alors pour conti</w:t>
      </w:r>
      <w:r w:rsidRPr="00873110">
        <w:rPr>
          <w:color w:val="000000"/>
          <w:szCs w:val="22"/>
        </w:rPr>
        <w:t>n</w:t>
      </w:r>
      <w:r w:rsidRPr="00873110">
        <w:rPr>
          <w:color w:val="000000"/>
          <w:szCs w:val="22"/>
        </w:rPr>
        <w:t>genter sévèrement les licences d'importation interprovinciales, ce qui accentue le déclin de l'industrie du raffinage à Montréal-Est. Les pr</w:t>
      </w:r>
      <w:r w:rsidRPr="00873110">
        <w:rPr>
          <w:color w:val="000000"/>
          <w:szCs w:val="22"/>
        </w:rPr>
        <w:t>o</w:t>
      </w:r>
      <w:r w:rsidRPr="00873110">
        <w:rPr>
          <w:color w:val="000000"/>
          <w:szCs w:val="22"/>
        </w:rPr>
        <w:t>cédés couramment employés alors sont révélateurs de l'esprit de l'ép</w:t>
      </w:r>
      <w:r w:rsidRPr="00873110">
        <w:rPr>
          <w:color w:val="000000"/>
          <w:szCs w:val="22"/>
        </w:rPr>
        <w:t>o</w:t>
      </w:r>
      <w:r w:rsidRPr="00873110">
        <w:rPr>
          <w:color w:val="000000"/>
          <w:szCs w:val="22"/>
        </w:rPr>
        <w:t>que et de la nature continentaliste de la PPN.</w:t>
      </w:r>
    </w:p>
    <w:p w:rsidR="00AD690E" w:rsidRDefault="00AD690E" w:rsidP="00AD690E">
      <w:pPr>
        <w:spacing w:before="120" w:after="120"/>
        <w:jc w:val="both"/>
        <w:rPr>
          <w:color w:val="000000"/>
          <w:szCs w:val="22"/>
        </w:rPr>
      </w:pPr>
      <w:r w:rsidRPr="00873110">
        <w:rPr>
          <w:color w:val="000000"/>
          <w:szCs w:val="22"/>
        </w:rPr>
        <w:t>On sait que, dès le début des années 60, l'oligopole pétrolier che</w:t>
      </w:r>
      <w:r w:rsidRPr="00873110">
        <w:rPr>
          <w:color w:val="000000"/>
          <w:szCs w:val="22"/>
        </w:rPr>
        <w:t>r</w:t>
      </w:r>
      <w:r w:rsidRPr="00873110">
        <w:rPr>
          <w:color w:val="000000"/>
          <w:szCs w:val="22"/>
        </w:rPr>
        <w:t>che ouvertement à harmoniser la politique canadienne avec celle des États-Unis. On peut donc parler d'une politique pétrolière « continentale », qui s'articule principalement sur l'instauration d'un système de licences en vue de restreindre les importations de brut et de produits finis en provenance de l'Est canadien</w:t>
      </w:r>
      <w:r>
        <w:rPr>
          <w:color w:val="000000"/>
          <w:szCs w:val="22"/>
        </w:rPr>
        <w:t> </w:t>
      </w:r>
      <w:r w:rsidRPr="00D756DB">
        <w:rPr>
          <w:rStyle w:val="Appelnotedebasdep"/>
        </w:rPr>
        <w:footnoteReference w:id="386"/>
      </w:r>
      <w:r>
        <w:rPr>
          <w:color w:val="000000"/>
          <w:szCs w:val="22"/>
        </w:rPr>
        <w:t>.</w:t>
      </w:r>
      <w:r w:rsidRPr="00873110">
        <w:rPr>
          <w:color w:val="000000"/>
          <w:szCs w:val="22"/>
        </w:rPr>
        <w:t xml:space="preserve"> Dans les années qui suivent, grâce à son prix moins élevé, ce pétrole parvient quand même à s'infiltrer progressivement dans l'espace ontarien et les Am</w:t>
      </w:r>
      <w:r w:rsidRPr="00873110">
        <w:rPr>
          <w:color w:val="000000"/>
          <w:szCs w:val="22"/>
        </w:rPr>
        <w:t>é</w:t>
      </w:r>
      <w:r w:rsidRPr="00873110">
        <w:rPr>
          <w:color w:val="000000"/>
          <w:szCs w:val="22"/>
        </w:rPr>
        <w:t>ricains craignent plus que tout des exportations canadiennes de ce p</w:t>
      </w:r>
      <w:r w:rsidRPr="00873110">
        <w:rPr>
          <w:color w:val="000000"/>
          <w:szCs w:val="22"/>
        </w:rPr>
        <w:t>é</w:t>
      </w:r>
      <w:r w:rsidRPr="00873110">
        <w:rPr>
          <w:color w:val="000000"/>
          <w:szCs w:val="22"/>
        </w:rPr>
        <w:t>trole à l'intérieur de leurs frontières. Pour faire face à ce problème, susceptible d'assombrir les relations entre Ottawa et Washington, une relation tout à fait particulière unissant Esso et l'Office national de l'énergie (ONE) devait permettre longtemps de mettre en pratique le dispositif des licences restrictives qui était appelé à une certaine lo</w:t>
      </w:r>
      <w:r w:rsidRPr="00873110">
        <w:rPr>
          <w:color w:val="000000"/>
          <w:szCs w:val="22"/>
        </w:rPr>
        <w:t>n</w:t>
      </w:r>
      <w:r w:rsidRPr="00873110">
        <w:rPr>
          <w:color w:val="000000"/>
          <w:szCs w:val="22"/>
        </w:rPr>
        <w:t>gévité</w:t>
      </w:r>
      <w:r>
        <w:rPr>
          <w:color w:val="000000"/>
          <w:szCs w:val="22"/>
        </w:rPr>
        <w:t> </w:t>
      </w:r>
      <w:r w:rsidRPr="00D756DB">
        <w:rPr>
          <w:rStyle w:val="Appelnotedebasdep"/>
        </w:rPr>
        <w:footnoteReference w:id="387"/>
      </w:r>
      <w:r w:rsidRPr="00873110">
        <w:rPr>
          <w:color w:val="000000"/>
          <w:szCs w:val="22"/>
        </w:rPr>
        <w:t>. D'ailleurs, presque dix ans plus tard, en 1969, il semble que rien n'a fondamentalement évolué dans cette relation, puisque le pr</w:t>
      </w:r>
      <w:r w:rsidRPr="00873110">
        <w:rPr>
          <w:color w:val="000000"/>
          <w:szCs w:val="22"/>
        </w:rPr>
        <w:t>é</w:t>
      </w:r>
      <w:r w:rsidRPr="00873110">
        <w:rPr>
          <w:color w:val="000000"/>
          <w:szCs w:val="22"/>
        </w:rPr>
        <w:t>sident d'Esso peut encore écrire :</w:t>
      </w:r>
    </w:p>
    <w:p w:rsidR="00AD690E" w:rsidRDefault="00AD690E" w:rsidP="00AD690E">
      <w:pPr>
        <w:pStyle w:val="Grillecouleur-Accent1"/>
      </w:pPr>
    </w:p>
    <w:p w:rsidR="00AD690E" w:rsidRDefault="00AD690E" w:rsidP="00AD690E">
      <w:pPr>
        <w:pStyle w:val="Grillecouleur-Accent1"/>
        <w:rPr>
          <w:i/>
        </w:rPr>
      </w:pPr>
      <w:r w:rsidRPr="00873110">
        <w:rPr>
          <w:szCs w:val="18"/>
        </w:rPr>
        <w:t>L'Office national de l'énergie s'est encore adressé à l'industrie et, croyons-nous, principalement à Esso pour obtenir son opinion sur des points de politique générale et sur des questions précises de volume et d'évaluation de l'industrie</w:t>
      </w:r>
      <w:r>
        <w:rPr>
          <w:szCs w:val="18"/>
        </w:rPr>
        <w:t> </w:t>
      </w:r>
      <w:r>
        <w:rPr>
          <w:rStyle w:val="Appelnotedebasdep"/>
          <w:szCs w:val="18"/>
        </w:rPr>
        <w:footnoteReference w:id="388"/>
      </w:r>
      <w:r w:rsidRPr="00873110">
        <w:rPr>
          <w:szCs w:val="18"/>
        </w:rPr>
        <w:t>.</w:t>
      </w:r>
    </w:p>
    <w:p w:rsidR="00AD690E" w:rsidRPr="000217F5" w:rsidRDefault="00AD690E" w:rsidP="00AD690E">
      <w:pPr>
        <w:pStyle w:val="Grillecouleur-Accent1"/>
        <w:rPr>
          <w:i/>
        </w:rPr>
      </w:pPr>
    </w:p>
    <w:p w:rsidR="00AD690E" w:rsidRPr="00873110" w:rsidRDefault="00AD690E" w:rsidP="00AD690E">
      <w:pPr>
        <w:spacing w:before="120" w:after="120"/>
        <w:ind w:firstLine="0"/>
        <w:jc w:val="both"/>
      </w:pPr>
      <w:r w:rsidRPr="000F27CA">
        <w:t xml:space="preserve"> </w:t>
      </w:r>
      <w:r w:rsidRPr="00873110">
        <w:rPr>
          <w:color w:val="000000"/>
          <w:szCs w:val="22"/>
        </w:rPr>
        <w:t>Quelques années plus tard, avec le déclenchement de la crise pétroli</w:t>
      </w:r>
      <w:r w:rsidRPr="00873110">
        <w:rPr>
          <w:color w:val="000000"/>
          <w:szCs w:val="22"/>
        </w:rPr>
        <w:t>è</w:t>
      </w:r>
      <w:r w:rsidRPr="00873110">
        <w:rPr>
          <w:color w:val="000000"/>
          <w:szCs w:val="22"/>
        </w:rPr>
        <w:t>re internationale en 1973, le gouvernement fédéral redéfinit la polit</w:t>
      </w:r>
      <w:r w:rsidRPr="00873110">
        <w:rPr>
          <w:color w:val="000000"/>
          <w:szCs w:val="22"/>
        </w:rPr>
        <w:t>i</w:t>
      </w:r>
      <w:r w:rsidRPr="00873110">
        <w:rPr>
          <w:color w:val="000000"/>
          <w:szCs w:val="22"/>
        </w:rPr>
        <w:t>que énergétique</w:t>
      </w:r>
      <w:r>
        <w:rPr>
          <w:color w:val="000000"/>
          <w:szCs w:val="22"/>
        </w:rPr>
        <w:t xml:space="preserve"> </w:t>
      </w:r>
      <w:r>
        <w:rPr>
          <w:color w:val="000000"/>
          <w:szCs w:val="18"/>
        </w:rPr>
        <w:t>[</w:t>
      </w:r>
      <w:r w:rsidRPr="00873110">
        <w:rPr>
          <w:rFonts w:cs="Arial"/>
          <w:color w:val="000000"/>
          <w:szCs w:val="18"/>
        </w:rPr>
        <w:t>222</w:t>
      </w:r>
      <w:r>
        <w:rPr>
          <w:rFonts w:cs="Arial"/>
          <w:color w:val="000000"/>
          <w:szCs w:val="18"/>
        </w:rPr>
        <w:t xml:space="preserve">] </w:t>
      </w:r>
      <w:r w:rsidRPr="00873110">
        <w:rPr>
          <w:color w:val="000000"/>
          <w:szCs w:val="22"/>
        </w:rPr>
        <w:t>et, encore une fois, prit le parti d'aider les e</w:t>
      </w:r>
      <w:r w:rsidRPr="00873110">
        <w:rPr>
          <w:color w:val="000000"/>
          <w:szCs w:val="22"/>
        </w:rPr>
        <w:t>n</w:t>
      </w:r>
      <w:r w:rsidRPr="00873110">
        <w:rPr>
          <w:color w:val="000000"/>
          <w:szCs w:val="22"/>
        </w:rPr>
        <w:t>treprises dominantes dans le secteur des hydrocarbures — import</w:t>
      </w:r>
      <w:r w:rsidRPr="00873110">
        <w:rPr>
          <w:color w:val="000000"/>
          <w:szCs w:val="22"/>
        </w:rPr>
        <w:t>a</w:t>
      </w:r>
      <w:r w:rsidRPr="00873110">
        <w:rPr>
          <w:color w:val="000000"/>
          <w:szCs w:val="22"/>
        </w:rPr>
        <w:t>teurs en gros et raffineurs ainsi que leur réseau peu rentable de reve</w:t>
      </w:r>
      <w:r w:rsidRPr="00873110">
        <w:rPr>
          <w:color w:val="000000"/>
          <w:szCs w:val="22"/>
        </w:rPr>
        <w:t>n</w:t>
      </w:r>
      <w:r w:rsidRPr="00873110">
        <w:rPr>
          <w:color w:val="000000"/>
          <w:szCs w:val="22"/>
        </w:rPr>
        <w:t>deurs et de détaillants conce</w:t>
      </w:r>
      <w:r w:rsidRPr="00873110">
        <w:rPr>
          <w:color w:val="000000"/>
          <w:szCs w:val="22"/>
        </w:rPr>
        <w:t>s</w:t>
      </w:r>
      <w:r w:rsidRPr="00873110">
        <w:rPr>
          <w:color w:val="000000"/>
          <w:szCs w:val="22"/>
        </w:rPr>
        <w:t>sionnaires — , quitte à nuire au secteur des revendeurs et détaillants indépendants, tous des Canadiens. L'e</w:t>
      </w:r>
      <w:r w:rsidRPr="00873110">
        <w:rPr>
          <w:color w:val="000000"/>
          <w:szCs w:val="22"/>
        </w:rPr>
        <w:t>s</w:t>
      </w:r>
      <w:r w:rsidRPr="00873110">
        <w:rPr>
          <w:color w:val="000000"/>
          <w:szCs w:val="22"/>
        </w:rPr>
        <w:t>sor de cette nouvelle classe de participants dans l'industrie canadienne avait pourtant été considérable depuis 1958 et laissait entrevoir co</w:t>
      </w:r>
      <w:r w:rsidRPr="00873110">
        <w:rPr>
          <w:color w:val="000000"/>
          <w:szCs w:val="22"/>
        </w:rPr>
        <w:t>m</w:t>
      </w:r>
      <w:r w:rsidRPr="00873110">
        <w:rPr>
          <w:color w:val="000000"/>
          <w:szCs w:val="22"/>
        </w:rPr>
        <w:t>me plausible la réduction de l'ol</w:t>
      </w:r>
      <w:r w:rsidRPr="00873110">
        <w:rPr>
          <w:color w:val="000000"/>
          <w:szCs w:val="22"/>
        </w:rPr>
        <w:t>i</w:t>
      </w:r>
      <w:r w:rsidRPr="00873110">
        <w:rPr>
          <w:color w:val="000000"/>
          <w:szCs w:val="22"/>
        </w:rPr>
        <w:t>gopole des transnationales</w:t>
      </w:r>
      <w:r>
        <w:rPr>
          <w:color w:val="000000"/>
          <w:szCs w:val="22"/>
        </w:rPr>
        <w:t> </w:t>
      </w:r>
      <w:r w:rsidRPr="00D756DB">
        <w:rPr>
          <w:rStyle w:val="Appelnotedebasdep"/>
        </w:rPr>
        <w:footnoteReference w:id="389"/>
      </w:r>
      <w:r w:rsidRPr="00873110">
        <w:rPr>
          <w:color w:val="000000"/>
          <w:szCs w:val="22"/>
        </w:rPr>
        <w:t>. Mais l'année 1973 fut celle du premier choc pétrolier et les pays industrial</w:t>
      </w:r>
      <w:r w:rsidRPr="00873110">
        <w:rPr>
          <w:color w:val="000000"/>
          <w:szCs w:val="22"/>
        </w:rPr>
        <w:t>i</w:t>
      </w:r>
      <w:r w:rsidRPr="00873110">
        <w:rPr>
          <w:color w:val="000000"/>
          <w:szCs w:val="22"/>
        </w:rPr>
        <w:t>sés entrèrent dans un long processus d'ajustement aux nouvelles do</w:t>
      </w:r>
      <w:r w:rsidRPr="00873110">
        <w:rPr>
          <w:color w:val="000000"/>
          <w:szCs w:val="22"/>
        </w:rPr>
        <w:t>n</w:t>
      </w:r>
      <w:r w:rsidRPr="00873110">
        <w:rPr>
          <w:color w:val="000000"/>
          <w:szCs w:val="22"/>
        </w:rPr>
        <w:t>nées internationales : élévation brusque des prix du brut et approv</w:t>
      </w:r>
      <w:r w:rsidRPr="00873110">
        <w:rPr>
          <w:color w:val="000000"/>
          <w:szCs w:val="22"/>
        </w:rPr>
        <w:t>i</w:t>
      </w:r>
      <w:r w:rsidRPr="00873110">
        <w:rPr>
          <w:color w:val="000000"/>
          <w:szCs w:val="22"/>
        </w:rPr>
        <w:t>sionnement instable.</w:t>
      </w:r>
    </w:p>
    <w:p w:rsidR="00AD690E" w:rsidRPr="00873110" w:rsidRDefault="00AD690E" w:rsidP="00AD690E">
      <w:pPr>
        <w:spacing w:before="120" w:after="120"/>
        <w:jc w:val="both"/>
      </w:pPr>
      <w:r w:rsidRPr="00873110">
        <w:rPr>
          <w:color w:val="000000"/>
          <w:szCs w:val="22"/>
        </w:rPr>
        <w:t>Dans un énoncé de politique en onze points, prononcé par le pr</w:t>
      </w:r>
      <w:r w:rsidRPr="00873110">
        <w:rPr>
          <w:color w:val="000000"/>
          <w:szCs w:val="22"/>
        </w:rPr>
        <w:t>e</w:t>
      </w:r>
      <w:r w:rsidRPr="00873110">
        <w:rPr>
          <w:color w:val="000000"/>
          <w:szCs w:val="22"/>
        </w:rPr>
        <w:t>mier mini</w:t>
      </w:r>
      <w:r>
        <w:rPr>
          <w:color w:val="000000"/>
          <w:szCs w:val="22"/>
        </w:rPr>
        <w:t>stre Trudeau le 6 décembre 1973</w:t>
      </w:r>
      <w:r w:rsidRPr="00873110">
        <w:rPr>
          <w:color w:val="000000"/>
          <w:szCs w:val="22"/>
        </w:rPr>
        <w:t>, le gouvernement fédéral mit de l'avant de nouvelles orientations. La première, la plus lourde de conséquences, fut la formule de maintien d'un prix « canadien » pour le pétrole et les produits pétroliers, inférieur au prix international, par le biais du Programme d'indemnisation des importateurs de pétrole (PIIP) qui, étant un subside à la consommation, favorisait d'abord les raffineurs et distributeurs. La seconde fut la politique de contingent</w:t>
      </w:r>
      <w:r w:rsidRPr="00873110">
        <w:rPr>
          <w:color w:val="000000"/>
          <w:szCs w:val="22"/>
        </w:rPr>
        <w:t>e</w:t>
      </w:r>
      <w:r w:rsidRPr="00873110">
        <w:rPr>
          <w:color w:val="000000"/>
          <w:szCs w:val="22"/>
        </w:rPr>
        <w:t>ment des exportations de pétrole et produits raffinés, au moyen d'un système restrictif de licences octroyées par l'Office national de l'éne</w:t>
      </w:r>
      <w:r w:rsidRPr="00873110">
        <w:rPr>
          <w:color w:val="000000"/>
          <w:szCs w:val="22"/>
        </w:rPr>
        <w:t>r</w:t>
      </w:r>
      <w:r w:rsidRPr="00873110">
        <w:rPr>
          <w:color w:val="000000"/>
          <w:szCs w:val="22"/>
        </w:rPr>
        <w:t>gie. Pour la première fois, le gouvernement cherchait à « isoler » l'e</w:t>
      </w:r>
      <w:r w:rsidRPr="00873110">
        <w:rPr>
          <w:color w:val="000000"/>
          <w:szCs w:val="22"/>
        </w:rPr>
        <w:t>s</w:t>
      </w:r>
      <w:r w:rsidRPr="00873110">
        <w:rPr>
          <w:color w:val="000000"/>
          <w:szCs w:val="22"/>
        </w:rPr>
        <w:t>pace national canadien des contraintes et des retombées négatives du marché international des hydrocarbures</w:t>
      </w:r>
      <w:r>
        <w:rPr>
          <w:color w:val="000000"/>
          <w:szCs w:val="22"/>
        </w:rPr>
        <w:t> </w:t>
      </w:r>
      <w:r w:rsidRPr="00D756DB">
        <w:rPr>
          <w:rStyle w:val="Appelnotedebasdep"/>
        </w:rPr>
        <w:footnoteReference w:id="390"/>
      </w:r>
      <w:r w:rsidRPr="00873110">
        <w:rPr>
          <w:color w:val="000000"/>
          <w:szCs w:val="22"/>
        </w:rPr>
        <w:t>. La politique d'autosuff</w:t>
      </w:r>
      <w:r w:rsidRPr="00873110">
        <w:rPr>
          <w:color w:val="000000"/>
          <w:szCs w:val="22"/>
        </w:rPr>
        <w:t>i</w:t>
      </w:r>
      <w:r w:rsidRPr="00873110">
        <w:rPr>
          <w:color w:val="000000"/>
          <w:szCs w:val="22"/>
        </w:rPr>
        <w:t>sance qui en découla impliquait nécessairement l'extension de l'olé</w:t>
      </w:r>
      <w:r w:rsidRPr="00873110">
        <w:rPr>
          <w:color w:val="000000"/>
          <w:szCs w:val="22"/>
        </w:rPr>
        <w:t>o</w:t>
      </w:r>
      <w:r w:rsidRPr="00873110">
        <w:rPr>
          <w:color w:val="000000"/>
          <w:szCs w:val="22"/>
        </w:rPr>
        <w:t>duc Edmonton-Sarnia jusqu'à Montréal, pour unifier le marché interne désormais entièrement « protégé », et le développement de la techn</w:t>
      </w:r>
      <w:r w:rsidRPr="00873110">
        <w:rPr>
          <w:color w:val="000000"/>
          <w:szCs w:val="22"/>
        </w:rPr>
        <w:t>o</w:t>
      </w:r>
      <w:r w:rsidRPr="00873110">
        <w:rPr>
          <w:color w:val="000000"/>
          <w:szCs w:val="22"/>
        </w:rPr>
        <w:t>logie de traitement des sables bitumineux, un domaine où le Canada d</w:t>
      </w:r>
      <w:r w:rsidRPr="00873110">
        <w:rPr>
          <w:color w:val="000000"/>
          <w:szCs w:val="22"/>
        </w:rPr>
        <w:t>e</w:t>
      </w:r>
      <w:r w:rsidRPr="00873110">
        <w:rPr>
          <w:color w:val="000000"/>
          <w:szCs w:val="22"/>
        </w:rPr>
        <w:t>vait prendre les devants à l'échelle mondiale.</w:t>
      </w:r>
    </w:p>
    <w:p w:rsidR="00AD690E" w:rsidRPr="00873110" w:rsidRDefault="00AD690E" w:rsidP="00AD690E">
      <w:pPr>
        <w:spacing w:before="120" w:after="120"/>
        <w:jc w:val="both"/>
      </w:pPr>
      <w:r w:rsidRPr="00873110">
        <w:rPr>
          <w:color w:val="000000"/>
          <w:szCs w:val="22"/>
        </w:rPr>
        <w:t>La nouvelle politique comportait enfin un volet complémentaire avec la création en 1975 d'une entreprise publique dotée d'un mandat de développement, d'orientation et de coordination nationales, Pétro-Canada. Celle-ci devait assurer la « présence » fédérale dans le se</w:t>
      </w:r>
      <w:r w:rsidRPr="00873110">
        <w:rPr>
          <w:color w:val="000000"/>
          <w:szCs w:val="22"/>
        </w:rPr>
        <w:t>c</w:t>
      </w:r>
      <w:r w:rsidRPr="00873110">
        <w:rPr>
          <w:color w:val="000000"/>
          <w:szCs w:val="22"/>
        </w:rPr>
        <w:t>teur. Larry Pratt écrit à son sujet :</w:t>
      </w:r>
    </w:p>
    <w:p w:rsidR="00AD690E" w:rsidRDefault="00AD690E" w:rsidP="00AD690E">
      <w:pPr>
        <w:spacing w:before="120" w:after="120"/>
        <w:ind w:firstLine="0"/>
        <w:jc w:val="both"/>
        <w:rPr>
          <w:color w:val="000000"/>
          <w:szCs w:val="18"/>
        </w:rPr>
      </w:pPr>
      <w:r w:rsidRPr="00873110">
        <w:rPr>
          <w:color w:val="000000"/>
          <w:szCs w:val="18"/>
        </w:rPr>
        <w:br w:type="page"/>
      </w:r>
      <w:r>
        <w:rPr>
          <w:color w:val="000000"/>
          <w:szCs w:val="18"/>
        </w:rPr>
        <w:t>[223]</w:t>
      </w:r>
    </w:p>
    <w:p w:rsidR="00AD690E" w:rsidRDefault="00AD690E" w:rsidP="00AD690E">
      <w:pPr>
        <w:pStyle w:val="Grillecouleur-Accent1"/>
      </w:pPr>
    </w:p>
    <w:p w:rsidR="00AD690E" w:rsidRDefault="00AD690E" w:rsidP="00AD690E">
      <w:pPr>
        <w:pStyle w:val="Grillecouleur-Accent1"/>
      </w:pPr>
      <w:r w:rsidRPr="003954FF">
        <w:t>The concept of a national oïl company found its strongest advocates within the government, notably in an Energy Department attempting to e</w:t>
      </w:r>
      <w:r w:rsidRPr="003954FF">
        <w:t>x</w:t>
      </w:r>
      <w:r w:rsidRPr="003954FF">
        <w:t>tend its control over the petroleum industry. Large permanent bureaucr</w:t>
      </w:r>
      <w:r w:rsidRPr="003954FF">
        <w:t>a</w:t>
      </w:r>
      <w:r w:rsidRPr="003954FF">
        <w:t>cies crave predictability and stability. Confronted in late 1973 wilh an i</w:t>
      </w:r>
      <w:r w:rsidRPr="003954FF">
        <w:t>n</w:t>
      </w:r>
      <w:r w:rsidRPr="003954FF">
        <w:t>ternational supply crisis whose outcome it could not détermine, and la</w:t>
      </w:r>
      <w:r w:rsidRPr="003954FF">
        <w:t>c</w:t>
      </w:r>
      <w:r w:rsidRPr="003954FF">
        <w:t>king influence over a multinational business notoriously résistant to polit</w:t>
      </w:r>
      <w:r w:rsidRPr="003954FF">
        <w:t>i</w:t>
      </w:r>
      <w:r w:rsidRPr="003954FF">
        <w:t xml:space="preserve">cal influence, </w:t>
      </w:r>
      <w:r>
        <w:t>Canada’</w:t>
      </w:r>
      <w:r w:rsidRPr="003954FF">
        <w:t>s f</w:t>
      </w:r>
      <w:r>
        <w:t>ede</w:t>
      </w:r>
      <w:r w:rsidRPr="003954FF">
        <w:t>ral bureaucracy sought to reduce uncertainty and to increase ils Knowledge of, and control over, the petroleum industry. Petro-Canada was created as an entreprise temoin — a bureaucratie device to witness what actually happened and why</w:t>
      </w:r>
      <w:r>
        <w:t>. </w:t>
      </w:r>
      <w:r w:rsidRPr="003954FF">
        <w:rPr>
          <w:rStyle w:val="Appelnotedebasdep"/>
        </w:rPr>
        <w:footnoteReference w:id="391"/>
      </w:r>
    </w:p>
    <w:p w:rsidR="00AD690E" w:rsidRDefault="00AD690E" w:rsidP="00AD690E">
      <w:pPr>
        <w:spacing w:before="120" w:after="120"/>
        <w:jc w:val="both"/>
        <w:rPr>
          <w:color w:val="000000"/>
          <w:szCs w:val="22"/>
        </w:rPr>
      </w:pPr>
    </w:p>
    <w:p w:rsidR="00AD690E" w:rsidRPr="00873110" w:rsidRDefault="00AD690E" w:rsidP="00AD690E">
      <w:pPr>
        <w:spacing w:before="120" w:after="120"/>
        <w:jc w:val="both"/>
      </w:pPr>
      <w:r w:rsidRPr="00873110">
        <w:rPr>
          <w:color w:val="000000"/>
          <w:szCs w:val="22"/>
        </w:rPr>
        <w:t>Il ne fallait cependant pas se faire d'illusions ; Pétro-Canada ne parviendrait à se faire accepter dans ce milieu fortement marqué par l'orthodoxie privatisante qu'avec le temps et surtout en s'inspirant étroitement, du moins au début, des règles du jeu en vigueur dans le secteur privé.</w:t>
      </w:r>
      <w:r w:rsidRPr="003954FF">
        <w:t xml:space="preserve"> </w:t>
      </w:r>
    </w:p>
    <w:p w:rsidR="00AD690E" w:rsidRPr="00873110" w:rsidRDefault="00AD690E" w:rsidP="00AD690E">
      <w:pPr>
        <w:spacing w:before="120" w:after="120"/>
        <w:jc w:val="both"/>
      </w:pPr>
      <w:r w:rsidRPr="00873110">
        <w:rPr>
          <w:color w:val="000000"/>
          <w:szCs w:val="22"/>
        </w:rPr>
        <w:t>Instauré en janvier 1974 pour être appliqué conformément aux r</w:t>
      </w:r>
      <w:r w:rsidRPr="00873110">
        <w:rPr>
          <w:color w:val="000000"/>
          <w:szCs w:val="22"/>
        </w:rPr>
        <w:t>è</w:t>
      </w:r>
      <w:r w:rsidRPr="00873110">
        <w:rPr>
          <w:color w:val="000000"/>
          <w:szCs w:val="22"/>
        </w:rPr>
        <w:t>glements de la Loi sur l'administration du pétrole de juillet 1975, le Programme d'indemnisation de l'Industrie pétrolière (PHP) visait de son côté à ramener le prix des importations au-dessous du niveau mondial. Il faut dire que depuis la fin des années 60, l'importation des produits pétroliers avait pris des proportions considérables. Devant cette situation, les États-Unis établirent un système complexe de paiements selon lequel les droits de recours au brut contrôlé mais co</w:t>
      </w:r>
      <w:r w:rsidRPr="00873110">
        <w:rPr>
          <w:color w:val="000000"/>
          <w:szCs w:val="22"/>
        </w:rPr>
        <w:t>û</w:t>
      </w:r>
      <w:r w:rsidRPr="00873110">
        <w:rPr>
          <w:color w:val="000000"/>
          <w:szCs w:val="22"/>
        </w:rPr>
        <w:t>teux étaient retirés aux raffineurs se trouvant près des côtes et, de ce fait capables de s'approvisionner à l'étranger, pour être passés à d'a</w:t>
      </w:r>
      <w:r w:rsidRPr="00873110">
        <w:rPr>
          <w:color w:val="000000"/>
          <w:szCs w:val="22"/>
        </w:rPr>
        <w:t>u</w:t>
      </w:r>
      <w:r w:rsidRPr="00873110">
        <w:rPr>
          <w:color w:val="000000"/>
          <w:szCs w:val="22"/>
        </w:rPr>
        <w:t>tres qui s'approvisionnaient localement, ce qui favorisa les petits raff</w:t>
      </w:r>
      <w:r w:rsidRPr="00873110">
        <w:rPr>
          <w:color w:val="000000"/>
          <w:szCs w:val="22"/>
        </w:rPr>
        <w:t>i</w:t>
      </w:r>
      <w:r w:rsidRPr="00873110">
        <w:rPr>
          <w:color w:val="000000"/>
          <w:szCs w:val="22"/>
        </w:rPr>
        <w:t>neurs et fournisseurs indépendants de l'intérieur. Le Canada prit le parti contraire. Il se désintéressa du secteur « en aval » des détaillants indépendants, où la propriété canadienne commençait à devenir sign</w:t>
      </w:r>
      <w:r w:rsidRPr="00873110">
        <w:rPr>
          <w:color w:val="000000"/>
          <w:szCs w:val="22"/>
        </w:rPr>
        <w:t>i</w:t>
      </w:r>
      <w:r w:rsidRPr="00873110">
        <w:rPr>
          <w:color w:val="000000"/>
          <w:szCs w:val="22"/>
        </w:rPr>
        <w:t>ficative, et favorisa les grands raffineurs, c'est-à-dire l'oligopole des cinq ou six grandes firmes disposant de raffineries et déjà bien ét</w:t>
      </w:r>
      <w:r w:rsidRPr="00873110">
        <w:rPr>
          <w:color w:val="000000"/>
          <w:szCs w:val="22"/>
        </w:rPr>
        <w:t>a</w:t>
      </w:r>
      <w:r w:rsidRPr="00873110">
        <w:rPr>
          <w:color w:val="000000"/>
          <w:szCs w:val="22"/>
        </w:rPr>
        <w:t>blies au pays</w:t>
      </w:r>
      <w:r>
        <w:rPr>
          <w:color w:val="000000"/>
          <w:szCs w:val="22"/>
        </w:rPr>
        <w:t> </w:t>
      </w:r>
      <w:r w:rsidRPr="00D756DB">
        <w:rPr>
          <w:rStyle w:val="Appelnotedebasdep"/>
        </w:rPr>
        <w:footnoteReference w:id="392"/>
      </w:r>
      <w:r w:rsidRPr="00873110">
        <w:rPr>
          <w:color w:val="000000"/>
          <w:szCs w:val="22"/>
        </w:rPr>
        <w:t>. La réduction de la demande pour les produits amena le gouvernement à verser une indemnité de 1,50</w:t>
      </w:r>
      <w:r>
        <w:rPr>
          <w:color w:val="000000"/>
          <w:szCs w:val="22"/>
        </w:rPr>
        <w:t> $</w:t>
      </w:r>
      <w:r w:rsidRPr="00873110">
        <w:rPr>
          <w:color w:val="000000"/>
          <w:szCs w:val="22"/>
        </w:rPr>
        <w:t xml:space="preserve"> de moins par baril d'essence et autres produits d'importation raffinés que l'indemnité ve</w:t>
      </w:r>
      <w:r w:rsidRPr="00873110">
        <w:rPr>
          <w:color w:val="000000"/>
          <w:szCs w:val="22"/>
        </w:rPr>
        <w:t>r</w:t>
      </w:r>
      <w:r w:rsidRPr="00873110">
        <w:rPr>
          <w:color w:val="000000"/>
          <w:szCs w:val="22"/>
        </w:rPr>
        <w:t>sée pour le brut importé. Une protection tarifaire de 4,3 cents le gallon en faveur des raffineurs canadiens, soit une hausse de 3/4 de un cent sur l'essence et de 1/3 de un cent sur le mazout. Ajoutée au coût de plus en plus élevé de transport des produits raffinés, cette protection douanière rendit prohibitif le coût de cette importation, d'où une r</w:t>
      </w:r>
      <w:r w:rsidRPr="00873110">
        <w:rPr>
          <w:color w:val="000000"/>
          <w:szCs w:val="22"/>
        </w:rPr>
        <w:t>é</w:t>
      </w:r>
      <w:r w:rsidRPr="00873110">
        <w:rPr>
          <w:color w:val="000000"/>
          <w:szCs w:val="22"/>
        </w:rPr>
        <w:t>duction drastique de cette activité dans les années suivantes. Le ma</w:t>
      </w:r>
      <w:r w:rsidRPr="00873110">
        <w:rPr>
          <w:color w:val="000000"/>
          <w:szCs w:val="22"/>
        </w:rPr>
        <w:t>l</w:t>
      </w:r>
      <w:r w:rsidRPr="00873110">
        <w:rPr>
          <w:color w:val="000000"/>
          <w:szCs w:val="22"/>
        </w:rPr>
        <w:t>heur, c'est</w:t>
      </w:r>
      <w:r>
        <w:rPr>
          <w:color w:val="000000"/>
          <w:szCs w:val="22"/>
        </w:rPr>
        <w:t xml:space="preserve"> </w:t>
      </w:r>
      <w:r>
        <w:rPr>
          <w:color w:val="000000"/>
          <w:szCs w:val="18"/>
        </w:rPr>
        <w:t>[</w:t>
      </w:r>
      <w:r w:rsidRPr="00873110">
        <w:rPr>
          <w:rFonts w:cs="Arial"/>
          <w:color w:val="000000"/>
          <w:szCs w:val="18"/>
        </w:rPr>
        <w:t>224</w:t>
      </w:r>
      <w:r>
        <w:rPr>
          <w:rFonts w:cs="Arial"/>
          <w:color w:val="000000"/>
          <w:szCs w:val="18"/>
        </w:rPr>
        <w:t xml:space="preserve">] </w:t>
      </w:r>
      <w:r w:rsidRPr="00873110">
        <w:rPr>
          <w:color w:val="000000"/>
          <w:szCs w:val="22"/>
        </w:rPr>
        <w:t>que le secteur de la distribution, où s'affirmaient des Canadiens de l'Est, allait en souffrir.</w:t>
      </w:r>
    </w:p>
    <w:p w:rsidR="00AD690E" w:rsidRPr="00873110" w:rsidRDefault="00AD690E" w:rsidP="00AD690E">
      <w:pPr>
        <w:spacing w:before="120" w:after="120"/>
        <w:jc w:val="both"/>
      </w:pPr>
      <w:r w:rsidRPr="00873110">
        <w:rPr>
          <w:color w:val="000000"/>
          <w:szCs w:val="22"/>
        </w:rPr>
        <w:t>Cette politique priva les exploitants indépendants de terminaux et les détaillants indépendants de « l'option importation », grâce à laque</w:t>
      </w:r>
      <w:r w:rsidRPr="00873110">
        <w:rPr>
          <w:color w:val="000000"/>
          <w:szCs w:val="22"/>
        </w:rPr>
        <w:t>l</w:t>
      </w:r>
      <w:r w:rsidRPr="00873110">
        <w:rPr>
          <w:color w:val="000000"/>
          <w:szCs w:val="22"/>
        </w:rPr>
        <w:t>le ils avaient pu jusque-là obtenir des grands raffineurs multinationaux établis au Canada, à la suite d'un marchandage, des prix raisonnables. C'est ainsi qu'ils avaient pu finir par exercer au fil des ans une certaine influence sur le marché et acquis au début des années 70, dans certa</w:t>
      </w:r>
      <w:r w:rsidRPr="00873110">
        <w:rPr>
          <w:color w:val="000000"/>
          <w:szCs w:val="22"/>
        </w:rPr>
        <w:t>i</w:t>
      </w:r>
      <w:r w:rsidRPr="00873110">
        <w:rPr>
          <w:color w:val="000000"/>
          <w:szCs w:val="22"/>
        </w:rPr>
        <w:t>nes régions, jusqu'à 20</w:t>
      </w:r>
      <w:r>
        <w:rPr>
          <w:color w:val="000000"/>
          <w:szCs w:val="22"/>
        </w:rPr>
        <w:t>%</w:t>
      </w:r>
      <w:r w:rsidRPr="00873110">
        <w:rPr>
          <w:color w:val="000000"/>
          <w:szCs w:val="22"/>
        </w:rPr>
        <w:t xml:space="preserve"> du marché de la distribution. La fermeture de cette option sonna le glas des indépendants, devenus clients captifs des Grands. En 1979, ils ne représentent plus que 3</w:t>
      </w:r>
      <w:r>
        <w:rPr>
          <w:color w:val="000000"/>
          <w:szCs w:val="22"/>
        </w:rPr>
        <w:t>%</w:t>
      </w:r>
      <w:r w:rsidRPr="00873110">
        <w:rPr>
          <w:color w:val="000000"/>
          <w:szCs w:val="22"/>
        </w:rPr>
        <w:t xml:space="preserve"> de la part du marché de vente des produits raffinés.</w:t>
      </w:r>
    </w:p>
    <w:p w:rsidR="00AD690E" w:rsidRDefault="00AD690E" w:rsidP="00AD690E">
      <w:pPr>
        <w:spacing w:before="120" w:after="120"/>
        <w:jc w:val="both"/>
        <w:rPr>
          <w:color w:val="000000"/>
          <w:szCs w:val="22"/>
        </w:rPr>
      </w:pPr>
    </w:p>
    <w:p w:rsidR="00AD690E" w:rsidRPr="00873110" w:rsidRDefault="00AD690E" w:rsidP="00AD690E">
      <w:pPr>
        <w:pStyle w:val="planche"/>
      </w:pPr>
      <w:r>
        <w:t>VERS UN PROGRAMME</w:t>
      </w:r>
      <w:r>
        <w:br/>
        <w:t>É</w:t>
      </w:r>
      <w:r w:rsidRPr="00873110">
        <w:t>NERG</w:t>
      </w:r>
      <w:r>
        <w:t>É</w:t>
      </w:r>
      <w:r w:rsidRPr="00873110">
        <w:t>TIQUE N</w:t>
      </w:r>
      <w:r w:rsidRPr="00873110">
        <w:t>A</w:t>
      </w:r>
      <w:r w:rsidRPr="00873110">
        <w:t>TIONAL</w:t>
      </w:r>
    </w:p>
    <w:p w:rsidR="00AD690E" w:rsidRDefault="00AD690E" w:rsidP="00AD690E">
      <w:pPr>
        <w:spacing w:before="120" w:after="120"/>
        <w:jc w:val="both"/>
        <w:rPr>
          <w:color w:val="000000"/>
          <w:szCs w:val="22"/>
        </w:rPr>
      </w:pPr>
    </w:p>
    <w:p w:rsidR="00AD690E" w:rsidRDefault="00AD690E" w:rsidP="00AD690E">
      <w:pPr>
        <w:spacing w:before="120" w:after="120"/>
        <w:jc w:val="both"/>
        <w:rPr>
          <w:color w:val="000000"/>
          <w:szCs w:val="22"/>
        </w:rPr>
      </w:pPr>
      <w:r w:rsidRPr="00873110">
        <w:rPr>
          <w:color w:val="000000"/>
          <w:szCs w:val="22"/>
        </w:rPr>
        <w:t>Sur le plan macroéconomique, le secteur en amont de l'industrie pétr</w:t>
      </w:r>
      <w:r w:rsidRPr="00873110">
        <w:rPr>
          <w:color w:val="000000"/>
          <w:szCs w:val="22"/>
        </w:rPr>
        <w:t>o</w:t>
      </w:r>
      <w:r w:rsidRPr="00873110">
        <w:rPr>
          <w:color w:val="000000"/>
          <w:szCs w:val="22"/>
        </w:rPr>
        <w:t>lière voit s'affirmer la présence des Canadiens dans le courant des a</w:t>
      </w:r>
      <w:r w:rsidRPr="00873110">
        <w:rPr>
          <w:color w:val="000000"/>
          <w:szCs w:val="22"/>
        </w:rPr>
        <w:t>n</w:t>
      </w:r>
      <w:r w:rsidRPr="00873110">
        <w:rPr>
          <w:color w:val="000000"/>
          <w:szCs w:val="22"/>
        </w:rPr>
        <w:t>nées 70. Bien sûr, on pense au réseau qui entoure l'Alberta Gas Trunk Line (Nova) et on ne peut manquer d'évoquer, à cette époque, ce co</w:t>
      </w:r>
      <w:r w:rsidRPr="00873110">
        <w:rPr>
          <w:color w:val="000000"/>
          <w:szCs w:val="22"/>
        </w:rPr>
        <w:t>m</w:t>
      </w:r>
      <w:r w:rsidRPr="00873110">
        <w:rPr>
          <w:color w:val="000000"/>
          <w:szCs w:val="22"/>
        </w:rPr>
        <w:t>bat entre David et Goliath que fut, entre 1973 et 1977, la controverse autour de la construction de l'oléoduc Alaska-vallée du Mackenzie. Ce projet d'oléoduc intercontinental avait été défini co</w:t>
      </w:r>
      <w:r w:rsidRPr="00873110">
        <w:rPr>
          <w:color w:val="000000"/>
          <w:szCs w:val="22"/>
        </w:rPr>
        <w:t>m</w:t>
      </w:r>
      <w:r w:rsidRPr="00873110">
        <w:rPr>
          <w:color w:val="000000"/>
          <w:szCs w:val="22"/>
        </w:rPr>
        <w:t>me une « priorité nationale » par le gouvernement Trudeau dès le d</w:t>
      </w:r>
      <w:r w:rsidRPr="00873110">
        <w:rPr>
          <w:color w:val="000000"/>
          <w:szCs w:val="22"/>
        </w:rPr>
        <w:t>é</w:t>
      </w:r>
      <w:r w:rsidRPr="00873110">
        <w:rPr>
          <w:color w:val="000000"/>
          <w:szCs w:val="22"/>
        </w:rPr>
        <w:t>but des années 70, suite aux pressions répétées de Washington. Cet épisode nous enseigne à quel point la politique énergétique canadie</w:t>
      </w:r>
      <w:r w:rsidRPr="00873110">
        <w:rPr>
          <w:color w:val="000000"/>
          <w:szCs w:val="22"/>
        </w:rPr>
        <w:t>n</w:t>
      </w:r>
      <w:r w:rsidRPr="00873110">
        <w:rPr>
          <w:color w:val="000000"/>
          <w:szCs w:val="22"/>
        </w:rPr>
        <w:t>ne sous les libéraux n'a pas eu ce côté « monolithique » qu'une analyse a posteriori sugg</w:t>
      </w:r>
      <w:r w:rsidRPr="00873110">
        <w:rPr>
          <w:color w:val="000000"/>
          <w:szCs w:val="22"/>
        </w:rPr>
        <w:t>è</w:t>
      </w:r>
      <w:r w:rsidRPr="00873110">
        <w:rPr>
          <w:color w:val="000000"/>
          <w:szCs w:val="22"/>
        </w:rPr>
        <w:t>re. Dans ce dossier, on retrouvait d'un côté, le consortium du gaz ar</w:t>
      </w:r>
      <w:r w:rsidRPr="00873110">
        <w:rPr>
          <w:color w:val="000000"/>
          <w:szCs w:val="22"/>
        </w:rPr>
        <w:t>c</w:t>
      </w:r>
      <w:r w:rsidRPr="00873110">
        <w:rPr>
          <w:color w:val="000000"/>
          <w:szCs w:val="22"/>
        </w:rPr>
        <w:t>tique canadien (CAGPL) réunissant l'oligopole pétrolier traditionnel mené par son leader Esso, fortement téléguidé dans la circonstance par sa maison mère Exxon. De l'autre, les « petits » autour de Nova</w:t>
      </w:r>
      <w:r>
        <w:rPr>
          <w:color w:val="000000"/>
          <w:szCs w:val="22"/>
        </w:rPr>
        <w:t> </w:t>
      </w:r>
      <w:r>
        <w:rPr>
          <w:rStyle w:val="Appelnotedebasdep"/>
        </w:rPr>
        <w:footnoteReference w:id="393"/>
      </w:r>
      <w:r w:rsidRPr="00873110">
        <w:rPr>
          <w:color w:val="000000"/>
          <w:szCs w:val="22"/>
        </w:rPr>
        <w:t>, et réunis sous la bannière du conso</w:t>
      </w:r>
      <w:r w:rsidRPr="00873110">
        <w:rPr>
          <w:color w:val="000000"/>
          <w:szCs w:val="22"/>
        </w:rPr>
        <w:t>r</w:t>
      </w:r>
      <w:r w:rsidRPr="00873110">
        <w:rPr>
          <w:color w:val="000000"/>
          <w:szCs w:val="22"/>
        </w:rPr>
        <w:t>tium Foothills. Fait haut</w:t>
      </w:r>
      <w:r w:rsidRPr="00873110">
        <w:rPr>
          <w:color w:val="000000"/>
          <w:szCs w:val="22"/>
        </w:rPr>
        <w:t>e</w:t>
      </w:r>
      <w:r w:rsidRPr="00873110">
        <w:rPr>
          <w:color w:val="000000"/>
          <w:szCs w:val="22"/>
        </w:rPr>
        <w:t>ment révélateur, malgré la totale indifférence du fédéral et particulièrement de l'Office national de l'énergie à l'in</w:t>
      </w:r>
      <w:r w:rsidRPr="00873110">
        <w:rPr>
          <w:color w:val="000000"/>
          <w:szCs w:val="22"/>
        </w:rPr>
        <w:t>i</w:t>
      </w:r>
      <w:r w:rsidRPr="00873110">
        <w:rPr>
          <w:color w:val="000000"/>
          <w:szCs w:val="22"/>
        </w:rPr>
        <w:t>tiative canadienne et aux interventions pressantes des lobbyistes du gouve</w:t>
      </w:r>
      <w:r w:rsidRPr="00873110">
        <w:rPr>
          <w:color w:val="000000"/>
          <w:szCs w:val="22"/>
        </w:rPr>
        <w:t>r</w:t>
      </w:r>
      <w:r w:rsidRPr="00873110">
        <w:rPr>
          <w:color w:val="000000"/>
          <w:szCs w:val="22"/>
        </w:rPr>
        <w:t>nement américain, Foothills parvint contre toute attente à pre</w:t>
      </w:r>
      <w:r w:rsidRPr="00873110">
        <w:rPr>
          <w:color w:val="000000"/>
          <w:szCs w:val="22"/>
        </w:rPr>
        <w:t>n</w:t>
      </w:r>
      <w:r w:rsidRPr="00873110">
        <w:rPr>
          <w:color w:val="000000"/>
          <w:szCs w:val="22"/>
        </w:rPr>
        <w:t>dre de vitesse le projet transnational qui aurait eu, disait-on, d'impo</w:t>
      </w:r>
      <w:r w:rsidRPr="00873110">
        <w:rPr>
          <w:color w:val="000000"/>
          <w:szCs w:val="22"/>
        </w:rPr>
        <w:t>r</w:t>
      </w:r>
      <w:r w:rsidRPr="00873110">
        <w:rPr>
          <w:color w:val="000000"/>
          <w:szCs w:val="22"/>
        </w:rPr>
        <w:t>tantes retombées sur l'environnement en territoire amérindien. À la suite d'une lutte opini</w:t>
      </w:r>
      <w:r w:rsidRPr="00873110">
        <w:rPr>
          <w:color w:val="000000"/>
          <w:szCs w:val="22"/>
        </w:rPr>
        <w:t>â</w:t>
      </w:r>
      <w:r w:rsidRPr="00873110">
        <w:rPr>
          <w:color w:val="000000"/>
          <w:szCs w:val="22"/>
        </w:rPr>
        <w:t>tre impliquant l'opinion publique locale ainsi que le peuple Déné, il fit prévaloir son projet sur l'autre, qui semblait ma</w:t>
      </w:r>
      <w:r w:rsidRPr="00873110">
        <w:rPr>
          <w:color w:val="000000"/>
          <w:szCs w:val="22"/>
        </w:rPr>
        <w:t>n</w:t>
      </w:r>
      <w:r w:rsidRPr="00873110">
        <w:rPr>
          <w:color w:val="000000"/>
          <w:szCs w:val="22"/>
        </w:rPr>
        <w:t>quer de souplesse face aux rétice</w:t>
      </w:r>
      <w:r w:rsidRPr="00873110">
        <w:rPr>
          <w:color w:val="000000"/>
          <w:szCs w:val="22"/>
        </w:rPr>
        <w:t>n</w:t>
      </w:r>
      <w:r w:rsidRPr="00873110">
        <w:rPr>
          <w:color w:val="000000"/>
          <w:szCs w:val="22"/>
        </w:rPr>
        <w:t>ces grandissantes de l'opinion et du personnel politique. Habitués à manipuler à leur guise le gouvern</w:t>
      </w:r>
      <w:r w:rsidRPr="00873110">
        <w:rPr>
          <w:color w:val="000000"/>
          <w:szCs w:val="22"/>
        </w:rPr>
        <w:t>e</w:t>
      </w:r>
      <w:r w:rsidRPr="00873110">
        <w:rPr>
          <w:color w:val="000000"/>
          <w:szCs w:val="22"/>
        </w:rPr>
        <w:t>ment canadien, les grands de l'industrie pétrolière ne surent pas év</w:t>
      </w:r>
      <w:r w:rsidRPr="00873110">
        <w:rPr>
          <w:color w:val="000000"/>
          <w:szCs w:val="22"/>
        </w:rPr>
        <w:t>a</w:t>
      </w:r>
      <w:r w:rsidRPr="00873110">
        <w:rPr>
          <w:color w:val="000000"/>
          <w:szCs w:val="22"/>
        </w:rPr>
        <w:t>luer les transformations de la conjoncture où s'affirmaient les initiat</w:t>
      </w:r>
      <w:r w:rsidRPr="00873110">
        <w:rPr>
          <w:color w:val="000000"/>
          <w:szCs w:val="22"/>
        </w:rPr>
        <w:t>i</w:t>
      </w:r>
      <w:r w:rsidRPr="00873110">
        <w:rPr>
          <w:color w:val="000000"/>
          <w:szCs w:val="22"/>
        </w:rPr>
        <w:t>ves canadiennes et perdirent cette manche.</w:t>
      </w:r>
    </w:p>
    <w:p w:rsidR="00AD690E" w:rsidRPr="00624090" w:rsidRDefault="00AD690E" w:rsidP="00AD690E">
      <w:pPr>
        <w:spacing w:before="120" w:after="120"/>
        <w:jc w:val="both"/>
        <w:rPr>
          <w:color w:val="000000"/>
          <w:szCs w:val="22"/>
        </w:rPr>
      </w:pPr>
      <w:r w:rsidRPr="00624090">
        <w:rPr>
          <w:color w:val="000000"/>
          <w:szCs w:val="22"/>
        </w:rPr>
        <w:t>[225]</w:t>
      </w:r>
    </w:p>
    <w:p w:rsidR="00AD690E" w:rsidRPr="00873110" w:rsidRDefault="00AD690E" w:rsidP="00AD690E">
      <w:pPr>
        <w:spacing w:before="120" w:after="120"/>
        <w:jc w:val="both"/>
      </w:pPr>
      <w:r w:rsidRPr="00873110">
        <w:rPr>
          <w:color w:val="000000"/>
          <w:szCs w:val="22"/>
        </w:rPr>
        <w:t>De plus, cette lutte pava le terrain à une vague sans précédent de nationalisme économique. N'oublions pas qu'entre 1972 et 1974, le second gouvernement Trudeau, alors minoritaire, dut composer, su</w:t>
      </w:r>
      <w:r>
        <w:rPr>
          <w:color w:val="000000"/>
          <w:szCs w:val="22"/>
        </w:rPr>
        <w:t>r maints dossiers, avec les néo-</w:t>
      </w:r>
      <w:r w:rsidRPr="00873110">
        <w:rPr>
          <w:color w:val="000000"/>
          <w:szCs w:val="22"/>
        </w:rPr>
        <w:t>démocrates. C'est toutefois dans l'opp</w:t>
      </w:r>
      <w:r w:rsidRPr="00873110">
        <w:rPr>
          <w:color w:val="000000"/>
          <w:szCs w:val="22"/>
        </w:rPr>
        <w:t>o</w:t>
      </w:r>
      <w:r w:rsidRPr="00873110">
        <w:rPr>
          <w:color w:val="000000"/>
          <w:szCs w:val="22"/>
        </w:rPr>
        <w:t>sition, entre mai 1979 et février 1980, que les libéraux mirent en place leur « programme énergétique », qui s'inspirait étroitement du nation</w:t>
      </w:r>
      <w:r w:rsidRPr="00873110">
        <w:rPr>
          <w:color w:val="000000"/>
          <w:szCs w:val="22"/>
        </w:rPr>
        <w:t>a</w:t>
      </w:r>
      <w:r w:rsidRPr="00873110">
        <w:rPr>
          <w:color w:val="000000"/>
          <w:szCs w:val="22"/>
        </w:rPr>
        <w:t>lisme économique du Nouveau parti démocratique tout autant que des doléances de l'opinion publique outragée par l'épisode du pipe-line et la montée brusque des prix pétroliers. Pour les pétrolières en effet, le pire restait à venir et il n'y a pas de doute que la conjoncture intern</w:t>
      </w:r>
      <w:r w:rsidRPr="00873110">
        <w:rPr>
          <w:color w:val="000000"/>
          <w:szCs w:val="22"/>
        </w:rPr>
        <w:t>a</w:t>
      </w:r>
      <w:r w:rsidRPr="00873110">
        <w:rPr>
          <w:color w:val="000000"/>
          <w:szCs w:val="22"/>
        </w:rPr>
        <w:t>tionale confuse des années 1979-1980 devait ouvrir la voie à une pol</w:t>
      </w:r>
      <w:r w:rsidRPr="00873110">
        <w:rPr>
          <w:color w:val="000000"/>
          <w:szCs w:val="22"/>
        </w:rPr>
        <w:t>i</w:t>
      </w:r>
      <w:r w:rsidRPr="00873110">
        <w:rPr>
          <w:color w:val="000000"/>
          <w:szCs w:val="22"/>
        </w:rPr>
        <w:t>tique énergétique musclée qui, motivée par l'ampleur de la crise e</w:t>
      </w:r>
      <w:r w:rsidRPr="00873110">
        <w:rPr>
          <w:color w:val="000000"/>
          <w:szCs w:val="22"/>
        </w:rPr>
        <w:t>n</w:t>
      </w:r>
      <w:r w:rsidRPr="00873110">
        <w:rPr>
          <w:color w:val="000000"/>
          <w:szCs w:val="22"/>
        </w:rPr>
        <w:t>gendrée lors du second choc pétrolier, irait beaucoup plus loin dans l'affirmation du nationalisme économique.</w:t>
      </w:r>
    </w:p>
    <w:p w:rsidR="00AD690E" w:rsidRDefault="00AD690E" w:rsidP="00AD690E">
      <w:pPr>
        <w:spacing w:before="120" w:after="120"/>
        <w:jc w:val="both"/>
        <w:rPr>
          <w:color w:val="000000"/>
          <w:szCs w:val="22"/>
        </w:rPr>
      </w:pPr>
      <w:r w:rsidRPr="00873110">
        <w:rPr>
          <w:color w:val="000000"/>
          <w:szCs w:val="22"/>
        </w:rPr>
        <w:t>Reporté au pouvoir au printemps 1980, le gouvernement Trudeau décide d'intégrer au budget d'octobre 1980, le premier depuis son r</w:t>
      </w:r>
      <w:r w:rsidRPr="00873110">
        <w:rPr>
          <w:color w:val="000000"/>
          <w:szCs w:val="22"/>
        </w:rPr>
        <w:t>e</w:t>
      </w:r>
      <w:r w:rsidRPr="00873110">
        <w:rPr>
          <w:color w:val="000000"/>
          <w:szCs w:val="22"/>
        </w:rPr>
        <w:t>tour au pouvoir en février, le Programme énergétique national (PEN), qui constitue un tournant spectaculaire de sa stratégie économique. Il met également un terme, de manière unilatérale, à l'impasse vieille de plus d'un an entre Ottawa et le gouvernement de l'Alberta, portant sur la formulation d'une politique énergétique d'envergure nationale</w:t>
      </w:r>
      <w:r>
        <w:rPr>
          <w:color w:val="000000"/>
          <w:szCs w:val="22"/>
        </w:rPr>
        <w:t> </w:t>
      </w:r>
      <w:r w:rsidRPr="00D756DB">
        <w:rPr>
          <w:rStyle w:val="Appelnotedebasdep"/>
        </w:rPr>
        <w:footnoteReference w:id="394"/>
      </w:r>
      <w:r w:rsidRPr="00873110">
        <w:rPr>
          <w:color w:val="000000"/>
          <w:szCs w:val="22"/>
        </w:rPr>
        <w:t>. La stratégie retenue, à caractère nationaliste, cherche à utiliser nos sou</w:t>
      </w:r>
      <w:r w:rsidRPr="00873110">
        <w:rPr>
          <w:color w:val="000000"/>
          <w:szCs w:val="22"/>
        </w:rPr>
        <w:t>r</w:t>
      </w:r>
      <w:r w:rsidRPr="00873110">
        <w:rPr>
          <w:color w:val="000000"/>
          <w:szCs w:val="22"/>
        </w:rPr>
        <w:t>ces d'énergie existantes et potentielles contre les retombées de la conjoncture internationale en même temps que comme « moteur » central de son développement économique, orienté vers une plus grande indépendance nationale</w:t>
      </w:r>
      <w:r>
        <w:rPr>
          <w:color w:val="000000"/>
          <w:szCs w:val="22"/>
        </w:rPr>
        <w:t> </w:t>
      </w:r>
      <w:r w:rsidRPr="00D756DB">
        <w:rPr>
          <w:rStyle w:val="Appelnotedebasdep"/>
        </w:rPr>
        <w:footnoteReference w:id="395"/>
      </w:r>
      <w:r w:rsidRPr="00873110">
        <w:rPr>
          <w:color w:val="000000"/>
          <w:szCs w:val="22"/>
        </w:rPr>
        <w:t>.</w:t>
      </w:r>
    </w:p>
    <w:p w:rsidR="00AD690E" w:rsidRPr="00873110" w:rsidRDefault="00AD690E" w:rsidP="00AD690E">
      <w:pPr>
        <w:spacing w:before="120" w:after="120"/>
        <w:jc w:val="both"/>
      </w:pPr>
      <w:r>
        <w:t>[</w:t>
      </w:r>
      <w:r w:rsidRPr="00873110">
        <w:rPr>
          <w:color w:val="000000"/>
          <w:szCs w:val="18"/>
        </w:rPr>
        <w:t>226</w:t>
      </w:r>
      <w:r>
        <w:rPr>
          <w:color w:val="000000"/>
          <w:szCs w:val="18"/>
        </w:rPr>
        <w:t>]</w:t>
      </w:r>
    </w:p>
    <w:p w:rsidR="00AD690E" w:rsidRPr="00873110" w:rsidRDefault="00AD690E" w:rsidP="00AD690E">
      <w:pPr>
        <w:spacing w:before="120" w:after="120"/>
        <w:jc w:val="both"/>
      </w:pPr>
      <w:r w:rsidRPr="00873110">
        <w:rPr>
          <w:color w:val="000000"/>
          <w:szCs w:val="22"/>
        </w:rPr>
        <w:t>Pour ce faire, un système élaboré de prix aux producteurs et aux consommateurs est mis en place par étapes. Le contrôle des prix laisse une marge de manœuvre importante aux gouvernements, fédéral comme provinciaux, qui imposeront alors des taxes progressives su</w:t>
      </w:r>
      <w:r w:rsidRPr="00873110">
        <w:rPr>
          <w:color w:val="000000"/>
          <w:szCs w:val="22"/>
        </w:rPr>
        <w:t>s</w:t>
      </w:r>
      <w:r w:rsidRPr="00873110">
        <w:rPr>
          <w:color w:val="000000"/>
          <w:szCs w:val="22"/>
        </w:rPr>
        <w:t>ceptibles de nourrir un flot de subventions au secteur « national » en expansion dans la prospection. De cette façon, le fédéral s'attend à mettre la main sur 25</w:t>
      </w:r>
      <w:r>
        <w:rPr>
          <w:color w:val="000000"/>
          <w:szCs w:val="22"/>
        </w:rPr>
        <w:t>%</w:t>
      </w:r>
      <w:r w:rsidRPr="00873110">
        <w:rPr>
          <w:color w:val="000000"/>
          <w:szCs w:val="22"/>
        </w:rPr>
        <w:t xml:space="preserve"> des profits ainsi générés. Ainsi, pour re</w:t>
      </w:r>
      <w:r w:rsidRPr="00873110">
        <w:rPr>
          <w:color w:val="000000"/>
          <w:szCs w:val="22"/>
        </w:rPr>
        <w:t>n</w:t>
      </w:r>
      <w:r w:rsidRPr="00873110">
        <w:rPr>
          <w:color w:val="000000"/>
          <w:szCs w:val="22"/>
        </w:rPr>
        <w:t>contrer l'objectif de canadianisation, on se propose de réduire à 50</w:t>
      </w:r>
      <w:r>
        <w:rPr>
          <w:color w:val="000000"/>
          <w:szCs w:val="22"/>
        </w:rPr>
        <w:t>%</w:t>
      </w:r>
      <w:r w:rsidRPr="00873110">
        <w:rPr>
          <w:color w:val="000000"/>
          <w:szCs w:val="22"/>
        </w:rPr>
        <w:t xml:space="preserve"> la participation des entreprises étrangères dans le secteur d'ici à 1990. Comme on le voit, la politique énergétique s'adresse tout autant aux producteurs, raffineurs et distributeurs en amont par la voie des su</w:t>
      </w:r>
      <w:r w:rsidRPr="00873110">
        <w:rPr>
          <w:color w:val="000000"/>
          <w:szCs w:val="22"/>
        </w:rPr>
        <w:t>b</w:t>
      </w:r>
      <w:r w:rsidRPr="00873110">
        <w:rPr>
          <w:color w:val="000000"/>
          <w:szCs w:val="22"/>
        </w:rPr>
        <w:t>ventions qu'aux consommateurs en aval, avec la structure des prix</w:t>
      </w:r>
      <w:r>
        <w:rPr>
          <w:color w:val="000000"/>
          <w:szCs w:val="22"/>
        </w:rPr>
        <w:t> </w:t>
      </w:r>
      <w:r w:rsidRPr="00D756DB">
        <w:rPr>
          <w:rStyle w:val="Appelnotedebasdep"/>
        </w:rPr>
        <w:footnoteReference w:id="396"/>
      </w:r>
      <w:r w:rsidRPr="00873110">
        <w:rPr>
          <w:color w:val="000000"/>
          <w:szCs w:val="22"/>
        </w:rPr>
        <w:t>. Penchons-nous maintenant sur les mécanismes de fixation des prix, qui est riche d'enseignements sur la nouvelle orientation souhaitée pour le secteur. Une première constatation s'impose : même révisée à la hausse en octobre 1981 à la suite des pressions de l'Alberta et des autres provinces productrices, la structure des prix cherche à différer et atténuer le choc pétrolier de 1980 sur les consommateurs, d'abord industriels, ensuite particuliers.</w:t>
      </w:r>
    </w:p>
    <w:p w:rsidR="00AD690E" w:rsidRPr="00873110" w:rsidRDefault="00AD690E" w:rsidP="00AD690E">
      <w:pPr>
        <w:spacing w:before="120" w:after="120"/>
        <w:jc w:val="both"/>
      </w:pPr>
      <w:r w:rsidRPr="00873110">
        <w:rPr>
          <w:color w:val="000000"/>
          <w:szCs w:val="22"/>
        </w:rPr>
        <w:t>Le gouvernement fédéral tente d'isoler le marché intérieur des r</w:t>
      </w:r>
      <w:r w:rsidRPr="00873110">
        <w:rPr>
          <w:color w:val="000000"/>
          <w:szCs w:val="22"/>
        </w:rPr>
        <w:t>e</w:t>
      </w:r>
      <w:r w:rsidRPr="00873110">
        <w:rPr>
          <w:color w:val="000000"/>
          <w:szCs w:val="22"/>
        </w:rPr>
        <w:t>tombées des prix internationaux, qui atteignaient alors près de 40</w:t>
      </w:r>
      <w:r>
        <w:rPr>
          <w:color w:val="000000"/>
          <w:szCs w:val="22"/>
        </w:rPr>
        <w:t> $</w:t>
      </w:r>
      <w:r w:rsidRPr="00873110">
        <w:rPr>
          <w:color w:val="000000"/>
          <w:szCs w:val="22"/>
        </w:rPr>
        <w:t xml:space="preserve"> le baril. Comparons ensuite cette projection avec celle de l'EPTE de 1981-1982, conclue après de laborieuses discussions entre le gouve</w:t>
      </w:r>
      <w:r w:rsidRPr="00873110">
        <w:rPr>
          <w:color w:val="000000"/>
          <w:szCs w:val="22"/>
        </w:rPr>
        <w:t>r</w:t>
      </w:r>
      <w:r w:rsidRPr="00873110">
        <w:rPr>
          <w:color w:val="000000"/>
          <w:szCs w:val="22"/>
        </w:rPr>
        <w:t>nement fédéral et les provinces productrices</w:t>
      </w:r>
      <w:r>
        <w:rPr>
          <w:color w:val="000000"/>
          <w:szCs w:val="22"/>
        </w:rPr>
        <w:t> </w:t>
      </w:r>
      <w:r w:rsidRPr="00D756DB">
        <w:rPr>
          <w:rStyle w:val="Appelnotedebasdep"/>
        </w:rPr>
        <w:footnoteReference w:id="397"/>
      </w:r>
      <w:r w:rsidRPr="00873110">
        <w:rPr>
          <w:color w:val="000000"/>
          <w:szCs w:val="22"/>
        </w:rPr>
        <w:t>. Selon le premier sc</w:t>
      </w:r>
      <w:r w:rsidRPr="00873110">
        <w:rPr>
          <w:color w:val="000000"/>
          <w:szCs w:val="22"/>
        </w:rPr>
        <w:t>é</w:t>
      </w:r>
      <w:r w:rsidRPr="00873110">
        <w:rPr>
          <w:color w:val="000000"/>
          <w:szCs w:val="22"/>
        </w:rPr>
        <w:t>nario, le prix de base du baril de pétrole « conventionnel »</w:t>
      </w:r>
      <w:r>
        <w:rPr>
          <w:color w:val="000000"/>
          <w:szCs w:val="22"/>
        </w:rPr>
        <w:t> </w:t>
      </w:r>
      <w:r w:rsidRPr="00D756DB">
        <w:rPr>
          <w:rStyle w:val="Appelnotedebasdep"/>
        </w:rPr>
        <w:footnoteReference w:id="398"/>
      </w:r>
      <w:r w:rsidRPr="00873110">
        <w:rPr>
          <w:color w:val="000000"/>
          <w:szCs w:val="22"/>
        </w:rPr>
        <w:t xml:space="preserve"> à la tête</w:t>
      </w:r>
      <w:r>
        <w:rPr>
          <w:color w:val="000000"/>
          <w:szCs w:val="22"/>
        </w:rPr>
        <w:t xml:space="preserve"> du puits aurait augmenté de 1 $</w:t>
      </w:r>
      <w:r w:rsidRPr="00873110">
        <w:rPr>
          <w:color w:val="000000"/>
          <w:szCs w:val="22"/>
        </w:rPr>
        <w:t xml:space="preserve"> à tous les six mois en 1981, 1982 et 1983 à partir de son seuil de 16,75</w:t>
      </w:r>
      <w:r>
        <w:rPr>
          <w:color w:val="000000"/>
          <w:szCs w:val="22"/>
        </w:rPr>
        <w:t> $</w:t>
      </w:r>
      <w:r w:rsidRPr="00873110">
        <w:rPr>
          <w:color w:val="000000"/>
          <w:szCs w:val="22"/>
        </w:rPr>
        <w:t xml:space="preserve"> le baril en octobre 1980, puis de 2,25</w:t>
      </w:r>
      <w:r>
        <w:rPr>
          <w:color w:val="000000"/>
          <w:szCs w:val="22"/>
        </w:rPr>
        <w:t> $</w:t>
      </w:r>
      <w:r w:rsidRPr="00873110">
        <w:rPr>
          <w:color w:val="000000"/>
          <w:szCs w:val="22"/>
        </w:rPr>
        <w:t xml:space="preserve"> aux mêmes intervalles en 1984 et 1985, pour croître par la suite au rythme de 3,50</w:t>
      </w:r>
      <w:r>
        <w:rPr>
          <w:color w:val="000000"/>
          <w:szCs w:val="22"/>
        </w:rPr>
        <w:t> $</w:t>
      </w:r>
      <w:r w:rsidRPr="00873110">
        <w:rPr>
          <w:color w:val="000000"/>
          <w:szCs w:val="22"/>
        </w:rPr>
        <w:t>. De cette façon, le prix canadien devrait rattraper le prix</w:t>
      </w:r>
      <w:r>
        <w:rPr>
          <w:color w:val="000000"/>
          <w:szCs w:val="22"/>
        </w:rPr>
        <w:t xml:space="preserve"> </w:t>
      </w:r>
      <w:r>
        <w:rPr>
          <w:color w:val="000000"/>
          <w:szCs w:val="18"/>
        </w:rPr>
        <w:t>[</w:t>
      </w:r>
      <w:r w:rsidRPr="00873110">
        <w:rPr>
          <w:color w:val="000000"/>
          <w:szCs w:val="18"/>
        </w:rPr>
        <w:t>227</w:t>
      </w:r>
      <w:r>
        <w:rPr>
          <w:color w:val="000000"/>
          <w:szCs w:val="18"/>
        </w:rPr>
        <w:t xml:space="preserve">] </w:t>
      </w:r>
      <w:r w:rsidRPr="00873110">
        <w:rPr>
          <w:color w:val="000000"/>
          <w:szCs w:val="22"/>
        </w:rPr>
        <w:t>mondial quelque part au début de 1984. Mais dès le m</w:t>
      </w:r>
      <w:r w:rsidRPr="00873110">
        <w:rPr>
          <w:color w:val="000000"/>
          <w:szCs w:val="22"/>
        </w:rPr>
        <w:t>i</w:t>
      </w:r>
      <w:r w:rsidRPr="00873110">
        <w:rPr>
          <w:color w:val="000000"/>
          <w:szCs w:val="22"/>
        </w:rPr>
        <w:t>lieu de 1981, les règles du jeu furent modifiées. La politique de contingentement volontaire et massif mise de l'avant par l'Alberta dès l'entrée en v</w:t>
      </w:r>
      <w:r w:rsidRPr="00873110">
        <w:rPr>
          <w:color w:val="000000"/>
          <w:szCs w:val="22"/>
        </w:rPr>
        <w:t>i</w:t>
      </w:r>
      <w:r w:rsidRPr="00873110">
        <w:rPr>
          <w:color w:val="000000"/>
          <w:szCs w:val="22"/>
        </w:rPr>
        <w:t>gueur du programme, comme mesure de représailles, finit par imposer à Ottawa l'Entente sur les prix et la taxation de l'énergie (EPTE). Ce nouveau cadre tarifaire, qui prenait pour acquis un prix international frisant les 80</w:t>
      </w:r>
      <w:r>
        <w:rPr>
          <w:color w:val="000000"/>
          <w:szCs w:val="22"/>
        </w:rPr>
        <w:t> $</w:t>
      </w:r>
      <w:r w:rsidRPr="00873110">
        <w:rPr>
          <w:color w:val="000000"/>
          <w:szCs w:val="22"/>
        </w:rPr>
        <w:t xml:space="preserve"> le baril à la fin de la décennie, accordait jusqu'à 4</w:t>
      </w:r>
      <w:r>
        <w:rPr>
          <w:color w:val="000000"/>
          <w:szCs w:val="22"/>
        </w:rPr>
        <w:t> </w:t>
      </w:r>
      <w:r w:rsidRPr="00873110">
        <w:rPr>
          <w:color w:val="000000"/>
          <w:szCs w:val="22"/>
        </w:rPr>
        <w:t>S d'augmentation le baril aux six mois dès la fin de 1981, et même quelques réajustements trimestriels supplémentaires. Le no</w:t>
      </w:r>
      <w:r w:rsidRPr="00873110">
        <w:rPr>
          <w:color w:val="000000"/>
          <w:szCs w:val="22"/>
        </w:rPr>
        <w:t>u</w:t>
      </w:r>
      <w:r w:rsidRPr="00873110">
        <w:rPr>
          <w:color w:val="000000"/>
          <w:szCs w:val="22"/>
        </w:rPr>
        <w:t>veau déco</w:t>
      </w:r>
      <w:r w:rsidRPr="00873110">
        <w:rPr>
          <w:color w:val="000000"/>
          <w:szCs w:val="22"/>
        </w:rPr>
        <w:t>u</w:t>
      </w:r>
      <w:r w:rsidRPr="00873110">
        <w:rPr>
          <w:color w:val="000000"/>
          <w:szCs w:val="22"/>
        </w:rPr>
        <w:t>page des recettes pétrolières se faisait plus à l'avantage de l'industrie et des provinces mais le fédéral restait tout de même le grand gagnant du pacte, avec plus de 35</w:t>
      </w:r>
      <w:r>
        <w:rPr>
          <w:color w:val="000000"/>
          <w:szCs w:val="22"/>
        </w:rPr>
        <w:t>%</w:t>
      </w:r>
      <w:r w:rsidRPr="00873110">
        <w:rPr>
          <w:color w:val="000000"/>
          <w:szCs w:val="22"/>
        </w:rPr>
        <w:t xml:space="preserve"> des revenus anticipés. Cette entente inclut finalement la Saskatchewan, la Colombie-Britannique au cours de l'année 1982 et le principe plus souple de l'EPTE fut gén</w:t>
      </w:r>
      <w:r w:rsidRPr="00873110">
        <w:rPr>
          <w:color w:val="000000"/>
          <w:szCs w:val="22"/>
        </w:rPr>
        <w:t>é</w:t>
      </w:r>
      <w:r w:rsidRPr="00873110">
        <w:rPr>
          <w:color w:val="000000"/>
          <w:szCs w:val="22"/>
        </w:rPr>
        <w:t>ralisé à l'e</w:t>
      </w:r>
      <w:r w:rsidRPr="00873110">
        <w:rPr>
          <w:color w:val="000000"/>
          <w:szCs w:val="22"/>
        </w:rPr>
        <w:t>n</w:t>
      </w:r>
      <w:r w:rsidRPr="00873110">
        <w:rPr>
          <w:color w:val="000000"/>
          <w:szCs w:val="22"/>
        </w:rPr>
        <w:t>semble du secteur énergétique, de manière à réconcilier les acteurs, qui s'étaient montrés fort indisposés par l'action unilatérale d'Ottawa.</w:t>
      </w:r>
    </w:p>
    <w:p w:rsidR="00AD690E" w:rsidRPr="00873110" w:rsidRDefault="00AD690E" w:rsidP="00AD690E">
      <w:pPr>
        <w:spacing w:before="120" w:after="120"/>
        <w:jc w:val="both"/>
      </w:pPr>
      <w:r w:rsidRPr="00873110">
        <w:rPr>
          <w:color w:val="000000"/>
          <w:szCs w:val="22"/>
        </w:rPr>
        <w:t>Quant au « nouveau » pétrole, découvert après octobre 1980, il s</w:t>
      </w:r>
      <w:r w:rsidRPr="00873110">
        <w:rPr>
          <w:color w:val="000000"/>
          <w:szCs w:val="22"/>
        </w:rPr>
        <w:t>e</w:t>
      </w:r>
      <w:r w:rsidRPr="00873110">
        <w:rPr>
          <w:color w:val="000000"/>
          <w:szCs w:val="22"/>
        </w:rPr>
        <w:t>rait évalué à 30</w:t>
      </w:r>
      <w:r>
        <w:rPr>
          <w:color w:val="000000"/>
          <w:szCs w:val="22"/>
        </w:rPr>
        <w:t> $</w:t>
      </w:r>
      <w:r w:rsidRPr="00873110">
        <w:rPr>
          <w:color w:val="000000"/>
          <w:szCs w:val="22"/>
        </w:rPr>
        <w:t xml:space="preserve"> et son prix serait ajusté au début de chaque année, à même un calcul d'indexation opéré à partir de l'indice des prix à la consommation (IPC). Le gaz naturel serait fixé à 2,60</w:t>
      </w:r>
      <w:r>
        <w:rPr>
          <w:color w:val="000000"/>
          <w:szCs w:val="22"/>
        </w:rPr>
        <w:t> </w:t>
      </w:r>
      <w:r w:rsidRPr="00873110">
        <w:rPr>
          <w:color w:val="000000"/>
          <w:szCs w:val="22"/>
        </w:rPr>
        <w:t>S le mille pieds cube jusqu'au 1</w:t>
      </w:r>
      <w:r w:rsidRPr="00873110">
        <w:rPr>
          <w:color w:val="000000"/>
          <w:szCs w:val="22"/>
          <w:vertAlign w:val="superscript"/>
        </w:rPr>
        <w:t>er</w:t>
      </w:r>
      <w:r w:rsidRPr="00873110">
        <w:rPr>
          <w:color w:val="000000"/>
          <w:szCs w:val="22"/>
        </w:rPr>
        <w:t xml:space="preserve"> février 1982, alors qu'il serait ajusté à son tour</w:t>
      </w:r>
      <w:r>
        <w:rPr>
          <w:color w:val="000000"/>
          <w:szCs w:val="22"/>
        </w:rPr>
        <w:t> </w:t>
      </w:r>
      <w:r w:rsidRPr="00D756DB">
        <w:rPr>
          <w:rStyle w:val="Appelnotedebasdep"/>
        </w:rPr>
        <w:footnoteReference w:id="399"/>
      </w:r>
      <w:r w:rsidRPr="00873110">
        <w:rPr>
          <w:color w:val="000000"/>
          <w:szCs w:val="22"/>
        </w:rPr>
        <w:t>.</w:t>
      </w:r>
    </w:p>
    <w:p w:rsidR="00AD690E" w:rsidRPr="00873110" w:rsidRDefault="00AD690E" w:rsidP="00AD690E">
      <w:pPr>
        <w:spacing w:before="120" w:after="120"/>
        <w:jc w:val="both"/>
      </w:pPr>
      <w:r w:rsidRPr="00873110">
        <w:rPr>
          <w:color w:val="000000"/>
          <w:szCs w:val="22"/>
        </w:rPr>
        <w:t>Le gouvernement dédommagerait les raffineurs pour les prix plus élevés du pétrole importé en imposant au consommateur une taxe d'accise appelée Charge compensatoire pour le pétrole (CCP) établie à 2,55</w:t>
      </w:r>
      <w:r>
        <w:rPr>
          <w:color w:val="000000"/>
          <w:szCs w:val="22"/>
        </w:rPr>
        <w:t> $</w:t>
      </w:r>
      <w:r w:rsidRPr="00873110">
        <w:rPr>
          <w:color w:val="000000"/>
          <w:szCs w:val="22"/>
        </w:rPr>
        <w:t xml:space="preserve"> le baril et qui augmenterait de</w:t>
      </w:r>
      <w:r>
        <w:rPr>
          <w:color w:val="000000"/>
          <w:szCs w:val="22"/>
        </w:rPr>
        <w:t> $</w:t>
      </w:r>
      <w:r w:rsidRPr="00873110">
        <w:rPr>
          <w:color w:val="000000"/>
          <w:szCs w:val="22"/>
        </w:rPr>
        <w:t>2.50 le baril au début de chaque année. C'est ainsi que ce prix « mixte » — le prix à la tête du puits et la CCP — totaliserait des hausses moyennes au consommateur de l'ordre de 4,50</w:t>
      </w:r>
      <w:r>
        <w:rPr>
          <w:color w:val="000000"/>
          <w:szCs w:val="22"/>
        </w:rPr>
        <w:t> $</w:t>
      </w:r>
      <w:r w:rsidRPr="00873110">
        <w:rPr>
          <w:color w:val="000000"/>
          <w:szCs w:val="22"/>
        </w:rPr>
        <w:t xml:space="preserve"> par an jusqu'à la fin de 1983, à concurrence d'un pl</w:t>
      </w:r>
      <w:r w:rsidRPr="00873110">
        <w:rPr>
          <w:color w:val="000000"/>
          <w:szCs w:val="22"/>
        </w:rPr>
        <w:t>a</w:t>
      </w:r>
      <w:r w:rsidRPr="00873110">
        <w:rPr>
          <w:color w:val="000000"/>
          <w:szCs w:val="22"/>
        </w:rPr>
        <w:t>fond n'excédant pas 85</w:t>
      </w:r>
      <w:r>
        <w:rPr>
          <w:color w:val="000000"/>
          <w:szCs w:val="22"/>
        </w:rPr>
        <w:t>%</w:t>
      </w:r>
      <w:r w:rsidRPr="00873110">
        <w:rPr>
          <w:color w:val="000000"/>
          <w:szCs w:val="22"/>
        </w:rPr>
        <w:t xml:space="preserve"> du prix mondial. Enfin, le PEN prévoyait un prix de référence aux producteurs engagés dans les entreprises de transformation des sables bitumineux. On leur accorderait un min</w:t>
      </w:r>
      <w:r w:rsidRPr="00873110">
        <w:rPr>
          <w:color w:val="000000"/>
          <w:szCs w:val="22"/>
        </w:rPr>
        <w:t>i</w:t>
      </w:r>
      <w:r w:rsidRPr="00873110">
        <w:rPr>
          <w:color w:val="000000"/>
          <w:szCs w:val="22"/>
        </w:rPr>
        <w:t>mum de 38</w:t>
      </w:r>
      <w:r>
        <w:rPr>
          <w:color w:val="000000"/>
          <w:szCs w:val="22"/>
        </w:rPr>
        <w:t> $</w:t>
      </w:r>
      <w:r w:rsidRPr="00873110">
        <w:rPr>
          <w:color w:val="000000"/>
          <w:szCs w:val="22"/>
        </w:rPr>
        <w:t xml:space="preserve"> le baril au 1er janvier 1981 et l'on consentirait à un aju</w:t>
      </w:r>
      <w:r w:rsidRPr="00873110">
        <w:rPr>
          <w:color w:val="000000"/>
          <w:szCs w:val="22"/>
        </w:rPr>
        <w:t>s</w:t>
      </w:r>
      <w:r w:rsidRPr="00873110">
        <w:rPr>
          <w:color w:val="000000"/>
          <w:szCs w:val="22"/>
        </w:rPr>
        <w:t>tement annuel à partir de l'IPC ou encore du prix international</w:t>
      </w:r>
      <w:r>
        <w:rPr>
          <w:color w:val="000000"/>
          <w:szCs w:val="22"/>
        </w:rPr>
        <w:t> </w:t>
      </w:r>
      <w:r>
        <w:rPr>
          <w:rStyle w:val="Appelnotedebasdep"/>
        </w:rPr>
        <w:footnoteReference w:id="400"/>
      </w:r>
      <w:r w:rsidRPr="00873110">
        <w:rPr>
          <w:color w:val="000000"/>
          <w:szCs w:val="22"/>
        </w:rPr>
        <w:t>. Comme on le voit, l'ambiguïté restait entière.</w:t>
      </w:r>
    </w:p>
    <w:p w:rsidR="00AD690E" w:rsidRPr="00873110" w:rsidRDefault="00AD690E" w:rsidP="00AD690E">
      <w:pPr>
        <w:spacing w:before="120" w:after="120"/>
        <w:ind w:firstLine="0"/>
        <w:jc w:val="both"/>
      </w:pPr>
      <w:r w:rsidRPr="00873110">
        <w:rPr>
          <w:color w:val="000000"/>
          <w:szCs w:val="22"/>
        </w:rPr>
        <w:t xml:space="preserve">Dans les faits, les prévisions du PEN, même </w:t>
      </w:r>
      <w:r>
        <w:rPr>
          <w:color w:val="000000"/>
          <w:szCs w:val="22"/>
        </w:rPr>
        <w:t>ré</w:t>
      </w:r>
      <w:r w:rsidRPr="00873110">
        <w:rPr>
          <w:color w:val="000000"/>
          <w:szCs w:val="22"/>
        </w:rPr>
        <w:t>visées en faveur de l'industrie et des provinces avec l'EPTE, ne se concrétisèrent jamais. Dès 1984,</w:t>
      </w:r>
      <w:r>
        <w:rPr>
          <w:color w:val="000000"/>
          <w:szCs w:val="22"/>
        </w:rPr>
        <w:t xml:space="preserve"> </w:t>
      </w:r>
      <w:r>
        <w:t>[</w:t>
      </w:r>
      <w:r w:rsidRPr="00873110">
        <w:rPr>
          <w:color w:val="000000"/>
          <w:szCs w:val="18"/>
        </w:rPr>
        <w:t>228</w:t>
      </w:r>
      <w:r>
        <w:rPr>
          <w:color w:val="000000"/>
          <w:szCs w:val="18"/>
        </w:rPr>
        <w:t xml:space="preserve">] </w:t>
      </w:r>
      <w:r>
        <w:rPr>
          <w:color w:val="000000"/>
        </w:rPr>
        <w:t xml:space="preserve">le prix mondial allait en décroissant le plafond </w:t>
      </w:r>
      <w:r w:rsidRPr="00873110">
        <w:rPr>
          <w:color w:val="000000"/>
        </w:rPr>
        <w:t>can</w:t>
      </w:r>
      <w:r w:rsidRPr="00873110">
        <w:rPr>
          <w:color w:val="000000"/>
        </w:rPr>
        <w:t>a</w:t>
      </w:r>
      <w:r w:rsidRPr="00873110">
        <w:rPr>
          <w:color w:val="000000"/>
        </w:rPr>
        <w:t>dien fut atteint et les prix stagnèrent par la suite. À la fin de cette p</w:t>
      </w:r>
      <w:r w:rsidRPr="00873110">
        <w:rPr>
          <w:color w:val="000000"/>
        </w:rPr>
        <w:t>é</w:t>
      </w:r>
      <w:r w:rsidRPr="00873110">
        <w:rPr>
          <w:color w:val="000000"/>
        </w:rPr>
        <w:t>riode, une situation de fait s'était toutefois imposée aux Canadiens pour longtemps ; désormais la majeure partie du prix des produits p</w:t>
      </w:r>
      <w:r w:rsidRPr="00873110">
        <w:rPr>
          <w:color w:val="000000"/>
        </w:rPr>
        <w:t>é</w:t>
      </w:r>
      <w:r w:rsidRPr="00873110">
        <w:rPr>
          <w:color w:val="000000"/>
        </w:rPr>
        <w:t>troliers était const</w:t>
      </w:r>
      <w:r w:rsidRPr="00873110">
        <w:rPr>
          <w:color w:val="000000"/>
        </w:rPr>
        <w:t>i</w:t>
      </w:r>
      <w:r w:rsidRPr="00873110">
        <w:rPr>
          <w:color w:val="000000"/>
        </w:rPr>
        <w:t>tuée de taxes d'accise ou « ascenseur » provinciales et fédérales. Voyons comment on en était venu là.</w:t>
      </w:r>
    </w:p>
    <w:p w:rsidR="00AD690E" w:rsidRDefault="00AD690E" w:rsidP="00AD690E">
      <w:pPr>
        <w:spacing w:before="120" w:after="120"/>
        <w:jc w:val="both"/>
        <w:rPr>
          <w:color w:val="000000"/>
        </w:rPr>
      </w:pPr>
    </w:p>
    <w:p w:rsidR="00AD690E" w:rsidRPr="00873110" w:rsidRDefault="00AD690E" w:rsidP="00AD690E">
      <w:pPr>
        <w:pStyle w:val="planche"/>
      </w:pPr>
      <w:r w:rsidRPr="00873110">
        <w:t>LES MESURES FISCALES</w:t>
      </w:r>
      <w:r>
        <w:br/>
      </w:r>
      <w:r w:rsidRPr="00873110">
        <w:t>DE LA NOUVELLE POLITIQUE</w:t>
      </w:r>
      <w:r>
        <w:br/>
      </w:r>
      <w:r w:rsidRPr="00873110">
        <w:t>ÉNERGÉTIQUE</w:t>
      </w:r>
    </w:p>
    <w:p w:rsidR="00AD690E" w:rsidRDefault="00AD690E" w:rsidP="00AD690E">
      <w:pPr>
        <w:spacing w:before="120" w:after="120"/>
        <w:jc w:val="both"/>
        <w:rPr>
          <w:color w:val="000000"/>
        </w:rPr>
      </w:pPr>
    </w:p>
    <w:p w:rsidR="00AD690E" w:rsidRPr="00873110" w:rsidRDefault="00AD690E" w:rsidP="00AD690E">
      <w:pPr>
        <w:spacing w:before="120" w:after="120"/>
        <w:ind w:firstLine="0"/>
        <w:jc w:val="both"/>
      </w:pPr>
      <w:r w:rsidRPr="00873110">
        <w:rPr>
          <w:color w:val="000000"/>
        </w:rPr>
        <w:t>Le régime fiscal du PEN ramène immédiatement à la matrice de r</w:t>
      </w:r>
      <w:r w:rsidRPr="00873110">
        <w:rPr>
          <w:color w:val="000000"/>
        </w:rPr>
        <w:t>é</w:t>
      </w:r>
      <w:r w:rsidRPr="00873110">
        <w:rPr>
          <w:color w:val="000000"/>
        </w:rPr>
        <w:t>partition des revenus escomptés de la manne pétrolière. Conform</w:t>
      </w:r>
      <w:r w:rsidRPr="00873110">
        <w:rPr>
          <w:color w:val="000000"/>
        </w:rPr>
        <w:t>é</w:t>
      </w:r>
      <w:r w:rsidRPr="00873110">
        <w:rPr>
          <w:color w:val="000000"/>
        </w:rPr>
        <w:t>ment à la Constitution de 1867, les ressources naturelles sont du re</w:t>
      </w:r>
      <w:r w:rsidRPr="00873110">
        <w:rPr>
          <w:color w:val="000000"/>
        </w:rPr>
        <w:t>s</w:t>
      </w:r>
      <w:r w:rsidRPr="00873110">
        <w:rPr>
          <w:color w:val="000000"/>
        </w:rPr>
        <w:t>sort des provinces et, par voie de conséquence, celles-ci peuvent taxer directement les revenus des entreprises qui les exploitent grâce à leur accord. C'est le mécanisme des concessions. Toutefois, il leur est i</w:t>
      </w:r>
      <w:r w:rsidRPr="00873110">
        <w:rPr>
          <w:color w:val="000000"/>
        </w:rPr>
        <w:t>n</w:t>
      </w:r>
      <w:r w:rsidRPr="00873110">
        <w:rPr>
          <w:color w:val="000000"/>
        </w:rPr>
        <w:t>terdit d'user des taxes indirectes</w:t>
      </w:r>
      <w:r>
        <w:rPr>
          <w:color w:val="000000"/>
        </w:rPr>
        <w:t> </w:t>
      </w:r>
      <w:r w:rsidRPr="00D756DB">
        <w:rPr>
          <w:rStyle w:val="Appelnotedebasdep"/>
        </w:rPr>
        <w:footnoteReference w:id="401"/>
      </w:r>
      <w:r w:rsidRPr="00873110">
        <w:rPr>
          <w:color w:val="000000"/>
        </w:rPr>
        <w:t>. Celles-ci sont du ressort du go</w:t>
      </w:r>
      <w:r w:rsidRPr="00873110">
        <w:rPr>
          <w:color w:val="000000"/>
        </w:rPr>
        <w:t>u</w:t>
      </w:r>
      <w:r w:rsidRPr="00873110">
        <w:rPr>
          <w:color w:val="000000"/>
        </w:rPr>
        <w:t>vernement fédéral qui peut, d'autre part, fixer les prix pratiqués dans le commerce interprovincial ou destiné à l'exportation, selon ses pr</w:t>
      </w:r>
      <w:r w:rsidRPr="00873110">
        <w:rPr>
          <w:color w:val="000000"/>
        </w:rPr>
        <w:t>é</w:t>
      </w:r>
      <w:r w:rsidRPr="00873110">
        <w:rPr>
          <w:color w:val="000000"/>
        </w:rPr>
        <w:t>rogatives inscrites à l'article 125 de l'AANB</w:t>
      </w:r>
      <w:r>
        <w:rPr>
          <w:color w:val="000000"/>
        </w:rPr>
        <w:t> </w:t>
      </w:r>
      <w:r w:rsidRPr="00D756DB">
        <w:rPr>
          <w:rStyle w:val="Appelnotedebasdep"/>
        </w:rPr>
        <w:footnoteReference w:id="402"/>
      </w:r>
      <w:r w:rsidRPr="00873110">
        <w:rPr>
          <w:color w:val="000000"/>
        </w:rPr>
        <w:t>. À la suite du Décret administratif sur le pétrole de 1975 amendé en 1980, il peut même, en l'absence d'une entente avec les provinces, statuer sur les prix dome</w:t>
      </w:r>
      <w:r w:rsidRPr="00873110">
        <w:rPr>
          <w:color w:val="000000"/>
        </w:rPr>
        <w:t>s</w:t>
      </w:r>
      <w:r w:rsidRPr="00873110">
        <w:rPr>
          <w:color w:val="000000"/>
        </w:rPr>
        <w:t>tiques du pétrole et du gaz. Compte tenu des relations orageuses entre Ottawa et Edmonton à partir de 1980, tels seront les leviers dont le PEN se servira dans sa volonté de planifier le secteur.</w:t>
      </w:r>
    </w:p>
    <w:p w:rsidR="00AD690E" w:rsidRPr="00873110" w:rsidRDefault="00AD690E" w:rsidP="00AD690E">
      <w:pPr>
        <w:spacing w:before="120" w:after="120"/>
        <w:jc w:val="both"/>
      </w:pPr>
      <w:r w:rsidRPr="00873110">
        <w:rPr>
          <w:color w:val="000000"/>
        </w:rPr>
        <w:t>L'esprit de la fiscalité du PEN est d'abord de protéger les conso</w:t>
      </w:r>
      <w:r w:rsidRPr="00873110">
        <w:rPr>
          <w:color w:val="000000"/>
        </w:rPr>
        <w:t>m</w:t>
      </w:r>
      <w:r w:rsidRPr="00873110">
        <w:rPr>
          <w:color w:val="000000"/>
        </w:rPr>
        <w:t>mateurs et les régions importatrices tout en investissant les revenus générés par la différence des tarifs dans des initiatives productives dans le même secteur, « au bénéfice de tous les Canadiens ». Le PEN a besoin de revenus additionnels pour une politique d'ampleur « nationale » : des subsides aux importations de pétrole pour les pr</w:t>
      </w:r>
      <w:r w:rsidRPr="00873110">
        <w:rPr>
          <w:color w:val="000000"/>
        </w:rPr>
        <w:t>o</w:t>
      </w:r>
      <w:r w:rsidRPr="00873110">
        <w:rPr>
          <w:color w:val="000000"/>
        </w:rPr>
        <w:t>vinces de l'Est</w:t>
      </w:r>
      <w:r>
        <w:rPr>
          <w:color w:val="000000"/>
        </w:rPr>
        <w:t> </w:t>
      </w:r>
      <w:r w:rsidRPr="00D756DB">
        <w:rPr>
          <w:rStyle w:val="Appelnotedebasdep"/>
        </w:rPr>
        <w:footnoteReference w:id="403"/>
      </w:r>
      <w:r w:rsidRPr="00873110">
        <w:rPr>
          <w:color w:val="000000"/>
        </w:rPr>
        <w:t xml:space="preserve"> et des stimulants à l'entreprise pour la prospection et le développement dans les zones pionnières, c'est-à-dire les terres du Canada. Dans le cadre de cette seconde mission, il hérite d'une prat</w:t>
      </w:r>
      <w:r w:rsidRPr="00873110">
        <w:rPr>
          <w:color w:val="000000"/>
        </w:rPr>
        <w:t>i</w:t>
      </w:r>
      <w:r w:rsidRPr="00873110">
        <w:rPr>
          <w:color w:val="000000"/>
        </w:rPr>
        <w:t>que qui s'était</w:t>
      </w:r>
      <w:r>
        <w:rPr>
          <w:color w:val="000000"/>
        </w:rPr>
        <w:t xml:space="preserve"> [229] </w:t>
      </w:r>
      <w:r w:rsidRPr="00873110">
        <w:rPr>
          <w:color w:val="000000"/>
        </w:rPr>
        <w:t>instaurée dans les années 70 ; en effet, dès cette époque, des dédu</w:t>
      </w:r>
      <w:r w:rsidRPr="00873110">
        <w:rPr>
          <w:color w:val="000000"/>
        </w:rPr>
        <w:t>c</w:t>
      </w:r>
      <w:r w:rsidRPr="00873110">
        <w:rPr>
          <w:color w:val="000000"/>
        </w:rPr>
        <w:t>tions appréciables d'impôt étaient en vigueur pour des entreprises d</w:t>
      </w:r>
      <w:r w:rsidRPr="00873110">
        <w:rPr>
          <w:color w:val="000000"/>
        </w:rPr>
        <w:t>é</w:t>
      </w:r>
      <w:r w:rsidRPr="00873110">
        <w:rPr>
          <w:color w:val="000000"/>
        </w:rPr>
        <w:t>sireuses de réinvestir dans la prospection</w:t>
      </w:r>
      <w:r>
        <w:rPr>
          <w:color w:val="000000"/>
        </w:rPr>
        <w:t> </w:t>
      </w:r>
      <w:r w:rsidRPr="00D756DB">
        <w:rPr>
          <w:rStyle w:val="Appelnotedebasdep"/>
        </w:rPr>
        <w:footnoteReference w:id="404"/>
      </w:r>
      <w:r w:rsidRPr="00873110">
        <w:rPr>
          <w:color w:val="000000"/>
        </w:rPr>
        <w:t>. Mais le PEN constitue un virage important par rapport à cette pratique. D</w:t>
      </w:r>
      <w:r w:rsidRPr="00873110">
        <w:rPr>
          <w:color w:val="000000"/>
        </w:rPr>
        <w:t>é</w:t>
      </w:r>
      <w:r w:rsidRPr="00873110">
        <w:rPr>
          <w:color w:val="000000"/>
        </w:rPr>
        <w:t>sormais, le gouvernement repousse le principe des déductions d'i</w:t>
      </w:r>
      <w:r w:rsidRPr="00873110">
        <w:rPr>
          <w:color w:val="000000"/>
        </w:rPr>
        <w:t>m</w:t>
      </w:r>
      <w:r w:rsidRPr="00873110">
        <w:rPr>
          <w:color w:val="000000"/>
        </w:rPr>
        <w:t>pôts aux produ</w:t>
      </w:r>
      <w:r w:rsidRPr="00873110">
        <w:rPr>
          <w:color w:val="000000"/>
        </w:rPr>
        <w:t>c</w:t>
      </w:r>
      <w:r w:rsidRPr="00873110">
        <w:rPr>
          <w:color w:val="000000"/>
        </w:rPr>
        <w:t>teurs engagés dans la prospection en zone pionnière, en faveur d'une appr</w:t>
      </w:r>
      <w:r w:rsidRPr="00873110">
        <w:rPr>
          <w:color w:val="000000"/>
        </w:rPr>
        <w:t>o</w:t>
      </w:r>
      <w:r w:rsidRPr="00873110">
        <w:rPr>
          <w:color w:val="000000"/>
        </w:rPr>
        <w:t>che plus « politique » qui consiste à mettre sur pied une panoplie complète de stimulants à l'entreprise et d'encour</w:t>
      </w:r>
      <w:r w:rsidRPr="00873110">
        <w:rPr>
          <w:color w:val="000000"/>
        </w:rPr>
        <w:t>a</w:t>
      </w:r>
      <w:r w:rsidRPr="00873110">
        <w:rPr>
          <w:color w:val="000000"/>
        </w:rPr>
        <w:t>gement, à la can</w:t>
      </w:r>
      <w:r w:rsidRPr="00873110">
        <w:rPr>
          <w:color w:val="000000"/>
        </w:rPr>
        <w:t>a</w:t>
      </w:r>
      <w:r w:rsidRPr="00873110">
        <w:rPr>
          <w:color w:val="000000"/>
        </w:rPr>
        <w:t>dianisation. Pourquoi en vient-il à ce choix ?</w:t>
      </w:r>
    </w:p>
    <w:p w:rsidR="00AD690E" w:rsidRPr="00873110" w:rsidRDefault="00AD690E" w:rsidP="00AD690E">
      <w:pPr>
        <w:spacing w:before="120" w:after="120"/>
        <w:jc w:val="both"/>
      </w:pPr>
      <w:r w:rsidRPr="00873110">
        <w:rPr>
          <w:color w:val="000000"/>
        </w:rPr>
        <w:t>En 1979, l'importance du nombre d'entreprises participant au pr</w:t>
      </w:r>
      <w:r w:rsidRPr="00873110">
        <w:rPr>
          <w:color w:val="000000"/>
        </w:rPr>
        <w:t>o</w:t>
      </w:r>
      <w:r w:rsidRPr="00873110">
        <w:rPr>
          <w:color w:val="000000"/>
        </w:rPr>
        <w:t>gramme de déductions d'impôt pour fins de réallocation des profits vers la prospection est telle que les revenus du gouvernement décroi</w:t>
      </w:r>
      <w:r w:rsidRPr="00873110">
        <w:rPr>
          <w:color w:val="000000"/>
        </w:rPr>
        <w:t>s</w:t>
      </w:r>
      <w:r w:rsidRPr="00873110">
        <w:rPr>
          <w:color w:val="000000"/>
        </w:rPr>
        <w:t>sent. Alors que les provinces voient le montant de leurs royalties a</w:t>
      </w:r>
      <w:r w:rsidRPr="00873110">
        <w:rPr>
          <w:color w:val="000000"/>
        </w:rPr>
        <w:t>u</w:t>
      </w:r>
      <w:r w:rsidRPr="00873110">
        <w:rPr>
          <w:color w:val="000000"/>
        </w:rPr>
        <w:t>tomatiquement ajusté par rapport au prix pratiqué à la tête du puits, ce qui leur assure une base stable de financement, le fédéral, avec ses taxes d'accise en partie érodées par les stimulants fiscaux, ne peut s'en prévaloir. D'où la nécessité d'une réforme du système de façon à co</w:t>
      </w:r>
      <w:r w:rsidRPr="00873110">
        <w:rPr>
          <w:color w:val="000000"/>
        </w:rPr>
        <w:t>m</w:t>
      </w:r>
      <w:r w:rsidRPr="00873110">
        <w:rPr>
          <w:color w:val="000000"/>
        </w:rPr>
        <w:t>penser pour cette distorsion accentuée entre les revenus des firmes et des provinces, et ceux du gouvernement central. D'autres facteurs do</w:t>
      </w:r>
      <w:r w:rsidRPr="00873110">
        <w:rPr>
          <w:color w:val="000000"/>
        </w:rPr>
        <w:t>i</w:t>
      </w:r>
      <w:r w:rsidRPr="00873110">
        <w:rPr>
          <w:color w:val="000000"/>
        </w:rPr>
        <w:t>vent aussi être invoqués. Dans sa volonté de « canadianiser » l'indu</w:t>
      </w:r>
      <w:r w:rsidRPr="00873110">
        <w:rPr>
          <w:color w:val="000000"/>
        </w:rPr>
        <w:t>s</w:t>
      </w:r>
      <w:r w:rsidRPr="00873110">
        <w:rPr>
          <w:color w:val="000000"/>
        </w:rPr>
        <w:t>trie pétrolière en amont, le gouvernement ne peut, vu les accords tar</w:t>
      </w:r>
      <w:r w:rsidRPr="00873110">
        <w:rPr>
          <w:color w:val="000000"/>
        </w:rPr>
        <w:t>i</w:t>
      </w:r>
      <w:r w:rsidRPr="00873110">
        <w:rPr>
          <w:color w:val="000000"/>
        </w:rPr>
        <w:t>faires le liant aux États-Unis, surtaxer ou encore refuser d'accorder des déductions à des entreprises (ce qui revient au même) sous prétexte qu'elles sont américaines. Cette discrimination serait totalement contraire au GATT ainsi qu'aux traités bilatéraux dont le Canada est signataire</w:t>
      </w:r>
      <w:r>
        <w:rPr>
          <w:color w:val="000000"/>
        </w:rPr>
        <w:t> </w:t>
      </w:r>
      <w:r w:rsidRPr="00D756DB">
        <w:rPr>
          <w:rStyle w:val="Appelnotedebasdep"/>
        </w:rPr>
        <w:footnoteReference w:id="405"/>
      </w:r>
      <w:r w:rsidRPr="00873110">
        <w:rPr>
          <w:color w:val="000000"/>
        </w:rPr>
        <w:t>.</w:t>
      </w:r>
    </w:p>
    <w:p w:rsidR="00AD690E" w:rsidRPr="00873110" w:rsidRDefault="00AD690E" w:rsidP="00AD690E">
      <w:pPr>
        <w:spacing w:before="120" w:after="120"/>
        <w:jc w:val="both"/>
      </w:pPr>
      <w:r w:rsidRPr="00873110">
        <w:rPr>
          <w:color w:val="000000"/>
        </w:rPr>
        <w:t>L'introduction d'un système de subventions permet de contourner cette difficulté : le gouvernement peut choisir, en vertu de son objectif de canadianisation, les entreprises qui correspondent le mieux aux cr</w:t>
      </w:r>
      <w:r w:rsidRPr="00873110">
        <w:rPr>
          <w:color w:val="000000"/>
        </w:rPr>
        <w:t>i</w:t>
      </w:r>
      <w:r w:rsidRPr="00873110">
        <w:rPr>
          <w:color w:val="000000"/>
        </w:rPr>
        <w:t>tères prioritaires ; à savoir le degré de participation canadienne dans chaque projet et la région choisie pour la prospection. La visibilité extrême des subventions a l'avantage de faire sentir de manière non équivoque la « présence » du gouvernement fédéral dans la politique énergétique. C'est d'ailleurs l'un des principaux buts recherchés par le PEN, tant à l'intention des gouvernements provinciaux, surtout de l'Alberta, que de l'industrie.</w:t>
      </w:r>
    </w:p>
    <w:p w:rsidR="00AD690E" w:rsidRPr="00873110" w:rsidRDefault="00AD690E" w:rsidP="00AD690E">
      <w:pPr>
        <w:spacing w:before="120" w:after="120"/>
        <w:jc w:val="both"/>
      </w:pPr>
      <w:r w:rsidRPr="00873110">
        <w:rPr>
          <w:color w:val="000000"/>
        </w:rPr>
        <w:t>Orientées vers les zones pionnières, ces subventions annoncent une nouvelle époque plus « centralisatrice » de l'histoire du Canada, avec l'essor des</w:t>
      </w:r>
      <w:r>
        <w:rPr>
          <w:color w:val="000000"/>
        </w:rPr>
        <w:t xml:space="preserve"> </w:t>
      </w:r>
      <w:r>
        <w:rPr>
          <w:color w:val="000000"/>
          <w:szCs w:val="18"/>
        </w:rPr>
        <w:t>[</w:t>
      </w:r>
      <w:r w:rsidRPr="00873110">
        <w:rPr>
          <w:rFonts w:cs="Arial"/>
          <w:color w:val="000000"/>
          <w:szCs w:val="18"/>
        </w:rPr>
        <w:t>230</w:t>
      </w:r>
      <w:r>
        <w:rPr>
          <w:rFonts w:cs="Arial"/>
          <w:color w:val="000000"/>
          <w:szCs w:val="18"/>
        </w:rPr>
        <w:t xml:space="preserve">] </w:t>
      </w:r>
      <w:r w:rsidRPr="00873110">
        <w:rPr>
          <w:color w:val="000000"/>
        </w:rPr>
        <w:t>régions frontalières lié à celui de l'industrie can</w:t>
      </w:r>
      <w:r w:rsidRPr="00873110">
        <w:rPr>
          <w:color w:val="000000"/>
        </w:rPr>
        <w:t>a</w:t>
      </w:r>
      <w:r w:rsidRPr="00873110">
        <w:rPr>
          <w:color w:val="000000"/>
        </w:rPr>
        <w:t>dienne et le déclin relatif de l'industrie pétrolière albertaine, davantage contrôlée par les étrangers et servant des intérêts « provincialistes »</w:t>
      </w:r>
      <w:r>
        <w:rPr>
          <w:color w:val="000000"/>
        </w:rPr>
        <w:t> </w:t>
      </w:r>
      <w:r w:rsidRPr="00D756DB">
        <w:rPr>
          <w:rStyle w:val="Appelnotedebasdep"/>
        </w:rPr>
        <w:footnoteReference w:id="406"/>
      </w:r>
      <w:r w:rsidRPr="00873110">
        <w:rPr>
          <w:color w:val="000000"/>
        </w:rPr>
        <w:t>. La visibilité sert enfin des intérêts partisans, que les libéraux ne perdront jamais de vue.</w:t>
      </w:r>
    </w:p>
    <w:p w:rsidR="00AD690E" w:rsidRPr="00873110" w:rsidRDefault="00AD690E" w:rsidP="00AD690E">
      <w:pPr>
        <w:spacing w:before="120" w:after="120"/>
        <w:jc w:val="both"/>
      </w:pPr>
      <w:r w:rsidRPr="00873110">
        <w:rPr>
          <w:color w:val="000000"/>
        </w:rPr>
        <w:t>Outre la taxation normalement répartie entre paliers de gouvern</w:t>
      </w:r>
      <w:r w:rsidRPr="00873110">
        <w:rPr>
          <w:color w:val="000000"/>
        </w:rPr>
        <w:t>e</w:t>
      </w:r>
      <w:r w:rsidRPr="00873110">
        <w:rPr>
          <w:color w:val="000000"/>
        </w:rPr>
        <w:t>ment, d'une part les royalties provinciales et l'IRP, le fédéral introduit en amont une taxe d'accise spéciale qui ponctionne la marge des pr</w:t>
      </w:r>
      <w:r w:rsidRPr="00873110">
        <w:rPr>
          <w:color w:val="000000"/>
        </w:rPr>
        <w:t>o</w:t>
      </w:r>
      <w:r w:rsidRPr="00873110">
        <w:rPr>
          <w:color w:val="000000"/>
        </w:rPr>
        <w:t>fits des firmes recevant l'ensemble de leurs revenus de leurs ventes de pétrole et de gaz. Appelée Taxe sur les recettes pétrolières et gazières (TRPG), cette taxe représente jusqu'à 25</w:t>
      </w:r>
      <w:r>
        <w:rPr>
          <w:color w:val="000000"/>
        </w:rPr>
        <w:t>%</w:t>
      </w:r>
      <w:r w:rsidRPr="00873110">
        <w:rPr>
          <w:color w:val="000000"/>
        </w:rPr>
        <w:t xml:space="preserve"> des revenus des entrepr</w:t>
      </w:r>
      <w:r w:rsidRPr="00873110">
        <w:rPr>
          <w:color w:val="000000"/>
        </w:rPr>
        <w:t>i</w:t>
      </w:r>
      <w:r w:rsidRPr="00873110">
        <w:rPr>
          <w:color w:val="000000"/>
        </w:rPr>
        <w:t>ses. On souhaite ainsi, avant même d'offrir les subventions, dissuader les activités de l'industrie qui ne seraient pas orientées vers le réinve</w:t>
      </w:r>
      <w:r w:rsidRPr="00873110">
        <w:rPr>
          <w:color w:val="000000"/>
        </w:rPr>
        <w:t>s</w:t>
      </w:r>
      <w:r w:rsidRPr="00873110">
        <w:rPr>
          <w:color w:val="000000"/>
        </w:rPr>
        <w:t xml:space="preserve">tissement </w:t>
      </w:r>
      <w:r w:rsidRPr="0086627F">
        <w:rPr>
          <w:i/>
          <w:color w:val="000000"/>
        </w:rPr>
        <w:t>in situ</w:t>
      </w:r>
      <w:r w:rsidRPr="00873110">
        <w:rPr>
          <w:color w:val="000000"/>
        </w:rPr>
        <w:t>. En d'autres mots, on s'attaque aux prospecteurs qui s'orientent principalement vers l'exportation du brut, et surtout du gaz naturel, vers les États-Unis. Inutile de dire que cette TRPG est fort mal perçue outre frontière de même que par une fraction importante du secteur pétrolier</w:t>
      </w:r>
      <w:r>
        <w:rPr>
          <w:color w:val="000000"/>
        </w:rPr>
        <w:t> </w:t>
      </w:r>
      <w:r w:rsidRPr="00D756DB">
        <w:rPr>
          <w:rStyle w:val="Appelnotedebasdep"/>
        </w:rPr>
        <w:footnoteReference w:id="407"/>
      </w:r>
      <w:r w:rsidRPr="00873110">
        <w:rPr>
          <w:color w:val="000000"/>
        </w:rPr>
        <w:t>.</w:t>
      </w:r>
    </w:p>
    <w:p w:rsidR="00AD690E" w:rsidRPr="00873110" w:rsidRDefault="00AD690E" w:rsidP="00AD690E">
      <w:pPr>
        <w:spacing w:before="120" w:after="120"/>
        <w:jc w:val="both"/>
      </w:pPr>
      <w:r w:rsidRPr="00873110">
        <w:rPr>
          <w:color w:val="000000"/>
        </w:rPr>
        <w:t>De son côté, le Programme d'encouragement du secteur pétrolier tente justement d'orienter l'investissement des firmes pétrolières là où s'affirme la présence des Canadiens, vers les zones pionnières. Il r</w:t>
      </w:r>
      <w:r w:rsidRPr="00873110">
        <w:rPr>
          <w:color w:val="000000"/>
        </w:rPr>
        <w:t>é</w:t>
      </w:r>
      <w:r w:rsidRPr="00873110">
        <w:rPr>
          <w:color w:val="000000"/>
        </w:rPr>
        <w:t>duit le coût de l'investissement après taxes et déduit les frais admiss</w:t>
      </w:r>
      <w:r w:rsidRPr="00873110">
        <w:rPr>
          <w:color w:val="000000"/>
        </w:rPr>
        <w:t>i</w:t>
      </w:r>
      <w:r w:rsidRPr="00873110">
        <w:rPr>
          <w:color w:val="000000"/>
        </w:rPr>
        <w:t>bles dans la prospection, à la suite d'un calcul assez simple, pour obt</w:t>
      </w:r>
      <w:r w:rsidRPr="00873110">
        <w:rPr>
          <w:color w:val="000000"/>
        </w:rPr>
        <w:t>e</w:t>
      </w:r>
      <w:r w:rsidRPr="00873110">
        <w:rPr>
          <w:color w:val="000000"/>
        </w:rPr>
        <w:t>nir un taux de subvention qui dépend tout aussi bien du taux de part</w:t>
      </w:r>
      <w:r w:rsidRPr="00873110">
        <w:rPr>
          <w:color w:val="000000"/>
        </w:rPr>
        <w:t>i</w:t>
      </w:r>
      <w:r w:rsidRPr="00873110">
        <w:rPr>
          <w:color w:val="000000"/>
        </w:rPr>
        <w:t>cipation des Canadiens dans le projet (TPC) que de la région visée par ce projet</w:t>
      </w:r>
      <w:r>
        <w:rPr>
          <w:color w:val="000000"/>
        </w:rPr>
        <w:t> </w:t>
      </w:r>
      <w:r w:rsidRPr="00D756DB">
        <w:rPr>
          <w:rStyle w:val="Appelnotedebasdep"/>
        </w:rPr>
        <w:footnoteReference w:id="408"/>
      </w:r>
      <w:r w:rsidRPr="00873110">
        <w:rPr>
          <w:color w:val="000000"/>
        </w:rPr>
        <w:t>. La carte officielle des terres du Canada, reconnue par Énergie, Mines et Ressources Canada indique en effet onze régions.</w:t>
      </w:r>
    </w:p>
    <w:p w:rsidR="00AD690E" w:rsidRPr="00873110" w:rsidRDefault="00AD690E" w:rsidP="00AD690E">
      <w:pPr>
        <w:spacing w:before="120" w:after="120"/>
        <w:jc w:val="both"/>
      </w:pPr>
      <w:r w:rsidRPr="00873110">
        <w:rPr>
          <w:color w:val="000000"/>
        </w:rPr>
        <w:t>Certaines sont situées sur le territoire des provinces, les autres en terres du Canada. Dans le premier cas, une échelle permet de déduire de 25</w:t>
      </w:r>
      <w:r>
        <w:rPr>
          <w:color w:val="000000"/>
        </w:rPr>
        <w:t>%</w:t>
      </w:r>
      <w:r w:rsidRPr="00873110">
        <w:rPr>
          <w:color w:val="000000"/>
        </w:rPr>
        <w:t xml:space="preserve"> à 35</w:t>
      </w:r>
      <w:r>
        <w:rPr>
          <w:color w:val="000000"/>
        </w:rPr>
        <w:t>%</w:t>
      </w:r>
      <w:r w:rsidRPr="00873110">
        <w:rPr>
          <w:color w:val="000000"/>
        </w:rPr>
        <w:t xml:space="preserve"> des frais d'exploration, de 10</w:t>
      </w:r>
      <w:r>
        <w:rPr>
          <w:color w:val="000000"/>
        </w:rPr>
        <w:t>%</w:t>
      </w:r>
      <w:r w:rsidRPr="00873110">
        <w:rPr>
          <w:color w:val="000000"/>
        </w:rPr>
        <w:t xml:space="preserve"> à 20</w:t>
      </w:r>
      <w:r>
        <w:rPr>
          <w:color w:val="000000"/>
        </w:rPr>
        <w:t>%</w:t>
      </w:r>
      <w:r w:rsidRPr="00873110">
        <w:rPr>
          <w:color w:val="000000"/>
        </w:rPr>
        <w:t xml:space="preserve"> des frais d'am</w:t>
      </w:r>
      <w:r w:rsidRPr="00873110">
        <w:rPr>
          <w:color w:val="000000"/>
        </w:rPr>
        <w:t>é</w:t>
      </w:r>
      <w:r w:rsidRPr="00873110">
        <w:rPr>
          <w:color w:val="000000"/>
        </w:rPr>
        <w:t>nagement et de 10</w:t>
      </w:r>
      <w:r>
        <w:rPr>
          <w:color w:val="000000"/>
        </w:rPr>
        <w:t>%</w:t>
      </w:r>
      <w:r w:rsidRPr="00873110">
        <w:rPr>
          <w:color w:val="000000"/>
        </w:rPr>
        <w:t xml:space="preserve"> à 20</w:t>
      </w:r>
      <w:r>
        <w:rPr>
          <w:color w:val="000000"/>
        </w:rPr>
        <w:t>%</w:t>
      </w:r>
      <w:r w:rsidRPr="00873110">
        <w:rPr>
          <w:color w:val="000000"/>
        </w:rPr>
        <w:t xml:space="preserve"> des coûts ; alors que dans le second cas, on peut réclamer du fisc, en vertu</w:t>
      </w:r>
      <w:r>
        <w:rPr>
          <w:color w:val="000000"/>
        </w:rPr>
        <w:t xml:space="preserve"> </w:t>
      </w:r>
      <w:r>
        <w:t xml:space="preserve">[231] </w:t>
      </w:r>
      <w:r w:rsidRPr="00873110">
        <w:rPr>
          <w:color w:val="000000"/>
        </w:rPr>
        <w:t>du PESP, de 25</w:t>
      </w:r>
      <w:r>
        <w:rPr>
          <w:color w:val="000000"/>
        </w:rPr>
        <w:t>%</w:t>
      </w:r>
      <w:r w:rsidRPr="00873110">
        <w:rPr>
          <w:color w:val="000000"/>
        </w:rPr>
        <w:t xml:space="preserve"> à 80</w:t>
      </w:r>
      <w:r>
        <w:rPr>
          <w:color w:val="000000"/>
        </w:rPr>
        <w:t>%</w:t>
      </w:r>
      <w:r w:rsidRPr="00873110">
        <w:rPr>
          <w:color w:val="000000"/>
        </w:rPr>
        <w:t xml:space="preserve"> des frais d'exploration</w:t>
      </w:r>
      <w:r>
        <w:rPr>
          <w:color w:val="000000"/>
        </w:rPr>
        <w:t> </w:t>
      </w:r>
      <w:r w:rsidRPr="000A019C">
        <w:rPr>
          <w:rStyle w:val="Appelnotedebasdep"/>
        </w:rPr>
        <w:footnoteReference w:id="409"/>
      </w:r>
      <w:r w:rsidRPr="00873110">
        <w:rPr>
          <w:color w:val="000000"/>
        </w:rPr>
        <w:t>, de 10</w:t>
      </w:r>
      <w:r>
        <w:rPr>
          <w:color w:val="000000"/>
        </w:rPr>
        <w:t>%</w:t>
      </w:r>
      <w:r w:rsidRPr="00873110">
        <w:rPr>
          <w:color w:val="000000"/>
        </w:rPr>
        <w:t xml:space="preserve"> à 20</w:t>
      </w:r>
      <w:r>
        <w:rPr>
          <w:color w:val="000000"/>
        </w:rPr>
        <w:t>%</w:t>
      </w:r>
      <w:r w:rsidRPr="00873110">
        <w:rPr>
          <w:color w:val="000000"/>
        </w:rPr>
        <w:t xml:space="preserve"> des frais d'aménagement et de 10</w:t>
      </w:r>
      <w:r>
        <w:rPr>
          <w:color w:val="000000"/>
        </w:rPr>
        <w:t>%</w:t>
      </w:r>
      <w:r w:rsidRPr="00873110">
        <w:rPr>
          <w:color w:val="000000"/>
        </w:rPr>
        <w:t xml:space="preserve"> à 20</w:t>
      </w:r>
      <w:r>
        <w:rPr>
          <w:color w:val="000000"/>
        </w:rPr>
        <w:t>%</w:t>
      </w:r>
      <w:r w:rsidRPr="00873110">
        <w:rPr>
          <w:color w:val="000000"/>
        </w:rPr>
        <w:t xml:space="preserve"> des coûts. Ce montant est pondéré en fonction de la supe</w:t>
      </w:r>
      <w:r w:rsidRPr="00873110">
        <w:rPr>
          <w:color w:val="000000"/>
        </w:rPr>
        <w:t>r</w:t>
      </w:r>
      <w:r w:rsidRPr="00873110">
        <w:rPr>
          <w:color w:val="000000"/>
        </w:rPr>
        <w:t>ficie visée par chaque projet, dont le m</w:t>
      </w:r>
      <w:r w:rsidRPr="00873110">
        <w:rPr>
          <w:color w:val="000000"/>
        </w:rPr>
        <w:t>i</w:t>
      </w:r>
      <w:r w:rsidRPr="00873110">
        <w:rPr>
          <w:color w:val="000000"/>
        </w:rPr>
        <w:t>nimum et le maximum varient selon les régions</w:t>
      </w:r>
      <w:r>
        <w:rPr>
          <w:color w:val="000000"/>
        </w:rPr>
        <w:t> </w:t>
      </w:r>
      <w:r w:rsidRPr="000A019C">
        <w:rPr>
          <w:rStyle w:val="Appelnotedebasdep"/>
        </w:rPr>
        <w:footnoteReference w:id="410"/>
      </w:r>
      <w:r w:rsidRPr="00873110">
        <w:rPr>
          <w:color w:val="000000"/>
        </w:rPr>
        <w:t>.</w:t>
      </w:r>
    </w:p>
    <w:p w:rsidR="00AD690E" w:rsidRPr="00873110" w:rsidRDefault="00AD690E" w:rsidP="00AD690E">
      <w:pPr>
        <w:spacing w:before="120" w:after="120"/>
        <w:jc w:val="both"/>
      </w:pPr>
      <w:r w:rsidRPr="00873110">
        <w:rPr>
          <w:color w:val="000000"/>
        </w:rPr>
        <w:t>Dès le milieu de 1981, de pair avec les négo</w:t>
      </w:r>
      <w:r>
        <w:rPr>
          <w:color w:val="000000"/>
        </w:rPr>
        <w:t>c</w:t>
      </w:r>
      <w:r w:rsidRPr="00873110">
        <w:rPr>
          <w:color w:val="000000"/>
        </w:rPr>
        <w:t>iations entreprises e</w:t>
      </w:r>
      <w:r w:rsidRPr="00873110">
        <w:rPr>
          <w:color w:val="000000"/>
        </w:rPr>
        <w:t>n</w:t>
      </w:r>
      <w:r w:rsidRPr="00873110">
        <w:rPr>
          <w:color w:val="000000"/>
        </w:rPr>
        <w:t>tre le gouvernement fédéral et l'Alberta pour une redistribution plus flexible des parts ou EPTE, on assiste à un assouplissement compar</w:t>
      </w:r>
      <w:r w:rsidRPr="00873110">
        <w:rPr>
          <w:color w:val="000000"/>
        </w:rPr>
        <w:t>a</w:t>
      </w:r>
      <w:r w:rsidRPr="00873110">
        <w:rPr>
          <w:color w:val="000000"/>
        </w:rPr>
        <w:t>ble des règles fiscales relatives à l'exploration en zones provinciales et fédérale. Les normes de calcul du TPC sont modifiées, de façon à f</w:t>
      </w:r>
      <w:r w:rsidRPr="00873110">
        <w:rPr>
          <w:color w:val="000000"/>
        </w:rPr>
        <w:t>a</w:t>
      </w:r>
      <w:r w:rsidRPr="00873110">
        <w:rPr>
          <w:color w:val="000000"/>
        </w:rPr>
        <w:t>ciliter l'investissement « partiellement » canadien. On permet ensuite aux firmes d'augmenter leur marge de profit en déduisant directement le calcul de leurs subventions en vertu du PESP, de leur taxe sur les recettes pétrolières et gazières (TRPG). D'autre part, le seuil en deçà duquel cette taxe ne s'appliquait pas est relevé à 5 millions de dollars, aidant ainsi les petites firmes engagées dans l'activité pétrolière et n</w:t>
      </w:r>
      <w:r w:rsidRPr="00873110">
        <w:rPr>
          <w:color w:val="000000"/>
        </w:rPr>
        <w:t>é</w:t>
      </w:r>
      <w:r w:rsidRPr="00873110">
        <w:rPr>
          <w:color w:val="000000"/>
        </w:rPr>
        <w:t>cessairement de propriété canadienne. On remet également en cause l'obligatoire participation de 25</w:t>
      </w:r>
      <w:r>
        <w:rPr>
          <w:color w:val="000000"/>
        </w:rPr>
        <w:t>%</w:t>
      </w:r>
      <w:r w:rsidRPr="00873110">
        <w:rPr>
          <w:color w:val="000000"/>
        </w:rPr>
        <w:t xml:space="preserve"> de Pétro-Canada sur tout projet en zone de juridiction fédérale. Une initiative qui avantage principal</w:t>
      </w:r>
      <w:r w:rsidRPr="00873110">
        <w:rPr>
          <w:color w:val="000000"/>
        </w:rPr>
        <w:t>e</w:t>
      </w:r>
      <w:r w:rsidRPr="00873110">
        <w:rPr>
          <w:color w:val="000000"/>
        </w:rPr>
        <w:t>ment Dôme Canada, propriété privée canadienne à 55</w:t>
      </w:r>
      <w:r>
        <w:rPr>
          <w:color w:val="000000"/>
        </w:rPr>
        <w:t>%</w:t>
      </w:r>
      <w:r w:rsidRPr="00873110">
        <w:rPr>
          <w:color w:val="000000"/>
        </w:rPr>
        <w:t>. Nul doute que cette panoplie de mesures fiscales est déterminante dans la course à la « canadianisation » qui s'observe au cours de la période 1981-1983, qui correspond à la mise en application du PEN sur le terrain.</w:t>
      </w:r>
    </w:p>
    <w:p w:rsidR="00AD690E" w:rsidRDefault="00AD690E" w:rsidP="00AD690E">
      <w:pPr>
        <w:spacing w:before="120" w:after="120"/>
        <w:jc w:val="both"/>
        <w:rPr>
          <w:color w:val="000000"/>
        </w:rPr>
      </w:pPr>
      <w:r>
        <w:rPr>
          <w:color w:val="000000"/>
        </w:rPr>
        <w:br w:type="page"/>
      </w:r>
    </w:p>
    <w:p w:rsidR="00AD690E" w:rsidRPr="00873110" w:rsidRDefault="00AD690E" w:rsidP="00AD690E">
      <w:pPr>
        <w:pStyle w:val="planche"/>
      </w:pPr>
      <w:r>
        <w:t>L'ACCUEIL DU SECTEUR</w:t>
      </w:r>
      <w:r>
        <w:br/>
        <w:t>É</w:t>
      </w:r>
      <w:r w:rsidRPr="00873110">
        <w:t>NERGETIQUE AU PEN</w:t>
      </w:r>
    </w:p>
    <w:p w:rsidR="00AD690E" w:rsidRDefault="00AD690E" w:rsidP="00AD690E">
      <w:pPr>
        <w:spacing w:before="120" w:after="120"/>
        <w:jc w:val="both"/>
        <w:rPr>
          <w:color w:val="000000"/>
        </w:rPr>
      </w:pPr>
    </w:p>
    <w:p w:rsidR="00AD690E" w:rsidRDefault="00AD690E" w:rsidP="00AD690E">
      <w:pPr>
        <w:spacing w:before="120" w:after="120"/>
        <w:jc w:val="both"/>
        <w:rPr>
          <w:color w:val="000000"/>
        </w:rPr>
      </w:pPr>
      <w:r w:rsidRPr="00873110">
        <w:rPr>
          <w:color w:val="000000"/>
        </w:rPr>
        <w:t>Comme on pouvait s'y attendre, les firmes transnationales réagirent avec passion aux modalités du PEN. Elles furent assez habiles pour ne pas remettre en cause l'objectif de canadianisation et s'attaquèrent su</w:t>
      </w:r>
      <w:r w:rsidRPr="00873110">
        <w:rPr>
          <w:color w:val="000000"/>
        </w:rPr>
        <w:t>r</w:t>
      </w:r>
      <w:r w:rsidRPr="00873110">
        <w:rPr>
          <w:color w:val="000000"/>
        </w:rPr>
        <w:t xml:space="preserve">tout </w:t>
      </w:r>
      <w:r w:rsidRPr="000B0389">
        <w:rPr>
          <w:color w:val="000000"/>
          <w:szCs w:val="22"/>
        </w:rPr>
        <w:t>aux</w:t>
      </w:r>
      <w:r w:rsidRPr="00873110">
        <w:rPr>
          <w:color w:val="000000"/>
        </w:rPr>
        <w:t xml:space="preserve"> méthodes employées. À titre individuel ou par la voie de leur regroupement, l'Association pétrolière canadienne (APC), elles s'en prirent à la taxation qui, selon elles, leur enlevait les moyens de réal</w:t>
      </w:r>
      <w:r w:rsidRPr="00873110">
        <w:rPr>
          <w:color w:val="000000"/>
        </w:rPr>
        <w:t>i</w:t>
      </w:r>
      <w:r w:rsidRPr="00873110">
        <w:rPr>
          <w:color w:val="000000"/>
        </w:rPr>
        <w:t>ser l'objectif d'autosuffisance en 1990, tout comme à la fixation des prix, qui leur interdisait de réaliser les profits grâce auxquels les m</w:t>
      </w:r>
      <w:r w:rsidRPr="00873110">
        <w:rPr>
          <w:color w:val="000000"/>
        </w:rPr>
        <w:t>é</w:t>
      </w:r>
      <w:r w:rsidRPr="00873110">
        <w:rPr>
          <w:color w:val="000000"/>
        </w:rPr>
        <w:t>gaprojets de prospection seraient financés. La répartition des revenus anticipés faisait problème, avec le gros de la manne allant au gouve</w:t>
      </w:r>
      <w:r w:rsidRPr="00873110">
        <w:rPr>
          <w:color w:val="000000"/>
        </w:rPr>
        <w:t>r</w:t>
      </w:r>
      <w:r w:rsidRPr="00873110">
        <w:rPr>
          <w:color w:val="000000"/>
        </w:rPr>
        <w:t>nement fédéral. Bien entendu, elles critiquèrent sévèrement les mes</w:t>
      </w:r>
      <w:r w:rsidRPr="00873110">
        <w:rPr>
          <w:color w:val="000000"/>
        </w:rPr>
        <w:t>u</w:t>
      </w:r>
      <w:r w:rsidRPr="00873110">
        <w:rPr>
          <w:color w:val="000000"/>
        </w:rPr>
        <w:t>res discriminatoires du PESP et s'en plaignirent à leurs maisons mère</w:t>
      </w:r>
      <w:r>
        <w:rPr>
          <w:color w:val="000000"/>
        </w:rPr>
        <w:t>s</w:t>
      </w:r>
      <w:r w:rsidRPr="00873110">
        <w:rPr>
          <w:color w:val="000000"/>
        </w:rPr>
        <w:t xml:space="preserve"> aux États-Unis, en Grande-Bretagne et aux Pays-Bas. Ces pays co</w:t>
      </w:r>
      <w:r w:rsidRPr="00873110">
        <w:rPr>
          <w:color w:val="000000"/>
        </w:rPr>
        <w:t>m</w:t>
      </w:r>
      <w:r w:rsidRPr="00873110">
        <w:rPr>
          <w:color w:val="000000"/>
        </w:rPr>
        <w:t>mencèrent à faire pression sur Ottawa pour qu'il atténue l'objectif de canadianisation.</w:t>
      </w:r>
    </w:p>
    <w:p w:rsidR="00AD690E" w:rsidRPr="00873110" w:rsidRDefault="00AD690E" w:rsidP="00AD690E">
      <w:pPr>
        <w:spacing w:before="120" w:after="120"/>
        <w:jc w:val="both"/>
      </w:pPr>
      <w:r>
        <w:rPr>
          <w:color w:val="000000"/>
          <w:szCs w:val="18"/>
        </w:rPr>
        <w:t>[</w:t>
      </w:r>
      <w:r w:rsidRPr="00873110">
        <w:rPr>
          <w:rFonts w:cs="Arial"/>
          <w:color w:val="000000"/>
          <w:szCs w:val="18"/>
        </w:rPr>
        <w:t>232</w:t>
      </w:r>
      <w:r>
        <w:rPr>
          <w:rFonts w:cs="Arial"/>
          <w:color w:val="000000"/>
          <w:szCs w:val="18"/>
        </w:rPr>
        <w:t>]</w:t>
      </w:r>
    </w:p>
    <w:p w:rsidR="00AD690E" w:rsidRPr="00873110" w:rsidRDefault="00AD690E" w:rsidP="00AD690E">
      <w:pPr>
        <w:spacing w:before="120" w:after="120"/>
        <w:jc w:val="both"/>
      </w:pPr>
      <w:r w:rsidRPr="00873110">
        <w:rPr>
          <w:color w:val="000000"/>
          <w:szCs w:val="22"/>
        </w:rPr>
        <w:t>Alors qu'Esso faisait montre de son mécontentement devant la Taxe sur les recettes pétrolières et gazières et payait de pleines pages de publicité dans plus de 38 quotidiens du pays pour répondre aux a</w:t>
      </w:r>
      <w:r w:rsidRPr="00873110">
        <w:rPr>
          <w:color w:val="000000"/>
          <w:szCs w:val="22"/>
        </w:rPr>
        <w:t>c</w:t>
      </w:r>
      <w:r w:rsidRPr="00873110">
        <w:rPr>
          <w:color w:val="000000"/>
          <w:szCs w:val="22"/>
        </w:rPr>
        <w:t>cusations contenues dans le Rapport Bertrand sur les pratiques restri</w:t>
      </w:r>
      <w:r w:rsidRPr="00873110">
        <w:rPr>
          <w:color w:val="000000"/>
          <w:szCs w:val="22"/>
        </w:rPr>
        <w:t>c</w:t>
      </w:r>
      <w:r w:rsidRPr="00873110">
        <w:rPr>
          <w:color w:val="000000"/>
          <w:szCs w:val="22"/>
        </w:rPr>
        <w:t>tives dans l'industrie pétrolière, Texaco insistait sur les aspects discr</w:t>
      </w:r>
      <w:r w:rsidRPr="00873110">
        <w:rPr>
          <w:color w:val="000000"/>
          <w:szCs w:val="22"/>
        </w:rPr>
        <w:t>i</w:t>
      </w:r>
      <w:r w:rsidRPr="00873110">
        <w:rPr>
          <w:color w:val="000000"/>
          <w:szCs w:val="22"/>
        </w:rPr>
        <w:t>minatoires du PESP. De son côté, Gulf soulignait qu'avec ou sans le PEN, la part de propriété canadienne dans l'industrie aurait de toute façon passé de 34</w:t>
      </w:r>
      <w:r>
        <w:rPr>
          <w:color w:val="000000"/>
          <w:szCs w:val="22"/>
        </w:rPr>
        <w:t>%</w:t>
      </w:r>
      <w:r w:rsidRPr="00873110">
        <w:rPr>
          <w:color w:val="000000"/>
          <w:szCs w:val="22"/>
        </w:rPr>
        <w:t xml:space="preserve"> en 1979 à plus de 50</w:t>
      </w:r>
      <w:r>
        <w:rPr>
          <w:color w:val="000000"/>
          <w:szCs w:val="22"/>
        </w:rPr>
        <w:t>%</w:t>
      </w:r>
      <w:r w:rsidRPr="00873110">
        <w:rPr>
          <w:color w:val="000000"/>
          <w:szCs w:val="22"/>
        </w:rPr>
        <w:t xml:space="preserve"> en 1982. Toutes stigmat</w:t>
      </w:r>
      <w:r w:rsidRPr="00873110">
        <w:rPr>
          <w:color w:val="000000"/>
          <w:szCs w:val="22"/>
        </w:rPr>
        <w:t>i</w:t>
      </w:r>
      <w:r w:rsidRPr="00873110">
        <w:rPr>
          <w:color w:val="000000"/>
          <w:szCs w:val="22"/>
        </w:rPr>
        <w:t xml:space="preserve">saient la surtaxe à l'exportation de gaz naturel vers les </w:t>
      </w:r>
      <w:r>
        <w:rPr>
          <w:color w:val="000000"/>
          <w:szCs w:val="22"/>
        </w:rPr>
        <w:t>É</w:t>
      </w:r>
      <w:r w:rsidRPr="00873110">
        <w:rPr>
          <w:color w:val="000000"/>
          <w:szCs w:val="22"/>
        </w:rPr>
        <w:t>tats-Unis, r</w:t>
      </w:r>
      <w:r w:rsidRPr="00873110">
        <w:rPr>
          <w:color w:val="000000"/>
          <w:szCs w:val="22"/>
        </w:rPr>
        <w:t>e</w:t>
      </w:r>
      <w:r w:rsidRPr="00873110">
        <w:rPr>
          <w:color w:val="000000"/>
          <w:szCs w:val="22"/>
        </w:rPr>
        <w:t>joignant les critiques acerbes que l'administration Reagan ne se gênait pas pour formuler devant ses interlocuteurs canadiens</w:t>
      </w:r>
      <w:r>
        <w:rPr>
          <w:color w:val="000000"/>
          <w:szCs w:val="22"/>
        </w:rPr>
        <w:t> </w:t>
      </w:r>
      <w:r w:rsidRPr="000A019C">
        <w:rPr>
          <w:rStyle w:val="Appelnotedebasdep"/>
        </w:rPr>
        <w:footnoteReference w:id="411"/>
      </w:r>
      <w:r w:rsidRPr="00873110">
        <w:rPr>
          <w:color w:val="000000"/>
          <w:szCs w:val="22"/>
        </w:rPr>
        <w:t>.</w:t>
      </w:r>
    </w:p>
    <w:p w:rsidR="00AD690E" w:rsidRPr="00873110" w:rsidRDefault="00AD690E" w:rsidP="00AD690E">
      <w:pPr>
        <w:spacing w:before="120" w:after="120"/>
        <w:jc w:val="both"/>
      </w:pPr>
      <w:r w:rsidRPr="00873110">
        <w:rPr>
          <w:color w:val="000000"/>
          <w:szCs w:val="22"/>
        </w:rPr>
        <w:t>Craignant par-dessus tout de s'engager dans un débat public qui a</w:t>
      </w:r>
      <w:r w:rsidRPr="00873110">
        <w:rPr>
          <w:color w:val="000000"/>
          <w:szCs w:val="22"/>
        </w:rPr>
        <w:t>u</w:t>
      </w:r>
      <w:r w:rsidRPr="00873110">
        <w:rPr>
          <w:color w:val="000000"/>
          <w:szCs w:val="22"/>
        </w:rPr>
        <w:t>rait nui à leur image (une image déjà fort ternie auprès de l'opinion publique), les pétrolières préférèrent agir sur un autre terrain. Dès 1981, elles réduisire</w:t>
      </w:r>
      <w:r>
        <w:rPr>
          <w:color w:val="000000"/>
          <w:szCs w:val="22"/>
        </w:rPr>
        <w:t>nt drastiquement leurs investis</w:t>
      </w:r>
      <w:r w:rsidRPr="00873110">
        <w:rPr>
          <w:color w:val="000000"/>
          <w:szCs w:val="22"/>
        </w:rPr>
        <w:t>sements. Esso pr</w:t>
      </w:r>
      <w:r w:rsidRPr="00873110">
        <w:rPr>
          <w:color w:val="000000"/>
          <w:szCs w:val="22"/>
        </w:rPr>
        <w:t>é</w:t>
      </w:r>
      <w:r w:rsidRPr="00873110">
        <w:rPr>
          <w:color w:val="000000"/>
          <w:szCs w:val="22"/>
        </w:rPr>
        <w:t>tendit qu'à moins d'obtenir un profit net de 20</w:t>
      </w:r>
      <w:r>
        <w:rPr>
          <w:color w:val="000000"/>
          <w:szCs w:val="22"/>
        </w:rPr>
        <w:t>%</w:t>
      </w:r>
      <w:r w:rsidRPr="00873110">
        <w:rPr>
          <w:color w:val="000000"/>
          <w:szCs w:val="22"/>
        </w:rPr>
        <w:t xml:space="preserve"> sur son investiss</w:t>
      </w:r>
      <w:r w:rsidRPr="00873110">
        <w:rPr>
          <w:color w:val="000000"/>
          <w:szCs w:val="22"/>
        </w:rPr>
        <w:t>e</w:t>
      </w:r>
      <w:r w:rsidRPr="00873110">
        <w:rPr>
          <w:color w:val="000000"/>
          <w:szCs w:val="22"/>
        </w:rPr>
        <w:t>ment de Cold Lake, elle renonçait au projet. En sous-main, Esso était en fait encouragée par l'Alberta qui boycottait systématiquement le PEN en mettant en mouvement un mécanisme de contingentement de la production, qui lui était déjà familier. Gulf, accusant un manque à gagner de l'ordre de 900 millions ou 30</w:t>
      </w:r>
      <w:r>
        <w:rPr>
          <w:color w:val="000000"/>
          <w:szCs w:val="22"/>
        </w:rPr>
        <w:t>%</w:t>
      </w:r>
      <w:r w:rsidRPr="00873110">
        <w:rPr>
          <w:color w:val="000000"/>
          <w:szCs w:val="22"/>
        </w:rPr>
        <w:t xml:space="preserve"> de ses re</w:t>
      </w:r>
      <w:r>
        <w:rPr>
          <w:color w:val="000000"/>
          <w:szCs w:val="22"/>
        </w:rPr>
        <w:t>venus, réduisit les siens de 15% </w:t>
      </w:r>
      <w:r w:rsidRPr="000A019C">
        <w:rPr>
          <w:rStyle w:val="Appelnotedebasdep"/>
        </w:rPr>
        <w:footnoteReference w:id="412"/>
      </w:r>
      <w:r w:rsidRPr="00873110">
        <w:rPr>
          <w:color w:val="000000"/>
          <w:szCs w:val="22"/>
        </w:rPr>
        <w:t>. Toutefois, respectant son engagement antérieur au PEN, elle continua ses investissements dans la mer de Beaufort, là où elle devait s'illustrer grâce à des percées technologiques inédites dans le domaine des îlots artificiels et des installations flottantes de forage en milieu arctique. Or, il ne faudrait pas l'oublier, ces recherches ne se firent pas sans un prix élevé pour les contribuables.</w:t>
      </w:r>
    </w:p>
    <w:p w:rsidR="00AD690E" w:rsidRPr="00873110" w:rsidRDefault="00AD690E" w:rsidP="00AD690E">
      <w:pPr>
        <w:spacing w:before="120" w:after="120"/>
        <w:jc w:val="both"/>
      </w:pPr>
      <w:r w:rsidRPr="00873110">
        <w:rPr>
          <w:color w:val="000000"/>
          <w:szCs w:val="22"/>
        </w:rPr>
        <w:t>Le secteur de propriété canadienne, où l'on retrouvait aux premi</w:t>
      </w:r>
      <w:r w:rsidRPr="00873110">
        <w:rPr>
          <w:color w:val="000000"/>
          <w:szCs w:val="22"/>
        </w:rPr>
        <w:t>è</w:t>
      </w:r>
      <w:r w:rsidRPr="00873110">
        <w:rPr>
          <w:color w:val="000000"/>
          <w:szCs w:val="22"/>
        </w:rPr>
        <w:t>res loges Pétro-Canada, D</w:t>
      </w:r>
      <w:r>
        <w:rPr>
          <w:color w:val="000000"/>
          <w:szCs w:val="22"/>
        </w:rPr>
        <w:t>o</w:t>
      </w:r>
      <w:r w:rsidRPr="00873110">
        <w:rPr>
          <w:color w:val="000000"/>
          <w:szCs w:val="22"/>
        </w:rPr>
        <w:t>me et Nova, se faisait le défenseur pa</w:t>
      </w:r>
      <w:r w:rsidRPr="00873110">
        <w:rPr>
          <w:color w:val="000000"/>
          <w:szCs w:val="22"/>
        </w:rPr>
        <w:t>s</w:t>
      </w:r>
      <w:r w:rsidRPr="00873110">
        <w:rPr>
          <w:color w:val="000000"/>
          <w:szCs w:val="22"/>
        </w:rPr>
        <w:t>sionné de l'objectif de canadianisation tout en déplorant, au même titre que les autres participants de l'industrie, les mécanismes de fixation des prix et la fiscalité du PEN, surtout la TRPG</w:t>
      </w:r>
      <w:r>
        <w:rPr>
          <w:color w:val="000000"/>
          <w:szCs w:val="22"/>
        </w:rPr>
        <w:t> </w:t>
      </w:r>
      <w:r w:rsidRPr="000A019C">
        <w:rPr>
          <w:rStyle w:val="Appelnotedebasdep"/>
        </w:rPr>
        <w:footnoteReference w:id="413"/>
      </w:r>
      <w:r w:rsidRPr="00873110">
        <w:rPr>
          <w:color w:val="000000"/>
          <w:szCs w:val="22"/>
        </w:rPr>
        <w:t>. Alors que Dôme était touchée par le resserrement des normes fiscales, elle qui s'était lourdement impliquée dans la prospection en zone pionnière, Nova se voyait contrainte à la seule exploration dans le bassin occidental (P</w:t>
      </w:r>
      <w:r w:rsidRPr="00873110">
        <w:rPr>
          <w:color w:val="000000"/>
          <w:szCs w:val="22"/>
        </w:rPr>
        <w:t>a</w:t>
      </w:r>
      <w:r w:rsidRPr="00873110">
        <w:rPr>
          <w:color w:val="000000"/>
          <w:szCs w:val="22"/>
        </w:rPr>
        <w:t>cifique), où les risques étaient plus élevés et les chances de succès, moins encourageantes qu'ailleurs. Dôme n'eut d'autre recours que de créer Dôme Canada, conservant 48</w:t>
      </w:r>
      <w:r>
        <w:rPr>
          <w:color w:val="000000"/>
          <w:szCs w:val="22"/>
        </w:rPr>
        <w:t>%</w:t>
      </w:r>
      <w:r w:rsidRPr="00873110">
        <w:rPr>
          <w:color w:val="000000"/>
          <w:szCs w:val="22"/>
        </w:rPr>
        <w:t xml:space="preserve"> des parts et offrant les 52</w:t>
      </w:r>
      <w:r>
        <w:rPr>
          <w:color w:val="000000"/>
          <w:szCs w:val="22"/>
        </w:rPr>
        <w:t>%</w:t>
      </w:r>
      <w:r w:rsidRPr="00873110">
        <w:rPr>
          <w:color w:val="000000"/>
          <w:szCs w:val="22"/>
        </w:rPr>
        <w:t xml:space="preserve"> re</w:t>
      </w:r>
      <w:r w:rsidRPr="00873110">
        <w:rPr>
          <w:color w:val="000000"/>
          <w:szCs w:val="22"/>
        </w:rPr>
        <w:t>s</w:t>
      </w:r>
      <w:r w:rsidRPr="00873110">
        <w:rPr>
          <w:color w:val="000000"/>
          <w:szCs w:val="22"/>
        </w:rPr>
        <w:t>tants à des Canadiens, tout en se portant acquéreur, auprès de Con</w:t>
      </w:r>
      <w:r>
        <w:rPr>
          <w:color w:val="000000"/>
          <w:szCs w:val="22"/>
        </w:rPr>
        <w:t>oco, de Hudson's Bay Oil and Ga</w:t>
      </w:r>
      <w:r w:rsidRPr="00873110">
        <w:rPr>
          <w:color w:val="000000"/>
          <w:szCs w:val="22"/>
        </w:rPr>
        <w:t>s. Pétro-Canada acquit de son côté la fi</w:t>
      </w:r>
      <w:r w:rsidRPr="00873110">
        <w:rPr>
          <w:color w:val="000000"/>
          <w:szCs w:val="22"/>
        </w:rPr>
        <w:t>r</w:t>
      </w:r>
      <w:r w:rsidRPr="00873110">
        <w:rPr>
          <w:color w:val="000000"/>
          <w:szCs w:val="22"/>
        </w:rPr>
        <w:t>me belge Pétrofina pour 1,45 milliard et les installations de</w:t>
      </w:r>
      <w:r>
        <w:rPr>
          <w:color w:val="000000"/>
          <w:szCs w:val="22"/>
        </w:rPr>
        <w:t xml:space="preserve"> </w:t>
      </w:r>
      <w:r>
        <w:rPr>
          <w:color w:val="000000"/>
          <w:szCs w:val="18"/>
        </w:rPr>
        <w:t xml:space="preserve">[233] </w:t>
      </w:r>
      <w:r w:rsidRPr="00873110">
        <w:rPr>
          <w:color w:val="000000"/>
          <w:szCs w:val="22"/>
        </w:rPr>
        <w:t>ra</w:t>
      </w:r>
      <w:r w:rsidRPr="00873110">
        <w:rPr>
          <w:color w:val="000000"/>
          <w:szCs w:val="22"/>
        </w:rPr>
        <w:t>f</w:t>
      </w:r>
      <w:r w:rsidRPr="00873110">
        <w:rPr>
          <w:color w:val="000000"/>
          <w:szCs w:val="22"/>
        </w:rPr>
        <w:t>finage de BP (britannique) pour 347 millions. Nova avait mis la main sur Husky Oil dès 1978 et continua à</w:t>
      </w:r>
      <w:r>
        <w:rPr>
          <w:color w:val="000000"/>
          <w:szCs w:val="22"/>
        </w:rPr>
        <w:t xml:space="preserve"> se développer en acquérant Uno-</w:t>
      </w:r>
      <w:r w:rsidRPr="00873110">
        <w:rPr>
          <w:color w:val="000000"/>
          <w:szCs w:val="22"/>
        </w:rPr>
        <w:t>Tex Petroleum pour un modeste 371 millions. Elle fut dès lors très active en zone pionnière, grâce au PEN</w:t>
      </w:r>
      <w:r>
        <w:rPr>
          <w:color w:val="000000"/>
          <w:szCs w:val="22"/>
        </w:rPr>
        <w:t> </w:t>
      </w:r>
      <w:r w:rsidRPr="000A019C">
        <w:rPr>
          <w:rStyle w:val="Appelnotedebasdep"/>
        </w:rPr>
        <w:footnoteReference w:id="414"/>
      </w:r>
      <w:r w:rsidRPr="00873110">
        <w:rPr>
          <w:color w:val="000000"/>
          <w:szCs w:val="22"/>
        </w:rPr>
        <w:t>. Il n'y a pas de doute que le système bancaire canadien fut très sollicité ; on s'y bousculait pour prêter aux entreprises engagées dans l'achat de biens étrangers et, en termes quantitatifs, il semble que les plus actives furent les firmes c</w:t>
      </w:r>
      <w:r w:rsidRPr="00873110">
        <w:rPr>
          <w:color w:val="000000"/>
          <w:szCs w:val="22"/>
        </w:rPr>
        <w:t>a</w:t>
      </w:r>
      <w:r w:rsidRPr="00873110">
        <w:rPr>
          <w:color w:val="000000"/>
          <w:szCs w:val="22"/>
        </w:rPr>
        <w:t>nadiennes d'importance moyenne.</w:t>
      </w:r>
    </w:p>
    <w:p w:rsidR="00AD690E" w:rsidRPr="00873110" w:rsidRDefault="00AD690E" w:rsidP="00AD690E">
      <w:pPr>
        <w:spacing w:before="120" w:after="120"/>
        <w:jc w:val="both"/>
      </w:pPr>
      <w:r w:rsidRPr="00873110">
        <w:rPr>
          <w:color w:val="000000"/>
          <w:szCs w:val="22"/>
        </w:rPr>
        <w:t>En effet, Nova / Husky tint sa promesse et fut, entre 1981 et mars 1983, le septième plus important récipiendaire au titre du PESP avec une subvention de l'ordre de 40 millions de dollars, derrière Dôme Canada (486 millions), Pétro-Canada (431 millions), Canterra (130 millions), Norcen (92 millions), Gulf Canada (56 millions) et Mobil (46 millions)</w:t>
      </w:r>
      <w:r>
        <w:rPr>
          <w:color w:val="000000"/>
          <w:szCs w:val="22"/>
        </w:rPr>
        <w:t> </w:t>
      </w:r>
      <w:r w:rsidRPr="000A019C">
        <w:rPr>
          <w:rStyle w:val="Appelnotedebasdep"/>
        </w:rPr>
        <w:footnoteReference w:id="415"/>
      </w:r>
      <w:r w:rsidRPr="00873110">
        <w:rPr>
          <w:color w:val="000000"/>
          <w:szCs w:val="22"/>
        </w:rPr>
        <w:t>. Nova se montra par ailleurs réticente devant la v</w:t>
      </w:r>
      <w:r w:rsidRPr="00873110">
        <w:rPr>
          <w:color w:val="000000"/>
          <w:szCs w:val="22"/>
        </w:rPr>
        <w:t>o</w:t>
      </w:r>
      <w:r w:rsidRPr="00873110">
        <w:rPr>
          <w:color w:val="000000"/>
          <w:szCs w:val="22"/>
        </w:rPr>
        <w:t>lonté gouvernementale d'assurer une présence significative de la Co</w:t>
      </w:r>
      <w:r w:rsidRPr="00873110">
        <w:rPr>
          <w:color w:val="000000"/>
          <w:szCs w:val="22"/>
        </w:rPr>
        <w:t>u</w:t>
      </w:r>
      <w:r w:rsidRPr="00873110">
        <w:rPr>
          <w:color w:val="000000"/>
          <w:szCs w:val="22"/>
        </w:rPr>
        <w:t>ro</w:t>
      </w:r>
      <w:r w:rsidRPr="00873110">
        <w:rPr>
          <w:color w:val="000000"/>
          <w:szCs w:val="22"/>
        </w:rPr>
        <w:t>n</w:t>
      </w:r>
      <w:r w:rsidRPr="00873110">
        <w:rPr>
          <w:color w:val="000000"/>
          <w:szCs w:val="22"/>
        </w:rPr>
        <w:t>ne dans les zones pionnières et rejoignit sur ce point le concert des critiques formulées par les autres participants du secteur privé.</w:t>
      </w:r>
    </w:p>
    <w:p w:rsidR="00AD690E" w:rsidRPr="00873110" w:rsidRDefault="00AD690E" w:rsidP="00AD690E">
      <w:pPr>
        <w:spacing w:before="120" w:after="120"/>
        <w:jc w:val="both"/>
      </w:pPr>
      <w:r w:rsidRPr="00873110">
        <w:rPr>
          <w:color w:val="000000"/>
          <w:szCs w:val="22"/>
        </w:rPr>
        <w:t>Quant à D</w:t>
      </w:r>
      <w:r>
        <w:rPr>
          <w:color w:val="000000"/>
          <w:szCs w:val="22"/>
        </w:rPr>
        <w:t>o</w:t>
      </w:r>
      <w:r w:rsidRPr="00873110">
        <w:rPr>
          <w:color w:val="000000"/>
          <w:szCs w:val="22"/>
        </w:rPr>
        <w:t>me, il est évident que, de tous les participants de l'i</w:t>
      </w:r>
      <w:r w:rsidRPr="00873110">
        <w:rPr>
          <w:color w:val="000000"/>
          <w:szCs w:val="22"/>
        </w:rPr>
        <w:t>n</w:t>
      </w:r>
      <w:r w:rsidRPr="00873110">
        <w:rPr>
          <w:color w:val="000000"/>
          <w:szCs w:val="22"/>
        </w:rPr>
        <w:t>dustrie, c'est encore elle qui répondit avec le plus d'empressement au PEN, malgré ses réserves touchant, bien entendu, la fiscalité et la pr</w:t>
      </w:r>
      <w:r w:rsidRPr="00873110">
        <w:rPr>
          <w:color w:val="000000"/>
          <w:szCs w:val="22"/>
        </w:rPr>
        <w:t>é</w:t>
      </w:r>
      <w:r w:rsidRPr="00873110">
        <w:rPr>
          <w:color w:val="000000"/>
          <w:szCs w:val="22"/>
        </w:rPr>
        <w:t>sence de la Couronne sur les terres du Canada. Souhaitant s'ajuster à l'objectif de propriété canadienne, elle résolut de faire passer son taux de participation canadienne de 35</w:t>
      </w:r>
      <w:r>
        <w:rPr>
          <w:color w:val="000000"/>
          <w:szCs w:val="22"/>
        </w:rPr>
        <w:t>%</w:t>
      </w:r>
      <w:r w:rsidRPr="00873110">
        <w:rPr>
          <w:color w:val="000000"/>
          <w:szCs w:val="22"/>
        </w:rPr>
        <w:t xml:space="preserve"> en décembre 1982 à 50</w:t>
      </w:r>
      <w:r>
        <w:rPr>
          <w:color w:val="000000"/>
          <w:szCs w:val="22"/>
        </w:rPr>
        <w:t>%</w:t>
      </w:r>
      <w:r w:rsidRPr="00873110">
        <w:rPr>
          <w:color w:val="000000"/>
          <w:szCs w:val="22"/>
        </w:rPr>
        <w:t xml:space="preserve"> en d</w:t>
      </w:r>
      <w:r w:rsidRPr="00873110">
        <w:rPr>
          <w:color w:val="000000"/>
          <w:szCs w:val="22"/>
        </w:rPr>
        <w:t>é</w:t>
      </w:r>
      <w:r w:rsidRPr="00873110">
        <w:rPr>
          <w:color w:val="000000"/>
          <w:szCs w:val="22"/>
        </w:rPr>
        <w:t>cembre 1985 puis à 60</w:t>
      </w:r>
      <w:r>
        <w:rPr>
          <w:color w:val="000000"/>
          <w:szCs w:val="22"/>
        </w:rPr>
        <w:t>%</w:t>
      </w:r>
      <w:r w:rsidRPr="00873110">
        <w:rPr>
          <w:color w:val="000000"/>
          <w:szCs w:val="22"/>
        </w:rPr>
        <w:t xml:space="preserve"> en 1990. Il faut dire qu'elle avait au moins une bonne raison de souhaiter profiter au maximum des subventions du PESP ; comme elle était très endettée, ces subventions prenaient l'allure d'un véritable ballon d'oxygène pour elle.</w:t>
      </w:r>
    </w:p>
    <w:p w:rsidR="00AD690E" w:rsidRPr="00873110" w:rsidRDefault="00AD690E" w:rsidP="00AD690E">
      <w:pPr>
        <w:spacing w:before="120" w:after="120"/>
        <w:jc w:val="both"/>
      </w:pPr>
      <w:r w:rsidRPr="00873110">
        <w:rPr>
          <w:color w:val="000000"/>
          <w:szCs w:val="22"/>
        </w:rPr>
        <w:t>Pétro-Canada fit son possible, quant à elle, pour se faire passer pour une firme du secteur privé, minimisant sa relation privilégiée avec le gouvernement</w:t>
      </w:r>
      <w:r>
        <w:rPr>
          <w:color w:val="000000"/>
          <w:szCs w:val="22"/>
        </w:rPr>
        <w:t xml:space="preserve"> </w:t>
      </w:r>
      <w:r>
        <w:rPr>
          <w:color w:val="000000"/>
          <w:szCs w:val="18"/>
        </w:rPr>
        <w:t>[</w:t>
      </w:r>
      <w:r w:rsidRPr="00873110">
        <w:rPr>
          <w:rFonts w:cs="Arial"/>
          <w:color w:val="000000"/>
          <w:szCs w:val="18"/>
        </w:rPr>
        <w:t>234</w:t>
      </w:r>
      <w:r>
        <w:rPr>
          <w:rFonts w:cs="Arial"/>
          <w:color w:val="000000"/>
          <w:szCs w:val="18"/>
        </w:rPr>
        <w:t xml:space="preserve">] </w:t>
      </w:r>
      <w:r w:rsidRPr="00873110">
        <w:rPr>
          <w:color w:val="000000"/>
          <w:szCs w:val="22"/>
        </w:rPr>
        <w:t>et son rôle de « coordination » en zone pionnière. Dès 1983, il fut entendu avec l'industrie qu'elle ne s'imp</w:t>
      </w:r>
      <w:r w:rsidRPr="00873110">
        <w:rPr>
          <w:color w:val="000000"/>
          <w:szCs w:val="22"/>
        </w:rPr>
        <w:t>o</w:t>
      </w:r>
      <w:r w:rsidRPr="00873110">
        <w:rPr>
          <w:color w:val="000000"/>
          <w:szCs w:val="22"/>
        </w:rPr>
        <w:t>serait pas comme « maître d'œuvre » obligé sur les terres du Canada. Maints projets pourraient se concrétiser sans elle. Au contraire, Pétro-Canada tendrait à développer ses propres projets de forage et le no</w:t>
      </w:r>
      <w:r w:rsidRPr="00873110">
        <w:rPr>
          <w:color w:val="000000"/>
          <w:szCs w:val="22"/>
        </w:rPr>
        <w:t>u</w:t>
      </w:r>
      <w:r w:rsidRPr="00873110">
        <w:rPr>
          <w:color w:val="000000"/>
          <w:szCs w:val="22"/>
        </w:rPr>
        <w:t>veau lotissement du territoire se ferait à l'avantage du secteur privé. Son accès au financement gouvernemental lui permettrait au deme</w:t>
      </w:r>
      <w:r w:rsidRPr="00873110">
        <w:rPr>
          <w:color w:val="000000"/>
          <w:szCs w:val="22"/>
        </w:rPr>
        <w:t>u</w:t>
      </w:r>
      <w:r w:rsidRPr="00873110">
        <w:rPr>
          <w:color w:val="000000"/>
          <w:szCs w:val="22"/>
        </w:rPr>
        <w:t>rant de prospecter dans les zones les plus risquées (bouclier du Labr</w:t>
      </w:r>
      <w:r w:rsidRPr="00873110">
        <w:rPr>
          <w:color w:val="000000"/>
          <w:szCs w:val="22"/>
        </w:rPr>
        <w:t>a</w:t>
      </w:r>
      <w:r w:rsidRPr="00873110">
        <w:rPr>
          <w:color w:val="000000"/>
          <w:szCs w:val="22"/>
        </w:rPr>
        <w:t>dor, Hibernia), voire de s'engager dans des entreprises communes avec certaines firmes privées se r</w:t>
      </w:r>
      <w:r w:rsidRPr="00873110">
        <w:rPr>
          <w:color w:val="000000"/>
          <w:szCs w:val="22"/>
        </w:rPr>
        <w:t>é</w:t>
      </w:r>
      <w:r w:rsidRPr="00873110">
        <w:rPr>
          <w:color w:val="000000"/>
          <w:szCs w:val="22"/>
        </w:rPr>
        <w:t>clamant du PEN.</w:t>
      </w:r>
    </w:p>
    <w:p w:rsidR="00AD690E" w:rsidRDefault="00AD690E" w:rsidP="00AD690E">
      <w:pPr>
        <w:spacing w:before="120" w:after="120"/>
        <w:jc w:val="both"/>
        <w:rPr>
          <w:color w:val="000000"/>
          <w:szCs w:val="22"/>
        </w:rPr>
      </w:pPr>
      <w:r w:rsidRPr="00873110">
        <w:rPr>
          <w:color w:val="000000"/>
          <w:szCs w:val="22"/>
        </w:rPr>
        <w:t>Cette attitude lui réussit assez bien, puisqu'elle évita à Pétro-Canada d'être mise aux enchères, malgré l'évolution du PEN après son lancement. Devant l'opinion publique et l'ensemble du secteur auquel le programme s'adressait, le gouvernement commença assez tôt à se désintéresser du dossier, surtout lorsqu'il devint évident, dès le début de 1982, que les prix internationaux commençaient à fléchir et que l'espoir de voir se matérialiser les promesses contenues dans l'énoncé budgétaire d'octobre 1980, s'estompait irrémédiablement.</w:t>
      </w:r>
    </w:p>
    <w:p w:rsidR="00AD690E" w:rsidRPr="00873110" w:rsidRDefault="00AD690E" w:rsidP="00AD690E">
      <w:pPr>
        <w:spacing w:before="120" w:after="120"/>
        <w:jc w:val="both"/>
      </w:pPr>
      <w:r>
        <w:br w:type="page"/>
      </w:r>
    </w:p>
    <w:p w:rsidR="00AD690E" w:rsidRPr="00873110" w:rsidRDefault="00AD690E" w:rsidP="00AD690E">
      <w:pPr>
        <w:pStyle w:val="figtitre"/>
      </w:pPr>
      <w:r w:rsidRPr="00873110">
        <w:t>Tableau 1</w:t>
      </w:r>
    </w:p>
    <w:p w:rsidR="00AD690E" w:rsidRPr="00873110" w:rsidRDefault="00AD690E" w:rsidP="00AD690E">
      <w:pPr>
        <w:pStyle w:val="figtitre"/>
      </w:pPr>
      <w:r w:rsidRPr="00873110">
        <w:t>Les vingt plus importants récipiendaires de subventions au titre</w:t>
      </w:r>
      <w:r>
        <w:br/>
      </w:r>
      <w:r w:rsidRPr="00873110">
        <w:t>du PESP entre le 1er janvier 1981 et le 31 décembre 1983</w:t>
      </w:r>
    </w:p>
    <w:tbl>
      <w:tblPr>
        <w:tblW w:w="0" w:type="auto"/>
        <w:tblInd w:w="108" w:type="dxa"/>
        <w:tblLook w:val="00BF" w:firstRow="1" w:lastRow="0" w:firstColumn="1" w:lastColumn="0" w:noHBand="0" w:noVBand="0"/>
      </w:tblPr>
      <w:tblGrid>
        <w:gridCol w:w="6300"/>
        <w:gridCol w:w="1350"/>
      </w:tblGrid>
      <w:tr w:rsidR="00AD690E" w:rsidRPr="00FC3FE5">
        <w:tc>
          <w:tcPr>
            <w:tcW w:w="6300" w:type="dxa"/>
            <w:tcBorders>
              <w:top w:val="single" w:sz="4" w:space="0" w:color="auto"/>
              <w:bottom w:val="single" w:sz="4" w:space="0" w:color="auto"/>
            </w:tcBorders>
            <w:shd w:val="clear" w:color="auto" w:fill="EEECE1"/>
          </w:tcPr>
          <w:p w:rsidR="00AD690E" w:rsidRPr="00FC3FE5" w:rsidRDefault="00AD690E" w:rsidP="00AD690E">
            <w:pPr>
              <w:spacing w:before="120" w:after="120"/>
              <w:ind w:firstLine="0"/>
              <w:jc w:val="both"/>
              <w:rPr>
                <w:rFonts w:eastAsia="Times"/>
                <w:color w:val="000000"/>
                <w:sz w:val="24"/>
                <w:szCs w:val="18"/>
                <w:u w:val="single"/>
              </w:rPr>
            </w:pPr>
          </w:p>
        </w:tc>
        <w:tc>
          <w:tcPr>
            <w:tcW w:w="1350" w:type="dxa"/>
            <w:tcBorders>
              <w:top w:val="single" w:sz="4" w:space="0" w:color="auto"/>
              <w:bottom w:val="single" w:sz="4" w:space="0" w:color="auto"/>
            </w:tcBorders>
            <w:shd w:val="clear" w:color="auto" w:fill="EEECE1"/>
          </w:tcPr>
          <w:p w:rsidR="00AD690E" w:rsidRPr="00FC3FE5" w:rsidRDefault="00AD690E" w:rsidP="00AD690E">
            <w:pPr>
              <w:spacing w:before="120" w:after="120"/>
              <w:ind w:firstLine="0"/>
              <w:jc w:val="both"/>
              <w:rPr>
                <w:rFonts w:eastAsia="Times"/>
                <w:color w:val="000000"/>
                <w:sz w:val="24"/>
                <w:szCs w:val="18"/>
                <w:u w:val="single"/>
              </w:rPr>
            </w:pPr>
            <w:r w:rsidRPr="00FC3FE5">
              <w:rPr>
                <w:rFonts w:eastAsia="Times"/>
                <w:color w:val="000000"/>
                <w:sz w:val="24"/>
                <w:szCs w:val="18"/>
              </w:rPr>
              <w:t>Millions $</w:t>
            </w:r>
          </w:p>
        </w:tc>
      </w:tr>
      <w:tr w:rsidR="00AD690E" w:rsidRPr="00FC3FE5">
        <w:tc>
          <w:tcPr>
            <w:tcW w:w="6300" w:type="dxa"/>
            <w:tcBorders>
              <w:top w:val="single" w:sz="4" w:space="0" w:color="auto"/>
            </w:tcBorders>
          </w:tcPr>
          <w:p w:rsidR="00AD690E" w:rsidRPr="00FC3FE5" w:rsidRDefault="00AD690E" w:rsidP="00AD690E">
            <w:pPr>
              <w:spacing w:before="40" w:after="40"/>
              <w:ind w:firstLine="0"/>
              <w:jc w:val="both"/>
              <w:rPr>
                <w:rFonts w:eastAsia="Times"/>
                <w:color w:val="000000"/>
                <w:sz w:val="24"/>
                <w:szCs w:val="18"/>
                <w:u w:val="single"/>
              </w:rPr>
            </w:pPr>
            <w:r w:rsidRPr="00FC3FE5">
              <w:rPr>
                <w:rFonts w:eastAsia="Times"/>
                <w:color w:val="000000"/>
                <w:sz w:val="24"/>
                <w:szCs w:val="18"/>
              </w:rPr>
              <w:t>Pétro-Canada Exploration</w:t>
            </w:r>
          </w:p>
        </w:tc>
        <w:tc>
          <w:tcPr>
            <w:tcW w:w="1350" w:type="dxa"/>
            <w:tcBorders>
              <w:top w:val="single" w:sz="4" w:space="0" w:color="auto"/>
            </w:tcBorders>
          </w:tcPr>
          <w:p w:rsidR="00AD690E" w:rsidRPr="00FC3FE5" w:rsidRDefault="00AD690E" w:rsidP="00AD690E">
            <w:pPr>
              <w:tabs>
                <w:tab w:val="decimal" w:pos="702"/>
              </w:tabs>
              <w:spacing w:before="40" w:after="40"/>
              <w:ind w:firstLine="0"/>
              <w:jc w:val="both"/>
              <w:rPr>
                <w:rFonts w:eastAsia="Times"/>
                <w:color w:val="000000"/>
                <w:sz w:val="24"/>
                <w:szCs w:val="18"/>
                <w:u w:val="single"/>
              </w:rPr>
            </w:pPr>
            <w:r w:rsidRPr="00FC3FE5">
              <w:rPr>
                <w:rFonts w:eastAsia="Times"/>
                <w:color w:val="000000"/>
                <w:sz w:val="24"/>
                <w:szCs w:val="18"/>
              </w:rPr>
              <w:t>576</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Dôme du Canada</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615</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Énergie Canterra</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199</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Ressources énergétiques Norcen</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111</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Gulf du Canada*</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57</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Mobil du Canada*</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45</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SOQUIP Exploration</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43</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Husky</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39</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Teck Frontier</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38</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Panartic</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37</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Home</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37</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Pétroles PanCanadian</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32</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Industries Bow Valley</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30</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Pétroles Roxy</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27</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Ressources Forward</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25</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Ressources Ranchmen's (1976)</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22</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Énergie du Delta du Mackenzie</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21</w:t>
            </w:r>
          </w:p>
        </w:tc>
      </w:tr>
      <w:tr w:rsidR="00AD690E" w:rsidRPr="00FC3FE5">
        <w:tc>
          <w:tcPr>
            <w:tcW w:w="6300" w:type="dxa"/>
          </w:tcPr>
          <w:p w:rsidR="00AD690E" w:rsidRPr="00FC3FE5" w:rsidRDefault="00AD690E" w:rsidP="00AD690E">
            <w:pPr>
              <w:spacing w:before="40" w:after="40"/>
              <w:ind w:firstLine="0"/>
              <w:rPr>
                <w:rFonts w:eastAsia="Times"/>
                <w:color w:val="000000"/>
                <w:sz w:val="24"/>
                <w:szCs w:val="18"/>
              </w:rPr>
            </w:pPr>
            <w:r w:rsidRPr="00FC3FE5">
              <w:rPr>
                <w:rFonts w:eastAsia="Times"/>
                <w:color w:val="000000"/>
                <w:sz w:val="24"/>
                <w:szCs w:val="18"/>
              </w:rPr>
              <w:t>Ressources de la Nouvelle-Écosse (Ventures)</w:t>
            </w:r>
          </w:p>
        </w:tc>
        <w:tc>
          <w:tcPr>
            <w:tcW w:w="1350" w:type="dxa"/>
          </w:tcPr>
          <w:p w:rsidR="00AD690E" w:rsidRPr="00FC3FE5" w:rsidRDefault="00AD690E" w:rsidP="00AD690E">
            <w:pPr>
              <w:tabs>
                <w:tab w:val="decimal" w:pos="702"/>
              </w:tabs>
              <w:spacing w:before="40" w:after="40"/>
              <w:ind w:firstLine="0"/>
              <w:rPr>
                <w:rFonts w:eastAsia="Times"/>
                <w:color w:val="000000"/>
                <w:sz w:val="24"/>
                <w:szCs w:val="18"/>
              </w:rPr>
            </w:pPr>
            <w:r w:rsidRPr="00FC3FE5">
              <w:rPr>
                <w:rFonts w:eastAsia="Times"/>
                <w:color w:val="000000"/>
                <w:sz w:val="24"/>
                <w:szCs w:val="18"/>
              </w:rPr>
              <w:t>19</w:t>
            </w:r>
          </w:p>
        </w:tc>
      </w:tr>
      <w:tr w:rsidR="00AD690E" w:rsidRPr="00FC3FE5">
        <w:tc>
          <w:tcPr>
            <w:tcW w:w="6300" w:type="dxa"/>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Ressources Esso du Canada*</w:t>
            </w:r>
          </w:p>
        </w:tc>
        <w:tc>
          <w:tcPr>
            <w:tcW w:w="1350" w:type="dxa"/>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19</w:t>
            </w:r>
          </w:p>
        </w:tc>
      </w:tr>
      <w:tr w:rsidR="00AD690E" w:rsidRPr="00FC3FE5">
        <w:tc>
          <w:tcPr>
            <w:tcW w:w="6300" w:type="dxa"/>
            <w:tcBorders>
              <w:bottom w:val="single" w:sz="4" w:space="0" w:color="auto"/>
            </w:tcBorders>
          </w:tcPr>
          <w:p w:rsidR="00AD690E" w:rsidRPr="00FC3FE5" w:rsidRDefault="00AD690E" w:rsidP="00AD690E">
            <w:pPr>
              <w:spacing w:before="40" w:after="40"/>
              <w:ind w:firstLine="0"/>
              <w:rPr>
                <w:rFonts w:eastAsia="Times" w:cs="Arial"/>
                <w:color w:val="000000"/>
                <w:szCs w:val="18"/>
              </w:rPr>
            </w:pPr>
            <w:r w:rsidRPr="00FC3FE5">
              <w:rPr>
                <w:rFonts w:eastAsia="Times"/>
                <w:color w:val="000000"/>
                <w:sz w:val="24"/>
                <w:szCs w:val="18"/>
              </w:rPr>
              <w:t>Corporation d'Énergie Canalands</w:t>
            </w:r>
          </w:p>
        </w:tc>
        <w:tc>
          <w:tcPr>
            <w:tcW w:w="1350" w:type="dxa"/>
            <w:tcBorders>
              <w:bottom w:val="single" w:sz="4" w:space="0" w:color="auto"/>
            </w:tcBorders>
          </w:tcPr>
          <w:p w:rsidR="00AD690E" w:rsidRPr="00FC3FE5" w:rsidRDefault="00AD690E" w:rsidP="00AD690E">
            <w:pPr>
              <w:tabs>
                <w:tab w:val="decimal" w:pos="702"/>
              </w:tabs>
              <w:spacing w:before="40" w:after="40"/>
              <w:ind w:firstLine="0"/>
              <w:rPr>
                <w:rFonts w:eastAsia="Times"/>
              </w:rPr>
            </w:pPr>
            <w:r w:rsidRPr="00FC3FE5">
              <w:rPr>
                <w:rFonts w:eastAsia="Times"/>
                <w:color w:val="000000"/>
                <w:sz w:val="24"/>
                <w:szCs w:val="18"/>
              </w:rPr>
              <w:t>17</w:t>
            </w:r>
          </w:p>
        </w:tc>
      </w:tr>
    </w:tbl>
    <w:p w:rsidR="00AD690E" w:rsidRPr="005753BF" w:rsidRDefault="00AD690E" w:rsidP="00AD690E">
      <w:pPr>
        <w:ind w:firstLine="0"/>
        <w:jc w:val="both"/>
        <w:rPr>
          <w:sz w:val="24"/>
        </w:rPr>
      </w:pPr>
    </w:p>
    <w:p w:rsidR="00AD690E" w:rsidRPr="005753BF" w:rsidRDefault="00AD690E" w:rsidP="00AD690E">
      <w:pPr>
        <w:ind w:firstLine="0"/>
        <w:jc w:val="both"/>
        <w:rPr>
          <w:sz w:val="24"/>
        </w:rPr>
      </w:pPr>
      <w:r w:rsidRPr="005753BF">
        <w:rPr>
          <w:color w:val="000000"/>
          <w:sz w:val="24"/>
          <w:szCs w:val="18"/>
        </w:rPr>
        <w:t>* Propriété étrangère</w:t>
      </w:r>
    </w:p>
    <w:p w:rsidR="00AD690E" w:rsidRPr="005753BF" w:rsidRDefault="00AD690E" w:rsidP="00AD690E">
      <w:pPr>
        <w:ind w:firstLine="0"/>
        <w:jc w:val="both"/>
        <w:rPr>
          <w:sz w:val="24"/>
        </w:rPr>
      </w:pPr>
      <w:r w:rsidRPr="005753BF">
        <w:rPr>
          <w:color w:val="000000"/>
          <w:sz w:val="24"/>
          <w:szCs w:val="18"/>
        </w:rPr>
        <w:t xml:space="preserve">Source : Gouvernement du Canada, EMR, Ottawa, </w:t>
      </w:r>
      <w:r w:rsidRPr="005753BF">
        <w:rPr>
          <w:i/>
          <w:color w:val="000000"/>
          <w:sz w:val="24"/>
          <w:szCs w:val="18"/>
        </w:rPr>
        <w:t>Petroleum Incentives Admini</w:t>
      </w:r>
      <w:r w:rsidRPr="005753BF">
        <w:rPr>
          <w:i/>
          <w:color w:val="000000"/>
          <w:sz w:val="24"/>
          <w:szCs w:val="18"/>
        </w:rPr>
        <w:t>s</w:t>
      </w:r>
      <w:r w:rsidRPr="005753BF">
        <w:rPr>
          <w:i/>
          <w:color w:val="000000"/>
          <w:sz w:val="24"/>
          <w:szCs w:val="18"/>
        </w:rPr>
        <w:t>tration Report</w:t>
      </w:r>
      <w:r w:rsidRPr="005753BF">
        <w:rPr>
          <w:color w:val="000000"/>
          <w:sz w:val="24"/>
          <w:szCs w:val="18"/>
        </w:rPr>
        <w:t>, janvier 1981 à décembre 1983, p. 17.</w:t>
      </w:r>
    </w:p>
    <w:p w:rsidR="00AD690E" w:rsidRDefault="00AD690E" w:rsidP="00AD690E">
      <w:pPr>
        <w:spacing w:before="120" w:after="120"/>
        <w:ind w:firstLine="0"/>
        <w:jc w:val="both"/>
      </w:pPr>
      <w:r w:rsidRPr="00873110">
        <w:br w:type="page"/>
      </w:r>
      <w:r>
        <w:t>[235]</w:t>
      </w:r>
    </w:p>
    <w:p w:rsidR="00AD690E" w:rsidRDefault="00AD690E" w:rsidP="00AD690E">
      <w:pPr>
        <w:spacing w:before="120" w:after="120"/>
        <w:jc w:val="both"/>
      </w:pPr>
    </w:p>
    <w:p w:rsidR="00AD690E" w:rsidRPr="00873110" w:rsidRDefault="00AD690E" w:rsidP="00AD690E">
      <w:pPr>
        <w:pStyle w:val="planche"/>
      </w:pPr>
      <w:r w:rsidRPr="00873110">
        <w:t>L'ADMINISTRATIO</w:t>
      </w:r>
      <w:r>
        <w:t>N DU PESP</w:t>
      </w:r>
      <w:r>
        <w:br/>
        <w:t>ET LE PROBL</w:t>
      </w:r>
      <w:r>
        <w:t>È</w:t>
      </w:r>
      <w:r>
        <w:t>ME DES COÛ</w:t>
      </w:r>
      <w:r w:rsidRPr="00873110">
        <w:t>TS</w:t>
      </w:r>
    </w:p>
    <w:p w:rsidR="00AD690E" w:rsidRDefault="00AD690E" w:rsidP="00AD690E">
      <w:pPr>
        <w:spacing w:before="120" w:after="120"/>
        <w:jc w:val="both"/>
        <w:rPr>
          <w:color w:val="000000"/>
          <w:szCs w:val="22"/>
        </w:rPr>
      </w:pPr>
    </w:p>
    <w:p w:rsidR="00AD690E" w:rsidRPr="00873110" w:rsidRDefault="00AD690E" w:rsidP="00AD690E">
      <w:pPr>
        <w:spacing w:before="120" w:after="120"/>
        <w:ind w:firstLine="0"/>
        <w:jc w:val="both"/>
      </w:pPr>
      <w:r w:rsidRPr="00873110">
        <w:rPr>
          <w:color w:val="000000"/>
          <w:szCs w:val="22"/>
        </w:rPr>
        <w:t>La difficulté majeure du volet exploratoire du PEN résidait probabl</w:t>
      </w:r>
      <w:r w:rsidRPr="00873110">
        <w:rPr>
          <w:color w:val="000000"/>
          <w:szCs w:val="22"/>
        </w:rPr>
        <w:t>e</w:t>
      </w:r>
      <w:r w:rsidRPr="00873110">
        <w:rPr>
          <w:color w:val="000000"/>
          <w:szCs w:val="22"/>
        </w:rPr>
        <w:t>ment dans la mise en place du dispositif d'administration du PESP en zone pionnière. Il n'est pas sûr que la structure retenue ait été la bo</w:t>
      </w:r>
      <w:r w:rsidRPr="00873110">
        <w:rPr>
          <w:color w:val="000000"/>
          <w:szCs w:val="22"/>
        </w:rPr>
        <w:t>n</w:t>
      </w:r>
      <w:r w:rsidRPr="00873110">
        <w:rPr>
          <w:color w:val="000000"/>
          <w:szCs w:val="22"/>
        </w:rPr>
        <w:t>ne. D'un côté, l'Administration des stimulants pétroliers (ASP/PIA) coordonne le versement des subventions aux entreprises en vertu des normes du PESP et de l'autre, il revient à l'Administration du pétrole et du gaz des terres du Canada (APGTC/COGLA) de coordonner l'e</w:t>
      </w:r>
      <w:r w:rsidRPr="00873110">
        <w:rPr>
          <w:color w:val="000000"/>
          <w:szCs w:val="22"/>
        </w:rPr>
        <w:t>f</w:t>
      </w:r>
      <w:r w:rsidRPr="00873110">
        <w:rPr>
          <w:color w:val="000000"/>
          <w:szCs w:val="22"/>
        </w:rPr>
        <w:t>fort de prospection, délimiter les concessions et « planifier » la mise en valeur des différentes régions, selon les deux balises suivantes : pas plus de deux millions d'acres par projet et le souci de disséminer les travaux de forage dans chacune des zones, soit le b</w:t>
      </w:r>
      <w:r>
        <w:rPr>
          <w:color w:val="000000"/>
          <w:szCs w:val="22"/>
        </w:rPr>
        <w:t>ouclier de la No</w:t>
      </w:r>
      <w:r>
        <w:rPr>
          <w:color w:val="000000"/>
          <w:szCs w:val="22"/>
        </w:rPr>
        <w:t>u</w:t>
      </w:r>
      <w:r>
        <w:rPr>
          <w:color w:val="000000"/>
          <w:szCs w:val="22"/>
        </w:rPr>
        <w:t>velle-Ecosse (Î</w:t>
      </w:r>
      <w:r w:rsidRPr="00873110">
        <w:rPr>
          <w:color w:val="000000"/>
          <w:szCs w:val="22"/>
        </w:rPr>
        <w:t>le-de-Sable et banc de George</w:t>
      </w:r>
      <w:r>
        <w:rPr>
          <w:color w:val="000000"/>
          <w:szCs w:val="22"/>
        </w:rPr>
        <w:t> </w:t>
      </w:r>
      <w:r w:rsidRPr="000A019C">
        <w:rPr>
          <w:rStyle w:val="Appelnotedebasdep"/>
        </w:rPr>
        <w:footnoteReference w:id="416"/>
      </w:r>
      <w:r w:rsidRPr="00873110">
        <w:rPr>
          <w:color w:val="000000"/>
          <w:szCs w:val="22"/>
        </w:rPr>
        <w:t>), les grands bancs de Terre-Neuve, le bouclier du Labrador, la mer de Beaufort et les îles de l'Arctique. Il s'agissait d'abord et avant tout de connaître les potential</w:t>
      </w:r>
      <w:r w:rsidRPr="00873110">
        <w:rPr>
          <w:color w:val="000000"/>
          <w:szCs w:val="22"/>
        </w:rPr>
        <w:t>i</w:t>
      </w:r>
      <w:r w:rsidRPr="00873110">
        <w:rPr>
          <w:color w:val="000000"/>
          <w:szCs w:val="22"/>
        </w:rPr>
        <w:t>tés de ces régions. Or, à l'usage, ce système devait se révéler fort co</w:t>
      </w:r>
      <w:r w:rsidRPr="00873110">
        <w:rPr>
          <w:color w:val="000000"/>
          <w:szCs w:val="22"/>
        </w:rPr>
        <w:t>û</w:t>
      </w:r>
      <w:r w:rsidRPr="00873110">
        <w:rPr>
          <w:color w:val="000000"/>
          <w:szCs w:val="22"/>
        </w:rPr>
        <w:t>teux. L'ASP/PIA distribuait les subventions sans contrôler les coûts des projets tandis que l'APGTC/COGLA, malgré sa vocation de coo</w:t>
      </w:r>
      <w:r w:rsidRPr="00873110">
        <w:rPr>
          <w:color w:val="000000"/>
          <w:szCs w:val="22"/>
        </w:rPr>
        <w:t>r</w:t>
      </w:r>
      <w:r w:rsidRPr="00873110">
        <w:rPr>
          <w:color w:val="000000"/>
          <w:szCs w:val="22"/>
        </w:rPr>
        <w:t>dination territoriale, n'avait aucun contrôle sur l'acheminement des fonds consentis aux entreprises. Les critiques étaient donc fondées de dire que le PESP encourageait l'activité pour l'activité, mais pas n</w:t>
      </w:r>
      <w:r w:rsidRPr="00873110">
        <w:rPr>
          <w:color w:val="000000"/>
          <w:szCs w:val="22"/>
        </w:rPr>
        <w:t>é</w:t>
      </w:r>
      <w:r w:rsidRPr="00873110">
        <w:rPr>
          <w:color w:val="000000"/>
          <w:szCs w:val="22"/>
        </w:rPr>
        <w:t>cessairement le succès</w:t>
      </w:r>
      <w:r>
        <w:rPr>
          <w:color w:val="000000"/>
          <w:szCs w:val="22"/>
        </w:rPr>
        <w:t> </w:t>
      </w:r>
      <w:r w:rsidRPr="000A019C">
        <w:rPr>
          <w:rStyle w:val="Appelnotedebasdep"/>
        </w:rPr>
        <w:footnoteReference w:id="417"/>
      </w:r>
      <w:r w:rsidRPr="00873110">
        <w:rPr>
          <w:color w:val="000000"/>
          <w:szCs w:val="22"/>
        </w:rPr>
        <w:t>. Conscientes qu'un tel système ne pouvait se maintenir longtemps, les firmes de prospection voulurent à tout le moins en tirer un bénéfice immédiat, ce qui entraîna des abus qui a</w:t>
      </w:r>
      <w:r w:rsidRPr="00873110">
        <w:rPr>
          <w:color w:val="000000"/>
          <w:szCs w:val="22"/>
        </w:rPr>
        <w:t>c</w:t>
      </w:r>
      <w:r w:rsidRPr="00873110">
        <w:rPr>
          <w:color w:val="000000"/>
          <w:szCs w:val="22"/>
        </w:rPr>
        <w:t>crurent la confusion dans la gestion du programme.</w:t>
      </w:r>
    </w:p>
    <w:p w:rsidR="00AD690E" w:rsidRPr="00873110" w:rsidRDefault="00AD690E" w:rsidP="00AD690E">
      <w:pPr>
        <w:spacing w:before="120" w:after="120"/>
        <w:jc w:val="both"/>
      </w:pPr>
      <w:r w:rsidRPr="00873110">
        <w:rPr>
          <w:color w:val="000000"/>
          <w:szCs w:val="22"/>
        </w:rPr>
        <w:t>La baisse graduelle des prix pétroliers et la récession montante r</w:t>
      </w:r>
      <w:r w:rsidRPr="00873110">
        <w:rPr>
          <w:color w:val="000000"/>
          <w:szCs w:val="22"/>
        </w:rPr>
        <w:t>a</w:t>
      </w:r>
      <w:r w:rsidRPr="00873110">
        <w:rPr>
          <w:color w:val="000000"/>
          <w:szCs w:val="22"/>
        </w:rPr>
        <w:t>lentirent l'effort « habituel » de prospection des firmes dans les zones traditionnelles à travers le monde. Elles se hâtèrent alors de démén</w:t>
      </w:r>
      <w:r w:rsidRPr="00873110">
        <w:rPr>
          <w:color w:val="000000"/>
          <w:szCs w:val="22"/>
        </w:rPr>
        <w:t>a</w:t>
      </w:r>
      <w:r w:rsidRPr="00873110">
        <w:rPr>
          <w:color w:val="000000"/>
          <w:szCs w:val="22"/>
        </w:rPr>
        <w:t>ger leurs équipements vers les zones pionnières canadiennes. Mieux valait tirer parti des subventions du PESP que de remiser le matériel. En mer de Beaufort, Gulf déclara au fisc une dépréciation de l'ordre de 700 millions de dollars sur trois ans de son équipement de forage hautement sophistiqué. Cela haussa de manière significative les coûts à la tête du puits, c'est-à-dire le montant des subventions en vertu du PESP. Outrée, sa partenaire dans ce projet, la firme canadienne Ca</w:t>
      </w:r>
      <w:r w:rsidRPr="00873110">
        <w:rPr>
          <w:color w:val="000000"/>
          <w:szCs w:val="22"/>
        </w:rPr>
        <w:t>n</w:t>
      </w:r>
      <w:r w:rsidRPr="00873110">
        <w:rPr>
          <w:color w:val="000000"/>
          <w:szCs w:val="22"/>
        </w:rPr>
        <w:t>terra, qui appartenait</w:t>
      </w:r>
      <w:r>
        <w:rPr>
          <w:color w:val="000000"/>
          <w:szCs w:val="22"/>
        </w:rPr>
        <w:t xml:space="preserve"> </w:t>
      </w:r>
      <w:r>
        <w:rPr>
          <w:color w:val="000000"/>
          <w:szCs w:val="18"/>
        </w:rPr>
        <w:t>[</w:t>
      </w:r>
      <w:r w:rsidRPr="00873110">
        <w:rPr>
          <w:color w:val="000000"/>
          <w:szCs w:val="18"/>
        </w:rPr>
        <w:t>236</w:t>
      </w:r>
      <w:r>
        <w:rPr>
          <w:color w:val="000000"/>
          <w:szCs w:val="18"/>
        </w:rPr>
        <w:t xml:space="preserve">] </w:t>
      </w:r>
      <w:r w:rsidRPr="00873110">
        <w:rPr>
          <w:color w:val="000000"/>
          <w:szCs w:val="22"/>
        </w:rPr>
        <w:t>en partie au fédéral via la Corporation de développement du Canada, se retira du projet en 1984. Le même m</w:t>
      </w:r>
      <w:r w:rsidRPr="00873110">
        <w:rPr>
          <w:color w:val="000000"/>
          <w:szCs w:val="22"/>
        </w:rPr>
        <w:t>a</w:t>
      </w:r>
      <w:r w:rsidRPr="00873110">
        <w:rPr>
          <w:color w:val="000000"/>
          <w:szCs w:val="22"/>
        </w:rPr>
        <w:t>nège se répéta sur la côte est. Mobil ancra des plates-formes au large de Terre-Neuve et bénéficia des avantages du PESP.</w:t>
      </w:r>
    </w:p>
    <w:p w:rsidR="00AD690E" w:rsidRPr="00873110" w:rsidRDefault="00AD690E" w:rsidP="00AD690E">
      <w:pPr>
        <w:spacing w:before="120" w:after="120"/>
        <w:jc w:val="both"/>
      </w:pPr>
      <w:r w:rsidRPr="00873110">
        <w:rPr>
          <w:color w:val="000000"/>
          <w:szCs w:val="22"/>
        </w:rPr>
        <w:t>Malgré leur mauvaise humeur en face de la politique énergétique canadienne, les pétrolières n'étaient pas indisposées au point de se r</w:t>
      </w:r>
      <w:r w:rsidRPr="00873110">
        <w:rPr>
          <w:color w:val="000000"/>
          <w:szCs w:val="22"/>
        </w:rPr>
        <w:t>e</w:t>
      </w:r>
      <w:r w:rsidRPr="00873110">
        <w:rPr>
          <w:color w:val="000000"/>
          <w:szCs w:val="22"/>
        </w:rPr>
        <w:t>tirer d'activités hautement lucratives. Elles gagnèrent en nouvelles concessions et en subventions ce qu'elles perdirent en reprises et d</w:t>
      </w:r>
      <w:r w:rsidRPr="00873110">
        <w:rPr>
          <w:color w:val="000000"/>
          <w:szCs w:val="22"/>
        </w:rPr>
        <w:t>é</w:t>
      </w:r>
      <w:r w:rsidRPr="00873110">
        <w:rPr>
          <w:color w:val="000000"/>
          <w:szCs w:val="22"/>
        </w:rPr>
        <w:t>passèrent toujours les initiatives canadiennes par la taille de leurs i</w:t>
      </w:r>
      <w:r w:rsidRPr="00873110">
        <w:rPr>
          <w:color w:val="000000"/>
          <w:szCs w:val="22"/>
        </w:rPr>
        <w:t>n</w:t>
      </w:r>
      <w:r w:rsidRPr="00873110">
        <w:rPr>
          <w:color w:val="000000"/>
          <w:szCs w:val="22"/>
        </w:rPr>
        <w:t>vestissements. Dès 1983, elles furent les premières à annoncer d'i</w:t>
      </w:r>
      <w:r w:rsidRPr="00873110">
        <w:rPr>
          <w:color w:val="000000"/>
          <w:szCs w:val="22"/>
        </w:rPr>
        <w:t>m</w:t>
      </w:r>
      <w:r w:rsidRPr="00873110">
        <w:rPr>
          <w:color w:val="000000"/>
          <w:szCs w:val="22"/>
        </w:rPr>
        <w:t>portants projets dans les sables bitumineux et le traitement des huiles lourdes en Alberta et en Saskatchewan, de même que de nouvelles raffineries dans l'Ouest. En effet, il semblait clair pour les re</w:t>
      </w:r>
      <w:r>
        <w:rPr>
          <w:color w:val="000000"/>
          <w:szCs w:val="22"/>
        </w:rPr>
        <w:t>s</w:t>
      </w:r>
      <w:r w:rsidRPr="00873110">
        <w:rPr>
          <w:color w:val="000000"/>
          <w:szCs w:val="22"/>
        </w:rPr>
        <w:t>pons</w:t>
      </w:r>
      <w:r w:rsidRPr="00873110">
        <w:rPr>
          <w:color w:val="000000"/>
          <w:szCs w:val="22"/>
        </w:rPr>
        <w:t>a</w:t>
      </w:r>
      <w:r w:rsidRPr="00873110">
        <w:rPr>
          <w:color w:val="000000"/>
          <w:szCs w:val="22"/>
        </w:rPr>
        <w:t>bles du PEN que ne subsisteraient plus dans l'avenir au Canada que deux « pôles » pétroliers : Edmonton et Sarnia. La même année, Mo</w:t>
      </w:r>
      <w:r w:rsidRPr="00873110">
        <w:rPr>
          <w:color w:val="000000"/>
          <w:szCs w:val="22"/>
        </w:rPr>
        <w:t>n</w:t>
      </w:r>
      <w:r w:rsidRPr="00873110">
        <w:rPr>
          <w:color w:val="000000"/>
          <w:szCs w:val="22"/>
        </w:rPr>
        <w:t>tréal-Est perdait deux raffineries et devenait un centre mineur de tra</w:t>
      </w:r>
      <w:r w:rsidRPr="00873110">
        <w:rPr>
          <w:color w:val="000000"/>
          <w:szCs w:val="22"/>
        </w:rPr>
        <w:t>i</w:t>
      </w:r>
      <w:r w:rsidRPr="00873110">
        <w:rPr>
          <w:color w:val="000000"/>
          <w:szCs w:val="22"/>
        </w:rPr>
        <w:t>tement des hydrocarbures. Son rôle pétrolier s'estompait en même temps que le flot des importations, qui lui donnait sa raison d'être, se tarissait</w:t>
      </w:r>
      <w:r>
        <w:rPr>
          <w:color w:val="000000"/>
          <w:szCs w:val="22"/>
        </w:rPr>
        <w:t> </w:t>
      </w:r>
      <w:r w:rsidRPr="000A019C">
        <w:rPr>
          <w:rStyle w:val="Appelnotedebasdep"/>
        </w:rPr>
        <w:footnoteReference w:id="418"/>
      </w:r>
      <w:r w:rsidRPr="00873110">
        <w:rPr>
          <w:color w:val="000000"/>
          <w:szCs w:val="22"/>
        </w:rPr>
        <w:t>.</w:t>
      </w:r>
    </w:p>
    <w:p w:rsidR="00AD690E" w:rsidRPr="00873110" w:rsidRDefault="00AD690E" w:rsidP="00AD690E">
      <w:pPr>
        <w:spacing w:before="120" w:after="120"/>
        <w:jc w:val="both"/>
      </w:pPr>
      <w:r w:rsidRPr="00873110">
        <w:rPr>
          <w:color w:val="000000"/>
          <w:szCs w:val="22"/>
        </w:rPr>
        <w:t>Les firmes étrangères souffrirent bien davantage de la conjoncture internationale, de la contraction de la demande due à la récession et des politiques de conservation et de substitution menées partout en Occident et dans le tiers monde. Toutefois, suite à la reprise, les a</w:t>
      </w:r>
      <w:r w:rsidRPr="00873110">
        <w:rPr>
          <w:color w:val="000000"/>
          <w:szCs w:val="22"/>
        </w:rPr>
        <w:t>d</w:t>
      </w:r>
      <w:r w:rsidRPr="00873110">
        <w:rPr>
          <w:color w:val="000000"/>
          <w:szCs w:val="22"/>
        </w:rPr>
        <w:t>ministrateurs de l'ASP/PIA et de l'APGTC/COGLA pouvaient décl</w:t>
      </w:r>
      <w:r w:rsidRPr="00873110">
        <w:rPr>
          <w:color w:val="000000"/>
          <w:szCs w:val="22"/>
        </w:rPr>
        <w:t>a</w:t>
      </w:r>
      <w:r w:rsidRPr="00873110">
        <w:rPr>
          <w:color w:val="000000"/>
          <w:szCs w:val="22"/>
        </w:rPr>
        <w:t>rer qu'au rythme où allaient les choses, l'essentiel des 8,2 milliards de dollars prévus pour le PEN auraient été dépensés d'ici la fin de 1986. En 1985-1986 seulement, 1,6 milliard de dollars furent distribués à ce titre. Une chose demeure certaine, les administrateurs du PEN furent d'autant plus enclins à fermer les yeux sur certains abus des entrepr</w:t>
      </w:r>
      <w:r w:rsidRPr="00873110">
        <w:rPr>
          <w:color w:val="000000"/>
          <w:szCs w:val="22"/>
        </w:rPr>
        <w:t>i</w:t>
      </w:r>
      <w:r w:rsidRPr="00873110">
        <w:rPr>
          <w:color w:val="000000"/>
          <w:szCs w:val="22"/>
        </w:rPr>
        <w:t>ses qu'ils tentaient désespérément de maintenir l'intérêt pour des for</w:t>
      </w:r>
      <w:r w:rsidRPr="00873110">
        <w:rPr>
          <w:color w:val="000000"/>
          <w:szCs w:val="22"/>
        </w:rPr>
        <w:t>a</w:t>
      </w:r>
      <w:r w:rsidRPr="00873110">
        <w:rPr>
          <w:color w:val="000000"/>
          <w:szCs w:val="22"/>
        </w:rPr>
        <w:t>ges dont les résultats concrets en direction de l'industrie et des consommateurs canadiens ne pouvaient se faire sentir qu'à long terme. Ainsi, ce n'est pas avant la mi-septembre 1985 qu'arrivèrent à Mo</w:t>
      </w:r>
      <w:r w:rsidRPr="00873110">
        <w:rPr>
          <w:color w:val="000000"/>
          <w:szCs w:val="22"/>
        </w:rPr>
        <w:t>n</w:t>
      </w:r>
      <w:r w:rsidRPr="00873110">
        <w:rPr>
          <w:color w:val="000000"/>
          <w:szCs w:val="22"/>
        </w:rPr>
        <w:t>tréal, par tanker, les premiers 100</w:t>
      </w:r>
      <w:r>
        <w:rPr>
          <w:color w:val="000000"/>
          <w:szCs w:val="22"/>
        </w:rPr>
        <w:t> </w:t>
      </w:r>
      <w:r w:rsidRPr="00873110">
        <w:rPr>
          <w:color w:val="000000"/>
          <w:szCs w:val="22"/>
        </w:rPr>
        <w:t>000 barils de pétrole extraits du sous-sol de l'Arctique. Arrivage bien symbolique, quand on songe qu'il ne couvre pas la moitié de la consommation québécoise en un seul jour.</w:t>
      </w:r>
    </w:p>
    <w:p w:rsidR="00AD690E" w:rsidRPr="00873110" w:rsidRDefault="00AD690E" w:rsidP="00AD690E">
      <w:pPr>
        <w:spacing w:before="120" w:after="120"/>
        <w:jc w:val="both"/>
      </w:pPr>
      <w:r w:rsidRPr="00873110">
        <w:rPr>
          <w:color w:val="000000"/>
          <w:szCs w:val="22"/>
        </w:rPr>
        <w:t>Il est encore trop tôt pour évaluer les effets à long terme de la pol</w:t>
      </w:r>
      <w:r w:rsidRPr="00873110">
        <w:rPr>
          <w:color w:val="000000"/>
          <w:szCs w:val="22"/>
        </w:rPr>
        <w:t>i</w:t>
      </w:r>
      <w:r w:rsidRPr="00873110">
        <w:rPr>
          <w:color w:val="000000"/>
          <w:szCs w:val="22"/>
        </w:rPr>
        <w:t>tique énergétique des libéraux. À court terme, le bilan politique est immense, les retombées économiques plutôt maigres, alors que la c</w:t>
      </w:r>
      <w:r w:rsidRPr="00873110">
        <w:rPr>
          <w:color w:val="000000"/>
          <w:szCs w:val="22"/>
        </w:rPr>
        <w:t>a</w:t>
      </w:r>
      <w:r w:rsidRPr="00873110">
        <w:rPr>
          <w:color w:val="000000"/>
          <w:szCs w:val="22"/>
        </w:rPr>
        <w:t>nadianisation a contribué plus que toute autre stratégie industrielle à gonfler la dette privée du Canada. Dans un environnement d'une telle complexité, les adversaires du programme ont beau jeu et font inte</w:t>
      </w:r>
      <w:r w:rsidRPr="00873110">
        <w:rPr>
          <w:color w:val="000000"/>
          <w:szCs w:val="22"/>
        </w:rPr>
        <w:t>r</w:t>
      </w:r>
      <w:r w:rsidRPr="00873110">
        <w:rPr>
          <w:color w:val="000000"/>
          <w:szCs w:val="22"/>
        </w:rPr>
        <w:t>venir l'indifférence de Pierre Trudeau pour les questions économiques. D'autres invoquent d'autant plus facilement l'emprise des « satrapes » de la haute bureaucratie fédérale que la tradition du nationalisme</w:t>
      </w:r>
      <w:r>
        <w:rPr>
          <w:color w:val="000000"/>
          <w:szCs w:val="22"/>
        </w:rPr>
        <w:t xml:space="preserve"> </w:t>
      </w:r>
      <w:r>
        <w:t xml:space="preserve">[237] </w:t>
      </w:r>
      <w:r w:rsidRPr="00873110">
        <w:rPr>
          <w:color w:val="000000"/>
          <w:szCs w:val="22"/>
        </w:rPr>
        <w:t>économique n'a pas vraiment de racines au Canada anglais, e</w:t>
      </w:r>
      <w:r w:rsidRPr="00873110">
        <w:rPr>
          <w:color w:val="000000"/>
          <w:szCs w:val="22"/>
        </w:rPr>
        <w:t>n</w:t>
      </w:r>
      <w:r w:rsidRPr="00873110">
        <w:rPr>
          <w:color w:val="000000"/>
          <w:szCs w:val="22"/>
        </w:rPr>
        <w:t>core moins dans le milieu pétrolier et encore bien moins dans l'Ouest. À cause de cela, le programme ne fut pas le fruit d'un large consensus, mais la création d'un petit groupe de visionnaires, dispersés parmi une pléiade d'agences gouvernementales et de firmes privées. Il sera to</w:t>
      </w:r>
      <w:r w:rsidRPr="00873110">
        <w:rPr>
          <w:color w:val="000000"/>
          <w:szCs w:val="22"/>
        </w:rPr>
        <w:t>u</w:t>
      </w:r>
      <w:r w:rsidRPr="00873110">
        <w:rPr>
          <w:color w:val="000000"/>
          <w:szCs w:val="22"/>
        </w:rPr>
        <w:t>jours facile de dire que le gouvernement avait minimisé les réactions auxquelles le programme risquait de l'exposer, tout en surestimant la conjoncture internationale d'élévation des prix du pétrole. Pris de court entre cette réalité contre laquelle il ne pouvait rien et le tumulte des critiques qui fusaient de toutes parts, le gouvernement libéral n'avait plus d'espace politique où manœuvrer. Il y avait déjà quelque temps que le PEN voguait à la dérive quand le gouvernement conse</w:t>
      </w:r>
      <w:r w:rsidRPr="00873110">
        <w:rPr>
          <w:color w:val="000000"/>
          <w:szCs w:val="22"/>
        </w:rPr>
        <w:t>r</w:t>
      </w:r>
      <w:r w:rsidRPr="00873110">
        <w:rPr>
          <w:color w:val="000000"/>
          <w:szCs w:val="22"/>
        </w:rPr>
        <w:t>vateur de Brian Mulroney p</w:t>
      </w:r>
      <w:r>
        <w:rPr>
          <w:color w:val="000000"/>
          <w:szCs w:val="22"/>
        </w:rPr>
        <w:t>rit les rênes du pouvoir, au soir</w:t>
      </w:r>
      <w:r w:rsidRPr="00873110">
        <w:rPr>
          <w:color w:val="000000"/>
          <w:szCs w:val="22"/>
        </w:rPr>
        <w:t xml:space="preserve"> du 4 se</w:t>
      </w:r>
      <w:r w:rsidRPr="00873110">
        <w:rPr>
          <w:color w:val="000000"/>
          <w:szCs w:val="22"/>
        </w:rPr>
        <w:t>p</w:t>
      </w:r>
      <w:r w:rsidRPr="00873110">
        <w:rPr>
          <w:color w:val="000000"/>
          <w:szCs w:val="22"/>
        </w:rPr>
        <w:t>tembre 1984.</w:t>
      </w:r>
    </w:p>
    <w:p w:rsidR="00AD690E" w:rsidRDefault="00AD690E" w:rsidP="00AD690E">
      <w:pPr>
        <w:pStyle w:val="c"/>
      </w:pPr>
      <w:r>
        <w:t>*  *  *</w:t>
      </w:r>
    </w:p>
    <w:p w:rsidR="00AD690E" w:rsidRPr="00873110" w:rsidRDefault="00AD690E" w:rsidP="00AD690E">
      <w:pPr>
        <w:spacing w:before="120" w:after="120"/>
        <w:ind w:firstLine="0"/>
        <w:jc w:val="both"/>
      </w:pPr>
      <w:r w:rsidRPr="00873110">
        <w:rPr>
          <w:color w:val="000000"/>
          <w:szCs w:val="22"/>
        </w:rPr>
        <w:t>Nous avons vu que, au Canada, l'action des divers paliers de gouve</w:t>
      </w:r>
      <w:r w:rsidRPr="00873110">
        <w:rPr>
          <w:color w:val="000000"/>
          <w:szCs w:val="22"/>
        </w:rPr>
        <w:t>r</w:t>
      </w:r>
      <w:r w:rsidRPr="00873110">
        <w:rPr>
          <w:color w:val="000000"/>
          <w:szCs w:val="22"/>
        </w:rPr>
        <w:t>nement fut un élément explicatif du mouvement socio-économique d'ensemble illustrant une plus grande maîtrise sociale de cette société sur son propre développement, dans un secteur aussi central pour son développement que le complexe des industries énergétiques</w:t>
      </w:r>
      <w:r>
        <w:rPr>
          <w:color w:val="000000"/>
          <w:szCs w:val="22"/>
        </w:rPr>
        <w:t> </w:t>
      </w:r>
      <w:r w:rsidRPr="000A019C">
        <w:rPr>
          <w:rStyle w:val="Appelnotedebasdep"/>
        </w:rPr>
        <w:footnoteReference w:id="419"/>
      </w:r>
      <w:r w:rsidRPr="00873110">
        <w:rPr>
          <w:color w:val="000000"/>
          <w:szCs w:val="22"/>
        </w:rPr>
        <w:t>. Bien sûr, au niveau le plus général, l'action gouvernementale n'agit pas en solo ; elle élabore ses outils d'intervention de manière graduelle en prenant appui sur le développement des secteurs adjacents des re</w:t>
      </w:r>
      <w:r w:rsidRPr="00873110">
        <w:rPr>
          <w:color w:val="000000"/>
          <w:szCs w:val="22"/>
        </w:rPr>
        <w:t>s</w:t>
      </w:r>
      <w:r w:rsidRPr="00873110">
        <w:rPr>
          <w:color w:val="000000"/>
          <w:szCs w:val="22"/>
        </w:rPr>
        <w:t>sources naturelles, des banques et de l'industrie de transformation. Nous avons vu que, dans cette voie, les gouvernements avaient pu i</w:t>
      </w:r>
      <w:r w:rsidRPr="00873110">
        <w:rPr>
          <w:color w:val="000000"/>
          <w:szCs w:val="22"/>
        </w:rPr>
        <w:t>n</w:t>
      </w:r>
      <w:r w:rsidRPr="00873110">
        <w:rPr>
          <w:color w:val="000000"/>
          <w:szCs w:val="22"/>
        </w:rPr>
        <w:t>voquer, selon les prérogatives qui leur sont dévolues par la Constit</w:t>
      </w:r>
      <w:r w:rsidRPr="00873110">
        <w:rPr>
          <w:color w:val="000000"/>
          <w:szCs w:val="22"/>
        </w:rPr>
        <w:t>u</w:t>
      </w:r>
      <w:r w:rsidRPr="00873110">
        <w:rPr>
          <w:color w:val="000000"/>
          <w:szCs w:val="22"/>
        </w:rPr>
        <w:t>tion, leurs pouvoirs dans deux modes bien départagés d'intervention. D'un côté, la fiscalité, qui leur a permis de récompenser traditionne</w:t>
      </w:r>
      <w:r w:rsidRPr="00873110">
        <w:rPr>
          <w:color w:val="000000"/>
          <w:szCs w:val="22"/>
        </w:rPr>
        <w:t>l</w:t>
      </w:r>
      <w:r w:rsidRPr="00873110">
        <w:rPr>
          <w:color w:val="000000"/>
          <w:szCs w:val="22"/>
        </w:rPr>
        <w:t>lement l'effort de mise en valeur des ressources canadiennes, puis avec le PEN d'en orienter les activités via certaines taxes dissuasives et des encouragements à la canadianisation (PESP)</w:t>
      </w:r>
      <w:r>
        <w:rPr>
          <w:color w:val="000000"/>
          <w:szCs w:val="22"/>
        </w:rPr>
        <w:t> </w:t>
      </w:r>
      <w:r w:rsidRPr="000A019C">
        <w:rPr>
          <w:rStyle w:val="Appelnotedebasdep"/>
        </w:rPr>
        <w:footnoteReference w:id="420"/>
      </w:r>
      <w:r w:rsidRPr="00873110">
        <w:rPr>
          <w:color w:val="000000"/>
          <w:szCs w:val="22"/>
        </w:rPr>
        <w:t>. De l'autre, la</w:t>
      </w:r>
      <w:r>
        <w:rPr>
          <w:color w:val="000000"/>
          <w:szCs w:val="22"/>
        </w:rPr>
        <w:t xml:space="preserve"> </w:t>
      </w:r>
      <w:r>
        <w:rPr>
          <w:color w:val="000000"/>
          <w:szCs w:val="18"/>
        </w:rPr>
        <w:t>[</w:t>
      </w:r>
      <w:r w:rsidRPr="00873110">
        <w:rPr>
          <w:color w:val="000000"/>
          <w:szCs w:val="18"/>
        </w:rPr>
        <w:t>238</w:t>
      </w:r>
      <w:r>
        <w:rPr>
          <w:color w:val="000000"/>
          <w:szCs w:val="18"/>
        </w:rPr>
        <w:t xml:space="preserve">] </w:t>
      </w:r>
      <w:r w:rsidRPr="00873110">
        <w:rPr>
          <w:color w:val="000000"/>
          <w:szCs w:val="22"/>
        </w:rPr>
        <w:t>fixation des prix et le contrôle sur le commerce interprovincial et les exportations. Par ce biais, il assurait théoriquement l'intégration du territoire et la disponibilité des combustibles à des prix qui so</w:t>
      </w:r>
      <w:r w:rsidRPr="00873110">
        <w:rPr>
          <w:color w:val="000000"/>
          <w:szCs w:val="22"/>
        </w:rPr>
        <w:t>u</w:t>
      </w:r>
      <w:r w:rsidRPr="00873110">
        <w:rPr>
          <w:color w:val="000000"/>
          <w:szCs w:val="22"/>
        </w:rPr>
        <w:t>tiendraient la concurrence de l'économie canadienne.</w:t>
      </w:r>
    </w:p>
    <w:p w:rsidR="00AD690E" w:rsidRPr="00873110" w:rsidRDefault="00AD690E" w:rsidP="00AD690E">
      <w:pPr>
        <w:spacing w:before="120" w:after="120"/>
        <w:jc w:val="both"/>
      </w:pPr>
      <w:r w:rsidRPr="00873110">
        <w:rPr>
          <w:color w:val="000000"/>
          <w:szCs w:val="22"/>
        </w:rPr>
        <w:t>Cette action fut-elle toujours soutenue ? L'État prit-il toujours n</w:t>
      </w:r>
      <w:r w:rsidRPr="00873110">
        <w:rPr>
          <w:color w:val="000000"/>
          <w:szCs w:val="22"/>
        </w:rPr>
        <w:t>é</w:t>
      </w:r>
      <w:r w:rsidRPr="00873110">
        <w:rPr>
          <w:color w:val="000000"/>
          <w:szCs w:val="22"/>
        </w:rPr>
        <w:t>cessairement l'initiative ? L'histoire économique du régime libéral, dans ce secteur bien précis, nous amène à nuancer toute affirmation et à opposer, non seulement des philosophies différentes au sein des a</w:t>
      </w:r>
      <w:r w:rsidRPr="00873110">
        <w:rPr>
          <w:color w:val="000000"/>
          <w:szCs w:val="22"/>
        </w:rPr>
        <w:t>c</w:t>
      </w:r>
      <w:r w:rsidRPr="00873110">
        <w:rPr>
          <w:color w:val="000000"/>
          <w:szCs w:val="22"/>
        </w:rPr>
        <w:t>teurs publics, mais aussi des modes opposés d'intervention qu'imp</w:t>
      </w:r>
      <w:r w:rsidRPr="00873110">
        <w:rPr>
          <w:color w:val="000000"/>
          <w:szCs w:val="22"/>
        </w:rPr>
        <w:t>o</w:t>
      </w:r>
      <w:r w:rsidRPr="00873110">
        <w:rPr>
          <w:color w:val="000000"/>
          <w:szCs w:val="22"/>
        </w:rPr>
        <w:t>sent les nécessaires arbitrages entre acteurs publics et privés. Or, les tensions s'accumulent dans les années 70 et les conflits éclatent au grand jour dans les années 80. Voilà pourquoi l'interventionnisme de l'État dans le secteur des hydrocarbures ne s'est pas toujours déployé, de façon évolutive, en un éventail d'alternatives situé au sein d'un continuum entre deux écoles de pensée. D'une part, l'intervention ind</w:t>
      </w:r>
      <w:r w:rsidRPr="00873110">
        <w:rPr>
          <w:color w:val="000000"/>
          <w:szCs w:val="22"/>
        </w:rPr>
        <w:t>i</w:t>
      </w:r>
      <w:r w:rsidRPr="00873110">
        <w:rPr>
          <w:color w:val="000000"/>
          <w:szCs w:val="22"/>
        </w:rPr>
        <w:t>recte, ou encore discrète, traditionnelle, « classique » de l'État dans l'économie. Maintenir une certaine harmonie entre régions et acteurs économiques, faire participer le secteur énergétique au même titre que les autres, c'est-à-dire sans égard particulier, à la mise en valeur des ressources, par la voie des concessions (licences, permis d'exploit</w:t>
      </w:r>
      <w:r w:rsidRPr="00873110">
        <w:rPr>
          <w:color w:val="000000"/>
          <w:szCs w:val="22"/>
        </w:rPr>
        <w:t>a</w:t>
      </w:r>
      <w:r w:rsidRPr="00873110">
        <w:rPr>
          <w:color w:val="000000"/>
          <w:szCs w:val="22"/>
        </w:rPr>
        <w:t>tion), des encouragements, voire des subventions au démarrage des projets</w:t>
      </w:r>
      <w:r>
        <w:rPr>
          <w:color w:val="000000"/>
          <w:szCs w:val="22"/>
        </w:rPr>
        <w:t> </w:t>
      </w:r>
      <w:r w:rsidRPr="000A019C">
        <w:rPr>
          <w:rStyle w:val="Appelnotedebasdep"/>
        </w:rPr>
        <w:footnoteReference w:id="421"/>
      </w:r>
      <w:r w:rsidRPr="00873110">
        <w:rPr>
          <w:color w:val="000000"/>
          <w:szCs w:val="22"/>
        </w:rPr>
        <w:t>. À ce stade, l'État ne perd pas de vue sa propre reproduction en tant qu'appareil et demande au secteur de participer au financement de ses activités de construction d'inf</w:t>
      </w:r>
      <w:r>
        <w:rPr>
          <w:color w:val="000000"/>
          <w:szCs w:val="22"/>
        </w:rPr>
        <w:t>rastructures, via les royalties</w:t>
      </w:r>
      <w:r w:rsidRPr="00873110">
        <w:rPr>
          <w:color w:val="000000"/>
          <w:szCs w:val="22"/>
        </w:rPr>
        <w:t>, i</w:t>
      </w:r>
      <w:r w:rsidRPr="00873110">
        <w:rPr>
          <w:color w:val="000000"/>
          <w:szCs w:val="22"/>
        </w:rPr>
        <w:t>m</w:t>
      </w:r>
      <w:r w:rsidRPr="00873110">
        <w:rPr>
          <w:color w:val="000000"/>
          <w:szCs w:val="22"/>
        </w:rPr>
        <w:t>pôts et taxes sur les profits. Par la suite, à un second stade plus affirmé de l'intervention auprès du secteur privé, l'État accroît sa participation de façon significative aux mécanismes régulateurs de l'économie et, dans ce contexte, il ne faut pas perdre de vue que ceux-ci seront d'abord dictés par les entreprises privées qui énoncent leurs besoins et expriment leurs doléances. Dans cette logique, l'État endosse le rôle d'administrateur du secteur privé et l'exemple du sauvetage de D</w:t>
      </w:r>
      <w:r>
        <w:rPr>
          <w:color w:val="000000"/>
          <w:szCs w:val="22"/>
        </w:rPr>
        <w:t>o</w:t>
      </w:r>
      <w:r w:rsidRPr="00873110">
        <w:rPr>
          <w:color w:val="000000"/>
          <w:szCs w:val="22"/>
        </w:rPr>
        <w:t>me, en 1982, illustre clairement une prise de décision gouvernementale ferme, associant les banques, dans le but de sauver de la faillite le le</w:t>
      </w:r>
      <w:r w:rsidRPr="00873110">
        <w:rPr>
          <w:color w:val="000000"/>
          <w:szCs w:val="22"/>
        </w:rPr>
        <w:t>a</w:t>
      </w:r>
      <w:r w:rsidRPr="00873110">
        <w:rPr>
          <w:color w:val="000000"/>
          <w:szCs w:val="22"/>
        </w:rPr>
        <w:t>der de l'industrie canadienne dans le secteur</w:t>
      </w:r>
      <w:r>
        <w:rPr>
          <w:color w:val="000000"/>
          <w:szCs w:val="22"/>
        </w:rPr>
        <w:t> </w:t>
      </w:r>
      <w:r>
        <w:rPr>
          <w:rStyle w:val="Appelnotedebasdep"/>
        </w:rPr>
        <w:footnoteReference w:id="422"/>
      </w:r>
      <w:r w:rsidRPr="00873110">
        <w:rPr>
          <w:color w:val="000000"/>
          <w:szCs w:val="22"/>
        </w:rPr>
        <w:t>. Il le fera à nouveau plus tard.</w:t>
      </w:r>
    </w:p>
    <w:p w:rsidR="00AD690E" w:rsidRPr="00873110" w:rsidRDefault="00AD690E" w:rsidP="00AD690E">
      <w:pPr>
        <w:spacing w:before="120" w:after="120"/>
        <w:jc w:val="both"/>
      </w:pPr>
      <w:r w:rsidRPr="00873110">
        <w:rPr>
          <w:color w:val="000000"/>
          <w:szCs w:val="22"/>
        </w:rPr>
        <w:t>D'autre part, l'action peut se révéler plus directe. L'État devient alors un « définisseur de politiques ». Mais celles-ci ne sont pas n</w:t>
      </w:r>
      <w:r w:rsidRPr="00873110">
        <w:rPr>
          <w:color w:val="000000"/>
          <w:szCs w:val="22"/>
        </w:rPr>
        <w:t>é</w:t>
      </w:r>
      <w:r w:rsidRPr="00873110">
        <w:rPr>
          <w:color w:val="000000"/>
          <w:szCs w:val="22"/>
        </w:rPr>
        <w:t>cessairement ni élaborées ni même généralisées à l'ensemble du se</w:t>
      </w:r>
      <w:r w:rsidRPr="00873110">
        <w:rPr>
          <w:color w:val="000000"/>
          <w:szCs w:val="22"/>
        </w:rPr>
        <w:t>c</w:t>
      </w:r>
      <w:r w:rsidRPr="00873110">
        <w:rPr>
          <w:color w:val="000000"/>
          <w:szCs w:val="22"/>
        </w:rPr>
        <w:t>teur. Cette évolution</w:t>
      </w:r>
      <w:r>
        <w:rPr>
          <w:color w:val="000000"/>
          <w:szCs w:val="22"/>
        </w:rPr>
        <w:t xml:space="preserve"> </w:t>
      </w:r>
      <w:r>
        <w:t xml:space="preserve">[239] </w:t>
      </w:r>
      <w:r w:rsidRPr="00873110">
        <w:rPr>
          <w:color w:val="000000"/>
          <w:szCs w:val="22"/>
        </w:rPr>
        <w:t>s'accomplit par degrés et non sans heurts. L</w:t>
      </w:r>
      <w:r>
        <w:rPr>
          <w:color w:val="000000"/>
          <w:szCs w:val="22"/>
        </w:rPr>
        <w:t>’</w:t>
      </w:r>
      <w:r w:rsidRPr="00873110">
        <w:rPr>
          <w:color w:val="000000"/>
          <w:szCs w:val="22"/>
        </w:rPr>
        <w:t>État commence par être initiateur de développement dans le but de « combler les vides » ou « d'intégrer l'espace national ». Il peut aussi devenir interventionniste, c'est-à-dire qu'il s'intéressera aux activités du secteur privé pour en stimuler, donc en « infléchir » les activités. À ce stade, l'action ind</w:t>
      </w:r>
      <w:r w:rsidRPr="00873110">
        <w:rPr>
          <w:color w:val="000000"/>
          <w:szCs w:val="22"/>
        </w:rPr>
        <w:t>i</w:t>
      </w:r>
      <w:r w:rsidRPr="00873110">
        <w:rPr>
          <w:color w:val="000000"/>
          <w:szCs w:val="22"/>
        </w:rPr>
        <w:t>recte de l</w:t>
      </w:r>
      <w:r>
        <w:rPr>
          <w:color w:val="000000"/>
          <w:szCs w:val="22"/>
        </w:rPr>
        <w:t>’</w:t>
      </w:r>
      <w:r w:rsidRPr="00873110">
        <w:rPr>
          <w:color w:val="000000"/>
          <w:szCs w:val="22"/>
        </w:rPr>
        <w:t>État a donc une influence directe sur l'entreprise, mais ne s'incarne pas nécessairement par le biais du dév</w:t>
      </w:r>
      <w:r w:rsidRPr="00873110">
        <w:rPr>
          <w:color w:val="000000"/>
          <w:szCs w:val="22"/>
        </w:rPr>
        <w:t>e</w:t>
      </w:r>
      <w:r w:rsidRPr="00873110">
        <w:rPr>
          <w:color w:val="000000"/>
          <w:szCs w:val="22"/>
        </w:rPr>
        <w:t>loppement de mon</w:t>
      </w:r>
      <w:r w:rsidRPr="00873110">
        <w:rPr>
          <w:color w:val="000000"/>
          <w:szCs w:val="22"/>
        </w:rPr>
        <w:t>o</w:t>
      </w:r>
      <w:r w:rsidRPr="00873110">
        <w:rPr>
          <w:color w:val="000000"/>
          <w:szCs w:val="22"/>
        </w:rPr>
        <w:t>poles naturels ou encore de « nationalisations » à l'européenne, encore que cela puisse aussi être le cas. On a affaire alors à un cas limite, annonciateur de mutations à venir, comme l'ind</w:t>
      </w:r>
      <w:r w:rsidRPr="00873110">
        <w:rPr>
          <w:color w:val="000000"/>
          <w:szCs w:val="22"/>
        </w:rPr>
        <w:t>i</w:t>
      </w:r>
      <w:r w:rsidRPr="00873110">
        <w:rPr>
          <w:color w:val="000000"/>
          <w:szCs w:val="22"/>
        </w:rPr>
        <w:t>que l'exemple de la cré</w:t>
      </w:r>
      <w:r w:rsidRPr="00873110">
        <w:rPr>
          <w:color w:val="000000"/>
          <w:szCs w:val="22"/>
        </w:rPr>
        <w:t>a</w:t>
      </w:r>
      <w:r w:rsidRPr="00873110">
        <w:rPr>
          <w:color w:val="000000"/>
          <w:szCs w:val="22"/>
        </w:rPr>
        <w:t>tion de Pétro-Canada en 1975.</w:t>
      </w:r>
    </w:p>
    <w:p w:rsidR="00AD690E" w:rsidRPr="00873110" w:rsidRDefault="00AD690E" w:rsidP="00AD690E">
      <w:pPr>
        <w:spacing w:before="120" w:after="120"/>
        <w:jc w:val="both"/>
      </w:pPr>
      <w:r w:rsidRPr="00873110">
        <w:rPr>
          <w:color w:val="000000"/>
          <w:szCs w:val="22"/>
        </w:rPr>
        <w:t>Enfin l'intervention peut devenir « planificatrice », c'est-à-dire e</w:t>
      </w:r>
      <w:r w:rsidRPr="00873110">
        <w:rPr>
          <w:color w:val="000000"/>
          <w:szCs w:val="22"/>
        </w:rPr>
        <w:t>x</w:t>
      </w:r>
      <w:r w:rsidRPr="00873110">
        <w:rPr>
          <w:color w:val="000000"/>
          <w:szCs w:val="22"/>
        </w:rPr>
        <w:t>primer une volonté de coordonner les initiatives des participants du secteur, pour réaliser des objectifs « nationaux » et des politiques pr</w:t>
      </w:r>
      <w:r w:rsidRPr="00873110">
        <w:rPr>
          <w:color w:val="000000"/>
          <w:szCs w:val="22"/>
        </w:rPr>
        <w:t>é</w:t>
      </w:r>
      <w:r w:rsidRPr="00873110">
        <w:rPr>
          <w:color w:val="000000"/>
          <w:szCs w:val="22"/>
        </w:rPr>
        <w:t>cises qui vont au-delà des intérêts de chacun des acteurs économiques. Tel est de façon très claire le chemin parcouru par la politique énerg</w:t>
      </w:r>
      <w:r w:rsidRPr="00873110">
        <w:rPr>
          <w:color w:val="000000"/>
          <w:szCs w:val="22"/>
        </w:rPr>
        <w:t>é</w:t>
      </w:r>
      <w:r w:rsidRPr="00873110">
        <w:rPr>
          <w:color w:val="000000"/>
          <w:szCs w:val="22"/>
        </w:rPr>
        <w:t>tique canadienne à partir du premier choc pétrolier de 1973, et devenu si évident avec le PEN. Dans cet esprit, se conçoivent les « nationalisations » d'entreprises privées en sociétés d'État, comme le fut la création de Pétro-Canada, son programme de rachats et son mandat en tant que « firme témoin » du gouvernement dans le secteur. L'État peut aussi souhaiter élargir le mandat des Utilities déjà exista</w:t>
      </w:r>
      <w:r w:rsidRPr="00873110">
        <w:rPr>
          <w:color w:val="000000"/>
          <w:szCs w:val="22"/>
        </w:rPr>
        <w:t>n</w:t>
      </w:r>
      <w:r w:rsidRPr="00873110">
        <w:rPr>
          <w:color w:val="000000"/>
          <w:szCs w:val="22"/>
        </w:rPr>
        <w:t>tes. Tel est le cas de Nova, qui passe de la gestion d'un réseau de g</w:t>
      </w:r>
      <w:r w:rsidRPr="00873110">
        <w:rPr>
          <w:color w:val="000000"/>
          <w:szCs w:val="22"/>
        </w:rPr>
        <w:t>a</w:t>
      </w:r>
      <w:r w:rsidRPr="00873110">
        <w:rPr>
          <w:color w:val="000000"/>
          <w:szCs w:val="22"/>
        </w:rPr>
        <w:t>zoducs provincial, au cours des années 70, à une firme activement e</w:t>
      </w:r>
      <w:r w:rsidRPr="00873110">
        <w:rPr>
          <w:color w:val="000000"/>
          <w:szCs w:val="22"/>
        </w:rPr>
        <w:t>n</w:t>
      </w:r>
      <w:r w:rsidRPr="00873110">
        <w:rPr>
          <w:color w:val="000000"/>
          <w:szCs w:val="22"/>
        </w:rPr>
        <w:t>gagée dans la recherche et le développement comme dans la prospe</w:t>
      </w:r>
      <w:r w:rsidRPr="00873110">
        <w:rPr>
          <w:color w:val="000000"/>
          <w:szCs w:val="22"/>
        </w:rPr>
        <w:t>c</w:t>
      </w:r>
      <w:r w:rsidRPr="00873110">
        <w:rPr>
          <w:color w:val="000000"/>
          <w:szCs w:val="22"/>
        </w:rPr>
        <w:t>tion.</w:t>
      </w:r>
      <w:r>
        <w:rPr>
          <w:color w:val="000000"/>
          <w:szCs w:val="22"/>
        </w:rPr>
        <w:t xml:space="preserve"> </w:t>
      </w:r>
      <w:r w:rsidRPr="00873110">
        <w:rPr>
          <w:color w:val="000000"/>
          <w:szCs w:val="22"/>
        </w:rPr>
        <w:t>Dans son processus de diversification économique, Nova achète Husky en 1978. Il y a surtout (parce que c'est l'élément le plus spect</w:t>
      </w:r>
      <w:r w:rsidRPr="00873110">
        <w:rPr>
          <w:color w:val="000000"/>
          <w:szCs w:val="22"/>
        </w:rPr>
        <w:t>a</w:t>
      </w:r>
      <w:r w:rsidRPr="00873110">
        <w:rPr>
          <w:color w:val="000000"/>
          <w:szCs w:val="22"/>
        </w:rPr>
        <w:t>culaire de l'intervention) la politique énergétique elle-même, qui sy</w:t>
      </w:r>
      <w:r w:rsidRPr="00873110">
        <w:rPr>
          <w:color w:val="000000"/>
          <w:szCs w:val="22"/>
        </w:rPr>
        <w:t>s</w:t>
      </w:r>
      <w:r w:rsidRPr="00873110">
        <w:rPr>
          <w:color w:val="000000"/>
          <w:szCs w:val="22"/>
        </w:rPr>
        <w:t>tématise le recours aux stimulants fiscaux</w:t>
      </w:r>
      <w:r>
        <w:rPr>
          <w:color w:val="000000"/>
          <w:szCs w:val="22"/>
        </w:rPr>
        <w:t> </w:t>
      </w:r>
      <w:r w:rsidRPr="000A019C">
        <w:rPr>
          <w:rStyle w:val="Appelnotedebasdep"/>
        </w:rPr>
        <w:footnoteReference w:id="423"/>
      </w:r>
      <w:r w:rsidRPr="00873110">
        <w:rPr>
          <w:color w:val="000000"/>
          <w:szCs w:val="22"/>
        </w:rPr>
        <w:t>.</w:t>
      </w:r>
    </w:p>
    <w:p w:rsidR="00AD690E" w:rsidRPr="00873110" w:rsidRDefault="00AD690E" w:rsidP="00AD690E">
      <w:pPr>
        <w:spacing w:before="120" w:after="120"/>
        <w:jc w:val="both"/>
      </w:pPr>
      <w:r w:rsidRPr="00873110">
        <w:rPr>
          <w:color w:val="000000"/>
          <w:szCs w:val="22"/>
        </w:rPr>
        <w:t>Le passage d'un pôle à l'autre ne se fait manifestement pas au h</w:t>
      </w:r>
      <w:r w:rsidRPr="00873110">
        <w:rPr>
          <w:color w:val="000000"/>
          <w:szCs w:val="22"/>
        </w:rPr>
        <w:t>a</w:t>
      </w:r>
      <w:r w:rsidRPr="00873110">
        <w:rPr>
          <w:color w:val="000000"/>
          <w:szCs w:val="22"/>
        </w:rPr>
        <w:t>sard, mais s'inscrit au sein d'une évolution non linéaire qui tire parti à des degrés divers de facteurs présents dans la constellation économ</w:t>
      </w:r>
      <w:r w:rsidRPr="00873110">
        <w:rPr>
          <w:color w:val="000000"/>
          <w:szCs w:val="22"/>
        </w:rPr>
        <w:t>i</w:t>
      </w:r>
      <w:r w:rsidRPr="00873110">
        <w:rPr>
          <w:color w:val="000000"/>
          <w:szCs w:val="22"/>
        </w:rPr>
        <w:t>que ambiante, et de la présence ou de la disponibilité de ressources humaines et matérielles, aptes à s'exprimer à travers l'essor de l'éc</w:t>
      </w:r>
      <w:r w:rsidRPr="00873110">
        <w:rPr>
          <w:color w:val="000000"/>
          <w:szCs w:val="22"/>
        </w:rPr>
        <w:t>o</w:t>
      </w:r>
      <w:r w:rsidRPr="00873110">
        <w:rPr>
          <w:color w:val="000000"/>
          <w:szCs w:val="22"/>
        </w:rPr>
        <w:t>nomie et la maturation du système d'éducation supérieure et techn</w:t>
      </w:r>
      <w:r w:rsidRPr="00873110">
        <w:rPr>
          <w:color w:val="000000"/>
          <w:szCs w:val="22"/>
        </w:rPr>
        <w:t>i</w:t>
      </w:r>
      <w:r w:rsidRPr="00873110">
        <w:rPr>
          <w:color w:val="000000"/>
          <w:szCs w:val="22"/>
        </w:rPr>
        <w:t>que. Celui-ci rend possible une expertise disponible localement, le développement de l'État et de ses agences comme autant de foyers de regroupement des personnalités et des groupes exprimant un certain « volontarisme » en face de problèmes particuliers que pose l'ind</w:t>
      </w:r>
      <w:r w:rsidRPr="00873110">
        <w:rPr>
          <w:color w:val="000000"/>
          <w:szCs w:val="22"/>
        </w:rPr>
        <w:t>é</w:t>
      </w:r>
      <w:r w:rsidRPr="00873110">
        <w:rPr>
          <w:color w:val="000000"/>
          <w:szCs w:val="22"/>
        </w:rPr>
        <w:t>pendance du pays et se faisant les porteurs, au-delà de la tradition qu'ils véhiculent, d'une certaine « idée » de leur environnement co</w:t>
      </w:r>
      <w:r w:rsidRPr="00873110">
        <w:rPr>
          <w:color w:val="000000"/>
          <w:szCs w:val="22"/>
        </w:rPr>
        <w:t>m</w:t>
      </w:r>
      <w:r w:rsidRPr="00873110">
        <w:rPr>
          <w:color w:val="000000"/>
          <w:szCs w:val="22"/>
        </w:rPr>
        <w:t>me de la société. Ils la conçoivent comme un</w:t>
      </w:r>
      <w:r>
        <w:rPr>
          <w:color w:val="000000"/>
          <w:szCs w:val="22"/>
        </w:rPr>
        <w:t xml:space="preserve"> </w:t>
      </w:r>
      <w:r>
        <w:t>[</w:t>
      </w:r>
      <w:r w:rsidRPr="00873110">
        <w:rPr>
          <w:rFonts w:cs="Arial"/>
          <w:color w:val="000000"/>
          <w:szCs w:val="18"/>
        </w:rPr>
        <w:t>240</w:t>
      </w:r>
      <w:r>
        <w:rPr>
          <w:rFonts w:cs="Arial"/>
          <w:color w:val="000000"/>
          <w:szCs w:val="18"/>
        </w:rPr>
        <w:t xml:space="preserve">] </w:t>
      </w:r>
      <w:r w:rsidRPr="00873110">
        <w:rPr>
          <w:color w:val="000000"/>
          <w:szCs w:val="22"/>
        </w:rPr>
        <w:t>tout et dès lors, sitôt que se pose la question hautement « stratégique » de la dépe</w:t>
      </w:r>
      <w:r w:rsidRPr="00873110">
        <w:rPr>
          <w:color w:val="000000"/>
          <w:szCs w:val="22"/>
        </w:rPr>
        <w:t>n</w:t>
      </w:r>
      <w:r w:rsidRPr="00873110">
        <w:rPr>
          <w:color w:val="000000"/>
          <w:szCs w:val="22"/>
        </w:rPr>
        <w:t>dance du pays à l'égard des firmes transnationales et des aléas du commerce international dans le domaine si sensible de l'éne</w:t>
      </w:r>
      <w:r w:rsidRPr="00873110">
        <w:rPr>
          <w:color w:val="000000"/>
          <w:szCs w:val="22"/>
        </w:rPr>
        <w:t>r</w:t>
      </w:r>
      <w:r w:rsidRPr="00873110">
        <w:rPr>
          <w:color w:val="000000"/>
          <w:szCs w:val="22"/>
        </w:rPr>
        <w:t>gie, ces contraintes nouvelles donnent lieu à des réflexes nationalistes qui al</w:t>
      </w:r>
      <w:r w:rsidRPr="00873110">
        <w:rPr>
          <w:color w:val="000000"/>
          <w:szCs w:val="22"/>
        </w:rPr>
        <w:t>i</w:t>
      </w:r>
      <w:r w:rsidRPr="00873110">
        <w:rPr>
          <w:color w:val="000000"/>
          <w:szCs w:val="22"/>
        </w:rPr>
        <w:t>mentent des prises de décision susceptibles de nourrir ce type de tra</w:t>
      </w:r>
      <w:r w:rsidRPr="00873110">
        <w:rPr>
          <w:color w:val="000000"/>
          <w:szCs w:val="22"/>
        </w:rPr>
        <w:t>n</w:t>
      </w:r>
      <w:r w:rsidRPr="00873110">
        <w:rPr>
          <w:color w:val="000000"/>
          <w:szCs w:val="22"/>
        </w:rPr>
        <w:t>sition vers l'interventionnisme actif.</w:t>
      </w:r>
    </w:p>
    <w:p w:rsidR="00AD690E" w:rsidRDefault="00AD690E" w:rsidP="00AD690E">
      <w:pPr>
        <w:spacing w:before="120" w:after="120"/>
        <w:ind w:firstLine="0"/>
        <w:jc w:val="both"/>
      </w:pPr>
      <w:r w:rsidRPr="00873110">
        <w:br w:type="page"/>
      </w:r>
      <w:r>
        <w:t>[241]</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5" w:name="ere_Liberaux_pt2_texte_10"/>
      <w:r>
        <w:rPr>
          <w:b/>
          <w:color w:val="000080"/>
          <w:sz w:val="24"/>
        </w:rPr>
        <w:t>DEUXIÈME</w:t>
      </w:r>
      <w:r w:rsidRPr="003634E0">
        <w:rPr>
          <w:b/>
          <w:color w:val="000080"/>
          <w:sz w:val="24"/>
        </w:rPr>
        <w:t xml:space="preserve"> PARTIE</w:t>
      </w:r>
      <w:r w:rsidRPr="003634E0">
        <w:rPr>
          <w:b/>
          <w:color w:val="000080"/>
          <w:sz w:val="24"/>
        </w:rPr>
        <w:br/>
        <w:t xml:space="preserve">QUESTIONS </w:t>
      </w:r>
      <w:r>
        <w:rPr>
          <w:b/>
          <w:color w:val="000080"/>
          <w:sz w:val="24"/>
        </w:rPr>
        <w:t>ÉCONOMIQUES</w:t>
      </w:r>
    </w:p>
    <w:p w:rsidR="00AD690E" w:rsidRPr="00E07116" w:rsidRDefault="00AD690E" w:rsidP="00AD690E">
      <w:pPr>
        <w:jc w:val="both"/>
        <w:rPr>
          <w:szCs w:val="36"/>
        </w:rPr>
      </w:pPr>
    </w:p>
    <w:p w:rsidR="00AD690E" w:rsidRPr="00E07116" w:rsidRDefault="00AD690E" w:rsidP="00AD690E">
      <w:pPr>
        <w:pStyle w:val="planchest"/>
      </w:pPr>
      <w:r>
        <w:t>“La politique fédérale</w:t>
      </w:r>
      <w:r>
        <w:br/>
        <w:t>de main-d’oeuvre.”</w:t>
      </w:r>
    </w:p>
    <w:bookmarkEnd w:id="15"/>
    <w:p w:rsidR="00AD690E" w:rsidRPr="00E07116" w:rsidRDefault="00AD690E" w:rsidP="00AD690E">
      <w:pPr>
        <w:ind w:firstLine="0"/>
        <w:jc w:val="center"/>
      </w:pPr>
    </w:p>
    <w:p w:rsidR="00AD690E" w:rsidRDefault="00AD690E" w:rsidP="00AD690E">
      <w:pPr>
        <w:ind w:firstLine="0"/>
        <w:jc w:val="center"/>
      </w:pPr>
      <w:r>
        <w:t>par</w:t>
      </w:r>
    </w:p>
    <w:p w:rsidR="00AD690E" w:rsidRDefault="00AD690E" w:rsidP="00AD690E">
      <w:pPr>
        <w:ind w:firstLine="0"/>
        <w:jc w:val="center"/>
      </w:pPr>
    </w:p>
    <w:tbl>
      <w:tblPr>
        <w:tblW w:w="0" w:type="auto"/>
        <w:tblLook w:val="00BF" w:firstRow="1" w:lastRow="0" w:firstColumn="1" w:lastColumn="0" w:noHBand="0" w:noVBand="0"/>
      </w:tblPr>
      <w:tblGrid>
        <w:gridCol w:w="4030"/>
        <w:gridCol w:w="4030"/>
      </w:tblGrid>
      <w:tr w:rsidR="00AD690E">
        <w:tc>
          <w:tcPr>
            <w:tcW w:w="4030" w:type="dxa"/>
          </w:tcPr>
          <w:p w:rsidR="00AD690E" w:rsidRPr="00E07116" w:rsidRDefault="00AD690E" w:rsidP="00AD690E">
            <w:pPr>
              <w:pStyle w:val="suite"/>
            </w:pPr>
            <w:r>
              <w:t>Yves BÉLANGER</w:t>
            </w:r>
          </w:p>
          <w:p w:rsidR="00AD690E" w:rsidRDefault="00AD690E" w:rsidP="00AD690E">
            <w:pPr>
              <w:spacing w:before="120"/>
              <w:ind w:firstLine="0"/>
              <w:jc w:val="center"/>
            </w:pPr>
            <w:r w:rsidRPr="00AD690E">
              <w:rPr>
                <w:sz w:val="24"/>
                <w:szCs w:val="22"/>
              </w:rPr>
              <w:t>Département de science politique</w:t>
            </w:r>
            <w:r w:rsidRPr="00AD690E">
              <w:rPr>
                <w:sz w:val="24"/>
                <w:szCs w:val="22"/>
              </w:rPr>
              <w:br/>
              <w:t>Un</w:t>
            </w:r>
            <w:r w:rsidRPr="00AD690E">
              <w:rPr>
                <w:sz w:val="24"/>
                <w:szCs w:val="22"/>
              </w:rPr>
              <w:t>i</w:t>
            </w:r>
            <w:r w:rsidRPr="00AD690E">
              <w:rPr>
                <w:sz w:val="24"/>
                <w:szCs w:val="22"/>
              </w:rPr>
              <w:t>versité du Québec à Montréal</w:t>
            </w:r>
          </w:p>
        </w:tc>
        <w:tc>
          <w:tcPr>
            <w:tcW w:w="4030" w:type="dxa"/>
          </w:tcPr>
          <w:p w:rsidR="00AD690E" w:rsidRPr="00E07116" w:rsidRDefault="00AD690E" w:rsidP="00AD690E">
            <w:pPr>
              <w:pStyle w:val="suite"/>
            </w:pPr>
            <w:r>
              <w:t>Francine SÉNÉCAL</w:t>
            </w:r>
          </w:p>
          <w:p w:rsidR="00AD690E" w:rsidRDefault="00AD690E" w:rsidP="00AD690E">
            <w:pPr>
              <w:spacing w:before="120"/>
              <w:ind w:firstLine="0"/>
              <w:jc w:val="center"/>
            </w:pPr>
            <w:r w:rsidRPr="00AD690E">
              <w:rPr>
                <w:sz w:val="24"/>
                <w:szCs w:val="22"/>
              </w:rPr>
              <w:t>Un</w:t>
            </w:r>
            <w:r w:rsidRPr="00AD690E">
              <w:rPr>
                <w:sz w:val="24"/>
                <w:szCs w:val="22"/>
              </w:rPr>
              <w:t>i</w:t>
            </w:r>
            <w:r w:rsidRPr="00AD690E">
              <w:rPr>
                <w:sz w:val="24"/>
                <w:szCs w:val="22"/>
              </w:rPr>
              <w:t>versité du Québec à Montréal</w:t>
            </w:r>
          </w:p>
        </w:tc>
      </w:tr>
    </w:tbl>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873110" w:rsidRDefault="00AD690E" w:rsidP="00AD690E">
      <w:pPr>
        <w:spacing w:before="120" w:after="120"/>
        <w:jc w:val="both"/>
      </w:pPr>
      <w:r w:rsidRPr="00873110">
        <w:rPr>
          <w:color w:val="000000"/>
          <w:szCs w:val="22"/>
        </w:rPr>
        <w:t>Au cours des deux dernières décennies, les dossiers du développ</w:t>
      </w:r>
      <w:r w:rsidRPr="00873110">
        <w:rPr>
          <w:color w:val="000000"/>
          <w:szCs w:val="22"/>
        </w:rPr>
        <w:t>e</w:t>
      </w:r>
      <w:r w:rsidRPr="00873110">
        <w:rPr>
          <w:color w:val="000000"/>
          <w:szCs w:val="22"/>
        </w:rPr>
        <w:t>ment économique, de la politique d'emploi et de la main-d'</w:t>
      </w:r>
      <w:r>
        <w:rPr>
          <w:color w:val="000000"/>
          <w:szCs w:val="22"/>
        </w:rPr>
        <w:t>œuvre</w:t>
      </w:r>
      <w:r w:rsidRPr="00873110">
        <w:rPr>
          <w:color w:val="000000"/>
          <w:szCs w:val="22"/>
        </w:rPr>
        <w:t xml:space="preserve"> ont o</w:t>
      </w:r>
      <w:r w:rsidRPr="00873110">
        <w:rPr>
          <w:color w:val="000000"/>
          <w:szCs w:val="22"/>
        </w:rPr>
        <w:t>c</w:t>
      </w:r>
      <w:r w:rsidRPr="00873110">
        <w:rPr>
          <w:color w:val="000000"/>
          <w:szCs w:val="22"/>
        </w:rPr>
        <w:t>cupé une large place dans les débats politiques. Dans ce contexte, la question du rôle de l'État s'est posée avec beaucoup d'acuité dans le champ des politiques de main-d'</w:t>
      </w:r>
      <w:r>
        <w:rPr>
          <w:color w:val="000000"/>
          <w:szCs w:val="22"/>
        </w:rPr>
        <w:t>œuvre</w:t>
      </w:r>
      <w:r w:rsidRPr="00873110">
        <w:rPr>
          <w:color w:val="000000"/>
          <w:szCs w:val="22"/>
        </w:rPr>
        <w:t>. En effet, la hausse des taux de chômage, les fermetures d'entreprises, le ralentissement de certains secteurs économiques et les limites de la capacité de payer des go</w:t>
      </w:r>
      <w:r w:rsidRPr="00873110">
        <w:rPr>
          <w:color w:val="000000"/>
          <w:szCs w:val="22"/>
        </w:rPr>
        <w:t>u</w:t>
      </w:r>
      <w:r w:rsidRPr="00873110">
        <w:rPr>
          <w:color w:val="000000"/>
          <w:szCs w:val="22"/>
        </w:rPr>
        <w:t>vernements ont entraîné des remises en question qui ont affecté les politiques de main-d'</w:t>
      </w:r>
      <w:r>
        <w:rPr>
          <w:color w:val="000000"/>
          <w:szCs w:val="22"/>
        </w:rPr>
        <w:t>œuvre</w:t>
      </w:r>
      <w:r w:rsidRPr="00873110">
        <w:rPr>
          <w:color w:val="000000"/>
          <w:szCs w:val="22"/>
        </w:rPr>
        <w:t>.</w:t>
      </w:r>
    </w:p>
    <w:p w:rsidR="00AD690E" w:rsidRPr="00873110" w:rsidRDefault="00AD690E" w:rsidP="00AD690E">
      <w:pPr>
        <w:spacing w:before="120" w:after="120"/>
        <w:jc w:val="both"/>
      </w:pPr>
      <w:r w:rsidRPr="00873110">
        <w:rPr>
          <w:color w:val="000000"/>
          <w:szCs w:val="22"/>
        </w:rPr>
        <w:t>Dans le texte qui suit, nous nous attachons spécifiquement à l'étude de la politique de main-d'</w:t>
      </w:r>
      <w:r>
        <w:rPr>
          <w:color w:val="000000"/>
          <w:szCs w:val="22"/>
        </w:rPr>
        <w:t>œuvre</w:t>
      </w:r>
      <w:r w:rsidRPr="00873110">
        <w:rPr>
          <w:color w:val="000000"/>
          <w:szCs w:val="22"/>
        </w:rPr>
        <w:t xml:space="preserve"> en tentant de démontrer que l</w:t>
      </w:r>
      <w:r>
        <w:rPr>
          <w:color w:val="000000"/>
          <w:szCs w:val="22"/>
        </w:rPr>
        <w:t>’</w:t>
      </w:r>
      <w:r w:rsidRPr="00873110">
        <w:rPr>
          <w:color w:val="000000"/>
          <w:szCs w:val="22"/>
        </w:rPr>
        <w:t>État a de plus en plus misé sur ce secteur, au cours des 30 dernières années, dans le but de rendre son intervention moins onéreuse et plus sélect</w:t>
      </w:r>
      <w:r w:rsidRPr="00873110">
        <w:rPr>
          <w:color w:val="000000"/>
          <w:szCs w:val="22"/>
        </w:rPr>
        <w:t>i</w:t>
      </w:r>
      <w:r w:rsidRPr="00873110">
        <w:rPr>
          <w:color w:val="000000"/>
          <w:szCs w:val="22"/>
        </w:rPr>
        <w:t>ve. On pourra voir dans ce processus l'expression d'une démarche de</w:t>
      </w:r>
      <w:r w:rsidRPr="00873110">
        <w:rPr>
          <w:color w:val="000000"/>
          <w:szCs w:val="22"/>
        </w:rPr>
        <w:t>s</w:t>
      </w:r>
      <w:r w:rsidRPr="00873110">
        <w:rPr>
          <w:color w:val="000000"/>
          <w:szCs w:val="22"/>
        </w:rPr>
        <w:t>tinée à remodeler l'interventionnisme d'inspiration keynésienne pour lui substituer un modèle complexe où se manifestent diverses influe</w:t>
      </w:r>
      <w:r w:rsidRPr="00873110">
        <w:rPr>
          <w:color w:val="000000"/>
          <w:szCs w:val="22"/>
        </w:rPr>
        <w:t>n</w:t>
      </w:r>
      <w:r w:rsidRPr="00873110">
        <w:rPr>
          <w:color w:val="000000"/>
          <w:szCs w:val="22"/>
        </w:rPr>
        <w:t>ces. Avec les années 1980, la politique de main-d'oeuvre est devenue ainsi partie prenante d'une nouvelle stratégie de développement éc</w:t>
      </w:r>
      <w:r w:rsidRPr="00873110">
        <w:rPr>
          <w:color w:val="000000"/>
          <w:szCs w:val="22"/>
        </w:rPr>
        <w:t>o</w:t>
      </w:r>
      <w:r w:rsidRPr="00873110">
        <w:rPr>
          <w:color w:val="000000"/>
          <w:szCs w:val="22"/>
        </w:rPr>
        <w:t>nomique. Nous verrons notamment que, d'un rôle plutôt accessoire au cours des années 1960, les programmes destinés à encadrer l'emploi et la formation seront appelés à remplir une mission plus centrale de la stratégie gouvernementale.</w:t>
      </w:r>
    </w:p>
    <w:p w:rsidR="00AD690E" w:rsidRPr="00873110" w:rsidRDefault="00AD690E" w:rsidP="00AD690E">
      <w:pPr>
        <w:spacing w:before="120" w:after="120"/>
        <w:jc w:val="both"/>
      </w:pPr>
      <w:r w:rsidRPr="00873110">
        <w:rPr>
          <w:color w:val="000000"/>
          <w:szCs w:val="22"/>
        </w:rPr>
        <w:t>Dans ce sens, la main-d'</w:t>
      </w:r>
      <w:r>
        <w:rPr>
          <w:color w:val="000000"/>
          <w:szCs w:val="22"/>
        </w:rPr>
        <w:t>œuvre</w:t>
      </w:r>
      <w:r w:rsidRPr="00873110">
        <w:rPr>
          <w:color w:val="000000"/>
          <w:szCs w:val="22"/>
        </w:rPr>
        <w:t xml:space="preserve"> est peut-être un des domaines où les changements d'orientation dans la politique économique du gouve</w:t>
      </w:r>
      <w:r w:rsidRPr="00873110">
        <w:rPr>
          <w:color w:val="000000"/>
          <w:szCs w:val="22"/>
        </w:rPr>
        <w:t>r</w:t>
      </w:r>
      <w:r w:rsidRPr="00873110">
        <w:rPr>
          <w:color w:val="000000"/>
          <w:szCs w:val="22"/>
        </w:rPr>
        <w:t>nement libéral</w:t>
      </w:r>
      <w:r>
        <w:rPr>
          <w:color w:val="000000"/>
          <w:szCs w:val="22"/>
        </w:rPr>
        <w:t xml:space="preserve"> </w:t>
      </w:r>
      <w:r>
        <w:t>[</w:t>
      </w:r>
      <w:r w:rsidRPr="00873110">
        <w:rPr>
          <w:rFonts w:cs="Arial"/>
          <w:color w:val="000000"/>
          <w:szCs w:val="18"/>
        </w:rPr>
        <w:t>242</w:t>
      </w:r>
      <w:r>
        <w:rPr>
          <w:rFonts w:cs="Arial"/>
          <w:color w:val="000000"/>
          <w:szCs w:val="18"/>
        </w:rPr>
        <w:t xml:space="preserve">] </w:t>
      </w:r>
      <w:r w:rsidRPr="00873110">
        <w:rPr>
          <w:color w:val="000000"/>
          <w:szCs w:val="22"/>
        </w:rPr>
        <w:t>fédéral ont été les plus percutants. Il faut ajouter que l'intérêt gouve</w:t>
      </w:r>
      <w:r w:rsidRPr="00873110">
        <w:rPr>
          <w:color w:val="000000"/>
          <w:szCs w:val="22"/>
        </w:rPr>
        <w:t>r</w:t>
      </w:r>
      <w:r w:rsidRPr="00873110">
        <w:rPr>
          <w:color w:val="000000"/>
          <w:szCs w:val="22"/>
        </w:rPr>
        <w:t>nemental ne sera pas seulement tributaire de ces réflexions économ</w:t>
      </w:r>
      <w:r w:rsidRPr="00873110">
        <w:rPr>
          <w:color w:val="000000"/>
          <w:szCs w:val="22"/>
        </w:rPr>
        <w:t>i</w:t>
      </w:r>
      <w:r w:rsidRPr="00873110">
        <w:rPr>
          <w:color w:val="000000"/>
          <w:szCs w:val="22"/>
        </w:rPr>
        <w:t>ques. La démarche viendra en effet s'inscrire sur la toile de fond d'un projet beaucoup plus vaste dont l'objet sera d'éte</w:t>
      </w:r>
      <w:r w:rsidRPr="00873110">
        <w:rPr>
          <w:color w:val="000000"/>
          <w:szCs w:val="22"/>
        </w:rPr>
        <w:t>n</w:t>
      </w:r>
      <w:r w:rsidRPr="00873110">
        <w:rPr>
          <w:color w:val="000000"/>
          <w:szCs w:val="22"/>
        </w:rPr>
        <w:t>dre le rayonnement de l'État fédéral.</w:t>
      </w:r>
    </w:p>
    <w:p w:rsidR="00AD690E" w:rsidRDefault="00AD690E" w:rsidP="00AD690E">
      <w:pPr>
        <w:spacing w:before="120" w:after="120"/>
        <w:jc w:val="both"/>
        <w:rPr>
          <w:color w:val="000000"/>
          <w:szCs w:val="22"/>
        </w:rPr>
      </w:pPr>
    </w:p>
    <w:p w:rsidR="00AD690E" w:rsidRPr="00873110" w:rsidRDefault="00AD690E" w:rsidP="00AD690E">
      <w:pPr>
        <w:pStyle w:val="planche"/>
      </w:pPr>
      <w:r w:rsidRPr="00873110">
        <w:t>LA SITUATION AU MOMENT</w:t>
      </w:r>
      <w:r>
        <w:br/>
      </w:r>
      <w:r w:rsidRPr="00873110">
        <w:t>DE LA PRISE DE POUVOIR</w:t>
      </w:r>
    </w:p>
    <w:p w:rsidR="00AD690E" w:rsidRDefault="00AD690E" w:rsidP="00AD690E">
      <w:pPr>
        <w:spacing w:before="120" w:after="120"/>
        <w:jc w:val="both"/>
        <w:rPr>
          <w:color w:val="000000"/>
          <w:szCs w:val="22"/>
        </w:rPr>
      </w:pPr>
    </w:p>
    <w:p w:rsidR="00AD690E" w:rsidRPr="00873110" w:rsidRDefault="00AD690E" w:rsidP="00AD690E">
      <w:pPr>
        <w:spacing w:before="120" w:after="120"/>
        <w:ind w:firstLine="0"/>
        <w:jc w:val="both"/>
      </w:pPr>
      <w:r w:rsidRPr="00873110">
        <w:rPr>
          <w:color w:val="000000"/>
          <w:szCs w:val="22"/>
        </w:rPr>
        <w:t>Lorsque les libéraux prennent le pouvoir en 1963, la politique écon</w:t>
      </w:r>
      <w:r w:rsidRPr="00873110">
        <w:rPr>
          <w:color w:val="000000"/>
          <w:szCs w:val="22"/>
        </w:rPr>
        <w:t>o</w:t>
      </w:r>
      <w:r w:rsidRPr="00873110">
        <w:rPr>
          <w:color w:val="000000"/>
          <w:szCs w:val="22"/>
        </w:rPr>
        <w:t>mique vit une remise en question. En effet, la récession de la fin des années 1950 a fait ressortir certaines carences de la stratégie d'inte</w:t>
      </w:r>
      <w:r w:rsidRPr="00873110">
        <w:rPr>
          <w:color w:val="000000"/>
          <w:szCs w:val="22"/>
        </w:rPr>
        <w:t>r</w:t>
      </w:r>
      <w:r w:rsidRPr="00873110">
        <w:rPr>
          <w:color w:val="000000"/>
          <w:szCs w:val="22"/>
        </w:rPr>
        <w:t>vention mise en place après la guerre</w:t>
      </w:r>
      <w:r>
        <w:rPr>
          <w:color w:val="000000"/>
          <w:szCs w:val="22"/>
        </w:rPr>
        <w:t> </w:t>
      </w:r>
      <w:r>
        <w:rPr>
          <w:rStyle w:val="Appelnotedebasdep"/>
        </w:rPr>
        <w:footnoteReference w:id="424"/>
      </w:r>
      <w:r>
        <w:rPr>
          <w:color w:val="000000"/>
          <w:szCs w:val="22"/>
        </w:rPr>
        <w:t>.</w:t>
      </w:r>
      <w:r w:rsidRPr="00873110">
        <w:rPr>
          <w:color w:val="000000"/>
          <w:szCs w:val="22"/>
        </w:rPr>
        <w:t xml:space="preserve"> Non seulement les grands outils de stabilisation économique (politique monétaire, fiscale, pr</w:t>
      </w:r>
      <w:r w:rsidRPr="00873110">
        <w:rPr>
          <w:color w:val="000000"/>
          <w:szCs w:val="22"/>
        </w:rPr>
        <w:t>o</w:t>
      </w:r>
      <w:r w:rsidRPr="00873110">
        <w:rPr>
          <w:color w:val="000000"/>
          <w:szCs w:val="22"/>
        </w:rPr>
        <w:t>grammes sociaux, etc.) apparaissent-ils peu efficaces et difficiles à contrôler, mais ils trahissent en outre l'incapacité de lutter contre les disparités régionales. Ottawa entreprend sous l'égide du ministère du Travail, la mise en place de nouveaux programmes destinés à corriger la situation. Précisons que ces premières pièces de la politique de main-d'oeuvre fédérale seront conçues et introduites, non pas dans une perspective de rupture avec les principes keynésiens, mais plutôt dans l'optique de raffiner et de mieux adapter les mécanismes d'intervention économique aux aléas de l'économie canadienne. Il s'agira cons</w:t>
      </w:r>
      <w:r w:rsidRPr="00873110">
        <w:rPr>
          <w:color w:val="000000"/>
          <w:szCs w:val="22"/>
        </w:rPr>
        <w:t>é</w:t>
      </w:r>
      <w:r w:rsidRPr="00873110">
        <w:rPr>
          <w:color w:val="000000"/>
          <w:szCs w:val="22"/>
        </w:rPr>
        <w:t>quemment d'imaginer de nouveaux outils de stabilisation plus effic</w:t>
      </w:r>
      <w:r w:rsidRPr="00873110">
        <w:rPr>
          <w:color w:val="000000"/>
          <w:szCs w:val="22"/>
        </w:rPr>
        <w:t>a</w:t>
      </w:r>
      <w:r w:rsidRPr="00873110">
        <w:rPr>
          <w:color w:val="000000"/>
          <w:szCs w:val="22"/>
        </w:rPr>
        <w:t>ces face au chômage sur les plans national, régional, sectoriel et sa</w:t>
      </w:r>
      <w:r w:rsidRPr="00873110">
        <w:rPr>
          <w:color w:val="000000"/>
          <w:szCs w:val="22"/>
        </w:rPr>
        <w:t>i</w:t>
      </w:r>
      <w:r w:rsidRPr="00873110">
        <w:rPr>
          <w:color w:val="000000"/>
          <w:szCs w:val="22"/>
        </w:rPr>
        <w:t>sonnier.</w:t>
      </w:r>
    </w:p>
    <w:p w:rsidR="00AD690E" w:rsidRPr="00873110" w:rsidRDefault="00AD690E" w:rsidP="00AD690E">
      <w:pPr>
        <w:spacing w:before="120" w:after="120"/>
        <w:jc w:val="both"/>
      </w:pPr>
      <w:r w:rsidRPr="00873110">
        <w:rPr>
          <w:color w:val="000000"/>
          <w:szCs w:val="22"/>
        </w:rPr>
        <w:t>Peut-être, à ce stade, est-il utile de rappeler que les provinces de l'Ontario et du Québec s'étaient opposées au plan de gestion économ</w:t>
      </w:r>
      <w:r w:rsidRPr="00873110">
        <w:rPr>
          <w:color w:val="000000"/>
          <w:szCs w:val="22"/>
        </w:rPr>
        <w:t>i</w:t>
      </w:r>
      <w:r w:rsidRPr="00873110">
        <w:rPr>
          <w:color w:val="000000"/>
          <w:szCs w:val="22"/>
        </w:rPr>
        <w:t>que et sociale proposé par le gouvernement fédéral en 1945, forçant Ottawa à abandonner le principe d'une planification économique int</w:t>
      </w:r>
      <w:r w:rsidRPr="00873110">
        <w:rPr>
          <w:color w:val="000000"/>
          <w:szCs w:val="22"/>
        </w:rPr>
        <w:t>é</w:t>
      </w:r>
      <w:r w:rsidRPr="00873110">
        <w:rPr>
          <w:color w:val="000000"/>
          <w:szCs w:val="22"/>
        </w:rPr>
        <w:t>grée et concertée, entièrement consacrée à la réalisation du plein-emploi, pour lui préférer une approche plus circonscrite, orientée vers une gestion monétaire et fiscale centrée sur la croissance. De tous les instruments d'intervention et de contrôle dont disposait le gouvern</w:t>
      </w:r>
      <w:r w:rsidRPr="00873110">
        <w:rPr>
          <w:color w:val="000000"/>
          <w:szCs w:val="22"/>
        </w:rPr>
        <w:t>e</w:t>
      </w:r>
      <w:r w:rsidRPr="00873110">
        <w:rPr>
          <w:color w:val="000000"/>
          <w:szCs w:val="22"/>
        </w:rPr>
        <w:t>ment fédéral à l'époque, seule la politique monétaire et fiscale offrait la souplesse nécessaire au contrôle des fluctuations conjoncturelles. Elle présentait toutefois l'énorme inconvénient de n'intervenir qu'au niveau des grands agrégats économiques et d'être ainsi tout à fait in</w:t>
      </w:r>
      <w:r w:rsidRPr="00873110">
        <w:rPr>
          <w:color w:val="000000"/>
          <w:szCs w:val="22"/>
        </w:rPr>
        <w:t>a</w:t>
      </w:r>
      <w:r w:rsidRPr="00873110">
        <w:rPr>
          <w:color w:val="000000"/>
          <w:szCs w:val="22"/>
        </w:rPr>
        <w:t>daptée aux réalités régionales. Il fallait donc imaginer des mécanismes complémentaires plus sélectifs.</w:t>
      </w:r>
    </w:p>
    <w:p w:rsidR="00AD690E" w:rsidRPr="00873110" w:rsidRDefault="00AD690E" w:rsidP="00AD690E">
      <w:pPr>
        <w:spacing w:before="120" w:after="120"/>
        <w:jc w:val="both"/>
      </w:pPr>
      <w:r w:rsidRPr="00873110">
        <w:rPr>
          <w:color w:val="000000"/>
          <w:szCs w:val="22"/>
        </w:rPr>
        <w:t>Les premiers programmes de soutien direct à l'emploi furent ainsi introduits entre 1958 et 1963 et orientés vers la lutte au chômage d'h</w:t>
      </w:r>
      <w:r w:rsidRPr="00873110">
        <w:rPr>
          <w:color w:val="000000"/>
          <w:szCs w:val="22"/>
        </w:rPr>
        <w:t>i</w:t>
      </w:r>
      <w:r w:rsidRPr="00873110">
        <w:rPr>
          <w:color w:val="000000"/>
          <w:szCs w:val="22"/>
        </w:rPr>
        <w:t>ver dans les régions dites « désignées ». Le programme visant à a</w:t>
      </w:r>
      <w:r w:rsidRPr="00873110">
        <w:rPr>
          <w:color w:val="000000"/>
          <w:szCs w:val="22"/>
        </w:rPr>
        <w:t>c</w:t>
      </w:r>
      <w:r w:rsidRPr="00873110">
        <w:rPr>
          <w:color w:val="000000"/>
          <w:szCs w:val="22"/>
        </w:rPr>
        <w:t>croître l'emploi en hiver (1958) et le Programme d'encouragement de la construction de maisons en hiver</w:t>
      </w:r>
      <w:r>
        <w:rPr>
          <w:color w:val="000000"/>
          <w:szCs w:val="22"/>
        </w:rPr>
        <w:t xml:space="preserve"> </w:t>
      </w:r>
      <w:r>
        <w:t xml:space="preserve">[243] </w:t>
      </w:r>
      <w:r w:rsidRPr="00873110">
        <w:rPr>
          <w:color w:val="000000"/>
          <w:szCs w:val="22"/>
        </w:rPr>
        <w:t>(1963) donnèrent lieu aux premiers versements de subventions dire</w:t>
      </w:r>
      <w:r w:rsidRPr="00873110">
        <w:rPr>
          <w:color w:val="000000"/>
          <w:szCs w:val="22"/>
        </w:rPr>
        <w:t>c</w:t>
      </w:r>
      <w:r w:rsidRPr="00873110">
        <w:rPr>
          <w:color w:val="000000"/>
          <w:szCs w:val="22"/>
        </w:rPr>
        <w:t>tes aux municipalités. De plus, Ottawa s'engagea dans un programme visant à accélérer la mise en chantier de ses propres projets de con</w:t>
      </w:r>
      <w:r w:rsidRPr="00873110">
        <w:rPr>
          <w:color w:val="000000"/>
          <w:szCs w:val="22"/>
        </w:rPr>
        <w:t>s</w:t>
      </w:r>
      <w:r w:rsidRPr="00873110">
        <w:rPr>
          <w:color w:val="000000"/>
          <w:szCs w:val="22"/>
        </w:rPr>
        <w:t>truction.</w:t>
      </w:r>
    </w:p>
    <w:p w:rsidR="00AD690E" w:rsidRPr="00873110" w:rsidRDefault="00AD690E" w:rsidP="00AD690E">
      <w:pPr>
        <w:spacing w:before="120" w:after="120"/>
        <w:jc w:val="both"/>
      </w:pPr>
      <w:r w:rsidRPr="00873110">
        <w:rPr>
          <w:color w:val="000000"/>
          <w:szCs w:val="22"/>
        </w:rPr>
        <w:t>Plusieurs problèmes soulevés notamment par la Commission Go</w:t>
      </w:r>
      <w:r w:rsidRPr="00873110">
        <w:rPr>
          <w:color w:val="000000"/>
          <w:szCs w:val="22"/>
        </w:rPr>
        <w:t>r</w:t>
      </w:r>
      <w:r w:rsidRPr="00873110">
        <w:rPr>
          <w:color w:val="000000"/>
          <w:szCs w:val="22"/>
        </w:rPr>
        <w:t>don</w:t>
      </w:r>
      <w:r>
        <w:rPr>
          <w:rStyle w:val="Appelnotedebasdep"/>
        </w:rPr>
        <w:footnoteReference w:id="425"/>
      </w:r>
      <w:r w:rsidRPr="00873110">
        <w:rPr>
          <w:color w:val="000000"/>
          <w:szCs w:val="22"/>
        </w:rPr>
        <w:t>, relatifs à l'inégalité de la répartition des ressources entre les provinces, incitèrent en outre Ottawa à rechercher des moyens de fac</w:t>
      </w:r>
      <w:r w:rsidRPr="00873110">
        <w:rPr>
          <w:color w:val="000000"/>
          <w:szCs w:val="22"/>
        </w:rPr>
        <w:t>i</w:t>
      </w:r>
      <w:r w:rsidRPr="00873110">
        <w:rPr>
          <w:color w:val="000000"/>
          <w:szCs w:val="22"/>
        </w:rPr>
        <w:t>liter le déplacement des populations résidant dans les régions défav</w:t>
      </w:r>
      <w:r w:rsidRPr="00873110">
        <w:rPr>
          <w:color w:val="000000"/>
          <w:szCs w:val="22"/>
        </w:rPr>
        <w:t>o</w:t>
      </w:r>
      <w:r w:rsidRPr="00873110">
        <w:rPr>
          <w:color w:val="000000"/>
          <w:szCs w:val="22"/>
        </w:rPr>
        <w:t>risées vers les zones plus industrialisées. Le Service national de pl</w:t>
      </w:r>
      <w:r w:rsidRPr="00873110">
        <w:rPr>
          <w:color w:val="000000"/>
          <w:szCs w:val="22"/>
        </w:rPr>
        <w:t>a</w:t>
      </w:r>
      <w:r w:rsidRPr="00873110">
        <w:rPr>
          <w:color w:val="000000"/>
          <w:szCs w:val="22"/>
        </w:rPr>
        <w:t>cement élabora à cette fin un programme destiné à couvrir les frais de transport et de déménagement des travailleurs quittant les régions a</w:t>
      </w:r>
      <w:r w:rsidRPr="00873110">
        <w:rPr>
          <w:color w:val="000000"/>
          <w:szCs w:val="22"/>
        </w:rPr>
        <w:t>f</w:t>
      </w:r>
      <w:r w:rsidRPr="00873110">
        <w:rPr>
          <w:color w:val="000000"/>
          <w:szCs w:val="22"/>
        </w:rPr>
        <w:t>fectées par un chômage élevé.</w:t>
      </w:r>
    </w:p>
    <w:p w:rsidR="00AD690E" w:rsidRPr="00873110" w:rsidRDefault="00AD690E" w:rsidP="00AD690E">
      <w:pPr>
        <w:spacing w:before="120" w:after="120"/>
        <w:jc w:val="both"/>
      </w:pPr>
      <w:r w:rsidRPr="00873110">
        <w:rPr>
          <w:color w:val="000000"/>
          <w:szCs w:val="22"/>
        </w:rPr>
        <w:t>C'est toutefois le secteur de la formation qui reçut la plus grande attention. À la suite des travaux de la Commission spéciale du Sénat sur la main-d'</w:t>
      </w:r>
      <w:r>
        <w:rPr>
          <w:color w:val="000000"/>
          <w:szCs w:val="22"/>
        </w:rPr>
        <w:t xml:space="preserve">œuvre </w:t>
      </w:r>
      <w:r w:rsidRPr="00873110">
        <w:rPr>
          <w:color w:val="000000"/>
          <w:szCs w:val="22"/>
        </w:rPr>
        <w:t xml:space="preserve"> et l'emploi (1961)</w:t>
      </w:r>
      <w:r>
        <w:rPr>
          <w:color w:val="000000"/>
          <w:szCs w:val="22"/>
        </w:rPr>
        <w:t> </w:t>
      </w:r>
      <w:r w:rsidRPr="000A019C">
        <w:rPr>
          <w:rStyle w:val="Appelnotedebasdep"/>
        </w:rPr>
        <w:footnoteReference w:id="426"/>
      </w:r>
      <w:r w:rsidRPr="00873110">
        <w:rPr>
          <w:color w:val="000000"/>
          <w:szCs w:val="22"/>
        </w:rPr>
        <w:t>, le Cabinet avait en effet a</w:t>
      </w:r>
      <w:r w:rsidRPr="00873110">
        <w:rPr>
          <w:color w:val="000000"/>
          <w:szCs w:val="22"/>
        </w:rPr>
        <w:t>c</w:t>
      </w:r>
      <w:r w:rsidRPr="00873110">
        <w:rPr>
          <w:color w:val="000000"/>
          <w:szCs w:val="22"/>
        </w:rPr>
        <w:t>quis la conviction que l'inadaptation de la main-d'oeuvre canadienne aux besoins des secteurs économiques en croissance et aux chang</w:t>
      </w:r>
      <w:r w:rsidRPr="00873110">
        <w:rPr>
          <w:color w:val="000000"/>
          <w:szCs w:val="22"/>
        </w:rPr>
        <w:t>e</w:t>
      </w:r>
      <w:r w:rsidRPr="00873110">
        <w:rPr>
          <w:color w:val="000000"/>
          <w:szCs w:val="22"/>
        </w:rPr>
        <w:t>ments technologiques, était la principale responsable du chômage. Le gouvernement conservateur de John Diefenbaker rechercha dès lors un moyen de convaincre les provinces de réviser leur politique éduc</w:t>
      </w:r>
      <w:r w:rsidRPr="00873110">
        <w:rPr>
          <w:color w:val="000000"/>
          <w:szCs w:val="22"/>
        </w:rPr>
        <w:t>a</w:t>
      </w:r>
      <w:r w:rsidRPr="00873110">
        <w:rPr>
          <w:color w:val="000000"/>
          <w:szCs w:val="22"/>
        </w:rPr>
        <w:t>tionnelle afin d'y aménager un espace accru à la formation aux adu</w:t>
      </w:r>
      <w:r w:rsidRPr="00873110">
        <w:rPr>
          <w:color w:val="000000"/>
          <w:szCs w:val="22"/>
        </w:rPr>
        <w:t>l</w:t>
      </w:r>
      <w:r w:rsidRPr="00873110">
        <w:rPr>
          <w:color w:val="000000"/>
          <w:szCs w:val="22"/>
        </w:rPr>
        <w:t>tes, dans une perspective de recyclage et de redéploiement de la main-d'oeuvre. La Loi sur l'assistance à la formation technique énonça le principe du remboursement par le gouvernement fédéral aux provi</w:t>
      </w:r>
      <w:r w:rsidRPr="00873110">
        <w:rPr>
          <w:color w:val="000000"/>
          <w:szCs w:val="22"/>
        </w:rPr>
        <w:t>n</w:t>
      </w:r>
      <w:r w:rsidRPr="00873110">
        <w:rPr>
          <w:color w:val="000000"/>
          <w:szCs w:val="22"/>
        </w:rPr>
        <w:t>ces de 75</w:t>
      </w:r>
      <w:r>
        <w:rPr>
          <w:color w:val="000000"/>
          <w:szCs w:val="22"/>
        </w:rPr>
        <w:t>%</w:t>
      </w:r>
      <w:r w:rsidRPr="00873110">
        <w:rPr>
          <w:color w:val="000000"/>
          <w:szCs w:val="22"/>
        </w:rPr>
        <w:t xml:space="preserve"> de leurs dépenses d'immobilisation. Ce financement fut majoré pour les programmes destinés aux sans-emploi. Au cours de l'année financière 1962-1963, Ottawa versa 180 millions de dollars aux provinces en vertu de ces programmes</w:t>
      </w:r>
      <w:r>
        <w:rPr>
          <w:color w:val="000000"/>
          <w:szCs w:val="22"/>
        </w:rPr>
        <w:t> </w:t>
      </w:r>
      <w:r w:rsidRPr="000A019C">
        <w:rPr>
          <w:rStyle w:val="Appelnotedebasdep"/>
        </w:rPr>
        <w:footnoteReference w:id="427"/>
      </w:r>
      <w:r w:rsidRPr="00873110">
        <w:rPr>
          <w:color w:val="000000"/>
          <w:szCs w:val="22"/>
        </w:rPr>
        <w:t>. La formule retenue, tout en définissant un cadre de financement spécifique</w:t>
      </w:r>
      <w:r>
        <w:rPr>
          <w:color w:val="000000"/>
          <w:szCs w:val="22"/>
        </w:rPr>
        <w:t> </w:t>
      </w:r>
      <w:r w:rsidRPr="000A019C">
        <w:rPr>
          <w:rStyle w:val="Appelnotedebasdep"/>
        </w:rPr>
        <w:footnoteReference w:id="428"/>
      </w:r>
      <w:r w:rsidRPr="00873110">
        <w:rPr>
          <w:color w:val="000000"/>
          <w:szCs w:val="22"/>
        </w:rPr>
        <w:t>, laissait par ai</w:t>
      </w:r>
      <w:r w:rsidRPr="00873110">
        <w:rPr>
          <w:color w:val="000000"/>
          <w:szCs w:val="22"/>
        </w:rPr>
        <w:t>l</w:t>
      </w:r>
      <w:r w:rsidRPr="00873110">
        <w:rPr>
          <w:color w:val="000000"/>
          <w:szCs w:val="22"/>
        </w:rPr>
        <w:t>leurs une grande latitude aux administrations provinciales dans la gestion des programmes et de la définition des contenus. Les dix pr</w:t>
      </w:r>
      <w:r w:rsidRPr="00873110">
        <w:rPr>
          <w:color w:val="000000"/>
          <w:szCs w:val="22"/>
        </w:rPr>
        <w:t>o</w:t>
      </w:r>
      <w:r w:rsidRPr="00873110">
        <w:rPr>
          <w:color w:val="000000"/>
          <w:szCs w:val="22"/>
        </w:rPr>
        <w:t>vi</w:t>
      </w:r>
      <w:r w:rsidRPr="00873110">
        <w:rPr>
          <w:color w:val="000000"/>
          <w:szCs w:val="22"/>
        </w:rPr>
        <w:t>n</w:t>
      </w:r>
      <w:r w:rsidRPr="00873110">
        <w:rPr>
          <w:color w:val="000000"/>
          <w:szCs w:val="22"/>
        </w:rPr>
        <w:t>ces acceptèrent d'ailleurs de signer les accords.</w:t>
      </w:r>
    </w:p>
    <w:p w:rsidR="00AD690E" w:rsidRPr="00AF721C" w:rsidRDefault="00AD690E" w:rsidP="00AD690E">
      <w:pPr>
        <w:spacing w:before="120" w:after="120"/>
        <w:jc w:val="both"/>
        <w:rPr>
          <w:color w:val="000000"/>
          <w:szCs w:val="22"/>
        </w:rPr>
      </w:pPr>
      <w:r w:rsidRPr="00873110">
        <w:rPr>
          <w:color w:val="000000"/>
          <w:szCs w:val="22"/>
        </w:rPr>
        <w:t>Par contre, les efforts en vue d'encadrer l'apprentissage professio</w:t>
      </w:r>
      <w:r w:rsidRPr="00873110">
        <w:rPr>
          <w:color w:val="000000"/>
          <w:szCs w:val="22"/>
        </w:rPr>
        <w:t>n</w:t>
      </w:r>
      <w:r w:rsidRPr="00873110">
        <w:rPr>
          <w:color w:val="000000"/>
          <w:szCs w:val="22"/>
        </w:rPr>
        <w:t>nel, plus contraignant sur le plan administratif, furent considérés par le gouvernement québécois comme une menace à l'autonomie dans le champ de l'éducation. Pour cette raison, Québec en refusa l'application sur son territoire, mais obtint</w:t>
      </w:r>
      <w:r>
        <w:rPr>
          <w:color w:val="000000"/>
          <w:szCs w:val="22"/>
        </w:rPr>
        <w:t xml:space="preserve"> </w:t>
      </w:r>
      <w:r>
        <w:t>[</w:t>
      </w:r>
      <w:r w:rsidRPr="00873110">
        <w:rPr>
          <w:rFonts w:cs="Arial"/>
          <w:color w:val="000000"/>
          <w:szCs w:val="18"/>
        </w:rPr>
        <w:t>244</w:t>
      </w:r>
      <w:r>
        <w:rPr>
          <w:rFonts w:cs="Arial"/>
          <w:color w:val="000000"/>
          <w:szCs w:val="18"/>
        </w:rPr>
        <w:t xml:space="preserve">] </w:t>
      </w:r>
      <w:r w:rsidRPr="00873110">
        <w:rPr>
          <w:color w:val="000000"/>
          <w:szCs w:val="22"/>
        </w:rPr>
        <w:t>néanmoins le financement corre</w:t>
      </w:r>
      <w:r w:rsidRPr="00873110">
        <w:rPr>
          <w:color w:val="000000"/>
          <w:szCs w:val="22"/>
        </w:rPr>
        <w:t>s</w:t>
      </w:r>
      <w:r w:rsidRPr="00873110">
        <w:rPr>
          <w:color w:val="000000"/>
          <w:szCs w:val="22"/>
        </w:rPr>
        <w:t>pondant. Rappelons à cet égard que l'approche privilégiée par le go</w:t>
      </w:r>
      <w:r w:rsidRPr="00873110">
        <w:rPr>
          <w:color w:val="000000"/>
          <w:szCs w:val="22"/>
        </w:rPr>
        <w:t>u</w:t>
      </w:r>
      <w:r w:rsidRPr="00873110">
        <w:rPr>
          <w:color w:val="000000"/>
          <w:szCs w:val="22"/>
        </w:rPr>
        <w:t>vernement conservateur dans le d</w:t>
      </w:r>
      <w:r w:rsidRPr="00873110">
        <w:rPr>
          <w:color w:val="000000"/>
          <w:szCs w:val="22"/>
        </w:rPr>
        <w:t>o</w:t>
      </w:r>
      <w:r w:rsidRPr="00873110">
        <w:rPr>
          <w:color w:val="000000"/>
          <w:szCs w:val="22"/>
        </w:rPr>
        <w:t>maine des relations fédérales-provinciales se voulait être fondée sur la coopération et la concertation avec les législatures provinciales et avec les intervenants du m</w:t>
      </w:r>
      <w:r w:rsidRPr="00873110">
        <w:rPr>
          <w:color w:val="000000"/>
          <w:szCs w:val="22"/>
        </w:rPr>
        <w:t>i</w:t>
      </w:r>
      <w:r w:rsidRPr="00873110">
        <w:rPr>
          <w:color w:val="000000"/>
          <w:szCs w:val="22"/>
        </w:rPr>
        <w:t>lieu</w:t>
      </w:r>
      <w:r>
        <w:rPr>
          <w:color w:val="000000"/>
          <w:szCs w:val="22"/>
        </w:rPr>
        <w:t> </w:t>
      </w:r>
      <w:r w:rsidRPr="000A019C">
        <w:rPr>
          <w:rStyle w:val="Appelnotedebasdep"/>
        </w:rPr>
        <w:footnoteReference w:id="429"/>
      </w:r>
      <w:r w:rsidRPr="00873110">
        <w:rPr>
          <w:color w:val="000000"/>
          <w:szCs w:val="22"/>
        </w:rPr>
        <w:t>. On peut ainsi mieux comprendre pourquoi Ottawa s'est eng</w:t>
      </w:r>
      <w:r w:rsidRPr="00873110">
        <w:rPr>
          <w:color w:val="000000"/>
          <w:szCs w:val="22"/>
        </w:rPr>
        <w:t>a</w:t>
      </w:r>
      <w:r w:rsidRPr="00873110">
        <w:rPr>
          <w:color w:val="000000"/>
          <w:szCs w:val="22"/>
        </w:rPr>
        <w:t>gé avec retenue et circonspection dans le dossier de la main-d'oeuvre et a tardé à reformuler sa politique économique et sa structure adm</w:t>
      </w:r>
      <w:r w:rsidRPr="00873110">
        <w:rPr>
          <w:color w:val="000000"/>
          <w:szCs w:val="22"/>
        </w:rPr>
        <w:t>i</w:t>
      </w:r>
      <w:r w:rsidRPr="00873110">
        <w:rPr>
          <w:color w:val="000000"/>
          <w:szCs w:val="22"/>
        </w:rPr>
        <w:t>nistrative en vue de se donner un meilleur accès au contrôle de l'e</w:t>
      </w:r>
      <w:r w:rsidRPr="00873110">
        <w:rPr>
          <w:color w:val="000000"/>
          <w:szCs w:val="22"/>
        </w:rPr>
        <w:t>m</w:t>
      </w:r>
      <w:r w:rsidRPr="00873110">
        <w:rPr>
          <w:color w:val="000000"/>
          <w:szCs w:val="22"/>
        </w:rPr>
        <w:t>ploi.</w:t>
      </w:r>
    </w:p>
    <w:p w:rsidR="00AD690E" w:rsidRPr="00873110" w:rsidRDefault="00AD690E" w:rsidP="00AD690E">
      <w:pPr>
        <w:spacing w:before="120" w:after="120"/>
        <w:jc w:val="both"/>
      </w:pPr>
      <w:r w:rsidRPr="00873110">
        <w:rPr>
          <w:color w:val="000000"/>
          <w:szCs w:val="22"/>
        </w:rPr>
        <w:t>Dans ce sens, il n'y a pas de liens de causalité entre le dossier de la main-d'</w:t>
      </w:r>
      <w:r>
        <w:rPr>
          <w:color w:val="000000"/>
          <w:szCs w:val="22"/>
        </w:rPr>
        <w:t>œuvre</w:t>
      </w:r>
      <w:r w:rsidRPr="00873110">
        <w:rPr>
          <w:color w:val="000000"/>
          <w:szCs w:val="22"/>
        </w:rPr>
        <w:t xml:space="preserve"> et l'élection des libéraux en 1963. Les réformes étaient déjà en gestation.</w:t>
      </w:r>
    </w:p>
    <w:p w:rsidR="00AD690E" w:rsidRDefault="00AD690E" w:rsidP="00AD690E">
      <w:pPr>
        <w:spacing w:before="120" w:after="120"/>
        <w:jc w:val="both"/>
        <w:rPr>
          <w:color w:val="000000"/>
          <w:szCs w:val="22"/>
        </w:rPr>
      </w:pPr>
    </w:p>
    <w:p w:rsidR="00AD690E" w:rsidRPr="00873110" w:rsidRDefault="00AD690E" w:rsidP="00AD690E">
      <w:pPr>
        <w:pStyle w:val="planche"/>
      </w:pPr>
      <w:r w:rsidRPr="00873110">
        <w:t>LA MISE EN PLACE DE LA POLITIQUE</w:t>
      </w:r>
      <w:r>
        <w:br/>
      </w:r>
      <w:r w:rsidRPr="00873110">
        <w:t>F</w:t>
      </w:r>
      <w:r>
        <w:t>É</w:t>
      </w:r>
      <w:r w:rsidRPr="00873110">
        <w:t>D</w:t>
      </w:r>
      <w:r>
        <w:t>É</w:t>
      </w:r>
      <w:r w:rsidRPr="00873110">
        <w:t>RALE DE MAIN-D'</w:t>
      </w:r>
      <w:r>
        <w:t>ŒUVRE</w:t>
      </w:r>
      <w:r w:rsidRPr="00873110">
        <w:t>,</w:t>
      </w:r>
      <w:r>
        <w:br/>
      </w:r>
      <w:r w:rsidRPr="00873110">
        <w:t>1963-1976</w:t>
      </w:r>
    </w:p>
    <w:p w:rsidR="00AD690E" w:rsidRDefault="00AD690E" w:rsidP="00AD690E">
      <w:pPr>
        <w:spacing w:before="120" w:after="120"/>
        <w:jc w:val="both"/>
        <w:rPr>
          <w:color w:val="000000"/>
          <w:szCs w:val="22"/>
        </w:rPr>
      </w:pPr>
    </w:p>
    <w:p w:rsidR="00AD690E" w:rsidRPr="00873110" w:rsidRDefault="00AD690E" w:rsidP="00AD690E">
      <w:pPr>
        <w:spacing w:before="120" w:after="120"/>
        <w:jc w:val="both"/>
      </w:pPr>
      <w:r w:rsidRPr="00873110">
        <w:rPr>
          <w:color w:val="000000"/>
          <w:szCs w:val="22"/>
        </w:rPr>
        <w:t>D'entrée de jeu, le nouveau gouvernement dut trancher un débat administratif qui l'amena à annoncer ses couleurs. En effet, depuis 1961 s'interrogeait-on sur la pertinence de rattacher l'administration du chômage à celle de la main-d'oeuvre. D'un côté, le Comité des f</w:t>
      </w:r>
      <w:r w:rsidRPr="00873110">
        <w:rPr>
          <w:color w:val="000000"/>
          <w:szCs w:val="22"/>
        </w:rPr>
        <w:t>i</w:t>
      </w:r>
      <w:r w:rsidRPr="00873110">
        <w:rPr>
          <w:color w:val="000000"/>
          <w:szCs w:val="22"/>
        </w:rPr>
        <w:t>nances du Sénat recommandait d'intégrer les deux secteurs et d'en confier l'administration au ministère du Travail</w:t>
      </w:r>
      <w:r>
        <w:rPr>
          <w:color w:val="000000"/>
          <w:szCs w:val="22"/>
        </w:rPr>
        <w:t> </w:t>
      </w:r>
      <w:r w:rsidRPr="000A019C">
        <w:rPr>
          <w:rStyle w:val="Appelnotedebasdep"/>
        </w:rPr>
        <w:footnoteReference w:id="430"/>
      </w:r>
      <w:r w:rsidRPr="00873110">
        <w:rPr>
          <w:color w:val="000000"/>
          <w:szCs w:val="22"/>
        </w:rPr>
        <w:t>. D'un autre côté, le Conseil économique du Canada préconisait une gestion séparée des deux programmes et la mise sur pied d'une Commission indépendante de l'assurance-chômage</w:t>
      </w:r>
      <w:r>
        <w:rPr>
          <w:color w:val="000000"/>
          <w:szCs w:val="22"/>
        </w:rPr>
        <w:t xml:space="preserve"> </w:t>
      </w:r>
      <w:r>
        <w:rPr>
          <w:rStyle w:val="Appelnotedebasdep"/>
        </w:rPr>
        <w:footnoteReference w:id="431"/>
      </w:r>
      <w:r w:rsidRPr="00873110">
        <w:rPr>
          <w:color w:val="000000"/>
          <w:szCs w:val="22"/>
        </w:rPr>
        <w:t>. Le Cabinet pencha en faveur de cette s</w:t>
      </w:r>
      <w:r w:rsidRPr="00873110">
        <w:rPr>
          <w:color w:val="000000"/>
          <w:szCs w:val="22"/>
        </w:rPr>
        <w:t>e</w:t>
      </w:r>
      <w:r w:rsidRPr="00873110">
        <w:rPr>
          <w:color w:val="000000"/>
          <w:szCs w:val="22"/>
        </w:rPr>
        <w:t>conde option, mais profita également de la réforme pour retirer l'a</w:t>
      </w:r>
      <w:r w:rsidRPr="00873110">
        <w:rPr>
          <w:color w:val="000000"/>
          <w:szCs w:val="22"/>
        </w:rPr>
        <w:t>d</w:t>
      </w:r>
      <w:r w:rsidRPr="00873110">
        <w:rPr>
          <w:color w:val="000000"/>
          <w:szCs w:val="22"/>
        </w:rPr>
        <w:t>ministration des programmes de main-d'œuvre au ministère du Travail en vue de la confier à un nouveau ministère de l</w:t>
      </w:r>
      <w:r>
        <w:rPr>
          <w:color w:val="000000"/>
          <w:szCs w:val="22"/>
        </w:rPr>
        <w:t>’</w:t>
      </w:r>
      <w:r w:rsidRPr="00873110">
        <w:rPr>
          <w:color w:val="000000"/>
          <w:szCs w:val="22"/>
        </w:rPr>
        <w:t>Emploi et de l'Imm</w:t>
      </w:r>
      <w:r w:rsidRPr="00873110">
        <w:rPr>
          <w:color w:val="000000"/>
          <w:szCs w:val="22"/>
        </w:rPr>
        <w:t>i</w:t>
      </w:r>
      <w:r w:rsidRPr="00873110">
        <w:rPr>
          <w:color w:val="000000"/>
          <w:szCs w:val="22"/>
        </w:rPr>
        <w:t>gration, où furent regroupés la Direction de l'immigration ainsi que le Service national de placement, la Direction de la formation technique et professionnelle et la Direction de l'économie, du ministère du Tr</w:t>
      </w:r>
      <w:r w:rsidRPr="00873110">
        <w:rPr>
          <w:color w:val="000000"/>
          <w:szCs w:val="22"/>
        </w:rPr>
        <w:t>a</w:t>
      </w:r>
      <w:r w:rsidRPr="00873110">
        <w:rPr>
          <w:color w:val="000000"/>
          <w:szCs w:val="22"/>
        </w:rPr>
        <w:t>vail. Ottawa misa donc sur l'immigration, un champ de compétence exclusif, pour établir la crédibilité de son intervention sur la main-d'</w:t>
      </w:r>
      <w:r>
        <w:rPr>
          <w:color w:val="000000"/>
          <w:szCs w:val="22"/>
        </w:rPr>
        <w:t>œuvre</w:t>
      </w:r>
      <w:r w:rsidRPr="00873110">
        <w:rPr>
          <w:color w:val="000000"/>
          <w:szCs w:val="22"/>
        </w:rPr>
        <w:t>. Le nouveau ministère se vit confier la mission explicite de coordonner au plan national les informations sur le marché du travail et d'assurer un développement harmonieux de la croissance économ</w:t>
      </w:r>
      <w:r w:rsidRPr="00873110">
        <w:rPr>
          <w:color w:val="000000"/>
          <w:szCs w:val="22"/>
        </w:rPr>
        <w:t>i</w:t>
      </w:r>
      <w:r w:rsidRPr="00873110">
        <w:rPr>
          <w:color w:val="000000"/>
          <w:szCs w:val="22"/>
        </w:rPr>
        <w:t xml:space="preserve">que et du développement social pour l'ensemble du </w:t>
      </w:r>
      <w:r>
        <w:rPr>
          <w:color w:val="000000"/>
          <w:szCs w:val="22"/>
        </w:rPr>
        <w:t>Canada </w:t>
      </w:r>
      <w:r w:rsidRPr="000A019C">
        <w:rPr>
          <w:rStyle w:val="Appelnotedebasdep"/>
        </w:rPr>
        <w:footnoteReference w:id="432"/>
      </w:r>
      <w:r w:rsidRPr="00873110">
        <w:rPr>
          <w:color w:val="000000"/>
          <w:szCs w:val="22"/>
        </w:rPr>
        <w:t>.</w:t>
      </w:r>
    </w:p>
    <w:p w:rsidR="00AD690E" w:rsidRPr="00873110" w:rsidRDefault="00AD690E" w:rsidP="00AD690E">
      <w:pPr>
        <w:spacing w:before="120" w:after="120"/>
        <w:jc w:val="both"/>
      </w:pPr>
      <w:r w:rsidRPr="00873110">
        <w:rPr>
          <w:color w:val="000000"/>
          <w:szCs w:val="22"/>
        </w:rPr>
        <w:t>Les premières interventions concrètes du MEIC illustrent bien n</w:t>
      </w:r>
      <w:r w:rsidRPr="00873110">
        <w:rPr>
          <w:color w:val="000000"/>
          <w:szCs w:val="22"/>
        </w:rPr>
        <w:t>o</w:t>
      </w:r>
      <w:r w:rsidRPr="00873110">
        <w:rPr>
          <w:color w:val="000000"/>
          <w:szCs w:val="22"/>
        </w:rPr>
        <w:t>tre propos. L'adoption, en 1965, du Programme national de mobilité de la main-d'</w:t>
      </w:r>
      <w:r>
        <w:rPr>
          <w:color w:val="000000"/>
          <w:szCs w:val="22"/>
        </w:rPr>
        <w:t>œuvre </w:t>
      </w:r>
      <w:r>
        <w:rPr>
          <w:rStyle w:val="Appelnotedebasdep"/>
        </w:rPr>
        <w:footnoteReference w:id="433"/>
      </w:r>
      <w:r>
        <w:rPr>
          <w:color w:val="000000"/>
          <w:szCs w:val="18"/>
        </w:rPr>
        <w:t xml:space="preserve"> [245]</w:t>
      </w:r>
      <w:r w:rsidRPr="00873110">
        <w:rPr>
          <w:color w:val="000000"/>
          <w:szCs w:val="22"/>
        </w:rPr>
        <w:t xml:space="preserve"> démontre un intérêt pour le décloiso</w:t>
      </w:r>
      <w:r w:rsidRPr="00873110">
        <w:rPr>
          <w:color w:val="000000"/>
          <w:szCs w:val="22"/>
        </w:rPr>
        <w:t>n</w:t>
      </w:r>
      <w:r w:rsidRPr="00873110">
        <w:rPr>
          <w:color w:val="000000"/>
          <w:szCs w:val="22"/>
        </w:rPr>
        <w:t>nement des flux démographiques interprovinciaux et un encourag</w:t>
      </w:r>
      <w:r w:rsidRPr="00873110">
        <w:rPr>
          <w:color w:val="000000"/>
          <w:szCs w:val="22"/>
        </w:rPr>
        <w:t>e</w:t>
      </w:r>
      <w:r w:rsidRPr="00873110">
        <w:rPr>
          <w:color w:val="000000"/>
          <w:szCs w:val="22"/>
        </w:rPr>
        <w:t>ment direct à l'imm</w:t>
      </w:r>
      <w:r w:rsidRPr="00873110">
        <w:rPr>
          <w:color w:val="000000"/>
          <w:szCs w:val="22"/>
        </w:rPr>
        <w:t>i</w:t>
      </w:r>
      <w:r w:rsidRPr="00873110">
        <w:rPr>
          <w:color w:val="000000"/>
          <w:szCs w:val="22"/>
        </w:rPr>
        <w:t>gration intérieure. Implicitement, l'administration fédérale se dirigeait déjà, à cette époque, vers une politique des re</w:t>
      </w:r>
      <w:r w:rsidRPr="00873110">
        <w:rPr>
          <w:color w:val="000000"/>
          <w:szCs w:val="22"/>
        </w:rPr>
        <w:t>s</w:t>
      </w:r>
      <w:r w:rsidRPr="00873110">
        <w:rPr>
          <w:color w:val="000000"/>
          <w:szCs w:val="22"/>
        </w:rPr>
        <w:t>sources humaines orie</w:t>
      </w:r>
      <w:r w:rsidRPr="00873110">
        <w:rPr>
          <w:color w:val="000000"/>
          <w:szCs w:val="22"/>
        </w:rPr>
        <w:t>n</w:t>
      </w:r>
      <w:r w:rsidRPr="00873110">
        <w:rPr>
          <w:color w:val="000000"/>
          <w:szCs w:val="22"/>
        </w:rPr>
        <w:t>tée vers la promotion des pôles économiques forts du pays.</w:t>
      </w:r>
    </w:p>
    <w:p w:rsidR="00AD690E" w:rsidRPr="00873110" w:rsidRDefault="00AD690E" w:rsidP="00AD690E">
      <w:pPr>
        <w:spacing w:before="120" w:after="120"/>
        <w:jc w:val="both"/>
      </w:pPr>
      <w:r w:rsidRPr="00873110">
        <w:rPr>
          <w:color w:val="000000"/>
          <w:szCs w:val="22"/>
        </w:rPr>
        <w:t>Des préoccupations similaires présidèrent en 1967 à l'adoption d'une nouvelle loi sur la formation professionnelle des adultes. Préc</w:t>
      </w:r>
      <w:r w:rsidRPr="00873110">
        <w:rPr>
          <w:color w:val="000000"/>
          <w:szCs w:val="22"/>
        </w:rPr>
        <w:t>i</w:t>
      </w:r>
      <w:r w:rsidRPr="00873110">
        <w:rPr>
          <w:color w:val="000000"/>
          <w:szCs w:val="22"/>
        </w:rPr>
        <w:t>sons en premier lieu que le simple fait de démarquer le champ de la formation professionnelle de celui de l'éducation a eu pour les provi</w:t>
      </w:r>
      <w:r w:rsidRPr="00873110">
        <w:rPr>
          <w:color w:val="000000"/>
          <w:szCs w:val="22"/>
        </w:rPr>
        <w:t>n</w:t>
      </w:r>
      <w:r w:rsidRPr="00873110">
        <w:rPr>
          <w:color w:val="000000"/>
          <w:szCs w:val="22"/>
        </w:rPr>
        <w:t>ces de nombreuses conséquences sur lesquelles nous reviendrons plus loin. Par ailleurs, comme le font remarquer Diane Bellemare et Lise Simon-Poulin</w:t>
      </w:r>
      <w:r>
        <w:rPr>
          <w:color w:val="000000"/>
          <w:szCs w:val="22"/>
        </w:rPr>
        <w:t> </w:t>
      </w:r>
      <w:r w:rsidRPr="000A019C">
        <w:rPr>
          <w:rStyle w:val="Appelnotedebasdep"/>
        </w:rPr>
        <w:footnoteReference w:id="434"/>
      </w:r>
      <w:r w:rsidRPr="00873110">
        <w:rPr>
          <w:color w:val="000000"/>
          <w:szCs w:val="22"/>
        </w:rPr>
        <w:t>, la loi de 1967 marqua une rupture importante dans le mode de financement des institutions responsables de la formation professionnelle. Sous l'égide des accords de 1960, ce financement était assuré sur la base d'un programme à frais partagé. Après 1967, Ottawa défraiera seul les coûts de la formation technique et profe</w:t>
      </w:r>
      <w:r w:rsidRPr="00873110">
        <w:rPr>
          <w:color w:val="000000"/>
          <w:szCs w:val="22"/>
        </w:rPr>
        <w:t>s</w:t>
      </w:r>
      <w:r w:rsidRPr="00873110">
        <w:rPr>
          <w:color w:val="000000"/>
          <w:szCs w:val="22"/>
        </w:rPr>
        <w:t>sionnelle, en achetant des services aux provinces à la condition que ces dernières se dotent de structures administratives spécifiques. Bien que les provinces préserveront formellement leur pouvoir de poursu</w:t>
      </w:r>
      <w:r w:rsidRPr="00873110">
        <w:rPr>
          <w:color w:val="000000"/>
          <w:szCs w:val="22"/>
        </w:rPr>
        <w:t>i</w:t>
      </w:r>
      <w:r w:rsidRPr="00873110">
        <w:rPr>
          <w:color w:val="000000"/>
          <w:szCs w:val="22"/>
        </w:rPr>
        <w:t>vre en parallèle leurs propres politiques, la dynamique introduite par ces nouvelles règles attribuera dans les faits une place prépondérante au gouvernement fédéral dans le financement</w:t>
      </w:r>
      <w:r>
        <w:rPr>
          <w:color w:val="000000"/>
          <w:szCs w:val="22"/>
        </w:rPr>
        <w:t> </w:t>
      </w:r>
      <w:r w:rsidRPr="000A019C">
        <w:rPr>
          <w:rStyle w:val="Appelnotedebasdep"/>
        </w:rPr>
        <w:footnoteReference w:id="435"/>
      </w:r>
      <w:r w:rsidRPr="00873110">
        <w:rPr>
          <w:color w:val="000000"/>
          <w:szCs w:val="22"/>
        </w:rPr>
        <w:t>.</w:t>
      </w:r>
    </w:p>
    <w:p w:rsidR="00AD690E" w:rsidRPr="00873110" w:rsidRDefault="00AD690E" w:rsidP="00AD690E">
      <w:pPr>
        <w:spacing w:before="120" w:after="120"/>
        <w:jc w:val="both"/>
      </w:pPr>
      <w:r w:rsidRPr="00873110">
        <w:rPr>
          <w:color w:val="000000"/>
          <w:szCs w:val="22"/>
        </w:rPr>
        <w:t>Signalons en outre que la nature du financement consenti par le gouvernement central changea en 1967. Les accords de 1960 conce</w:t>
      </w:r>
      <w:r w:rsidRPr="00873110">
        <w:rPr>
          <w:color w:val="000000"/>
          <w:szCs w:val="22"/>
        </w:rPr>
        <w:t>r</w:t>
      </w:r>
      <w:r w:rsidRPr="00873110">
        <w:rPr>
          <w:color w:val="000000"/>
          <w:szCs w:val="22"/>
        </w:rPr>
        <w:t>naient le financement des dépenses d'immobilisation, ceux qui suiv</w:t>
      </w:r>
      <w:r w:rsidRPr="00873110">
        <w:rPr>
          <w:color w:val="000000"/>
          <w:szCs w:val="22"/>
        </w:rPr>
        <w:t>i</w:t>
      </w:r>
      <w:r w:rsidRPr="00873110">
        <w:rPr>
          <w:color w:val="000000"/>
          <w:szCs w:val="22"/>
        </w:rPr>
        <w:t>rent l'adoption de la nouvelle loi fuient orientés vers le financement des activités et des programmes dispensés dans les établissements provinciaux. À cet égard, Ottawa définit ses propres priorités pr</w:t>
      </w:r>
      <w:r w:rsidRPr="00873110">
        <w:rPr>
          <w:color w:val="000000"/>
          <w:szCs w:val="22"/>
        </w:rPr>
        <w:t>o</w:t>
      </w:r>
      <w:r w:rsidRPr="00873110">
        <w:rPr>
          <w:color w:val="000000"/>
          <w:szCs w:val="22"/>
        </w:rPr>
        <w:t>grammatiques, avec un contenu tourné vers la formation spécialisée, la formation en entreprise et l'identification de régions prioritaires.</w:t>
      </w:r>
    </w:p>
    <w:p w:rsidR="00AD690E" w:rsidRPr="00873110" w:rsidRDefault="00AD690E" w:rsidP="00AD690E">
      <w:pPr>
        <w:spacing w:before="120" w:after="120"/>
        <w:jc w:val="both"/>
      </w:pPr>
      <w:r w:rsidRPr="00873110">
        <w:rPr>
          <w:color w:val="000000"/>
          <w:szCs w:val="22"/>
        </w:rPr>
        <w:t>Quelques années plus tard, le dossier de la création directe d'e</w:t>
      </w:r>
      <w:r w:rsidRPr="00873110">
        <w:rPr>
          <w:color w:val="000000"/>
          <w:szCs w:val="22"/>
        </w:rPr>
        <w:t>m</w:t>
      </w:r>
      <w:r w:rsidRPr="00873110">
        <w:rPr>
          <w:color w:val="000000"/>
          <w:szCs w:val="22"/>
        </w:rPr>
        <w:t>ploi, qui n'avait joué qu'un rôle très secondaire avant 1963, subira à son tour une révision de ses mandats. En 1972, le MEIC se dotera d'une direction des programmes spéciaux et créera, à cette occasion, deux nouvelles mesures d'emploi, soit le Programme d'aide à la cré</w:t>
      </w:r>
      <w:r w:rsidRPr="00873110">
        <w:rPr>
          <w:color w:val="000000"/>
          <w:szCs w:val="22"/>
        </w:rPr>
        <w:t>a</w:t>
      </w:r>
      <w:r w:rsidRPr="00873110">
        <w:rPr>
          <w:color w:val="000000"/>
          <w:szCs w:val="22"/>
        </w:rPr>
        <w:t>tion locale d'emploi (PACLE) et le Programme d'extension de main-d'</w:t>
      </w:r>
      <w:r>
        <w:rPr>
          <w:color w:val="000000"/>
          <w:szCs w:val="22"/>
        </w:rPr>
        <w:t>œuvre</w:t>
      </w:r>
      <w:r w:rsidRPr="00873110">
        <w:rPr>
          <w:color w:val="000000"/>
          <w:szCs w:val="22"/>
        </w:rPr>
        <w:t>, qui viendront s'ajouter au Programme projets d'initiatives locales (PIL) mis en place l'année précédente. Cette nouvelle direction obtiendra en 1973 la responsabilité du Programme perspective jeune</w:t>
      </w:r>
      <w:r w:rsidRPr="00873110">
        <w:rPr>
          <w:color w:val="000000"/>
          <w:szCs w:val="22"/>
        </w:rPr>
        <w:t>s</w:t>
      </w:r>
      <w:r w:rsidRPr="00873110">
        <w:rPr>
          <w:color w:val="000000"/>
          <w:szCs w:val="22"/>
        </w:rPr>
        <w:t>se créé par le Secrétariat d'État quelques mois plus tôt.</w:t>
      </w:r>
    </w:p>
    <w:p w:rsidR="00AD690E" w:rsidRPr="00873110" w:rsidRDefault="00AD690E" w:rsidP="00AD690E">
      <w:pPr>
        <w:spacing w:before="120" w:after="120"/>
        <w:jc w:val="both"/>
      </w:pPr>
      <w:r w:rsidRPr="00873110">
        <w:rPr>
          <w:color w:val="000000"/>
          <w:szCs w:val="22"/>
        </w:rPr>
        <w:t>Entre 1965 et 1976, on assista donc à la formulation d'un cadre p</w:t>
      </w:r>
      <w:r w:rsidRPr="00873110">
        <w:rPr>
          <w:color w:val="000000"/>
          <w:szCs w:val="22"/>
        </w:rPr>
        <w:t>o</w:t>
      </w:r>
      <w:r w:rsidRPr="00873110">
        <w:rPr>
          <w:color w:val="000000"/>
          <w:szCs w:val="22"/>
        </w:rPr>
        <w:t>litique et à la mise en place d'une structure administrative qui allou</w:t>
      </w:r>
      <w:r w:rsidRPr="00873110">
        <w:rPr>
          <w:color w:val="000000"/>
          <w:szCs w:val="22"/>
        </w:rPr>
        <w:t>è</w:t>
      </w:r>
      <w:r w:rsidRPr="00873110">
        <w:rPr>
          <w:color w:val="000000"/>
          <w:szCs w:val="22"/>
        </w:rPr>
        <w:t>rent au</w:t>
      </w:r>
      <w:r>
        <w:rPr>
          <w:color w:val="000000"/>
          <w:szCs w:val="22"/>
        </w:rPr>
        <w:t xml:space="preserve"> </w:t>
      </w:r>
      <w:r>
        <w:t>[</w:t>
      </w:r>
      <w:r w:rsidRPr="00873110">
        <w:rPr>
          <w:color w:val="000000"/>
          <w:szCs w:val="18"/>
        </w:rPr>
        <w:t>246</w:t>
      </w:r>
      <w:r>
        <w:rPr>
          <w:color w:val="000000"/>
          <w:szCs w:val="18"/>
        </w:rPr>
        <w:t xml:space="preserve">] </w:t>
      </w:r>
      <w:r w:rsidRPr="00873110">
        <w:rPr>
          <w:color w:val="000000"/>
          <w:szCs w:val="22"/>
        </w:rPr>
        <w:t>gouvernement fédéral non seulement une plus grande visibilité, mais également un rôle plus central dans l'encadrement de la main-d'oeuvre canadienne. Dans ce sens, les gestes posés pendant ce</w:t>
      </w:r>
      <w:r w:rsidRPr="00873110">
        <w:rPr>
          <w:color w:val="000000"/>
          <w:szCs w:val="22"/>
        </w:rPr>
        <w:t>t</w:t>
      </w:r>
      <w:r w:rsidRPr="00873110">
        <w:rPr>
          <w:color w:val="000000"/>
          <w:szCs w:val="22"/>
        </w:rPr>
        <w:t>te période pe</w:t>
      </w:r>
      <w:r w:rsidRPr="00873110">
        <w:rPr>
          <w:color w:val="000000"/>
          <w:szCs w:val="22"/>
        </w:rPr>
        <w:t>u</w:t>
      </w:r>
      <w:r w:rsidRPr="00873110">
        <w:rPr>
          <w:color w:val="000000"/>
          <w:szCs w:val="22"/>
        </w:rPr>
        <w:t>vent être assimilés à une première tentative de sa part de s'assurer un rôle prédominant de « définisseur des politiques ». En fait, dans l'optique fédérale, les fonds attribués aux programmes d'e</w:t>
      </w:r>
      <w:r w:rsidRPr="00873110">
        <w:rPr>
          <w:color w:val="000000"/>
          <w:szCs w:val="22"/>
        </w:rPr>
        <w:t>m</w:t>
      </w:r>
      <w:r w:rsidRPr="00873110">
        <w:rPr>
          <w:color w:val="000000"/>
          <w:szCs w:val="22"/>
        </w:rPr>
        <w:t>ploi et de fo</w:t>
      </w:r>
      <w:r w:rsidRPr="00873110">
        <w:rPr>
          <w:color w:val="000000"/>
          <w:szCs w:val="22"/>
        </w:rPr>
        <w:t>r</w:t>
      </w:r>
      <w:r w:rsidRPr="00873110">
        <w:rPr>
          <w:color w:val="000000"/>
          <w:szCs w:val="22"/>
        </w:rPr>
        <w:t>mation</w:t>
      </w:r>
      <w:r>
        <w:rPr>
          <w:color w:val="000000"/>
          <w:szCs w:val="22"/>
        </w:rPr>
        <w:t> </w:t>
      </w:r>
      <w:r w:rsidRPr="000A019C">
        <w:rPr>
          <w:rStyle w:val="Appelnotedebasdep"/>
        </w:rPr>
        <w:footnoteReference w:id="436"/>
      </w:r>
      <w:r w:rsidRPr="00873110">
        <w:rPr>
          <w:color w:val="000000"/>
          <w:szCs w:val="22"/>
        </w:rPr>
        <w:t xml:space="preserve"> devaient représenter un moyen plus efficace d'affronter l'adversité du chômage. Rappelons à cet égard que les go</w:t>
      </w:r>
      <w:r w:rsidRPr="00873110">
        <w:rPr>
          <w:color w:val="000000"/>
          <w:szCs w:val="22"/>
        </w:rPr>
        <w:t>u</w:t>
      </w:r>
      <w:r w:rsidRPr="00873110">
        <w:rPr>
          <w:color w:val="000000"/>
          <w:szCs w:val="22"/>
        </w:rPr>
        <w:t>vernements f</w:t>
      </w:r>
      <w:r w:rsidRPr="00873110">
        <w:rPr>
          <w:color w:val="000000"/>
          <w:szCs w:val="22"/>
        </w:rPr>
        <w:t>é</w:t>
      </w:r>
      <w:r w:rsidRPr="00873110">
        <w:rPr>
          <w:color w:val="000000"/>
          <w:szCs w:val="22"/>
        </w:rPr>
        <w:t>déral et provinciaux convinrent d'un commun accord, lors de la Conférence fédérale-provinciale de 1973, de suspendre leurs diff</w:t>
      </w:r>
      <w:r w:rsidRPr="00873110">
        <w:rPr>
          <w:color w:val="000000"/>
          <w:szCs w:val="22"/>
        </w:rPr>
        <w:t>é</w:t>
      </w:r>
      <w:r w:rsidRPr="00873110">
        <w:rPr>
          <w:color w:val="000000"/>
          <w:szCs w:val="22"/>
        </w:rPr>
        <w:t>rends sur le contrôle des programmes sociaux pour orienter leurs di</w:t>
      </w:r>
      <w:r w:rsidRPr="00873110">
        <w:rPr>
          <w:color w:val="000000"/>
          <w:szCs w:val="22"/>
        </w:rPr>
        <w:t>s</w:t>
      </w:r>
      <w:r w:rsidRPr="00873110">
        <w:rPr>
          <w:color w:val="000000"/>
          <w:szCs w:val="22"/>
        </w:rPr>
        <w:t>cussions vers la définition et l'application d'une politique de main-d'oeuvre.</w:t>
      </w:r>
    </w:p>
    <w:p w:rsidR="00AD690E" w:rsidRDefault="00AD690E" w:rsidP="00AD690E">
      <w:pPr>
        <w:spacing w:before="120" w:after="120"/>
        <w:jc w:val="both"/>
        <w:rPr>
          <w:color w:val="000000"/>
          <w:szCs w:val="22"/>
        </w:rPr>
      </w:pPr>
      <w:r w:rsidRPr="00873110">
        <w:rPr>
          <w:color w:val="000000"/>
          <w:szCs w:val="22"/>
        </w:rPr>
        <w:t>La démarche entreprise sous l'égide de la loi de 1967 eut égal</w:t>
      </w:r>
      <w:r w:rsidRPr="00873110">
        <w:rPr>
          <w:color w:val="000000"/>
          <w:szCs w:val="22"/>
        </w:rPr>
        <w:t>e</w:t>
      </w:r>
      <w:r w:rsidRPr="00873110">
        <w:rPr>
          <w:color w:val="000000"/>
          <w:szCs w:val="22"/>
        </w:rPr>
        <w:t>ment pour conséquence d'ouvrir une nouvelle voie d'accès au gouve</w:t>
      </w:r>
      <w:r w:rsidRPr="00873110">
        <w:rPr>
          <w:color w:val="000000"/>
          <w:szCs w:val="22"/>
        </w:rPr>
        <w:t>r</w:t>
      </w:r>
      <w:r w:rsidRPr="00873110">
        <w:rPr>
          <w:color w:val="000000"/>
          <w:szCs w:val="22"/>
        </w:rPr>
        <w:t>nement fédéral dans le dossier de l'encadrement de l'activité économ</w:t>
      </w:r>
      <w:r w:rsidRPr="00873110">
        <w:rPr>
          <w:color w:val="000000"/>
          <w:szCs w:val="22"/>
        </w:rPr>
        <w:t>i</w:t>
      </w:r>
      <w:r w:rsidRPr="00873110">
        <w:rPr>
          <w:color w:val="000000"/>
          <w:szCs w:val="22"/>
        </w:rPr>
        <w:t>que des régions. En fait, la loi imposait aux provinces la mise en place de jalons administratifs régionaux dans la formation (Commission de formation professionnelle). Parallèlement, certains programmes de soutien à l'emploi furent établis dans une perspective d'intervention sélective sur le plan régional. Cet intérêt pour les régions déborda d'ailleurs largement le cadre de la politique de main-d'oeuvre et donna lieu, au début des années 1970, à la rédaction d'une politique de dév</w:t>
      </w:r>
      <w:r w:rsidRPr="00873110">
        <w:rPr>
          <w:color w:val="000000"/>
          <w:szCs w:val="22"/>
        </w:rPr>
        <w:t>e</w:t>
      </w:r>
      <w:r w:rsidRPr="00873110">
        <w:rPr>
          <w:color w:val="000000"/>
          <w:szCs w:val="22"/>
        </w:rPr>
        <w:t>loppement régional, dont l'application fut confiée au ministère de l'Expansion économique régionale</w:t>
      </w:r>
      <w:r>
        <w:rPr>
          <w:color w:val="000000"/>
          <w:szCs w:val="22"/>
        </w:rPr>
        <w:t> </w:t>
      </w:r>
      <w:r w:rsidRPr="000A019C">
        <w:rPr>
          <w:rStyle w:val="Appelnotedebasdep"/>
        </w:rPr>
        <w:footnoteReference w:id="437"/>
      </w:r>
      <w:r w:rsidRPr="00873110">
        <w:rPr>
          <w:color w:val="000000"/>
          <w:szCs w:val="22"/>
        </w:rPr>
        <w:t>. Les réformes que nous avons précédemment décrites peuvent donc également être considérées comme une étape, la première, d'un long processus de centralisation du pouvoir.</w:t>
      </w:r>
    </w:p>
    <w:p w:rsidR="00AD690E" w:rsidRPr="00873110" w:rsidRDefault="00AD690E" w:rsidP="00AD690E">
      <w:pPr>
        <w:spacing w:before="120" w:after="120"/>
        <w:jc w:val="both"/>
      </w:pPr>
    </w:p>
    <w:p w:rsidR="00AD690E" w:rsidRPr="00873110" w:rsidRDefault="00AD690E" w:rsidP="00AD690E">
      <w:pPr>
        <w:pStyle w:val="planche"/>
      </w:pPr>
      <w:r w:rsidRPr="00873110">
        <w:t>L'EMPLOI CONTRE L'INFLATION,</w:t>
      </w:r>
      <w:r>
        <w:br/>
      </w:r>
      <w:r w:rsidRPr="00873110">
        <w:t>1976-1980</w:t>
      </w:r>
    </w:p>
    <w:p w:rsidR="00AD690E" w:rsidRDefault="00AD690E" w:rsidP="00AD690E">
      <w:pPr>
        <w:spacing w:before="120" w:after="120"/>
        <w:jc w:val="both"/>
        <w:rPr>
          <w:color w:val="000000"/>
          <w:szCs w:val="22"/>
        </w:rPr>
      </w:pPr>
    </w:p>
    <w:p w:rsidR="00AD690E" w:rsidRPr="00873110" w:rsidRDefault="00AD690E" w:rsidP="00AD690E">
      <w:pPr>
        <w:spacing w:before="120" w:after="120"/>
        <w:jc w:val="both"/>
      </w:pPr>
      <w:r w:rsidRPr="00873110">
        <w:rPr>
          <w:color w:val="000000"/>
          <w:szCs w:val="22"/>
        </w:rPr>
        <w:t>Dans le contexte que nous venons de décrire, une révision en pr</w:t>
      </w:r>
      <w:r w:rsidRPr="00873110">
        <w:rPr>
          <w:color w:val="000000"/>
          <w:szCs w:val="22"/>
        </w:rPr>
        <w:t>o</w:t>
      </w:r>
      <w:r w:rsidRPr="00873110">
        <w:rPr>
          <w:color w:val="000000"/>
          <w:szCs w:val="22"/>
        </w:rPr>
        <w:t>fondeur des orientations de la politique de main-d'</w:t>
      </w:r>
      <w:r>
        <w:rPr>
          <w:color w:val="000000"/>
          <w:szCs w:val="22"/>
        </w:rPr>
        <w:t>œuvre</w:t>
      </w:r>
      <w:r w:rsidRPr="00873110">
        <w:rPr>
          <w:color w:val="000000"/>
          <w:szCs w:val="22"/>
        </w:rPr>
        <w:t xml:space="preserve"> en vue d'en préciser les objectifs, la nature de l'encadrement économique et les mécanismes de planification, apparut non seulement souhaitable, mais nécessaire. À l'occasion de la négociation fédérale-provinciale sur la formation en 1974-1975, l'hypothèse d'une coopération intergouve</w:t>
      </w:r>
      <w:r w:rsidRPr="00873110">
        <w:rPr>
          <w:color w:val="000000"/>
          <w:szCs w:val="22"/>
        </w:rPr>
        <w:t>r</w:t>
      </w:r>
      <w:r w:rsidRPr="00873110">
        <w:rPr>
          <w:color w:val="000000"/>
          <w:szCs w:val="22"/>
        </w:rPr>
        <w:t>nementale plus étroite fut discutée. Cette discussion déboucha sur la signature d'accords sur la coordination des services de main-d'oeuvre dans le secteur agricole et la conclusion d'une entente avec neuf pr</w:t>
      </w:r>
      <w:r w:rsidRPr="00873110">
        <w:rPr>
          <w:color w:val="000000"/>
          <w:szCs w:val="22"/>
        </w:rPr>
        <w:t>o</w:t>
      </w:r>
      <w:r w:rsidRPr="00873110">
        <w:rPr>
          <w:color w:val="000000"/>
          <w:szCs w:val="22"/>
        </w:rPr>
        <w:t>vinces (excluant le Manitoba) concernant la mise sur pied de projets conjoints</w:t>
      </w:r>
      <w:r>
        <w:rPr>
          <w:color w:val="000000"/>
          <w:szCs w:val="22"/>
        </w:rPr>
        <w:t xml:space="preserve"> </w:t>
      </w:r>
      <w:r>
        <w:rPr>
          <w:color w:val="000000"/>
          <w:szCs w:val="18"/>
        </w:rPr>
        <w:t xml:space="preserve">[247] </w:t>
      </w:r>
      <w:r w:rsidRPr="00873110">
        <w:rPr>
          <w:color w:val="000000"/>
          <w:szCs w:val="22"/>
        </w:rPr>
        <w:t>d'expansion de l'emploi communautaire</w:t>
      </w:r>
      <w:r>
        <w:rPr>
          <w:color w:val="000000"/>
          <w:szCs w:val="22"/>
        </w:rPr>
        <w:t> </w:t>
      </w:r>
      <w:r>
        <w:rPr>
          <w:rStyle w:val="Appelnotedebasdep"/>
        </w:rPr>
        <w:footnoteReference w:id="438"/>
      </w:r>
      <w:r w:rsidRPr="00873110">
        <w:rPr>
          <w:color w:val="000000"/>
          <w:szCs w:val="22"/>
        </w:rPr>
        <w:t>. Ce dernier accord ouvrit un peu plus grande la porte à un rapprochement adm</w:t>
      </w:r>
      <w:r w:rsidRPr="00873110">
        <w:rPr>
          <w:color w:val="000000"/>
          <w:szCs w:val="22"/>
        </w:rPr>
        <w:t>i</w:t>
      </w:r>
      <w:r w:rsidRPr="00873110">
        <w:rPr>
          <w:color w:val="000000"/>
          <w:szCs w:val="22"/>
        </w:rPr>
        <w:t>nistratif dans le champ régional.</w:t>
      </w:r>
    </w:p>
    <w:p w:rsidR="00AD690E" w:rsidRPr="00873110" w:rsidRDefault="00AD690E" w:rsidP="00AD690E">
      <w:pPr>
        <w:spacing w:before="120" w:after="120"/>
        <w:jc w:val="both"/>
      </w:pPr>
      <w:r w:rsidRPr="00873110">
        <w:rPr>
          <w:color w:val="000000"/>
          <w:szCs w:val="22"/>
        </w:rPr>
        <w:t>Une nouvelle étape dans la définition de la mission du MEIC fut franchie l'année suivante à l'occasion du dépôt du rapport du Comité sénatorial permanent des finances nationales sur la main-d'oeuvre au Canada. Dans ce document, le Comité décortiqua systématiquement les différents volets de l'intervention fédérale en main-d'oeuvre et r</w:t>
      </w:r>
      <w:r w:rsidRPr="00873110">
        <w:rPr>
          <w:color w:val="000000"/>
          <w:szCs w:val="22"/>
        </w:rPr>
        <w:t>e</w:t>
      </w:r>
      <w:r w:rsidRPr="00873110">
        <w:rPr>
          <w:color w:val="000000"/>
          <w:szCs w:val="22"/>
        </w:rPr>
        <w:t>commanda notamment la mise en place d'une structure mieux int</w:t>
      </w:r>
      <w:r w:rsidRPr="00873110">
        <w:rPr>
          <w:color w:val="000000"/>
          <w:szCs w:val="22"/>
        </w:rPr>
        <w:t>é</w:t>
      </w:r>
      <w:r w:rsidRPr="00873110">
        <w:rPr>
          <w:color w:val="000000"/>
          <w:szCs w:val="22"/>
        </w:rPr>
        <w:t>grée, et de mécanismes de planification susceptibles d'impliquer plus directement les provinces et les corps intermédiaires dans la déterm</w:t>
      </w:r>
      <w:r w:rsidRPr="00873110">
        <w:rPr>
          <w:color w:val="000000"/>
          <w:szCs w:val="22"/>
        </w:rPr>
        <w:t>i</w:t>
      </w:r>
      <w:r w:rsidRPr="00873110">
        <w:rPr>
          <w:color w:val="000000"/>
          <w:szCs w:val="22"/>
        </w:rPr>
        <w:t>nation du plan d'action gouvernemental</w:t>
      </w:r>
      <w:r>
        <w:rPr>
          <w:color w:val="000000"/>
          <w:szCs w:val="22"/>
        </w:rPr>
        <w:t> </w:t>
      </w:r>
      <w:r w:rsidRPr="000A019C">
        <w:rPr>
          <w:rStyle w:val="Appelnotedebasdep"/>
        </w:rPr>
        <w:footnoteReference w:id="439"/>
      </w:r>
      <w:r w:rsidRPr="00873110">
        <w:rPr>
          <w:color w:val="000000"/>
          <w:szCs w:val="22"/>
        </w:rPr>
        <w:t xml:space="preserve">. Les travaux du Comité s'inscrivirent en outre dans le sens d'une révision de la mission sociale de l'Etat, non plus en direction du soutien au chômage, mais en faveur de l'employabilité de la main-d'oeuvre. Des études furent entreprises dans ce </w:t>
      </w:r>
      <w:r>
        <w:rPr>
          <w:color w:val="000000"/>
          <w:szCs w:val="22"/>
        </w:rPr>
        <w:t>sens au même moment en vue de re</w:t>
      </w:r>
      <w:r w:rsidRPr="00873110">
        <w:rPr>
          <w:color w:val="000000"/>
          <w:szCs w:val="22"/>
        </w:rPr>
        <w:t>formuler le programme d'assurance-chômage</w:t>
      </w:r>
      <w:r>
        <w:rPr>
          <w:color w:val="000000"/>
          <w:szCs w:val="22"/>
        </w:rPr>
        <w:t> </w:t>
      </w:r>
      <w:r w:rsidRPr="000A019C">
        <w:rPr>
          <w:rStyle w:val="Appelnotedebasdep"/>
        </w:rPr>
        <w:footnoteReference w:id="440"/>
      </w:r>
      <w:r w:rsidRPr="00873110">
        <w:rPr>
          <w:color w:val="000000"/>
          <w:szCs w:val="22"/>
        </w:rPr>
        <w:t>.</w:t>
      </w:r>
    </w:p>
    <w:p w:rsidR="00AD690E" w:rsidRPr="00873110" w:rsidRDefault="00AD690E" w:rsidP="00AD690E">
      <w:pPr>
        <w:spacing w:before="120" w:after="120"/>
        <w:jc w:val="both"/>
      </w:pPr>
      <w:r w:rsidRPr="00873110">
        <w:rPr>
          <w:color w:val="000000"/>
          <w:szCs w:val="22"/>
        </w:rPr>
        <w:t>En même temps, le MEIC amorça une révision de sa loi organique afin d'intégrer la Commission de l'assurance-chômage aux instances du Ministère, dans le but de fusionner les bureaux de l'assurance-chômage et les bureaux de placement. Un projet de loi (C-27) fut d</w:t>
      </w:r>
      <w:r w:rsidRPr="00873110">
        <w:rPr>
          <w:color w:val="000000"/>
          <w:szCs w:val="22"/>
        </w:rPr>
        <w:t>é</w:t>
      </w:r>
      <w:r w:rsidRPr="00873110">
        <w:rPr>
          <w:color w:val="000000"/>
          <w:szCs w:val="22"/>
        </w:rPr>
        <w:t>posé à cet effet en décembre 1976, adopté, puis promulgué le 14 août 1977. Sur le plan administratif, cette fusion, qui ne fut complétée qu'en 1979, mobilisa beaucoup de ressources et eut pour conséquence de restreindre temporairement la capacité d'intervention du Ministère. Signalons toutefois que, quelques mois avant le dépôt de la loi C-27, soit en octobre 1976, la direction du MEIC annonça la mise au point d'un plan quinquennal d'emploi, qui justifia la mise en place d'une brochette de nouveaux programmes parmi lesquels Canada au travail, Jeunesse-Canada au travail et le Programme de formation et d'expa</w:t>
      </w:r>
      <w:r w:rsidRPr="00873110">
        <w:rPr>
          <w:color w:val="000000"/>
          <w:szCs w:val="22"/>
        </w:rPr>
        <w:t>n</w:t>
      </w:r>
      <w:r w:rsidRPr="00873110">
        <w:rPr>
          <w:color w:val="000000"/>
          <w:szCs w:val="22"/>
        </w:rPr>
        <w:t>sion professionnelle. Ces nouveaux programmes entraînèrent une augmentation substantielle des sommes affectées au soutien de l'e</w:t>
      </w:r>
      <w:r w:rsidRPr="00873110">
        <w:rPr>
          <w:color w:val="000000"/>
          <w:szCs w:val="22"/>
        </w:rPr>
        <w:t>m</w:t>
      </w:r>
      <w:r w:rsidRPr="00873110">
        <w:rPr>
          <w:color w:val="000000"/>
          <w:szCs w:val="22"/>
        </w:rPr>
        <w:t>ploi et à la formation</w:t>
      </w:r>
      <w:r>
        <w:rPr>
          <w:color w:val="000000"/>
          <w:szCs w:val="22"/>
        </w:rPr>
        <w:t> </w:t>
      </w:r>
      <w:r w:rsidRPr="000A019C">
        <w:rPr>
          <w:rStyle w:val="Appelnotedebasdep"/>
        </w:rPr>
        <w:footnoteReference w:id="441"/>
      </w:r>
      <w:r w:rsidRPr="00873110">
        <w:rPr>
          <w:color w:val="000000"/>
          <w:szCs w:val="22"/>
        </w:rPr>
        <w:t>.</w:t>
      </w:r>
    </w:p>
    <w:p w:rsidR="00AD690E" w:rsidRPr="00873110" w:rsidRDefault="00AD690E" w:rsidP="00AD690E">
      <w:pPr>
        <w:spacing w:before="120" w:after="120"/>
        <w:jc w:val="both"/>
      </w:pPr>
      <w:r w:rsidRPr="00873110">
        <w:rPr>
          <w:color w:val="000000"/>
          <w:szCs w:val="22"/>
        </w:rPr>
        <w:t>La réforme proposée par le projet de loi C-27 marque donc une première étape de la remise en question de la stratégie en main-d'</w:t>
      </w:r>
      <w:r>
        <w:rPr>
          <w:color w:val="000000"/>
          <w:szCs w:val="22"/>
        </w:rPr>
        <w:t>œuvre</w:t>
      </w:r>
      <w:r w:rsidRPr="00873110">
        <w:rPr>
          <w:color w:val="000000"/>
          <w:szCs w:val="22"/>
        </w:rPr>
        <w:t>, où la relation à la politique économique et sociale est mod</w:t>
      </w:r>
      <w:r w:rsidRPr="00873110">
        <w:rPr>
          <w:color w:val="000000"/>
          <w:szCs w:val="22"/>
        </w:rPr>
        <w:t>i</w:t>
      </w:r>
      <w:r w:rsidRPr="00873110">
        <w:rPr>
          <w:color w:val="000000"/>
          <w:szCs w:val="22"/>
        </w:rPr>
        <w:t>fiée en vue de reconnaître à la main-d'</w:t>
      </w:r>
      <w:r>
        <w:rPr>
          <w:color w:val="000000"/>
          <w:szCs w:val="22"/>
        </w:rPr>
        <w:t>œuvre</w:t>
      </w:r>
      <w:r w:rsidRPr="00873110">
        <w:rPr>
          <w:color w:val="000000"/>
          <w:szCs w:val="22"/>
        </w:rPr>
        <w:t xml:space="preserve"> une mission de premier plan. Un nombre croissant de programmes furent notamment révisés en vue de mettre en place des mécanismes de soutien,</w:t>
      </w:r>
      <w:r>
        <w:rPr>
          <w:color w:val="000000"/>
          <w:szCs w:val="22"/>
        </w:rPr>
        <w:t xml:space="preserve"> </w:t>
      </w:r>
      <w:r>
        <w:rPr>
          <w:color w:val="000000"/>
          <w:szCs w:val="18"/>
        </w:rPr>
        <w:t>[</w:t>
      </w:r>
      <w:r w:rsidRPr="00873110">
        <w:rPr>
          <w:color w:val="000000"/>
          <w:szCs w:val="18"/>
        </w:rPr>
        <w:t>248</w:t>
      </w:r>
      <w:r>
        <w:rPr>
          <w:color w:val="000000"/>
          <w:szCs w:val="18"/>
        </w:rPr>
        <w:t xml:space="preserve">] </w:t>
      </w:r>
      <w:r w:rsidRPr="00873110">
        <w:rPr>
          <w:color w:val="000000"/>
          <w:szCs w:val="22"/>
        </w:rPr>
        <w:t>d'enco</w:t>
      </w:r>
      <w:r w:rsidRPr="00873110">
        <w:rPr>
          <w:color w:val="000000"/>
          <w:szCs w:val="22"/>
        </w:rPr>
        <w:t>u</w:t>
      </w:r>
      <w:r w:rsidRPr="00873110">
        <w:rPr>
          <w:color w:val="000000"/>
          <w:szCs w:val="22"/>
        </w:rPr>
        <w:t>ragement et d'accès au travail pour différentes populations, princip</w:t>
      </w:r>
      <w:r w:rsidRPr="00873110">
        <w:rPr>
          <w:color w:val="000000"/>
          <w:szCs w:val="22"/>
        </w:rPr>
        <w:t>a</w:t>
      </w:r>
      <w:r w:rsidRPr="00873110">
        <w:rPr>
          <w:color w:val="000000"/>
          <w:szCs w:val="22"/>
        </w:rPr>
        <w:t>lement les femmes, les autochtones et les personnes handic</w:t>
      </w:r>
      <w:r w:rsidRPr="00873110">
        <w:rPr>
          <w:color w:val="000000"/>
          <w:szCs w:val="22"/>
        </w:rPr>
        <w:t>a</w:t>
      </w:r>
      <w:r w:rsidRPr="00873110">
        <w:rPr>
          <w:color w:val="000000"/>
          <w:szCs w:val="22"/>
        </w:rPr>
        <w:t>pées</w:t>
      </w:r>
      <w:r>
        <w:rPr>
          <w:color w:val="000000"/>
          <w:szCs w:val="22"/>
        </w:rPr>
        <w:t> </w:t>
      </w:r>
      <w:r w:rsidRPr="000A019C">
        <w:rPr>
          <w:rStyle w:val="Appelnotedebasdep"/>
        </w:rPr>
        <w:footnoteReference w:id="442"/>
      </w:r>
      <w:r w:rsidRPr="00873110">
        <w:rPr>
          <w:color w:val="000000"/>
          <w:szCs w:val="22"/>
        </w:rPr>
        <w:t>. Les programmes de formation furent également ciblés de f</w:t>
      </w:r>
      <w:r w:rsidRPr="00873110">
        <w:rPr>
          <w:color w:val="000000"/>
          <w:szCs w:val="22"/>
        </w:rPr>
        <w:t>a</w:t>
      </w:r>
      <w:r w:rsidRPr="00873110">
        <w:rPr>
          <w:color w:val="000000"/>
          <w:szCs w:val="22"/>
        </w:rPr>
        <w:t>çon à promouvoir la réinsertion des chômeurs chroniques dans le ma</w:t>
      </w:r>
      <w:r w:rsidRPr="00873110">
        <w:rPr>
          <w:color w:val="000000"/>
          <w:szCs w:val="22"/>
        </w:rPr>
        <w:t>r</w:t>
      </w:r>
      <w:r w:rsidRPr="00873110">
        <w:rPr>
          <w:color w:val="000000"/>
          <w:szCs w:val="22"/>
        </w:rPr>
        <w:t>ché du travail.</w:t>
      </w:r>
    </w:p>
    <w:p w:rsidR="00AD690E" w:rsidRPr="00873110" w:rsidRDefault="00AD690E" w:rsidP="00AD690E">
      <w:pPr>
        <w:spacing w:before="120" w:after="120"/>
        <w:jc w:val="both"/>
      </w:pPr>
      <w:r w:rsidRPr="00873110">
        <w:rPr>
          <w:color w:val="000000"/>
          <w:szCs w:val="22"/>
        </w:rPr>
        <w:t>Cette façon d'aborder l'intervention de l'État posa différemment le problème de la définition d'une politique de main-d'oeuvre. Celle-ci n'eut plus, comme au cours des années 1960, à se définir par rapport à l'utilisation maximale de la force de travail, mais elle délimita son champ d'action en fonction de l'utilisation optimale et productive des ressources humaines, comme en témoignent les objectifs définis par le MEIC à la suite de la réforme :</w:t>
      </w:r>
    </w:p>
    <w:p w:rsidR="00AD690E" w:rsidRDefault="00AD690E" w:rsidP="00AD690E">
      <w:pPr>
        <w:spacing w:before="60" w:after="60"/>
        <w:ind w:left="720" w:hanging="360"/>
        <w:jc w:val="both"/>
        <w:rPr>
          <w:color w:val="000000"/>
          <w:szCs w:val="18"/>
        </w:rPr>
      </w:pP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aider l'employeur à trouver la main-d'oeuvre qualifiée dont il a besoin et le travailleur à trouver un emploi auquel il peut no</w:t>
      </w:r>
      <w:r w:rsidRPr="00873110">
        <w:rPr>
          <w:color w:val="000000"/>
          <w:szCs w:val="18"/>
        </w:rPr>
        <w:t>r</w:t>
      </w:r>
      <w:r w:rsidRPr="00873110">
        <w:rPr>
          <w:color w:val="000000"/>
          <w:szCs w:val="18"/>
        </w:rPr>
        <w:t>malement aspirer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offrir un revenu d'appoint temporaire aux chômeurs qui sont à la recherche d'un nouvel emploi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aider le chômeur à réintégrer la population active le plus rap</w:t>
      </w:r>
      <w:r w:rsidRPr="00873110">
        <w:rPr>
          <w:color w:val="000000"/>
          <w:szCs w:val="18"/>
        </w:rPr>
        <w:t>i</w:t>
      </w:r>
      <w:r w:rsidRPr="00873110">
        <w:rPr>
          <w:color w:val="000000"/>
          <w:szCs w:val="18"/>
        </w:rPr>
        <w:t>dement possible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aider les handicapés et les autres personnes défavorisées à a</w:t>
      </w:r>
      <w:r w:rsidRPr="00873110">
        <w:rPr>
          <w:color w:val="000000"/>
          <w:szCs w:val="18"/>
        </w:rPr>
        <w:t>c</w:t>
      </w:r>
      <w:r w:rsidRPr="00873110">
        <w:rPr>
          <w:color w:val="000000"/>
          <w:szCs w:val="18"/>
        </w:rPr>
        <w:t>croître leurs chances sur le marché du travail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améliorer en général les rouages du marché du travail afin de réduire le chômage cyclique, saisonnier, structurel et résiduel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aider les travailleurs à décider judicieusement lorsqu'ils che</w:t>
      </w:r>
      <w:r w:rsidRPr="00873110">
        <w:rPr>
          <w:color w:val="000000"/>
          <w:szCs w:val="18"/>
        </w:rPr>
        <w:t>r</w:t>
      </w:r>
      <w:r w:rsidRPr="00873110">
        <w:rPr>
          <w:color w:val="000000"/>
          <w:szCs w:val="18"/>
        </w:rPr>
        <w:t>chent un emploi qui assurera leur épanouissement ;</w:t>
      </w:r>
    </w:p>
    <w:p w:rsidR="00AD690E" w:rsidRPr="00873110" w:rsidRDefault="00AD690E" w:rsidP="00AD690E">
      <w:pPr>
        <w:spacing w:before="60" w:after="60"/>
        <w:ind w:left="720" w:hanging="360"/>
        <w:jc w:val="both"/>
      </w:pPr>
      <w:r>
        <w:rPr>
          <w:color w:val="000000"/>
          <w:szCs w:val="18"/>
        </w:rPr>
        <w:t>-</w:t>
      </w:r>
      <w:r>
        <w:rPr>
          <w:color w:val="000000"/>
          <w:szCs w:val="18"/>
        </w:rPr>
        <w:tab/>
      </w:r>
      <w:r w:rsidRPr="00873110">
        <w:rPr>
          <w:color w:val="000000"/>
          <w:szCs w:val="18"/>
        </w:rPr>
        <w:t>aider les employeurs à faire un usage rationnel des</w:t>
      </w:r>
      <w:r w:rsidRPr="00873110">
        <w:rPr>
          <w:color w:val="000000"/>
          <w:szCs w:val="18"/>
        </w:rPr>
        <w:br/>
        <w:t>ressources de main-d'</w:t>
      </w:r>
      <w:r>
        <w:rPr>
          <w:color w:val="000000"/>
          <w:szCs w:val="18"/>
        </w:rPr>
        <w:t>œuvre</w:t>
      </w:r>
      <w:r w:rsidRPr="00873110">
        <w:rPr>
          <w:color w:val="000000"/>
          <w:szCs w:val="18"/>
        </w:rPr>
        <w:t xml:space="preserve"> à leur disposition dans un contexte</w:t>
      </w:r>
      <w:r w:rsidRPr="00873110">
        <w:rPr>
          <w:color w:val="000000"/>
          <w:szCs w:val="18"/>
        </w:rPr>
        <w:br/>
        <w:t>socio-économique en évolution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aider les travailleurs à acquérir, au moyen d'une formation a</w:t>
      </w:r>
      <w:r w:rsidRPr="00873110">
        <w:rPr>
          <w:color w:val="000000"/>
          <w:szCs w:val="18"/>
        </w:rPr>
        <w:t>p</w:t>
      </w:r>
      <w:r w:rsidRPr="00873110">
        <w:rPr>
          <w:color w:val="000000"/>
          <w:szCs w:val="18"/>
        </w:rPr>
        <w:t>propriée, les connaissances et les compétences qui sont en d</w:t>
      </w:r>
      <w:r w:rsidRPr="00873110">
        <w:rPr>
          <w:color w:val="000000"/>
          <w:szCs w:val="18"/>
        </w:rPr>
        <w:t>e</w:t>
      </w:r>
      <w:r w:rsidRPr="00873110">
        <w:rPr>
          <w:color w:val="000000"/>
          <w:szCs w:val="18"/>
        </w:rPr>
        <w:t>mande sur le marché du travail canadien ;</w:t>
      </w:r>
    </w:p>
    <w:p w:rsidR="00AD690E" w:rsidRPr="00873110" w:rsidRDefault="00AD690E" w:rsidP="00AD690E">
      <w:pPr>
        <w:spacing w:before="60" w:after="60"/>
        <w:ind w:left="720" w:hanging="360"/>
        <w:jc w:val="both"/>
        <w:rPr>
          <w:color w:val="000000"/>
          <w:szCs w:val="18"/>
        </w:rPr>
      </w:pPr>
      <w:r>
        <w:rPr>
          <w:color w:val="000000"/>
          <w:szCs w:val="18"/>
        </w:rPr>
        <w:t>-</w:t>
      </w:r>
      <w:r>
        <w:rPr>
          <w:color w:val="000000"/>
          <w:szCs w:val="18"/>
        </w:rPr>
        <w:tab/>
      </w:r>
      <w:r w:rsidRPr="00873110">
        <w:rPr>
          <w:color w:val="000000"/>
          <w:szCs w:val="18"/>
        </w:rPr>
        <w:t>promouvoir l'emploi productif des ressources humaines qui ne sont pas utilisées dans le moment par l'économie</w:t>
      </w:r>
      <w:r>
        <w:rPr>
          <w:color w:val="000000"/>
          <w:szCs w:val="18"/>
        </w:rPr>
        <w:t> </w:t>
      </w:r>
      <w:r w:rsidRPr="000A019C">
        <w:rPr>
          <w:rStyle w:val="Appelnotedebasdep"/>
          <w:szCs w:val="18"/>
        </w:rPr>
        <w:footnoteReference w:id="443"/>
      </w:r>
      <w:r w:rsidRPr="00873110">
        <w:rPr>
          <w:color w:val="000000"/>
          <w:szCs w:val="18"/>
        </w:rPr>
        <w:t>.</w:t>
      </w:r>
    </w:p>
    <w:p w:rsidR="00AD690E" w:rsidRDefault="00AD690E" w:rsidP="00AD690E">
      <w:pPr>
        <w:spacing w:before="120" w:after="120"/>
        <w:jc w:val="both"/>
        <w:rPr>
          <w:color w:val="000000"/>
          <w:szCs w:val="22"/>
        </w:rPr>
      </w:pPr>
    </w:p>
    <w:p w:rsidR="00AD690E" w:rsidRPr="00873110" w:rsidRDefault="00AD690E" w:rsidP="00AD690E">
      <w:pPr>
        <w:spacing w:before="120" w:after="120"/>
        <w:jc w:val="both"/>
      </w:pPr>
      <w:r w:rsidRPr="00873110">
        <w:rPr>
          <w:color w:val="000000"/>
          <w:szCs w:val="22"/>
        </w:rPr>
        <w:t>Cette reformulation de la politique de main-d'oeuvre ne peut év</w:t>
      </w:r>
      <w:r w:rsidRPr="00873110">
        <w:rPr>
          <w:color w:val="000000"/>
          <w:szCs w:val="22"/>
        </w:rPr>
        <w:t>i</w:t>
      </w:r>
      <w:r w:rsidRPr="00873110">
        <w:rPr>
          <w:color w:val="000000"/>
          <w:szCs w:val="22"/>
        </w:rPr>
        <w:t>demment être comprise hors de son contexte économique. Comme l'a déjà souligné Christian Deblock</w:t>
      </w:r>
      <w:r>
        <w:rPr>
          <w:color w:val="000000"/>
          <w:szCs w:val="22"/>
        </w:rPr>
        <w:t> </w:t>
      </w:r>
      <w:r w:rsidRPr="000A019C">
        <w:rPr>
          <w:rStyle w:val="Appelnotedebasdep"/>
        </w:rPr>
        <w:footnoteReference w:id="444"/>
      </w:r>
      <w:r w:rsidRPr="00873110">
        <w:rPr>
          <w:color w:val="000000"/>
          <w:szCs w:val="22"/>
        </w:rPr>
        <w:t>, l'économie canadienne est confrontée, depuis 1975, à différents problèmes qui remettent en que</w:t>
      </w:r>
      <w:r w:rsidRPr="00873110">
        <w:rPr>
          <w:color w:val="000000"/>
          <w:szCs w:val="22"/>
        </w:rPr>
        <w:t>s</w:t>
      </w:r>
      <w:r w:rsidRPr="00873110">
        <w:rPr>
          <w:color w:val="000000"/>
          <w:szCs w:val="22"/>
        </w:rPr>
        <w:t>tion l'intervention de l'État. La stratégie fondée sur le soutien à la croissance a cédé la place à une approche consacrée au contrôle de l'inflation et à l'ajustement de l'État à un nouveau « réalisme » écon</w:t>
      </w:r>
      <w:r w:rsidRPr="00873110">
        <w:rPr>
          <w:color w:val="000000"/>
          <w:szCs w:val="22"/>
        </w:rPr>
        <w:t>o</w:t>
      </w:r>
      <w:r w:rsidRPr="00873110">
        <w:rPr>
          <w:color w:val="000000"/>
          <w:szCs w:val="22"/>
        </w:rPr>
        <w:t>mique. Signalons à un premier niveau que ce contexte a</w:t>
      </w:r>
      <w:r>
        <w:rPr>
          <w:color w:val="000000"/>
          <w:szCs w:val="22"/>
        </w:rPr>
        <w:t xml:space="preserve"> </w:t>
      </w:r>
      <w:r>
        <w:rPr>
          <w:color w:val="000000"/>
          <w:szCs w:val="18"/>
        </w:rPr>
        <w:t xml:space="preserve">[249] </w:t>
      </w:r>
      <w:r w:rsidRPr="00873110">
        <w:rPr>
          <w:color w:val="000000"/>
          <w:szCs w:val="22"/>
        </w:rPr>
        <w:t>object</w:t>
      </w:r>
      <w:r w:rsidRPr="00873110">
        <w:rPr>
          <w:color w:val="000000"/>
          <w:szCs w:val="22"/>
        </w:rPr>
        <w:t>i</w:t>
      </w:r>
      <w:r w:rsidRPr="00873110">
        <w:rPr>
          <w:color w:val="000000"/>
          <w:szCs w:val="22"/>
        </w:rPr>
        <w:t>vement contribué à limiter l'expansion des programmes de main-d'</w:t>
      </w:r>
      <w:r>
        <w:rPr>
          <w:color w:val="000000"/>
          <w:szCs w:val="22"/>
        </w:rPr>
        <w:t>œuvre</w:t>
      </w:r>
      <w:r w:rsidRPr="00873110">
        <w:rPr>
          <w:color w:val="000000"/>
          <w:szCs w:val="22"/>
        </w:rPr>
        <w:t xml:space="preserve"> par l'entremise du contrôle de la croissance des crédits. Il a cependant provoqué une remise en question généralisée des orient</w:t>
      </w:r>
      <w:r w:rsidRPr="00873110">
        <w:rPr>
          <w:color w:val="000000"/>
          <w:szCs w:val="22"/>
        </w:rPr>
        <w:t>a</w:t>
      </w:r>
      <w:r w:rsidRPr="00873110">
        <w:rPr>
          <w:color w:val="000000"/>
          <w:szCs w:val="22"/>
        </w:rPr>
        <w:t>tions politiques et budgétaires dans une direction qui a appelé progre</w:t>
      </w:r>
      <w:r w:rsidRPr="00873110">
        <w:rPr>
          <w:color w:val="000000"/>
          <w:szCs w:val="22"/>
        </w:rPr>
        <w:t>s</w:t>
      </w:r>
      <w:r w:rsidRPr="00873110">
        <w:rPr>
          <w:color w:val="000000"/>
          <w:szCs w:val="22"/>
        </w:rPr>
        <w:t>sivement ces programmes à occuper une place de plus en plus impo</w:t>
      </w:r>
      <w:r w:rsidRPr="00873110">
        <w:rPr>
          <w:color w:val="000000"/>
          <w:szCs w:val="22"/>
        </w:rPr>
        <w:t>r</w:t>
      </w:r>
      <w:r w:rsidRPr="00873110">
        <w:rPr>
          <w:color w:val="000000"/>
          <w:szCs w:val="22"/>
        </w:rPr>
        <w:t>tante dans les préoccupations économiques et sociales de l'État. La mission des programmes sociaux, comme celle des programmes de main-d'</w:t>
      </w:r>
      <w:r>
        <w:rPr>
          <w:color w:val="000000"/>
          <w:szCs w:val="22"/>
        </w:rPr>
        <w:t>œuvre</w:t>
      </w:r>
      <w:r w:rsidRPr="00873110">
        <w:rPr>
          <w:color w:val="000000"/>
          <w:szCs w:val="22"/>
        </w:rPr>
        <w:t>, s'est donc modifiée. La politique de main-d'</w:t>
      </w:r>
      <w:r>
        <w:rPr>
          <w:color w:val="000000"/>
          <w:szCs w:val="22"/>
        </w:rPr>
        <w:t>œuvre</w:t>
      </w:r>
      <w:r w:rsidRPr="00873110">
        <w:rPr>
          <w:color w:val="000000"/>
          <w:szCs w:val="22"/>
        </w:rPr>
        <w:t xml:space="preserve"> est devenue le principal outil utilisé par l'État fédéral en vue, d'une part, de réduire l'impact de la crise et, d'autre part, de rendre politiquement « acceptable » les compressions budgétaires, tout en contribuant par ailleurs à la réduction des dépenses consenties dans le cadre des grands programmes sociaux. Les programmes de main-d'</w:t>
      </w:r>
      <w:r>
        <w:rPr>
          <w:color w:val="000000"/>
          <w:szCs w:val="22"/>
        </w:rPr>
        <w:t>œuvre</w:t>
      </w:r>
      <w:r w:rsidRPr="00873110">
        <w:rPr>
          <w:color w:val="000000"/>
          <w:szCs w:val="22"/>
        </w:rPr>
        <w:t xml:space="preserve"> sont également apparus comme un moyen d'opérer un certain redéploi</w:t>
      </w:r>
      <w:r w:rsidRPr="00873110">
        <w:rPr>
          <w:color w:val="000000"/>
          <w:szCs w:val="22"/>
        </w:rPr>
        <w:t>e</w:t>
      </w:r>
      <w:r w:rsidRPr="00873110">
        <w:rPr>
          <w:color w:val="000000"/>
          <w:szCs w:val="22"/>
        </w:rPr>
        <w:t>ment des forces productives canadiennes. Dans ce sens, ils ont favor</w:t>
      </w:r>
      <w:r w:rsidRPr="00873110">
        <w:rPr>
          <w:color w:val="000000"/>
          <w:szCs w:val="22"/>
        </w:rPr>
        <w:t>i</w:t>
      </w:r>
      <w:r w:rsidRPr="00873110">
        <w:rPr>
          <w:color w:val="000000"/>
          <w:szCs w:val="22"/>
        </w:rPr>
        <w:t>sé le passage à une conception nouvelle de l'intervention gouvern</w:t>
      </w:r>
      <w:r w:rsidRPr="00873110">
        <w:rPr>
          <w:color w:val="000000"/>
          <w:szCs w:val="22"/>
        </w:rPr>
        <w:t>e</w:t>
      </w:r>
      <w:r w:rsidRPr="00873110">
        <w:rPr>
          <w:color w:val="000000"/>
          <w:szCs w:val="22"/>
        </w:rPr>
        <w:t>mentale, mieux adaptée à la promotion d'une productivité et à une ge</w:t>
      </w:r>
      <w:r w:rsidRPr="00873110">
        <w:rPr>
          <w:color w:val="000000"/>
          <w:szCs w:val="22"/>
        </w:rPr>
        <w:t>s</w:t>
      </w:r>
      <w:r w:rsidRPr="00873110">
        <w:rPr>
          <w:color w:val="000000"/>
          <w:szCs w:val="22"/>
        </w:rPr>
        <w:t>tion de la décroissance des dépenses publiques.</w:t>
      </w:r>
    </w:p>
    <w:p w:rsidR="00AD690E" w:rsidRPr="00873110" w:rsidRDefault="00AD690E" w:rsidP="00AD690E">
      <w:pPr>
        <w:spacing w:before="120" w:after="120"/>
        <w:jc w:val="both"/>
      </w:pPr>
      <w:r w:rsidRPr="00873110">
        <w:rPr>
          <w:color w:val="000000"/>
          <w:szCs w:val="22"/>
        </w:rPr>
        <w:t>Vu sous cet angle, la décision en 1980 de créer deux groupes d'études, chargés de réexaminer le rôle du régime d'assurance-chômage et d'étudier les mesures influant sur le fonctionnement du marché du travail canadien, peut être interprétée comme l'aboutiss</w:t>
      </w:r>
      <w:r w:rsidRPr="00873110">
        <w:rPr>
          <w:color w:val="000000"/>
          <w:szCs w:val="22"/>
        </w:rPr>
        <w:t>e</w:t>
      </w:r>
      <w:r w:rsidRPr="00873110">
        <w:rPr>
          <w:color w:val="000000"/>
          <w:szCs w:val="22"/>
        </w:rPr>
        <w:t>ment du processus dont nous venons de faire état.</w:t>
      </w:r>
    </w:p>
    <w:p w:rsidR="00AD690E" w:rsidRDefault="00AD690E" w:rsidP="00AD690E">
      <w:pPr>
        <w:spacing w:before="120" w:after="120"/>
        <w:jc w:val="both"/>
        <w:rPr>
          <w:color w:val="000000"/>
          <w:szCs w:val="22"/>
        </w:rPr>
      </w:pPr>
    </w:p>
    <w:p w:rsidR="00AD690E" w:rsidRPr="00873110" w:rsidRDefault="00AD690E" w:rsidP="00AD690E">
      <w:pPr>
        <w:pStyle w:val="planche"/>
      </w:pPr>
      <w:r w:rsidRPr="00873110">
        <w:t>PRIORIT</w:t>
      </w:r>
      <w:r>
        <w:t>É</w:t>
      </w:r>
      <w:r w:rsidRPr="00873110">
        <w:t xml:space="preserve"> </w:t>
      </w:r>
      <w:r>
        <w:t>À LA FORMATION,</w:t>
      </w:r>
      <w:r>
        <w:br/>
      </w:r>
      <w:r w:rsidRPr="00873110">
        <w:t>1980-1986</w:t>
      </w:r>
    </w:p>
    <w:p w:rsidR="00AD690E" w:rsidRDefault="00AD690E" w:rsidP="00AD690E">
      <w:pPr>
        <w:spacing w:before="120" w:after="120"/>
        <w:jc w:val="both"/>
        <w:rPr>
          <w:color w:val="000000"/>
          <w:szCs w:val="22"/>
        </w:rPr>
      </w:pPr>
    </w:p>
    <w:p w:rsidR="00AD690E" w:rsidRPr="00873110" w:rsidRDefault="00AD690E" w:rsidP="00AD690E">
      <w:pPr>
        <w:spacing w:before="120" w:after="120"/>
        <w:ind w:firstLine="0"/>
        <w:jc w:val="both"/>
      </w:pPr>
      <w:r w:rsidRPr="00873110">
        <w:rPr>
          <w:color w:val="000000"/>
          <w:szCs w:val="22"/>
        </w:rPr>
        <w:t>Il faut rappeler que le début de la présente décennie a été marqué par une crise économique qui a secoué l'ensemble des pays industrialisés. Les gouvernements, afin de résoudre les problèmes inhérents à cette crise, ont révisé leurs principes de gestion des affaires de l'État.</w:t>
      </w:r>
    </w:p>
    <w:p w:rsidR="00AD690E" w:rsidRPr="00873110" w:rsidRDefault="00AD690E" w:rsidP="00AD690E">
      <w:pPr>
        <w:spacing w:before="120" w:after="120"/>
        <w:jc w:val="both"/>
      </w:pPr>
      <w:r w:rsidRPr="00873110">
        <w:rPr>
          <w:color w:val="000000"/>
          <w:szCs w:val="22"/>
        </w:rPr>
        <w:t>Ainsi, le gouvernement fédéral a rapidement constaté les limites de ses interventions précédentes en matière d'emploi et de main-d'oeuvre. En effet, malgré un discours valorisant la formation professionnelle et la création d'emploi, ce dernier n'a pas réussi à éviter les contrecoups de la crise économique et s'est retrouvé face à la nécessité de recons</w:t>
      </w:r>
      <w:r w:rsidRPr="00873110">
        <w:rPr>
          <w:color w:val="000000"/>
          <w:szCs w:val="22"/>
        </w:rPr>
        <w:t>i</w:t>
      </w:r>
      <w:r w:rsidRPr="00873110">
        <w:rPr>
          <w:color w:val="000000"/>
          <w:szCs w:val="22"/>
        </w:rPr>
        <w:t>dérer certains choix stratégiques. Perçue comme étant une critique implicite des expériences, cette crise a notamment amené les gouve</w:t>
      </w:r>
      <w:r w:rsidRPr="00873110">
        <w:rPr>
          <w:color w:val="000000"/>
          <w:szCs w:val="22"/>
        </w:rPr>
        <w:t>r</w:t>
      </w:r>
      <w:r w:rsidRPr="00873110">
        <w:rPr>
          <w:color w:val="000000"/>
          <w:szCs w:val="22"/>
        </w:rPr>
        <w:t>nements à développer de nouvelles approches de soutien à la main-d'oeuvre. C'est dans ce cadre que l'utilisation de la formation comme élément central des politiques d'emploi a été envisagée.</w:t>
      </w:r>
    </w:p>
    <w:p w:rsidR="00AD690E" w:rsidRDefault="00AD690E" w:rsidP="00AD690E">
      <w:pPr>
        <w:spacing w:before="120" w:after="120"/>
        <w:jc w:val="both"/>
        <w:rPr>
          <w:color w:val="000000"/>
          <w:szCs w:val="22"/>
        </w:rPr>
      </w:pPr>
      <w:r w:rsidRPr="00873110">
        <w:rPr>
          <w:color w:val="000000"/>
          <w:szCs w:val="22"/>
        </w:rPr>
        <w:t>Dans ce contexte, un groupe d'étude sur l'évolution du marché du travail a été créé par le ministère de l'Emploi et de l'Immigration. Son mandat visait à :</w:t>
      </w:r>
    </w:p>
    <w:p w:rsidR="00AD690E" w:rsidRDefault="00AD690E" w:rsidP="00AD690E">
      <w:pPr>
        <w:spacing w:before="120" w:after="120"/>
        <w:ind w:left="720" w:hanging="360"/>
        <w:jc w:val="both"/>
        <w:rPr>
          <w:color w:val="000000"/>
          <w:szCs w:val="18"/>
        </w:rPr>
      </w:pPr>
    </w:p>
    <w:p w:rsidR="00AD690E" w:rsidRPr="00873110" w:rsidRDefault="00AD690E" w:rsidP="00AD690E">
      <w:pPr>
        <w:spacing w:before="120" w:after="120"/>
        <w:ind w:left="720" w:hanging="360"/>
        <w:jc w:val="both"/>
      </w:pPr>
      <w:r>
        <w:rPr>
          <w:color w:val="000000"/>
          <w:szCs w:val="18"/>
        </w:rPr>
        <w:t>-</w:t>
      </w:r>
      <w:r>
        <w:rPr>
          <w:color w:val="000000"/>
          <w:szCs w:val="18"/>
        </w:rPr>
        <w:tab/>
      </w:r>
      <w:r w:rsidRPr="00873110">
        <w:rPr>
          <w:color w:val="000000"/>
          <w:szCs w:val="22"/>
        </w:rPr>
        <w:t>donner un aperçu de la situation de l'offre et de la demande de travailleurs,</w:t>
      </w:r>
      <w:r>
        <w:rPr>
          <w:color w:val="000000"/>
          <w:szCs w:val="22"/>
        </w:rPr>
        <w:t xml:space="preserve"> </w:t>
      </w:r>
      <w:r w:rsidRPr="00873110">
        <w:rPr>
          <w:color w:val="000000"/>
          <w:szCs w:val="22"/>
        </w:rPr>
        <w:t>telle qu'elle devrait se présenter vraisemblablement durant les dix</w:t>
      </w:r>
      <w:r>
        <w:rPr>
          <w:color w:val="000000"/>
          <w:szCs w:val="22"/>
        </w:rPr>
        <w:t xml:space="preserve"> </w:t>
      </w:r>
      <w:r w:rsidRPr="00873110">
        <w:rPr>
          <w:color w:val="000000"/>
          <w:szCs w:val="22"/>
        </w:rPr>
        <w:t>prochaines années ;</w:t>
      </w:r>
    </w:p>
    <w:p w:rsidR="00AD690E" w:rsidRDefault="00AD690E" w:rsidP="00AD690E">
      <w:pPr>
        <w:pStyle w:val="p"/>
        <w:rPr>
          <w:szCs w:val="22"/>
        </w:rPr>
      </w:pPr>
      <w:r>
        <w:t>[</w:t>
      </w:r>
      <w:r w:rsidRPr="00873110">
        <w:t>250</w:t>
      </w:r>
      <w:r>
        <w:t>]</w:t>
      </w:r>
    </w:p>
    <w:p w:rsidR="00AD690E" w:rsidRPr="00873110" w:rsidRDefault="00AD690E" w:rsidP="00AD690E">
      <w:pPr>
        <w:spacing w:before="120" w:after="120"/>
        <w:ind w:left="720" w:hanging="360"/>
        <w:jc w:val="both"/>
        <w:rPr>
          <w:color w:val="000000"/>
          <w:szCs w:val="22"/>
        </w:rPr>
      </w:pPr>
      <w:r>
        <w:rPr>
          <w:color w:val="000000"/>
          <w:szCs w:val="18"/>
        </w:rPr>
        <w:t>-</w:t>
      </w:r>
      <w:r>
        <w:rPr>
          <w:color w:val="000000"/>
          <w:szCs w:val="18"/>
        </w:rPr>
        <w:tab/>
      </w:r>
      <w:r w:rsidRPr="00873110">
        <w:rPr>
          <w:color w:val="000000"/>
          <w:szCs w:val="22"/>
        </w:rPr>
        <w:t>réexaminer les concepts de l'emploi, du chômage et de l'activité des travailleurs ;</w:t>
      </w:r>
    </w:p>
    <w:p w:rsidR="00AD690E" w:rsidRPr="00873110" w:rsidRDefault="00AD690E" w:rsidP="00AD690E">
      <w:pPr>
        <w:spacing w:before="120" w:after="120"/>
        <w:ind w:left="720" w:hanging="360"/>
        <w:jc w:val="both"/>
        <w:rPr>
          <w:color w:val="000000"/>
          <w:szCs w:val="22"/>
        </w:rPr>
      </w:pPr>
      <w:r>
        <w:rPr>
          <w:color w:val="000000"/>
          <w:szCs w:val="18"/>
        </w:rPr>
        <w:t>-</w:t>
      </w:r>
      <w:r>
        <w:rPr>
          <w:color w:val="000000"/>
          <w:szCs w:val="18"/>
        </w:rPr>
        <w:tab/>
      </w:r>
      <w:r w:rsidRPr="00873110">
        <w:rPr>
          <w:color w:val="000000"/>
          <w:szCs w:val="22"/>
        </w:rPr>
        <w:t>examiner et évaluer la pertinence et la rentabilité des progra</w:t>
      </w:r>
      <w:r w:rsidRPr="00873110">
        <w:rPr>
          <w:color w:val="000000"/>
          <w:szCs w:val="22"/>
        </w:rPr>
        <w:t>m</w:t>
      </w:r>
      <w:r w:rsidRPr="00873110">
        <w:rPr>
          <w:color w:val="000000"/>
          <w:szCs w:val="22"/>
        </w:rPr>
        <w:t>mes de formation de la main-d'</w:t>
      </w:r>
      <w:r>
        <w:rPr>
          <w:color w:val="000000"/>
          <w:szCs w:val="22"/>
        </w:rPr>
        <w:t>œuvre</w:t>
      </w:r>
      <w:r w:rsidRPr="00873110">
        <w:rPr>
          <w:color w:val="000000"/>
          <w:szCs w:val="22"/>
        </w:rPr>
        <w:t xml:space="preserve"> en fonction des besoins prévus ;</w:t>
      </w:r>
    </w:p>
    <w:p w:rsidR="00AD690E" w:rsidRPr="00873110" w:rsidRDefault="00AD690E" w:rsidP="00AD690E">
      <w:pPr>
        <w:spacing w:before="120" w:after="120"/>
        <w:ind w:left="720" w:hanging="360"/>
        <w:jc w:val="both"/>
        <w:rPr>
          <w:color w:val="000000"/>
          <w:szCs w:val="22"/>
        </w:rPr>
      </w:pPr>
      <w:r>
        <w:rPr>
          <w:color w:val="000000"/>
          <w:szCs w:val="18"/>
        </w:rPr>
        <w:t>-</w:t>
      </w:r>
      <w:r>
        <w:rPr>
          <w:color w:val="000000"/>
          <w:szCs w:val="18"/>
        </w:rPr>
        <w:tab/>
      </w:r>
      <w:r w:rsidRPr="00873110">
        <w:rPr>
          <w:color w:val="000000"/>
          <w:szCs w:val="22"/>
        </w:rPr>
        <w:t>déterminer le niveau d'immigration nette requis pour réduire l'excès de la demande de compétence particulière sur le marché du travail canadien ;</w:t>
      </w:r>
    </w:p>
    <w:p w:rsidR="00AD690E" w:rsidRPr="00873110" w:rsidRDefault="00AD690E" w:rsidP="00AD690E">
      <w:pPr>
        <w:spacing w:before="120" w:after="120"/>
        <w:ind w:left="720" w:hanging="360"/>
        <w:jc w:val="both"/>
        <w:rPr>
          <w:color w:val="000000"/>
          <w:szCs w:val="22"/>
        </w:rPr>
      </w:pPr>
      <w:r>
        <w:rPr>
          <w:color w:val="000000"/>
          <w:szCs w:val="18"/>
        </w:rPr>
        <w:t>-</w:t>
      </w:r>
      <w:r>
        <w:rPr>
          <w:color w:val="000000"/>
          <w:szCs w:val="18"/>
        </w:rPr>
        <w:tab/>
      </w:r>
      <w:r w:rsidRPr="00873110">
        <w:rPr>
          <w:color w:val="000000"/>
          <w:szCs w:val="22"/>
        </w:rPr>
        <w:t>évaluer l'incidence des services d'emploi et de placement sur le fonctionnement des marchés du travail et proposer des méth</w:t>
      </w:r>
      <w:r w:rsidRPr="00873110">
        <w:rPr>
          <w:color w:val="000000"/>
          <w:szCs w:val="22"/>
        </w:rPr>
        <w:t>o</w:t>
      </w:r>
      <w:r w:rsidRPr="00873110">
        <w:rPr>
          <w:color w:val="000000"/>
          <w:szCs w:val="22"/>
        </w:rPr>
        <w:t>des pour améliorer la communication et l'information et mieux harmoniser l'offre et la demande de main-d'</w:t>
      </w:r>
      <w:r>
        <w:rPr>
          <w:color w:val="000000"/>
          <w:szCs w:val="22"/>
        </w:rPr>
        <w:t>œuvre</w:t>
      </w:r>
      <w:r w:rsidRPr="00873110">
        <w:rPr>
          <w:color w:val="000000"/>
          <w:szCs w:val="22"/>
        </w:rPr>
        <w:t> ;</w:t>
      </w:r>
    </w:p>
    <w:p w:rsidR="00AD690E" w:rsidRPr="00873110" w:rsidRDefault="00AD690E" w:rsidP="00AD690E">
      <w:pPr>
        <w:spacing w:before="120" w:after="120"/>
        <w:ind w:left="720" w:hanging="360"/>
        <w:jc w:val="both"/>
        <w:rPr>
          <w:color w:val="000000"/>
          <w:szCs w:val="22"/>
        </w:rPr>
      </w:pPr>
      <w:r>
        <w:rPr>
          <w:color w:val="000000"/>
          <w:szCs w:val="18"/>
        </w:rPr>
        <w:t>-</w:t>
      </w:r>
      <w:r>
        <w:rPr>
          <w:color w:val="000000"/>
          <w:szCs w:val="18"/>
        </w:rPr>
        <w:tab/>
      </w:r>
      <w:r w:rsidRPr="00873110">
        <w:rPr>
          <w:color w:val="000000"/>
          <w:szCs w:val="22"/>
        </w:rPr>
        <w:t>examiner les difficultés que certains groupes éprouvaient à pa</w:t>
      </w:r>
      <w:r w:rsidRPr="00873110">
        <w:rPr>
          <w:color w:val="000000"/>
          <w:szCs w:val="22"/>
        </w:rPr>
        <w:t>r</w:t>
      </w:r>
      <w:r w:rsidRPr="00873110">
        <w:rPr>
          <w:color w:val="000000"/>
          <w:szCs w:val="22"/>
        </w:rPr>
        <w:t>ticiper pleinement et efficacement à la population active ;</w:t>
      </w:r>
    </w:p>
    <w:p w:rsidR="00AD690E" w:rsidRPr="00873110" w:rsidRDefault="00AD690E" w:rsidP="00AD690E">
      <w:pPr>
        <w:spacing w:before="120" w:after="120"/>
        <w:ind w:left="720" w:hanging="360"/>
        <w:jc w:val="both"/>
        <w:rPr>
          <w:color w:val="000000"/>
          <w:szCs w:val="22"/>
        </w:rPr>
      </w:pPr>
      <w:r>
        <w:rPr>
          <w:color w:val="000000"/>
          <w:szCs w:val="18"/>
        </w:rPr>
        <w:t>-</w:t>
      </w:r>
      <w:r>
        <w:rPr>
          <w:color w:val="000000"/>
          <w:szCs w:val="18"/>
        </w:rPr>
        <w:tab/>
      </w:r>
      <w:r w:rsidRPr="00873110">
        <w:rPr>
          <w:color w:val="000000"/>
          <w:szCs w:val="22"/>
        </w:rPr>
        <w:t>évaluer le rôle des programmes de création d'emploi et leurs i</w:t>
      </w:r>
      <w:r w:rsidRPr="00873110">
        <w:rPr>
          <w:color w:val="000000"/>
          <w:szCs w:val="22"/>
        </w:rPr>
        <w:t>n</w:t>
      </w:r>
      <w:r w:rsidRPr="00873110">
        <w:rPr>
          <w:color w:val="000000"/>
          <w:szCs w:val="22"/>
        </w:rPr>
        <w:t>cidences sur l'emploi, la production et la productivité, et prop</w:t>
      </w:r>
      <w:r w:rsidRPr="00873110">
        <w:rPr>
          <w:color w:val="000000"/>
          <w:szCs w:val="22"/>
        </w:rPr>
        <w:t>o</w:t>
      </w:r>
      <w:r w:rsidRPr="00873110">
        <w:rPr>
          <w:color w:val="000000"/>
          <w:szCs w:val="22"/>
        </w:rPr>
        <w:t>ser de meilleures méthodes en vue de rencontrer les objectifs de ces programmes</w:t>
      </w:r>
      <w:r>
        <w:rPr>
          <w:color w:val="000000"/>
          <w:szCs w:val="22"/>
        </w:rPr>
        <w:t> </w:t>
      </w:r>
      <w:r w:rsidRPr="000A019C">
        <w:rPr>
          <w:rStyle w:val="Appelnotedebasdep"/>
        </w:rPr>
        <w:footnoteReference w:id="445"/>
      </w:r>
      <w:r w:rsidRPr="00873110">
        <w:rPr>
          <w:color w:val="000000"/>
          <w:szCs w:val="22"/>
        </w:rPr>
        <w:t>.</w:t>
      </w:r>
    </w:p>
    <w:p w:rsidR="00AD690E" w:rsidRDefault="00AD690E" w:rsidP="00AD690E">
      <w:pPr>
        <w:spacing w:before="120" w:after="120"/>
        <w:jc w:val="both"/>
        <w:rPr>
          <w:color w:val="000000"/>
          <w:szCs w:val="22"/>
        </w:rPr>
      </w:pPr>
    </w:p>
    <w:p w:rsidR="00AD690E" w:rsidRPr="00873110" w:rsidRDefault="00AD690E" w:rsidP="00AD690E">
      <w:pPr>
        <w:spacing w:before="120" w:after="120"/>
        <w:jc w:val="both"/>
      </w:pPr>
      <w:r w:rsidRPr="00873110">
        <w:rPr>
          <w:color w:val="000000"/>
          <w:szCs w:val="22"/>
        </w:rPr>
        <w:t>La démarche poursuivie par le groupe de travail devait avoir pour objet de favoriser l'adaptation de la main-d'oeuvre du marché du tr</w:t>
      </w:r>
      <w:r w:rsidRPr="00873110">
        <w:rPr>
          <w:color w:val="000000"/>
          <w:szCs w:val="22"/>
        </w:rPr>
        <w:t>a</w:t>
      </w:r>
      <w:r w:rsidRPr="00873110">
        <w:rPr>
          <w:color w:val="000000"/>
          <w:szCs w:val="22"/>
        </w:rPr>
        <w:t>vail aux différents facteurs économiques en évolution, sur les plans géographiques et professionnels.</w:t>
      </w:r>
    </w:p>
    <w:p w:rsidR="00AD690E" w:rsidRPr="00873110" w:rsidRDefault="00AD690E" w:rsidP="00AD690E">
      <w:pPr>
        <w:spacing w:before="120" w:after="120"/>
        <w:jc w:val="both"/>
      </w:pPr>
      <w:r w:rsidRPr="00873110">
        <w:rPr>
          <w:color w:val="000000"/>
          <w:szCs w:val="22"/>
        </w:rPr>
        <w:t>Le point nodal de cette analyse concernait la croissance du taux de chômage. Ce phénomène s'expliquerait « par le fait que l'économie a eu du mal à s'adapter aux changements rapides de la composition de la population active et à absorber l'afflux important de travailleurs »</w:t>
      </w:r>
      <w:r>
        <w:rPr>
          <w:color w:val="000000"/>
          <w:szCs w:val="22"/>
        </w:rPr>
        <w:t> </w:t>
      </w:r>
      <w:r w:rsidRPr="000A019C">
        <w:rPr>
          <w:rStyle w:val="Appelnotedebasdep"/>
        </w:rPr>
        <w:footnoteReference w:id="446"/>
      </w:r>
      <w:r w:rsidRPr="00873110">
        <w:rPr>
          <w:color w:val="000000"/>
          <w:szCs w:val="22"/>
        </w:rPr>
        <w:t>. Par ailleurs, bon nombre des politiques du marché du travail visaient à « occuper » les gens en les invitant à suivre des cours de formation, en leur procurant des emplois à court terme ou des emplois subventio</w:t>
      </w:r>
      <w:r w:rsidRPr="00873110">
        <w:rPr>
          <w:color w:val="000000"/>
          <w:szCs w:val="22"/>
        </w:rPr>
        <w:t>n</w:t>
      </w:r>
      <w:r w:rsidRPr="00873110">
        <w:rPr>
          <w:color w:val="000000"/>
          <w:szCs w:val="22"/>
        </w:rPr>
        <w:t>nés, avec pour effet d'absorber l'excédent de l'offre de la main-d'oeuvre, mais sans résoudre pour autant les problèmes structurels du marché du travail.</w:t>
      </w:r>
    </w:p>
    <w:p w:rsidR="00AD690E" w:rsidRPr="00873110" w:rsidRDefault="00AD690E" w:rsidP="00AD690E">
      <w:pPr>
        <w:spacing w:before="120" w:after="120"/>
        <w:jc w:val="both"/>
      </w:pPr>
      <w:r w:rsidRPr="00873110">
        <w:rPr>
          <w:color w:val="000000"/>
          <w:szCs w:val="22"/>
        </w:rPr>
        <w:t>Afin de parvenir à solutionner ces problèmes, le groupe posa comme condition sine qua non de mettre en place des mesures de formation susceptibles de doter la population des compétences néce</w:t>
      </w:r>
      <w:r w:rsidRPr="00873110">
        <w:rPr>
          <w:color w:val="000000"/>
          <w:szCs w:val="22"/>
        </w:rPr>
        <w:t>s</w:t>
      </w:r>
      <w:r w:rsidRPr="00873110">
        <w:rPr>
          <w:color w:val="000000"/>
          <w:szCs w:val="22"/>
        </w:rPr>
        <w:t>saires pour répondre à la demande. À cet égard, il indiqua dans son rapport final que « les dépenses de formation devraient être axées sur les compétences les plus recherchées</w:t>
      </w:r>
      <w:r>
        <w:rPr>
          <w:color w:val="000000"/>
          <w:szCs w:val="22"/>
        </w:rPr>
        <w:t>, là où le rendement de l'investi</w:t>
      </w:r>
      <w:r w:rsidRPr="00873110">
        <w:rPr>
          <w:color w:val="000000"/>
          <w:szCs w:val="22"/>
        </w:rPr>
        <w:t>s</w:t>
      </w:r>
      <w:r w:rsidRPr="00873110">
        <w:rPr>
          <w:color w:val="000000"/>
          <w:szCs w:val="22"/>
        </w:rPr>
        <w:t>sement en « capital humain » était le plus élevé »</w:t>
      </w:r>
      <w:r>
        <w:rPr>
          <w:color w:val="000000"/>
          <w:szCs w:val="22"/>
        </w:rPr>
        <w:t> </w:t>
      </w:r>
      <w:r w:rsidRPr="000A019C">
        <w:rPr>
          <w:rStyle w:val="Appelnotedebasdep"/>
        </w:rPr>
        <w:footnoteReference w:id="447"/>
      </w:r>
      <w:r w:rsidRPr="00873110">
        <w:rPr>
          <w:color w:val="000000"/>
          <w:szCs w:val="22"/>
        </w:rPr>
        <w:t>.</w:t>
      </w:r>
    </w:p>
    <w:p w:rsidR="00AD690E" w:rsidRPr="00873110" w:rsidRDefault="00AD690E" w:rsidP="00AD690E">
      <w:pPr>
        <w:spacing w:before="120" w:after="120"/>
        <w:jc w:val="both"/>
      </w:pPr>
      <w:r w:rsidRPr="00873110">
        <w:rPr>
          <w:color w:val="000000"/>
          <w:szCs w:val="22"/>
        </w:rPr>
        <w:t>En somme, alors qu'auparavant la formation était perçue comme une politique sociale en valant bien d'autres, le gouvernement fédéral se proposait maintenant d'utiliser cette formation comme un des él</w:t>
      </w:r>
      <w:r w:rsidRPr="00873110">
        <w:rPr>
          <w:color w:val="000000"/>
          <w:szCs w:val="22"/>
        </w:rPr>
        <w:t>é</w:t>
      </w:r>
      <w:r w:rsidRPr="00873110">
        <w:rPr>
          <w:color w:val="000000"/>
          <w:szCs w:val="22"/>
        </w:rPr>
        <w:t>ments moteurs de la relance. Elle devait cependant être davantage axée sur les besoins à court terme du marché du travail. Il s'agissait donc de « coller » cette formation aux besoins du</w:t>
      </w:r>
      <w:r>
        <w:rPr>
          <w:color w:val="000000"/>
          <w:szCs w:val="22"/>
        </w:rPr>
        <w:t xml:space="preserve"> [251] </w:t>
      </w:r>
      <w:r w:rsidRPr="00873110">
        <w:rPr>
          <w:color w:val="000000"/>
          <w:szCs w:val="22"/>
        </w:rPr>
        <w:t>marché du travail ou, en d'autres termes, d'adapter la main-d'</w:t>
      </w:r>
      <w:r>
        <w:rPr>
          <w:color w:val="000000"/>
          <w:szCs w:val="22"/>
        </w:rPr>
        <w:t>œuvre</w:t>
      </w:r>
      <w:r w:rsidRPr="00873110">
        <w:rPr>
          <w:color w:val="000000"/>
          <w:szCs w:val="22"/>
        </w:rPr>
        <w:t xml:space="preserve"> aux variations de l'économie. Comme le souligne le rapport, « en appliquant des p</w:t>
      </w:r>
      <w:r w:rsidRPr="00873110">
        <w:rPr>
          <w:color w:val="000000"/>
          <w:szCs w:val="22"/>
        </w:rPr>
        <w:t>o</w:t>
      </w:r>
      <w:r w:rsidRPr="00873110">
        <w:rPr>
          <w:color w:val="000000"/>
          <w:szCs w:val="22"/>
        </w:rPr>
        <w:t>litiques sélectives pour faciliter l'adaptation de la pop</w:t>
      </w:r>
      <w:r w:rsidRPr="00873110">
        <w:rPr>
          <w:color w:val="000000"/>
          <w:szCs w:val="22"/>
        </w:rPr>
        <w:t>u</w:t>
      </w:r>
      <w:r w:rsidRPr="00873110">
        <w:rPr>
          <w:color w:val="000000"/>
          <w:szCs w:val="22"/>
        </w:rPr>
        <w:t>lation active, le Canada pouvait accroître sensiblement son rendement, sa productivité et son taux d'emploi »</w:t>
      </w:r>
      <w:r>
        <w:rPr>
          <w:color w:val="000000"/>
          <w:szCs w:val="22"/>
        </w:rPr>
        <w:t> </w:t>
      </w:r>
      <w:r w:rsidRPr="000A019C">
        <w:rPr>
          <w:rStyle w:val="Appelnotedebasdep"/>
        </w:rPr>
        <w:footnoteReference w:id="448"/>
      </w:r>
      <w:r w:rsidRPr="00873110">
        <w:rPr>
          <w:color w:val="000000"/>
          <w:szCs w:val="22"/>
        </w:rPr>
        <w:t>.</w:t>
      </w:r>
    </w:p>
    <w:p w:rsidR="00AD690E" w:rsidRPr="00873110" w:rsidRDefault="00AD690E" w:rsidP="00AD690E">
      <w:pPr>
        <w:spacing w:before="120" w:after="120"/>
        <w:jc w:val="both"/>
      </w:pPr>
      <w:r w:rsidRPr="00873110">
        <w:rPr>
          <w:color w:val="000000"/>
          <w:szCs w:val="22"/>
        </w:rPr>
        <w:t>Parallèlement aux travaux de ce groupe d'étude, le gouvernement fédéral mit sur pied un autre groupe de travail ayant pour tâche d'an</w:t>
      </w:r>
      <w:r w:rsidRPr="00873110">
        <w:rPr>
          <w:color w:val="000000"/>
          <w:szCs w:val="22"/>
        </w:rPr>
        <w:t>a</w:t>
      </w:r>
      <w:r w:rsidRPr="00873110">
        <w:rPr>
          <w:color w:val="000000"/>
          <w:szCs w:val="22"/>
        </w:rPr>
        <w:t>lyser les perspectives d'emploi pour les années 1980. Ce groupe fut composé de représentants des trois partis politiques</w:t>
      </w:r>
      <w:r>
        <w:rPr>
          <w:color w:val="000000"/>
          <w:szCs w:val="22"/>
        </w:rPr>
        <w:t> </w:t>
      </w:r>
      <w:r w:rsidRPr="000A019C">
        <w:rPr>
          <w:rStyle w:val="Appelnotedebasdep"/>
        </w:rPr>
        <w:footnoteReference w:id="449"/>
      </w:r>
      <w:r w:rsidRPr="00873110">
        <w:rPr>
          <w:color w:val="000000"/>
          <w:szCs w:val="22"/>
        </w:rPr>
        <w:t xml:space="preserve"> issus de toutes les régions du pays et réalisa son étude en s'appuyant sur une ronde d'audiences publiques. Le mandat proposé à ce comité de travail était :</w:t>
      </w:r>
    </w:p>
    <w:p w:rsidR="00AD690E" w:rsidRDefault="00AD690E" w:rsidP="00AD690E">
      <w:pPr>
        <w:pStyle w:val="Grillecouleur-Accent1"/>
      </w:pPr>
    </w:p>
    <w:p w:rsidR="00AD690E" w:rsidRDefault="00AD690E" w:rsidP="00AD690E">
      <w:pPr>
        <w:pStyle w:val="Grillecouleur-Accent1"/>
        <w:rPr>
          <w:i/>
        </w:rPr>
      </w:pPr>
      <w:r w:rsidRPr="00D518E0">
        <w:t>De faire des études et des rapports sur les pénuries de main-d'œuvre sp</w:t>
      </w:r>
      <w:r w:rsidRPr="00D518E0">
        <w:t>é</w:t>
      </w:r>
      <w:r w:rsidRPr="00D518E0">
        <w:t>cialisée dans certains métiers et professions au Canada compte tenu des besoins du développement économique des années 1980, et de recomma</w:t>
      </w:r>
      <w:r w:rsidRPr="00D518E0">
        <w:t>n</w:t>
      </w:r>
      <w:r w:rsidRPr="00D518E0">
        <w:t>der les initiatives qu'il jugera bonnes, de revoir les politiques et progra</w:t>
      </w:r>
      <w:r w:rsidRPr="00D518E0">
        <w:t>m</w:t>
      </w:r>
      <w:r w:rsidRPr="00D518E0">
        <w:t>mes fédéraux actuels destinés à pallier les pénuries de spécialistes et s'i</w:t>
      </w:r>
      <w:r w:rsidRPr="00D518E0">
        <w:t>n</w:t>
      </w:r>
      <w:r w:rsidRPr="00D518E0">
        <w:t>former des points de vue des spécialistes de l'industrie de la main-d'œuvre, du bénévolat, des ressources humaines et de l'enseignement en cette mati</w:t>
      </w:r>
      <w:r w:rsidRPr="00D518E0">
        <w:t>è</w:t>
      </w:r>
      <w:r w:rsidRPr="00D518E0">
        <w:t>re</w:t>
      </w:r>
      <w:r>
        <w:t> </w:t>
      </w:r>
      <w:r>
        <w:rPr>
          <w:rStyle w:val="Appelnotedebasdep"/>
          <w:szCs w:val="24"/>
        </w:rPr>
        <w:footnoteReference w:id="450"/>
      </w:r>
      <w:r w:rsidRPr="00D518E0">
        <w:t>.</w:t>
      </w:r>
    </w:p>
    <w:p w:rsidR="00AD690E" w:rsidRPr="000217F5" w:rsidRDefault="00AD690E" w:rsidP="00AD690E">
      <w:pPr>
        <w:pStyle w:val="Grillecouleur-Accent1"/>
        <w:rPr>
          <w:i/>
        </w:rPr>
      </w:pPr>
      <w:r>
        <w:rPr>
          <w:i/>
        </w:rPr>
        <w:br w:type="page"/>
      </w:r>
    </w:p>
    <w:p w:rsidR="00AD690E" w:rsidRPr="00873110" w:rsidRDefault="00AD690E" w:rsidP="00AD690E">
      <w:pPr>
        <w:spacing w:before="120" w:after="120"/>
        <w:jc w:val="both"/>
      </w:pPr>
      <w:r w:rsidRPr="00873110">
        <w:rPr>
          <w:color w:val="000000"/>
          <w:szCs w:val="22"/>
        </w:rPr>
        <w:t>À nouveau, le gouvernement fédéral souleva donc les problèmes de l'économie canadienne en se questionnant sur les capacités de la main-d'</w:t>
      </w:r>
      <w:r>
        <w:rPr>
          <w:color w:val="000000"/>
          <w:szCs w:val="22"/>
        </w:rPr>
        <w:t>œuvre</w:t>
      </w:r>
      <w:r w:rsidRPr="00873110">
        <w:rPr>
          <w:color w:val="000000"/>
          <w:szCs w:val="22"/>
        </w:rPr>
        <w:t xml:space="preserve"> à s'adapter au changement. En effet, plutôt que de tenter de saisir les enjeux du développement économique, il préféra accepter la fatalité de ces changements en incitant la population à s'adapter aux nouvelles tendances de l'économie. Il existait donc, selon cette anal</w:t>
      </w:r>
      <w:r w:rsidRPr="00873110">
        <w:rPr>
          <w:color w:val="000000"/>
          <w:szCs w:val="22"/>
        </w:rPr>
        <w:t>y</w:t>
      </w:r>
      <w:r w:rsidRPr="00873110">
        <w:rPr>
          <w:color w:val="000000"/>
          <w:szCs w:val="22"/>
        </w:rPr>
        <w:t>se, une inadéquation entre les ressources de main-d'oeuvre et les d</w:t>
      </w:r>
      <w:r w:rsidRPr="00873110">
        <w:rPr>
          <w:color w:val="000000"/>
          <w:szCs w:val="22"/>
        </w:rPr>
        <w:t>e</w:t>
      </w:r>
      <w:r w:rsidRPr="00873110">
        <w:rPr>
          <w:color w:val="000000"/>
          <w:szCs w:val="22"/>
        </w:rPr>
        <w:t>mandes du marché du travail. À cet égard, certaines constatations i</w:t>
      </w:r>
      <w:r w:rsidRPr="00873110">
        <w:rPr>
          <w:color w:val="000000"/>
          <w:szCs w:val="22"/>
        </w:rPr>
        <w:t>n</w:t>
      </w:r>
      <w:r w:rsidRPr="00873110">
        <w:rPr>
          <w:color w:val="000000"/>
          <w:szCs w:val="22"/>
        </w:rPr>
        <w:t>diquaient qu'il y avait bel et bien pénurie de travailleurs spécialisés au Canada.</w:t>
      </w:r>
      <w:r w:rsidRPr="00210FA9">
        <w:t xml:space="preserve"> </w:t>
      </w:r>
    </w:p>
    <w:p w:rsidR="00AD690E" w:rsidRPr="00873110" w:rsidRDefault="00AD690E" w:rsidP="00AD690E">
      <w:pPr>
        <w:spacing w:before="120" w:after="120"/>
        <w:jc w:val="both"/>
      </w:pPr>
      <w:r w:rsidRPr="00873110">
        <w:rPr>
          <w:color w:val="000000"/>
          <w:szCs w:val="22"/>
        </w:rPr>
        <w:t>En général, les pénuries furent imputées à un manque de form</w:t>
      </w:r>
      <w:r w:rsidRPr="00873110">
        <w:rPr>
          <w:color w:val="000000"/>
          <w:szCs w:val="22"/>
        </w:rPr>
        <w:t>a</w:t>
      </w:r>
      <w:r w:rsidRPr="00873110">
        <w:rPr>
          <w:color w:val="000000"/>
          <w:szCs w:val="22"/>
        </w:rPr>
        <w:t>tion, à des attitudes négatives, à des obstacles d'ordre social, à la bai</w:t>
      </w:r>
      <w:r w:rsidRPr="00873110">
        <w:rPr>
          <w:color w:val="000000"/>
          <w:szCs w:val="22"/>
        </w:rPr>
        <w:t>s</w:t>
      </w:r>
      <w:r w:rsidRPr="00873110">
        <w:rPr>
          <w:color w:val="000000"/>
          <w:szCs w:val="22"/>
        </w:rPr>
        <w:t>se de la natalité et à une immigration moins forte. Certains indices laissaient cependant croire que moins de 20</w:t>
      </w:r>
      <w:r>
        <w:rPr>
          <w:color w:val="000000"/>
          <w:szCs w:val="22"/>
        </w:rPr>
        <w:t>%</w:t>
      </w:r>
      <w:r w:rsidRPr="00873110">
        <w:rPr>
          <w:color w:val="000000"/>
          <w:szCs w:val="22"/>
        </w:rPr>
        <w:t xml:space="preserve"> des entreprises can</w:t>
      </w:r>
      <w:r w:rsidRPr="00873110">
        <w:rPr>
          <w:color w:val="000000"/>
          <w:szCs w:val="22"/>
        </w:rPr>
        <w:t>a</w:t>
      </w:r>
      <w:r w:rsidRPr="00873110">
        <w:rPr>
          <w:color w:val="000000"/>
          <w:szCs w:val="22"/>
        </w:rPr>
        <w:t>diennes assuraient une formation en cours d'emploi. De nombreux employeurs n'offraient pas de formation parce qu'il leur était plus fac</w:t>
      </w:r>
      <w:r w:rsidRPr="00873110">
        <w:rPr>
          <w:color w:val="000000"/>
          <w:szCs w:val="22"/>
        </w:rPr>
        <w:t>i</w:t>
      </w:r>
      <w:r w:rsidRPr="00873110">
        <w:rPr>
          <w:color w:val="000000"/>
          <w:szCs w:val="22"/>
        </w:rPr>
        <w:t>le et moins coûteux de trouver du personnel spécialisé. D'autres n'o</w:t>
      </w:r>
      <w:r w:rsidRPr="00873110">
        <w:rPr>
          <w:color w:val="000000"/>
          <w:szCs w:val="22"/>
        </w:rPr>
        <w:t>f</w:t>
      </w:r>
      <w:r w:rsidRPr="00873110">
        <w:rPr>
          <w:color w:val="000000"/>
          <w:szCs w:val="22"/>
        </w:rPr>
        <w:t>fraient pas de formation, de crainte que les autres employeurs ne s'emparent de leur personnel qualifié.</w:t>
      </w:r>
      <w:r w:rsidRPr="00210FA9">
        <w:t xml:space="preserve"> </w:t>
      </w:r>
    </w:p>
    <w:p w:rsidR="00AD690E" w:rsidRPr="00873110" w:rsidRDefault="00AD690E" w:rsidP="00AD690E">
      <w:pPr>
        <w:spacing w:before="120" w:after="120"/>
        <w:jc w:val="both"/>
      </w:pPr>
      <w:r w:rsidRPr="00873110">
        <w:rPr>
          <w:color w:val="000000"/>
          <w:szCs w:val="22"/>
        </w:rPr>
        <w:t>À long terme, les pénuries furent également imputées aux lacunes des politiques relatives à l'emploi, à la formation et à l'industrie, de même qu'au</w:t>
      </w:r>
      <w:r>
        <w:rPr>
          <w:color w:val="000000"/>
          <w:szCs w:val="22"/>
        </w:rPr>
        <w:t xml:space="preserve"> </w:t>
      </w:r>
      <w:r>
        <w:rPr>
          <w:color w:val="000000"/>
          <w:szCs w:val="18"/>
        </w:rPr>
        <w:t>[</w:t>
      </w:r>
      <w:r w:rsidRPr="00873110">
        <w:rPr>
          <w:rFonts w:cs="Arial"/>
          <w:color w:val="000000"/>
          <w:szCs w:val="18"/>
        </w:rPr>
        <w:t>252</w:t>
      </w:r>
      <w:r>
        <w:rPr>
          <w:rFonts w:cs="Arial"/>
          <w:color w:val="000000"/>
          <w:szCs w:val="18"/>
        </w:rPr>
        <w:t xml:space="preserve">] </w:t>
      </w:r>
      <w:r w:rsidRPr="00873110">
        <w:rPr>
          <w:color w:val="000000"/>
        </w:rPr>
        <w:t>manque de coordination entre tous les paliers de gouvernement et e</w:t>
      </w:r>
      <w:r w:rsidRPr="00873110">
        <w:rPr>
          <w:color w:val="000000"/>
        </w:rPr>
        <w:t>n</w:t>
      </w:r>
      <w:r w:rsidRPr="00873110">
        <w:rPr>
          <w:color w:val="000000"/>
        </w:rPr>
        <w:t>tre le secteur public et le secteur privé</w:t>
      </w:r>
      <w:r>
        <w:rPr>
          <w:color w:val="000000"/>
        </w:rPr>
        <w:t> </w:t>
      </w:r>
      <w:r w:rsidRPr="000A019C">
        <w:rPr>
          <w:rStyle w:val="Appelnotedebasdep"/>
        </w:rPr>
        <w:footnoteReference w:id="451"/>
      </w:r>
      <w:r w:rsidRPr="00873110">
        <w:rPr>
          <w:color w:val="000000"/>
        </w:rPr>
        <w:t>.</w:t>
      </w:r>
    </w:p>
    <w:p w:rsidR="00AD690E" w:rsidRPr="00873110" w:rsidRDefault="00AD690E" w:rsidP="00AD690E">
      <w:pPr>
        <w:spacing w:before="120" w:after="120"/>
        <w:jc w:val="both"/>
      </w:pPr>
      <w:r w:rsidRPr="00873110">
        <w:rPr>
          <w:color w:val="000000"/>
        </w:rPr>
        <w:t>Au terme des travaux de ces comités, on assista à une réorganis</w:t>
      </w:r>
      <w:r w:rsidRPr="00873110">
        <w:rPr>
          <w:color w:val="000000"/>
        </w:rPr>
        <w:t>a</w:t>
      </w:r>
      <w:r w:rsidRPr="00873110">
        <w:rPr>
          <w:color w:val="000000"/>
        </w:rPr>
        <w:t>tion des politiques de formation et des stratégies d'encadrement de la main-d'oeuvre. Ainsi, face aux limites des mesures appliquées ant</w:t>
      </w:r>
      <w:r w:rsidRPr="00873110">
        <w:rPr>
          <w:color w:val="000000"/>
        </w:rPr>
        <w:t>é</w:t>
      </w:r>
      <w:r w:rsidRPr="00873110">
        <w:rPr>
          <w:color w:val="000000"/>
        </w:rPr>
        <w:t>rieurement et à leur faible incidence sur les déséquilibres du marché du travail, le gouvernement fédéral accentue son implication dans le dossier de la formation et joue un rôle plus actif dans l'établissement des orientations et des modalités d'application de ces politiques. En fait, le fédéral s'attribua le leadership dans ce dossier. Il s'agissait d'un renversement important de situation puisque, jusque-là, les provinces, et plus particulièrement le Québec, étaient très jalouses de leur aut</w:t>
      </w:r>
      <w:r w:rsidRPr="00873110">
        <w:rPr>
          <w:color w:val="000000"/>
        </w:rPr>
        <w:t>o</w:t>
      </w:r>
      <w:r w:rsidRPr="00873110">
        <w:rPr>
          <w:color w:val="000000"/>
        </w:rPr>
        <w:t>nomie.</w:t>
      </w:r>
    </w:p>
    <w:p w:rsidR="00AD690E" w:rsidRPr="00873110" w:rsidRDefault="00AD690E" w:rsidP="00AD690E">
      <w:pPr>
        <w:spacing w:before="120" w:after="120"/>
        <w:jc w:val="both"/>
      </w:pPr>
      <w:r w:rsidRPr="00873110">
        <w:rPr>
          <w:color w:val="000000"/>
        </w:rPr>
        <w:t>Le gouvernement fédéral instaura donc, en 1982, le Programme national de formation (PNF), qui fut négocié avec les provinces, dont le Québec, par le biais des accords Canada/Québec. En vertu de ce programme, Ottawa investit plus de 140 millions de dollars en form</w:t>
      </w:r>
      <w:r w:rsidRPr="00873110">
        <w:rPr>
          <w:color w:val="000000"/>
        </w:rPr>
        <w:t>a</w:t>
      </w:r>
      <w:r w:rsidRPr="00873110">
        <w:rPr>
          <w:color w:val="000000"/>
        </w:rPr>
        <w:t>tion, ce qui correspondit en 1984-1985 à près de 41</w:t>
      </w:r>
      <w:r>
        <w:rPr>
          <w:color w:val="000000"/>
        </w:rPr>
        <w:t>%</w:t>
      </w:r>
      <w:r w:rsidRPr="00873110">
        <w:rPr>
          <w:color w:val="000000"/>
        </w:rPr>
        <w:t xml:space="preserve"> des dépenses publiques consacrées au Québec à l'éducation des adultes. Avec le Programme national de formation, le gouvernement fédéral établit des priorités nationales de formation à offrir à la main-d'oeuvre. Les pol</w:t>
      </w:r>
      <w:r w:rsidRPr="00873110">
        <w:rPr>
          <w:color w:val="000000"/>
        </w:rPr>
        <w:t>i</w:t>
      </w:r>
      <w:r w:rsidRPr="00873110">
        <w:rPr>
          <w:color w:val="000000"/>
        </w:rPr>
        <w:t>tiques de main-d'oeuvre y furent développées indépendamment de la situation du chômage, des priorités provinciales ou des dynamiques de développement sectorielles.</w:t>
      </w:r>
    </w:p>
    <w:p w:rsidR="00AD690E" w:rsidRPr="00873110" w:rsidRDefault="00AD690E" w:rsidP="00AD690E">
      <w:pPr>
        <w:spacing w:before="120" w:after="120"/>
        <w:jc w:val="both"/>
      </w:pPr>
      <w:r w:rsidRPr="00873110">
        <w:rPr>
          <w:color w:val="000000"/>
        </w:rPr>
        <w:t>Entre temps, le gouvernement fédéral proposa à nouveau aux pr</w:t>
      </w:r>
      <w:r w:rsidRPr="00873110">
        <w:rPr>
          <w:color w:val="000000"/>
        </w:rPr>
        <w:t>o</w:t>
      </w:r>
      <w:r w:rsidRPr="00873110">
        <w:rPr>
          <w:color w:val="000000"/>
        </w:rPr>
        <w:t>vinces une stratégie visant à aller encore plus loin dans le contrôle de la politique de main-d'oeuvre. Le document Planification de l'emploi, rendu public en 1985, se voulait être un plan de formation et de cré</w:t>
      </w:r>
      <w:r w:rsidRPr="00873110">
        <w:rPr>
          <w:color w:val="000000"/>
        </w:rPr>
        <w:t>a</w:t>
      </w:r>
      <w:r w:rsidRPr="00873110">
        <w:rPr>
          <w:color w:val="000000"/>
        </w:rPr>
        <w:t>tion d'emploi. Selon les principes de base de ce document, les no</w:t>
      </w:r>
      <w:r w:rsidRPr="00873110">
        <w:rPr>
          <w:color w:val="000000"/>
        </w:rPr>
        <w:t>u</w:t>
      </w:r>
      <w:r w:rsidRPr="00873110">
        <w:rPr>
          <w:color w:val="000000"/>
        </w:rPr>
        <w:t>veaux volets devaient :</w:t>
      </w:r>
    </w:p>
    <w:p w:rsidR="00AD690E" w:rsidRDefault="00AD690E" w:rsidP="00AD690E">
      <w:pPr>
        <w:spacing w:before="120" w:after="120"/>
        <w:jc w:val="both"/>
        <w:rPr>
          <w:color w:val="000000"/>
          <w:szCs w:val="18"/>
        </w:rPr>
      </w:pPr>
    </w:p>
    <w:p w:rsidR="00AD690E" w:rsidRPr="00873110" w:rsidRDefault="00AD690E" w:rsidP="00AD690E">
      <w:pPr>
        <w:pStyle w:val="citationliste"/>
      </w:pPr>
      <w:r>
        <w:t>-</w:t>
      </w:r>
      <w:r>
        <w:tab/>
      </w:r>
      <w:r w:rsidRPr="00873110">
        <w:t>être axés sur les besoins réels et permanents du marché du travail, surtout en ce qui concerne les petites entreprises et les entrepr</w:t>
      </w:r>
      <w:r w:rsidRPr="00873110">
        <w:t>e</w:t>
      </w:r>
      <w:r w:rsidRPr="00873110">
        <w:t>neurs ;</w:t>
      </w:r>
    </w:p>
    <w:p w:rsidR="00AD690E" w:rsidRPr="00873110" w:rsidRDefault="00AD690E" w:rsidP="00AD690E">
      <w:pPr>
        <w:pStyle w:val="citationliste"/>
      </w:pPr>
      <w:r>
        <w:t>-</w:t>
      </w:r>
      <w:r>
        <w:tab/>
      </w:r>
      <w:r w:rsidRPr="00873110">
        <w:t>être adaptables aux divers besoins régionaux et locaux, tout en laissant place à l'innovation ;</w:t>
      </w:r>
    </w:p>
    <w:p w:rsidR="00AD690E" w:rsidRPr="00873110" w:rsidRDefault="00AD690E" w:rsidP="00AD690E">
      <w:pPr>
        <w:pStyle w:val="citationliste"/>
      </w:pPr>
      <w:r>
        <w:t>-</w:t>
      </w:r>
      <w:r>
        <w:tab/>
      </w:r>
      <w:r w:rsidRPr="00873110">
        <w:t>découler de programmes plus simples, plus faciles à comprendre et plus accessibles, lesquels comporteraient des objectifs clairement définis ;</w:t>
      </w:r>
    </w:p>
    <w:p w:rsidR="00AD690E" w:rsidRPr="00873110" w:rsidRDefault="00AD690E" w:rsidP="00AD690E">
      <w:pPr>
        <w:pStyle w:val="citationliste"/>
      </w:pPr>
      <w:r>
        <w:t>-</w:t>
      </w:r>
      <w:r>
        <w:tab/>
      </w:r>
      <w:r w:rsidRPr="00873110">
        <w:t>reconnaître les responsabilités communes du gouvernement féd</w:t>
      </w:r>
      <w:r w:rsidRPr="00873110">
        <w:t>é</w:t>
      </w:r>
      <w:r w:rsidRPr="00873110">
        <w:t>ral, des provinces et du secteur privé ;</w:t>
      </w:r>
    </w:p>
    <w:p w:rsidR="00AD690E" w:rsidRPr="00873110" w:rsidRDefault="00AD690E" w:rsidP="00AD690E">
      <w:pPr>
        <w:pStyle w:val="citationliste"/>
      </w:pPr>
      <w:r>
        <w:t>-</w:t>
      </w:r>
      <w:r>
        <w:tab/>
      </w:r>
      <w:r w:rsidRPr="00873110">
        <w:t>donner une chance égale à tous les Canadiens, en</w:t>
      </w:r>
      <w:r>
        <w:t xml:space="preserve"> </w:t>
      </w:r>
      <w:r w:rsidRPr="00873110">
        <w:t>particulier ceux qui sont défavorisés sur le plan de l'emploi</w:t>
      </w:r>
      <w:r>
        <w:t> </w:t>
      </w:r>
      <w:r w:rsidRPr="000A019C">
        <w:rPr>
          <w:rStyle w:val="Appelnotedebasdep"/>
          <w:szCs w:val="18"/>
        </w:rPr>
        <w:footnoteReference w:id="452"/>
      </w:r>
      <w:r w:rsidRPr="00873110">
        <w:t>.</w:t>
      </w:r>
    </w:p>
    <w:p w:rsidR="00AD690E" w:rsidRPr="000B0389" w:rsidRDefault="00AD690E" w:rsidP="00AD690E">
      <w:pPr>
        <w:spacing w:before="120" w:after="120"/>
        <w:jc w:val="both"/>
        <w:rPr>
          <w:color w:val="000000"/>
        </w:rPr>
      </w:pPr>
      <w:r>
        <w:br w:type="page"/>
      </w:r>
      <w:r w:rsidRPr="000B0389">
        <w:rPr>
          <w:color w:val="000000"/>
        </w:rPr>
        <w:t>[253]</w:t>
      </w:r>
    </w:p>
    <w:p w:rsidR="00AD690E" w:rsidRPr="00873110" w:rsidRDefault="00AD690E" w:rsidP="00AD690E">
      <w:pPr>
        <w:spacing w:before="120" w:after="120"/>
        <w:jc w:val="both"/>
      </w:pPr>
      <w:r w:rsidRPr="00873110">
        <w:rPr>
          <w:color w:val="000000"/>
        </w:rPr>
        <w:t>Ce projet visait à rejoindre des catégories de population qui épro</w:t>
      </w:r>
      <w:r w:rsidRPr="00873110">
        <w:rPr>
          <w:color w:val="000000"/>
        </w:rPr>
        <w:t>u</w:t>
      </w:r>
      <w:r w:rsidRPr="00873110">
        <w:rPr>
          <w:color w:val="000000"/>
        </w:rPr>
        <w:t>vaient des difficultés graves sur le plan de l'emploi et qui étaient affe</w:t>
      </w:r>
      <w:r w:rsidRPr="00873110">
        <w:rPr>
          <w:color w:val="000000"/>
        </w:rPr>
        <w:t>c</w:t>
      </w:r>
      <w:r w:rsidRPr="00873110">
        <w:rPr>
          <w:color w:val="000000"/>
        </w:rPr>
        <w:t>tées par des changements technologiques, à savoir les chômeurs chr</w:t>
      </w:r>
      <w:r w:rsidRPr="00873110">
        <w:rPr>
          <w:color w:val="000000"/>
        </w:rPr>
        <w:t>o</w:t>
      </w:r>
      <w:r w:rsidRPr="00873110">
        <w:rPr>
          <w:color w:val="000000"/>
        </w:rPr>
        <w:t>niques, les jeunes décrocheurs, les femmes désireuses de réintégrer le marché du travail, les travailleurs en recyclage, les populations to</w:t>
      </w:r>
      <w:r w:rsidRPr="00873110">
        <w:rPr>
          <w:color w:val="000000"/>
        </w:rPr>
        <w:t>u</w:t>
      </w:r>
      <w:r w:rsidRPr="00873110">
        <w:rPr>
          <w:color w:val="000000"/>
        </w:rPr>
        <w:t>chées par un ralentissement économique dans leur région, etc.</w:t>
      </w:r>
    </w:p>
    <w:p w:rsidR="00AD690E" w:rsidRPr="00873110" w:rsidRDefault="00AD690E" w:rsidP="00AD690E">
      <w:pPr>
        <w:spacing w:before="120" w:after="120"/>
        <w:jc w:val="both"/>
      </w:pPr>
      <w:r w:rsidRPr="00873110">
        <w:rPr>
          <w:color w:val="000000"/>
        </w:rPr>
        <w:t>La formation professionnelle, la création d'emplois et le dévelo</w:t>
      </w:r>
      <w:r w:rsidRPr="00873110">
        <w:rPr>
          <w:color w:val="000000"/>
        </w:rPr>
        <w:t>p</w:t>
      </w:r>
      <w:r w:rsidRPr="00873110">
        <w:rPr>
          <w:color w:val="000000"/>
        </w:rPr>
        <w:t>pement économique furent donc liés afin de permettre à la population d'acquérir des « compétences utiles ainsi qu'une expérience de travail pratique »</w:t>
      </w:r>
      <w:r>
        <w:rPr>
          <w:color w:val="000000"/>
        </w:rPr>
        <w:t> </w:t>
      </w:r>
      <w:r w:rsidRPr="000A019C">
        <w:rPr>
          <w:rStyle w:val="Appelnotedebasdep"/>
        </w:rPr>
        <w:footnoteReference w:id="453"/>
      </w:r>
      <w:r w:rsidRPr="00873110">
        <w:rPr>
          <w:color w:val="000000"/>
        </w:rPr>
        <w:t>. L'un des volets novateur de la Planification de l'emploi voulait favoriser la réalisation d'initiatives par des intervenants de l'e</w:t>
      </w:r>
      <w:r w:rsidRPr="00873110">
        <w:rPr>
          <w:color w:val="000000"/>
        </w:rPr>
        <w:t>x</w:t>
      </w:r>
      <w:r w:rsidRPr="00873110">
        <w:rPr>
          <w:color w:val="000000"/>
        </w:rPr>
        <w:t>térieur du gouvernement. Il encouragea les organismes et les citoyens canadiens à mettre à profit leurs compétences en cherchant des idées et solutions innovatrices pour les problèmes du marché du travail</w:t>
      </w:r>
      <w:r>
        <w:rPr>
          <w:color w:val="000000"/>
        </w:rPr>
        <w:t> </w:t>
      </w:r>
      <w:r w:rsidRPr="000A019C">
        <w:rPr>
          <w:rStyle w:val="Appelnotedebasdep"/>
        </w:rPr>
        <w:footnoteReference w:id="454"/>
      </w:r>
      <w:r w:rsidRPr="00873110">
        <w:rPr>
          <w:color w:val="000000"/>
        </w:rPr>
        <w:t>.</w:t>
      </w:r>
    </w:p>
    <w:p w:rsidR="00AD690E" w:rsidRPr="00873110" w:rsidRDefault="00AD690E" w:rsidP="00AD690E">
      <w:pPr>
        <w:spacing w:before="120" w:after="120"/>
        <w:jc w:val="both"/>
      </w:pPr>
      <w:r w:rsidRPr="00873110">
        <w:rPr>
          <w:color w:val="000000"/>
        </w:rPr>
        <w:t>La Planification de l'emploi dessinait un projet de revitalisation du marché du travail en réponse aux changements technologiques et aux nouveaux besoins de formation. Elle intégrait les projets de formation en industrie et de formation en établissement en vue, toujours, de permettre une meilleure adéquation entre les besoins des entreprises et la formation dispensée.</w:t>
      </w:r>
    </w:p>
    <w:p w:rsidR="00AD690E" w:rsidRDefault="00AD690E" w:rsidP="00AD690E">
      <w:pPr>
        <w:spacing w:before="120" w:after="120"/>
        <w:jc w:val="both"/>
        <w:rPr>
          <w:color w:val="000000"/>
        </w:rPr>
      </w:pPr>
      <w:r w:rsidRPr="00873110">
        <w:rPr>
          <w:color w:val="000000"/>
        </w:rPr>
        <w:t>À ce stade-ci, il est opportun de faire un retour sur le contenu des accords Canada/Québec qui prévalaient avant l'implantation de la str</w:t>
      </w:r>
      <w:r w:rsidRPr="00873110">
        <w:rPr>
          <w:color w:val="000000"/>
        </w:rPr>
        <w:t>a</w:t>
      </w:r>
      <w:r w:rsidRPr="00873110">
        <w:rPr>
          <w:color w:val="000000"/>
        </w:rPr>
        <w:t>tégie de planification de l'emploi, pour bien saisir les différences et leur impact, notamment pour le Québec. Selon l'accord signé en 1982, la formation en établissement scolaire constituait la composante m</w:t>
      </w:r>
      <w:r w:rsidRPr="00873110">
        <w:rPr>
          <w:color w:val="000000"/>
        </w:rPr>
        <w:t>a</w:t>
      </w:r>
      <w:r w:rsidRPr="00873110">
        <w:rPr>
          <w:color w:val="000000"/>
        </w:rPr>
        <w:t>jeure de la stratégie gouvernementale. En 1984-1985, la Commission de l'emploi et de l'immigration investit 139 millions</w:t>
      </w:r>
      <w:r>
        <w:rPr>
          <w:color w:val="000000"/>
        </w:rPr>
        <w:t> </w:t>
      </w:r>
      <w:r w:rsidRPr="000A019C">
        <w:rPr>
          <w:rStyle w:val="Appelnotedebasdep"/>
        </w:rPr>
        <w:footnoteReference w:id="455"/>
      </w:r>
      <w:r w:rsidRPr="00873110">
        <w:rPr>
          <w:color w:val="000000"/>
        </w:rPr>
        <w:t>. La même somme fut déposée en 1985-1986 pour financer des cours de form</w:t>
      </w:r>
      <w:r w:rsidRPr="00873110">
        <w:rPr>
          <w:color w:val="000000"/>
        </w:rPr>
        <w:t>a</w:t>
      </w:r>
      <w:r w:rsidRPr="00873110">
        <w:rPr>
          <w:color w:val="000000"/>
        </w:rPr>
        <w:t>tion professionnelle pour les adultes et des cours de formation aux immigrants dans les établissements publics d'enseignement. De ce budget, 40</w:t>
      </w:r>
      <w:r>
        <w:rPr>
          <w:color w:val="000000"/>
        </w:rPr>
        <w:t>%</w:t>
      </w:r>
      <w:r w:rsidRPr="00873110">
        <w:rPr>
          <w:color w:val="000000"/>
        </w:rPr>
        <w:t xml:space="preserve"> fut attribué aux frais d'administration et d'encadrement et l'autre 60</w:t>
      </w:r>
      <w:r>
        <w:rPr>
          <w:color w:val="000000"/>
        </w:rPr>
        <w:t>%</w:t>
      </w:r>
      <w:r w:rsidRPr="00873110">
        <w:rPr>
          <w:color w:val="000000"/>
        </w:rPr>
        <w:t>, aux coûts de formation. C'est la Commission d'emploi et d'immigration du Canada (CEIC) et le Québec qui, conjointement, établirent la liste des cours à être dispensés durant l'année à partir des besoins de formation prévus et des priorités retenues. La sélection des stagiaires qui devaient participer au programme fut réalisée par la CEIC. Toutefois, le Québec était habilité à recruter des stagiaires et à les référer à la CEIC</w:t>
      </w:r>
      <w:r>
        <w:rPr>
          <w:color w:val="000000"/>
        </w:rPr>
        <w:t> </w:t>
      </w:r>
      <w:r w:rsidRPr="000A019C">
        <w:rPr>
          <w:rStyle w:val="Appelnotedebasdep"/>
        </w:rPr>
        <w:footnoteReference w:id="456"/>
      </w:r>
      <w:r w:rsidRPr="00873110">
        <w:rPr>
          <w:color w:val="000000"/>
        </w:rPr>
        <w:t>. Dans les faits, ce sont principalement les inst</w:t>
      </w:r>
      <w:r w:rsidRPr="00873110">
        <w:rPr>
          <w:color w:val="000000"/>
        </w:rPr>
        <w:t>i</w:t>
      </w:r>
      <w:r w:rsidRPr="00873110">
        <w:rPr>
          <w:color w:val="000000"/>
        </w:rPr>
        <w:t>tutions publiques d'enseignement qui ont été appelées à assumer ces tâches.</w:t>
      </w:r>
    </w:p>
    <w:p w:rsidR="00AD690E" w:rsidRPr="00873110" w:rsidRDefault="00AD690E" w:rsidP="00AD690E">
      <w:pPr>
        <w:spacing w:before="120" w:after="120"/>
        <w:jc w:val="both"/>
      </w:pPr>
      <w:r>
        <w:rPr>
          <w:color w:val="000000"/>
          <w:szCs w:val="18"/>
        </w:rPr>
        <w:t>[</w:t>
      </w:r>
      <w:r w:rsidRPr="00873110">
        <w:rPr>
          <w:rFonts w:cs="Arial"/>
          <w:color w:val="000000"/>
          <w:szCs w:val="18"/>
        </w:rPr>
        <w:t>254</w:t>
      </w:r>
      <w:r>
        <w:rPr>
          <w:rFonts w:cs="Arial"/>
          <w:color w:val="000000"/>
          <w:szCs w:val="18"/>
        </w:rPr>
        <w:t>]</w:t>
      </w:r>
    </w:p>
    <w:p w:rsidR="00AD690E" w:rsidRDefault="00AD690E" w:rsidP="00AD690E">
      <w:pPr>
        <w:spacing w:before="120" w:after="120"/>
        <w:jc w:val="both"/>
        <w:rPr>
          <w:color w:val="000000"/>
          <w:szCs w:val="22"/>
        </w:rPr>
      </w:pPr>
    </w:p>
    <w:p w:rsidR="00AD690E" w:rsidRPr="00873110" w:rsidRDefault="00AD690E" w:rsidP="00AD690E">
      <w:pPr>
        <w:pStyle w:val="planche"/>
      </w:pPr>
      <w:r w:rsidRPr="00873110">
        <w:t>LES TENDANCES ACTUELLES</w:t>
      </w:r>
    </w:p>
    <w:p w:rsidR="00AD690E" w:rsidRDefault="00AD690E" w:rsidP="00AD690E">
      <w:pPr>
        <w:spacing w:before="120" w:after="120"/>
        <w:jc w:val="both"/>
        <w:rPr>
          <w:color w:val="000000"/>
          <w:szCs w:val="22"/>
        </w:rPr>
      </w:pPr>
    </w:p>
    <w:p w:rsidR="00AD690E" w:rsidRPr="00873110" w:rsidRDefault="00AD690E" w:rsidP="00AD690E">
      <w:pPr>
        <w:spacing w:before="120" w:after="120"/>
        <w:ind w:firstLine="0"/>
        <w:jc w:val="both"/>
      </w:pPr>
      <w:r w:rsidRPr="00873110">
        <w:rPr>
          <w:color w:val="000000"/>
          <w:szCs w:val="22"/>
        </w:rPr>
        <w:t>Le nouvel accord de 1986 change passablement les règles du jeu pui</w:t>
      </w:r>
      <w:r w:rsidRPr="00873110">
        <w:rPr>
          <w:color w:val="000000"/>
          <w:szCs w:val="22"/>
        </w:rPr>
        <w:t>s</w:t>
      </w:r>
      <w:r w:rsidRPr="00873110">
        <w:rPr>
          <w:color w:val="000000"/>
          <w:szCs w:val="22"/>
        </w:rPr>
        <w:t>que le gouvernement fédéral propose qu'une partie du budget de fo</w:t>
      </w:r>
      <w:r w:rsidRPr="00873110">
        <w:rPr>
          <w:color w:val="000000"/>
          <w:szCs w:val="22"/>
        </w:rPr>
        <w:t>r</w:t>
      </w:r>
      <w:r w:rsidRPr="00873110">
        <w:rPr>
          <w:color w:val="000000"/>
          <w:szCs w:val="22"/>
        </w:rPr>
        <w:t>mation soit transférée directement aux entreprises. En effet, avec le projet de planification de l'emploi, le gouvernement fédéral veut r</w:t>
      </w:r>
      <w:r w:rsidRPr="00873110">
        <w:rPr>
          <w:color w:val="000000"/>
          <w:szCs w:val="22"/>
        </w:rPr>
        <w:t>é</w:t>
      </w:r>
      <w:r w:rsidRPr="00873110">
        <w:rPr>
          <w:color w:val="000000"/>
          <w:szCs w:val="22"/>
        </w:rPr>
        <w:t>orienter les accords Canada/Québec en vue de coller davantage la formation de la population aux nouveaux besoins du marché du tr</w:t>
      </w:r>
      <w:r w:rsidRPr="00873110">
        <w:rPr>
          <w:color w:val="000000"/>
          <w:szCs w:val="22"/>
        </w:rPr>
        <w:t>a</w:t>
      </w:r>
      <w:r w:rsidRPr="00873110">
        <w:rPr>
          <w:color w:val="000000"/>
          <w:szCs w:val="22"/>
        </w:rPr>
        <w:t>vail. Dorénavant, selon la logique du gouvernement fédéral, ce sont en partie les entreprises, par le biais des Commissions de formation pr</w:t>
      </w:r>
      <w:r w:rsidRPr="00873110">
        <w:rPr>
          <w:color w:val="000000"/>
          <w:szCs w:val="22"/>
        </w:rPr>
        <w:t>o</w:t>
      </w:r>
      <w:r w:rsidRPr="00873110">
        <w:rPr>
          <w:color w:val="000000"/>
          <w:szCs w:val="22"/>
        </w:rPr>
        <w:t>fessionnelles, qui détermineront les besoins de formation et qui offr</w:t>
      </w:r>
      <w:r w:rsidRPr="00873110">
        <w:rPr>
          <w:color w:val="000000"/>
          <w:szCs w:val="22"/>
        </w:rPr>
        <w:t>i</w:t>
      </w:r>
      <w:r w:rsidRPr="00873110">
        <w:rPr>
          <w:color w:val="000000"/>
          <w:szCs w:val="22"/>
        </w:rPr>
        <w:t>ront cette même formation. On voit immédiatement l'implication d'une telle mesure. Le gouvernement fédéral non seulement prend les moyens pour contrôler de plus en plus la formation offerte, mais il l'oriente vers les besoins et priorités définis par les entreprises.</w:t>
      </w:r>
    </w:p>
    <w:p w:rsidR="00AD690E" w:rsidRPr="00873110" w:rsidRDefault="00AD690E" w:rsidP="00AD690E">
      <w:pPr>
        <w:spacing w:before="120" w:after="120"/>
        <w:jc w:val="both"/>
      </w:pPr>
      <w:r w:rsidRPr="00873110">
        <w:rPr>
          <w:color w:val="000000"/>
          <w:szCs w:val="22"/>
        </w:rPr>
        <w:t>Certes, le gouvernement du Québec n'a pas accepté d'emblée les propositions d'Ottawa et les accords actuellement en vigueur sont le résultat de compromis de la part des deux partenaires. Cependant, il faut retenir le sens des propositions fédérales, qui indiquent bien la tendance voulant que les politiques de main-d'</w:t>
      </w:r>
      <w:r>
        <w:rPr>
          <w:color w:val="000000"/>
          <w:szCs w:val="22"/>
        </w:rPr>
        <w:t>œuvre</w:t>
      </w:r>
      <w:r w:rsidRPr="00873110">
        <w:rPr>
          <w:color w:val="000000"/>
          <w:szCs w:val="22"/>
        </w:rPr>
        <w:t xml:space="preserve"> s'inscrivent d</w:t>
      </w:r>
      <w:r w:rsidRPr="00873110">
        <w:rPr>
          <w:color w:val="000000"/>
          <w:szCs w:val="22"/>
        </w:rPr>
        <w:t>o</w:t>
      </w:r>
      <w:r w:rsidRPr="00873110">
        <w:rPr>
          <w:color w:val="000000"/>
          <w:szCs w:val="22"/>
        </w:rPr>
        <w:t>rénavant dans une logique de développement économique plutôt que dans le sens de sa mission sociale.</w:t>
      </w:r>
    </w:p>
    <w:p w:rsidR="00AD690E" w:rsidRPr="00873110" w:rsidRDefault="00AD690E" w:rsidP="00AD690E">
      <w:pPr>
        <w:spacing w:before="120" w:after="120"/>
        <w:jc w:val="both"/>
      </w:pPr>
      <w:r w:rsidRPr="00873110">
        <w:rPr>
          <w:color w:val="000000"/>
          <w:szCs w:val="22"/>
        </w:rPr>
        <w:t>Ceci implique que les entreprises identifient leurs besoins de fo</w:t>
      </w:r>
      <w:r w:rsidRPr="00873110">
        <w:rPr>
          <w:color w:val="000000"/>
          <w:szCs w:val="22"/>
        </w:rPr>
        <w:t>r</w:t>
      </w:r>
      <w:r w:rsidRPr="00873110">
        <w:rPr>
          <w:color w:val="000000"/>
          <w:szCs w:val="22"/>
        </w:rPr>
        <w:t>mation avec ou sans l'aide des Commissions de formation professio</w:t>
      </w:r>
      <w:r w:rsidRPr="00873110">
        <w:rPr>
          <w:color w:val="000000"/>
          <w:szCs w:val="22"/>
        </w:rPr>
        <w:t>n</w:t>
      </w:r>
      <w:r w:rsidRPr="00873110">
        <w:rPr>
          <w:color w:val="000000"/>
          <w:szCs w:val="22"/>
        </w:rPr>
        <w:t>nelles, les dernières choisissant l'institution d'enseignement qui se</w:t>
      </w:r>
      <w:r w:rsidRPr="00873110">
        <w:rPr>
          <w:color w:val="000000"/>
          <w:szCs w:val="22"/>
        </w:rPr>
        <w:t>m</w:t>
      </w:r>
      <w:r w:rsidRPr="00873110">
        <w:rPr>
          <w:color w:val="000000"/>
          <w:szCs w:val="22"/>
        </w:rPr>
        <w:t>ble la plus en mesure de répondre à cette demande de formation. Il s'agit toutefois de mesures transitoires qui visent à faire la preuve que les institutions publiques sont capables d'offrir une « </w:t>
      </w:r>
      <w:r>
        <w:rPr>
          <w:color w:val="000000"/>
          <w:szCs w:val="22"/>
        </w:rPr>
        <w:t>formation sur mesure », c'est-à-</w:t>
      </w:r>
      <w:r w:rsidRPr="00873110">
        <w:rPr>
          <w:color w:val="000000"/>
          <w:szCs w:val="22"/>
        </w:rPr>
        <w:t>dire qui correspond aux besoins du secteur privé. En cas d'échec, on peut s'attendre à ce que le gouvernement fédéral r</w:t>
      </w:r>
      <w:r w:rsidRPr="00873110">
        <w:rPr>
          <w:color w:val="000000"/>
          <w:szCs w:val="22"/>
        </w:rPr>
        <w:t>e</w:t>
      </w:r>
      <w:r w:rsidRPr="00873110">
        <w:rPr>
          <w:color w:val="000000"/>
          <w:szCs w:val="22"/>
        </w:rPr>
        <w:t>vienne en force avec son projet de remettre la formation au secteur privé.</w:t>
      </w:r>
    </w:p>
    <w:p w:rsidR="00AD690E" w:rsidRDefault="00AD690E" w:rsidP="00AD690E">
      <w:pPr>
        <w:spacing w:before="120" w:after="120"/>
        <w:jc w:val="both"/>
      </w:pPr>
    </w:p>
    <w:p w:rsidR="00AD690E" w:rsidRDefault="00AD690E" w:rsidP="00AD690E">
      <w:pPr>
        <w:pStyle w:val="c"/>
      </w:pPr>
      <w:r w:rsidRPr="00873110">
        <w:t>*</w:t>
      </w:r>
      <w:r>
        <w:t xml:space="preserve"> </w:t>
      </w:r>
      <w:r w:rsidRPr="00873110">
        <w:t xml:space="preserve"> *</w:t>
      </w:r>
      <w:r>
        <w:t xml:space="preserve"> </w:t>
      </w:r>
      <w:r w:rsidRPr="00873110">
        <w:t xml:space="preserve"> *</w:t>
      </w:r>
    </w:p>
    <w:p w:rsidR="00AD690E" w:rsidRPr="00873110" w:rsidRDefault="00AD690E" w:rsidP="00AD690E">
      <w:pPr>
        <w:pStyle w:val="c"/>
      </w:pPr>
    </w:p>
    <w:p w:rsidR="00AD690E" w:rsidRPr="00873110" w:rsidRDefault="00AD690E" w:rsidP="00AD690E">
      <w:pPr>
        <w:spacing w:before="120" w:after="120"/>
        <w:jc w:val="both"/>
      </w:pPr>
      <w:r w:rsidRPr="00873110">
        <w:rPr>
          <w:color w:val="000000"/>
          <w:szCs w:val="22"/>
        </w:rPr>
        <w:t>L'évolution du dossier de la main-d'</w:t>
      </w:r>
      <w:r>
        <w:rPr>
          <w:color w:val="000000"/>
          <w:szCs w:val="22"/>
        </w:rPr>
        <w:t>œuvre</w:t>
      </w:r>
      <w:r w:rsidRPr="00873110">
        <w:rPr>
          <w:color w:val="000000"/>
          <w:szCs w:val="22"/>
        </w:rPr>
        <w:t xml:space="preserve"> met donc en lumière une dynamique des rapports de force entre Ottawa et Québec qui a, pour l'instant, très largement servi les intérêts du gouvernement fédéral. En effet, ce dernier s'est assuré au fil des années une prise de plus en plus grande dans le champ de la définition du cadre et des modalités des interventions gouvernementales destinées à la main-d'</w:t>
      </w:r>
      <w:r>
        <w:rPr>
          <w:color w:val="000000"/>
          <w:szCs w:val="22"/>
        </w:rPr>
        <w:t>œuvre</w:t>
      </w:r>
      <w:r w:rsidRPr="00873110">
        <w:rPr>
          <w:color w:val="000000"/>
          <w:szCs w:val="22"/>
        </w:rPr>
        <w:t>. À titre de « définisseur de politique », le gouvernement fédéral s'est attribué un rôle d'orienteur et d'harmonisateur, par opposition au rôle de di</w:t>
      </w:r>
      <w:r w:rsidRPr="00873110">
        <w:rPr>
          <w:color w:val="000000"/>
          <w:szCs w:val="22"/>
        </w:rPr>
        <w:t>s</w:t>
      </w:r>
      <w:r w:rsidRPr="00873110">
        <w:rPr>
          <w:color w:val="000000"/>
          <w:szCs w:val="22"/>
        </w:rPr>
        <w:t>pensateur de services dévolu aux provinces. Cette hiérarchie dans le partage des responsabilités entre les deux paliers de gouvernement peut être interprétée comme la conséquence de la démarche poursu</w:t>
      </w:r>
      <w:r w:rsidRPr="00873110">
        <w:rPr>
          <w:color w:val="000000"/>
          <w:szCs w:val="22"/>
        </w:rPr>
        <w:t>i</w:t>
      </w:r>
      <w:r w:rsidRPr="00873110">
        <w:rPr>
          <w:color w:val="000000"/>
          <w:szCs w:val="22"/>
        </w:rPr>
        <w:t>vie par le gouvernement Trudeau depuis le milieu des années 1970. Suite à l'adoption du projet de loi C-27, en</w:t>
      </w:r>
      <w:r>
        <w:rPr>
          <w:color w:val="000000"/>
          <w:szCs w:val="22"/>
        </w:rPr>
        <w:t xml:space="preserve"> </w:t>
      </w:r>
      <w:r>
        <w:t xml:space="preserve">[255] </w:t>
      </w:r>
      <w:r w:rsidRPr="00873110">
        <w:rPr>
          <w:color w:val="000000"/>
          <w:szCs w:val="22"/>
        </w:rPr>
        <w:t>fait, les libéraux ont privilégié une démarche fondée sur l'insertion de la politique de main-d'</w:t>
      </w:r>
      <w:r>
        <w:rPr>
          <w:color w:val="000000"/>
          <w:szCs w:val="22"/>
        </w:rPr>
        <w:t>œuvre</w:t>
      </w:r>
      <w:r w:rsidRPr="00873110">
        <w:rPr>
          <w:color w:val="000000"/>
          <w:szCs w:val="22"/>
        </w:rPr>
        <w:t xml:space="preserve"> à l'intérieur d'une stratégie de gestion intégrée, et donc fédér</w:t>
      </w:r>
      <w:r w:rsidRPr="00873110">
        <w:rPr>
          <w:color w:val="000000"/>
          <w:szCs w:val="22"/>
        </w:rPr>
        <w:t>a</w:t>
      </w:r>
      <w:r w:rsidRPr="00873110">
        <w:rPr>
          <w:color w:val="000000"/>
          <w:szCs w:val="22"/>
        </w:rPr>
        <w:t>le, de l'économie canadienne.</w:t>
      </w:r>
    </w:p>
    <w:p w:rsidR="00AD690E" w:rsidRPr="00873110" w:rsidRDefault="00AD690E" w:rsidP="00AD690E">
      <w:pPr>
        <w:spacing w:before="120" w:after="120"/>
        <w:jc w:val="both"/>
      </w:pPr>
      <w:r w:rsidRPr="00873110">
        <w:rPr>
          <w:color w:val="000000"/>
          <w:szCs w:val="22"/>
        </w:rPr>
        <w:t>Chaque ronde de négociation a, bien entendu, donné lieu à des compromis qui ont permis aux provinces de préserver leur présence dans le secteur mais, à chaque fois également, le fédéral est parvenu à marquer des points.</w:t>
      </w:r>
    </w:p>
    <w:p w:rsidR="00AD690E" w:rsidRDefault="00AD690E" w:rsidP="00AD690E">
      <w:pPr>
        <w:spacing w:before="120" w:after="120"/>
        <w:jc w:val="both"/>
        <w:rPr>
          <w:color w:val="000000"/>
          <w:szCs w:val="22"/>
        </w:rPr>
      </w:pPr>
      <w:r w:rsidRPr="00873110">
        <w:rPr>
          <w:color w:val="000000"/>
          <w:szCs w:val="22"/>
        </w:rPr>
        <w:t>La signature des accords sur le Programme national de formation et le projet de planification de l'emploi sont les manifestations les plus éloquentes de ce processus. En vertu de ces accords, le gouvernement fédéral devient le pourvoyeur de fonds en même temps que le princ</w:t>
      </w:r>
      <w:r w:rsidRPr="00873110">
        <w:rPr>
          <w:color w:val="000000"/>
          <w:szCs w:val="22"/>
        </w:rPr>
        <w:t>i</w:t>
      </w:r>
      <w:r w:rsidRPr="00873110">
        <w:rPr>
          <w:color w:val="000000"/>
          <w:szCs w:val="22"/>
        </w:rPr>
        <w:t>pal interlocuteur des régions et des acteurs sociaux en formation, ma</w:t>
      </w:r>
      <w:r w:rsidRPr="00873110">
        <w:rPr>
          <w:color w:val="000000"/>
          <w:szCs w:val="22"/>
        </w:rPr>
        <w:t>l</w:t>
      </w:r>
      <w:r w:rsidRPr="00873110">
        <w:rPr>
          <w:color w:val="000000"/>
          <w:szCs w:val="22"/>
        </w:rPr>
        <w:t>gré la compétence provinciale incontestée dans le champ de l'éduc</w:t>
      </w:r>
      <w:r w:rsidRPr="00873110">
        <w:rPr>
          <w:color w:val="000000"/>
          <w:szCs w:val="22"/>
        </w:rPr>
        <w:t>a</w:t>
      </w:r>
      <w:r w:rsidRPr="00873110">
        <w:rPr>
          <w:color w:val="000000"/>
          <w:szCs w:val="22"/>
        </w:rPr>
        <w:t>tion. Or, comme le fédéral jouit depuis le début des années 1980 de l'initiative dans le dossier, il est en position pour mieux imposer sa vision des choses.</w:t>
      </w:r>
    </w:p>
    <w:p w:rsidR="00AD690E" w:rsidRDefault="00AD690E" w:rsidP="00AD690E">
      <w:pPr>
        <w:ind w:firstLine="0"/>
      </w:pPr>
    </w:p>
    <w:p w:rsidR="00AD690E" w:rsidRDefault="00AD690E" w:rsidP="00AD690E">
      <w:pPr>
        <w:spacing w:before="120" w:after="120"/>
        <w:ind w:firstLine="0"/>
        <w:jc w:val="both"/>
      </w:pPr>
      <w:r>
        <w:t>[256]</w:t>
      </w:r>
    </w:p>
    <w:p w:rsidR="00AD690E" w:rsidRDefault="00AD690E" w:rsidP="00AD690E">
      <w:pPr>
        <w:spacing w:before="120" w:after="120"/>
        <w:ind w:firstLine="0"/>
        <w:jc w:val="both"/>
      </w:pPr>
    </w:p>
    <w:p w:rsidR="00AD690E" w:rsidRDefault="00AD690E" w:rsidP="00AD690E">
      <w:pPr>
        <w:spacing w:before="120" w:after="120"/>
        <w:ind w:firstLine="0"/>
        <w:jc w:val="both"/>
        <w:rPr>
          <w:rFonts w:cs="Arial"/>
          <w:color w:val="000000"/>
          <w:szCs w:val="44"/>
        </w:rPr>
      </w:pPr>
      <w:r w:rsidRPr="00873110">
        <w:br w:type="page"/>
      </w:r>
      <w:r>
        <w:rPr>
          <w:rFonts w:cs="Arial"/>
          <w:color w:val="000000"/>
          <w:szCs w:val="44"/>
        </w:rPr>
        <w:t>[257]</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6" w:name="ere_Liberaux_pt2_texte_11"/>
      <w:r>
        <w:rPr>
          <w:b/>
          <w:color w:val="000080"/>
          <w:sz w:val="24"/>
        </w:rPr>
        <w:t>DEUXIÈME</w:t>
      </w:r>
      <w:r w:rsidRPr="003634E0">
        <w:rPr>
          <w:b/>
          <w:color w:val="000080"/>
          <w:sz w:val="24"/>
        </w:rPr>
        <w:t xml:space="preserve"> PARTIE</w:t>
      </w:r>
      <w:r w:rsidRPr="003634E0">
        <w:rPr>
          <w:b/>
          <w:color w:val="000080"/>
          <w:sz w:val="24"/>
        </w:rPr>
        <w:br/>
        <w:t xml:space="preserve">QUESTIONS </w:t>
      </w:r>
      <w:r>
        <w:rPr>
          <w:b/>
          <w:color w:val="000080"/>
          <w:sz w:val="24"/>
        </w:rPr>
        <w:t>ÉCONOMIQUES</w:t>
      </w:r>
    </w:p>
    <w:p w:rsidR="00AD690E" w:rsidRPr="00E07116" w:rsidRDefault="00AD690E" w:rsidP="00AD690E">
      <w:pPr>
        <w:jc w:val="both"/>
        <w:rPr>
          <w:szCs w:val="36"/>
        </w:rPr>
      </w:pPr>
    </w:p>
    <w:p w:rsidR="00AD690E" w:rsidRPr="00E07116" w:rsidRDefault="00AD690E" w:rsidP="00AD690E">
      <w:pPr>
        <w:pStyle w:val="planchest"/>
      </w:pPr>
      <w:r>
        <w:t>“État fédéral et syndicalisme.”</w:t>
      </w:r>
    </w:p>
    <w:bookmarkEnd w:id="16"/>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Roch DENIS</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science politique</w:t>
      </w:r>
      <w:r w:rsidRPr="00957619">
        <w:rPr>
          <w:sz w:val="24"/>
          <w:szCs w:val="22"/>
        </w:rPr>
        <w:br/>
        <w:t>Un</w:t>
      </w:r>
      <w:r w:rsidRPr="00957619">
        <w:rPr>
          <w:sz w:val="24"/>
          <w:szCs w:val="22"/>
        </w:rPr>
        <w:t>i</w:t>
      </w:r>
      <w:r w:rsidRPr="00957619">
        <w:rPr>
          <w:sz w:val="24"/>
          <w:szCs w:val="22"/>
        </w:rPr>
        <w:t>versité du Québec à Montréal</w:t>
      </w: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873110" w:rsidRDefault="00AD690E" w:rsidP="00AD690E">
      <w:pPr>
        <w:spacing w:before="120" w:after="120"/>
        <w:jc w:val="both"/>
      </w:pPr>
      <w:r w:rsidRPr="00873110">
        <w:rPr>
          <w:color w:val="000000"/>
          <w:szCs w:val="22"/>
        </w:rPr>
        <w:t>Dans le mémoire qu'elle présente en avril 1968 à la Commission fédérale d'enquête Woods sur l'état des relations de travail, la Cha</w:t>
      </w:r>
      <w:r w:rsidRPr="00873110">
        <w:rPr>
          <w:color w:val="000000"/>
          <w:szCs w:val="22"/>
        </w:rPr>
        <w:t>m</w:t>
      </w:r>
      <w:r w:rsidRPr="00873110">
        <w:rPr>
          <w:color w:val="000000"/>
          <w:szCs w:val="22"/>
        </w:rPr>
        <w:t>bre de commerce du Canada dresse un constat sévère où se mêlent inquiét</w:t>
      </w:r>
      <w:r w:rsidRPr="00873110">
        <w:rPr>
          <w:color w:val="000000"/>
          <w:szCs w:val="22"/>
        </w:rPr>
        <w:t>u</w:t>
      </w:r>
      <w:r w:rsidRPr="00873110">
        <w:rPr>
          <w:color w:val="000000"/>
          <w:szCs w:val="22"/>
        </w:rPr>
        <w:t>de et réprobation : « l'équilibre de force raisonnable » qui doit exister entre le patronat et les syndicats, constate la Chambre, est « actuellement rompu » au Canada, en faveur de ces derniers</w:t>
      </w:r>
      <w:r>
        <w:rPr>
          <w:color w:val="000000"/>
          <w:szCs w:val="22"/>
        </w:rPr>
        <w:t>. </w:t>
      </w:r>
      <w:r w:rsidRPr="000A019C">
        <w:rPr>
          <w:rStyle w:val="Appelnotedebasdep"/>
        </w:rPr>
        <w:footnoteReference w:id="457"/>
      </w:r>
    </w:p>
    <w:p w:rsidR="00AD690E" w:rsidRPr="00873110" w:rsidRDefault="00AD690E" w:rsidP="00AD690E">
      <w:pPr>
        <w:spacing w:before="120" w:after="120"/>
        <w:jc w:val="both"/>
      </w:pPr>
      <w:r w:rsidRPr="00873110">
        <w:rPr>
          <w:color w:val="000000"/>
          <w:szCs w:val="22"/>
        </w:rPr>
        <w:t>L'organisme patronal entend réagir à une situation qui n'a pas cessé de s'amplifier depuis le début des années 60, aussi bien sur les scènes provinciales que fédérale. Cette situation est marquée notamment par une croissance spectaculaire de la syndicalisation, par la montée des revendications et des augmentations salariales, par « l'épidémie des grèves » et des grèves illégales, la violation des injonctions et un e</w:t>
      </w:r>
      <w:r w:rsidRPr="00873110">
        <w:rPr>
          <w:color w:val="000000"/>
          <w:szCs w:val="22"/>
        </w:rPr>
        <w:t>s</w:t>
      </w:r>
      <w:r w:rsidRPr="00873110">
        <w:rPr>
          <w:color w:val="000000"/>
          <w:szCs w:val="22"/>
        </w:rPr>
        <w:t>prit général de combativité et de contestation au sein du mouvement syndical.</w:t>
      </w:r>
    </w:p>
    <w:p w:rsidR="00AD690E" w:rsidRPr="00873110" w:rsidRDefault="00AD690E" w:rsidP="00AD690E">
      <w:pPr>
        <w:spacing w:before="120" w:after="120"/>
        <w:jc w:val="both"/>
      </w:pPr>
      <w:r w:rsidRPr="00873110">
        <w:rPr>
          <w:color w:val="000000"/>
          <w:szCs w:val="22"/>
        </w:rPr>
        <w:t>On a reproché au gouvernement fédéral d'avoir encouragé ces pr</w:t>
      </w:r>
      <w:r w:rsidRPr="00873110">
        <w:rPr>
          <w:color w:val="000000"/>
          <w:szCs w:val="22"/>
        </w:rPr>
        <w:t>o</w:t>
      </w:r>
      <w:r w:rsidRPr="00873110">
        <w:rPr>
          <w:color w:val="000000"/>
          <w:szCs w:val="22"/>
        </w:rPr>
        <w:t>cessus en consentant des hausses de salaires de 30</w:t>
      </w:r>
      <w:r>
        <w:rPr>
          <w:color w:val="000000"/>
          <w:szCs w:val="22"/>
        </w:rPr>
        <w:t>%</w:t>
      </w:r>
      <w:r w:rsidRPr="00873110">
        <w:rPr>
          <w:color w:val="000000"/>
          <w:szCs w:val="22"/>
        </w:rPr>
        <w:t xml:space="preserve"> aux débardeurs des ports de Montréal, Québec et Trois-Rivières, qui avaient décle</w:t>
      </w:r>
      <w:r w:rsidRPr="00873110">
        <w:rPr>
          <w:color w:val="000000"/>
          <w:szCs w:val="22"/>
        </w:rPr>
        <w:t>n</w:t>
      </w:r>
      <w:r w:rsidRPr="00873110">
        <w:rPr>
          <w:color w:val="000000"/>
          <w:szCs w:val="22"/>
        </w:rPr>
        <w:t>ché la grève en mars 1966 contre l'avis de leurs dirigeants syndicaux. Le gouvernement libéral de Lester B. Pearson a dû céder des augme</w:t>
      </w:r>
      <w:r w:rsidRPr="00873110">
        <w:rPr>
          <w:color w:val="000000"/>
          <w:szCs w:val="22"/>
        </w:rPr>
        <w:t>n</w:t>
      </w:r>
      <w:r w:rsidRPr="00873110">
        <w:rPr>
          <w:color w:val="000000"/>
          <w:szCs w:val="22"/>
        </w:rPr>
        <w:t>tations semblables aux travailleurs de la voie maritime et depuis ce temps, les milieux patronaux stigmatisent ce qu'ils appellent la « formule Pearson » de règlement des conflits de travail.</w:t>
      </w:r>
    </w:p>
    <w:p w:rsidR="00AD690E" w:rsidRPr="00873110" w:rsidRDefault="00AD690E" w:rsidP="00AD690E">
      <w:pPr>
        <w:spacing w:before="120" w:after="120"/>
        <w:jc w:val="both"/>
      </w:pPr>
      <w:r w:rsidRPr="00873110">
        <w:rPr>
          <w:color w:val="000000"/>
          <w:szCs w:val="22"/>
        </w:rPr>
        <w:t>Pourtant le gouvernement fédéral n'a pas de ligne cohérente à o</w:t>
      </w:r>
      <w:r w:rsidRPr="00873110">
        <w:rPr>
          <w:color w:val="000000"/>
          <w:szCs w:val="22"/>
        </w:rPr>
        <w:t>p</w:t>
      </w:r>
      <w:r w:rsidRPr="00873110">
        <w:rPr>
          <w:color w:val="000000"/>
          <w:szCs w:val="22"/>
        </w:rPr>
        <w:t>poser aux nouvelles turbulences qui secouent la scène sociale can</w:t>
      </w:r>
      <w:r w:rsidRPr="00873110">
        <w:rPr>
          <w:color w:val="000000"/>
          <w:szCs w:val="22"/>
        </w:rPr>
        <w:t>a</w:t>
      </w:r>
      <w:r w:rsidRPr="00873110">
        <w:rPr>
          <w:color w:val="000000"/>
          <w:szCs w:val="22"/>
        </w:rPr>
        <w:t>dienne et s'il fait des</w:t>
      </w:r>
      <w:r>
        <w:rPr>
          <w:color w:val="000000"/>
          <w:szCs w:val="22"/>
        </w:rPr>
        <w:t xml:space="preserve"> </w:t>
      </w:r>
      <w:r>
        <w:t>[</w:t>
      </w:r>
      <w:r w:rsidRPr="00873110">
        <w:rPr>
          <w:color w:val="000000"/>
        </w:rPr>
        <w:t>258</w:t>
      </w:r>
      <w:r>
        <w:rPr>
          <w:color w:val="000000"/>
        </w:rPr>
        <w:t xml:space="preserve">] </w:t>
      </w:r>
      <w:r w:rsidRPr="00873110">
        <w:rPr>
          <w:color w:val="000000"/>
        </w:rPr>
        <w:t>concessions d'un côté, il résiste de l'autre, par exemple, en légiférant pour briser la grève des travailleurs non itinérants des chemins de fer, au mois de septembre 1966. Mais c'est aussi au même moment qu'il crée la grande équipe spécialisée en rel</w:t>
      </w:r>
      <w:r w:rsidRPr="00873110">
        <w:rPr>
          <w:color w:val="000000"/>
        </w:rPr>
        <w:t>a</w:t>
      </w:r>
      <w:r w:rsidRPr="00873110">
        <w:rPr>
          <w:color w:val="000000"/>
        </w:rPr>
        <w:t>tions de travail présidée par le doyen de la Faculté des arts et des sciences de l'Université McGill, H.D. Woods, afin de trouver des sol</w:t>
      </w:r>
      <w:r w:rsidRPr="00873110">
        <w:rPr>
          <w:color w:val="000000"/>
        </w:rPr>
        <w:t>u</w:t>
      </w:r>
      <w:r w:rsidRPr="00873110">
        <w:rPr>
          <w:color w:val="000000"/>
        </w:rPr>
        <w:t>tions aux problèmes. Après avoir enquêté au Canada et dans plusieurs pays pendant deux ans, elle r</w:t>
      </w:r>
      <w:r w:rsidRPr="00873110">
        <w:rPr>
          <w:color w:val="000000"/>
        </w:rPr>
        <w:t>e</w:t>
      </w:r>
      <w:r w:rsidRPr="00873110">
        <w:rPr>
          <w:color w:val="000000"/>
        </w:rPr>
        <w:t>mettra son rapport au nouveau premier ministre libéral, Pierre E. Tr</w:t>
      </w:r>
      <w:r w:rsidRPr="00873110">
        <w:rPr>
          <w:color w:val="000000"/>
        </w:rPr>
        <w:t>u</w:t>
      </w:r>
      <w:r w:rsidRPr="00873110">
        <w:rPr>
          <w:color w:val="000000"/>
        </w:rPr>
        <w:t>deau, le 31 décembre 1968. Entre temps, cependant, le gouvernement Pearson n'a pas été capable de contenir la vague revendicative qui monte du secteur public et, avant même que l'équipe spécialisée ait pu terminer ses travaux, il concède tous les droits de la négociation co</w:t>
      </w:r>
      <w:r w:rsidRPr="00873110">
        <w:rPr>
          <w:color w:val="000000"/>
        </w:rPr>
        <w:t>l</w:t>
      </w:r>
      <w:r w:rsidRPr="00873110">
        <w:rPr>
          <w:color w:val="000000"/>
        </w:rPr>
        <w:t>lective, y compris le droit de grève, aux fonctionnaires et à tous les employés du secteur public fédéral. Les grèves de reconnaissance syndicale gagnées par les employés des po</w:t>
      </w:r>
      <w:r w:rsidRPr="00873110">
        <w:rPr>
          <w:color w:val="000000"/>
        </w:rPr>
        <w:t>s</w:t>
      </w:r>
      <w:r w:rsidRPr="00873110">
        <w:rPr>
          <w:color w:val="000000"/>
        </w:rPr>
        <w:t>tes au Québec et en Colombie-Britannique et la percée générale réal</w:t>
      </w:r>
      <w:r w:rsidRPr="00873110">
        <w:rPr>
          <w:color w:val="000000"/>
        </w:rPr>
        <w:t>i</w:t>
      </w:r>
      <w:r w:rsidRPr="00873110">
        <w:rPr>
          <w:color w:val="000000"/>
        </w:rPr>
        <w:t>sée au Québec, en 1965, ont été irrésistibles.</w:t>
      </w:r>
    </w:p>
    <w:p w:rsidR="00AD690E" w:rsidRPr="00873110" w:rsidRDefault="00AD690E" w:rsidP="00AD690E">
      <w:pPr>
        <w:spacing w:before="120" w:after="120"/>
        <w:jc w:val="both"/>
      </w:pPr>
      <w:r w:rsidRPr="00873110">
        <w:rPr>
          <w:color w:val="000000"/>
        </w:rPr>
        <w:t>Voilà donc dans quel contexte s'ouvre la période que nous ét</w:t>
      </w:r>
      <w:r w:rsidRPr="00873110">
        <w:rPr>
          <w:color w:val="000000"/>
        </w:rPr>
        <w:t>u</w:t>
      </w:r>
      <w:r w:rsidRPr="00873110">
        <w:rPr>
          <w:color w:val="000000"/>
        </w:rPr>
        <w:t>dions. De grands changements sont enclenchés dès le milieu des a</w:t>
      </w:r>
      <w:r w:rsidRPr="00873110">
        <w:rPr>
          <w:color w:val="000000"/>
        </w:rPr>
        <w:t>n</w:t>
      </w:r>
      <w:r w:rsidRPr="00873110">
        <w:rPr>
          <w:color w:val="000000"/>
        </w:rPr>
        <w:t>nées 60 et parce qu'ils touchent à tant d'aspects quantitatifs et qualit</w:t>
      </w:r>
      <w:r w:rsidRPr="00873110">
        <w:rPr>
          <w:color w:val="000000"/>
        </w:rPr>
        <w:t>a</w:t>
      </w:r>
      <w:r w:rsidRPr="00873110">
        <w:rPr>
          <w:color w:val="000000"/>
        </w:rPr>
        <w:t>tifs, on peut dire que c'est une nouvelle période historique des rapports entre le capital et le travail qui s'ouvre au Canada avec les années du pouvoir libéral à Ottawa. Depuis les lois spéciales anti-grèves jusqu'à la première grève générale « pancanadienne » de 1976, en passant par le Programme de lutte anti-inflation de 1975 (PLI), les contrôles de 1982 (les 6 et 5</w:t>
      </w:r>
      <w:r>
        <w:rPr>
          <w:color w:val="000000"/>
        </w:rPr>
        <w:t xml:space="preserve"> %</w:t>
      </w:r>
      <w:r w:rsidRPr="00873110">
        <w:rPr>
          <w:color w:val="000000"/>
        </w:rPr>
        <w:t>) et les tentatives manquées de réaliser la concert</w:t>
      </w:r>
      <w:r w:rsidRPr="00873110">
        <w:rPr>
          <w:color w:val="000000"/>
        </w:rPr>
        <w:t>a</w:t>
      </w:r>
      <w:r w:rsidRPr="00873110">
        <w:rPr>
          <w:color w:val="000000"/>
        </w:rPr>
        <w:t>tion bipartite ou tripartite, tout y passe. Et si la stabilité a déjà prévalu dans les relations de travail au Canada, à partir des années 60 celle-ci n'est plus que souvenir d'une époque révolue.</w:t>
      </w:r>
    </w:p>
    <w:p w:rsidR="00AD690E" w:rsidRPr="00873110" w:rsidRDefault="00AD690E" w:rsidP="00AD690E">
      <w:pPr>
        <w:spacing w:before="120" w:after="120"/>
        <w:jc w:val="both"/>
      </w:pPr>
      <w:r w:rsidRPr="00873110">
        <w:rPr>
          <w:color w:val="000000"/>
        </w:rPr>
        <w:t>L'étude des rapports du travail pendant cette période ne peut pas être une entreprise individuelle. Comme nous venons tout juste de l'i</w:t>
      </w:r>
      <w:r w:rsidRPr="00873110">
        <w:rPr>
          <w:color w:val="000000"/>
        </w:rPr>
        <w:t>l</w:t>
      </w:r>
      <w:r w:rsidRPr="00873110">
        <w:rPr>
          <w:color w:val="000000"/>
        </w:rPr>
        <w:t>lustrer, trop d'aspects sont impliqués pour qu'une telle étude soit autre chose qu'un projet de travail collectif. Il faudrait situer la recherche dans la conjoncture internationale qui est à bien des égards marquée par les mêmes processus. Prendre en compte directement l'évolution de la situation économique, essayer de mesurer l'impact des dévelo</w:t>
      </w:r>
      <w:r w:rsidRPr="00873110">
        <w:rPr>
          <w:color w:val="000000"/>
        </w:rPr>
        <w:t>p</w:t>
      </w:r>
      <w:r w:rsidRPr="00873110">
        <w:rPr>
          <w:color w:val="000000"/>
        </w:rPr>
        <w:t>pements économiques et sociaux aux États-Unis sur les relations de travail au Canada. Il faudrait aussi intégrer à la recherche les dévelo</w:t>
      </w:r>
      <w:r w:rsidRPr="00873110">
        <w:rPr>
          <w:color w:val="000000"/>
        </w:rPr>
        <w:t>p</w:t>
      </w:r>
      <w:r w:rsidRPr="00873110">
        <w:rPr>
          <w:color w:val="000000"/>
        </w:rPr>
        <w:t>pements majeurs qui ont lieu sur le plan politique, notamment en ce qui touche la crise constitutionnelle et le mouvement national québ</w:t>
      </w:r>
      <w:r w:rsidRPr="00873110">
        <w:rPr>
          <w:color w:val="000000"/>
        </w:rPr>
        <w:t>é</w:t>
      </w:r>
      <w:r w:rsidRPr="00873110">
        <w:rPr>
          <w:color w:val="000000"/>
        </w:rPr>
        <w:t>cois et étudier leurs retombées, non seulement sur les relations entre les diverses composantes québécoise et canadienne-anglaise du mo</w:t>
      </w:r>
      <w:r w:rsidRPr="00873110">
        <w:rPr>
          <w:color w:val="000000"/>
        </w:rPr>
        <w:t>u</w:t>
      </w:r>
      <w:r w:rsidRPr="00873110">
        <w:rPr>
          <w:color w:val="000000"/>
        </w:rPr>
        <w:t>vement ouvrier, mais sur les relations mêmes du syndicalisme avec l'État fédéral. Nous ne pouvons pas prétendre intégrer toutes ces d</w:t>
      </w:r>
      <w:r w:rsidRPr="00873110">
        <w:rPr>
          <w:color w:val="000000"/>
        </w:rPr>
        <w:t>i</w:t>
      </w:r>
      <w:r w:rsidRPr="00873110">
        <w:rPr>
          <w:color w:val="000000"/>
        </w:rPr>
        <w:t>mensions à notre travail.</w:t>
      </w:r>
    </w:p>
    <w:p w:rsidR="00AD690E" w:rsidRPr="00873110" w:rsidRDefault="00AD690E" w:rsidP="00AD690E">
      <w:pPr>
        <w:spacing w:before="120" w:after="120"/>
        <w:jc w:val="both"/>
      </w:pPr>
      <w:r w:rsidRPr="00873110">
        <w:rPr>
          <w:color w:val="000000"/>
        </w:rPr>
        <w:t>L'analyse de l'évolution des relations entre État et syndicalisme rencontre un obstacle supplémentaire au Canada, relié à la division politique du travail entre le fédéral et les provinces pour la gestion des rapports entre le patronat,</w:t>
      </w:r>
      <w:r>
        <w:rPr>
          <w:color w:val="000000"/>
        </w:rPr>
        <w:t xml:space="preserve"> </w:t>
      </w:r>
      <w:r>
        <w:t xml:space="preserve">[259] </w:t>
      </w:r>
      <w:r w:rsidRPr="00873110">
        <w:rPr>
          <w:color w:val="000000"/>
        </w:rPr>
        <w:t>l'État et les syndicats. Même en vo</w:t>
      </w:r>
      <w:r w:rsidRPr="00873110">
        <w:rPr>
          <w:color w:val="000000"/>
        </w:rPr>
        <w:t>u</w:t>
      </w:r>
      <w:r w:rsidRPr="00873110">
        <w:rPr>
          <w:color w:val="000000"/>
        </w:rPr>
        <w:t>lant se limiter à n'étudier que les secteurs qui relèvent d'Ottawa co</w:t>
      </w:r>
      <w:r w:rsidRPr="00873110">
        <w:rPr>
          <w:color w:val="000000"/>
        </w:rPr>
        <w:t>m</w:t>
      </w:r>
      <w:r w:rsidRPr="00873110">
        <w:rPr>
          <w:color w:val="000000"/>
        </w:rPr>
        <w:t>me la fonction publique fédérale, les sociétés de la Couronne, les transports, les communications, les postes, un éclairage adéquat de l'objet de notre étude nécessiterait qu'on dresse un tableau de l'évol</w:t>
      </w:r>
      <w:r w:rsidRPr="00873110">
        <w:rPr>
          <w:color w:val="000000"/>
        </w:rPr>
        <w:t>u</w:t>
      </w:r>
      <w:r w:rsidRPr="00873110">
        <w:rPr>
          <w:color w:val="000000"/>
        </w:rPr>
        <w:t>tion des rapports du travail dans les provinces pendant la même péri</w:t>
      </w:r>
      <w:r w:rsidRPr="00873110">
        <w:rPr>
          <w:color w:val="000000"/>
        </w:rPr>
        <w:t>o</w:t>
      </w:r>
      <w:r w:rsidRPr="00873110">
        <w:rPr>
          <w:color w:val="000000"/>
        </w:rPr>
        <w:t>de. Car si, à première vue, les se</w:t>
      </w:r>
      <w:r w:rsidRPr="00873110">
        <w:rPr>
          <w:color w:val="000000"/>
        </w:rPr>
        <w:t>c</w:t>
      </w:r>
      <w:r w:rsidRPr="00873110">
        <w:rPr>
          <w:color w:val="000000"/>
        </w:rPr>
        <w:t>teurs et la main-d'oeuvre qui relèvent du fédéral sont bien distincts de ceux qui sont du ressort provincial, en pratique l'orientation et l'inte</w:t>
      </w:r>
      <w:r w:rsidRPr="00873110">
        <w:rPr>
          <w:color w:val="000000"/>
        </w:rPr>
        <w:t>r</w:t>
      </w:r>
      <w:r w:rsidRPr="00873110">
        <w:rPr>
          <w:color w:val="000000"/>
        </w:rPr>
        <w:t>vention de l'État canadien ont souvent été influencées par des dév</w:t>
      </w:r>
      <w:r w:rsidRPr="00873110">
        <w:rPr>
          <w:color w:val="000000"/>
        </w:rPr>
        <w:t>e</w:t>
      </w:r>
      <w:r w:rsidRPr="00873110">
        <w:rPr>
          <w:color w:val="000000"/>
        </w:rPr>
        <w:t>loppements survenus dans l'une ou l'autre des provinces, tout comme l'action fédérale a eu ses répercussions au palier provincial.</w:t>
      </w:r>
    </w:p>
    <w:p w:rsidR="00AD690E" w:rsidRPr="00873110" w:rsidRDefault="00AD690E" w:rsidP="00AD690E">
      <w:pPr>
        <w:spacing w:before="120" w:after="120"/>
        <w:jc w:val="both"/>
      </w:pPr>
      <w:r w:rsidRPr="00873110">
        <w:rPr>
          <w:color w:val="000000"/>
        </w:rPr>
        <w:t>La période que nous étudions est même particulièrement propice en exemples de cette interaction, mais nous n'avons ici ni l'espace ni les moyens pour en faire une analyse exhaustive. Nous pourrons néanmoins constater qu'après des décennies d'une évolution relativ</w:t>
      </w:r>
      <w:r w:rsidRPr="00873110">
        <w:rPr>
          <w:color w:val="000000"/>
        </w:rPr>
        <w:t>e</w:t>
      </w:r>
      <w:r w:rsidRPr="00873110">
        <w:rPr>
          <w:color w:val="000000"/>
        </w:rPr>
        <w:t>ment parallèle et cloisonnée (sauf évidemment au moment des gue</w:t>
      </w:r>
      <w:r w:rsidRPr="00873110">
        <w:rPr>
          <w:color w:val="000000"/>
        </w:rPr>
        <w:t>r</w:t>
      </w:r>
      <w:r w:rsidRPr="00873110">
        <w:rPr>
          <w:color w:val="000000"/>
        </w:rPr>
        <w:t>res) du fédéral et des provinces en matière de relations de travail, on assiste pendant les 21 ans de l'ère libérale, à un certain « décloisonnement » des modes d'intervention. Le fédéral intervient davantage et avec plus d'impact, et chaque palier de la sphère étatique paraît davantage s'inscrire dans un partage des tâches au service de politiques de plus en plus similaires, comme si l'on voyait se réaliser là l'un des terrains privilégiés du fédéralisme coopératif... Décloiso</w:t>
      </w:r>
      <w:r w:rsidRPr="00873110">
        <w:rPr>
          <w:color w:val="000000"/>
        </w:rPr>
        <w:t>n</w:t>
      </w:r>
      <w:r w:rsidRPr="00873110">
        <w:rPr>
          <w:color w:val="000000"/>
        </w:rPr>
        <w:t>nement, rapprochement ou plus grande concertation institutionnelle fédérale- provinciale face aux secousses qui agitent la scène des ra</w:t>
      </w:r>
      <w:r w:rsidRPr="00873110">
        <w:rPr>
          <w:color w:val="000000"/>
        </w:rPr>
        <w:t>p</w:t>
      </w:r>
      <w:r w:rsidRPr="00873110">
        <w:rPr>
          <w:color w:val="000000"/>
        </w:rPr>
        <w:t>ports sociaux, il s'agit d'une caractéristique de la période sur laquelle nous reviendrons.</w:t>
      </w:r>
    </w:p>
    <w:p w:rsidR="00AD690E" w:rsidRPr="00873110" w:rsidRDefault="00AD690E" w:rsidP="00AD690E">
      <w:pPr>
        <w:spacing w:before="120" w:after="120"/>
        <w:jc w:val="both"/>
      </w:pPr>
      <w:r w:rsidRPr="00873110">
        <w:rPr>
          <w:color w:val="000000"/>
        </w:rPr>
        <w:t>Même si la mise en garde peut paraître rituelle, notre travail ne d</w:t>
      </w:r>
      <w:r w:rsidRPr="00873110">
        <w:rPr>
          <w:color w:val="000000"/>
        </w:rPr>
        <w:t>e</w:t>
      </w:r>
      <w:r w:rsidRPr="00873110">
        <w:rPr>
          <w:color w:val="000000"/>
        </w:rPr>
        <w:t>vrait donc pas être considéré en dehors de ces limites. Il faut ajouter que la recherche sur ce champ d'étude au Québec reste fort peu dév</w:t>
      </w:r>
      <w:r w:rsidRPr="00873110">
        <w:rPr>
          <w:color w:val="000000"/>
        </w:rPr>
        <w:t>e</w:t>
      </w:r>
      <w:r w:rsidRPr="00873110">
        <w:rPr>
          <w:color w:val="000000"/>
        </w:rPr>
        <w:t>loppée. Les chercheurs se sont surtout intéressés à l'étude des rapports du travail dans cette province, plutôt qu'aux rapports du mouvement syndical canadien et de l'État fédéral dans leur ensemble.</w:t>
      </w:r>
    </w:p>
    <w:p w:rsidR="00AD690E" w:rsidRPr="00873110" w:rsidRDefault="00AD690E" w:rsidP="00AD690E">
      <w:pPr>
        <w:spacing w:before="120" w:after="120"/>
        <w:jc w:val="both"/>
      </w:pPr>
      <w:r w:rsidRPr="00873110">
        <w:rPr>
          <w:color w:val="000000"/>
        </w:rPr>
        <w:t>Dans une première partie, nous présenterons un certain nombre de données sur le développement du mouvement syndical depuis le début des années 60, parce qu'il nous semble que ce rappel est le point de départ essentiel de toute compréhension de la transformation des ra</w:t>
      </w:r>
      <w:r w:rsidRPr="00873110">
        <w:rPr>
          <w:color w:val="000000"/>
        </w:rPr>
        <w:t>p</w:t>
      </w:r>
      <w:r w:rsidRPr="00873110">
        <w:rPr>
          <w:color w:val="000000"/>
        </w:rPr>
        <w:t>ports État fédéral/ syndicalisme dans la période étudiée. Dans la deuxième partie, nous analyserons plus directement les faits ma</w:t>
      </w:r>
      <w:r w:rsidRPr="00873110">
        <w:rPr>
          <w:color w:val="000000"/>
        </w:rPr>
        <w:t>r</w:t>
      </w:r>
      <w:r w:rsidRPr="00873110">
        <w:rPr>
          <w:color w:val="000000"/>
        </w:rPr>
        <w:t>quants et les caractéristiques de ces rapports et nous tenterons en conclusion de dégager certains éléments d'interprétation générale.</w:t>
      </w:r>
    </w:p>
    <w:p w:rsidR="00AD690E" w:rsidRDefault="00AD690E" w:rsidP="00AD690E">
      <w:pPr>
        <w:spacing w:before="120" w:after="120"/>
        <w:jc w:val="both"/>
        <w:rPr>
          <w:color w:val="000000"/>
        </w:rPr>
      </w:pPr>
    </w:p>
    <w:p w:rsidR="00AD690E" w:rsidRPr="00873110" w:rsidRDefault="00AD690E" w:rsidP="00AD690E">
      <w:pPr>
        <w:pStyle w:val="planche"/>
      </w:pPr>
      <w:r w:rsidRPr="00873110">
        <w:t>UNE CROISSANCE SPECTACULAIRE</w:t>
      </w:r>
    </w:p>
    <w:p w:rsidR="00AD690E" w:rsidRDefault="00AD690E" w:rsidP="00AD690E">
      <w:pPr>
        <w:spacing w:before="120" w:after="120"/>
        <w:jc w:val="both"/>
        <w:rPr>
          <w:color w:val="000000"/>
        </w:rPr>
      </w:pPr>
    </w:p>
    <w:p w:rsidR="00AD690E" w:rsidRPr="00873110" w:rsidRDefault="00AD690E" w:rsidP="00AD690E">
      <w:pPr>
        <w:spacing w:before="120" w:after="120"/>
        <w:ind w:firstLine="0"/>
        <w:jc w:val="both"/>
      </w:pPr>
      <w:r w:rsidRPr="00873110">
        <w:rPr>
          <w:color w:val="000000"/>
        </w:rPr>
        <w:t>La croissance du mouvement ouvrier canadien pendant les deux d</w:t>
      </w:r>
      <w:r w:rsidRPr="00873110">
        <w:rPr>
          <w:color w:val="000000"/>
        </w:rPr>
        <w:t>é</w:t>
      </w:r>
      <w:r w:rsidRPr="00873110">
        <w:rPr>
          <w:color w:val="000000"/>
        </w:rPr>
        <w:t>cennies de 1963 à 1983 a été sans précédent. Quelques chiffres pe</w:t>
      </w:r>
      <w:r w:rsidRPr="00873110">
        <w:rPr>
          <w:color w:val="000000"/>
        </w:rPr>
        <w:t>r</w:t>
      </w:r>
      <w:r w:rsidRPr="00873110">
        <w:rPr>
          <w:color w:val="000000"/>
        </w:rPr>
        <w:t>mettent de souligner</w:t>
      </w:r>
      <w:r>
        <w:rPr>
          <w:color w:val="000000"/>
        </w:rPr>
        <w:t xml:space="preserve"> </w:t>
      </w:r>
      <w:r>
        <w:t>[</w:t>
      </w:r>
      <w:r w:rsidRPr="00873110">
        <w:rPr>
          <w:color w:val="000000"/>
          <w:szCs w:val="18"/>
        </w:rPr>
        <w:t>260</w:t>
      </w:r>
      <w:r>
        <w:rPr>
          <w:color w:val="000000"/>
          <w:szCs w:val="18"/>
        </w:rPr>
        <w:t xml:space="preserve">] </w:t>
      </w:r>
      <w:r w:rsidRPr="00873110">
        <w:rPr>
          <w:color w:val="000000"/>
          <w:szCs w:val="22"/>
        </w:rPr>
        <w:t>l'ampleur de cette expansion aussi bien numérique et sectorielle que géographique.</w:t>
      </w:r>
    </w:p>
    <w:p w:rsidR="00AD690E" w:rsidRPr="00873110" w:rsidRDefault="00AD690E" w:rsidP="00AD690E">
      <w:pPr>
        <w:spacing w:before="120" w:after="120"/>
        <w:jc w:val="both"/>
      </w:pPr>
      <w:r w:rsidRPr="00873110">
        <w:rPr>
          <w:color w:val="000000"/>
          <w:szCs w:val="22"/>
        </w:rPr>
        <w:t>En 1964, il y avait environ 1</w:t>
      </w:r>
      <w:r>
        <w:rPr>
          <w:color w:val="000000"/>
          <w:szCs w:val="22"/>
        </w:rPr>
        <w:t> </w:t>
      </w:r>
      <w:r w:rsidRPr="00873110">
        <w:rPr>
          <w:color w:val="000000"/>
          <w:szCs w:val="22"/>
        </w:rPr>
        <w:t>500</w:t>
      </w:r>
      <w:r>
        <w:rPr>
          <w:color w:val="000000"/>
          <w:szCs w:val="22"/>
        </w:rPr>
        <w:t> </w:t>
      </w:r>
      <w:r w:rsidRPr="00873110">
        <w:rPr>
          <w:color w:val="000000"/>
          <w:szCs w:val="22"/>
        </w:rPr>
        <w:t>000 syndiqués au Canada. En janvier 1983 ce nombre était passé à 3,6 millions, c'est-à-dire une pr</w:t>
      </w:r>
      <w:r w:rsidRPr="00873110">
        <w:rPr>
          <w:color w:val="000000"/>
          <w:szCs w:val="22"/>
        </w:rPr>
        <w:t>o</w:t>
      </w:r>
      <w:r w:rsidRPr="00873110">
        <w:rPr>
          <w:color w:val="000000"/>
          <w:szCs w:val="22"/>
        </w:rPr>
        <w:t>gression exceptionnelle de 2 millions de membres en moins de deux décennies. Le taux de syndicalisation atteignait alors un sommet : 40</w:t>
      </w:r>
      <w:r>
        <w:rPr>
          <w:color w:val="000000"/>
          <w:szCs w:val="22"/>
        </w:rPr>
        <w:t>%</w:t>
      </w:r>
      <w:r w:rsidRPr="00873110">
        <w:rPr>
          <w:color w:val="000000"/>
          <w:szCs w:val="22"/>
        </w:rPr>
        <w:t xml:space="preserve"> de la main-d'</w:t>
      </w:r>
      <w:r>
        <w:rPr>
          <w:color w:val="000000"/>
          <w:szCs w:val="22"/>
        </w:rPr>
        <w:t>œuvre</w:t>
      </w:r>
      <w:r w:rsidRPr="00873110">
        <w:rPr>
          <w:color w:val="000000"/>
          <w:szCs w:val="22"/>
        </w:rPr>
        <w:t xml:space="preserve"> salariée non agricole.</w:t>
      </w:r>
    </w:p>
    <w:p w:rsidR="00AD690E" w:rsidRPr="00873110" w:rsidRDefault="00AD690E" w:rsidP="00AD690E">
      <w:pPr>
        <w:spacing w:before="120" w:after="120"/>
        <w:jc w:val="both"/>
      </w:pPr>
      <w:r w:rsidRPr="00873110">
        <w:rPr>
          <w:color w:val="000000"/>
          <w:szCs w:val="22"/>
        </w:rPr>
        <w:t>En comparaison avec quelques grands pays capitalistes tels les États-Unis, l'Allemagne fédérale, le Japon ou l'Angleterre, le Canada avait en 1961 un pourcentage relativement faible de travailleurs sy</w:t>
      </w:r>
      <w:r w:rsidRPr="00873110">
        <w:rPr>
          <w:color w:val="000000"/>
          <w:szCs w:val="22"/>
        </w:rPr>
        <w:t>n</w:t>
      </w:r>
      <w:r w:rsidRPr="00873110">
        <w:rPr>
          <w:color w:val="000000"/>
          <w:szCs w:val="22"/>
        </w:rPr>
        <w:t>diqués par rapport à la main-d'</w:t>
      </w:r>
      <w:r>
        <w:rPr>
          <w:color w:val="000000"/>
          <w:szCs w:val="22"/>
        </w:rPr>
        <w:t>œuvre</w:t>
      </w:r>
      <w:r w:rsidRPr="00873110">
        <w:rPr>
          <w:color w:val="000000"/>
          <w:szCs w:val="22"/>
        </w:rPr>
        <w:t xml:space="preserve"> salariée. Ce pourcentage s'ét</w:t>
      </w:r>
      <w:r w:rsidRPr="00873110">
        <w:rPr>
          <w:color w:val="000000"/>
          <w:szCs w:val="22"/>
        </w:rPr>
        <w:t>a</w:t>
      </w:r>
      <w:r w:rsidRPr="00873110">
        <w:rPr>
          <w:color w:val="000000"/>
          <w:szCs w:val="22"/>
        </w:rPr>
        <w:t>blissait à 29,5</w:t>
      </w:r>
      <w:r>
        <w:rPr>
          <w:color w:val="000000"/>
          <w:szCs w:val="22"/>
        </w:rPr>
        <w:t>%</w:t>
      </w:r>
      <w:r w:rsidRPr="00873110">
        <w:rPr>
          <w:color w:val="000000"/>
          <w:szCs w:val="22"/>
        </w:rPr>
        <w:t xml:space="preserve"> alors qu'il était par exemple de 30,2</w:t>
      </w:r>
      <w:r>
        <w:rPr>
          <w:color w:val="000000"/>
          <w:szCs w:val="22"/>
        </w:rPr>
        <w:t>%</w:t>
      </w:r>
      <w:r w:rsidRPr="00873110">
        <w:rPr>
          <w:color w:val="000000"/>
          <w:szCs w:val="22"/>
        </w:rPr>
        <w:t xml:space="preserve"> aux États-Unis et de 34,3</w:t>
      </w:r>
      <w:r>
        <w:rPr>
          <w:color w:val="000000"/>
          <w:szCs w:val="22"/>
        </w:rPr>
        <w:t>%</w:t>
      </w:r>
      <w:r w:rsidRPr="00873110">
        <w:rPr>
          <w:color w:val="000000"/>
          <w:szCs w:val="22"/>
        </w:rPr>
        <w:t xml:space="preserve"> au Japon</w:t>
      </w:r>
      <w:r>
        <w:rPr>
          <w:color w:val="000000"/>
          <w:szCs w:val="22"/>
        </w:rPr>
        <w:t> </w:t>
      </w:r>
      <w:r>
        <w:rPr>
          <w:rStyle w:val="Appelnotedebasdep"/>
        </w:rPr>
        <w:footnoteReference w:id="458"/>
      </w:r>
      <w:r w:rsidRPr="00873110">
        <w:rPr>
          <w:color w:val="000000"/>
          <w:szCs w:val="22"/>
        </w:rPr>
        <w:t>. Vingt ans plus tard, le Canada dépassait ces deux pays.</w:t>
      </w:r>
    </w:p>
    <w:p w:rsidR="00AD690E" w:rsidRPr="00873110" w:rsidRDefault="00AD690E" w:rsidP="00AD690E">
      <w:pPr>
        <w:spacing w:before="120" w:after="120"/>
        <w:jc w:val="both"/>
      </w:pPr>
      <w:r w:rsidRPr="00873110">
        <w:rPr>
          <w:color w:val="000000"/>
          <w:szCs w:val="22"/>
        </w:rPr>
        <w:t>Il faut considérer cette progression en relation avec la baisse sign</w:t>
      </w:r>
      <w:r w:rsidRPr="00873110">
        <w:rPr>
          <w:color w:val="000000"/>
          <w:szCs w:val="22"/>
        </w:rPr>
        <w:t>i</w:t>
      </w:r>
      <w:r w:rsidRPr="00873110">
        <w:rPr>
          <w:color w:val="000000"/>
          <w:szCs w:val="22"/>
        </w:rPr>
        <w:t>ficative du taux de syndicalisation qui allait survenir aux États-Unis pendant la même période. En 1963, les deux pays comptaient à peu près le même pourcentage de travailleurs syndiqués non agricoles, soit 30</w:t>
      </w:r>
      <w:r>
        <w:rPr>
          <w:color w:val="000000"/>
          <w:szCs w:val="22"/>
        </w:rPr>
        <w:t>%</w:t>
      </w:r>
      <w:r w:rsidRPr="00873110">
        <w:rPr>
          <w:color w:val="000000"/>
          <w:szCs w:val="22"/>
        </w:rPr>
        <w:t>, mais en 1983 ce taux est tombé sous la barre des 25</w:t>
      </w:r>
      <w:r>
        <w:rPr>
          <w:color w:val="000000"/>
          <w:szCs w:val="22"/>
        </w:rPr>
        <w:t>%</w:t>
      </w:r>
      <w:r w:rsidRPr="00873110">
        <w:rPr>
          <w:color w:val="000000"/>
          <w:szCs w:val="22"/>
        </w:rPr>
        <w:t xml:space="preserve"> aux États-Unis, son niveau le plus bas dans ce pays depuis 45 ans. La hausse enregistrée au Canada est évidemment due principalement à la synd</w:t>
      </w:r>
      <w:r w:rsidRPr="00873110">
        <w:rPr>
          <w:color w:val="000000"/>
          <w:szCs w:val="22"/>
        </w:rPr>
        <w:t>i</w:t>
      </w:r>
      <w:r w:rsidRPr="00873110">
        <w:rPr>
          <w:color w:val="000000"/>
          <w:szCs w:val="22"/>
        </w:rPr>
        <w:t>calisation dans le secteur public, mais l'on note pourtant une progre</w:t>
      </w:r>
      <w:r w:rsidRPr="00873110">
        <w:rPr>
          <w:color w:val="000000"/>
          <w:szCs w:val="22"/>
        </w:rPr>
        <w:t>s</w:t>
      </w:r>
      <w:r w:rsidRPr="00873110">
        <w:rPr>
          <w:color w:val="000000"/>
          <w:szCs w:val="22"/>
        </w:rPr>
        <w:t>sion semblable aux États-Unis dans ce secteur. Divers autres facteurs expliqueraient donc la baisse du taux global de syndicalisation dans ce pays et, parmi eux, on relève souvent la diminution du taux d'accroi</w:t>
      </w:r>
      <w:r w:rsidRPr="00873110">
        <w:rPr>
          <w:color w:val="000000"/>
          <w:szCs w:val="22"/>
        </w:rPr>
        <w:t>s</w:t>
      </w:r>
      <w:r w:rsidRPr="00873110">
        <w:rPr>
          <w:color w:val="000000"/>
          <w:szCs w:val="22"/>
        </w:rPr>
        <w:t>sement dans des secteurs traditionnels tels les mines, les industries manufacturières et le transport, phénomène qui ne s'est pas produit au Canada. Mais on souligne aussi que les employés syndiqués du go</w:t>
      </w:r>
      <w:r w:rsidRPr="00873110">
        <w:rPr>
          <w:color w:val="000000"/>
          <w:szCs w:val="22"/>
        </w:rPr>
        <w:t>u</w:t>
      </w:r>
      <w:r w:rsidRPr="00873110">
        <w:rPr>
          <w:color w:val="000000"/>
          <w:szCs w:val="22"/>
        </w:rPr>
        <w:t>vernement fédéral et de nombreux États américains ne jouissent pas de tous les droits de la négociation collective — ils n'ont pas le droit de grève — ce qui a pu diminuer le pouvoir d'attraction du syndic</w:t>
      </w:r>
      <w:r w:rsidRPr="00873110">
        <w:rPr>
          <w:color w:val="000000"/>
          <w:szCs w:val="22"/>
        </w:rPr>
        <w:t>a</w:t>
      </w:r>
      <w:r w:rsidRPr="00873110">
        <w:rPr>
          <w:color w:val="000000"/>
          <w:szCs w:val="22"/>
        </w:rPr>
        <w:t>lisme comme instrument de défense des revendications des salariés dans ce secteur</w:t>
      </w:r>
      <w:r>
        <w:rPr>
          <w:color w:val="000000"/>
          <w:szCs w:val="22"/>
        </w:rPr>
        <w:t> </w:t>
      </w:r>
      <w:r w:rsidRPr="000A019C">
        <w:rPr>
          <w:rStyle w:val="Appelnotedebasdep"/>
        </w:rPr>
        <w:footnoteReference w:id="459"/>
      </w:r>
      <w:r w:rsidRPr="00873110">
        <w:rPr>
          <w:color w:val="000000"/>
          <w:szCs w:val="22"/>
        </w:rPr>
        <w:t>.</w:t>
      </w:r>
    </w:p>
    <w:p w:rsidR="00AD690E" w:rsidRPr="00873110" w:rsidRDefault="00AD690E" w:rsidP="00AD690E">
      <w:pPr>
        <w:spacing w:before="120" w:after="120"/>
        <w:jc w:val="both"/>
      </w:pPr>
      <w:r w:rsidRPr="00873110">
        <w:rPr>
          <w:color w:val="000000"/>
          <w:szCs w:val="22"/>
        </w:rPr>
        <w:t>Kumar (1986) fait ressortir quelques-uns des aspects les plus sign</w:t>
      </w:r>
      <w:r w:rsidRPr="00873110">
        <w:rPr>
          <w:color w:val="000000"/>
          <w:szCs w:val="22"/>
        </w:rPr>
        <w:t>i</w:t>
      </w:r>
      <w:r w:rsidRPr="00873110">
        <w:rPr>
          <w:color w:val="000000"/>
          <w:szCs w:val="22"/>
        </w:rPr>
        <w:t>ficatifs de la hausse de la syndicalisation au Canada en soulignant à nouveau à quel point son ampleur spectaculaire est due à la percée réalisée dans le secteur public et chez les cols-blancs. Par exemple, en 1961, on compte au Canada 15 syndicats du secteur public qui total</w:t>
      </w:r>
      <w:r w:rsidRPr="00873110">
        <w:rPr>
          <w:color w:val="000000"/>
          <w:szCs w:val="22"/>
        </w:rPr>
        <w:t>i</w:t>
      </w:r>
      <w:r w:rsidRPr="00873110">
        <w:rPr>
          <w:color w:val="000000"/>
          <w:szCs w:val="22"/>
        </w:rPr>
        <w:t>sent 183</w:t>
      </w:r>
      <w:r>
        <w:rPr>
          <w:color w:val="000000"/>
          <w:szCs w:val="22"/>
        </w:rPr>
        <w:t> </w:t>
      </w:r>
      <w:r w:rsidRPr="00873110">
        <w:rPr>
          <w:color w:val="000000"/>
          <w:szCs w:val="22"/>
        </w:rPr>
        <w:t>000 membres. Dix ans plus tard ces syndicats sont au nombre de 27 et regroupent 572</w:t>
      </w:r>
      <w:r>
        <w:rPr>
          <w:color w:val="000000"/>
          <w:szCs w:val="22"/>
        </w:rPr>
        <w:t> </w:t>
      </w:r>
      <w:r w:rsidRPr="00873110">
        <w:rPr>
          <w:color w:val="000000"/>
          <w:szCs w:val="22"/>
        </w:rPr>
        <w:t>000 membres et en 1981, ils seront 71 à ra</w:t>
      </w:r>
      <w:r w:rsidRPr="00873110">
        <w:rPr>
          <w:color w:val="000000"/>
          <w:szCs w:val="22"/>
        </w:rPr>
        <w:t>s</w:t>
      </w:r>
      <w:r w:rsidRPr="00873110">
        <w:rPr>
          <w:color w:val="000000"/>
          <w:szCs w:val="22"/>
        </w:rPr>
        <w:t>sembler 1</w:t>
      </w:r>
      <w:r>
        <w:rPr>
          <w:color w:val="000000"/>
          <w:szCs w:val="22"/>
        </w:rPr>
        <w:t> </w:t>
      </w:r>
      <w:r w:rsidRPr="00873110">
        <w:rPr>
          <w:color w:val="000000"/>
          <w:szCs w:val="22"/>
        </w:rPr>
        <w:t>500</w:t>
      </w:r>
      <w:r>
        <w:rPr>
          <w:color w:val="000000"/>
          <w:szCs w:val="22"/>
        </w:rPr>
        <w:t> </w:t>
      </w:r>
      <w:r w:rsidRPr="00873110">
        <w:rPr>
          <w:color w:val="000000"/>
          <w:szCs w:val="22"/>
        </w:rPr>
        <w:t>000 membres. C'est donc dire également que si, en</w:t>
      </w:r>
      <w:r>
        <w:rPr>
          <w:color w:val="000000"/>
          <w:szCs w:val="22"/>
        </w:rPr>
        <w:t xml:space="preserve"> </w:t>
      </w:r>
      <w:r>
        <w:rPr>
          <w:color w:val="000000"/>
          <w:szCs w:val="18"/>
        </w:rPr>
        <w:t xml:space="preserve">[261] </w:t>
      </w:r>
      <w:r w:rsidRPr="00873110">
        <w:rPr>
          <w:color w:val="000000"/>
          <w:szCs w:val="22"/>
        </w:rPr>
        <w:t>1961, les syndicats du secteur public représentaient 1/8 de la force syndicale, ils comptaient pour 40</w:t>
      </w:r>
      <w:r>
        <w:rPr>
          <w:color w:val="000000"/>
          <w:szCs w:val="22"/>
        </w:rPr>
        <w:t xml:space="preserve"> %</w:t>
      </w:r>
      <w:r w:rsidRPr="00873110">
        <w:rPr>
          <w:color w:val="000000"/>
          <w:szCs w:val="22"/>
        </w:rPr>
        <w:t xml:space="preserve"> de cette force vingt ans plus tard.</w:t>
      </w:r>
    </w:p>
    <w:p w:rsidR="00AD690E" w:rsidRPr="00873110" w:rsidRDefault="00AD690E" w:rsidP="00AD690E">
      <w:pPr>
        <w:spacing w:before="120" w:after="120"/>
        <w:jc w:val="both"/>
      </w:pPr>
      <w:r w:rsidRPr="00873110">
        <w:rPr>
          <w:color w:val="000000"/>
          <w:szCs w:val="22"/>
        </w:rPr>
        <w:t>Le changement sur le plan numérique et sectoriel est tellement i</w:t>
      </w:r>
      <w:r w:rsidRPr="00873110">
        <w:rPr>
          <w:color w:val="000000"/>
          <w:szCs w:val="22"/>
        </w:rPr>
        <w:t>m</w:t>
      </w:r>
      <w:r w:rsidRPr="00873110">
        <w:rPr>
          <w:color w:val="000000"/>
          <w:szCs w:val="22"/>
        </w:rPr>
        <w:t>portant et concentré dans le temps qu'on pourrait presque parler de la naissance d'un nouveau mouvement syndical. C'est à ce tout nouveau mouvement que vont devoir se confronter l'État fédéral et les provi</w:t>
      </w:r>
      <w:r w:rsidRPr="00873110">
        <w:rPr>
          <w:color w:val="000000"/>
          <w:szCs w:val="22"/>
        </w:rPr>
        <w:t>n</w:t>
      </w:r>
      <w:r w:rsidRPr="00873110">
        <w:rPr>
          <w:color w:val="000000"/>
          <w:szCs w:val="22"/>
        </w:rPr>
        <w:t>ces.</w:t>
      </w:r>
    </w:p>
    <w:p w:rsidR="00AD690E" w:rsidRPr="00873110" w:rsidRDefault="00AD690E" w:rsidP="00AD690E">
      <w:pPr>
        <w:spacing w:before="120" w:after="120"/>
        <w:jc w:val="both"/>
      </w:pPr>
      <w:r w:rsidRPr="00873110">
        <w:rPr>
          <w:color w:val="000000"/>
          <w:szCs w:val="22"/>
        </w:rPr>
        <w:t>Grâce à son développement, le syndicalisme canadien devient pour la première fois, pendant cette période, un mouvement aux assises v</w:t>
      </w:r>
      <w:r w:rsidRPr="00873110">
        <w:rPr>
          <w:color w:val="000000"/>
          <w:szCs w:val="22"/>
        </w:rPr>
        <w:t>é</w:t>
      </w:r>
      <w:r w:rsidRPr="00873110">
        <w:rPr>
          <w:color w:val="000000"/>
          <w:szCs w:val="22"/>
        </w:rPr>
        <w:t>ritablement pancanadiennes. D'une part, il ne se limite plus aux ce</w:t>
      </w:r>
      <w:r w:rsidRPr="00873110">
        <w:rPr>
          <w:color w:val="000000"/>
          <w:szCs w:val="22"/>
        </w:rPr>
        <w:t>n</w:t>
      </w:r>
      <w:r w:rsidRPr="00873110">
        <w:rPr>
          <w:color w:val="000000"/>
          <w:szCs w:val="22"/>
        </w:rPr>
        <w:t>tres industriels du Québec et de l'Ontario et son rayonnement s'étend à des régions où il était demeuré très faible jusqu'alors. À titre d'exe</w:t>
      </w:r>
      <w:r w:rsidRPr="00873110">
        <w:rPr>
          <w:color w:val="000000"/>
          <w:szCs w:val="22"/>
        </w:rPr>
        <w:t>m</w:t>
      </w:r>
      <w:r w:rsidRPr="00873110">
        <w:rPr>
          <w:color w:val="000000"/>
          <w:szCs w:val="22"/>
        </w:rPr>
        <w:t>ple, on peut noter qu'en 1962, le Québec, l'Ontario et la Colombie-Britannique concentraient à elles seules 75</w:t>
      </w:r>
      <w:r>
        <w:rPr>
          <w:color w:val="000000"/>
          <w:szCs w:val="22"/>
        </w:rPr>
        <w:t>%</w:t>
      </w:r>
      <w:r w:rsidRPr="00873110">
        <w:rPr>
          <w:color w:val="000000"/>
          <w:szCs w:val="22"/>
        </w:rPr>
        <w:t xml:space="preserve"> des effectifs syndicaux de tout le Canada. Le taux de syndicalisation variait de 15</w:t>
      </w:r>
      <w:r>
        <w:rPr>
          <w:color w:val="000000"/>
          <w:szCs w:val="22"/>
        </w:rPr>
        <w:t>% à l'Î</w:t>
      </w:r>
      <w:r w:rsidRPr="00873110">
        <w:rPr>
          <w:color w:val="000000"/>
          <w:szCs w:val="22"/>
        </w:rPr>
        <w:t>le-du-Prince-Édouard à 45</w:t>
      </w:r>
      <w:r>
        <w:rPr>
          <w:color w:val="000000"/>
          <w:szCs w:val="22"/>
        </w:rPr>
        <w:t>%</w:t>
      </w:r>
      <w:r w:rsidRPr="00873110">
        <w:rPr>
          <w:color w:val="000000"/>
          <w:szCs w:val="22"/>
        </w:rPr>
        <w:t xml:space="preserve"> en Colombie-Britannique, un écart de 30</w:t>
      </w:r>
      <w:r>
        <w:rPr>
          <w:color w:val="000000"/>
          <w:szCs w:val="22"/>
        </w:rPr>
        <w:t>%</w:t>
      </w:r>
      <w:r w:rsidRPr="00873110">
        <w:rPr>
          <w:color w:val="000000"/>
          <w:szCs w:val="22"/>
        </w:rPr>
        <w:t>. Vers 1981, cet écart était tombé à 18</w:t>
      </w:r>
      <w:r>
        <w:rPr>
          <w:color w:val="000000"/>
          <w:szCs w:val="22"/>
        </w:rPr>
        <w:t>%</w:t>
      </w:r>
      <w:r w:rsidRPr="00873110">
        <w:rPr>
          <w:color w:val="000000"/>
          <w:szCs w:val="22"/>
        </w:rPr>
        <w:t>, notamment parce que la sy</w:t>
      </w:r>
      <w:r w:rsidRPr="00873110">
        <w:rPr>
          <w:color w:val="000000"/>
          <w:szCs w:val="22"/>
        </w:rPr>
        <w:t>n</w:t>
      </w:r>
      <w:r w:rsidRPr="00873110">
        <w:rPr>
          <w:color w:val="000000"/>
          <w:szCs w:val="22"/>
        </w:rPr>
        <w:t>dicalisation des enseignants et des travailleurs des hôpitaux avaient rejoint des provinces et des régions où la force de travail avait été a</w:t>
      </w:r>
      <w:r w:rsidRPr="00873110">
        <w:rPr>
          <w:color w:val="000000"/>
          <w:szCs w:val="22"/>
        </w:rPr>
        <w:t>n</w:t>
      </w:r>
      <w:r w:rsidRPr="00873110">
        <w:rPr>
          <w:color w:val="000000"/>
          <w:szCs w:val="22"/>
        </w:rPr>
        <w:t>térieurement très peu organisée.</w:t>
      </w:r>
    </w:p>
    <w:p w:rsidR="00AD690E" w:rsidRPr="00873110" w:rsidRDefault="00AD690E" w:rsidP="00AD690E">
      <w:pPr>
        <w:spacing w:before="120" w:after="120"/>
        <w:jc w:val="both"/>
      </w:pPr>
      <w:r w:rsidRPr="00873110">
        <w:rPr>
          <w:color w:val="000000"/>
          <w:szCs w:val="22"/>
        </w:rPr>
        <w:t>Mais la croissance dans le secteur public n'a pas seulement permis au mouvement syndical de commencer à structurer sa force à l'échelle pan-canadienne, elle a contribué à réduire la fragmentation qui le c</w:t>
      </w:r>
      <w:r w:rsidRPr="00873110">
        <w:rPr>
          <w:color w:val="000000"/>
          <w:szCs w:val="22"/>
        </w:rPr>
        <w:t>a</w:t>
      </w:r>
      <w:r w:rsidRPr="00873110">
        <w:rPr>
          <w:color w:val="000000"/>
          <w:szCs w:val="22"/>
        </w:rPr>
        <w:t>ractérisait depuis toujours. En 1963, quatre syndicats seulement avaient plus de 50</w:t>
      </w:r>
      <w:r>
        <w:rPr>
          <w:color w:val="000000"/>
          <w:szCs w:val="22"/>
        </w:rPr>
        <w:t> </w:t>
      </w:r>
      <w:r w:rsidRPr="00873110">
        <w:rPr>
          <w:color w:val="000000"/>
          <w:szCs w:val="22"/>
        </w:rPr>
        <w:t>000 membres au Canada. Mais en 1982, ce nombre était passé à seize, et parmi ces syndicats on en comptait six qui r</w:t>
      </w:r>
      <w:r w:rsidRPr="00873110">
        <w:rPr>
          <w:color w:val="000000"/>
          <w:szCs w:val="22"/>
        </w:rPr>
        <w:t>e</w:t>
      </w:r>
      <w:r w:rsidRPr="00873110">
        <w:rPr>
          <w:color w:val="000000"/>
          <w:szCs w:val="22"/>
        </w:rPr>
        <w:t>groupaient plus de 100</w:t>
      </w:r>
      <w:r>
        <w:rPr>
          <w:color w:val="000000"/>
          <w:szCs w:val="22"/>
        </w:rPr>
        <w:t> </w:t>
      </w:r>
      <w:r w:rsidRPr="00873110">
        <w:rPr>
          <w:color w:val="000000"/>
          <w:szCs w:val="22"/>
        </w:rPr>
        <w:t>000 syndiqués. Les effectifs des syndicats de plus de 30</w:t>
      </w:r>
      <w:r>
        <w:rPr>
          <w:color w:val="000000"/>
          <w:szCs w:val="22"/>
        </w:rPr>
        <w:t> </w:t>
      </w:r>
      <w:r w:rsidRPr="00873110">
        <w:rPr>
          <w:color w:val="000000"/>
          <w:szCs w:val="22"/>
        </w:rPr>
        <w:t>000 membres ont au moins quadruplé, passant de 500</w:t>
      </w:r>
      <w:r>
        <w:rPr>
          <w:color w:val="000000"/>
          <w:szCs w:val="22"/>
        </w:rPr>
        <w:t> </w:t>
      </w:r>
      <w:r w:rsidRPr="00873110">
        <w:rPr>
          <w:color w:val="000000"/>
          <w:szCs w:val="22"/>
        </w:rPr>
        <w:t>000 à 2</w:t>
      </w:r>
      <w:r>
        <w:rPr>
          <w:color w:val="000000"/>
          <w:szCs w:val="22"/>
        </w:rPr>
        <w:t> </w:t>
      </w:r>
      <w:r w:rsidRPr="00873110">
        <w:rPr>
          <w:color w:val="000000"/>
          <w:szCs w:val="22"/>
        </w:rPr>
        <w:t>260</w:t>
      </w:r>
      <w:r>
        <w:rPr>
          <w:color w:val="000000"/>
          <w:szCs w:val="22"/>
        </w:rPr>
        <w:t> </w:t>
      </w:r>
      <w:r w:rsidRPr="00873110">
        <w:rPr>
          <w:color w:val="000000"/>
          <w:szCs w:val="22"/>
        </w:rPr>
        <w:t>000 membres, soit plus des 2/3 des effectifs syndicaux. Le mouvement syndical en s'élargissant s'est donc aussi doté d'une force plus concentrée, processus auxquelles les fusions qui ont conduit à la création du Syndicat canadien de la fonction publique (le SCFP) et de l'Alliance de la fonction publique du Canada ont contribué.</w:t>
      </w:r>
    </w:p>
    <w:p w:rsidR="00AD690E" w:rsidRPr="00873110" w:rsidRDefault="00AD690E" w:rsidP="00AD690E">
      <w:pPr>
        <w:spacing w:before="120" w:after="120"/>
        <w:jc w:val="both"/>
      </w:pPr>
      <w:r w:rsidRPr="00873110">
        <w:rPr>
          <w:color w:val="000000"/>
          <w:szCs w:val="22"/>
        </w:rPr>
        <w:t>Autre trait de l'évolution du syndicalisme pendant les années de gouvernement libéral : le déplacement de la majorité des effectifs vers les syndicats « nationaux », qu'on désigne ainsi notamment parce que leur champ d'action demeure à l'intérieur des frontières de l'État can</w:t>
      </w:r>
      <w:r w:rsidRPr="00873110">
        <w:rPr>
          <w:color w:val="000000"/>
          <w:szCs w:val="22"/>
        </w:rPr>
        <w:t>a</w:t>
      </w:r>
      <w:r w:rsidRPr="00873110">
        <w:rPr>
          <w:color w:val="000000"/>
          <w:szCs w:val="22"/>
        </w:rPr>
        <w:t>dien, à la différence des syndicats internationaux nord-américains qui ont constitué des structures organiques unifiées par delà les frontières étatiques des deux pays. En 1963, sur les quinze plus grands syndicats au Canada, douze étaient internationaux, alors que, exception faite de la CSN au Québec, seuls la Fraternité canadienne des cheminots, le Syndicat national des fonctionnaires et le Syndicat national des e</w:t>
      </w:r>
      <w:r w:rsidRPr="00873110">
        <w:rPr>
          <w:color w:val="000000"/>
          <w:szCs w:val="22"/>
        </w:rPr>
        <w:t>m</w:t>
      </w:r>
      <w:r w:rsidRPr="00873110">
        <w:rPr>
          <w:color w:val="000000"/>
          <w:szCs w:val="22"/>
        </w:rPr>
        <w:t>ployés de la fonction publique étaient « nationaux ». En 1982, on comptait six syndicats « nationaux », mais sur ce nombre, trois co</w:t>
      </w:r>
      <w:r w:rsidRPr="00873110">
        <w:rPr>
          <w:color w:val="000000"/>
          <w:szCs w:val="22"/>
        </w:rPr>
        <w:t>m</w:t>
      </w:r>
      <w:r w:rsidRPr="00873110">
        <w:rPr>
          <w:color w:val="000000"/>
          <w:szCs w:val="22"/>
        </w:rPr>
        <w:t>prenaient les effectifs syndicaux les plus nombreux au pays. En 1984, il faudra ajouter à ce tableau les</w:t>
      </w:r>
      <w:r>
        <w:rPr>
          <w:color w:val="000000"/>
          <w:szCs w:val="22"/>
        </w:rPr>
        <w:t xml:space="preserve"> </w:t>
      </w:r>
      <w:r>
        <w:rPr>
          <w:color w:val="000000"/>
          <w:szCs w:val="18"/>
        </w:rPr>
        <w:t xml:space="preserve">[262] </w:t>
      </w:r>
      <w:r w:rsidRPr="00873110">
        <w:rPr>
          <w:color w:val="000000"/>
        </w:rPr>
        <w:t>travailleurs canadiens de l'a</w:t>
      </w:r>
      <w:r w:rsidRPr="00873110">
        <w:rPr>
          <w:color w:val="000000"/>
        </w:rPr>
        <w:t>u</w:t>
      </w:r>
      <w:r w:rsidRPr="00873110">
        <w:rPr>
          <w:color w:val="000000"/>
        </w:rPr>
        <w:t>tomobile, après la scission avec les TUA des États-Unis.</w:t>
      </w:r>
    </w:p>
    <w:p w:rsidR="00AD690E" w:rsidRPr="00873110" w:rsidRDefault="00AD690E" w:rsidP="00AD690E">
      <w:pPr>
        <w:spacing w:before="120" w:after="120"/>
        <w:jc w:val="both"/>
      </w:pPr>
      <w:r w:rsidRPr="00873110">
        <w:rPr>
          <w:color w:val="000000"/>
        </w:rPr>
        <w:t>En 1983, les 74 syndicats internationaux organisés au Canada r</w:t>
      </w:r>
      <w:r w:rsidRPr="00873110">
        <w:rPr>
          <w:color w:val="000000"/>
        </w:rPr>
        <w:t>e</w:t>
      </w:r>
      <w:r w:rsidRPr="00873110">
        <w:rPr>
          <w:color w:val="000000"/>
        </w:rPr>
        <w:t>groupaient 41,3</w:t>
      </w:r>
      <w:r>
        <w:rPr>
          <w:color w:val="000000"/>
        </w:rPr>
        <w:t>%</w:t>
      </w:r>
      <w:r w:rsidRPr="00873110">
        <w:rPr>
          <w:color w:val="000000"/>
        </w:rPr>
        <w:t xml:space="preserve"> de la force syndicale, tandis que les syndicats « nationaux » rassemblaient désormais 55</w:t>
      </w:r>
      <w:r>
        <w:rPr>
          <w:color w:val="000000"/>
        </w:rPr>
        <w:t>%</w:t>
      </w:r>
      <w:r w:rsidRPr="00873110">
        <w:rPr>
          <w:color w:val="000000"/>
        </w:rPr>
        <w:t xml:space="preserve"> de l'ensemble des synd</w:t>
      </w:r>
      <w:r w:rsidRPr="00873110">
        <w:rPr>
          <w:color w:val="000000"/>
        </w:rPr>
        <w:t>i</w:t>
      </w:r>
      <w:r w:rsidRPr="00873110">
        <w:rPr>
          <w:color w:val="000000"/>
        </w:rPr>
        <w:t>qués canadiens. La relation de ces faits n'implique aucun jugement de valeur en faveur des syndicats « nationaux » par rapport aux syndicats nord-américains — il s'</w:t>
      </w:r>
      <w:r>
        <w:rPr>
          <w:color w:val="000000"/>
        </w:rPr>
        <w:t xml:space="preserve">agirait d'une autre discussion </w:t>
      </w:r>
      <w:r w:rsidRPr="00873110">
        <w:rPr>
          <w:color w:val="000000"/>
        </w:rPr>
        <w:t>—mais elle pe</w:t>
      </w:r>
      <w:r w:rsidRPr="00873110">
        <w:rPr>
          <w:color w:val="000000"/>
        </w:rPr>
        <w:t>r</w:t>
      </w:r>
      <w:r w:rsidRPr="00873110">
        <w:rPr>
          <w:color w:val="000000"/>
        </w:rPr>
        <w:t>met de mettre en relief un aspect très important de l'évolution récente : avec la naissance du syndicalisme et de la négociation collective dans le secteur public, l'État fédéral canadien s'est trouvé pour la première fois confronté à un mouvement social dont le point de concentration direct sur le plan politique est Ottawa, tandis que le rapport de force construit historiquement par les syndicats internationaux visait d'abord les grandes compagnies transnationales et canadiennes et moins dire</w:t>
      </w:r>
      <w:r w:rsidRPr="00873110">
        <w:rPr>
          <w:color w:val="000000"/>
        </w:rPr>
        <w:t>c</w:t>
      </w:r>
      <w:r w:rsidRPr="00873110">
        <w:rPr>
          <w:color w:val="000000"/>
        </w:rPr>
        <w:t>tement le pouvoir central.</w:t>
      </w:r>
    </w:p>
    <w:p w:rsidR="00AD690E" w:rsidRPr="00873110" w:rsidRDefault="00AD690E" w:rsidP="00AD690E">
      <w:pPr>
        <w:spacing w:before="120" w:after="120"/>
        <w:jc w:val="both"/>
      </w:pPr>
      <w:r w:rsidRPr="00873110">
        <w:rPr>
          <w:color w:val="000000"/>
        </w:rPr>
        <w:t>Les « années libérales » voient l'émergence d'un mouvement sy</w:t>
      </w:r>
      <w:r w:rsidRPr="00873110">
        <w:rPr>
          <w:color w:val="000000"/>
        </w:rPr>
        <w:t>n</w:t>
      </w:r>
      <w:r w:rsidRPr="00873110">
        <w:rPr>
          <w:color w:val="000000"/>
        </w:rPr>
        <w:t>dical doté d'une capacité d'action plus large et plus concentrée à l'échelle pancanadienne, avec un impact plus lourd sur le pouvoir pol</w:t>
      </w:r>
      <w:r w:rsidRPr="00873110">
        <w:rPr>
          <w:color w:val="000000"/>
        </w:rPr>
        <w:t>i</w:t>
      </w:r>
      <w:r w:rsidRPr="00873110">
        <w:rPr>
          <w:color w:val="000000"/>
        </w:rPr>
        <w:t>tique, à la différence des décennies antérieures où l'action syndicale avait une envergure plus strictement économique et une portée surtout locale, régionale ou provinciale.</w:t>
      </w:r>
    </w:p>
    <w:p w:rsidR="00AD690E" w:rsidRDefault="00AD690E" w:rsidP="00AD690E">
      <w:pPr>
        <w:spacing w:before="120" w:after="120"/>
        <w:jc w:val="both"/>
        <w:rPr>
          <w:color w:val="000000"/>
        </w:rPr>
      </w:pPr>
      <w:r>
        <w:rPr>
          <w:color w:val="000000"/>
        </w:rPr>
        <w:br w:type="page"/>
      </w:r>
    </w:p>
    <w:p w:rsidR="00AD690E" w:rsidRPr="00873110" w:rsidRDefault="00AD690E" w:rsidP="00AD690E">
      <w:pPr>
        <w:pStyle w:val="planche"/>
      </w:pPr>
      <w:r>
        <w:t>UNE CONQUÊ</w:t>
      </w:r>
      <w:r w:rsidRPr="00873110">
        <w:t>TE LÉGISLATIVE</w:t>
      </w:r>
    </w:p>
    <w:p w:rsidR="00AD690E" w:rsidRDefault="00AD690E" w:rsidP="00AD690E">
      <w:pPr>
        <w:spacing w:before="120" w:after="120"/>
        <w:jc w:val="both"/>
        <w:rPr>
          <w:color w:val="000000"/>
        </w:rPr>
      </w:pPr>
    </w:p>
    <w:p w:rsidR="00AD690E" w:rsidRPr="00873110" w:rsidRDefault="00AD690E" w:rsidP="00AD690E">
      <w:pPr>
        <w:spacing w:before="120" w:after="120"/>
        <w:ind w:firstLine="90"/>
        <w:jc w:val="both"/>
      </w:pPr>
      <w:r w:rsidRPr="00873110">
        <w:rPr>
          <w:color w:val="000000"/>
        </w:rPr>
        <w:t>C'est sous le gouvernement libéral fédéral que le mouvement synd</w:t>
      </w:r>
      <w:r w:rsidRPr="00873110">
        <w:rPr>
          <w:color w:val="000000"/>
        </w:rPr>
        <w:t>i</w:t>
      </w:r>
      <w:r w:rsidRPr="00873110">
        <w:rPr>
          <w:color w:val="000000"/>
        </w:rPr>
        <w:t>cal remporte</w:t>
      </w:r>
      <w:r>
        <w:rPr>
          <w:color w:val="000000"/>
        </w:rPr>
        <w:t xml:space="preserve"> </w:t>
      </w:r>
      <w:r w:rsidRPr="00873110">
        <w:rPr>
          <w:color w:val="000000"/>
        </w:rPr>
        <w:t>une des conquêtes législatives les plus importantes de son histoire, l'adoption en</w:t>
      </w:r>
      <w:r>
        <w:rPr>
          <w:color w:val="000000"/>
        </w:rPr>
        <w:t xml:space="preserve"> </w:t>
      </w:r>
      <w:r w:rsidRPr="00873110">
        <w:rPr>
          <w:color w:val="000000"/>
        </w:rPr>
        <w:t>1967 de la Loi sur les relations de travail dans la fonction publique. Cette</w:t>
      </w:r>
      <w:r>
        <w:rPr>
          <w:color w:val="000000"/>
        </w:rPr>
        <w:t xml:space="preserve"> </w:t>
      </w:r>
      <w:r w:rsidRPr="00873110">
        <w:rPr>
          <w:color w:val="000000"/>
        </w:rPr>
        <w:t>législation est d'abord la consécration d'un processus amorcé au cours des années</w:t>
      </w:r>
      <w:r>
        <w:rPr>
          <w:color w:val="000000"/>
        </w:rPr>
        <w:t xml:space="preserve"> </w:t>
      </w:r>
      <w:r w:rsidRPr="00873110">
        <w:rPr>
          <w:color w:val="000000"/>
        </w:rPr>
        <w:t>antérieures qui avait vu s'affirmer chez les employés de l'État l'exigence de plus</w:t>
      </w:r>
      <w:r>
        <w:rPr>
          <w:color w:val="000000"/>
        </w:rPr>
        <w:t xml:space="preserve"> </w:t>
      </w:r>
      <w:r w:rsidRPr="00873110">
        <w:rPr>
          <w:color w:val="000000"/>
        </w:rPr>
        <w:t>en plus forte de la reconnaissance du droit à la négociation collective. Mais la</w:t>
      </w:r>
      <w:r>
        <w:rPr>
          <w:color w:val="000000"/>
        </w:rPr>
        <w:t xml:space="preserve"> </w:t>
      </w:r>
      <w:r w:rsidRPr="00873110">
        <w:rPr>
          <w:color w:val="000000"/>
        </w:rPr>
        <w:t>no</w:t>
      </w:r>
      <w:r w:rsidRPr="00873110">
        <w:rPr>
          <w:color w:val="000000"/>
        </w:rPr>
        <w:t>u</w:t>
      </w:r>
      <w:r w:rsidRPr="00873110">
        <w:rPr>
          <w:color w:val="000000"/>
        </w:rPr>
        <w:t>velle loi sera aussi un extraordinaire point d'appui pour le renforc</w:t>
      </w:r>
      <w:r w:rsidRPr="00873110">
        <w:rPr>
          <w:color w:val="000000"/>
        </w:rPr>
        <w:t>e</w:t>
      </w:r>
      <w:r w:rsidRPr="00873110">
        <w:rPr>
          <w:color w:val="000000"/>
        </w:rPr>
        <w:t>ment du</w:t>
      </w:r>
      <w:r>
        <w:rPr>
          <w:color w:val="000000"/>
        </w:rPr>
        <w:t xml:space="preserve"> </w:t>
      </w:r>
      <w:r w:rsidRPr="00873110">
        <w:rPr>
          <w:color w:val="000000"/>
        </w:rPr>
        <w:t>processus de syndicalisation et de négociation, non seulement au niveau fédéral</w:t>
      </w:r>
      <w:r>
        <w:rPr>
          <w:color w:val="000000"/>
        </w:rPr>
        <w:t xml:space="preserve"> </w:t>
      </w:r>
      <w:r w:rsidRPr="00873110">
        <w:rPr>
          <w:color w:val="000000"/>
        </w:rPr>
        <w:t>mais dans plusieurs provinces, pour la multiplication des actions et des grèves</w:t>
      </w:r>
      <w:r>
        <w:rPr>
          <w:color w:val="000000"/>
        </w:rPr>
        <w:t xml:space="preserve"> </w:t>
      </w:r>
      <w:r w:rsidRPr="00873110">
        <w:rPr>
          <w:color w:val="000000"/>
        </w:rPr>
        <w:t>en faveur des revendications, et pour le re</w:t>
      </w:r>
      <w:r w:rsidRPr="00873110">
        <w:rPr>
          <w:color w:val="000000"/>
        </w:rPr>
        <w:t>n</w:t>
      </w:r>
      <w:r w:rsidRPr="00873110">
        <w:rPr>
          <w:color w:val="000000"/>
        </w:rPr>
        <w:t>forcement de tout le mouvement</w:t>
      </w:r>
      <w:r>
        <w:rPr>
          <w:color w:val="000000"/>
        </w:rPr>
        <w:t xml:space="preserve"> </w:t>
      </w:r>
      <w:r w:rsidRPr="00873110">
        <w:rPr>
          <w:color w:val="000000"/>
        </w:rPr>
        <w:t>syndical comme tel.</w:t>
      </w:r>
    </w:p>
    <w:p w:rsidR="00AD690E" w:rsidRPr="00873110" w:rsidRDefault="00AD690E" w:rsidP="00AD690E">
      <w:pPr>
        <w:spacing w:before="120" w:after="120"/>
        <w:jc w:val="both"/>
      </w:pPr>
      <w:r w:rsidRPr="00873110">
        <w:rPr>
          <w:color w:val="000000"/>
        </w:rPr>
        <w:t>La loi de 1967 compte parmi les quelques législations qui ont le plus marqué l'évolution des relations de travail au Canada. Pour le démontrer, revenons brièvement en arrière.</w:t>
      </w:r>
    </w:p>
    <w:p w:rsidR="00AD690E" w:rsidRPr="00873110" w:rsidRDefault="00AD690E" w:rsidP="00AD690E">
      <w:pPr>
        <w:spacing w:before="120" w:after="120"/>
        <w:jc w:val="both"/>
      </w:pPr>
      <w:r w:rsidRPr="00873110">
        <w:rPr>
          <w:color w:val="000000"/>
        </w:rPr>
        <w:t>On rappelle généralement que 1872 est une première date ma</w:t>
      </w:r>
      <w:r w:rsidRPr="00873110">
        <w:rPr>
          <w:color w:val="000000"/>
        </w:rPr>
        <w:t>r</w:t>
      </w:r>
      <w:r w:rsidRPr="00873110">
        <w:rPr>
          <w:color w:val="000000"/>
        </w:rPr>
        <w:t>quante dans la mesure où l'acte concernant les associations ouvrières voté cette année-là a eu pour effet de soustraire les syndicats aux a</w:t>
      </w:r>
      <w:r w:rsidRPr="00873110">
        <w:rPr>
          <w:color w:val="000000"/>
        </w:rPr>
        <w:t>c</w:t>
      </w:r>
      <w:r w:rsidRPr="00873110">
        <w:rPr>
          <w:color w:val="000000"/>
        </w:rPr>
        <w:t>cusations de conspiration criminelle, levant ainsi une bonne partie des obstacles à la formation des syndicats et au déclenchement des grèves. Mais Riddell (1986) considère que c'est le décret C.P</w:t>
      </w:r>
      <w:r>
        <w:rPr>
          <w:color w:val="000000"/>
        </w:rPr>
        <w:t xml:space="preserve">. </w:t>
      </w:r>
      <w:r w:rsidRPr="00873110">
        <w:rPr>
          <w:color w:val="000000"/>
        </w:rPr>
        <w:t>1003,</w:t>
      </w:r>
      <w:r>
        <w:rPr>
          <w:color w:val="000000"/>
        </w:rPr>
        <w:t xml:space="preserve"> </w:t>
      </w:r>
      <w:r>
        <w:t>[263]</w:t>
      </w:r>
      <w:r w:rsidRPr="00873110">
        <w:rPr>
          <w:color w:val="000000"/>
        </w:rPr>
        <w:t xml:space="preserve"> le </w:t>
      </w:r>
      <w:r w:rsidRPr="00D2087A">
        <w:rPr>
          <w:i/>
          <w:color w:val="000000"/>
        </w:rPr>
        <w:t>National War Labour Order</w:t>
      </w:r>
      <w:r w:rsidRPr="00873110">
        <w:rPr>
          <w:color w:val="000000"/>
        </w:rPr>
        <w:t>, promulgué en 1944 qui est « probablement le texte législatif le plus important pour les rel</w:t>
      </w:r>
      <w:r w:rsidRPr="00873110">
        <w:rPr>
          <w:color w:val="000000"/>
        </w:rPr>
        <w:t>a</w:t>
      </w:r>
      <w:r w:rsidRPr="00873110">
        <w:rPr>
          <w:color w:val="000000"/>
        </w:rPr>
        <w:t>tions de travail... » Il marque la reconnaissance légale officielle des synd</w:t>
      </w:r>
      <w:r w:rsidRPr="00873110">
        <w:rPr>
          <w:color w:val="000000"/>
        </w:rPr>
        <w:t>i</w:t>
      </w:r>
      <w:r w:rsidRPr="00873110">
        <w:rPr>
          <w:color w:val="000000"/>
        </w:rPr>
        <w:t>cats au Canada en garantissant le droit des travailleurs du secteur pr</w:t>
      </w:r>
      <w:r w:rsidRPr="00873110">
        <w:rPr>
          <w:color w:val="000000"/>
        </w:rPr>
        <w:t>i</w:t>
      </w:r>
      <w:r w:rsidRPr="00873110">
        <w:rPr>
          <w:color w:val="000000"/>
        </w:rPr>
        <w:t>vé de s'organiser en syndicats, de négocier collectivement et de fa</w:t>
      </w:r>
      <w:r w:rsidRPr="00873110">
        <w:rPr>
          <w:color w:val="000000"/>
        </w:rPr>
        <w:t>i</w:t>
      </w:r>
      <w:r w:rsidRPr="00873110">
        <w:rPr>
          <w:color w:val="000000"/>
        </w:rPr>
        <w:t>re la grève. Mais Riddell souligne aussi à juste titre que le but pou</w:t>
      </w:r>
      <w:r w:rsidRPr="00873110">
        <w:rPr>
          <w:color w:val="000000"/>
        </w:rPr>
        <w:t>r</w:t>
      </w:r>
      <w:r w:rsidRPr="00873110">
        <w:rPr>
          <w:color w:val="000000"/>
        </w:rPr>
        <w:t>suivi par le gouvernement fédéral à cette occasion n'était pas de fav</w:t>
      </w:r>
      <w:r w:rsidRPr="00873110">
        <w:rPr>
          <w:color w:val="000000"/>
        </w:rPr>
        <w:t>o</w:t>
      </w:r>
      <w:r w:rsidRPr="00873110">
        <w:rPr>
          <w:color w:val="000000"/>
        </w:rPr>
        <w:t>riser la négociation collective et la syndicalisation mais bien plutôt de réduire et d'empêcher les grèves pendant la guerre</w:t>
      </w:r>
      <w:r>
        <w:rPr>
          <w:color w:val="000000"/>
        </w:rPr>
        <w:t> </w:t>
      </w:r>
      <w:r w:rsidRPr="000A019C">
        <w:rPr>
          <w:rStyle w:val="Appelnotedebasdep"/>
        </w:rPr>
        <w:footnoteReference w:id="460"/>
      </w:r>
      <w:r w:rsidRPr="00873110">
        <w:rPr>
          <w:color w:val="000000"/>
        </w:rPr>
        <w:t>. L'année préc</w:t>
      </w:r>
      <w:r w:rsidRPr="00873110">
        <w:rPr>
          <w:color w:val="000000"/>
        </w:rPr>
        <w:t>é</w:t>
      </w:r>
      <w:r w:rsidRPr="00873110">
        <w:rPr>
          <w:color w:val="000000"/>
        </w:rPr>
        <w:t>dente en effet, le tiers des syndiqués canadiens avait été impliqué dans des gr</w:t>
      </w:r>
      <w:r w:rsidRPr="00873110">
        <w:rPr>
          <w:color w:val="000000"/>
        </w:rPr>
        <w:t>è</w:t>
      </w:r>
      <w:r w:rsidRPr="00873110">
        <w:rPr>
          <w:color w:val="000000"/>
        </w:rPr>
        <w:t>ves... et de 1940 à 1944, le mouvement syndical avait vu son nombre de membres doubler, passant de 362</w:t>
      </w:r>
      <w:r>
        <w:rPr>
          <w:color w:val="000000"/>
        </w:rPr>
        <w:t> </w:t>
      </w:r>
      <w:r w:rsidRPr="00873110">
        <w:rPr>
          <w:color w:val="000000"/>
        </w:rPr>
        <w:t>000 à 724</w:t>
      </w:r>
      <w:r>
        <w:rPr>
          <w:color w:val="000000"/>
        </w:rPr>
        <w:t> </w:t>
      </w:r>
      <w:r w:rsidRPr="00873110">
        <w:rPr>
          <w:color w:val="000000"/>
        </w:rPr>
        <w:t>000</w:t>
      </w:r>
      <w:r>
        <w:rPr>
          <w:color w:val="000000"/>
        </w:rPr>
        <w:t> </w:t>
      </w:r>
      <w:r w:rsidRPr="000A019C">
        <w:rPr>
          <w:rStyle w:val="Appelnotedebasdep"/>
        </w:rPr>
        <w:footnoteReference w:id="461"/>
      </w:r>
      <w:r w:rsidRPr="00873110">
        <w:rPr>
          <w:color w:val="000000"/>
        </w:rPr>
        <w:t>. Le décret 1003 prenait donc la mesure de ces développements et tradu</w:t>
      </w:r>
      <w:r w:rsidRPr="00873110">
        <w:rPr>
          <w:color w:val="000000"/>
        </w:rPr>
        <w:t>i</w:t>
      </w:r>
      <w:r w:rsidRPr="00873110">
        <w:rPr>
          <w:color w:val="000000"/>
        </w:rPr>
        <w:t>sait la manifestation d'un nouveau rapport de force entre le mouvement sy</w:t>
      </w:r>
      <w:r w:rsidRPr="00873110">
        <w:rPr>
          <w:color w:val="000000"/>
        </w:rPr>
        <w:t>n</w:t>
      </w:r>
      <w:r w:rsidRPr="00873110">
        <w:rPr>
          <w:color w:val="000000"/>
        </w:rPr>
        <w:t>dical et l'État. Mais il répondait aussi à des impératifs état</w:t>
      </w:r>
      <w:r w:rsidRPr="00873110">
        <w:rPr>
          <w:color w:val="000000"/>
        </w:rPr>
        <w:t>i</w:t>
      </w:r>
      <w:r w:rsidRPr="00873110">
        <w:rPr>
          <w:color w:val="000000"/>
        </w:rPr>
        <w:t>ques, liés aux besoins de guerre, et son contenu en était le reflet. R</w:t>
      </w:r>
      <w:r w:rsidRPr="00873110">
        <w:rPr>
          <w:color w:val="000000"/>
        </w:rPr>
        <w:t>e</w:t>
      </w:r>
      <w:r w:rsidRPr="00873110">
        <w:rPr>
          <w:color w:val="000000"/>
        </w:rPr>
        <w:t>connaissant le droit d'association, la mesure érigeait autour de son exercice un des carcans les plus rigides qu'on ait vu dans les pays capitalistes ava</w:t>
      </w:r>
      <w:r w:rsidRPr="00873110">
        <w:rPr>
          <w:color w:val="000000"/>
        </w:rPr>
        <w:t>n</w:t>
      </w:r>
      <w:r w:rsidRPr="00873110">
        <w:rPr>
          <w:color w:val="000000"/>
        </w:rPr>
        <w:t>cés : inte</w:t>
      </w:r>
      <w:r w:rsidRPr="00873110">
        <w:rPr>
          <w:color w:val="000000"/>
        </w:rPr>
        <w:t>r</w:t>
      </w:r>
      <w:r w:rsidRPr="00873110">
        <w:rPr>
          <w:color w:val="000000"/>
        </w:rPr>
        <w:t>diction du droit de grève pendant la durée d'une convention collective, ce que ne prévoyait pas la loi Wagner votée en 1935 aux États-Unis, restrictions à l'appartenance syndicale ; définition des conditions d'une grève légale, proscription de tout un ensemble de pratiques syndicales définies comme inacceptables... Ainsi encadrés et limités, les no</w:t>
      </w:r>
      <w:r w:rsidRPr="00873110">
        <w:rPr>
          <w:color w:val="000000"/>
        </w:rPr>
        <w:t>u</w:t>
      </w:r>
      <w:r w:rsidRPr="00873110">
        <w:rPr>
          <w:color w:val="000000"/>
        </w:rPr>
        <w:t>veaux droits syndicaux allaient se voir donner une base législative permanente en 1948 par l'adoption de la Loi fédérale d'e</w:t>
      </w:r>
      <w:r w:rsidRPr="00873110">
        <w:rPr>
          <w:color w:val="000000"/>
        </w:rPr>
        <w:t>n</w:t>
      </w:r>
      <w:r w:rsidRPr="00873110">
        <w:rPr>
          <w:color w:val="000000"/>
        </w:rPr>
        <w:t>quête sur les différends dans les relations de tr</w:t>
      </w:r>
      <w:r w:rsidRPr="00873110">
        <w:rPr>
          <w:color w:val="000000"/>
        </w:rPr>
        <w:t>a</w:t>
      </w:r>
      <w:r w:rsidRPr="00873110">
        <w:rPr>
          <w:color w:val="000000"/>
        </w:rPr>
        <w:t>vail.</w:t>
      </w:r>
    </w:p>
    <w:p w:rsidR="00AD690E" w:rsidRPr="00873110" w:rsidRDefault="00AD690E" w:rsidP="00AD690E">
      <w:pPr>
        <w:spacing w:before="120" w:after="120"/>
        <w:jc w:val="both"/>
      </w:pPr>
      <w:r w:rsidRPr="00873110">
        <w:rPr>
          <w:color w:val="000000"/>
        </w:rPr>
        <w:t>L'importance historique de la législation des années 40 est donc indéniable, mais elle fait ressortir l'importance tout au moins égale et peut-être plus grande encore de la loi de 1967. Sur la scène internati</w:t>
      </w:r>
      <w:r w:rsidRPr="00873110">
        <w:rPr>
          <w:color w:val="000000"/>
        </w:rPr>
        <w:t>o</w:t>
      </w:r>
      <w:r w:rsidRPr="00873110">
        <w:rPr>
          <w:color w:val="000000"/>
        </w:rPr>
        <w:t>nale, le Canada compte parmi les tout premiers pays au sein desquels a été obtenue la reconnaissance du droit à la négociation collective dans la fonction publique</w:t>
      </w:r>
      <w:r>
        <w:rPr>
          <w:color w:val="000000"/>
        </w:rPr>
        <w:t> </w:t>
      </w:r>
      <w:r w:rsidRPr="000A019C">
        <w:rPr>
          <w:rStyle w:val="Appelnotedebasdep"/>
        </w:rPr>
        <w:footnoteReference w:id="462"/>
      </w:r>
      <w:r w:rsidRPr="00873110">
        <w:rPr>
          <w:color w:val="000000"/>
        </w:rPr>
        <w:t>. En consacrant l'extension des droits syndicaux à tous les employés du secteur public, la loi de 1967 tran</w:t>
      </w:r>
      <w:r w:rsidRPr="00873110">
        <w:rPr>
          <w:color w:val="000000"/>
        </w:rPr>
        <w:t>s</w:t>
      </w:r>
      <w:r w:rsidRPr="00873110">
        <w:rPr>
          <w:color w:val="000000"/>
        </w:rPr>
        <w:t>fo</w:t>
      </w:r>
      <w:r w:rsidRPr="00873110">
        <w:rPr>
          <w:color w:val="000000"/>
        </w:rPr>
        <w:t>r</w:t>
      </w:r>
      <w:r w:rsidRPr="00873110">
        <w:rPr>
          <w:color w:val="000000"/>
        </w:rPr>
        <w:t>me le mouvement syndical de force sectorielle qu'il était (limité au secteur privé) en une force universelle englobant les composantes les plus déterminantes du travail salarié sur l'ensemble du territoire de l'État canadien. Pour toute une période, l'initiative semble vraiment passer dans le camp syndical. Avant. 1967, seuls les employés de la fonction publique de la</w:t>
      </w:r>
      <w:r>
        <w:rPr>
          <w:color w:val="000000"/>
        </w:rPr>
        <w:t xml:space="preserve"> </w:t>
      </w:r>
      <w:r>
        <w:rPr>
          <w:color w:val="000000"/>
          <w:szCs w:val="18"/>
        </w:rPr>
        <w:t>[</w:t>
      </w:r>
      <w:r w:rsidRPr="00873110">
        <w:rPr>
          <w:color w:val="000000"/>
          <w:szCs w:val="18"/>
        </w:rPr>
        <w:t>264</w:t>
      </w:r>
      <w:r>
        <w:rPr>
          <w:color w:val="000000"/>
          <w:szCs w:val="18"/>
        </w:rPr>
        <w:t xml:space="preserve">] </w:t>
      </w:r>
      <w:r w:rsidRPr="00873110">
        <w:rPr>
          <w:color w:val="000000"/>
        </w:rPr>
        <w:t>Saskatchewan (depuis 1944 !) et ceux du Québec (1965) avaient g</w:t>
      </w:r>
      <w:r w:rsidRPr="00873110">
        <w:rPr>
          <w:color w:val="000000"/>
        </w:rPr>
        <w:t>a</w:t>
      </w:r>
      <w:r w:rsidRPr="00873110">
        <w:rPr>
          <w:color w:val="000000"/>
        </w:rPr>
        <w:t>gné le droit de négociation et de grève. Étendu à l'État central, le gain n'a pas pour seul effet d'affecter radic</w:t>
      </w:r>
      <w:r w:rsidRPr="00873110">
        <w:rPr>
          <w:color w:val="000000"/>
        </w:rPr>
        <w:t>a</w:t>
      </w:r>
      <w:r w:rsidRPr="00873110">
        <w:rPr>
          <w:color w:val="000000"/>
        </w:rPr>
        <w:t>lement les relations entre l'État fédéral et « ses » dizaines de milliers d'employés : il consacre la conquête de ces nouveaux droits à l'échelle pan-canadienne et c'est ainsi qu'en moins de dix ans, tous les e</w:t>
      </w:r>
      <w:r w:rsidRPr="00873110">
        <w:rPr>
          <w:color w:val="000000"/>
        </w:rPr>
        <w:t>m</w:t>
      </w:r>
      <w:r w:rsidRPr="00873110">
        <w:rPr>
          <w:color w:val="000000"/>
        </w:rPr>
        <w:t>ployés des secteurs publics et parapublics de toutes les provinces c</w:t>
      </w:r>
      <w:r w:rsidRPr="00873110">
        <w:rPr>
          <w:color w:val="000000"/>
        </w:rPr>
        <w:t>a</w:t>
      </w:r>
      <w:r w:rsidRPr="00873110">
        <w:rPr>
          <w:color w:val="000000"/>
        </w:rPr>
        <w:t>nadiennes auront acquis (bien que de façon inégale) les droits de la négociation collective.</w:t>
      </w:r>
    </w:p>
    <w:p w:rsidR="00AD690E" w:rsidRPr="00873110" w:rsidRDefault="00AD690E" w:rsidP="00AD690E">
      <w:pPr>
        <w:spacing w:before="120" w:after="120"/>
        <w:jc w:val="both"/>
      </w:pPr>
      <w:r w:rsidRPr="00873110">
        <w:rPr>
          <w:color w:val="000000"/>
        </w:rPr>
        <w:t>Prendre la mesure exacte de ces faits revêt une importance déte</w:t>
      </w:r>
      <w:r w:rsidRPr="00873110">
        <w:rPr>
          <w:color w:val="000000"/>
        </w:rPr>
        <w:t>r</w:t>
      </w:r>
      <w:r w:rsidRPr="00873110">
        <w:rPr>
          <w:color w:val="000000"/>
        </w:rPr>
        <w:t xml:space="preserve">minante pour notre étude. L'année 1967 se situe au début de la période que nous analysons. On peut donc constater que cette période s'ouvre par une grande conquête syndicale et </w:t>
      </w:r>
      <w:r>
        <w:rPr>
          <w:color w:val="000000"/>
        </w:rPr>
        <w:t>ce fait à lui seul est indispens</w:t>
      </w:r>
      <w:r w:rsidRPr="00873110">
        <w:rPr>
          <w:color w:val="000000"/>
        </w:rPr>
        <w:t>a</w:t>
      </w:r>
      <w:r w:rsidRPr="00873110">
        <w:rPr>
          <w:color w:val="000000"/>
        </w:rPr>
        <w:t>ble pour comprendre l'évolution subséquente des rapports entre l'État fédéral et le syndicalisme au Canada.</w:t>
      </w:r>
    </w:p>
    <w:p w:rsidR="00AD690E" w:rsidRDefault="00AD690E" w:rsidP="00AD690E">
      <w:pPr>
        <w:spacing w:before="120" w:after="120"/>
        <w:jc w:val="both"/>
        <w:rPr>
          <w:color w:val="000000"/>
        </w:rPr>
      </w:pPr>
    </w:p>
    <w:p w:rsidR="00AD690E" w:rsidRPr="00873110" w:rsidRDefault="00AD690E" w:rsidP="00AD690E">
      <w:pPr>
        <w:pStyle w:val="planche"/>
      </w:pPr>
      <w:r w:rsidRPr="00873110">
        <w:t>UN CHAMPIONNAT DES GR</w:t>
      </w:r>
      <w:r>
        <w:t>È</w:t>
      </w:r>
      <w:r w:rsidRPr="00873110">
        <w:t>VES...</w:t>
      </w:r>
    </w:p>
    <w:p w:rsidR="00AD690E" w:rsidRDefault="00AD690E" w:rsidP="00AD690E">
      <w:pPr>
        <w:spacing w:before="120" w:after="120"/>
        <w:jc w:val="both"/>
        <w:rPr>
          <w:color w:val="000000"/>
        </w:rPr>
      </w:pPr>
    </w:p>
    <w:p w:rsidR="00AD690E" w:rsidRPr="00873110" w:rsidRDefault="00AD690E" w:rsidP="00AD690E">
      <w:pPr>
        <w:spacing w:before="120" w:after="120"/>
        <w:jc w:val="both"/>
      </w:pPr>
      <w:r w:rsidRPr="00873110">
        <w:rPr>
          <w:color w:val="000000"/>
        </w:rPr>
        <w:t>Ce n'est pas seulement par sa progression numérique, sectorielle et géographique et par ses conquêtes législatives que le mouvement sy</w:t>
      </w:r>
      <w:r w:rsidRPr="00873110">
        <w:rPr>
          <w:color w:val="000000"/>
        </w:rPr>
        <w:t>n</w:t>
      </w:r>
      <w:r w:rsidRPr="00873110">
        <w:rPr>
          <w:color w:val="000000"/>
        </w:rPr>
        <w:t>dical s'affirme à partir du milieu des années 60, c'est aussi par l'action des grèves ouvrières plus nombreuses et plus combatives.</w:t>
      </w:r>
    </w:p>
    <w:p w:rsidR="00AD690E" w:rsidRPr="00873110" w:rsidRDefault="00AD690E" w:rsidP="00AD690E">
      <w:pPr>
        <w:spacing w:before="120" w:after="120"/>
        <w:jc w:val="both"/>
      </w:pPr>
      <w:r w:rsidRPr="00873110">
        <w:rPr>
          <w:color w:val="000000"/>
        </w:rPr>
        <w:t>En 1963, on a recensé au Canada 332 grèves (ou lock-out) impl</w:t>
      </w:r>
      <w:r w:rsidRPr="00873110">
        <w:rPr>
          <w:color w:val="000000"/>
        </w:rPr>
        <w:t>i</w:t>
      </w:r>
      <w:r w:rsidRPr="00873110">
        <w:rPr>
          <w:color w:val="000000"/>
        </w:rPr>
        <w:t>quant 83</w:t>
      </w:r>
      <w:r>
        <w:rPr>
          <w:color w:val="000000"/>
        </w:rPr>
        <w:t> </w:t>
      </w:r>
      <w:r w:rsidRPr="00873110">
        <w:rPr>
          <w:color w:val="000000"/>
        </w:rPr>
        <w:t>428 travailleurs, mais en 1974 le nombre des grèves s'élève à 1</w:t>
      </w:r>
      <w:r>
        <w:rPr>
          <w:color w:val="000000"/>
        </w:rPr>
        <w:t> </w:t>
      </w:r>
      <w:r w:rsidRPr="00873110">
        <w:rPr>
          <w:color w:val="000000"/>
        </w:rPr>
        <w:t>218 et celui des grévistes à 580</w:t>
      </w:r>
      <w:r>
        <w:rPr>
          <w:color w:val="000000"/>
        </w:rPr>
        <w:t> </w:t>
      </w:r>
      <w:r w:rsidRPr="00873110">
        <w:rPr>
          <w:color w:val="000000"/>
        </w:rPr>
        <w:t>912</w:t>
      </w:r>
      <w:r>
        <w:rPr>
          <w:color w:val="000000"/>
        </w:rPr>
        <w:t> </w:t>
      </w:r>
      <w:r w:rsidRPr="000A019C">
        <w:rPr>
          <w:rStyle w:val="Appelnotedebasdep"/>
        </w:rPr>
        <w:footnoteReference w:id="463"/>
      </w:r>
      <w:r w:rsidRPr="00873110">
        <w:rPr>
          <w:color w:val="000000"/>
        </w:rPr>
        <w:t>.</w:t>
      </w:r>
    </w:p>
    <w:p w:rsidR="00AD690E" w:rsidRPr="00383220" w:rsidRDefault="00AD690E" w:rsidP="00AD690E">
      <w:pPr>
        <w:spacing w:before="120" w:after="120"/>
        <w:jc w:val="both"/>
        <w:rPr>
          <w:color w:val="000000"/>
        </w:rPr>
      </w:pPr>
      <w:r w:rsidRPr="00873110">
        <w:rPr>
          <w:color w:val="000000"/>
        </w:rPr>
        <w:t>Sur onze pays capitalistes avancés, parmi lesquels on compte la France, l'Allemagne fédérale, les États-Unis, l'Angleterre et l'Italie, seule cette dernière se place devant le Canada, entre 1968 et 1981, pour le « nombre de jours perdus par employé » par suite de conflits de travail</w:t>
      </w:r>
      <w:r>
        <w:rPr>
          <w:color w:val="000000"/>
        </w:rPr>
        <w:t> </w:t>
      </w:r>
      <w:r>
        <w:rPr>
          <w:rStyle w:val="Appelnotedebasdep"/>
        </w:rPr>
        <w:footnoteReference w:id="464"/>
      </w:r>
      <w:r w:rsidRPr="00873110">
        <w:rPr>
          <w:color w:val="000000"/>
        </w:rPr>
        <w:t>. Lacroix a établi une série de données pour la période allant de 1962 à 1981 concernant la proportion des grèves dans les secteurs public et privé. Il constate tout d'abord l'importance croissa</w:t>
      </w:r>
      <w:r w:rsidRPr="00873110">
        <w:rPr>
          <w:color w:val="000000"/>
        </w:rPr>
        <w:t>n</w:t>
      </w:r>
      <w:r w:rsidRPr="00873110">
        <w:rPr>
          <w:color w:val="000000"/>
        </w:rPr>
        <w:t>te des grèves du secteur public dans le total des grèves. La proportion passe de 2,4</w:t>
      </w:r>
      <w:r>
        <w:rPr>
          <w:color w:val="000000"/>
        </w:rPr>
        <w:t>%</w:t>
      </w:r>
      <w:r w:rsidRPr="00873110">
        <w:rPr>
          <w:color w:val="000000"/>
        </w:rPr>
        <w:t xml:space="preserve"> entre 1962 et 1965, à 17,8</w:t>
      </w:r>
      <w:r>
        <w:rPr>
          <w:color w:val="000000"/>
        </w:rPr>
        <w:t>%</w:t>
      </w:r>
      <w:r w:rsidRPr="00873110">
        <w:rPr>
          <w:color w:val="000000"/>
        </w:rPr>
        <w:t xml:space="preserve"> entre 1978-1981. Mais la croissance des grèves dans ce secteur est loin d'expliquer à elle seule la performance canadienne. Durant la même période, le nombre a</w:t>
      </w:r>
      <w:r w:rsidRPr="00873110">
        <w:rPr>
          <w:color w:val="000000"/>
        </w:rPr>
        <w:t>n</w:t>
      </w:r>
      <w:r w:rsidRPr="00873110">
        <w:rPr>
          <w:color w:val="000000"/>
        </w:rPr>
        <w:t>nuel moyen des grèves dans le secteur privé a augmenté considér</w:t>
      </w:r>
      <w:r w:rsidRPr="00873110">
        <w:rPr>
          <w:color w:val="000000"/>
        </w:rPr>
        <w:t>a</w:t>
      </w:r>
      <w:r w:rsidRPr="00873110">
        <w:rPr>
          <w:color w:val="000000"/>
        </w:rPr>
        <w:t>blement. En témoigne le fait que s'il n'y avait pas eu de grève dans le secteur public entre 1962 et 1981, le nombre annuel moyen de grèves aurait quand même augmenté de 137</w:t>
      </w:r>
      <w:r>
        <w:rPr>
          <w:color w:val="000000"/>
        </w:rPr>
        <w:t>%</w:t>
      </w:r>
      <w:r w:rsidRPr="00873110">
        <w:rPr>
          <w:color w:val="000000"/>
        </w:rPr>
        <w:t xml:space="preserve"> au Canada. Les grèves du se</w:t>
      </w:r>
      <w:r w:rsidRPr="00873110">
        <w:rPr>
          <w:color w:val="000000"/>
        </w:rPr>
        <w:t>c</w:t>
      </w:r>
      <w:r w:rsidRPr="00873110">
        <w:rPr>
          <w:color w:val="000000"/>
        </w:rPr>
        <w:t>teur public</w:t>
      </w:r>
      <w:r>
        <w:rPr>
          <w:color w:val="000000"/>
        </w:rPr>
        <w:t xml:space="preserve"> </w:t>
      </w:r>
      <w:r>
        <w:t xml:space="preserve">[265] </w:t>
      </w:r>
      <w:r w:rsidRPr="00873110">
        <w:rPr>
          <w:color w:val="000000"/>
        </w:rPr>
        <w:t>ont fait passer ce pourcentage d'augmentation de 137</w:t>
      </w:r>
      <w:r>
        <w:rPr>
          <w:color w:val="000000"/>
        </w:rPr>
        <w:t>%</w:t>
      </w:r>
      <w:r w:rsidRPr="00873110">
        <w:rPr>
          <w:color w:val="000000"/>
        </w:rPr>
        <w:t xml:space="preserve"> à 182</w:t>
      </w:r>
      <w:r>
        <w:rPr>
          <w:color w:val="000000"/>
        </w:rPr>
        <w:t>% </w:t>
      </w:r>
      <w:r>
        <w:rPr>
          <w:rStyle w:val="Appelnotedebasdep"/>
        </w:rPr>
        <w:footnoteReference w:id="465"/>
      </w:r>
      <w:r w:rsidRPr="00873110">
        <w:rPr>
          <w:color w:val="000000"/>
        </w:rPr>
        <w:t xml:space="preserve">. Si l'on compare maintenant la situation canadienne avec celle des États-Unis, il faut considérer le fait que dans ce pays les employés du secteur public n'ont pas le droit de grève, alors qu'en </w:t>
      </w:r>
      <w:r>
        <w:rPr>
          <w:color w:val="000000"/>
        </w:rPr>
        <w:t>r</w:t>
      </w:r>
      <w:r>
        <w:rPr>
          <w:color w:val="000000"/>
        </w:rPr>
        <w:t>e</w:t>
      </w:r>
      <w:r>
        <w:rPr>
          <w:color w:val="000000"/>
        </w:rPr>
        <w:t>vanche, aucune législation n'</w:t>
      </w:r>
      <w:r w:rsidRPr="00873110">
        <w:rPr>
          <w:color w:val="000000"/>
        </w:rPr>
        <w:t>interdit le recours à la grève pendant la durée d'une convention collective dans le secteur privé. En pratique, les conve</w:t>
      </w:r>
      <w:r w:rsidRPr="00873110">
        <w:rPr>
          <w:color w:val="000000"/>
        </w:rPr>
        <w:t>n</w:t>
      </w:r>
      <w:r w:rsidRPr="00873110">
        <w:rPr>
          <w:color w:val="000000"/>
        </w:rPr>
        <w:t>tions négociées prévoient la suspension de ce droit, mais elles ne le font pas en vertu d'une obligation législative. On constate donc que malgré un encadrement législatif plus serré du droit de grève dans le secteur privé canadien, la hausse de grèves y a été plus forte qu'aux États-Unis pendant toute la période</w:t>
      </w:r>
      <w:r>
        <w:rPr>
          <w:color w:val="000000"/>
        </w:rPr>
        <w:t> </w:t>
      </w:r>
      <w:r w:rsidRPr="000A019C">
        <w:rPr>
          <w:rStyle w:val="Appelnotedebasdep"/>
        </w:rPr>
        <w:footnoteReference w:id="466"/>
      </w:r>
      <w:r w:rsidRPr="00873110">
        <w:rPr>
          <w:color w:val="000000"/>
        </w:rPr>
        <w:t>.</w:t>
      </w:r>
    </w:p>
    <w:p w:rsidR="00AD690E" w:rsidRPr="00873110" w:rsidRDefault="00AD690E" w:rsidP="00AD690E">
      <w:pPr>
        <w:spacing w:before="120" w:after="120"/>
        <w:jc w:val="both"/>
      </w:pPr>
      <w:r w:rsidRPr="00873110">
        <w:rPr>
          <w:color w:val="000000"/>
        </w:rPr>
        <w:t>Globalement, depuis l'après-guerre, l'activité de grève au Canada a été parmi les plus élevées des pays capitalistes avancés et elle s'est toujours signalée par une durée moyenne des grèves relativement lo</w:t>
      </w:r>
      <w:r w:rsidRPr="00873110">
        <w:rPr>
          <w:color w:val="000000"/>
        </w:rPr>
        <w:t>n</w:t>
      </w:r>
      <w:r w:rsidRPr="00873110">
        <w:rPr>
          <w:color w:val="000000"/>
        </w:rPr>
        <w:t>gue. Mais au milieu des années 1960, il s'est produit une hausse enc</w:t>
      </w:r>
      <w:r w:rsidRPr="00873110">
        <w:rPr>
          <w:color w:val="000000"/>
        </w:rPr>
        <w:t>o</w:t>
      </w:r>
      <w:r w:rsidRPr="00873110">
        <w:rPr>
          <w:color w:val="000000"/>
        </w:rPr>
        <w:t>re plus spectaculaire du nombre de grèves et cette hausse s'est maint</w:t>
      </w:r>
      <w:r w:rsidRPr="00873110">
        <w:rPr>
          <w:color w:val="000000"/>
        </w:rPr>
        <w:t>e</w:t>
      </w:r>
      <w:r w:rsidRPr="00873110">
        <w:rPr>
          <w:color w:val="000000"/>
        </w:rPr>
        <w:t>nue jusqu'au début des années 1980. L'importance relative des grèves a été nettement plus grande pendant cette période qu'à tout autre m</w:t>
      </w:r>
      <w:r w:rsidRPr="00873110">
        <w:rPr>
          <w:color w:val="000000"/>
        </w:rPr>
        <w:t>o</w:t>
      </w:r>
      <w:r w:rsidRPr="00873110">
        <w:rPr>
          <w:color w:val="000000"/>
        </w:rPr>
        <w:t>ment de l'histoire. Dans un éditorial du 27 août 1983, le Financial Post dénoncera le fait qu'entre 1980 et 1982, il y a eu proportionnellement plus de « perte de temps de travail » pour grève (et lock-out) au Can</w:t>
      </w:r>
      <w:r w:rsidRPr="00873110">
        <w:rPr>
          <w:color w:val="000000"/>
        </w:rPr>
        <w:t>a</w:t>
      </w:r>
      <w:r w:rsidRPr="00873110">
        <w:rPr>
          <w:color w:val="000000"/>
        </w:rPr>
        <w:t>da que dans tout autre pays occidental</w:t>
      </w:r>
      <w:r>
        <w:rPr>
          <w:color w:val="000000"/>
        </w:rPr>
        <w:t> </w:t>
      </w:r>
      <w:r w:rsidRPr="000A019C">
        <w:rPr>
          <w:rStyle w:val="Appelnotedebasdep"/>
        </w:rPr>
        <w:footnoteReference w:id="467"/>
      </w:r>
      <w:r w:rsidRPr="00873110">
        <w:rPr>
          <w:color w:val="000000"/>
        </w:rPr>
        <w:t>. Lacroix constate pour sa part que c'est probablement cette hausse continue des grèves qui a conduit « bon nombre de particuliers et d'organismes à pousser un cri d'alarme sur les relations de travail ».</w:t>
      </w:r>
    </w:p>
    <w:p w:rsidR="00AD690E" w:rsidRDefault="00AD690E" w:rsidP="00AD690E">
      <w:pPr>
        <w:spacing w:before="120" w:after="120"/>
        <w:jc w:val="both"/>
        <w:rPr>
          <w:color w:val="000000"/>
        </w:rPr>
      </w:pPr>
      <w:r>
        <w:rPr>
          <w:color w:val="000000"/>
        </w:rPr>
        <w:br w:type="page"/>
      </w:r>
    </w:p>
    <w:p w:rsidR="00AD690E" w:rsidRPr="00873110" w:rsidRDefault="00AD690E" w:rsidP="00AD690E">
      <w:pPr>
        <w:pStyle w:val="planche"/>
      </w:pPr>
      <w:r>
        <w:t>QUAND L'ÉTAT S'EN MÊ</w:t>
      </w:r>
      <w:r w:rsidRPr="00873110">
        <w:t>LE...</w:t>
      </w:r>
    </w:p>
    <w:p w:rsidR="00AD690E" w:rsidRDefault="00AD690E" w:rsidP="00AD690E">
      <w:pPr>
        <w:spacing w:before="120" w:after="120"/>
        <w:jc w:val="both"/>
        <w:rPr>
          <w:color w:val="000000"/>
        </w:rPr>
      </w:pPr>
    </w:p>
    <w:p w:rsidR="00AD690E" w:rsidRPr="00873110" w:rsidRDefault="00AD690E" w:rsidP="00AD690E">
      <w:pPr>
        <w:spacing w:before="120" w:after="120"/>
        <w:jc w:val="both"/>
      </w:pPr>
      <w:r w:rsidRPr="00873110">
        <w:rPr>
          <w:color w:val="000000"/>
        </w:rPr>
        <w:t>Le rappel de ces quelques grands traits de la croissance du syndic</w:t>
      </w:r>
      <w:r w:rsidRPr="00873110">
        <w:rPr>
          <w:color w:val="000000"/>
        </w:rPr>
        <w:t>a</w:t>
      </w:r>
      <w:r w:rsidRPr="00873110">
        <w:rPr>
          <w:color w:val="000000"/>
        </w:rPr>
        <w:t>lisme nous permet maintenant d'aborder plus directement l'analyse de l'évolution des relations entre l'État fédéral et le mouvement syndical durant « l'ère libérale ».</w:t>
      </w:r>
    </w:p>
    <w:p w:rsidR="00AD690E" w:rsidRPr="00873110" w:rsidRDefault="00AD690E" w:rsidP="00AD690E">
      <w:pPr>
        <w:spacing w:before="120" w:after="120"/>
        <w:jc w:val="both"/>
      </w:pPr>
      <w:r w:rsidRPr="00873110">
        <w:rPr>
          <w:color w:val="000000"/>
        </w:rPr>
        <w:t>Dans un petit ouvrage consacré aux rapports entre l'État et le mo</w:t>
      </w:r>
      <w:r w:rsidRPr="00873110">
        <w:rPr>
          <w:color w:val="000000"/>
        </w:rPr>
        <w:t>u</w:t>
      </w:r>
      <w:r w:rsidRPr="00873110">
        <w:rPr>
          <w:color w:val="000000"/>
        </w:rPr>
        <w:t>vement ouvrier canadien pendant les années 70 et 80, Léo Panitch et Donald Swartz considèrent que l'adoption en 1982 des mesures de re</w:t>
      </w:r>
      <w:r w:rsidRPr="00873110">
        <w:rPr>
          <w:color w:val="000000"/>
        </w:rPr>
        <w:t>s</w:t>
      </w:r>
      <w:r w:rsidRPr="00873110">
        <w:rPr>
          <w:color w:val="000000"/>
        </w:rPr>
        <w:t>trictions salariales — le programme des 6</w:t>
      </w:r>
      <w:r>
        <w:rPr>
          <w:color w:val="000000"/>
        </w:rPr>
        <w:t>%</w:t>
      </w:r>
      <w:r w:rsidRPr="00873110">
        <w:rPr>
          <w:color w:val="000000"/>
        </w:rPr>
        <w:t xml:space="preserve"> et 5</w:t>
      </w:r>
      <w:r>
        <w:rPr>
          <w:color w:val="000000"/>
        </w:rPr>
        <w:t>%</w:t>
      </w:r>
      <w:r w:rsidRPr="00873110">
        <w:rPr>
          <w:color w:val="000000"/>
        </w:rPr>
        <w:t xml:space="preserve"> — par le gouve</w:t>
      </w:r>
      <w:r w:rsidRPr="00873110">
        <w:rPr>
          <w:color w:val="000000"/>
        </w:rPr>
        <w:t>r</w:t>
      </w:r>
      <w:r w:rsidRPr="00873110">
        <w:rPr>
          <w:color w:val="000000"/>
        </w:rPr>
        <w:t>nement Trudeau a marqué la fin de « l'ère de la libre négociation », qui avait été ouverte au Canada dans la conjoncture de la Deuxième guerre mondiale, et le début d'une ère nouvelle, celle de « l'exceptionnalisme permanent »</w:t>
      </w:r>
      <w:r>
        <w:rPr>
          <w:color w:val="000000"/>
        </w:rPr>
        <w:t> </w:t>
      </w:r>
      <w:r w:rsidRPr="000A019C">
        <w:rPr>
          <w:rStyle w:val="Appelnotedebasdep"/>
        </w:rPr>
        <w:footnoteReference w:id="468"/>
      </w:r>
      <w:r w:rsidRPr="00873110">
        <w:rPr>
          <w:color w:val="000000"/>
        </w:rPr>
        <w:t>. Les deux auteurs fondent leur diagnostic</w:t>
      </w:r>
      <w:r>
        <w:rPr>
          <w:color w:val="000000"/>
        </w:rPr>
        <w:t xml:space="preserve"> </w:t>
      </w:r>
      <w:r>
        <w:rPr>
          <w:color w:val="000000"/>
          <w:szCs w:val="18"/>
        </w:rPr>
        <w:t>[</w:t>
      </w:r>
      <w:r w:rsidRPr="00873110">
        <w:rPr>
          <w:color w:val="000000"/>
        </w:rPr>
        <w:t>266</w:t>
      </w:r>
      <w:r>
        <w:rPr>
          <w:color w:val="000000"/>
        </w:rPr>
        <w:t xml:space="preserve">] </w:t>
      </w:r>
      <w:r w:rsidRPr="00873110">
        <w:rPr>
          <w:color w:val="000000"/>
        </w:rPr>
        <w:t>sur le fait que depuis les années 70, l'État a multiplié les interventions et les ingérences dans le processus des négociations collectives. Des législations ou des mesures qui se voulaient « spéciales » et « temporaires », comme les lois antigrèves, se sont vues de plus en plus attribuer le statut de dispositions générales fixant la norme des relations du travail. L'exception est devenue la règle, et la nouvelle règle codifie le retrait permanent, pour des pans entiers de la force de travail, des droits qui avaient été conquis, comme le droit à la négoci</w:t>
      </w:r>
      <w:r w:rsidRPr="00873110">
        <w:rPr>
          <w:color w:val="000000"/>
        </w:rPr>
        <w:t>a</w:t>
      </w:r>
      <w:r w:rsidRPr="00873110">
        <w:rPr>
          <w:color w:val="000000"/>
        </w:rPr>
        <w:t>tion collective et le droit de grève.</w:t>
      </w:r>
    </w:p>
    <w:p w:rsidR="00AD690E" w:rsidRPr="00873110" w:rsidRDefault="00AD690E" w:rsidP="00AD690E">
      <w:pPr>
        <w:spacing w:before="120" w:after="120"/>
        <w:jc w:val="both"/>
      </w:pPr>
      <w:r w:rsidRPr="00873110">
        <w:rPr>
          <w:color w:val="000000"/>
        </w:rPr>
        <w:t>D'autres auteurs s'interrogent sur un aspect de cette thèse</w:t>
      </w:r>
      <w:r>
        <w:rPr>
          <w:color w:val="000000"/>
        </w:rPr>
        <w:t> </w:t>
      </w:r>
      <w:r w:rsidRPr="000A019C">
        <w:rPr>
          <w:rStyle w:val="Appelnotedebasdep"/>
        </w:rPr>
        <w:footnoteReference w:id="469"/>
      </w:r>
      <w:r w:rsidRPr="00873110">
        <w:rPr>
          <w:color w:val="000000"/>
        </w:rPr>
        <w:t>, en soulignant que la négociation collective au Canada n'a jamais été aussi « libre » que certains de ses défenseurs le croient et que l'histoire des relations de travail dans ce pays révèle une étonnante somme d'inte</w:t>
      </w:r>
      <w:r w:rsidRPr="00873110">
        <w:rPr>
          <w:color w:val="000000"/>
        </w:rPr>
        <w:t>r</w:t>
      </w:r>
      <w:r w:rsidRPr="00873110">
        <w:rPr>
          <w:color w:val="000000"/>
        </w:rPr>
        <w:t>ventions gouvernementales pour le contrôle et la limitation des droits de la négociation collective. Néanmoins, si les années 80 ne marquent pas la fin d'une ère de négociations « libres », les auteurs s'entendent généralement pour constater une augmentation qualitative de l'inte</w:t>
      </w:r>
      <w:r w:rsidRPr="00873110">
        <w:rPr>
          <w:color w:val="000000"/>
        </w:rPr>
        <w:t>r</w:t>
      </w:r>
      <w:r w:rsidRPr="00873110">
        <w:rPr>
          <w:color w:val="000000"/>
        </w:rPr>
        <w:t>ventionnisme étatique et surtout de son caractère coercitif dans la p</w:t>
      </w:r>
      <w:r w:rsidRPr="00873110">
        <w:rPr>
          <w:color w:val="000000"/>
        </w:rPr>
        <w:t>é</w:t>
      </w:r>
      <w:r w:rsidRPr="00873110">
        <w:rPr>
          <w:color w:val="000000"/>
        </w:rPr>
        <w:t>riode que nous étudions. À cet égard il est incontestable que les mes</w:t>
      </w:r>
      <w:r w:rsidRPr="00873110">
        <w:rPr>
          <w:color w:val="000000"/>
        </w:rPr>
        <w:t>u</w:t>
      </w:r>
      <w:r w:rsidRPr="00873110">
        <w:rPr>
          <w:color w:val="000000"/>
        </w:rPr>
        <w:t>res de 6</w:t>
      </w:r>
      <w:r>
        <w:rPr>
          <w:color w:val="000000"/>
        </w:rPr>
        <w:t>%</w:t>
      </w:r>
      <w:r w:rsidRPr="00873110">
        <w:rPr>
          <w:color w:val="000000"/>
        </w:rPr>
        <w:t xml:space="preserve"> et 5</w:t>
      </w:r>
      <w:r>
        <w:rPr>
          <w:color w:val="000000"/>
        </w:rPr>
        <w:t>%</w:t>
      </w:r>
      <w:r w:rsidRPr="00873110">
        <w:rPr>
          <w:color w:val="000000"/>
        </w:rPr>
        <w:t>, consacrent un tournant amorcé avec l'imposition du Programme de lutte anti-inflation (PLI) en 1975. De plus en plus de législations fédérales et provinciales vont tenter de donner un caract</w:t>
      </w:r>
      <w:r w:rsidRPr="00873110">
        <w:rPr>
          <w:color w:val="000000"/>
        </w:rPr>
        <w:t>è</w:t>
      </w:r>
      <w:r w:rsidRPr="00873110">
        <w:rPr>
          <w:color w:val="000000"/>
        </w:rPr>
        <w:t>re statutaire et permanent aux lois et décrets qui auparavant préte</w:t>
      </w:r>
      <w:r w:rsidRPr="00873110">
        <w:rPr>
          <w:color w:val="000000"/>
        </w:rPr>
        <w:t>n</w:t>
      </w:r>
      <w:r w:rsidRPr="00873110">
        <w:rPr>
          <w:color w:val="000000"/>
        </w:rPr>
        <w:t>daient se limiter à « suspendre », sans les abolir, les droits de négocier et de faire la grève.</w:t>
      </w:r>
    </w:p>
    <w:p w:rsidR="00AD690E" w:rsidRPr="00873110" w:rsidRDefault="00AD690E" w:rsidP="00AD690E">
      <w:pPr>
        <w:spacing w:before="120" w:after="120"/>
        <w:jc w:val="both"/>
      </w:pPr>
      <w:r w:rsidRPr="00873110">
        <w:rPr>
          <w:color w:val="000000"/>
        </w:rPr>
        <w:t>Une des premières caractéristiques qui s'imposent à l'attention dans l'étude des rapports du travail depuis le milieu des années 60, est donc effectivement la croissance spectaculaire de l'intervention de l'État, et de l'État fédéral en particulier. Cette intervention n'est pas uniforme : elle évolue et se modifie dans le temps. Elle déploie des moyens très divers qui peuvent parfois paraître avoir un caractère contradictoire, comme la pratique d'une répression accrue qui côtoie la multiplication des appels à la concertation. À travers ces actions multiformes, il faut reconstituer la trajectoire qui permettra de dégager un sens à l'évol</w:t>
      </w:r>
      <w:r w:rsidRPr="00873110">
        <w:rPr>
          <w:color w:val="000000"/>
        </w:rPr>
        <w:t>u</w:t>
      </w:r>
      <w:r w:rsidRPr="00873110">
        <w:rPr>
          <w:color w:val="000000"/>
        </w:rPr>
        <w:t>tion décrite.</w:t>
      </w:r>
    </w:p>
    <w:p w:rsidR="00AD690E" w:rsidRDefault="00AD690E" w:rsidP="00AD690E">
      <w:pPr>
        <w:spacing w:before="120" w:after="120"/>
        <w:jc w:val="both"/>
        <w:rPr>
          <w:color w:val="000000"/>
        </w:rPr>
      </w:pPr>
    </w:p>
    <w:p w:rsidR="00AD690E" w:rsidRDefault="00AD690E" w:rsidP="00AD690E">
      <w:pPr>
        <w:pStyle w:val="planche"/>
      </w:pPr>
      <w:r w:rsidRPr="00873110">
        <w:t>LES LOIS D'EXCEPTION</w:t>
      </w:r>
    </w:p>
    <w:p w:rsidR="00AD690E" w:rsidRPr="00873110" w:rsidRDefault="00AD690E" w:rsidP="00AD690E">
      <w:pPr>
        <w:spacing w:before="120" w:after="120"/>
        <w:jc w:val="both"/>
      </w:pPr>
    </w:p>
    <w:p w:rsidR="00AD690E" w:rsidRDefault="00AD690E" w:rsidP="00AD690E">
      <w:pPr>
        <w:spacing w:before="120" w:after="120"/>
        <w:jc w:val="both"/>
        <w:rPr>
          <w:color w:val="000000"/>
        </w:rPr>
      </w:pPr>
      <w:r w:rsidRPr="00873110">
        <w:rPr>
          <w:color w:val="000000"/>
        </w:rPr>
        <w:t>La première manifestation du nouvel interventionnisme étatique, celle qui pour ainsi dire ouvre la période, réside dans l'augmentation sans précédent des législations anti-grèves, appelées lois spéciales ou lois d'exception.</w:t>
      </w:r>
    </w:p>
    <w:p w:rsidR="00AD690E" w:rsidRDefault="00AD690E" w:rsidP="00AD690E">
      <w:pPr>
        <w:spacing w:before="120" w:after="120"/>
        <w:jc w:val="both"/>
      </w:pPr>
      <w:r>
        <w:t>[267]</w:t>
      </w:r>
    </w:p>
    <w:p w:rsidR="00AD690E" w:rsidRPr="00873110" w:rsidRDefault="00AD690E" w:rsidP="00AD690E">
      <w:pPr>
        <w:spacing w:before="120" w:after="120"/>
        <w:jc w:val="both"/>
      </w:pPr>
      <w:r w:rsidRPr="00873110">
        <w:rPr>
          <w:color w:val="000000"/>
        </w:rPr>
        <w:t>De 1950 à 1962, il y eu cinq lois spéciales de retour au travail au Canada, trois votées par le Parlement fédéral, une à Terre-Neuve et une en Ontario. Mais au cours des deux décennies suivantes, de 1963 à 1984, il y en aura 77 adoptées par les parlements fédéral et provi</w:t>
      </w:r>
      <w:r w:rsidRPr="00873110">
        <w:rPr>
          <w:color w:val="000000"/>
        </w:rPr>
        <w:t>n</w:t>
      </w:r>
      <w:r w:rsidRPr="00873110">
        <w:rPr>
          <w:color w:val="000000"/>
        </w:rPr>
        <w:t>ciaux</w:t>
      </w:r>
      <w:r>
        <w:rPr>
          <w:color w:val="000000"/>
        </w:rPr>
        <w:t> </w:t>
      </w:r>
      <w:r w:rsidRPr="002A1EB4">
        <w:rPr>
          <w:rStyle w:val="Appelnotedebasdep"/>
        </w:rPr>
        <w:footnoteReference w:id="470"/>
      </w:r>
      <w:r w:rsidRPr="00873110">
        <w:rPr>
          <w:color w:val="000000"/>
        </w:rPr>
        <w:t>. La recension de ces lois établie par Gérard Dion permet de voir que la Chambre des communes d'Ottawa et l'Assemblée nationale de Québec viennent en tête des Parlements pour le nombre de lois v</w:t>
      </w:r>
      <w:r w:rsidRPr="00873110">
        <w:rPr>
          <w:color w:val="000000"/>
        </w:rPr>
        <w:t>o</w:t>
      </w:r>
      <w:r w:rsidRPr="00873110">
        <w:rPr>
          <w:color w:val="000000"/>
        </w:rPr>
        <w:t>tées, avec respectivement 16 et 30 lois. Suivent l'Ontario : 13 lois, la Colombie-Britannique : 8, la Saskatchewan : 6, Terre-Neuve : 2, l'A</w:t>
      </w:r>
      <w:r w:rsidRPr="00873110">
        <w:rPr>
          <w:color w:val="000000"/>
        </w:rPr>
        <w:t>l</w:t>
      </w:r>
      <w:r w:rsidRPr="00873110">
        <w:rPr>
          <w:color w:val="000000"/>
        </w:rPr>
        <w:t>berta : 1 et le Nouveau-Brunswick : 1. Elle permet aussi de constater que certaines années se détachent nettement des autres par le nombre de lois adoptées. Après une évolution relativement « stable » en début de période, marquée par l'adoption de deux ou de trois lois spéciales chaque année entre 1963 et 1970, ce qui est déjà une augmentation très nette par rapport à la situation antérieure, 1972 voit s'opérer un tournant : six lois d'exception sont adoptées pendant cette seule année, mais on est loin du point culminant qui sera atteint en 1982 avec la ratification de onze lois spéciales à travers le pays. Entre temps, sept lois du même genre ont été votées en 1974, sept en 1975 et dix en 1976.</w:t>
      </w:r>
    </w:p>
    <w:p w:rsidR="00AD690E" w:rsidRPr="00873110" w:rsidRDefault="00AD690E" w:rsidP="00AD690E">
      <w:pPr>
        <w:spacing w:before="120" w:after="120"/>
        <w:jc w:val="both"/>
      </w:pPr>
      <w:r w:rsidRPr="00873110">
        <w:rPr>
          <w:color w:val="000000"/>
        </w:rPr>
        <w:t>Ces données sont intéressantes à plusieurs égards. D'abord, sur le plan géographique, elles indiquent des points forts où semblent se concentrer un déploiement de luttes de classes plus intenses et plus vives, comme au Québec, sur la scène fédérale, en Ontario et en C</w:t>
      </w:r>
      <w:r w:rsidRPr="00873110">
        <w:rPr>
          <w:color w:val="000000"/>
        </w:rPr>
        <w:t>o</w:t>
      </w:r>
      <w:r w:rsidRPr="00873110">
        <w:rPr>
          <w:color w:val="000000"/>
        </w:rPr>
        <w:t>lombie-Britannique. C'est aussi dans ces provinces, tout comme au niveau fédéral, qu'on trouve les plus fortes concentrations de main-d'oeuvre organisée. D'autre part, elles permettent de souligner que le nombre de lois spéciales accuse une très forte hausse exactement dans cette période de croissance sans précédent de l'activité syndicale et gréviste. Le recours aussi fréquent aux lois d'exception est un phén</w:t>
      </w:r>
      <w:r w:rsidRPr="00873110">
        <w:rPr>
          <w:color w:val="000000"/>
        </w:rPr>
        <w:t>o</w:t>
      </w:r>
      <w:r w:rsidRPr="00873110">
        <w:rPr>
          <w:color w:val="000000"/>
        </w:rPr>
        <w:t>mène nouveau qui trouve son origine essentiellement dans la comb</w:t>
      </w:r>
      <w:r w:rsidRPr="00873110">
        <w:rPr>
          <w:color w:val="000000"/>
        </w:rPr>
        <w:t>a</w:t>
      </w:r>
      <w:r w:rsidRPr="00873110">
        <w:rPr>
          <w:color w:val="000000"/>
        </w:rPr>
        <w:t>tivité ouvrière et syndicale, et qui a pour but de mater, réduire ou contenir cette combativité. Sans qu'il nous soit possible ici de faire une étude du contenu de ces législations, il convient néanmoins de souligner que leur caractère répressif et les moyens coercitifs qu'elles déploient augmenteront de plus en plus au cours de la période, dans la mesure même où l'élan revendicatif des salariés semble se maintenir malgré les moyens mis en œuvre pour l'enrayer.</w:t>
      </w:r>
    </w:p>
    <w:p w:rsidR="00AD690E" w:rsidRPr="00873110" w:rsidRDefault="00AD690E" w:rsidP="00AD690E">
      <w:pPr>
        <w:spacing w:before="120" w:after="120"/>
        <w:jc w:val="both"/>
      </w:pPr>
      <w:r w:rsidRPr="00873110">
        <w:rPr>
          <w:color w:val="000000"/>
        </w:rPr>
        <w:t>Autre observation : il pourrait sembler que si l'augmentation des lois spéciales est un indice du renforcement de la combativité ouvri</w:t>
      </w:r>
      <w:r w:rsidRPr="00873110">
        <w:rPr>
          <w:color w:val="000000"/>
        </w:rPr>
        <w:t>è</w:t>
      </w:r>
      <w:r w:rsidRPr="00873110">
        <w:rPr>
          <w:color w:val="000000"/>
        </w:rPr>
        <w:t>re, la rareté de ces lois avant les années 60 pourrait être à son tour l'i</w:t>
      </w:r>
      <w:r w:rsidRPr="00873110">
        <w:rPr>
          <w:color w:val="000000"/>
        </w:rPr>
        <w:t>n</w:t>
      </w:r>
      <w:r w:rsidRPr="00873110">
        <w:rPr>
          <w:color w:val="000000"/>
        </w:rPr>
        <w:t>dice d'une absence de combativité. Mais nous ne pensons pas qu'une telle déduction soit valide. Il est certain que le milieu des années 60 inaugure une nouvelle ère de luttes et d'activités syndicales plus inte</w:t>
      </w:r>
      <w:r w:rsidRPr="00873110">
        <w:rPr>
          <w:color w:val="000000"/>
        </w:rPr>
        <w:t>n</w:t>
      </w:r>
      <w:r w:rsidRPr="00873110">
        <w:rPr>
          <w:color w:val="000000"/>
        </w:rPr>
        <w:t>ses et plus fortes, mais si la multiplication des interventions étatiques doit être mise en relation avec ces développements, elle</w:t>
      </w:r>
      <w:r>
        <w:rPr>
          <w:color w:val="000000"/>
        </w:rPr>
        <w:t xml:space="preserve"> </w:t>
      </w:r>
      <w:r>
        <w:t>[</w:t>
      </w:r>
      <w:r w:rsidRPr="00873110">
        <w:rPr>
          <w:color w:val="000000"/>
        </w:rPr>
        <w:t>268</w:t>
      </w:r>
      <w:r>
        <w:rPr>
          <w:color w:val="000000"/>
        </w:rPr>
        <w:t xml:space="preserve">] </w:t>
      </w:r>
      <w:r w:rsidRPr="00873110">
        <w:rPr>
          <w:color w:val="000000"/>
        </w:rPr>
        <w:t>doit l'être aussi avec le fait que le renforcement du mouvement synd</w:t>
      </w:r>
      <w:r w:rsidRPr="00873110">
        <w:rPr>
          <w:color w:val="000000"/>
        </w:rPr>
        <w:t>i</w:t>
      </w:r>
      <w:r w:rsidRPr="00873110">
        <w:rPr>
          <w:color w:val="000000"/>
        </w:rPr>
        <w:t>cal se réalise principalement par son élargissement au secteur public. La grande majorité des lois spéciales votées de 1963 à</w:t>
      </w:r>
      <w:r>
        <w:rPr>
          <w:color w:val="000000"/>
        </w:rPr>
        <w:t xml:space="preserve"> 1</w:t>
      </w:r>
      <w:r w:rsidRPr="00873110">
        <w:rPr>
          <w:color w:val="000000"/>
        </w:rPr>
        <w:t>984 l'ont été dans ce secteur. Directement impliqué dans un affrontement avec ses pr</w:t>
      </w:r>
      <w:r w:rsidRPr="00873110">
        <w:rPr>
          <w:color w:val="000000"/>
        </w:rPr>
        <w:t>o</w:t>
      </w:r>
      <w:r w:rsidRPr="00873110">
        <w:rPr>
          <w:color w:val="000000"/>
        </w:rPr>
        <w:t>pres employés, l'État-Patron va se servir davantage du Parlement comme d'une arme répressive pour rétablir en sa faveur le rapport de force. D'autre part, les grèves dans le secteur public, dans la santé, dans le transport en commun ou dans l'éducation par exemple, ont un impact social général souvent plus large que les luttes dans l'entreprise privée et de ce fait touchent au coeur même des rapports de force sur le plan politique. Mais si le recours au Parlement s'est multiplié à la faveur du développement des grèves dans le secteur public, il ne sa</w:t>
      </w:r>
      <w:r w:rsidRPr="00873110">
        <w:rPr>
          <w:color w:val="000000"/>
        </w:rPr>
        <w:t>u</w:t>
      </w:r>
      <w:r w:rsidRPr="00873110">
        <w:rPr>
          <w:color w:val="000000"/>
        </w:rPr>
        <w:t>rait être réduit à un simple phénomène sectoriel. On verra qu'il s'est développé aussi par des lois plus générales visant l'ensemble des se</w:t>
      </w:r>
      <w:r w:rsidRPr="00873110">
        <w:rPr>
          <w:color w:val="000000"/>
        </w:rPr>
        <w:t>c</w:t>
      </w:r>
      <w:r w:rsidRPr="00873110">
        <w:rPr>
          <w:color w:val="000000"/>
        </w:rPr>
        <w:t>teurs de la force de travail.</w:t>
      </w:r>
    </w:p>
    <w:p w:rsidR="00AD690E" w:rsidRPr="00873110" w:rsidRDefault="00AD690E" w:rsidP="00AD690E">
      <w:pPr>
        <w:spacing w:before="120" w:after="120"/>
        <w:jc w:val="both"/>
      </w:pPr>
      <w:r w:rsidRPr="00873110">
        <w:rPr>
          <w:color w:val="000000"/>
        </w:rPr>
        <w:t>Comme nombre d'observateurs et d'analystes l'ont noté, l'affront</w:t>
      </w:r>
      <w:r w:rsidRPr="00873110">
        <w:rPr>
          <w:color w:val="000000"/>
        </w:rPr>
        <w:t>e</w:t>
      </w:r>
      <w:r w:rsidRPr="00873110">
        <w:rPr>
          <w:color w:val="000000"/>
        </w:rPr>
        <w:t>ment entre le mouvement syndical et l'État agissant directement co</w:t>
      </w:r>
      <w:r w:rsidRPr="00873110">
        <w:rPr>
          <w:color w:val="000000"/>
        </w:rPr>
        <w:t>m</w:t>
      </w:r>
      <w:r w:rsidRPr="00873110">
        <w:rPr>
          <w:color w:val="000000"/>
        </w:rPr>
        <w:t>me employeur, a contribué puissamment à politiser les relations du travail au Canada. C'est une caractéristique de la période. Avant les années 60, à l'époque où les centaines de milliers de salariés du se</w:t>
      </w:r>
      <w:r w:rsidRPr="00873110">
        <w:rPr>
          <w:color w:val="000000"/>
        </w:rPr>
        <w:t>c</w:t>
      </w:r>
      <w:r w:rsidRPr="00873110">
        <w:rPr>
          <w:color w:val="000000"/>
        </w:rPr>
        <w:t>teur public se voyaient nier le droit de négocier collectivement leurs conditions de travail, les forces ouvrières engagées dans des luttes co</w:t>
      </w:r>
      <w:r w:rsidRPr="00873110">
        <w:rPr>
          <w:color w:val="000000"/>
        </w:rPr>
        <w:t>l</w:t>
      </w:r>
      <w:r w:rsidRPr="00873110">
        <w:rPr>
          <w:color w:val="000000"/>
        </w:rPr>
        <w:t>lectives étaient principalement concentrées dans le secteur privé. Les conflits impliquaient généralement un ou des groupes ouvriers face à un ou des patrons... Ce n'est pas dire que l'État n'intervenait pas dire</w:t>
      </w:r>
      <w:r w:rsidRPr="00873110">
        <w:rPr>
          <w:color w:val="000000"/>
        </w:rPr>
        <w:t>c</w:t>
      </w:r>
      <w:r w:rsidRPr="00873110">
        <w:rPr>
          <w:color w:val="000000"/>
        </w:rPr>
        <w:t>tement : rappelons-nous le duplessisme au Québec ou le « social-créditisme » en Colombie-Britannique. Mais avec la croissance du mouvement syndical et sa capacité d'agir comme force « nationale », le caractère politique des luttes va se renforcer.</w:t>
      </w:r>
    </w:p>
    <w:p w:rsidR="00AD690E" w:rsidRPr="00873110" w:rsidRDefault="00AD690E" w:rsidP="00AD690E">
      <w:pPr>
        <w:spacing w:before="120" w:after="120"/>
        <w:jc w:val="both"/>
      </w:pPr>
      <w:r w:rsidRPr="00873110">
        <w:rPr>
          <w:color w:val="000000"/>
        </w:rPr>
        <w:t>Revenant aux lois spéciales, il convient de souligner qu'elles con</w:t>
      </w:r>
      <w:r w:rsidRPr="00873110">
        <w:rPr>
          <w:color w:val="000000"/>
        </w:rPr>
        <w:t>s</w:t>
      </w:r>
      <w:r w:rsidRPr="00873110">
        <w:rPr>
          <w:color w:val="000000"/>
        </w:rPr>
        <w:t>tituent en quelque sorte une première phase du nouvel interventio</w:t>
      </w:r>
      <w:r w:rsidRPr="00873110">
        <w:rPr>
          <w:color w:val="000000"/>
        </w:rPr>
        <w:t>n</w:t>
      </w:r>
      <w:r w:rsidRPr="00873110">
        <w:rPr>
          <w:color w:val="000000"/>
        </w:rPr>
        <w:t>nisme étatique, même si les gouvernements continueront d'y avoir r</w:t>
      </w:r>
      <w:r w:rsidRPr="00873110">
        <w:rPr>
          <w:color w:val="000000"/>
        </w:rPr>
        <w:t>e</w:t>
      </w:r>
      <w:r w:rsidRPr="00873110">
        <w:rPr>
          <w:color w:val="000000"/>
        </w:rPr>
        <w:t>cours tout au long de la période étudiée. Leur nombre, comme cela a déjà été noté, aura même tendance à croître et leur contenu à se durcir, mais elles vont tendre à perdre la place qu'elles occupaient comme recours unique ou privilégié de la riposte d'État face aux assauts du syndicalisme. Devenues tellement fréquentes, elles font désormais plus ou moins partie du dispositif « régulier » de l'action des gouve</w:t>
      </w:r>
      <w:r w:rsidRPr="00873110">
        <w:rPr>
          <w:color w:val="000000"/>
        </w:rPr>
        <w:t>r</w:t>
      </w:r>
      <w:r w:rsidRPr="00873110">
        <w:rPr>
          <w:color w:val="000000"/>
        </w:rPr>
        <w:t>nements. Mais leur insuffisance et les inconvénients qu'elles prése</w:t>
      </w:r>
      <w:r w:rsidRPr="00873110">
        <w:rPr>
          <w:color w:val="000000"/>
        </w:rPr>
        <w:t>n</w:t>
      </w:r>
      <w:r w:rsidRPr="00873110">
        <w:rPr>
          <w:color w:val="000000"/>
        </w:rPr>
        <w:t>tent sont de plus en plus évidents. Les lois d'exception sont une répl</w:t>
      </w:r>
      <w:r w:rsidRPr="00873110">
        <w:rPr>
          <w:color w:val="000000"/>
        </w:rPr>
        <w:t>i</w:t>
      </w:r>
      <w:r w:rsidRPr="00873110">
        <w:rPr>
          <w:color w:val="000000"/>
        </w:rPr>
        <w:t>que aux grèves et non un moyen de les prévenir. Leur caractère r</w:t>
      </w:r>
      <w:r w:rsidRPr="00873110">
        <w:rPr>
          <w:color w:val="000000"/>
        </w:rPr>
        <w:t>é</w:t>
      </w:r>
      <w:r w:rsidRPr="00873110">
        <w:rPr>
          <w:color w:val="000000"/>
        </w:rPr>
        <w:t>pressif ne constitue en rien une solution de fond aux problèmes rév</w:t>
      </w:r>
      <w:r w:rsidRPr="00873110">
        <w:rPr>
          <w:color w:val="000000"/>
        </w:rPr>
        <w:t>é</w:t>
      </w:r>
      <w:r w:rsidRPr="00873110">
        <w:rPr>
          <w:color w:val="000000"/>
        </w:rPr>
        <w:t>lés par la multiplication des arrêts de travail. De plus, en faisant du Parlement un instrument trop directement impliqué dans la gestion dès rapports du travail, il y a risque de débordement de cette institution qui est l'instance de légitimité par excellence de l'autorité de l'État. Enfin, les lois spéciales anti-grèves tendent à conférer un caractère trop ouvertement « classiste » au rôle de l'État, au détriment de son image d'intervenant conciliatoire au-dessus des antagonismes de cla</w:t>
      </w:r>
      <w:r w:rsidRPr="00873110">
        <w:rPr>
          <w:color w:val="000000"/>
        </w:rPr>
        <w:t>s</w:t>
      </w:r>
      <w:r w:rsidRPr="00873110">
        <w:rPr>
          <w:color w:val="000000"/>
        </w:rPr>
        <w:t>ses. Au fur et à mesure que s'accentuent les tensions</w:t>
      </w:r>
      <w:r>
        <w:rPr>
          <w:color w:val="000000"/>
        </w:rPr>
        <w:t xml:space="preserve"> </w:t>
      </w:r>
      <w:r>
        <w:t xml:space="preserve">[269] </w:t>
      </w:r>
      <w:r w:rsidRPr="00873110">
        <w:rPr>
          <w:color w:val="000000"/>
        </w:rPr>
        <w:t>dans les années 70, l'État, visiblement, se met à la recherche de moyens d'a</w:t>
      </w:r>
      <w:r w:rsidRPr="00873110">
        <w:rPr>
          <w:color w:val="000000"/>
        </w:rPr>
        <w:t>c</w:t>
      </w:r>
      <w:r w:rsidRPr="00873110">
        <w:rPr>
          <w:color w:val="000000"/>
        </w:rPr>
        <w:t>tion qui auraient un effet structurel lourd contre la « détérioration » des relations de travail, contrairement aux moyens plus ponctuels qu'il a déployés jusqu'alors. De ce point de vue, l'ado</w:t>
      </w:r>
      <w:r w:rsidRPr="00873110">
        <w:rPr>
          <w:color w:val="000000"/>
        </w:rPr>
        <w:t>p</w:t>
      </w:r>
      <w:r w:rsidRPr="00873110">
        <w:rPr>
          <w:color w:val="000000"/>
        </w:rPr>
        <w:t>tion du programme de lutte anti-inflation en 1975 marque une nouve</w:t>
      </w:r>
      <w:r w:rsidRPr="00873110">
        <w:rPr>
          <w:color w:val="000000"/>
        </w:rPr>
        <w:t>l</w:t>
      </w:r>
      <w:r w:rsidRPr="00873110">
        <w:rPr>
          <w:color w:val="000000"/>
        </w:rPr>
        <w:t>le phase qu'il faut examiner.</w:t>
      </w:r>
    </w:p>
    <w:p w:rsidR="00AD690E" w:rsidRDefault="00AD690E" w:rsidP="00AD690E">
      <w:pPr>
        <w:spacing w:before="120" w:after="120"/>
        <w:jc w:val="both"/>
        <w:rPr>
          <w:color w:val="000000"/>
        </w:rPr>
      </w:pPr>
    </w:p>
    <w:p w:rsidR="00AD690E" w:rsidRPr="00873110" w:rsidRDefault="00AD690E" w:rsidP="00AD690E">
      <w:pPr>
        <w:pStyle w:val="planche"/>
      </w:pPr>
      <w:r>
        <w:t>À</w:t>
      </w:r>
      <w:r w:rsidRPr="00873110">
        <w:t xml:space="preserve"> PARTIR DE 1975</w:t>
      </w:r>
    </w:p>
    <w:p w:rsidR="00AD690E" w:rsidRDefault="00AD690E" w:rsidP="00AD690E">
      <w:pPr>
        <w:spacing w:before="120" w:after="120"/>
        <w:jc w:val="both"/>
        <w:rPr>
          <w:color w:val="000000"/>
        </w:rPr>
      </w:pPr>
    </w:p>
    <w:p w:rsidR="00AD690E" w:rsidRPr="00363111" w:rsidRDefault="00AD690E" w:rsidP="00AD690E">
      <w:pPr>
        <w:spacing w:before="120" w:after="120"/>
        <w:ind w:firstLine="0"/>
        <w:jc w:val="both"/>
        <w:rPr>
          <w:vertAlign w:val="subscript"/>
        </w:rPr>
      </w:pPr>
      <w:r w:rsidRPr="00873110">
        <w:rPr>
          <w:color w:val="000000"/>
        </w:rPr>
        <w:t>Dans le Discours du Trône présenté à la Chambre des communes, le 27 février 1974, le gouvernement Trudeau a défini sa politique face à la montée rapide de l'inflation au Canada. Elle repose sur l'argument</w:t>
      </w:r>
      <w:r w:rsidRPr="00873110">
        <w:rPr>
          <w:color w:val="000000"/>
        </w:rPr>
        <w:t>a</w:t>
      </w:r>
      <w:r w:rsidRPr="00873110">
        <w:rPr>
          <w:color w:val="000000"/>
        </w:rPr>
        <w:t>tion suivante : 1) l'augmentation des prix qui s'est produite en 1973 et qui se poursuit en 1974 est un phénomène mondial ; 2) l'économie canadienne, plus étroitement qu'aucune autre peut-être, est liée au commerce et aux marchés internationaux ; 3) les principales poussées inflationnistes sont donc venues de l'extérieur du pays ; 4) dans ces conditions le ralentissement délibéré de notre économie par une r</w:t>
      </w:r>
      <w:r w:rsidRPr="00873110">
        <w:rPr>
          <w:color w:val="000000"/>
        </w:rPr>
        <w:t>é</w:t>
      </w:r>
      <w:r w:rsidRPr="00873110">
        <w:rPr>
          <w:color w:val="000000"/>
        </w:rPr>
        <w:t>glementation des prix et des revenus est un moyen singulièrement inefficace et le gouvernement refuse d'y recourir</w:t>
      </w:r>
      <w:r>
        <w:rPr>
          <w:color w:val="000000"/>
        </w:rPr>
        <w:t>. </w:t>
      </w:r>
      <w:r w:rsidRPr="002A1EB4">
        <w:rPr>
          <w:rStyle w:val="Appelnotedebasdep"/>
        </w:rPr>
        <w:footnoteReference w:id="471"/>
      </w:r>
    </w:p>
    <w:p w:rsidR="00AD690E" w:rsidRPr="00873110" w:rsidRDefault="00AD690E" w:rsidP="00AD690E">
      <w:pPr>
        <w:spacing w:before="120" w:after="120"/>
        <w:jc w:val="both"/>
      </w:pPr>
      <w:r w:rsidRPr="00873110">
        <w:rPr>
          <w:color w:val="000000"/>
        </w:rPr>
        <w:t>Ce même discours est repris par les libéraux en vue des élections qui ont lieu le 8 juillet 1974, alors qu'ils dénoncent et tournent en rid</w:t>
      </w:r>
      <w:r w:rsidRPr="00873110">
        <w:rPr>
          <w:color w:val="000000"/>
        </w:rPr>
        <w:t>i</w:t>
      </w:r>
      <w:r w:rsidRPr="00873110">
        <w:rPr>
          <w:color w:val="000000"/>
        </w:rPr>
        <w:t>cule 1' engagement des conservateurs d'instituer un programme obl</w:t>
      </w:r>
      <w:r w:rsidRPr="00873110">
        <w:rPr>
          <w:color w:val="000000"/>
        </w:rPr>
        <w:t>i</w:t>
      </w:r>
      <w:r w:rsidRPr="00873110">
        <w:rPr>
          <w:color w:val="000000"/>
        </w:rPr>
        <w:t>gatoire de contrôle des prix et des revenus au Canada.</w:t>
      </w:r>
    </w:p>
    <w:p w:rsidR="00AD690E" w:rsidRPr="00873110" w:rsidRDefault="00AD690E" w:rsidP="00AD690E">
      <w:pPr>
        <w:spacing w:before="120" w:after="120"/>
        <w:jc w:val="both"/>
      </w:pPr>
      <w:r w:rsidRPr="00873110">
        <w:rPr>
          <w:color w:val="000000"/>
        </w:rPr>
        <w:t>Mais l'automne suivant, loin d'avoir été jugulée, l'inflation atteint de nouveaux sommets, tandis que les salaires continuent de grimper. Le gouvernement constate : « [...] le malaise ouvrier s'est aggravé dans le monde. Les conventions collectives sont annulées, les travai</w:t>
      </w:r>
      <w:r w:rsidRPr="00873110">
        <w:rPr>
          <w:color w:val="000000"/>
        </w:rPr>
        <w:t>l</w:t>
      </w:r>
      <w:r w:rsidRPr="00873110">
        <w:rPr>
          <w:color w:val="000000"/>
        </w:rPr>
        <w:t>leurs se jugeant insuffisamment rémunérés pour faire face à l'inflation. En certains pays, c'est tout l'édifice social qui est menacé de disloc</w:t>
      </w:r>
      <w:r w:rsidRPr="00873110">
        <w:rPr>
          <w:color w:val="000000"/>
        </w:rPr>
        <w:t>a</w:t>
      </w:r>
      <w:r w:rsidRPr="00873110">
        <w:rPr>
          <w:color w:val="000000"/>
        </w:rPr>
        <w:t>tion »</w:t>
      </w:r>
      <w:r>
        <w:t> </w:t>
      </w:r>
      <w:r>
        <w:rPr>
          <w:rStyle w:val="Appelnotedebasdep"/>
        </w:rPr>
        <w:footnoteReference w:id="472"/>
      </w:r>
      <w:r w:rsidRPr="00873110">
        <w:rPr>
          <w:color w:val="000000"/>
        </w:rPr>
        <w:t>. Dans ce contexte, le gouvernement Trudeau revient à la charge avec un nouvel énoncé de sa politique anti-inflationniste. Le rejet d'une politique de mesures coercitives visant les prix et les rev</w:t>
      </w:r>
      <w:r w:rsidRPr="00873110">
        <w:rPr>
          <w:color w:val="000000"/>
        </w:rPr>
        <w:t>e</w:t>
      </w:r>
      <w:r w:rsidRPr="00873110">
        <w:rPr>
          <w:color w:val="000000"/>
        </w:rPr>
        <w:t>nus est réitéré, mais le plan d'action destiné à combattre les causes et les effets de l'inflation est cette fois beaucoup plus développé. Au ce</w:t>
      </w:r>
      <w:r w:rsidRPr="00873110">
        <w:rPr>
          <w:color w:val="000000"/>
        </w:rPr>
        <w:t>n</w:t>
      </w:r>
      <w:r w:rsidRPr="00873110">
        <w:rPr>
          <w:color w:val="000000"/>
        </w:rPr>
        <w:t>tre du dispositif, un appel à la concertation de tous les Canadiens. Il faut, souligne le Discours du Trône, que tous et chacun soient dava</w:t>
      </w:r>
      <w:r w:rsidRPr="00873110">
        <w:rPr>
          <w:color w:val="000000"/>
        </w:rPr>
        <w:t>n</w:t>
      </w:r>
      <w:r w:rsidRPr="00873110">
        <w:rPr>
          <w:color w:val="000000"/>
        </w:rPr>
        <w:t>tage conscients d'une nécessaire modération en matière de revenus, de bénéfices, de prix ou d'impôts. Et pour permettre la mise en œuvre de cet « effort commun », le gouvernement annonce qu'il entreprend une série de consultations avec les « principaux éléments</w:t>
      </w:r>
      <w:r>
        <w:rPr>
          <w:color w:val="000000"/>
        </w:rPr>
        <w:t xml:space="preserve"> </w:t>
      </w:r>
      <w:r>
        <w:rPr>
          <w:color w:val="000000"/>
          <w:szCs w:val="18"/>
        </w:rPr>
        <w:t>[</w:t>
      </w:r>
      <w:r w:rsidRPr="00873110">
        <w:rPr>
          <w:rFonts w:cs="Arial"/>
          <w:color w:val="000000"/>
          <w:szCs w:val="18"/>
        </w:rPr>
        <w:t>270</w:t>
      </w:r>
      <w:r>
        <w:rPr>
          <w:rFonts w:cs="Arial"/>
          <w:color w:val="000000"/>
          <w:szCs w:val="18"/>
        </w:rPr>
        <w:t xml:space="preserve">] </w:t>
      </w:r>
      <w:r w:rsidRPr="00873110">
        <w:rPr>
          <w:color w:val="000000"/>
        </w:rPr>
        <w:t>de notre société », parmi lesquels il place le patronat, les membres des profe</w:t>
      </w:r>
      <w:r w:rsidRPr="00873110">
        <w:rPr>
          <w:color w:val="000000"/>
        </w:rPr>
        <w:t>s</w:t>
      </w:r>
      <w:r w:rsidRPr="00873110">
        <w:rPr>
          <w:color w:val="000000"/>
        </w:rPr>
        <w:t>sions libérales, les agriculteurs, les syndicats et les gouvern</w:t>
      </w:r>
      <w:r w:rsidRPr="00873110">
        <w:rPr>
          <w:color w:val="000000"/>
        </w:rPr>
        <w:t>e</w:t>
      </w:r>
      <w:r w:rsidRPr="00873110">
        <w:rPr>
          <w:color w:val="000000"/>
        </w:rPr>
        <w:t>ments provinciaux. Ceux-ci seront invités à proposer des mesures pour vai</w:t>
      </w:r>
      <w:r w:rsidRPr="00873110">
        <w:rPr>
          <w:color w:val="000000"/>
        </w:rPr>
        <w:t>n</w:t>
      </w:r>
      <w:r w:rsidRPr="00873110">
        <w:rPr>
          <w:color w:val="000000"/>
        </w:rPr>
        <w:t>cre l'inflation et pour augmenter la productivité</w:t>
      </w:r>
      <w:r>
        <w:rPr>
          <w:color w:val="000000"/>
        </w:rPr>
        <w:t> </w:t>
      </w:r>
      <w:r w:rsidRPr="002A1EB4">
        <w:rPr>
          <w:rStyle w:val="Appelnotedebasdep"/>
        </w:rPr>
        <w:footnoteReference w:id="473"/>
      </w:r>
      <w:r w:rsidRPr="00873110">
        <w:rPr>
          <w:color w:val="000000"/>
        </w:rPr>
        <w:t>.</w:t>
      </w:r>
    </w:p>
    <w:p w:rsidR="00AD690E" w:rsidRPr="00873110" w:rsidRDefault="00AD690E" w:rsidP="00AD690E">
      <w:pPr>
        <w:spacing w:before="120" w:after="120"/>
        <w:jc w:val="both"/>
      </w:pPr>
      <w:r w:rsidRPr="00873110">
        <w:rPr>
          <w:color w:val="000000"/>
        </w:rPr>
        <w:t>L'importance de cet appel est évidente. En 1969-1970, le gouve</w:t>
      </w:r>
      <w:r w:rsidRPr="00873110">
        <w:rPr>
          <w:color w:val="000000"/>
        </w:rPr>
        <w:t>r</w:t>
      </w:r>
      <w:r w:rsidRPr="00873110">
        <w:rPr>
          <w:color w:val="000000"/>
        </w:rPr>
        <w:t>nement a échoué une première fois dans sa tentative d'instituer une politique volontaire de prix et revenus. La Commission des prix et revenus créée à cette fin (en 1968) s'est heurtée à l'opposition des sy</w:t>
      </w:r>
      <w:r w:rsidRPr="00873110">
        <w:rPr>
          <w:color w:val="000000"/>
        </w:rPr>
        <w:t>n</w:t>
      </w:r>
      <w:r w:rsidRPr="00873110">
        <w:rPr>
          <w:color w:val="000000"/>
        </w:rPr>
        <w:t>dicats, en particulier du CTC et de la CSN. En 1974, dans une conjoncture qu'il juge nettement plus grave, le gouvernement Trudeau entreprend donc une nouvelle offensive en vue de susciter par la concertation multipartite, l'adhésion des « partenaires » sociaux à un programme de restrictions. Avec plus d'insistance que par le passé, les provinces sont désignées comme un des pôles déterminant de cette concertation : « [...] à une époque où société et économie sont int</w:t>
      </w:r>
      <w:r w:rsidRPr="00873110">
        <w:rPr>
          <w:color w:val="000000"/>
        </w:rPr>
        <w:t>i</w:t>
      </w:r>
      <w:r w:rsidRPr="00873110">
        <w:rPr>
          <w:color w:val="000000"/>
        </w:rPr>
        <w:t>mement liées, déclare le gouvernement, la répartition des fonctions entre les divers paliers de gouvernement d'un État fédéral ne peut se faire de façon aussi nette dans la pratique qu'en théorie »</w:t>
      </w:r>
      <w:r>
        <w:rPr>
          <w:color w:val="000000"/>
        </w:rPr>
        <w:t> </w:t>
      </w:r>
      <w:r w:rsidRPr="002A1EB4">
        <w:rPr>
          <w:rStyle w:val="Appelnotedebasdep"/>
        </w:rPr>
        <w:footnoteReference w:id="474"/>
      </w:r>
      <w:r w:rsidRPr="00873110">
        <w:rPr>
          <w:color w:val="000000"/>
        </w:rPr>
        <w:t>.</w:t>
      </w:r>
    </w:p>
    <w:p w:rsidR="00AD690E" w:rsidRPr="00873110" w:rsidRDefault="00AD690E" w:rsidP="00AD690E">
      <w:pPr>
        <w:spacing w:before="120" w:after="120"/>
        <w:jc w:val="both"/>
      </w:pPr>
      <w:r w:rsidRPr="00873110">
        <w:rPr>
          <w:color w:val="000000"/>
        </w:rPr>
        <w:t>Pourtant, un an plus tard, le 14 octobre 1975, le gouvernement Trudeau impose un « programme anti-inflationniste » (la loi C-73) qui comporte quatre volets dont le plus important est une « politique des prix et des revenus » ordonnée autour de « lignes directrices » (guid</w:t>
      </w:r>
      <w:r w:rsidRPr="00873110">
        <w:rPr>
          <w:color w:val="000000"/>
        </w:rPr>
        <w:t>e</w:t>
      </w:r>
      <w:r w:rsidRPr="00873110">
        <w:rPr>
          <w:color w:val="000000"/>
        </w:rPr>
        <w:t>lines) dont l'application sera rendue obligatoire par un ensemble de « mesures coercitives »</w:t>
      </w:r>
      <w:r>
        <w:rPr>
          <w:color w:val="000000"/>
          <w:vertAlign w:val="superscript"/>
        </w:rPr>
        <w:t> </w:t>
      </w:r>
      <w:r w:rsidRPr="002A1EB4">
        <w:rPr>
          <w:rStyle w:val="Appelnotedebasdep"/>
        </w:rPr>
        <w:footnoteReference w:id="475"/>
      </w:r>
      <w:r w:rsidRPr="00873110">
        <w:rPr>
          <w:color w:val="000000"/>
        </w:rPr>
        <w:t>. Le contenu de ce programme, qui durera jusqu'au 31 décembre 1978, est suffisamment connu. Qu'il nous suff</w:t>
      </w:r>
      <w:r w:rsidRPr="00873110">
        <w:rPr>
          <w:color w:val="000000"/>
        </w:rPr>
        <w:t>i</w:t>
      </w:r>
      <w:r w:rsidRPr="00873110">
        <w:rPr>
          <w:color w:val="000000"/>
        </w:rPr>
        <w:t>se ici de souligner que, même s'il comportait un ensemble de dispos</w:t>
      </w:r>
      <w:r w:rsidRPr="00873110">
        <w:rPr>
          <w:color w:val="000000"/>
        </w:rPr>
        <w:t>i</w:t>
      </w:r>
      <w:r w:rsidRPr="00873110">
        <w:rPr>
          <w:color w:val="000000"/>
        </w:rPr>
        <w:t>tions destinées à contenir les prix et les profits, il a généralement été considéré essentiellement comme un plan de restrictions des salaires. Giles estime que c'était là son plus clair objectif et il rappelle que ce n'est qu'en avril 1976 que la Commission anti-inflation annonça ses premières actions concernant les prix</w:t>
      </w:r>
      <w:r>
        <w:rPr>
          <w:color w:val="000000"/>
        </w:rPr>
        <w:t> </w:t>
      </w:r>
      <w:r w:rsidRPr="002A1EB4">
        <w:rPr>
          <w:rStyle w:val="Appelnotedebasdep"/>
        </w:rPr>
        <w:footnoteReference w:id="476"/>
      </w:r>
      <w:r w:rsidRPr="00873110">
        <w:rPr>
          <w:color w:val="000000"/>
        </w:rPr>
        <w:t>. En revanche, la « cause la plus célèbre » de ce programme de contrôles fut sans conteste l'inte</w:t>
      </w:r>
      <w:r w:rsidRPr="00873110">
        <w:rPr>
          <w:color w:val="000000"/>
        </w:rPr>
        <w:t>r</w:t>
      </w:r>
      <w:r w:rsidRPr="00873110">
        <w:rPr>
          <w:color w:val="000000"/>
        </w:rPr>
        <w:t>vention de la Commission à l'endroit du Syndicat canadien des travai</w:t>
      </w:r>
      <w:r w:rsidRPr="00873110">
        <w:rPr>
          <w:color w:val="000000"/>
        </w:rPr>
        <w:t>l</w:t>
      </w:r>
      <w:r w:rsidRPr="00873110">
        <w:rPr>
          <w:color w:val="000000"/>
        </w:rPr>
        <w:t>leurs du papier. Ces derniers, qui avaient négocié avec la compagnie Irving des augmentations de salaires de 23,8</w:t>
      </w:r>
      <w:r>
        <w:rPr>
          <w:color w:val="000000"/>
        </w:rPr>
        <w:t>%</w:t>
      </w:r>
      <w:r w:rsidRPr="00873110">
        <w:rPr>
          <w:color w:val="000000"/>
        </w:rPr>
        <w:t xml:space="preserve"> virent ces hausses r</w:t>
      </w:r>
      <w:r w:rsidRPr="00873110">
        <w:rPr>
          <w:color w:val="000000"/>
        </w:rPr>
        <w:t>é</w:t>
      </w:r>
      <w:r w:rsidRPr="00873110">
        <w:rPr>
          <w:color w:val="000000"/>
        </w:rPr>
        <w:t>duites à 14</w:t>
      </w:r>
      <w:r>
        <w:rPr>
          <w:color w:val="000000"/>
        </w:rPr>
        <w:t>%</w:t>
      </w:r>
      <w:r w:rsidRPr="00873110">
        <w:rPr>
          <w:color w:val="000000"/>
        </w:rPr>
        <w:t>, et on leur ordonna de reverser à la compagnie la part des augmentations initiales qu'ils avaient déjà touchées.</w:t>
      </w:r>
    </w:p>
    <w:p w:rsidR="00AD690E" w:rsidRPr="00873110" w:rsidRDefault="00AD690E" w:rsidP="00AD690E">
      <w:pPr>
        <w:spacing w:before="120" w:after="120"/>
        <w:jc w:val="both"/>
      </w:pPr>
      <w:r w:rsidRPr="00873110">
        <w:rPr>
          <w:color w:val="000000"/>
        </w:rPr>
        <w:t>La promulgation des contrôles obligatoires en 1975 consacrait l'échec de l'appel lancé un an plus tôt en faveur d'une adhésion volo</w:t>
      </w:r>
      <w:r w:rsidRPr="00873110">
        <w:rPr>
          <w:color w:val="000000"/>
        </w:rPr>
        <w:t>n</w:t>
      </w:r>
      <w:r w:rsidRPr="00873110">
        <w:rPr>
          <w:color w:val="000000"/>
        </w:rPr>
        <w:t>taire du patronat et des syndicats à la politique gouvernementale. Elle marquait aussi l'échec des « pourparlers du consensus Turner », cette grande offensive de concertation</w:t>
      </w:r>
      <w:r>
        <w:rPr>
          <w:color w:val="000000"/>
        </w:rPr>
        <w:t xml:space="preserve"> </w:t>
      </w:r>
      <w:r>
        <w:t xml:space="preserve">[271] </w:t>
      </w:r>
      <w:r w:rsidRPr="00873110">
        <w:rPr>
          <w:color w:val="000000"/>
        </w:rPr>
        <w:t>déclenchée par le gouvern</w:t>
      </w:r>
      <w:r w:rsidRPr="00873110">
        <w:rPr>
          <w:color w:val="000000"/>
        </w:rPr>
        <w:t>e</w:t>
      </w:r>
      <w:r w:rsidRPr="00873110">
        <w:rPr>
          <w:color w:val="000000"/>
        </w:rPr>
        <w:t>ment Trudeau, en novembre 1974. Dirigée par le ministre des Fina</w:t>
      </w:r>
      <w:r w:rsidRPr="00873110">
        <w:rPr>
          <w:color w:val="000000"/>
        </w:rPr>
        <w:t>n</w:t>
      </w:r>
      <w:r w:rsidRPr="00873110">
        <w:rPr>
          <w:color w:val="000000"/>
        </w:rPr>
        <w:t>ces, John Turner, l'opération avait donné lieu à plus d'une vingtaine de rencontres en six mois avec des représentants de l'industrie, du mo</w:t>
      </w:r>
      <w:r w:rsidRPr="00873110">
        <w:rPr>
          <w:color w:val="000000"/>
        </w:rPr>
        <w:t>u</w:t>
      </w:r>
      <w:r w:rsidRPr="00873110">
        <w:rPr>
          <w:color w:val="000000"/>
        </w:rPr>
        <w:t>vement ouvrier et d'autres groupes sociaux tels les agriculteurs. Le gouvernement avait aussi créé, en janvier 1975, le Conseil canadien des relations ouvrières, au sein duquel acceptaient de siéger des repr</w:t>
      </w:r>
      <w:r w:rsidRPr="00873110">
        <w:rPr>
          <w:color w:val="000000"/>
        </w:rPr>
        <w:t>é</w:t>
      </w:r>
      <w:r w:rsidRPr="00873110">
        <w:rPr>
          <w:color w:val="000000"/>
        </w:rPr>
        <w:t>sentants du CTC et du patronat. En avril de la même année, il soume</w:t>
      </w:r>
      <w:r w:rsidRPr="00873110">
        <w:rPr>
          <w:color w:val="000000"/>
        </w:rPr>
        <w:t>t</w:t>
      </w:r>
      <w:r w:rsidRPr="00873110">
        <w:rPr>
          <w:color w:val="000000"/>
        </w:rPr>
        <w:t>tait son projet de restrictions volontaires qui allait toutefois être refusé par les syndicats et le patronat, chaque groupe ayant ses propres m</w:t>
      </w:r>
      <w:r w:rsidRPr="00873110">
        <w:rPr>
          <w:color w:val="000000"/>
        </w:rPr>
        <w:t>o</w:t>
      </w:r>
      <w:r w:rsidRPr="00873110">
        <w:rPr>
          <w:color w:val="000000"/>
        </w:rPr>
        <w:t>tifs pour ce faire. Or, c'est pourtant esse</w:t>
      </w:r>
      <w:r w:rsidRPr="00873110">
        <w:rPr>
          <w:color w:val="000000"/>
        </w:rPr>
        <w:t>n</w:t>
      </w:r>
      <w:r w:rsidRPr="00873110">
        <w:rPr>
          <w:color w:val="000000"/>
        </w:rPr>
        <w:t>tiellement le même projet qu'il devait remettre sur la table, en l'imp</w:t>
      </w:r>
      <w:r w:rsidRPr="00873110">
        <w:rPr>
          <w:color w:val="000000"/>
        </w:rPr>
        <w:t>o</w:t>
      </w:r>
      <w:r w:rsidRPr="00873110">
        <w:rPr>
          <w:color w:val="000000"/>
        </w:rPr>
        <w:t>sant cette fois, en octobre 1975</w:t>
      </w:r>
      <w:r>
        <w:rPr>
          <w:color w:val="000000"/>
        </w:rPr>
        <w:t> </w:t>
      </w:r>
      <w:r w:rsidRPr="002A1EB4">
        <w:rPr>
          <w:rStyle w:val="Appelnotedebasdep"/>
        </w:rPr>
        <w:footnoteReference w:id="477"/>
      </w:r>
      <w:r w:rsidRPr="00873110">
        <w:rPr>
          <w:color w:val="000000"/>
        </w:rPr>
        <w:t>. Cette décision devait entraîner la fin du Conseil des relations ouvrières, qui cessa d'exister moins d'un an après sa création.</w:t>
      </w:r>
    </w:p>
    <w:p w:rsidR="00AD690E" w:rsidRPr="00873110" w:rsidRDefault="00AD690E" w:rsidP="00AD690E">
      <w:pPr>
        <w:spacing w:before="120" w:after="120"/>
        <w:jc w:val="both"/>
      </w:pPr>
      <w:r w:rsidRPr="00873110">
        <w:rPr>
          <w:color w:val="000000"/>
        </w:rPr>
        <w:t>Ces événements nous permettent de dégager deux traits compl</w:t>
      </w:r>
      <w:r w:rsidRPr="00873110">
        <w:rPr>
          <w:color w:val="000000"/>
        </w:rPr>
        <w:t>é</w:t>
      </w:r>
      <w:r w:rsidRPr="00873110">
        <w:rPr>
          <w:color w:val="000000"/>
        </w:rPr>
        <w:t>mentaires de l'orientation du gouvernement à l'endroit des syndicats pendant ces années. D'une part, un discours et des initiatives répétées en faveur de l'action concertée tripartite ou multipartite et d'autre part le recours à des mesures coercitives et répressives de deux types : les lois anti-grèves et la législation de restrictions salariales. Ces mesures se rejoignent sur un point : elles suspendent ou restreignent l'exercice de certains droits reliés à la négociat</w:t>
      </w:r>
      <w:r>
        <w:rPr>
          <w:color w:val="000000"/>
        </w:rPr>
        <w:t>ion collective. On constate qu'</w:t>
      </w:r>
      <w:r w:rsidRPr="00873110">
        <w:rPr>
          <w:color w:val="000000"/>
        </w:rPr>
        <w:t>à cette étape, entre la concertation et la coercition, c'est cette dernière qui l'emporte et c'est elle qui devient le moyen de mettre en pratique les objectifs qui avaient d'abord été assignés à la concertation.</w:t>
      </w:r>
    </w:p>
    <w:p w:rsidR="00AD690E" w:rsidRPr="00873110" w:rsidRDefault="00AD690E" w:rsidP="00AD690E">
      <w:pPr>
        <w:spacing w:before="120" w:after="120"/>
        <w:jc w:val="both"/>
      </w:pPr>
      <w:r w:rsidRPr="00873110">
        <w:rPr>
          <w:color w:val="000000"/>
        </w:rPr>
        <w:t>Pourtant, malgré l'échec de ses tentatives de dégager un consensus autour de sa politique, le gouvernement Trudeau n'allait pas renoncer, après octobre 1975, à sa volonté de rechercher l'adhésion des synd</w:t>
      </w:r>
      <w:r w:rsidRPr="00873110">
        <w:rPr>
          <w:color w:val="000000"/>
        </w:rPr>
        <w:t>i</w:t>
      </w:r>
      <w:r w:rsidRPr="00873110">
        <w:rPr>
          <w:color w:val="000000"/>
        </w:rPr>
        <w:t>cats et du patronat à son programme de restrictions. C'était même pour lui l'enjeu décisif. Cette fois son offensive visait à préparer la période qui suivrait la fin des contrôles obligatoires. C'est ainsi que, jusqu'à la fin de 1977, il tiendra plusieurs rencontres avec les représentants du CTC et ceux du patronat regroupés dans le BCNI, le Business Council on National Issues. Il va aussi publier deux documents, La voie à su</w:t>
      </w:r>
      <w:r w:rsidRPr="00873110">
        <w:rPr>
          <w:color w:val="000000"/>
        </w:rPr>
        <w:t>i</w:t>
      </w:r>
      <w:r w:rsidRPr="00873110">
        <w:rPr>
          <w:color w:val="000000"/>
        </w:rPr>
        <w:t>vre, en octobre 1976</w:t>
      </w:r>
      <w:r>
        <w:rPr>
          <w:color w:val="000000"/>
        </w:rPr>
        <w:t> </w:t>
      </w:r>
      <w:r w:rsidRPr="002A1EB4">
        <w:rPr>
          <w:rStyle w:val="Appelnotedebasdep"/>
        </w:rPr>
        <w:footnoteReference w:id="478"/>
      </w:r>
      <w:r w:rsidRPr="00873110">
        <w:rPr>
          <w:color w:val="000000"/>
        </w:rPr>
        <w:t xml:space="preserve"> et Programme de coopération, en mai 1977</w:t>
      </w:r>
      <w:r>
        <w:rPr>
          <w:color w:val="000000"/>
        </w:rPr>
        <w:t> </w:t>
      </w:r>
      <w:r w:rsidRPr="002A1EB4">
        <w:rPr>
          <w:rStyle w:val="Appelnotedebasdep"/>
        </w:rPr>
        <w:footnoteReference w:id="479"/>
      </w:r>
      <w:r w:rsidRPr="00873110">
        <w:rPr>
          <w:color w:val="000000"/>
        </w:rPr>
        <w:t>.</w:t>
      </w:r>
    </w:p>
    <w:p w:rsidR="00AD690E" w:rsidRPr="00873110" w:rsidRDefault="00AD690E" w:rsidP="00AD690E">
      <w:pPr>
        <w:spacing w:before="120" w:after="120"/>
        <w:jc w:val="both"/>
      </w:pPr>
      <w:r w:rsidRPr="00873110">
        <w:rPr>
          <w:color w:val="000000"/>
        </w:rPr>
        <w:t>Pendant ce temps, le ministre du Travail John Munro agit en vér</w:t>
      </w:r>
      <w:r w:rsidRPr="00873110">
        <w:rPr>
          <w:color w:val="000000"/>
        </w:rPr>
        <w:t>i</w:t>
      </w:r>
      <w:r w:rsidRPr="00873110">
        <w:rPr>
          <w:color w:val="000000"/>
        </w:rPr>
        <w:t>table ambassadeur de la concertation en prononçant, au cours de l'a</w:t>
      </w:r>
      <w:r w:rsidRPr="00873110">
        <w:rPr>
          <w:color w:val="000000"/>
        </w:rPr>
        <w:t>n</w:t>
      </w:r>
      <w:r w:rsidRPr="00873110">
        <w:rPr>
          <w:color w:val="000000"/>
        </w:rPr>
        <w:t>née 1977, plusieurs conférences devant des groupes syndicaux ou p</w:t>
      </w:r>
      <w:r w:rsidRPr="00873110">
        <w:rPr>
          <w:color w:val="000000"/>
        </w:rPr>
        <w:t>a</w:t>
      </w:r>
      <w:r w:rsidRPr="00873110">
        <w:rPr>
          <w:color w:val="000000"/>
        </w:rPr>
        <w:t>tronaux au cours desquelles il appelle le mouvement syndical à pre</w:t>
      </w:r>
      <w:r w:rsidRPr="00873110">
        <w:rPr>
          <w:color w:val="000000"/>
        </w:rPr>
        <w:t>n</w:t>
      </w:r>
      <w:r w:rsidRPr="00873110">
        <w:rPr>
          <w:color w:val="000000"/>
        </w:rPr>
        <w:t>dre « la place qui lui revient de</w:t>
      </w:r>
      <w:r>
        <w:rPr>
          <w:color w:val="000000"/>
        </w:rPr>
        <w:t xml:space="preserve"> </w:t>
      </w:r>
      <w:r>
        <w:rPr>
          <w:color w:val="000000"/>
          <w:szCs w:val="18"/>
        </w:rPr>
        <w:t>[</w:t>
      </w:r>
      <w:r w:rsidRPr="00873110">
        <w:rPr>
          <w:rFonts w:cs="Arial"/>
          <w:color w:val="000000"/>
          <w:szCs w:val="18"/>
        </w:rPr>
        <w:t>272</w:t>
      </w:r>
      <w:r>
        <w:rPr>
          <w:rFonts w:cs="Arial"/>
          <w:color w:val="000000"/>
          <w:szCs w:val="18"/>
        </w:rPr>
        <w:t xml:space="preserve">] </w:t>
      </w:r>
      <w:r w:rsidRPr="00873110">
        <w:rPr>
          <w:color w:val="000000"/>
        </w:rPr>
        <w:t>droit comme un associé au C</w:t>
      </w:r>
      <w:r w:rsidRPr="00873110">
        <w:rPr>
          <w:color w:val="000000"/>
        </w:rPr>
        <w:t>a</w:t>
      </w:r>
      <w:r w:rsidRPr="00873110">
        <w:rPr>
          <w:color w:val="000000"/>
        </w:rPr>
        <w:t>nada »</w:t>
      </w:r>
      <w:r>
        <w:rPr>
          <w:color w:val="000000"/>
        </w:rPr>
        <w:t> </w:t>
      </w:r>
      <w:r w:rsidRPr="002A1EB4">
        <w:rPr>
          <w:rStyle w:val="Appelnotedebasdep"/>
        </w:rPr>
        <w:footnoteReference w:id="480"/>
      </w:r>
      <w:r w:rsidRPr="00873110">
        <w:rPr>
          <w:color w:val="000000"/>
        </w:rPr>
        <w:t>. Le ministre fait la promotion du programme en 14 points qu'il a annoncé en octobre 1976 et qui prévoit un train de mesures de divers ordres destinées à « améliorer les conditions de travail et le sy</w:t>
      </w:r>
      <w:r w:rsidRPr="00873110">
        <w:rPr>
          <w:color w:val="000000"/>
        </w:rPr>
        <w:t>s</w:t>
      </w:r>
      <w:r w:rsidRPr="00873110">
        <w:rPr>
          <w:color w:val="000000"/>
        </w:rPr>
        <w:t>tème de négociations collectives et de relations de travail au Canada. Parmi ces mesures figurent la création d'un centre national d' hygiène et de sécurité du travail et de comités du même type sur les lieux de travail, la formation d'un centre national de la qualité de vie au travail et d'un centre de renseignements sur la négociation collective ; l'ét</w:t>
      </w:r>
      <w:r w:rsidRPr="00873110">
        <w:rPr>
          <w:color w:val="000000"/>
        </w:rPr>
        <w:t>a</w:t>
      </w:r>
      <w:r w:rsidRPr="00873110">
        <w:rPr>
          <w:color w:val="000000"/>
        </w:rPr>
        <w:t>blissement d'un forum national de consu</w:t>
      </w:r>
      <w:r w:rsidRPr="00873110">
        <w:rPr>
          <w:color w:val="000000"/>
        </w:rPr>
        <w:t>l</w:t>
      </w:r>
      <w:r w:rsidRPr="00873110">
        <w:rPr>
          <w:color w:val="000000"/>
        </w:rPr>
        <w:t>tation multipartite et d'autres propositions comme l'encouragement de la négociation sectorielle dans certains services fédéraux ; la promesse de l'octroi d'accrédit</w:t>
      </w:r>
      <w:r w:rsidRPr="00873110">
        <w:rPr>
          <w:color w:val="000000"/>
        </w:rPr>
        <w:t>a</w:t>
      </w:r>
      <w:r w:rsidRPr="00873110">
        <w:rPr>
          <w:color w:val="000000"/>
        </w:rPr>
        <w:t>tions provisoires et l'imposition d'une première convention collective lorsque cela s'avère nécessaire ; l'élargissement des pouvoirs du Conseil canadien des relations de travail contre les pratiques illégales ou encore l'imposition aux syndicats de l'obligation de « représenter honnêtement » leurs membres et de permettre le d</w:t>
      </w:r>
      <w:r w:rsidRPr="00873110">
        <w:rPr>
          <w:color w:val="000000"/>
        </w:rPr>
        <w:t>é</w:t>
      </w:r>
      <w:r w:rsidRPr="00873110">
        <w:rPr>
          <w:color w:val="000000"/>
        </w:rPr>
        <w:t>pôt de plaintes contre eux, s'ils n'ont pas assumé leurs responsabilités. Point culm</w:t>
      </w:r>
      <w:r w:rsidRPr="00873110">
        <w:rPr>
          <w:color w:val="000000"/>
        </w:rPr>
        <w:t>i</w:t>
      </w:r>
      <w:r w:rsidRPr="00873110">
        <w:rPr>
          <w:color w:val="000000"/>
        </w:rPr>
        <w:t>nant de cette offensive en règle, qui se déroule en pleine période de contrôles, le ministre annonce la création d'un programme d'éducation en vertu duquel le gouvernement versera 10 millions de dollars au CTC pour la formation des dirigeants syndicaux</w:t>
      </w:r>
      <w:r>
        <w:rPr>
          <w:color w:val="000000"/>
        </w:rPr>
        <w:t> </w:t>
      </w:r>
      <w:r w:rsidRPr="002A1EB4">
        <w:rPr>
          <w:rStyle w:val="Appelnotedebasdep"/>
        </w:rPr>
        <w:footnoteReference w:id="481"/>
      </w:r>
      <w:r w:rsidRPr="00873110">
        <w:rPr>
          <w:color w:val="000000"/>
        </w:rPr>
        <w:t>.</w:t>
      </w:r>
    </w:p>
    <w:p w:rsidR="00AD690E" w:rsidRPr="00873110" w:rsidRDefault="00AD690E" w:rsidP="00AD690E">
      <w:pPr>
        <w:spacing w:before="120" w:after="120"/>
        <w:jc w:val="both"/>
      </w:pPr>
      <w:r w:rsidRPr="00873110">
        <w:rPr>
          <w:color w:val="000000"/>
        </w:rPr>
        <w:t>Mais de toutes ces initiatives, des documents publiés et des re</w:t>
      </w:r>
      <w:r w:rsidRPr="00873110">
        <w:rPr>
          <w:color w:val="000000"/>
        </w:rPr>
        <w:t>n</w:t>
      </w:r>
      <w:r w:rsidRPr="00873110">
        <w:rPr>
          <w:color w:val="000000"/>
        </w:rPr>
        <w:t>contres tripartites, un grand objectif immédiat ressort de la politique gouvernementale : substituer aux contrôles obligatoires, des contrôles qui seraient acceptés volontairement par ceux à qui ils s'adressent. À cette fin, les propositions du premier ministre et de son Cabinet vont s'ordonner autour de quelques grandes positions qui demeureront i</w:t>
      </w:r>
      <w:r w:rsidRPr="00873110">
        <w:rPr>
          <w:color w:val="000000"/>
        </w:rPr>
        <w:t>n</w:t>
      </w:r>
      <w:r w:rsidRPr="00873110">
        <w:rPr>
          <w:color w:val="000000"/>
        </w:rPr>
        <w:t>changées jusqu' à la fin et qu'on peut résumer ainsi :</w:t>
      </w:r>
    </w:p>
    <w:p w:rsidR="00AD690E" w:rsidRDefault="00AD690E" w:rsidP="00AD690E">
      <w:pPr>
        <w:spacing w:before="120" w:after="120"/>
        <w:jc w:val="both"/>
        <w:rPr>
          <w:color w:val="000000"/>
        </w:rPr>
      </w:pPr>
    </w:p>
    <w:p w:rsidR="00AD690E" w:rsidRPr="00873110" w:rsidRDefault="00AD690E" w:rsidP="00AD690E">
      <w:pPr>
        <w:spacing w:before="120" w:after="120"/>
        <w:ind w:left="720" w:hanging="360"/>
        <w:jc w:val="both"/>
        <w:rPr>
          <w:color w:val="000000"/>
        </w:rPr>
      </w:pPr>
      <w:r>
        <w:rPr>
          <w:color w:val="000000"/>
        </w:rPr>
        <w:t>a)</w:t>
      </w:r>
      <w:r>
        <w:rPr>
          <w:color w:val="000000"/>
        </w:rPr>
        <w:tab/>
      </w:r>
      <w:r w:rsidRPr="00873110">
        <w:rPr>
          <w:color w:val="000000"/>
        </w:rPr>
        <w:t>le gouvernement exige comme pré-condition à toute cessation accélérée des contrôles, un engagement des syndicats et du p</w:t>
      </w:r>
      <w:r w:rsidRPr="00873110">
        <w:rPr>
          <w:color w:val="000000"/>
        </w:rPr>
        <w:t>a</w:t>
      </w:r>
      <w:r w:rsidRPr="00873110">
        <w:rPr>
          <w:color w:val="000000"/>
        </w:rPr>
        <w:t>tronat en faveur de la nécessité de restrictions volontaires ;</w:t>
      </w:r>
    </w:p>
    <w:p w:rsidR="00AD690E" w:rsidRPr="00873110" w:rsidRDefault="00AD690E" w:rsidP="00AD690E">
      <w:pPr>
        <w:spacing w:before="120" w:after="120"/>
        <w:ind w:left="720" w:hanging="360"/>
        <w:jc w:val="both"/>
        <w:rPr>
          <w:color w:val="000000"/>
        </w:rPr>
      </w:pPr>
      <w:r>
        <w:rPr>
          <w:color w:val="000000"/>
        </w:rPr>
        <w:t>b)</w:t>
      </w:r>
      <w:r>
        <w:rPr>
          <w:color w:val="000000"/>
        </w:rPr>
        <w:tab/>
      </w:r>
      <w:r w:rsidRPr="00873110">
        <w:rPr>
          <w:color w:val="000000"/>
        </w:rPr>
        <w:t>l'acceptation par les syndicats d'un programme de restrictions des salaires dans le secteur public de façon qu'ils s'ajustent très étroitement à ceux du secteur privé ;</w:t>
      </w:r>
    </w:p>
    <w:p w:rsidR="00AD690E" w:rsidRPr="00873110" w:rsidRDefault="00AD690E" w:rsidP="00AD690E">
      <w:pPr>
        <w:spacing w:before="120" w:after="120"/>
        <w:ind w:left="720" w:hanging="360"/>
        <w:jc w:val="both"/>
        <w:rPr>
          <w:color w:val="000000"/>
        </w:rPr>
      </w:pPr>
      <w:r>
        <w:rPr>
          <w:color w:val="000000"/>
        </w:rPr>
        <w:t>c)</w:t>
      </w:r>
      <w:r>
        <w:rPr>
          <w:color w:val="000000"/>
        </w:rPr>
        <w:tab/>
      </w:r>
      <w:r w:rsidRPr="00873110">
        <w:rPr>
          <w:color w:val="000000"/>
        </w:rPr>
        <w:t>la préservation intégrale du pouvoir gouvernemental et de la souveraineté du Parlement, qui ne sauraient être abandonnés ou cédés à quelque groupe intermédiaire que ce soit : il s'agit ici d'établir clairement que les « partenaires » socio-économiques n'ont pas de pouvoir de décision politique et que les institutions de l'État ne sauraient en aucune façon être liées par des conse</w:t>
      </w:r>
      <w:r w:rsidRPr="00873110">
        <w:rPr>
          <w:color w:val="000000"/>
        </w:rPr>
        <w:t>n</w:t>
      </w:r>
      <w:r w:rsidRPr="00873110">
        <w:rPr>
          <w:color w:val="000000"/>
        </w:rPr>
        <w:t>sus intervenant à leur niveau ;</w:t>
      </w:r>
    </w:p>
    <w:p w:rsidR="00AD690E" w:rsidRDefault="00AD690E" w:rsidP="00AD690E">
      <w:pPr>
        <w:spacing w:before="120" w:after="120"/>
        <w:ind w:firstLine="0"/>
        <w:jc w:val="both"/>
        <w:rPr>
          <w:color w:val="000000"/>
          <w:szCs w:val="18"/>
        </w:rPr>
      </w:pPr>
      <w:r>
        <w:rPr>
          <w:color w:val="000000"/>
          <w:szCs w:val="18"/>
        </w:rPr>
        <w:t>[273]</w:t>
      </w:r>
    </w:p>
    <w:p w:rsidR="00AD690E" w:rsidRPr="00873110" w:rsidRDefault="00AD690E" w:rsidP="00AD690E">
      <w:pPr>
        <w:spacing w:before="120" w:after="120"/>
        <w:ind w:left="720" w:hanging="360"/>
        <w:jc w:val="both"/>
      </w:pPr>
      <w:r>
        <w:rPr>
          <w:color w:val="000000"/>
        </w:rPr>
        <w:t>d)</w:t>
      </w:r>
      <w:r>
        <w:rPr>
          <w:color w:val="000000"/>
        </w:rPr>
        <w:tab/>
        <w:t>le refus d'</w:t>
      </w:r>
      <w:r w:rsidRPr="00873110">
        <w:rPr>
          <w:color w:val="000000"/>
        </w:rPr>
        <w:t>accorder un monopole de représentation aux seuls syndicats et</w:t>
      </w:r>
      <w:r>
        <w:rPr>
          <w:color w:val="000000"/>
        </w:rPr>
        <w:t xml:space="preserve"> </w:t>
      </w:r>
      <w:r w:rsidRPr="00873110">
        <w:rPr>
          <w:color w:val="000000"/>
        </w:rPr>
        <w:t>patronat et la promotion d'une structure et de m</w:t>
      </w:r>
      <w:r w:rsidRPr="00873110">
        <w:rPr>
          <w:color w:val="000000"/>
        </w:rPr>
        <w:t>é</w:t>
      </w:r>
      <w:r w:rsidRPr="00873110">
        <w:rPr>
          <w:color w:val="000000"/>
        </w:rPr>
        <w:t>canismes de</w:t>
      </w:r>
      <w:r>
        <w:rPr>
          <w:color w:val="000000"/>
        </w:rPr>
        <w:t xml:space="preserve"> </w:t>
      </w:r>
      <w:r w:rsidRPr="00873110">
        <w:rPr>
          <w:color w:val="000000"/>
        </w:rPr>
        <w:t>représentation multipartite à vocation consultative.</w:t>
      </w:r>
    </w:p>
    <w:p w:rsidR="00AD690E" w:rsidRDefault="00AD690E" w:rsidP="00AD690E">
      <w:pPr>
        <w:spacing w:before="120" w:after="120"/>
        <w:jc w:val="both"/>
        <w:rPr>
          <w:color w:val="000000"/>
        </w:rPr>
      </w:pPr>
    </w:p>
    <w:p w:rsidR="00AD690E" w:rsidRPr="00873110" w:rsidRDefault="00AD690E" w:rsidP="00AD690E">
      <w:pPr>
        <w:spacing w:before="120" w:after="120"/>
        <w:jc w:val="both"/>
      </w:pPr>
      <w:r w:rsidRPr="00873110">
        <w:rPr>
          <w:color w:val="000000"/>
        </w:rPr>
        <w:t>Nous reviendrons sur le contenu de ces positions en analysant l'orientation des syndicats face au programme anti-inflationniste. Mais il est facile de constater que la première des exigences gouverneme</w:t>
      </w:r>
      <w:r w:rsidRPr="00873110">
        <w:rPr>
          <w:color w:val="000000"/>
        </w:rPr>
        <w:t>n</w:t>
      </w:r>
      <w:r w:rsidRPr="00873110">
        <w:rPr>
          <w:color w:val="000000"/>
        </w:rPr>
        <w:t>tales suffisait à elle seule à empêcher tout accord, les syndicats n'ayant pas cessé de réclamer la fin immédiate et sans condition des mesures de réglementation.</w:t>
      </w:r>
    </w:p>
    <w:p w:rsidR="00AD690E" w:rsidRPr="00873110" w:rsidRDefault="00AD690E" w:rsidP="00AD690E">
      <w:pPr>
        <w:spacing w:before="120" w:after="120"/>
        <w:jc w:val="both"/>
      </w:pPr>
      <w:r w:rsidRPr="00873110">
        <w:rPr>
          <w:color w:val="000000"/>
        </w:rPr>
        <w:t>Ainsi allait prendre fin la deuxième offensive gouvernementale en vue de réaliser un consensus autour de sa politique anti-inflationniste. En 1978, au moment où le gouvernement annonce la fin de son pr</w:t>
      </w:r>
      <w:r w:rsidRPr="00873110">
        <w:rPr>
          <w:color w:val="000000"/>
        </w:rPr>
        <w:t>o</w:t>
      </w:r>
      <w:r w:rsidRPr="00873110">
        <w:rPr>
          <w:color w:val="000000"/>
        </w:rPr>
        <w:t>gramme, ni l'inflation, ni le chômage n'ont été vaincus. Le chômage lui, a même augmenté passant de 7</w:t>
      </w:r>
      <w:r>
        <w:rPr>
          <w:color w:val="000000"/>
        </w:rPr>
        <w:t>%</w:t>
      </w:r>
      <w:r w:rsidRPr="00873110">
        <w:rPr>
          <w:color w:val="000000"/>
        </w:rPr>
        <w:t xml:space="preserve"> en 1975 à 8,5</w:t>
      </w:r>
      <w:r>
        <w:rPr>
          <w:color w:val="000000"/>
        </w:rPr>
        <w:t>%</w:t>
      </w:r>
      <w:r w:rsidRPr="00873110">
        <w:rPr>
          <w:color w:val="000000"/>
        </w:rPr>
        <w:t xml:space="preserve"> environ en 1978. Mais si ces problèmes fondamentaux, qui ont occupé le devant de la scène depuis dix ans, demeurent, ils viennent maintenant se greffer à une situation extrêmement tendue sur le plan constitutionnel. L'atte</w:t>
      </w:r>
      <w:r w:rsidRPr="00873110">
        <w:rPr>
          <w:color w:val="000000"/>
        </w:rPr>
        <w:t>n</w:t>
      </w:r>
      <w:r w:rsidRPr="00873110">
        <w:rPr>
          <w:color w:val="000000"/>
        </w:rPr>
        <w:t>tion semble même se porter davantage sur ce terrain. En juin 1978, le gouvernement a publié un document intitulé Le temps d'agir, où sont définies ses propositions pour le renouvellement de la fédération c</w:t>
      </w:r>
      <w:r w:rsidRPr="00873110">
        <w:rPr>
          <w:color w:val="000000"/>
        </w:rPr>
        <w:t>a</w:t>
      </w:r>
      <w:r w:rsidRPr="00873110">
        <w:rPr>
          <w:color w:val="000000"/>
        </w:rPr>
        <w:t>nadienne qu'il juge tout aussi indispensable qu'urgent.</w:t>
      </w:r>
    </w:p>
    <w:p w:rsidR="00AD690E" w:rsidRPr="00873110" w:rsidRDefault="00AD690E" w:rsidP="00AD690E">
      <w:pPr>
        <w:spacing w:before="120" w:after="120"/>
        <w:jc w:val="both"/>
      </w:pPr>
      <w:r w:rsidRPr="00873110">
        <w:rPr>
          <w:color w:val="000000"/>
        </w:rPr>
        <w:t>Pourtant, aux élections de mai 1979, le gouvernement Trudeau est défait, mais il revient en force à la Chambre des communes dès février 1980. Référendum québécois, « rapatriement de la Constitution » et promulgation de la nouvelle loi constitutionnelle du Canada, la vie politique canadienne connaît un niveau de tension rarement atteint. Entre temps, loin de contribuer à refroidir le climat politique, une très grave récession a commencé à se développer, « la pire depuis les a</w:t>
      </w:r>
      <w:r w:rsidRPr="00873110">
        <w:rPr>
          <w:color w:val="000000"/>
        </w:rPr>
        <w:t>n</w:t>
      </w:r>
      <w:r w:rsidRPr="00873110">
        <w:rPr>
          <w:color w:val="000000"/>
        </w:rPr>
        <w:t>nées 30 », dont les signes les plus visibles sont la hausse spectaculaire des taux d'intérêts, du chômage et de l'inflation. C'est sur le fond de cette crise que s'ouvre une nouvelle phase des rapports entre l'État f</w:t>
      </w:r>
      <w:r w:rsidRPr="00873110">
        <w:rPr>
          <w:color w:val="000000"/>
        </w:rPr>
        <w:t>é</w:t>
      </w:r>
      <w:r w:rsidRPr="00873110">
        <w:rPr>
          <w:color w:val="000000"/>
        </w:rPr>
        <w:t>déral et le syndicalisme.</w:t>
      </w:r>
    </w:p>
    <w:p w:rsidR="00AD690E" w:rsidRDefault="00AD690E" w:rsidP="00AD690E">
      <w:pPr>
        <w:spacing w:before="120" w:after="120"/>
        <w:jc w:val="both"/>
        <w:rPr>
          <w:color w:val="000000"/>
        </w:rPr>
      </w:pPr>
      <w:r w:rsidRPr="00873110">
        <w:rPr>
          <w:color w:val="000000"/>
        </w:rPr>
        <w:t>L'année 1982, on l'a noté, marque un sommet dans le recours aux lois spéciales anti-grèves à travers le pays. Parallèlement, en juin, le gouvernement central décrète un programme de restrictions visant tous les employés du secteur public fédéral. Il fixe à 6</w:t>
      </w:r>
      <w:r>
        <w:rPr>
          <w:color w:val="000000"/>
        </w:rPr>
        <w:t>%</w:t>
      </w:r>
      <w:r w:rsidRPr="00873110">
        <w:rPr>
          <w:color w:val="000000"/>
        </w:rPr>
        <w:t xml:space="preserve"> et 5</w:t>
      </w:r>
      <w:r>
        <w:rPr>
          <w:color w:val="000000"/>
        </w:rPr>
        <w:t>%</w:t>
      </w:r>
      <w:r w:rsidRPr="00873110">
        <w:rPr>
          <w:color w:val="000000"/>
        </w:rPr>
        <w:t xml:space="preserve"> les augmentations salariales qui seront consenties au cours des deux a</w:t>
      </w:r>
      <w:r w:rsidRPr="00873110">
        <w:rPr>
          <w:color w:val="000000"/>
        </w:rPr>
        <w:t>n</w:t>
      </w:r>
      <w:r w:rsidRPr="00873110">
        <w:rPr>
          <w:color w:val="000000"/>
        </w:rPr>
        <w:t>nées suivantes. Consigné dans la loi C-124, le programme est la pièce maîtresse du budget dévoilé à la Chambre des communes par le mini</w:t>
      </w:r>
      <w:r w:rsidRPr="00873110">
        <w:rPr>
          <w:color w:val="000000"/>
        </w:rPr>
        <w:t>s</w:t>
      </w:r>
      <w:r w:rsidRPr="00873110">
        <w:rPr>
          <w:color w:val="000000"/>
        </w:rPr>
        <w:t>tre des Finances, Allan MacEachen. L'intention avouée du gouvern</w:t>
      </w:r>
      <w:r w:rsidRPr="00873110">
        <w:rPr>
          <w:color w:val="000000"/>
        </w:rPr>
        <w:t>e</w:t>
      </w:r>
      <w:r w:rsidRPr="00873110">
        <w:rPr>
          <w:color w:val="000000"/>
        </w:rPr>
        <w:t>ment est de maintenir les augmentations de salaires à un niveau inf</w:t>
      </w:r>
      <w:r w:rsidRPr="00873110">
        <w:rPr>
          <w:color w:val="000000"/>
        </w:rPr>
        <w:t>é</w:t>
      </w:r>
      <w:r w:rsidRPr="00873110">
        <w:rPr>
          <w:color w:val="000000"/>
        </w:rPr>
        <w:t>rieur à celui de l'augmentation des prix, de façon à diminuer la d</w:t>
      </w:r>
      <w:r w:rsidRPr="00873110">
        <w:rPr>
          <w:color w:val="000000"/>
        </w:rPr>
        <w:t>e</w:t>
      </w:r>
      <w:r w:rsidRPr="00873110">
        <w:rPr>
          <w:color w:val="000000"/>
        </w:rPr>
        <w:t>mande et ainsi provoquer à terme un baisse des prix et de l'inflation. Il s'attaque aussi pour les mêmes raisons aux allocations familiales et aux pensions de vieillesse qui ne seront plus indexées qu'à 6</w:t>
      </w:r>
      <w:r>
        <w:rPr>
          <w:color w:val="000000"/>
        </w:rPr>
        <w:t>%</w:t>
      </w:r>
      <w:r w:rsidRPr="00873110">
        <w:rPr>
          <w:color w:val="000000"/>
        </w:rPr>
        <w:t xml:space="preserve"> et 5</w:t>
      </w:r>
      <w:r>
        <w:rPr>
          <w:color w:val="000000"/>
        </w:rPr>
        <w:t>%</w:t>
      </w:r>
      <w:r w:rsidRPr="00873110">
        <w:rPr>
          <w:color w:val="000000"/>
        </w:rPr>
        <w:t>, alors que l'inflation se maintient au-dessus de la barre de 10</w:t>
      </w:r>
      <w:r>
        <w:rPr>
          <w:color w:val="000000"/>
        </w:rPr>
        <w:t>%</w:t>
      </w:r>
      <w:r w:rsidRPr="00873110">
        <w:rPr>
          <w:color w:val="000000"/>
        </w:rPr>
        <w:t>. Il augmentera enfin dans une proportion substantielle les contributions à l'assurance-chômage payables par les salariés.</w:t>
      </w:r>
    </w:p>
    <w:p w:rsidR="00AD690E" w:rsidRDefault="00AD690E" w:rsidP="00AD690E">
      <w:pPr>
        <w:spacing w:before="120" w:after="120"/>
        <w:jc w:val="both"/>
        <w:rPr>
          <w:color w:val="000000"/>
        </w:rPr>
      </w:pPr>
    </w:p>
    <w:p w:rsidR="00AD690E" w:rsidRPr="00873110" w:rsidRDefault="00AD690E" w:rsidP="00AD690E">
      <w:pPr>
        <w:spacing w:before="120" w:after="120"/>
        <w:jc w:val="both"/>
      </w:pPr>
      <w:r>
        <w:t>[</w:t>
      </w:r>
      <w:r w:rsidRPr="00873110">
        <w:rPr>
          <w:rFonts w:cs="Arial"/>
          <w:color w:val="000000"/>
          <w:szCs w:val="18"/>
        </w:rPr>
        <w:t>274</w:t>
      </w:r>
      <w:r>
        <w:rPr>
          <w:rFonts w:cs="Arial"/>
          <w:color w:val="000000"/>
          <w:szCs w:val="18"/>
        </w:rPr>
        <w:t>]</w:t>
      </w:r>
    </w:p>
    <w:p w:rsidR="00AD690E" w:rsidRPr="00873110" w:rsidRDefault="00AD690E" w:rsidP="00AD690E">
      <w:pPr>
        <w:spacing w:before="120" w:after="120"/>
        <w:jc w:val="both"/>
      </w:pPr>
      <w:r w:rsidRPr="00873110">
        <w:rPr>
          <w:color w:val="000000"/>
        </w:rPr>
        <w:t>Le programme de lutte contre l'inflation en 1975 s'appliquait à tous les travailleurs et à toutes les entreprises des secteurs public et privé en définissant les limites à l'intérieur desquelles devaient s'exercer les négociations salariales. La loi C-124 ne s'adresse directement qu'aux salariés fédéraux du secteur public, qui sont environ 500</w:t>
      </w:r>
      <w:r>
        <w:rPr>
          <w:color w:val="000000"/>
        </w:rPr>
        <w:t> </w:t>
      </w:r>
      <w:r w:rsidRPr="00873110">
        <w:rPr>
          <w:color w:val="000000"/>
        </w:rPr>
        <w:t>000 regro</w:t>
      </w:r>
      <w:r w:rsidRPr="00873110">
        <w:rPr>
          <w:color w:val="000000"/>
        </w:rPr>
        <w:t>u</w:t>
      </w:r>
      <w:r w:rsidRPr="00873110">
        <w:rPr>
          <w:color w:val="000000"/>
        </w:rPr>
        <w:t>pés dans 30 syndicats et en ce sens, à première vue, sa portée semble moins large. Mais elle est aussi conçue comme un « exemple » donné au patronat du secteur privé et à tous les gouvernements provinciaux et municipaux, et c'est notamment pour cette raison que le gouvern</w:t>
      </w:r>
      <w:r w:rsidRPr="00873110">
        <w:rPr>
          <w:color w:val="000000"/>
        </w:rPr>
        <w:t>e</w:t>
      </w:r>
      <w:r w:rsidRPr="00873110">
        <w:rPr>
          <w:color w:val="000000"/>
        </w:rPr>
        <w:t>ment entend lier ses paiements de transfert aux provinces et ses su</w:t>
      </w:r>
      <w:r w:rsidRPr="00873110">
        <w:rPr>
          <w:color w:val="000000"/>
        </w:rPr>
        <w:t>b</w:t>
      </w:r>
      <w:r w:rsidRPr="00873110">
        <w:rPr>
          <w:color w:val="000000"/>
        </w:rPr>
        <w:t>ventions aux entreprises privées à l'application par ces dernières de politiques de restrictions analogues. Cette politique encourage aussi le mouvement des « concessions » en vertu duquel plusieurs entreprises ont commencé à exiger de leurs employés une réduction des augme</w:t>
      </w:r>
      <w:r w:rsidRPr="00873110">
        <w:rPr>
          <w:color w:val="000000"/>
        </w:rPr>
        <w:t>n</w:t>
      </w:r>
      <w:r w:rsidRPr="00873110">
        <w:rPr>
          <w:color w:val="000000"/>
        </w:rPr>
        <w:t>tations salariales consenties, le gel des salaires, ou encore une dimin</w:t>
      </w:r>
      <w:r w:rsidRPr="00873110">
        <w:rPr>
          <w:color w:val="000000"/>
        </w:rPr>
        <w:t>u</w:t>
      </w:r>
      <w:r w:rsidRPr="00873110">
        <w:rPr>
          <w:color w:val="000000"/>
        </w:rPr>
        <w:t>tion des avantages sociaux. Dès février 1982, le ministre de l'Emploi, Lloyd Axworthy, a félicité publiquement les travailleurs de l'autom</w:t>
      </w:r>
      <w:r w:rsidRPr="00873110">
        <w:rPr>
          <w:color w:val="000000"/>
        </w:rPr>
        <w:t>o</w:t>
      </w:r>
      <w:r w:rsidRPr="00873110">
        <w:rPr>
          <w:color w:val="000000"/>
        </w:rPr>
        <w:t>bile aux États-Unis d'avoir accordé des concessions à leurs e</w:t>
      </w:r>
      <w:r w:rsidRPr="00873110">
        <w:rPr>
          <w:color w:val="000000"/>
        </w:rPr>
        <w:t>m</w:t>
      </w:r>
      <w:r w:rsidRPr="00873110">
        <w:rPr>
          <w:color w:val="000000"/>
        </w:rPr>
        <w:t>ployeurs. Par la suite, le gouvernement d'Ottawa a prévenu les fabr</w:t>
      </w:r>
      <w:r w:rsidRPr="00873110">
        <w:rPr>
          <w:color w:val="000000"/>
        </w:rPr>
        <w:t>i</w:t>
      </w:r>
      <w:r w:rsidRPr="00873110">
        <w:rPr>
          <w:color w:val="000000"/>
        </w:rPr>
        <w:t>cants d'automobiles et les syndicats de ce secteur que l'aide financière à leur industrie serait coupée si les négociations collectives débo</w:t>
      </w:r>
      <w:r w:rsidRPr="00873110">
        <w:rPr>
          <w:color w:val="000000"/>
        </w:rPr>
        <w:t>u</w:t>
      </w:r>
      <w:r w:rsidRPr="00873110">
        <w:rPr>
          <w:color w:val="000000"/>
        </w:rPr>
        <w:t>chaient sur des accords dépassant la limite des 6 et 5%.</w:t>
      </w:r>
    </w:p>
    <w:p w:rsidR="00AD690E" w:rsidRPr="00873110" w:rsidRDefault="00AD690E" w:rsidP="00AD690E">
      <w:pPr>
        <w:spacing w:before="120" w:after="120"/>
        <w:jc w:val="both"/>
      </w:pPr>
      <w:r w:rsidRPr="00873110">
        <w:rPr>
          <w:color w:val="000000"/>
        </w:rPr>
        <w:t>D'autre part, la loi C-124 ne se limite pas à restreindre les augme</w:t>
      </w:r>
      <w:r w:rsidRPr="00873110">
        <w:rPr>
          <w:color w:val="000000"/>
        </w:rPr>
        <w:t>n</w:t>
      </w:r>
      <w:r w:rsidRPr="00873110">
        <w:rPr>
          <w:color w:val="000000"/>
        </w:rPr>
        <w:t>tations salariales des conventions collectives à venir ; elle a pour effet de réduire les hausses déjà consenties qui devaient entrer en vigueur pendant la durée du programme. Enfin, les autres modalités d'emploi prévues aux conventions collectives ne pourront être modifiées qu'avec l'accord du gouvernement et devront être ratifiées par le Conseil du trésor : ces dispositions ont pour effet de suspendre à toute fin pratique, pour une période de deux ans, l'exercice de la négociation collective et du droit de grève dans le secteur public fédéral.</w:t>
      </w:r>
    </w:p>
    <w:p w:rsidR="00AD690E" w:rsidRPr="00873110" w:rsidRDefault="00AD690E" w:rsidP="00AD690E">
      <w:pPr>
        <w:spacing w:before="120" w:after="120"/>
        <w:jc w:val="both"/>
      </w:pPr>
      <w:r w:rsidRPr="00873110">
        <w:rPr>
          <w:color w:val="000000"/>
        </w:rPr>
        <w:t>Les provinces vont très vite s'inscrire dans le dispositif de contr</w:t>
      </w:r>
      <w:r w:rsidRPr="00873110">
        <w:rPr>
          <w:color w:val="000000"/>
        </w:rPr>
        <w:t>ô</w:t>
      </w:r>
      <w:r w:rsidRPr="00873110">
        <w:rPr>
          <w:color w:val="000000"/>
        </w:rPr>
        <w:t>les et de restrictions d'Ottawa et, en 1982-1983, ce sont trois millions de travailleurs canadiens qui seront touchés par des contrôles. Sous des formes diverses, soit par le plafonnement des augmentations sal</w:t>
      </w:r>
      <w:r w:rsidRPr="00873110">
        <w:rPr>
          <w:color w:val="000000"/>
        </w:rPr>
        <w:t>a</w:t>
      </w:r>
      <w:r w:rsidRPr="00873110">
        <w:rPr>
          <w:color w:val="000000"/>
        </w:rPr>
        <w:t>riales, soit par le gel des salaires, les provinces seront toutes partie prenante de la même offensive : l'Ontario avec la loi 179, la Nouvelle-</w:t>
      </w:r>
      <w:r>
        <w:rPr>
          <w:color w:val="000000"/>
        </w:rPr>
        <w:t>É</w:t>
      </w:r>
      <w:r w:rsidRPr="00873110">
        <w:rPr>
          <w:color w:val="000000"/>
        </w:rPr>
        <w:t>cosse avec la loi 71, la Saskatchewan avec la loi 104,</w:t>
      </w:r>
      <w:r>
        <w:rPr>
          <w:color w:val="000000"/>
        </w:rPr>
        <w:t xml:space="preserve"> Terre-Neuve avec la loi 59, l'Î</w:t>
      </w:r>
      <w:r w:rsidRPr="00873110">
        <w:rPr>
          <w:color w:val="000000"/>
        </w:rPr>
        <w:t>le-du-Prince-Édouard avec la loi 39, l'Alberta avec la loi 44, nulle ne reste en marge, mais c'est au Québec et en Colombie-Britannique que les gouvernements frappent le plus fort. Le 25 mai 1982, le ministre des Finances du gouvernement péquiste, Jacques Parizeau, a annoncé que</w:t>
      </w:r>
      <w:r>
        <w:rPr>
          <w:color w:val="000000"/>
        </w:rPr>
        <w:t xml:space="preserve"> </w:t>
      </w:r>
      <w:r w:rsidRPr="00873110">
        <w:rPr>
          <w:color w:val="000000"/>
        </w:rPr>
        <w:t>" les salaires des quelque 300</w:t>
      </w:r>
      <w:r>
        <w:rPr>
          <w:color w:val="000000"/>
        </w:rPr>
        <w:t> </w:t>
      </w:r>
      <w:r w:rsidRPr="00873110">
        <w:rPr>
          <w:color w:val="000000"/>
        </w:rPr>
        <w:t>000 employés du secteur public québécois seraien</w:t>
      </w:r>
      <w:r>
        <w:rPr>
          <w:color w:val="000000"/>
        </w:rPr>
        <w:t>t c</w:t>
      </w:r>
      <w:r w:rsidRPr="00873110">
        <w:rPr>
          <w:color w:val="000000"/>
        </w:rPr>
        <w:t>oupés en moyenne d'environ 20</w:t>
      </w:r>
      <w:r>
        <w:rPr>
          <w:color w:val="000000"/>
        </w:rPr>
        <w:t>%</w:t>
      </w:r>
      <w:r w:rsidRPr="00873110">
        <w:rPr>
          <w:color w:val="000000"/>
        </w:rPr>
        <w:t xml:space="preserve"> au cours des trois premiers mois de 1983. Le gouvernement ayant échoué à convaincre les syndicats d'accepter ces réductions i</w:t>
      </w:r>
      <w:r w:rsidRPr="00873110">
        <w:rPr>
          <w:color w:val="000000"/>
        </w:rPr>
        <w:t>m</w:t>
      </w:r>
      <w:r w:rsidRPr="00873110">
        <w:rPr>
          <w:color w:val="000000"/>
        </w:rPr>
        <w:t>portantes, il vote la loi 70 en juin 1982 pour les imposer. Puis ce s</w:t>
      </w:r>
      <w:r w:rsidRPr="00873110">
        <w:rPr>
          <w:color w:val="000000"/>
        </w:rPr>
        <w:t>e</w:t>
      </w:r>
      <w:r w:rsidRPr="00873110">
        <w:rPr>
          <w:color w:val="000000"/>
        </w:rPr>
        <w:t>ront les lois 72 (services essentiels), 105, décrétant les conditions de travail</w:t>
      </w:r>
      <w:r>
        <w:rPr>
          <w:color w:val="000000"/>
        </w:rPr>
        <w:t xml:space="preserve"> </w:t>
      </w:r>
      <w:r>
        <w:t xml:space="preserve">[275] </w:t>
      </w:r>
      <w:r w:rsidRPr="00873110">
        <w:rPr>
          <w:color w:val="000000"/>
        </w:rPr>
        <w:t>dans le secteur public pendant trois ans jusqu'en déce</w:t>
      </w:r>
      <w:r w:rsidRPr="00873110">
        <w:rPr>
          <w:color w:val="000000"/>
        </w:rPr>
        <w:t>m</w:t>
      </w:r>
      <w:r w:rsidRPr="00873110">
        <w:rPr>
          <w:color w:val="000000"/>
        </w:rPr>
        <w:t>bre 1985 et 111, brisant la grève des enseignants en février 1983. Ce</w:t>
      </w:r>
      <w:r w:rsidRPr="00873110">
        <w:rPr>
          <w:color w:val="000000"/>
        </w:rPr>
        <w:t>t</w:t>
      </w:r>
      <w:r w:rsidRPr="00873110">
        <w:rPr>
          <w:color w:val="000000"/>
        </w:rPr>
        <w:t>te dernière comporte un arsenal de mesures répressives telles que le gouvernement a suspendu l'application des chartes québécoise et c</w:t>
      </w:r>
      <w:r w:rsidRPr="00873110">
        <w:rPr>
          <w:color w:val="000000"/>
        </w:rPr>
        <w:t>a</w:t>
      </w:r>
      <w:r w:rsidRPr="00873110">
        <w:rPr>
          <w:color w:val="000000"/>
        </w:rPr>
        <w:t>nadienne des droits et libertés de la personne pour éviter leur contest</w:t>
      </w:r>
      <w:r w:rsidRPr="00873110">
        <w:rPr>
          <w:color w:val="000000"/>
        </w:rPr>
        <w:t>a</w:t>
      </w:r>
      <w:r w:rsidRPr="00873110">
        <w:rPr>
          <w:color w:val="000000"/>
        </w:rPr>
        <w:t>tion jud</w:t>
      </w:r>
      <w:r w:rsidRPr="00873110">
        <w:rPr>
          <w:color w:val="000000"/>
        </w:rPr>
        <w:t>i</w:t>
      </w:r>
      <w:r w:rsidRPr="00873110">
        <w:rPr>
          <w:color w:val="000000"/>
        </w:rPr>
        <w:t>ciaire. En Colombie-Britannique, le gouvernement créditiste du pr</w:t>
      </w:r>
      <w:r w:rsidRPr="00873110">
        <w:rPr>
          <w:color w:val="000000"/>
        </w:rPr>
        <w:t>e</w:t>
      </w:r>
      <w:r w:rsidRPr="00873110">
        <w:rPr>
          <w:color w:val="000000"/>
        </w:rPr>
        <w:t>mier ministre Bennett fait adopter, le 25 juin 1982, la loi 28 qui impose à ses 220</w:t>
      </w:r>
      <w:r>
        <w:rPr>
          <w:color w:val="000000"/>
        </w:rPr>
        <w:t> </w:t>
      </w:r>
      <w:r w:rsidRPr="00873110">
        <w:rPr>
          <w:color w:val="000000"/>
        </w:rPr>
        <w:t>000 employés les mesures du 6</w:t>
      </w:r>
      <w:r>
        <w:rPr>
          <w:color w:val="000000"/>
        </w:rPr>
        <w:t>%</w:t>
      </w:r>
      <w:r w:rsidRPr="00873110">
        <w:rPr>
          <w:color w:val="000000"/>
        </w:rPr>
        <w:t xml:space="preserve"> et 5</w:t>
      </w:r>
      <w:r>
        <w:rPr>
          <w:color w:val="000000"/>
        </w:rPr>
        <w:t>%</w:t>
      </w:r>
      <w:r w:rsidRPr="00873110">
        <w:rPr>
          <w:color w:val="000000"/>
        </w:rPr>
        <w:t>, avec effet rétroactif au mois de février précédent. Mais un an plus tard, le 7 jui</w:t>
      </w:r>
      <w:r w:rsidRPr="00873110">
        <w:rPr>
          <w:color w:val="000000"/>
        </w:rPr>
        <w:t>l</w:t>
      </w:r>
      <w:r w:rsidRPr="00873110">
        <w:rPr>
          <w:color w:val="000000"/>
        </w:rPr>
        <w:t>let 1983, il revient à la charge dans le cadre de son budget, avec 26 pr</w:t>
      </w:r>
      <w:r w:rsidRPr="00873110">
        <w:rPr>
          <w:color w:val="000000"/>
        </w:rPr>
        <w:t>o</w:t>
      </w:r>
      <w:r w:rsidRPr="00873110">
        <w:rPr>
          <w:color w:val="000000"/>
        </w:rPr>
        <w:t>jets de lois qui seront soumis à la législature de la province au cours des mois suivants. Parmi ces projets, la loi 11 qui donne tout pouvoir au gouvernement en matière salariale, la loi 3 qui accorde aux adm</w:t>
      </w:r>
      <w:r w:rsidRPr="00873110">
        <w:rPr>
          <w:color w:val="000000"/>
        </w:rPr>
        <w:t>i</w:t>
      </w:r>
      <w:r w:rsidRPr="00873110">
        <w:rPr>
          <w:color w:val="000000"/>
        </w:rPr>
        <w:t>nistrations du secteur public le « droit » de mise à pied, ce qui abolit en pratique la sécurité d'emploi, la loi 16 qui abolit le droit de grève et de piquetage dans les entreprises désignées comme « projet de développement économique », et la loi 2 qui annule à toute fin pr</w:t>
      </w:r>
      <w:r w:rsidRPr="00873110">
        <w:rPr>
          <w:color w:val="000000"/>
        </w:rPr>
        <w:t>a</w:t>
      </w:r>
      <w:r w:rsidRPr="00873110">
        <w:rPr>
          <w:color w:val="000000"/>
        </w:rPr>
        <w:t>tique tout contrat collectif de travail pour les membres de l'Union des employés du gouvernement de Colombie-Britannique. Cette dernière l</w:t>
      </w:r>
      <w:r w:rsidRPr="00873110">
        <w:rPr>
          <w:color w:val="000000"/>
        </w:rPr>
        <w:t>é</w:t>
      </w:r>
      <w:r w:rsidRPr="00873110">
        <w:rPr>
          <w:color w:val="000000"/>
        </w:rPr>
        <w:t>gislation sera finalement retirée et les effets les plus lourds d'autres projets de loi seront partiellement atténués. Mais dans l'ensemble le coup a porté et en mars 1984 le gouvernement Bennett se réjouit d'avoir réduit de 25</w:t>
      </w:r>
      <w:r>
        <w:rPr>
          <w:color w:val="000000"/>
        </w:rPr>
        <w:t>%</w:t>
      </w:r>
      <w:r w:rsidRPr="00873110">
        <w:rPr>
          <w:color w:val="000000"/>
        </w:rPr>
        <w:t xml:space="preserve"> la taille de la fonction publique dans cette pr</w:t>
      </w:r>
      <w:r w:rsidRPr="00873110">
        <w:rPr>
          <w:color w:val="000000"/>
        </w:rPr>
        <w:t>o</w:t>
      </w:r>
      <w:r w:rsidRPr="00873110">
        <w:rPr>
          <w:color w:val="000000"/>
        </w:rPr>
        <w:t>vince. Ce véritable feu d'artifice de législations et de décrets qui, à partir du printemps 1982, touchent les relations de travail et le mo</w:t>
      </w:r>
      <w:r w:rsidRPr="00873110">
        <w:rPr>
          <w:color w:val="000000"/>
        </w:rPr>
        <w:t>u</w:t>
      </w:r>
      <w:r w:rsidRPr="00873110">
        <w:rPr>
          <w:color w:val="000000"/>
        </w:rPr>
        <w:t>vement syndical d'un bout à l'autre du Canada marque incontestabl</w:t>
      </w:r>
      <w:r w:rsidRPr="00873110">
        <w:rPr>
          <w:color w:val="000000"/>
        </w:rPr>
        <w:t>e</w:t>
      </w:r>
      <w:r w:rsidRPr="00873110">
        <w:rPr>
          <w:color w:val="000000"/>
        </w:rPr>
        <w:t>ment un changement. S'inscrivant dans un processus international, il annonce le déclenchement d'une riposte généralisée que les gouve</w:t>
      </w:r>
      <w:r w:rsidRPr="00873110">
        <w:rPr>
          <w:color w:val="000000"/>
        </w:rPr>
        <w:t>r</w:t>
      </w:r>
      <w:r w:rsidRPr="00873110">
        <w:rPr>
          <w:color w:val="000000"/>
        </w:rPr>
        <w:t>nements et le patronat ont finalement décidé d'engager après des a</w:t>
      </w:r>
      <w:r w:rsidRPr="00873110">
        <w:rPr>
          <w:color w:val="000000"/>
        </w:rPr>
        <w:t>n</w:t>
      </w:r>
      <w:r w:rsidRPr="00873110">
        <w:rPr>
          <w:color w:val="000000"/>
        </w:rPr>
        <w:t>nées de progression ininterrompue des organisations ouvrières. Dans le contexte de la récession mondiale, les gouvernements capitalistes peuvent moins qu'antérieurement intégrer à leurs politiques les concessions auxquelles ils ont été acculés par un mouvement syndical considérablement renforcé. Or, c'est largement sur ces concessions face aux revendications qu'ils appuyaient leurs appels à la collabor</w:t>
      </w:r>
      <w:r w:rsidRPr="00873110">
        <w:rPr>
          <w:color w:val="000000"/>
        </w:rPr>
        <w:t>a</w:t>
      </w:r>
      <w:r w:rsidRPr="00873110">
        <w:rPr>
          <w:color w:val="000000"/>
        </w:rPr>
        <w:t>tion. Mais désormais ce sont eux qui réclament des concessions de la part des salariés, réduisant ainsi la possibilité d'entraîner les syndicats dans la concertation. Par contre, dans la mesure où la collaboration patronale-gouvernementale-syndicale se solde par un échec, celle qui réunit l'ensemble des paliers gouvernementaux dans une même polit</w:t>
      </w:r>
      <w:r w:rsidRPr="00873110">
        <w:rPr>
          <w:color w:val="000000"/>
        </w:rPr>
        <w:t>i</w:t>
      </w:r>
      <w:r w:rsidRPr="00873110">
        <w:rPr>
          <w:color w:val="000000"/>
        </w:rPr>
        <w:t>que concertée s'avère d'autant plus nécessaire. On n'a jamais vu dans toute l'histoire canadienne du travail une telle coopération s'établir aussi spontanément, avec tant d'efficacité, pour atteindre le même but, entre les diverses instances de l'appareil étatique. À ce sujet, Panitch et Swartz notent que la fameuse aliénation de l'Ouest vis-à-vis du gouvernement Trudeau ne s'est pas appliquée à sa politique anti-syndicale. Et de même au Québec, si les prétentions nationalistes du gouvernement péquiste l'ont amené à mettre en œuvre un plan de contrôle</w:t>
      </w:r>
      <w:r>
        <w:rPr>
          <w:color w:val="000000"/>
        </w:rPr>
        <w:t xml:space="preserve"> </w:t>
      </w:r>
      <w:r>
        <w:t>[</w:t>
      </w:r>
      <w:r w:rsidRPr="00873110">
        <w:rPr>
          <w:color w:val="000000"/>
          <w:szCs w:val="18"/>
        </w:rPr>
        <w:t>276</w:t>
      </w:r>
      <w:r>
        <w:rPr>
          <w:color w:val="000000"/>
          <w:szCs w:val="18"/>
        </w:rPr>
        <w:t xml:space="preserve">] </w:t>
      </w:r>
      <w:r w:rsidRPr="00873110">
        <w:rPr>
          <w:color w:val="000000"/>
          <w:szCs w:val="22"/>
        </w:rPr>
        <w:t>« distinct » de celui du fédéral, son offensive face au mouvement sy</w:t>
      </w:r>
      <w:r w:rsidRPr="00873110">
        <w:rPr>
          <w:color w:val="000000"/>
          <w:szCs w:val="22"/>
        </w:rPr>
        <w:t>n</w:t>
      </w:r>
      <w:r w:rsidRPr="00873110">
        <w:rPr>
          <w:color w:val="000000"/>
          <w:szCs w:val="22"/>
        </w:rPr>
        <w:t>dical aura néanmoins démontré l'unité essentielle de l'État can</w:t>
      </w:r>
      <w:r w:rsidRPr="00873110">
        <w:rPr>
          <w:color w:val="000000"/>
          <w:szCs w:val="22"/>
        </w:rPr>
        <w:t>a</w:t>
      </w:r>
      <w:r w:rsidRPr="00873110">
        <w:rPr>
          <w:color w:val="000000"/>
          <w:szCs w:val="22"/>
        </w:rPr>
        <w:t>dien</w:t>
      </w:r>
      <w:r>
        <w:rPr>
          <w:color w:val="000000"/>
          <w:szCs w:val="22"/>
        </w:rPr>
        <w:t> </w:t>
      </w:r>
      <w:r w:rsidRPr="002A1EB4">
        <w:rPr>
          <w:rStyle w:val="Appelnotedebasdep"/>
        </w:rPr>
        <w:footnoteReference w:id="482"/>
      </w:r>
      <w:r w:rsidRPr="00873110">
        <w:rPr>
          <w:color w:val="000000"/>
          <w:szCs w:val="22"/>
        </w:rPr>
        <w:t>.</w:t>
      </w:r>
    </w:p>
    <w:p w:rsidR="00AD690E" w:rsidRPr="00873110" w:rsidRDefault="00AD690E" w:rsidP="00AD690E">
      <w:pPr>
        <w:spacing w:before="120" w:after="120"/>
        <w:jc w:val="both"/>
      </w:pPr>
      <w:r w:rsidRPr="00873110">
        <w:rPr>
          <w:color w:val="000000"/>
          <w:szCs w:val="22"/>
        </w:rPr>
        <w:t>À la fin de 1983, le gouvernement Trudeau souligne à sa façon ce nouveau partage fédéral-provincial des tâches en se réjouissant de ce que le programme des 6 et 5</w:t>
      </w:r>
      <w:r>
        <w:rPr>
          <w:color w:val="000000"/>
          <w:szCs w:val="22"/>
        </w:rPr>
        <w:t>%</w:t>
      </w:r>
      <w:r w:rsidRPr="00873110">
        <w:rPr>
          <w:color w:val="000000"/>
          <w:szCs w:val="22"/>
        </w:rPr>
        <w:t xml:space="preserve"> ait donné « le coup d'envoi à une ca</w:t>
      </w:r>
      <w:r w:rsidRPr="00873110">
        <w:rPr>
          <w:color w:val="000000"/>
          <w:szCs w:val="22"/>
        </w:rPr>
        <w:t>m</w:t>
      </w:r>
      <w:r w:rsidRPr="00873110">
        <w:rPr>
          <w:color w:val="000000"/>
          <w:szCs w:val="22"/>
        </w:rPr>
        <w:t>pagne nationale de coopération qui nous a permis de réduire notre taux d'inflation de moitié »</w:t>
      </w:r>
      <w:r>
        <w:rPr>
          <w:color w:val="000000"/>
          <w:szCs w:val="22"/>
        </w:rPr>
        <w:t> </w:t>
      </w:r>
      <w:r w:rsidRPr="002A1EB4">
        <w:rPr>
          <w:rStyle w:val="Appelnotedebasdep"/>
        </w:rPr>
        <w:footnoteReference w:id="483"/>
      </w:r>
      <w:r w:rsidRPr="00873110">
        <w:rPr>
          <w:color w:val="000000"/>
          <w:szCs w:val="22"/>
        </w:rPr>
        <w:t>. Moins d'un an le sépare toutefois d'une écrasante défaite aux mains du Parti conservateur, qui remportera la victoire aux élections du 4 septembre 1984 en obtenant la plus grande majorité de l'histoire de la Chambre des Communes. Pourtant ce n'est pas en se félicitant du caractère coercitif de ses politiques de contrôles que le gouvernement Trudeau achève son mandat. Au contraire, à la lecture du Discours du Trône du 7 décembre 1983, on a plutôt l'i</w:t>
      </w:r>
      <w:r w:rsidRPr="00873110">
        <w:rPr>
          <w:color w:val="000000"/>
          <w:szCs w:val="22"/>
        </w:rPr>
        <w:t>m</w:t>
      </w:r>
      <w:r w:rsidRPr="00873110">
        <w:rPr>
          <w:color w:val="000000"/>
          <w:szCs w:val="22"/>
        </w:rPr>
        <w:t>pression qu'il cherche à rompre avec ces politiques ou plutôt avec les méthodes qui les ont soutenues et qui étaient fondées sur la contrainte et la répression.</w:t>
      </w:r>
    </w:p>
    <w:p w:rsidR="00AD690E" w:rsidRPr="00873110" w:rsidRDefault="00AD690E" w:rsidP="00AD690E">
      <w:pPr>
        <w:spacing w:before="120" w:after="120"/>
        <w:jc w:val="both"/>
      </w:pPr>
      <w:r w:rsidRPr="00873110">
        <w:rPr>
          <w:color w:val="000000"/>
          <w:szCs w:val="22"/>
        </w:rPr>
        <w:t xml:space="preserve">Ce n'est rien de moins qu'une « nouvelle alliance » entre le monde des affaires, les syndicats, le gouvernement et d'autres groupes que propose le Cabinet afin de « garantir la prospérité » et de bâtir un meilleur avenir pour tous les Canadiens. Jamais en 21 ans de pouvoir du Parti libéral son plaidoyer a été aussi fort en faveur du consensus et de la concertation. Nous sommes pourtant en plein </w:t>
      </w:r>
      <w:r>
        <w:rPr>
          <w:color w:val="000000"/>
          <w:szCs w:val="22"/>
        </w:rPr>
        <w:t>cœur</w:t>
      </w:r>
      <w:r w:rsidRPr="00873110">
        <w:rPr>
          <w:color w:val="000000"/>
          <w:szCs w:val="22"/>
        </w:rPr>
        <w:t xml:space="preserve"> des contrôles du 6 et 5</w:t>
      </w:r>
      <w:r>
        <w:rPr>
          <w:color w:val="000000"/>
          <w:szCs w:val="22"/>
        </w:rPr>
        <w:t>%</w:t>
      </w:r>
      <w:r w:rsidRPr="00873110">
        <w:rPr>
          <w:color w:val="000000"/>
          <w:szCs w:val="22"/>
        </w:rPr>
        <w:t>. Or, c'est la collaboration entre les trois partenaires qui est au coeur même de la politique fédérale de développement industriel, proclame-t-il. C'est dans cette optique que des groupes de travail se</w:t>
      </w:r>
      <w:r w:rsidRPr="00873110">
        <w:rPr>
          <w:color w:val="000000"/>
          <w:szCs w:val="22"/>
        </w:rPr>
        <w:t>c</w:t>
      </w:r>
      <w:r w:rsidRPr="00873110">
        <w:rPr>
          <w:color w:val="000000"/>
          <w:szCs w:val="22"/>
        </w:rPr>
        <w:t>toriels réunissant patrons et syndicalistes ont commencé à étudier la situation dans les industries automobile, aérospatiale et forestière.</w:t>
      </w:r>
    </w:p>
    <w:p w:rsidR="00AD690E" w:rsidRPr="00873110" w:rsidRDefault="00AD690E" w:rsidP="00AD690E">
      <w:pPr>
        <w:spacing w:before="120" w:after="120"/>
        <w:jc w:val="both"/>
      </w:pPr>
      <w:r w:rsidRPr="00873110">
        <w:rPr>
          <w:color w:val="000000"/>
          <w:szCs w:val="22"/>
        </w:rPr>
        <w:t>Mais il faut faire davantage et pour y arriver le gouvernement « se propose d'instaurer des mécanismes de consultation plus perm</w:t>
      </w:r>
      <w:r w:rsidRPr="00873110">
        <w:rPr>
          <w:color w:val="000000"/>
          <w:szCs w:val="22"/>
        </w:rPr>
        <w:t>a</w:t>
      </w:r>
      <w:r w:rsidRPr="00873110">
        <w:rPr>
          <w:color w:val="000000"/>
          <w:szCs w:val="22"/>
        </w:rPr>
        <w:t>nents », comme la mise sur pied d'un nouveau centre pour l'accroi</w:t>
      </w:r>
      <w:r w:rsidRPr="00873110">
        <w:rPr>
          <w:color w:val="000000"/>
          <w:szCs w:val="22"/>
        </w:rPr>
        <w:t>s</w:t>
      </w:r>
      <w:r w:rsidRPr="00873110">
        <w:rPr>
          <w:color w:val="000000"/>
          <w:szCs w:val="22"/>
        </w:rPr>
        <w:t>sement de la productivité et de l'emploi. Des représentants syndicaux seront invités à siéger aux conseils d'administration de certaines soci</w:t>
      </w:r>
      <w:r w:rsidRPr="00873110">
        <w:rPr>
          <w:color w:val="000000"/>
          <w:szCs w:val="22"/>
        </w:rPr>
        <w:t>é</w:t>
      </w:r>
      <w:r w:rsidRPr="00873110">
        <w:rPr>
          <w:color w:val="000000"/>
          <w:szCs w:val="22"/>
        </w:rPr>
        <w:t>tés de la Couronne. De toute évidence, le discours s'adresse princip</w:t>
      </w:r>
      <w:r w:rsidRPr="00873110">
        <w:rPr>
          <w:color w:val="000000"/>
          <w:szCs w:val="22"/>
        </w:rPr>
        <w:t>a</w:t>
      </w:r>
      <w:r w:rsidRPr="00873110">
        <w:rPr>
          <w:color w:val="000000"/>
          <w:szCs w:val="22"/>
        </w:rPr>
        <w:t>lement aux syndicats et il est frappant de voir que le gouvernement entend désormais s'inspirer de nouveaux modèles de gestion de la fo</w:t>
      </w:r>
      <w:r w:rsidRPr="00873110">
        <w:rPr>
          <w:color w:val="000000"/>
          <w:szCs w:val="22"/>
        </w:rPr>
        <w:t>r</w:t>
      </w:r>
      <w:r w:rsidRPr="00873110">
        <w:rPr>
          <w:color w:val="000000"/>
          <w:szCs w:val="22"/>
        </w:rPr>
        <w:t>ce de travail qu</w:t>
      </w:r>
      <w:r>
        <w:rPr>
          <w:color w:val="000000"/>
          <w:szCs w:val="22"/>
        </w:rPr>
        <w:t>i semblent s'</w:t>
      </w:r>
      <w:r w:rsidRPr="00873110">
        <w:rPr>
          <w:color w:val="000000"/>
          <w:szCs w:val="22"/>
        </w:rPr>
        <w:t>avérer beaucoup plus efficaces que la coercition-répression.</w:t>
      </w:r>
    </w:p>
    <w:p w:rsidR="00AD690E" w:rsidRDefault="00AD690E" w:rsidP="00AD690E">
      <w:pPr>
        <w:pStyle w:val="Grillecouleur-Accent1"/>
      </w:pPr>
    </w:p>
    <w:p w:rsidR="00AD690E" w:rsidRDefault="00AD690E" w:rsidP="00AD690E">
      <w:pPr>
        <w:pStyle w:val="Grillecouleur-Accent1"/>
        <w:rPr>
          <w:i/>
        </w:rPr>
      </w:pPr>
      <w:r w:rsidRPr="00D7614C">
        <w:t>L'expérience de l'Amérique du Nord, de l'Europe et du Japon démontre que l'accroissement de la productivité est affaire de coopération, et non de coercition pour soutir</w:t>
      </w:r>
      <w:r w:rsidRPr="00122C1F">
        <w:t>e</w:t>
      </w:r>
      <w:r w:rsidRPr="00D7614C">
        <w:t>r plus de travail à moindre salaire. L'accroissement de la productivité ne peut être le fruit que d'une gestion progressiste, so</w:t>
      </w:r>
      <w:r w:rsidRPr="00D7614C">
        <w:t>u</w:t>
      </w:r>
      <w:r w:rsidRPr="00D7614C">
        <w:t>tenue par des techniques novatrices et le bon moral des employés. [...] Le présent</w:t>
      </w:r>
      <w:r>
        <w:t xml:space="preserve"> [277] </w:t>
      </w:r>
      <w:r w:rsidRPr="00D7614C">
        <w:rPr>
          <w:szCs w:val="24"/>
        </w:rPr>
        <w:t>gouvernement est d'avis que le respect et le renforcement des droits des travailleurs est parfaitement compatible avec l'accroiss</w:t>
      </w:r>
      <w:r w:rsidRPr="00D7614C">
        <w:rPr>
          <w:szCs w:val="24"/>
        </w:rPr>
        <w:t>e</w:t>
      </w:r>
      <w:r w:rsidRPr="00D7614C">
        <w:rPr>
          <w:szCs w:val="24"/>
        </w:rPr>
        <w:t>ment de la productivité, et que l'un ne va pas sans l'autre. [...] Les synd</w:t>
      </w:r>
      <w:r w:rsidRPr="00D7614C">
        <w:rPr>
          <w:szCs w:val="24"/>
        </w:rPr>
        <w:t>i</w:t>
      </w:r>
      <w:r w:rsidRPr="00D7614C">
        <w:rPr>
          <w:szCs w:val="24"/>
        </w:rPr>
        <w:t>cats ont été et devraient demeurer des partenaires de plein droit dans le processus de la reprise éc</w:t>
      </w:r>
      <w:r w:rsidRPr="00D7614C">
        <w:rPr>
          <w:szCs w:val="24"/>
        </w:rPr>
        <w:t>o</w:t>
      </w:r>
      <w:r w:rsidRPr="00D7614C">
        <w:rPr>
          <w:szCs w:val="24"/>
        </w:rPr>
        <w:t>nomique</w:t>
      </w:r>
      <w:r>
        <w:rPr>
          <w:szCs w:val="24"/>
        </w:rPr>
        <w:t> </w:t>
      </w:r>
      <w:r w:rsidRPr="002A1EB4">
        <w:rPr>
          <w:rStyle w:val="Appelnotedebasdep"/>
          <w:szCs w:val="24"/>
        </w:rPr>
        <w:footnoteReference w:id="484"/>
      </w:r>
      <w:r w:rsidRPr="00D7614C">
        <w:rPr>
          <w:szCs w:val="24"/>
        </w:rPr>
        <w:t>.</w:t>
      </w:r>
    </w:p>
    <w:p w:rsidR="00AD690E" w:rsidRPr="000217F5" w:rsidRDefault="00AD690E" w:rsidP="00AD690E">
      <w:pPr>
        <w:pStyle w:val="Grillecouleur-Accent1"/>
        <w:rPr>
          <w:i/>
        </w:rPr>
      </w:pPr>
      <w:r>
        <w:rPr>
          <w:i/>
        </w:rPr>
        <w:br w:type="page"/>
      </w:r>
    </w:p>
    <w:p w:rsidR="00AD690E" w:rsidRPr="00873110" w:rsidRDefault="00AD690E" w:rsidP="00AD690E">
      <w:pPr>
        <w:spacing w:before="120" w:after="120"/>
        <w:jc w:val="both"/>
      </w:pPr>
      <w:r>
        <w:rPr>
          <w:color w:val="000000"/>
          <w:szCs w:val="22"/>
        </w:rPr>
        <w:t>En regard de tout ce qu'</w:t>
      </w:r>
      <w:r w:rsidRPr="00873110">
        <w:rPr>
          <w:color w:val="000000"/>
          <w:szCs w:val="22"/>
        </w:rPr>
        <w:t>a été la politique gouvernementale en m</w:t>
      </w:r>
      <w:r w:rsidRPr="00873110">
        <w:rPr>
          <w:color w:val="000000"/>
          <w:szCs w:val="22"/>
        </w:rPr>
        <w:t>a</w:t>
      </w:r>
      <w:r w:rsidRPr="00873110">
        <w:rPr>
          <w:color w:val="000000"/>
          <w:szCs w:val="22"/>
        </w:rPr>
        <w:t>tière de relations de travail depuis au moins 1975, pareil appel pourrait avoir 1' allure d'un extraordinaire désaveu de cette politique même, ou encore celle d'une simple incantation ayant d'abord pour fonction d'exorciser les démons de la répression. Mais en fait, il dessine effe</w:t>
      </w:r>
      <w:r w:rsidRPr="00873110">
        <w:rPr>
          <w:color w:val="000000"/>
          <w:szCs w:val="22"/>
        </w:rPr>
        <w:t>c</w:t>
      </w:r>
      <w:r w:rsidRPr="00873110">
        <w:rPr>
          <w:color w:val="000000"/>
          <w:szCs w:val="22"/>
        </w:rPr>
        <w:t>tivement une nouvelle approche et non pas la simple réédition du di</w:t>
      </w:r>
      <w:r w:rsidRPr="00873110">
        <w:rPr>
          <w:color w:val="000000"/>
          <w:szCs w:val="22"/>
        </w:rPr>
        <w:t>s</w:t>
      </w:r>
      <w:r w:rsidRPr="00873110">
        <w:rPr>
          <w:color w:val="000000"/>
          <w:szCs w:val="22"/>
        </w:rPr>
        <w:t>cours antérieur de la concertation. Parallèlement aux programmes qui ont imposé des restrictions et des concessions, des méthodes différe</w:t>
      </w:r>
      <w:r w:rsidRPr="00873110">
        <w:rPr>
          <w:color w:val="000000"/>
          <w:szCs w:val="22"/>
        </w:rPr>
        <w:t>n</w:t>
      </w:r>
      <w:r w:rsidRPr="00873110">
        <w:rPr>
          <w:color w:val="000000"/>
          <w:szCs w:val="22"/>
        </w:rPr>
        <w:t>tes, mises en œuvre notamment au Japon depuis plusieurs années, ont commencé à s'imposer sur la scène internationale où elles font de plus en plus d'adeptes dans les entreprises et les ministères. Par divers moyens, comme les cercles de qualité de vie au travail, les comités d'entreprise, la participation des travailleurs aux profits ou l'achat d'a</w:t>
      </w:r>
      <w:r w:rsidRPr="00873110">
        <w:rPr>
          <w:color w:val="000000"/>
          <w:szCs w:val="22"/>
        </w:rPr>
        <w:t>c</w:t>
      </w:r>
      <w:r w:rsidRPr="00873110">
        <w:rPr>
          <w:color w:val="000000"/>
          <w:szCs w:val="22"/>
        </w:rPr>
        <w:t>tions, ces méthodes visent essentiellement à renforcer l'intégration des salariés à l'entreprise. John Munro s'en est fait le promoteur en 1977. Elles ne remplacent pas les recours législatifs qui vont tendre à réduire les droits syndicaux et le champ des négociations collectives, mais elles misent davantage sur l'intégration des travailleurs au milieu de travail plutôt qu'uniquement sur la concertation au sommet entre grands « partenaires » sociaux. C'est cette orientation que commence à privilégier le gouvernement. Si les objectifs politiques demeurent les mêmes que dans la période antérieure, la méthode axée sur l'intégr</w:t>
      </w:r>
      <w:r w:rsidRPr="00873110">
        <w:rPr>
          <w:color w:val="000000"/>
          <w:szCs w:val="22"/>
        </w:rPr>
        <w:t>a</w:t>
      </w:r>
      <w:r w:rsidRPr="00873110">
        <w:rPr>
          <w:color w:val="000000"/>
          <w:szCs w:val="22"/>
        </w:rPr>
        <w:t>tion à l'entreprise vient s'ajouter à la coercition et aux tentatives de concertation qui ont été jusqu'alors les deux armes privilégiées de l'i</w:t>
      </w:r>
      <w:r w:rsidRPr="00873110">
        <w:rPr>
          <w:color w:val="000000"/>
          <w:szCs w:val="22"/>
        </w:rPr>
        <w:t>n</w:t>
      </w:r>
      <w:r w:rsidRPr="00873110">
        <w:rPr>
          <w:color w:val="000000"/>
          <w:szCs w:val="22"/>
        </w:rPr>
        <w:t>tervention gouvernementale.</w:t>
      </w:r>
    </w:p>
    <w:p w:rsidR="00AD690E" w:rsidRDefault="00AD690E" w:rsidP="00AD690E">
      <w:pPr>
        <w:spacing w:before="120" w:after="120"/>
        <w:jc w:val="both"/>
        <w:rPr>
          <w:color w:val="000000"/>
          <w:szCs w:val="22"/>
        </w:rPr>
      </w:pPr>
      <w:r w:rsidRPr="00873110">
        <w:rPr>
          <w:color w:val="000000"/>
          <w:szCs w:val="22"/>
        </w:rPr>
        <w:t>Les contrôles du 6 et 5</w:t>
      </w:r>
      <w:r>
        <w:rPr>
          <w:color w:val="000000"/>
          <w:szCs w:val="22"/>
        </w:rPr>
        <w:t>%</w:t>
      </w:r>
      <w:r w:rsidRPr="00873110">
        <w:rPr>
          <w:color w:val="000000"/>
          <w:szCs w:val="22"/>
        </w:rPr>
        <w:t xml:space="preserve"> demeureront en vigueur jusqu'à la veille de la défaite libérale, comme incarnation de la pratique politique du gouvernement Trudeau, et le discours de la « nouvelle alliance » du capital et du travail restera quant à lui, un peu comme le testament idéologique de ce gouvernement.</w:t>
      </w:r>
    </w:p>
    <w:p w:rsidR="00AD690E" w:rsidRPr="00873110" w:rsidRDefault="00AD690E" w:rsidP="00AD690E">
      <w:pPr>
        <w:spacing w:before="120" w:after="120"/>
        <w:jc w:val="both"/>
      </w:pPr>
      <w:r>
        <w:br w:type="page"/>
      </w:r>
    </w:p>
    <w:p w:rsidR="00AD690E" w:rsidRDefault="00AD690E" w:rsidP="00AD690E">
      <w:pPr>
        <w:pStyle w:val="planche"/>
      </w:pPr>
      <w:r w:rsidRPr="00873110">
        <w:t>ENTRE LA MOBILISATION</w:t>
      </w:r>
      <w:r>
        <w:br/>
      </w:r>
      <w:r w:rsidRPr="00873110">
        <w:t>ET LE TRIPARTI</w:t>
      </w:r>
      <w:r w:rsidRPr="00873110">
        <w:t>S</w:t>
      </w:r>
      <w:r w:rsidRPr="00873110">
        <w:t>ME</w:t>
      </w:r>
    </w:p>
    <w:p w:rsidR="00AD690E" w:rsidRPr="00873110" w:rsidRDefault="00AD690E" w:rsidP="00AD690E">
      <w:pPr>
        <w:spacing w:before="120" w:after="120"/>
        <w:jc w:val="both"/>
      </w:pPr>
    </w:p>
    <w:p w:rsidR="00AD690E" w:rsidRPr="00873110" w:rsidRDefault="00AD690E" w:rsidP="00AD690E">
      <w:pPr>
        <w:spacing w:before="120" w:after="120"/>
        <w:jc w:val="both"/>
      </w:pPr>
      <w:r w:rsidRPr="00873110">
        <w:rPr>
          <w:color w:val="000000"/>
          <w:szCs w:val="22"/>
        </w:rPr>
        <w:t>Il nous faut analyser maintenant les caractéristiques et l'évolution de l'orientation du mouvement syndical pendant les années qui vont de 1975 à 1984. Notre étude porte ici principalement sur le CTC, la ce</w:t>
      </w:r>
      <w:r w:rsidRPr="00873110">
        <w:rPr>
          <w:color w:val="000000"/>
          <w:szCs w:val="22"/>
        </w:rPr>
        <w:t>n</w:t>
      </w:r>
      <w:r w:rsidRPr="00873110">
        <w:rPr>
          <w:color w:val="000000"/>
          <w:szCs w:val="22"/>
        </w:rPr>
        <w:t>trale syndicale qui regroupe le plus grand nombre de travailleurs au Canada.</w:t>
      </w:r>
    </w:p>
    <w:p w:rsidR="00AD690E" w:rsidRPr="00873110" w:rsidRDefault="00AD690E" w:rsidP="00AD690E">
      <w:pPr>
        <w:spacing w:before="120" w:after="120"/>
        <w:jc w:val="both"/>
      </w:pPr>
      <w:r w:rsidRPr="00873110">
        <w:rPr>
          <w:color w:val="000000"/>
          <w:szCs w:val="22"/>
        </w:rPr>
        <w:t>Le 14 octobre 1976, un million de travailleurs et de travailleuses débrayaient d'un bout à l'autre du Canada à l'appel du CTC, pour r</w:t>
      </w:r>
      <w:r w:rsidRPr="00873110">
        <w:rPr>
          <w:color w:val="000000"/>
          <w:szCs w:val="22"/>
        </w:rPr>
        <w:t>é</w:t>
      </w:r>
      <w:r w:rsidRPr="00873110">
        <w:rPr>
          <w:color w:val="000000"/>
          <w:szCs w:val="22"/>
        </w:rPr>
        <w:t>clamer la fin</w:t>
      </w:r>
      <w:r>
        <w:rPr>
          <w:color w:val="000000"/>
          <w:szCs w:val="22"/>
        </w:rPr>
        <w:t xml:space="preserve"> </w:t>
      </w:r>
      <w:r>
        <w:t>[</w:t>
      </w:r>
      <w:r w:rsidRPr="00873110">
        <w:rPr>
          <w:color w:val="000000"/>
          <w:szCs w:val="18"/>
        </w:rPr>
        <w:t>278</w:t>
      </w:r>
      <w:r>
        <w:rPr>
          <w:color w:val="000000"/>
          <w:szCs w:val="18"/>
        </w:rPr>
        <w:t xml:space="preserve">] </w:t>
      </w:r>
      <w:r w:rsidRPr="00873110">
        <w:rPr>
          <w:color w:val="000000"/>
        </w:rPr>
        <w:t>du programme de lutte anti-inflation promulgué un an plus tôt par le gouvernement Trudeau</w:t>
      </w:r>
      <w:r>
        <w:rPr>
          <w:color w:val="000000"/>
        </w:rPr>
        <w:t> </w:t>
      </w:r>
      <w:r w:rsidRPr="002A1EB4">
        <w:rPr>
          <w:rStyle w:val="Appelnotedebasdep"/>
        </w:rPr>
        <w:footnoteReference w:id="485"/>
      </w:r>
      <w:r w:rsidRPr="00873110">
        <w:rPr>
          <w:color w:val="000000"/>
        </w:rPr>
        <w:t>. Cette « journée nationale de protestation » à laquelle les dirigeants du Congrès du travail avaient voulu associer les non syndiqués, les chômeurs et les ét</w:t>
      </w:r>
      <w:r w:rsidRPr="00873110">
        <w:rPr>
          <w:color w:val="000000"/>
        </w:rPr>
        <w:t>u</w:t>
      </w:r>
      <w:r w:rsidRPr="00873110">
        <w:rPr>
          <w:color w:val="000000"/>
        </w:rPr>
        <w:t>diants, avait une portée hi</w:t>
      </w:r>
      <w:r w:rsidRPr="00873110">
        <w:rPr>
          <w:color w:val="000000"/>
        </w:rPr>
        <w:t>s</w:t>
      </w:r>
      <w:r w:rsidRPr="00873110">
        <w:rPr>
          <w:color w:val="000000"/>
        </w:rPr>
        <w:t>torique et politique indéniable : c'était la première fois dans l'histoire du mouvement ouvrier de ce pays que des centaines de milliers de s</w:t>
      </w:r>
      <w:r w:rsidRPr="00873110">
        <w:rPr>
          <w:color w:val="000000"/>
        </w:rPr>
        <w:t>a</w:t>
      </w:r>
      <w:r w:rsidRPr="00873110">
        <w:rPr>
          <w:color w:val="000000"/>
        </w:rPr>
        <w:t>lariés cessaient le travail simultanément à l'appel de leurs organis</w:t>
      </w:r>
      <w:r w:rsidRPr="00873110">
        <w:rPr>
          <w:color w:val="000000"/>
        </w:rPr>
        <w:t>a</w:t>
      </w:r>
      <w:r w:rsidRPr="00873110">
        <w:rPr>
          <w:color w:val="000000"/>
        </w:rPr>
        <w:t>tions, et le 14 octobre était sous cette forme la première grève génér</w:t>
      </w:r>
      <w:r w:rsidRPr="00873110">
        <w:rPr>
          <w:color w:val="000000"/>
        </w:rPr>
        <w:t>a</w:t>
      </w:r>
      <w:r w:rsidRPr="00873110">
        <w:rPr>
          <w:color w:val="000000"/>
        </w:rPr>
        <w:t>le pancanadienne. C'était aussi la première fois qu'un débrayage d'une telle envergure rassemblait dans l'action autant de travailleurs sur un enjeu dépassant le cadre immédiat des négoci</w:t>
      </w:r>
      <w:r w:rsidRPr="00873110">
        <w:rPr>
          <w:color w:val="000000"/>
        </w:rPr>
        <w:t>a</w:t>
      </w:r>
      <w:r w:rsidRPr="00873110">
        <w:rPr>
          <w:color w:val="000000"/>
        </w:rPr>
        <w:t>tions reliées au reno</w:t>
      </w:r>
      <w:r w:rsidRPr="00873110">
        <w:rPr>
          <w:color w:val="000000"/>
        </w:rPr>
        <w:t>u</w:t>
      </w:r>
      <w:r w:rsidRPr="00873110">
        <w:rPr>
          <w:color w:val="000000"/>
        </w:rPr>
        <w:t>vellement des conventions collectives. C'était enfin la première fois que le mouvement syndical canadien éprouvait sa force et sa capacité de mobilisation non plus seulement face à des patrons particuliers, non plus seulement face à des gouvernements provinciaux, mais face à l'État central.</w:t>
      </w:r>
    </w:p>
    <w:p w:rsidR="00AD690E" w:rsidRPr="00873110" w:rsidRDefault="00AD690E" w:rsidP="00AD690E">
      <w:pPr>
        <w:spacing w:before="120" w:after="120"/>
        <w:jc w:val="both"/>
      </w:pPr>
      <w:r w:rsidRPr="00873110">
        <w:rPr>
          <w:color w:val="000000"/>
        </w:rPr>
        <w:t>Cette grève marque le plus haut moment de mobilisation du mo</w:t>
      </w:r>
      <w:r w:rsidRPr="00873110">
        <w:rPr>
          <w:color w:val="000000"/>
        </w:rPr>
        <w:t>u</w:t>
      </w:r>
      <w:r w:rsidRPr="00873110">
        <w:rPr>
          <w:color w:val="000000"/>
        </w:rPr>
        <w:t>vement syndical dans la période que nous étudions. Elle symbolise de manière concentrée la nouvelle force du syndicalisme dont nous avons souligné les traits en première partie, et le nouveau rapport de force qui en découle face à l'État et au patronat.</w:t>
      </w:r>
    </w:p>
    <w:p w:rsidR="00AD690E" w:rsidRPr="00873110" w:rsidRDefault="00AD690E" w:rsidP="00AD690E">
      <w:pPr>
        <w:spacing w:before="120" w:after="120"/>
        <w:jc w:val="both"/>
      </w:pPr>
      <w:r w:rsidRPr="00873110">
        <w:rPr>
          <w:color w:val="000000"/>
        </w:rPr>
        <w:t>Dans cette période, d'autres actions qui participent du même pr</w:t>
      </w:r>
      <w:r w:rsidRPr="00873110">
        <w:rPr>
          <w:color w:val="000000"/>
        </w:rPr>
        <w:t>o</w:t>
      </w:r>
      <w:r w:rsidRPr="00873110">
        <w:rPr>
          <w:color w:val="000000"/>
        </w:rPr>
        <w:t>cessus de renforcement des luttes et des mobilisations doivent être soulignées. Le 22 mars 1976, toujours à l'appel du CTC, quelque 30 mille manifestants étaient rassemblés devant le Parlement d'Ottawa dans une manifestation pancanadienne marquant le rejet des contrôles et des restrictions salariales. Mais l'autre grande manifestation de ma</w:t>
      </w:r>
      <w:r w:rsidRPr="00873110">
        <w:rPr>
          <w:color w:val="000000"/>
        </w:rPr>
        <w:t>s</w:t>
      </w:r>
      <w:r w:rsidRPr="00873110">
        <w:rPr>
          <w:color w:val="000000"/>
        </w:rPr>
        <w:t>se, considérée comme la plus importante de toute l'histoire, sera celle du 21 novembre 1981, réunissant dans la capitale fédérale cent mille manifestants venus de toutes les régions du pays pour dénoncer la p</w:t>
      </w:r>
      <w:r w:rsidRPr="00873110">
        <w:rPr>
          <w:color w:val="000000"/>
        </w:rPr>
        <w:t>o</w:t>
      </w:r>
      <w:r w:rsidRPr="00873110">
        <w:rPr>
          <w:color w:val="000000"/>
        </w:rPr>
        <w:t>litique libérale des taux d'intérêts. Formée à l'initiative du CTC, la Coalition contre les taux d'intérêts, qui a organisé cette manifestation, a regroupé plus de 25 organisations de différents secteurs, qu'il s'agi</w:t>
      </w:r>
      <w:r w:rsidRPr="00873110">
        <w:rPr>
          <w:color w:val="000000"/>
        </w:rPr>
        <w:t>s</w:t>
      </w:r>
      <w:r w:rsidRPr="00873110">
        <w:rPr>
          <w:color w:val="000000"/>
        </w:rPr>
        <w:t>se des travailleurs, des cultivateurs, des coopératives, des étudiants, des peuples autochtones ou des représentants des églises, et elle confirme le rôle de levier essentiel de la mobilisation populaire que le mouvement syndical est désormais capable de jouer au niveau fédéral.</w:t>
      </w:r>
    </w:p>
    <w:p w:rsidR="00AD690E" w:rsidRPr="00873110" w:rsidRDefault="00AD690E" w:rsidP="00AD690E">
      <w:pPr>
        <w:spacing w:before="120" w:after="120"/>
        <w:jc w:val="both"/>
      </w:pPr>
      <w:r>
        <w:rPr>
          <w:color w:val="000000"/>
        </w:rPr>
        <w:t>À</w:t>
      </w:r>
      <w:r w:rsidRPr="00873110">
        <w:rPr>
          <w:color w:val="000000"/>
        </w:rPr>
        <w:t xml:space="preserve"> ces actions, il faudrait en ajouter bien d'autres qui, bien qu'ayant un point d'ancrage provincial ou sectoriel, ont eu une portée générale et contribué de manière décisive à donner la mesure de la nouvelle force organisée du travail : il faut noter, par exemple, la Coalition s</w:t>
      </w:r>
      <w:r w:rsidRPr="00873110">
        <w:rPr>
          <w:color w:val="000000"/>
        </w:rPr>
        <w:t>o</w:t>
      </w:r>
      <w:r w:rsidRPr="00873110">
        <w:rPr>
          <w:color w:val="000000"/>
        </w:rPr>
        <w:t>lidarité, qui s'est formée en Colombie-Britannique pendant l'année 1983 pour lutter contre l'ensemble des projets de loi proposés par le gouvernement Bennett. Constituée à partir de la Fédération du travail d</w:t>
      </w:r>
      <w:r>
        <w:rPr>
          <w:color w:val="000000"/>
        </w:rPr>
        <w:t>e</w:t>
      </w:r>
      <w:r w:rsidRPr="00873110">
        <w:rPr>
          <w:color w:val="000000"/>
        </w:rPr>
        <w:t xml:space="preserve"> cette province, la Coalition solidarité a regroupé non seulement tous</w:t>
      </w:r>
      <w:r>
        <w:rPr>
          <w:color w:val="000000"/>
        </w:rPr>
        <w:t xml:space="preserve"> </w:t>
      </w:r>
      <w:r>
        <w:t xml:space="preserve">[279] </w:t>
      </w:r>
      <w:r w:rsidRPr="00873110">
        <w:rPr>
          <w:color w:val="000000"/>
        </w:rPr>
        <w:t>les syndicats, mais aussi toutes les organisations, groupes et comités populaires, mouvements de femmes, déjeunes, regroupements de locataires, etc. Dans cette seule province, ce sont 100</w:t>
      </w:r>
      <w:r>
        <w:rPr>
          <w:color w:val="000000"/>
        </w:rPr>
        <w:t> </w:t>
      </w:r>
      <w:r w:rsidRPr="00873110">
        <w:rPr>
          <w:color w:val="000000"/>
        </w:rPr>
        <w:t>000 perso</w:t>
      </w:r>
      <w:r w:rsidRPr="00873110">
        <w:rPr>
          <w:color w:val="000000"/>
        </w:rPr>
        <w:t>n</w:t>
      </w:r>
      <w:r w:rsidRPr="00873110">
        <w:rPr>
          <w:color w:val="000000"/>
        </w:rPr>
        <w:t>nes qui manifestaient sous la bannière d'Opération solidarité le 7 jui</w:t>
      </w:r>
      <w:r w:rsidRPr="00873110">
        <w:rPr>
          <w:color w:val="000000"/>
        </w:rPr>
        <w:t>l</w:t>
      </w:r>
      <w:r w:rsidRPr="00873110">
        <w:rPr>
          <w:color w:val="000000"/>
        </w:rPr>
        <w:t>let 1983. Il faudrait noter également les grandes luttes du Front co</w:t>
      </w:r>
      <w:r w:rsidRPr="00873110">
        <w:rPr>
          <w:color w:val="000000"/>
        </w:rPr>
        <w:t>m</w:t>
      </w:r>
      <w:r w:rsidRPr="00873110">
        <w:rPr>
          <w:color w:val="000000"/>
        </w:rPr>
        <w:t>mun inte</w:t>
      </w:r>
      <w:r w:rsidRPr="00873110">
        <w:rPr>
          <w:color w:val="000000"/>
        </w:rPr>
        <w:t>r</w:t>
      </w:r>
      <w:r w:rsidRPr="00873110">
        <w:rPr>
          <w:color w:val="000000"/>
        </w:rPr>
        <w:t>syndical du secteur public et parapublic au Québec pendant toutes les années 70, les manifestations de masses plus nombreuses et plus fr</w:t>
      </w:r>
      <w:r w:rsidRPr="00873110">
        <w:rPr>
          <w:color w:val="000000"/>
        </w:rPr>
        <w:t>é</w:t>
      </w:r>
      <w:r w:rsidRPr="00873110">
        <w:rPr>
          <w:color w:val="000000"/>
        </w:rPr>
        <w:t>quentes que dans toutes les périodes antérieures. Les grèves aussi, dont certaines comme celle des 12</w:t>
      </w:r>
      <w:r>
        <w:rPr>
          <w:color w:val="000000"/>
        </w:rPr>
        <w:t> </w:t>
      </w:r>
      <w:r w:rsidRPr="00873110">
        <w:rPr>
          <w:color w:val="000000"/>
        </w:rPr>
        <w:t>000 travailleurs de la méta</w:t>
      </w:r>
      <w:r w:rsidRPr="00873110">
        <w:rPr>
          <w:color w:val="000000"/>
        </w:rPr>
        <w:t>l</w:t>
      </w:r>
      <w:r w:rsidRPr="00873110">
        <w:rPr>
          <w:color w:val="000000"/>
        </w:rPr>
        <w:t>lurgie de l'INCO à Sudbury, de septembre 1978 à juin 1979, ont so</w:t>
      </w:r>
      <w:r w:rsidRPr="00873110">
        <w:rPr>
          <w:color w:val="000000"/>
        </w:rPr>
        <w:t>u</w:t>
      </w:r>
      <w:r w:rsidRPr="00873110">
        <w:rPr>
          <w:color w:val="000000"/>
        </w:rPr>
        <w:t>levé l'attention de tout le pays et marqué la situation politique. On s</w:t>
      </w:r>
      <w:r w:rsidRPr="00873110">
        <w:rPr>
          <w:color w:val="000000"/>
        </w:rPr>
        <w:t>i</w:t>
      </w:r>
      <w:r w:rsidRPr="00873110">
        <w:rPr>
          <w:color w:val="000000"/>
        </w:rPr>
        <w:t>gnalera enfin la lutte contre les concessions, en particulier dans le se</w:t>
      </w:r>
      <w:r w:rsidRPr="00873110">
        <w:rPr>
          <w:color w:val="000000"/>
        </w:rPr>
        <w:t>c</w:t>
      </w:r>
      <w:r w:rsidRPr="00873110">
        <w:rPr>
          <w:color w:val="000000"/>
        </w:rPr>
        <w:t>teur de l'automobile où les travailleurs canadiens ont résisté, en 1982, contre le vent de réductions et de restrictions que le grand patronat était pa</w:t>
      </w:r>
      <w:r w:rsidRPr="00873110">
        <w:rPr>
          <w:color w:val="000000"/>
        </w:rPr>
        <w:t>r</w:t>
      </w:r>
      <w:r w:rsidRPr="00873110">
        <w:rPr>
          <w:color w:val="000000"/>
        </w:rPr>
        <w:t>venu à imposer aux travailleurs américains.</w:t>
      </w:r>
    </w:p>
    <w:p w:rsidR="00AD690E" w:rsidRPr="00873110" w:rsidRDefault="00AD690E" w:rsidP="00AD690E">
      <w:pPr>
        <w:spacing w:before="120" w:after="120"/>
        <w:jc w:val="both"/>
      </w:pPr>
      <w:r w:rsidRPr="00873110">
        <w:rPr>
          <w:color w:val="000000"/>
        </w:rPr>
        <w:t>Ces rappels ne visent pas à donner l'image idéaliste d'une progre</w:t>
      </w:r>
      <w:r w:rsidRPr="00873110">
        <w:rPr>
          <w:color w:val="000000"/>
        </w:rPr>
        <w:t>s</w:t>
      </w:r>
      <w:r w:rsidRPr="00873110">
        <w:rPr>
          <w:color w:val="000000"/>
        </w:rPr>
        <w:t>sion linéaire du mouvement syndical au Canada. Nous allons analyser ses aspects contradictoires. Mais justement, le point de départ d'une telle analyse ne peut pas ignorer les moments forts du développement du syndicalisme. Ce que révèle la période, c'est un renforcement de l'action de masse et de la capacité de mobilisation comme moyens de lutte pour les revendications ou de résistance contre les politiques p</w:t>
      </w:r>
      <w:r w:rsidRPr="00873110">
        <w:rPr>
          <w:color w:val="000000"/>
        </w:rPr>
        <w:t>a</w:t>
      </w:r>
      <w:r w:rsidRPr="00873110">
        <w:rPr>
          <w:color w:val="000000"/>
        </w:rPr>
        <w:t>tronales et gouvernementales. Ce renforcement est une dimension e</w:t>
      </w:r>
      <w:r w:rsidRPr="00873110">
        <w:rPr>
          <w:color w:val="000000"/>
        </w:rPr>
        <w:t>s</w:t>
      </w:r>
      <w:r w:rsidRPr="00873110">
        <w:rPr>
          <w:color w:val="000000"/>
        </w:rPr>
        <w:t>sentielle des nouveaux rapports entre l'État fédéral et le syndicalisme. Il décrit tout un pan des relations qui vont se développer par rapport au gouvernement Trudeau : des relations d'opposition croissante, dont le moyen d'expression privilégié s'avère l'action de masse. Sur le m</w:t>
      </w:r>
      <w:r w:rsidRPr="00873110">
        <w:rPr>
          <w:color w:val="000000"/>
        </w:rPr>
        <w:t>ê</w:t>
      </w:r>
      <w:r w:rsidRPr="00873110">
        <w:rPr>
          <w:color w:val="000000"/>
        </w:rPr>
        <w:t>me axe, se situe le refus de la participation et de la concertation et une manifestation de ce refus sera le retrait des représentants du CTC, en mars 1976, tout juste au lendemain de la première manifestation pa</w:t>
      </w:r>
      <w:r w:rsidRPr="00873110">
        <w:rPr>
          <w:color w:val="000000"/>
        </w:rPr>
        <w:t>n</w:t>
      </w:r>
      <w:r w:rsidRPr="00873110">
        <w:rPr>
          <w:color w:val="000000"/>
        </w:rPr>
        <w:t>canadienne à Ottawa, du Conseil économique du Canada et du Conseil canadien des relations ouvrières.</w:t>
      </w:r>
    </w:p>
    <w:p w:rsidR="00AD690E" w:rsidRPr="00873110" w:rsidRDefault="00AD690E" w:rsidP="00AD690E">
      <w:pPr>
        <w:spacing w:before="120" w:after="120"/>
        <w:jc w:val="both"/>
      </w:pPr>
      <w:r w:rsidRPr="00873110">
        <w:rPr>
          <w:color w:val="000000"/>
        </w:rPr>
        <w:t>Mais l'orientation du CTC ne peut pas s'analyser uniquement en terme de rupture et d'opposition, de luttes et de mobilisations. Alors que la politique gouvernementale s'est ordonnée pratiquement autour des mesures de coercition, la réplique du CTC a paru osciller entre deux pôles, celui de l'opposition-mobilisation et celui de la particip</w:t>
      </w:r>
      <w:r w:rsidRPr="00873110">
        <w:rPr>
          <w:color w:val="000000"/>
        </w:rPr>
        <w:t>a</w:t>
      </w:r>
      <w:r w:rsidRPr="00873110">
        <w:rPr>
          <w:color w:val="000000"/>
        </w:rPr>
        <w:t>tion-concertation. Un document témoigne mieux que tout autre de ce fait. Il s'agit du Manifeste du monde du travail pour le Canada, prop</w:t>
      </w:r>
      <w:r w:rsidRPr="00873110">
        <w:rPr>
          <w:color w:val="000000"/>
        </w:rPr>
        <w:t>o</w:t>
      </w:r>
      <w:r w:rsidRPr="00873110">
        <w:rPr>
          <w:color w:val="000000"/>
        </w:rPr>
        <w:t>sé en mai 1976 par l'exécutif du CTC au congrès de cette centrale</w:t>
      </w:r>
      <w:r>
        <w:rPr>
          <w:color w:val="000000"/>
        </w:rPr>
        <w:t> </w:t>
      </w:r>
      <w:r w:rsidRPr="002A1EB4">
        <w:rPr>
          <w:rStyle w:val="Appelnotedebasdep"/>
        </w:rPr>
        <w:footnoteReference w:id="486"/>
      </w:r>
      <w:r w:rsidRPr="00873110">
        <w:rPr>
          <w:color w:val="000000"/>
        </w:rPr>
        <w:t>.</w:t>
      </w:r>
    </w:p>
    <w:p w:rsidR="00AD690E" w:rsidRPr="00873110" w:rsidRDefault="00AD690E" w:rsidP="00AD690E">
      <w:pPr>
        <w:spacing w:before="120" w:after="120"/>
        <w:jc w:val="both"/>
      </w:pPr>
      <w:r w:rsidRPr="00873110">
        <w:rPr>
          <w:color w:val="000000"/>
        </w:rPr>
        <w:t>La direction du CTC a fortement dénoncé, en octobre 1975, l'i</w:t>
      </w:r>
      <w:r w:rsidRPr="00873110">
        <w:rPr>
          <w:color w:val="000000"/>
        </w:rPr>
        <w:t>m</w:t>
      </w:r>
      <w:r w:rsidRPr="00873110">
        <w:rPr>
          <w:color w:val="000000"/>
        </w:rPr>
        <w:t>position des limites aux augmentations salariales qui portent atteinte à la libre négociation collective. On s'attend à ce que dans la logique de cette position de</w:t>
      </w:r>
      <w:r>
        <w:rPr>
          <w:color w:val="000000"/>
        </w:rPr>
        <w:t xml:space="preserve"> </w:t>
      </w:r>
      <w:r>
        <w:t>[</w:t>
      </w:r>
      <w:r w:rsidRPr="00873110">
        <w:rPr>
          <w:rFonts w:cs="Arial"/>
          <w:color w:val="000000"/>
          <w:szCs w:val="18"/>
        </w:rPr>
        <w:t>280</w:t>
      </w:r>
      <w:r>
        <w:rPr>
          <w:rFonts w:cs="Arial"/>
          <w:color w:val="000000"/>
          <w:szCs w:val="18"/>
        </w:rPr>
        <w:t xml:space="preserve">] </w:t>
      </w:r>
      <w:r w:rsidRPr="00873110">
        <w:rPr>
          <w:color w:val="000000"/>
        </w:rPr>
        <w:t xml:space="preserve">rejet, </w:t>
      </w:r>
      <w:r>
        <w:rPr>
          <w:color w:val="000000"/>
        </w:rPr>
        <w:t>l</w:t>
      </w:r>
      <w:r w:rsidRPr="00873110">
        <w:rPr>
          <w:color w:val="000000"/>
        </w:rPr>
        <w:t>'essentiel de son énergie soit mise à l'o</w:t>
      </w:r>
      <w:r w:rsidRPr="00873110">
        <w:rPr>
          <w:color w:val="000000"/>
        </w:rPr>
        <w:t>r</w:t>
      </w:r>
      <w:r w:rsidRPr="00873110">
        <w:rPr>
          <w:color w:val="000000"/>
        </w:rPr>
        <w:t>ganisation d'une camp</w:t>
      </w:r>
      <w:r w:rsidRPr="00873110">
        <w:rPr>
          <w:color w:val="000000"/>
        </w:rPr>
        <w:t>a</w:t>
      </w:r>
      <w:r w:rsidRPr="00873110">
        <w:rPr>
          <w:color w:val="000000"/>
        </w:rPr>
        <w:t>gne nationale de riposte contre la politique du gouvernement Trudeau. Pourtant, le printemps suivant, dans son m</w:t>
      </w:r>
      <w:r w:rsidRPr="00873110">
        <w:rPr>
          <w:color w:val="000000"/>
        </w:rPr>
        <w:t>a</w:t>
      </w:r>
      <w:r w:rsidRPr="00873110">
        <w:rPr>
          <w:color w:val="000000"/>
        </w:rPr>
        <w:t>nifeste au congrès, l'exéc</w:t>
      </w:r>
      <w:r w:rsidRPr="00873110">
        <w:rPr>
          <w:color w:val="000000"/>
        </w:rPr>
        <w:t>u</w:t>
      </w:r>
      <w:r w:rsidRPr="00873110">
        <w:rPr>
          <w:color w:val="000000"/>
        </w:rPr>
        <w:t>tif présente un plaidoyer dont nous pouvons résumer les deux axes en ces termes :</w:t>
      </w:r>
    </w:p>
    <w:p w:rsidR="00AD690E" w:rsidRDefault="00AD690E" w:rsidP="00AD690E">
      <w:pPr>
        <w:spacing w:before="120" w:after="120"/>
        <w:jc w:val="both"/>
        <w:rPr>
          <w:color w:val="000000"/>
        </w:rPr>
      </w:pPr>
    </w:p>
    <w:p w:rsidR="00AD690E" w:rsidRPr="00873110" w:rsidRDefault="00AD690E" w:rsidP="00AD690E">
      <w:pPr>
        <w:spacing w:before="120" w:after="120"/>
        <w:ind w:left="720" w:hanging="360"/>
        <w:jc w:val="both"/>
        <w:rPr>
          <w:color w:val="000000"/>
        </w:rPr>
      </w:pPr>
      <w:r>
        <w:rPr>
          <w:color w:val="000000"/>
        </w:rPr>
        <w:t>1)</w:t>
      </w:r>
      <w:r>
        <w:rPr>
          <w:color w:val="000000"/>
        </w:rPr>
        <w:tab/>
      </w:r>
      <w:r w:rsidRPr="00873110">
        <w:rPr>
          <w:color w:val="000000"/>
        </w:rPr>
        <w:t>Une nouvelle époque de l'histoire s'est ouverte le 14 octobre 1975. Par son intervention centralisée dans la détermination des prix et des revenus, le gouvernement modifie radicalement les règles du jeu traditionnelles de la politique économique. Ces règles sont effectivement devenues désuètes ; elles doivent être remplacées par l'élaboration d'une véritable planification éc</w:t>
      </w:r>
      <w:r w:rsidRPr="00873110">
        <w:rPr>
          <w:color w:val="000000"/>
        </w:rPr>
        <w:t>o</w:t>
      </w:r>
      <w:r w:rsidRPr="00873110">
        <w:rPr>
          <w:color w:val="000000"/>
        </w:rPr>
        <w:t>nomique nationale. Mais le contenu de l'intervention du go</w:t>
      </w:r>
      <w:r w:rsidRPr="00873110">
        <w:rPr>
          <w:color w:val="000000"/>
        </w:rPr>
        <w:t>u</w:t>
      </w:r>
      <w:r w:rsidRPr="00873110">
        <w:rPr>
          <w:color w:val="000000"/>
        </w:rPr>
        <w:t>vernement montre qu'il a choisi de s'associer uniquement au p</w:t>
      </w:r>
      <w:r w:rsidRPr="00873110">
        <w:rPr>
          <w:color w:val="000000"/>
        </w:rPr>
        <w:t>a</w:t>
      </w:r>
      <w:r w:rsidRPr="00873110">
        <w:rPr>
          <w:color w:val="000000"/>
        </w:rPr>
        <w:t>tronat, dont il fait un rouage de sa politique, pour mettre en œ</w:t>
      </w:r>
      <w:r w:rsidRPr="00873110">
        <w:rPr>
          <w:color w:val="000000"/>
        </w:rPr>
        <w:t>u</w:t>
      </w:r>
      <w:r w:rsidRPr="00873110">
        <w:rPr>
          <w:color w:val="000000"/>
        </w:rPr>
        <w:t>vre ses plans dont l'opposition aux intérêts des salariés est év</w:t>
      </w:r>
      <w:r w:rsidRPr="00873110">
        <w:rPr>
          <w:color w:val="000000"/>
        </w:rPr>
        <w:t>i</w:t>
      </w:r>
      <w:r w:rsidRPr="00873110">
        <w:rPr>
          <w:color w:val="000000"/>
        </w:rPr>
        <w:t xml:space="preserve">dente. Le gouvernement s'est engagé dans la voie du « corporatisme libéral ». </w:t>
      </w:r>
      <w:r>
        <w:rPr>
          <w:color w:val="000000"/>
        </w:rPr>
        <w:t>À</w:t>
      </w:r>
      <w:r w:rsidRPr="00873110">
        <w:rPr>
          <w:color w:val="000000"/>
        </w:rPr>
        <w:t xml:space="preserve"> l'opposé, le mouvement syndical ne doit pas refuser le changement nécessaire, mais il doit décider s'il subira de manière isolée les effets de cette politique ou s'il exigera sa part de pouvoir et de décision aux côtés du patronat et du gouvernement dans la détermination tripartite d'une no</w:t>
      </w:r>
      <w:r w:rsidRPr="00873110">
        <w:rPr>
          <w:color w:val="000000"/>
        </w:rPr>
        <w:t>u</w:t>
      </w:r>
      <w:r w:rsidRPr="00873110">
        <w:rPr>
          <w:color w:val="000000"/>
        </w:rPr>
        <w:t>velle planification économique et sociale qui accordera aux tr</w:t>
      </w:r>
      <w:r w:rsidRPr="00873110">
        <w:rPr>
          <w:color w:val="000000"/>
        </w:rPr>
        <w:t>a</w:t>
      </w:r>
      <w:r w:rsidRPr="00873110">
        <w:rPr>
          <w:color w:val="000000"/>
        </w:rPr>
        <w:t>vailleurs leur juste part dans la redistribution de la richesse. Au corporatisme libéral, le CTC oppose le « corporatisme social » dont la réalisation se fera par l'intermédiaire d'un Conseil tripa</w:t>
      </w:r>
      <w:r w:rsidRPr="00873110">
        <w:rPr>
          <w:color w:val="000000"/>
        </w:rPr>
        <w:t>r</w:t>
      </w:r>
      <w:r w:rsidRPr="00873110">
        <w:rPr>
          <w:color w:val="000000"/>
        </w:rPr>
        <w:t>tite de planification économique et sociale doté de pouvoirs de décision dans des domaines tels l'investissement, le logement, la main-d'oeuvre, la sécurité sociale, et la politique industrielle. Par ailleurs, alors que le gouvernement impose sa politique, le mouvement syndical lui, tout en reconnaissant que la planific</w:t>
      </w:r>
      <w:r w:rsidRPr="00873110">
        <w:rPr>
          <w:color w:val="000000"/>
        </w:rPr>
        <w:t>a</w:t>
      </w:r>
      <w:r w:rsidRPr="00873110">
        <w:rPr>
          <w:color w:val="000000"/>
        </w:rPr>
        <w:t>tion nationale peut impliquer l'établissement de contrôles sur les prix, les profits et les salaires, considère que cette politique ne peut pas être appliquée sans le consentement des citoyens et c'est en cela que son orientation est démocratique tandis, que celle du corporatisme libéral est autoritaire.</w:t>
      </w:r>
    </w:p>
    <w:p w:rsidR="00AD690E" w:rsidRPr="00873110" w:rsidRDefault="00AD690E" w:rsidP="00AD690E">
      <w:pPr>
        <w:spacing w:before="120" w:after="120"/>
        <w:ind w:left="720" w:hanging="360"/>
        <w:jc w:val="both"/>
        <w:rPr>
          <w:color w:val="000000"/>
        </w:rPr>
      </w:pPr>
      <w:r>
        <w:rPr>
          <w:color w:val="000000"/>
        </w:rPr>
        <w:t>2)</w:t>
      </w:r>
      <w:r>
        <w:rPr>
          <w:color w:val="000000"/>
        </w:rPr>
        <w:tab/>
      </w:r>
      <w:r w:rsidRPr="00873110">
        <w:rPr>
          <w:color w:val="000000"/>
        </w:rPr>
        <w:t>Le corporatisme social implique que les grands partenaires s</w:t>
      </w:r>
      <w:r w:rsidRPr="00873110">
        <w:rPr>
          <w:color w:val="000000"/>
        </w:rPr>
        <w:t>o</w:t>
      </w:r>
      <w:r w:rsidRPr="00873110">
        <w:rPr>
          <w:color w:val="000000"/>
        </w:rPr>
        <w:t>ciaux aient la possibilité de s'engager au nom de ceux qu'ils r</w:t>
      </w:r>
      <w:r w:rsidRPr="00873110">
        <w:rPr>
          <w:color w:val="000000"/>
        </w:rPr>
        <w:t>e</w:t>
      </w:r>
      <w:r w:rsidRPr="00873110">
        <w:rPr>
          <w:color w:val="000000"/>
        </w:rPr>
        <w:t>présentent dans la détermination des politiques nationales. A cet égard, il est clair que la structure actuelle très décentralisée du CTC est désuète dans la mesure où, par exemple, elle ne reco</w:t>
      </w:r>
      <w:r w:rsidRPr="00873110">
        <w:rPr>
          <w:color w:val="000000"/>
        </w:rPr>
        <w:t>n</w:t>
      </w:r>
      <w:r w:rsidRPr="00873110">
        <w:rPr>
          <w:color w:val="000000"/>
        </w:rPr>
        <w:t>naît à ses dirigeants fédéraux aucun pouvoir de négocier centr</w:t>
      </w:r>
      <w:r w:rsidRPr="00873110">
        <w:rPr>
          <w:color w:val="000000"/>
        </w:rPr>
        <w:t>a</w:t>
      </w:r>
      <w:r w:rsidRPr="00873110">
        <w:rPr>
          <w:color w:val="000000"/>
        </w:rPr>
        <w:t>lement une politique canadienne des salaires. Il faut donc revoir cette structure afin de confier davantage de pouvoir à l'exécutif national et d'assurer que « l'orientation politique et les décisions qu'il prendra (entre les congrès) seront suivies par tous les aff</w:t>
      </w:r>
      <w:r w:rsidRPr="00873110">
        <w:rPr>
          <w:color w:val="000000"/>
        </w:rPr>
        <w:t>i</w:t>
      </w:r>
      <w:r w:rsidRPr="00873110">
        <w:rPr>
          <w:color w:val="000000"/>
        </w:rPr>
        <w:t>liés. »</w:t>
      </w:r>
    </w:p>
    <w:p w:rsidR="00AD690E" w:rsidRDefault="00AD690E" w:rsidP="00AD690E">
      <w:pPr>
        <w:spacing w:before="120" w:after="120"/>
        <w:jc w:val="both"/>
        <w:rPr>
          <w:color w:val="000000"/>
        </w:rPr>
      </w:pPr>
    </w:p>
    <w:p w:rsidR="00AD690E" w:rsidRPr="00873110" w:rsidRDefault="00AD690E" w:rsidP="00AD690E">
      <w:pPr>
        <w:spacing w:before="120" w:after="120"/>
        <w:jc w:val="both"/>
      </w:pPr>
      <w:r w:rsidRPr="00873110">
        <w:rPr>
          <w:color w:val="000000"/>
        </w:rPr>
        <w:t>Fondée sur cette double orientation, la ligne du Manifeste fut ado</w:t>
      </w:r>
      <w:r w:rsidRPr="00873110">
        <w:rPr>
          <w:color w:val="000000"/>
        </w:rPr>
        <w:t>p</w:t>
      </w:r>
      <w:r w:rsidRPr="00873110">
        <w:rPr>
          <w:color w:val="000000"/>
        </w:rPr>
        <w:t>tée par le Congrès, mais non sans avoir soulevé beaucoup d'oppos</w:t>
      </w:r>
      <w:r w:rsidRPr="00873110">
        <w:rPr>
          <w:color w:val="000000"/>
        </w:rPr>
        <w:t>i</w:t>
      </w:r>
      <w:r w:rsidRPr="00873110">
        <w:rPr>
          <w:color w:val="000000"/>
        </w:rPr>
        <w:t>tions chez les délégués. Dans le cours même du débat, le président Joe Morris avait été amené à renoncer à parler de « corporatisme social » et à substituer à cette expression très</w:t>
      </w:r>
      <w:r>
        <w:rPr>
          <w:color w:val="000000"/>
        </w:rPr>
        <w:t xml:space="preserve"> </w:t>
      </w:r>
      <w:r>
        <w:t xml:space="preserve">[281] </w:t>
      </w:r>
      <w:r w:rsidRPr="00873110">
        <w:rPr>
          <w:color w:val="000000"/>
        </w:rPr>
        <w:t>controversée celle de la « démocratie sociale ». Mais quels que soient les mots utilisés, corp</w:t>
      </w:r>
      <w:r w:rsidRPr="00873110">
        <w:rPr>
          <w:color w:val="000000"/>
        </w:rPr>
        <w:t>o</w:t>
      </w:r>
      <w:r w:rsidRPr="00873110">
        <w:rPr>
          <w:color w:val="000000"/>
        </w:rPr>
        <w:t>ratisme, tripartisme ou démocratie sociale, l'orientation du manifeste demeurait la même. L'opposition de no</w:t>
      </w:r>
      <w:r w:rsidRPr="00873110">
        <w:rPr>
          <w:color w:val="000000"/>
        </w:rPr>
        <w:t>m</w:t>
      </w:r>
      <w:r w:rsidRPr="00873110">
        <w:rPr>
          <w:color w:val="000000"/>
        </w:rPr>
        <w:t>breux délégués concernait aussi la proposition d'une centralisation des structures du CTC. Ils y voyaient une menace à l'autonomie des sy</w:t>
      </w:r>
      <w:r w:rsidRPr="00873110">
        <w:rPr>
          <w:color w:val="000000"/>
        </w:rPr>
        <w:t>n</w:t>
      </w:r>
      <w:r w:rsidRPr="00873110">
        <w:rPr>
          <w:color w:val="000000"/>
        </w:rPr>
        <w:t>dicats dont l'existence et la raison d'être sont largement liées à leur pouvoir de négociation des conventions collectives en particulier sur le plan salarial. Pourtant, sans cette centralisation, il serait impossible aux dirigeants du CTC de mettre en œuvre leur orientation corporatiste. Pour expliquer néa</w:t>
      </w:r>
      <w:r w:rsidRPr="00873110">
        <w:rPr>
          <w:color w:val="000000"/>
        </w:rPr>
        <w:t>n</w:t>
      </w:r>
      <w:r w:rsidRPr="00873110">
        <w:rPr>
          <w:color w:val="000000"/>
        </w:rPr>
        <w:t>moins le vote majoritaire du Congrès en faveur d'une orientation si contestée, les concessions sur le plan du vocab</w:t>
      </w:r>
      <w:r w:rsidRPr="00873110">
        <w:rPr>
          <w:color w:val="000000"/>
        </w:rPr>
        <w:t>u</w:t>
      </w:r>
      <w:r w:rsidRPr="00873110">
        <w:rPr>
          <w:color w:val="000000"/>
        </w:rPr>
        <w:t>laire n'auraient peut-être pas suffi. Il faut noter que la direction, se</w:t>
      </w:r>
      <w:r w:rsidRPr="00873110">
        <w:rPr>
          <w:color w:val="000000"/>
        </w:rPr>
        <w:t>n</w:t>
      </w:r>
      <w:r w:rsidRPr="00873110">
        <w:rPr>
          <w:color w:val="000000"/>
        </w:rPr>
        <w:t>tant bien la volonté d'action et de mobilisation qui n'avait pas cessé de se développer à travers le pays, avait joint à son manifeste un « programme d'action » qui prévoyait le déclenchement éventuel « d'une grève générale », ou de différents mouvements de débrayage, au moment opportun, si les contrôles n'étaient pas levés.</w:t>
      </w:r>
    </w:p>
    <w:p w:rsidR="00AD690E" w:rsidRPr="00873110" w:rsidRDefault="00AD690E" w:rsidP="00AD690E">
      <w:pPr>
        <w:spacing w:before="120" w:after="120"/>
        <w:jc w:val="both"/>
      </w:pPr>
      <w:r w:rsidRPr="00873110">
        <w:rPr>
          <w:color w:val="000000"/>
        </w:rPr>
        <w:t>La ligne du manifeste qu'on venait de révéler aux membres du CTC surprenait par l'ampleur du tournant qu'elle proposait. Mais au niveau de l'appareil central du mouvement, on avait commencé à l'élaborer depuis déjà plusieurs mois, avant même l'entrée en vigueur du Programme de lutte contre l'inflation. Pour les dirigeants, le point le plus surprenant des pourparlers de consensus proposés par John Turner en 1974 avait été que le gouvernement consulte le Congrès du travail du Canada. « Déjà, avaient-ils conclu, cette démarche tout à fait inhabituelle laissait soupçonner un revirement de la pensée go</w:t>
      </w:r>
      <w:r w:rsidRPr="00873110">
        <w:rPr>
          <w:color w:val="000000"/>
        </w:rPr>
        <w:t>u</w:t>
      </w:r>
      <w:r w:rsidRPr="00873110">
        <w:rPr>
          <w:color w:val="000000"/>
        </w:rPr>
        <w:t>vernementale qui n'avait jusque-là donné que bien peu de place au syndicalisme. » Cette rupture avec le passé traduisait le fait que « le gouvernement avait absolument besoin de l'appui et de l'approbation du CTC et du mouvement syndical » dans la mise en œuvre de sa pol</w:t>
      </w:r>
      <w:r w:rsidRPr="00873110">
        <w:rPr>
          <w:color w:val="000000"/>
        </w:rPr>
        <w:t>i</w:t>
      </w:r>
      <w:r w:rsidRPr="00873110">
        <w:rPr>
          <w:color w:val="000000"/>
        </w:rPr>
        <w:t>tique. Et cela même démontrait la nouvelle « puissance économique » du syndicalisme dont le gouvernement devrait désormais tenir compte sur des sujets d'importance nationale</w:t>
      </w:r>
      <w:r>
        <w:rPr>
          <w:color w:val="000000"/>
        </w:rPr>
        <w:t> </w:t>
      </w:r>
      <w:r w:rsidRPr="002A1EB4">
        <w:rPr>
          <w:rStyle w:val="Appelnotedebasdep"/>
        </w:rPr>
        <w:footnoteReference w:id="487"/>
      </w:r>
      <w:r w:rsidRPr="00873110">
        <w:rPr>
          <w:color w:val="000000"/>
        </w:rPr>
        <w:t>.</w:t>
      </w:r>
    </w:p>
    <w:p w:rsidR="00AD690E" w:rsidRPr="00873110" w:rsidRDefault="00AD690E" w:rsidP="00AD690E">
      <w:pPr>
        <w:spacing w:before="120" w:after="120"/>
        <w:jc w:val="both"/>
      </w:pPr>
      <w:r w:rsidRPr="00873110">
        <w:rPr>
          <w:color w:val="000000"/>
        </w:rPr>
        <w:t>Les dirigeants du CTC considéraient donc les appels du gouve</w:t>
      </w:r>
      <w:r w:rsidRPr="00873110">
        <w:rPr>
          <w:color w:val="000000"/>
        </w:rPr>
        <w:t>r</w:t>
      </w:r>
      <w:r w:rsidRPr="00873110">
        <w:rPr>
          <w:color w:val="000000"/>
        </w:rPr>
        <w:t>nement à la concertation comme une reconnaissance du syndicalisme et c'est la raison pour laquelle ils entendaient travailler à consolider cette nouvelle orientation jugée très prometteuse pour l'avenir du pays, d'abord en conseillant le gouvernement sur les implications d'une n</w:t>
      </w:r>
      <w:r w:rsidRPr="00873110">
        <w:rPr>
          <w:color w:val="000000"/>
        </w:rPr>
        <w:t>é</w:t>
      </w:r>
      <w:r w:rsidRPr="00873110">
        <w:rPr>
          <w:color w:val="000000"/>
        </w:rPr>
        <w:t>gociation nationale centralisée de nature tripartite.</w:t>
      </w:r>
    </w:p>
    <w:p w:rsidR="00AD690E" w:rsidRPr="00873110" w:rsidRDefault="00AD690E" w:rsidP="00AD690E">
      <w:pPr>
        <w:spacing w:before="120" w:after="120"/>
        <w:jc w:val="both"/>
      </w:pPr>
      <w:r w:rsidRPr="00873110">
        <w:rPr>
          <w:color w:val="000000"/>
        </w:rPr>
        <w:t>Dans un texte daté du 7 mai 1975, l'exécutif de la centrale syndic</w:t>
      </w:r>
      <w:r w:rsidRPr="00873110">
        <w:rPr>
          <w:color w:val="000000"/>
        </w:rPr>
        <w:t>a</w:t>
      </w:r>
      <w:r w:rsidRPr="00873110">
        <w:rPr>
          <w:color w:val="000000"/>
        </w:rPr>
        <w:t>le développe l'argumentation selon laquelle la fragmentation du sy</w:t>
      </w:r>
      <w:r w:rsidRPr="00873110">
        <w:rPr>
          <w:color w:val="000000"/>
        </w:rPr>
        <w:t>s</w:t>
      </w:r>
      <w:r w:rsidRPr="00873110">
        <w:rPr>
          <w:color w:val="000000"/>
        </w:rPr>
        <w:t>tème fédéral en vertu de laquelle les provinces contrôlent l'essentiel du domaine des relations de travail et des négociations collectives const</w:t>
      </w:r>
      <w:r w:rsidRPr="00873110">
        <w:rPr>
          <w:color w:val="000000"/>
        </w:rPr>
        <w:t>i</w:t>
      </w:r>
      <w:r w:rsidRPr="00873110">
        <w:rPr>
          <w:color w:val="000000"/>
        </w:rPr>
        <w:t>tue l'obstacle le plus important à l'établissement d'une négociation co</w:t>
      </w:r>
      <w:r w:rsidRPr="00873110">
        <w:rPr>
          <w:color w:val="000000"/>
        </w:rPr>
        <w:t>l</w:t>
      </w:r>
      <w:r w:rsidRPr="00873110">
        <w:rPr>
          <w:color w:val="000000"/>
        </w:rPr>
        <w:t>lective à l'échelle nationale. Le cadre dans</w:t>
      </w:r>
      <w:r>
        <w:rPr>
          <w:color w:val="000000"/>
        </w:rPr>
        <w:t xml:space="preserve"> </w:t>
      </w:r>
      <w:r>
        <w:t>[</w:t>
      </w:r>
      <w:r w:rsidRPr="00873110">
        <w:rPr>
          <w:rFonts w:cs="Arial"/>
          <w:color w:val="000000"/>
          <w:szCs w:val="18"/>
        </w:rPr>
        <w:t>282</w:t>
      </w:r>
      <w:r>
        <w:rPr>
          <w:rFonts w:cs="Arial"/>
          <w:color w:val="000000"/>
          <w:szCs w:val="18"/>
        </w:rPr>
        <w:t xml:space="preserve">] </w:t>
      </w:r>
      <w:r w:rsidRPr="00873110">
        <w:rPr>
          <w:color w:val="000000"/>
          <w:szCs w:val="22"/>
        </w:rPr>
        <w:t>lequel est obligé de fonctionner le mouvement syndical « est en lui-même une contrai</w:t>
      </w:r>
      <w:r w:rsidRPr="00873110">
        <w:rPr>
          <w:color w:val="000000"/>
          <w:szCs w:val="22"/>
        </w:rPr>
        <w:t>n</w:t>
      </w:r>
      <w:r w:rsidRPr="00873110">
        <w:rPr>
          <w:color w:val="000000"/>
          <w:szCs w:val="22"/>
        </w:rPr>
        <w:t>te »</w:t>
      </w:r>
      <w:r>
        <w:rPr>
          <w:color w:val="000000"/>
          <w:szCs w:val="22"/>
        </w:rPr>
        <w:t> </w:t>
      </w:r>
      <w:r w:rsidRPr="002A1EB4">
        <w:rPr>
          <w:rStyle w:val="Appelnotedebasdep"/>
        </w:rPr>
        <w:footnoteReference w:id="488"/>
      </w:r>
      <w:r w:rsidRPr="00873110">
        <w:rPr>
          <w:color w:val="000000"/>
          <w:szCs w:val="22"/>
        </w:rPr>
        <w:t>. Cette argumentation constitue un véritable appel à une plus grande centralisation du pouvoir politique aux mains de l'État fédéral. Elle sera même reprise tout juste après l'adoption des contrôles dans un « énoncé » de politique adopté par l'exécutif, le 24 octobre 1975, qui va même jusqu'à reprocher au gouvernement de ne pas avoir « fait appel au pouvoir que lui confère l'article 91 » de l'AANB, article qui permet au gouvernement central de passer outre aux prérogatives des provinces au nom de la paix, de l'ordre et du bon gouvernement</w:t>
      </w:r>
      <w:r>
        <w:rPr>
          <w:color w:val="000000"/>
          <w:szCs w:val="22"/>
        </w:rPr>
        <w:t> </w:t>
      </w:r>
      <w:r w:rsidRPr="002A1EB4">
        <w:rPr>
          <w:rStyle w:val="Appelnotedebasdep"/>
        </w:rPr>
        <w:footnoteReference w:id="489"/>
      </w:r>
      <w:r w:rsidRPr="00873110">
        <w:rPr>
          <w:color w:val="000000"/>
          <w:szCs w:val="22"/>
        </w:rPr>
        <w:t>. Cette orientation centralisatrice ne concerne tout</w:t>
      </w:r>
      <w:r w:rsidRPr="00873110">
        <w:rPr>
          <w:color w:val="000000"/>
          <w:szCs w:val="22"/>
        </w:rPr>
        <w:t>e</w:t>
      </w:r>
      <w:r w:rsidRPr="00873110">
        <w:rPr>
          <w:color w:val="000000"/>
          <w:szCs w:val="22"/>
        </w:rPr>
        <w:t>fois pas seulement la structure étatique. La direction de la centrale semble aussi défendre la centralisation de l'État et l'intervention du gouvernement en ce sens pour rendre nécessaire et, par la suite, légitime, une plus grande ce</w:t>
      </w:r>
      <w:r w:rsidRPr="00873110">
        <w:rPr>
          <w:color w:val="000000"/>
          <w:szCs w:val="22"/>
        </w:rPr>
        <w:t>n</w:t>
      </w:r>
      <w:r w:rsidRPr="00873110">
        <w:rPr>
          <w:color w:val="000000"/>
          <w:szCs w:val="22"/>
        </w:rPr>
        <w:t>tralisation du pouvoir au sein même du CTC, ce dont les dirigeants seuls ne sont pas parvenus à convaincre leurs membres.</w:t>
      </w:r>
    </w:p>
    <w:p w:rsidR="00AD690E" w:rsidRPr="00873110" w:rsidRDefault="00AD690E" w:rsidP="00AD690E">
      <w:pPr>
        <w:spacing w:before="120" w:after="120"/>
        <w:jc w:val="both"/>
      </w:pPr>
      <w:r w:rsidRPr="00873110">
        <w:rPr>
          <w:color w:val="000000"/>
          <w:szCs w:val="22"/>
        </w:rPr>
        <w:t>Mais le document du CTC qui souligne le plus explicitement la r</w:t>
      </w:r>
      <w:r w:rsidRPr="00873110">
        <w:rPr>
          <w:color w:val="000000"/>
          <w:szCs w:val="22"/>
        </w:rPr>
        <w:t>e</w:t>
      </w:r>
      <w:r w:rsidRPr="00873110">
        <w:rPr>
          <w:color w:val="000000"/>
          <w:szCs w:val="22"/>
        </w:rPr>
        <w:t>lation entre centralisation de l'État, centralisation syndicale et corpor</w:t>
      </w:r>
      <w:r w:rsidRPr="00873110">
        <w:rPr>
          <w:color w:val="000000"/>
          <w:szCs w:val="22"/>
        </w:rPr>
        <w:t>a</w:t>
      </w:r>
      <w:r w:rsidRPr="00873110">
        <w:rPr>
          <w:color w:val="000000"/>
          <w:szCs w:val="22"/>
        </w:rPr>
        <w:t>tisme est certainement la déclaration publique du président de la ce</w:t>
      </w:r>
      <w:r w:rsidRPr="00873110">
        <w:rPr>
          <w:color w:val="000000"/>
          <w:szCs w:val="22"/>
        </w:rPr>
        <w:t>n</w:t>
      </w:r>
      <w:r w:rsidRPr="00873110">
        <w:rPr>
          <w:color w:val="000000"/>
          <w:szCs w:val="22"/>
        </w:rPr>
        <w:t>trale, Joe Morris, le 10 janvier 1976, déclaration dont le titre est une interrogation : « Vers un État corporatif ?</w:t>
      </w:r>
      <w:r>
        <w:rPr>
          <w:color w:val="000000"/>
          <w:szCs w:val="22"/>
        </w:rPr>
        <w:t> </w:t>
      </w:r>
      <w:r w:rsidRPr="002A1EB4">
        <w:rPr>
          <w:rStyle w:val="Appelnotedebasdep"/>
        </w:rPr>
        <w:footnoteReference w:id="490"/>
      </w:r>
      <w:r w:rsidRPr="00873110">
        <w:rPr>
          <w:color w:val="000000"/>
          <w:szCs w:val="22"/>
        </w:rPr>
        <w:t> ». Il cite à l'appui de sa thèse l'argumentation économique développée par la vice-présidente ex</w:t>
      </w:r>
      <w:r>
        <w:rPr>
          <w:color w:val="000000"/>
          <w:szCs w:val="22"/>
        </w:rPr>
        <w:t>é</w:t>
      </w:r>
      <w:r w:rsidRPr="00873110">
        <w:rPr>
          <w:color w:val="000000"/>
          <w:szCs w:val="22"/>
        </w:rPr>
        <w:t>cutive de la centrale, Shirley Carr dans un discours public prono</w:t>
      </w:r>
      <w:r w:rsidRPr="00873110">
        <w:rPr>
          <w:color w:val="000000"/>
          <w:szCs w:val="22"/>
        </w:rPr>
        <w:t>n</w:t>
      </w:r>
      <w:r w:rsidRPr="00873110">
        <w:rPr>
          <w:color w:val="000000"/>
          <w:szCs w:val="22"/>
        </w:rPr>
        <w:t>cé quelques mois avant la promulgation des contrôles, le 1</w:t>
      </w:r>
      <w:r w:rsidRPr="00873110">
        <w:rPr>
          <w:color w:val="000000"/>
          <w:szCs w:val="22"/>
          <w:vertAlign w:val="superscript"/>
        </w:rPr>
        <w:t>er</w:t>
      </w:r>
      <w:r w:rsidRPr="00873110">
        <w:rPr>
          <w:color w:val="000000"/>
          <w:szCs w:val="22"/>
        </w:rPr>
        <w:t xml:space="preserve"> septembre 1975.</w:t>
      </w:r>
    </w:p>
    <w:p w:rsidR="00AD690E" w:rsidRPr="00873110" w:rsidRDefault="00AD690E" w:rsidP="00AD690E">
      <w:pPr>
        <w:spacing w:before="120" w:after="120"/>
        <w:jc w:val="both"/>
      </w:pPr>
      <w:r w:rsidRPr="00873110">
        <w:rPr>
          <w:color w:val="000000"/>
          <w:szCs w:val="22"/>
        </w:rPr>
        <w:t>Mme Carr déclarait à cette occasion :</w:t>
      </w:r>
    </w:p>
    <w:p w:rsidR="00AD690E" w:rsidRDefault="00AD690E" w:rsidP="00AD690E">
      <w:pPr>
        <w:pStyle w:val="Grillecouleur-Accent1"/>
      </w:pPr>
    </w:p>
    <w:p w:rsidR="00AD690E" w:rsidRPr="000217F5" w:rsidRDefault="00AD690E" w:rsidP="00AD690E">
      <w:pPr>
        <w:pStyle w:val="Grillecouleur-Accent1"/>
        <w:rPr>
          <w:i/>
        </w:rPr>
      </w:pPr>
      <w:r w:rsidRPr="00742811">
        <w:t>Je crois que les derniers efforts de M. Tu</w:t>
      </w:r>
      <w:r>
        <w:t>rn</w:t>
      </w:r>
      <w:r w:rsidRPr="00742811">
        <w:t>er pour obtenir un conse</w:t>
      </w:r>
      <w:r w:rsidRPr="00742811">
        <w:t>n</w:t>
      </w:r>
      <w:r w:rsidRPr="00742811">
        <w:t>sus en vue du blocage volontaire des salaires et des prix découlaient dire</w:t>
      </w:r>
      <w:r w:rsidRPr="00742811">
        <w:t>c</w:t>
      </w:r>
      <w:r w:rsidRPr="00742811">
        <w:t>tement du fait que l'économie keynésienne n'est plus valable. La nouvelle nature i</w:t>
      </w:r>
      <w:r w:rsidRPr="00742811">
        <w:t>n</w:t>
      </w:r>
      <w:r w:rsidRPr="00742811">
        <w:t>terdépendante de la société, les systèmes de gestion des prix, de l'offre et de la demande, et la disparition de l'économie du marché libre, toutes ces théories de l'économie keynésienne sont passées presqu'impe</w:t>
      </w:r>
      <w:r w:rsidRPr="00742811">
        <w:t>r</w:t>
      </w:r>
      <w:r w:rsidRPr="00742811">
        <w:t>ceptiblement à l'histoire. [...] Nous assistons à l'émergence d'une nouvelle structure de pouvoir qui obligera désormais les milieux financiers à part</w:t>
      </w:r>
      <w:r w:rsidRPr="00742811">
        <w:t>a</w:t>
      </w:r>
      <w:r w:rsidRPr="00742811">
        <w:t>ger avec le mo</w:t>
      </w:r>
      <w:r w:rsidRPr="00742811">
        <w:t>u</w:t>
      </w:r>
      <w:r w:rsidRPr="00742811">
        <w:t>vement syndical le pouvoir prédominant qu'ils détenaient. Si cette tendance continue, il faudra que le syndicalisme s'adapte à cette nouvelle situation.</w:t>
      </w:r>
      <w:r w:rsidRPr="00742811">
        <w:rPr>
          <w:i/>
        </w:rPr>
        <w:t xml:space="preserve"> </w:t>
      </w:r>
    </w:p>
    <w:p w:rsidR="00AD690E" w:rsidRDefault="00AD690E" w:rsidP="00AD690E">
      <w:pPr>
        <w:spacing w:before="120" w:after="120"/>
        <w:jc w:val="both"/>
        <w:rPr>
          <w:color w:val="000000"/>
          <w:szCs w:val="18"/>
        </w:rPr>
      </w:pPr>
    </w:p>
    <w:p w:rsidR="00AD690E" w:rsidRDefault="00AD690E" w:rsidP="00AD690E">
      <w:pPr>
        <w:spacing w:before="120" w:after="120"/>
        <w:jc w:val="both"/>
        <w:rPr>
          <w:color w:val="000000"/>
          <w:szCs w:val="18"/>
        </w:rPr>
      </w:pPr>
      <w:r>
        <w:rPr>
          <w:color w:val="000000"/>
          <w:szCs w:val="18"/>
        </w:rPr>
        <w:t>[283]</w:t>
      </w:r>
    </w:p>
    <w:p w:rsidR="00AD690E" w:rsidRPr="00873110" w:rsidRDefault="00AD690E" w:rsidP="00AD690E">
      <w:pPr>
        <w:spacing w:before="120" w:after="120"/>
        <w:jc w:val="both"/>
      </w:pPr>
      <w:r w:rsidRPr="00873110">
        <w:rPr>
          <w:color w:val="000000"/>
          <w:szCs w:val="22"/>
        </w:rPr>
        <w:t>Dans l'esprit de Joe Morris, le syndicalisme doit s'adapter. « Le Congrès du travail du Canada est fédéraliste, déclare-t-il, tant de nat</w:t>
      </w:r>
      <w:r w:rsidRPr="00873110">
        <w:rPr>
          <w:color w:val="000000"/>
          <w:szCs w:val="22"/>
        </w:rPr>
        <w:t>u</w:t>
      </w:r>
      <w:r w:rsidRPr="00873110">
        <w:rPr>
          <w:color w:val="000000"/>
          <w:szCs w:val="22"/>
        </w:rPr>
        <w:t>re que d'idées. Il œuvre dans le sens d'une planification économique accrue qui requiert une centralisation de contrôles accrue. » Mais le type de centralisation que préconise le gouvernement Trudeau est n</w:t>
      </w:r>
      <w:r w:rsidRPr="00873110">
        <w:rPr>
          <w:color w:val="000000"/>
          <w:szCs w:val="22"/>
        </w:rPr>
        <w:t>é</w:t>
      </w:r>
      <w:r w:rsidRPr="00873110">
        <w:rPr>
          <w:color w:val="000000"/>
          <w:szCs w:val="22"/>
        </w:rPr>
        <w:t>faste d'un double point de vue : d'une part, il impose à des institutions indépendantes des conditions qu'elles ne peuvent remplir à c</w:t>
      </w:r>
      <w:r>
        <w:rPr>
          <w:color w:val="000000"/>
          <w:szCs w:val="22"/>
        </w:rPr>
        <w:t>ause de structures inadaptées (</w:t>
      </w:r>
      <w:r w:rsidRPr="00873110">
        <w:rPr>
          <w:color w:val="000000"/>
          <w:szCs w:val="22"/>
        </w:rPr>
        <w:t>dans le cas du CTC) ou insuffisantes (dans le cas des corporations). D'autre part, avec le même autoritarisme, il m</w:t>
      </w:r>
      <w:r w:rsidRPr="00873110">
        <w:rPr>
          <w:color w:val="000000"/>
          <w:szCs w:val="22"/>
        </w:rPr>
        <w:t>e</w:t>
      </w:r>
      <w:r w:rsidRPr="00873110">
        <w:rPr>
          <w:color w:val="000000"/>
          <w:szCs w:val="22"/>
        </w:rPr>
        <w:t>nace de dépouiller les provinces de pouvoirs qu'elles exercent actue</w:t>
      </w:r>
      <w:r w:rsidRPr="00873110">
        <w:rPr>
          <w:color w:val="000000"/>
          <w:szCs w:val="22"/>
        </w:rPr>
        <w:t>l</w:t>
      </w:r>
      <w:r w:rsidRPr="00873110">
        <w:rPr>
          <w:color w:val="000000"/>
          <w:szCs w:val="22"/>
        </w:rPr>
        <w:t>lement en matière de relations de travail et de programmes sociaux. Ici, le discours paraît contredire l'appel à la centralisation politique lancé par le CTC lui-même quelques mois plus tôt, mais en fait, ce dont se plaint surtout le président du CTC, c'est du procédé anti-démocratique de la centralisation « trudeauiste », et non pas de la ce</w:t>
      </w:r>
      <w:r w:rsidRPr="00873110">
        <w:rPr>
          <w:color w:val="000000"/>
          <w:szCs w:val="22"/>
        </w:rPr>
        <w:t>n</w:t>
      </w:r>
      <w:r w:rsidRPr="00873110">
        <w:rPr>
          <w:color w:val="000000"/>
          <w:szCs w:val="22"/>
        </w:rPr>
        <w:t>tralisation elle-même, et du fait qu'il soit « impossible pour le mo</w:t>
      </w:r>
      <w:r w:rsidRPr="00873110">
        <w:rPr>
          <w:color w:val="000000"/>
          <w:szCs w:val="22"/>
        </w:rPr>
        <w:t>u</w:t>
      </w:r>
      <w:r w:rsidRPr="00873110">
        <w:rPr>
          <w:color w:val="000000"/>
          <w:szCs w:val="22"/>
        </w:rPr>
        <w:t>vement syndical d'apporter en si peu de temps les rajustements néce</w:t>
      </w:r>
      <w:r w:rsidRPr="00873110">
        <w:rPr>
          <w:color w:val="000000"/>
          <w:szCs w:val="22"/>
        </w:rPr>
        <w:t>s</w:t>
      </w:r>
      <w:r w:rsidRPr="00873110">
        <w:rPr>
          <w:color w:val="000000"/>
          <w:szCs w:val="22"/>
        </w:rPr>
        <w:t>saires pour s'adapter à la négociation tripartite. » « À moins que les lois des provinces et du gouvernement fédéral sur les relations de tr</w:t>
      </w:r>
      <w:r w:rsidRPr="00873110">
        <w:rPr>
          <w:color w:val="000000"/>
          <w:szCs w:val="22"/>
        </w:rPr>
        <w:t>a</w:t>
      </w:r>
      <w:r w:rsidRPr="00873110">
        <w:rPr>
          <w:color w:val="000000"/>
          <w:szCs w:val="22"/>
        </w:rPr>
        <w:t>vail soient modifiées, dit-il, le programme anti-inflation ne permet pas aux syndicats la négociation tripartite. »</w:t>
      </w:r>
    </w:p>
    <w:p w:rsidR="00AD690E" w:rsidRPr="00873110" w:rsidRDefault="00AD690E" w:rsidP="00AD690E">
      <w:pPr>
        <w:spacing w:before="120" w:after="120"/>
        <w:jc w:val="both"/>
      </w:pPr>
      <w:r w:rsidRPr="00873110">
        <w:rPr>
          <w:color w:val="000000"/>
          <w:szCs w:val="22"/>
        </w:rPr>
        <w:t>L'orientation que nous venons de décrire sera celle de la direction du CTC tout au long de la période étudiée. C'est elle qui inspirera les propositions de nature économique et sociale qu'elle adresse au go</w:t>
      </w:r>
      <w:r w:rsidRPr="00873110">
        <w:rPr>
          <w:color w:val="000000"/>
          <w:szCs w:val="22"/>
        </w:rPr>
        <w:t>u</w:t>
      </w:r>
      <w:r w:rsidRPr="00873110">
        <w:rPr>
          <w:color w:val="000000"/>
          <w:szCs w:val="22"/>
        </w:rPr>
        <w:t>vernement lors des multiples rencontres qui ont lieu avant et après l'imposition des contrôles. En fonction de cette orientation, la premi</w:t>
      </w:r>
      <w:r w:rsidRPr="00873110">
        <w:rPr>
          <w:color w:val="000000"/>
          <w:szCs w:val="22"/>
        </w:rPr>
        <w:t>è</w:t>
      </w:r>
      <w:r w:rsidRPr="00873110">
        <w:rPr>
          <w:color w:val="000000"/>
          <w:szCs w:val="22"/>
        </w:rPr>
        <w:t>re préoccupation des dirigeants est de convaincre le gouvernement de réaliser une véritable concertation institutionnalisée, et c'est à partir de cet objectif aussi que l'action de masse est conçue comme ultime r</w:t>
      </w:r>
      <w:r w:rsidRPr="00873110">
        <w:rPr>
          <w:color w:val="000000"/>
          <w:szCs w:val="22"/>
        </w:rPr>
        <w:t>e</w:t>
      </w:r>
      <w:r w:rsidRPr="00873110">
        <w:rPr>
          <w:color w:val="000000"/>
          <w:szCs w:val="22"/>
        </w:rPr>
        <w:t>cours face à un gouvernement qui refuse de bouger, plutôt que comme le moyen privilégié de changer l'ordre des choses. Le calendrier des rencontres au sommet n'est pas déterminé par la mobilisation, c'est le calendrier de la mobilisation qui est déterminé par l'évolution des re</w:t>
      </w:r>
      <w:r w:rsidRPr="00873110">
        <w:rPr>
          <w:color w:val="000000"/>
          <w:szCs w:val="22"/>
        </w:rPr>
        <w:t>n</w:t>
      </w:r>
      <w:r w:rsidRPr="00873110">
        <w:rPr>
          <w:color w:val="000000"/>
          <w:szCs w:val="22"/>
        </w:rPr>
        <w:t>contres au sommet.</w:t>
      </w:r>
    </w:p>
    <w:p w:rsidR="00AD690E" w:rsidRPr="00873110" w:rsidRDefault="00AD690E" w:rsidP="00AD690E">
      <w:pPr>
        <w:spacing w:before="120" w:after="120"/>
        <w:jc w:val="both"/>
      </w:pPr>
      <w:r w:rsidRPr="00873110">
        <w:rPr>
          <w:color w:val="000000"/>
          <w:szCs w:val="22"/>
        </w:rPr>
        <w:t>Nous avons vu que, jusqu'en 1984, le gouvernement a échoué dans sa tentative de gagner l'adhésion volontaire des syndicats à ses pr</w:t>
      </w:r>
      <w:r w:rsidRPr="00873110">
        <w:rPr>
          <w:color w:val="000000"/>
          <w:szCs w:val="22"/>
        </w:rPr>
        <w:t>o</w:t>
      </w:r>
      <w:r w:rsidRPr="00873110">
        <w:rPr>
          <w:color w:val="000000"/>
          <w:szCs w:val="22"/>
        </w:rPr>
        <w:t>grammes de restrictions, qu'il a eu, de ce fait, recours à la coercition et que cela a consacré, selon le mot de Giles, la « désintégration » du consensus. Nous devons constater maintenant que la direction du CTC a, de son côté, échoué à réaliser le corporatisme social et la centralis</w:t>
      </w:r>
      <w:r w:rsidRPr="00873110">
        <w:rPr>
          <w:color w:val="000000"/>
          <w:szCs w:val="22"/>
        </w:rPr>
        <w:t>a</w:t>
      </w:r>
      <w:r w:rsidRPr="00873110">
        <w:rPr>
          <w:color w:val="000000"/>
          <w:szCs w:val="22"/>
        </w:rPr>
        <w:t>tion des structures de l'organisme.</w:t>
      </w:r>
    </w:p>
    <w:p w:rsidR="00AD690E" w:rsidRPr="00873110" w:rsidRDefault="00AD690E" w:rsidP="00AD690E">
      <w:pPr>
        <w:spacing w:before="120" w:after="120"/>
        <w:jc w:val="both"/>
      </w:pPr>
      <w:r w:rsidRPr="00873110">
        <w:rPr>
          <w:color w:val="000000"/>
          <w:szCs w:val="22"/>
        </w:rPr>
        <w:t>Ses efforts se sont brisés sur deux types d'obstacles. Tout d'abord, il était impossible aux dirigeants de la centrale syndicale de reconna</w:t>
      </w:r>
      <w:r w:rsidRPr="00873110">
        <w:rPr>
          <w:color w:val="000000"/>
          <w:szCs w:val="22"/>
        </w:rPr>
        <w:t>î</w:t>
      </w:r>
      <w:r w:rsidRPr="00873110">
        <w:rPr>
          <w:color w:val="000000"/>
          <w:szCs w:val="22"/>
        </w:rPr>
        <w:t>tre officiellement la nécessité de contrôles et de restrictions des prix et des revenus, sans lier cette reconnaissance à l'exigence de la fin i</w:t>
      </w:r>
      <w:r w:rsidRPr="00873110">
        <w:rPr>
          <w:color w:val="000000"/>
          <w:szCs w:val="22"/>
        </w:rPr>
        <w:t>m</w:t>
      </w:r>
      <w:r w:rsidRPr="00873110">
        <w:rPr>
          <w:color w:val="000000"/>
          <w:szCs w:val="22"/>
        </w:rPr>
        <w:t>médiate des contrôles coercitifs. Or le gouvernement, jusqu'</w:t>
      </w:r>
      <w:r>
        <w:rPr>
          <w:color w:val="000000"/>
          <w:szCs w:val="22"/>
        </w:rPr>
        <w:t> </w:t>
      </w:r>
      <w:r w:rsidRPr="00873110">
        <w:rPr>
          <w:color w:val="000000"/>
          <w:szCs w:val="22"/>
        </w:rPr>
        <w:t>à la fin, réclama l'engagement préalable des syndicats à une politique de re</w:t>
      </w:r>
      <w:r w:rsidRPr="00873110">
        <w:rPr>
          <w:color w:val="000000"/>
          <w:szCs w:val="22"/>
        </w:rPr>
        <w:t>s</w:t>
      </w:r>
      <w:r w:rsidRPr="00873110">
        <w:rPr>
          <w:color w:val="000000"/>
          <w:szCs w:val="22"/>
        </w:rPr>
        <w:t>trictions avant de mettre fin aux contrôles. Dans ces conditions, le coût politique qu'aurait représenté pour les dirigeants du CTC une a</w:t>
      </w:r>
      <w:r w:rsidRPr="00873110">
        <w:rPr>
          <w:color w:val="000000"/>
          <w:szCs w:val="22"/>
        </w:rPr>
        <w:t>c</w:t>
      </w:r>
      <w:r w:rsidRPr="00873110">
        <w:rPr>
          <w:color w:val="000000"/>
          <w:szCs w:val="22"/>
        </w:rPr>
        <w:t>ceptation des contrôles était trop élevé, compte tenu de la très grande opposition et de la</w:t>
      </w:r>
      <w:r>
        <w:rPr>
          <w:color w:val="000000"/>
          <w:szCs w:val="22"/>
        </w:rPr>
        <w:t xml:space="preserve"> </w:t>
      </w:r>
      <w:r>
        <w:t>[</w:t>
      </w:r>
      <w:r w:rsidRPr="00873110">
        <w:rPr>
          <w:rFonts w:cs="Arial"/>
          <w:color w:val="000000"/>
          <w:szCs w:val="18"/>
        </w:rPr>
        <w:t>284</w:t>
      </w:r>
      <w:r>
        <w:rPr>
          <w:rFonts w:cs="Arial"/>
          <w:color w:val="000000"/>
          <w:szCs w:val="18"/>
        </w:rPr>
        <w:t xml:space="preserve">] </w:t>
      </w:r>
      <w:r w:rsidRPr="00873110">
        <w:rPr>
          <w:color w:val="000000"/>
          <w:szCs w:val="22"/>
        </w:rPr>
        <w:t>volonté de mobilisation qui se développait à travers le pays. Durant l'automne 77 et l'hiver 78, plusieurs Fédér</w:t>
      </w:r>
      <w:r w:rsidRPr="00873110">
        <w:rPr>
          <w:color w:val="000000"/>
          <w:szCs w:val="22"/>
        </w:rPr>
        <w:t>a</w:t>
      </w:r>
      <w:r w:rsidRPr="00873110">
        <w:rPr>
          <w:color w:val="000000"/>
          <w:szCs w:val="22"/>
        </w:rPr>
        <w:t>tions du travail, dont celles de l'Ontario, de la Colombie-Britannique, du Québec, du Manitoba et de la Saskatchewan ainsi que de grands syndicats, tel le Syndicat canadien de la fonction publique, se prono</w:t>
      </w:r>
      <w:r w:rsidRPr="00873110">
        <w:rPr>
          <w:color w:val="000000"/>
          <w:szCs w:val="22"/>
        </w:rPr>
        <w:t>n</w:t>
      </w:r>
      <w:r w:rsidRPr="00873110">
        <w:rPr>
          <w:color w:val="000000"/>
          <w:szCs w:val="22"/>
        </w:rPr>
        <w:t>çaient contre le triparti</w:t>
      </w:r>
      <w:r w:rsidRPr="00873110">
        <w:rPr>
          <w:color w:val="000000"/>
          <w:szCs w:val="22"/>
        </w:rPr>
        <w:t>s</w:t>
      </w:r>
      <w:r w:rsidRPr="00873110">
        <w:rPr>
          <w:color w:val="000000"/>
          <w:szCs w:val="22"/>
        </w:rPr>
        <w:t>me</w:t>
      </w:r>
      <w:r>
        <w:rPr>
          <w:color w:val="000000"/>
          <w:szCs w:val="22"/>
        </w:rPr>
        <w:t> </w:t>
      </w:r>
      <w:r w:rsidRPr="002A1EB4">
        <w:rPr>
          <w:rStyle w:val="Appelnotedebasdep"/>
        </w:rPr>
        <w:footnoteReference w:id="491"/>
      </w:r>
      <w:r w:rsidRPr="00873110">
        <w:rPr>
          <w:color w:val="000000"/>
          <w:szCs w:val="22"/>
        </w:rPr>
        <w:t>. Au congrès de la centrale, plusieurs délégués et déléguées se concertaient pour défendre la même position. Ultimement, c'est moins l'intransigeance du gouvernement qui devait retenir la direction du CTC de conclure une entente avec lui, que l'o</w:t>
      </w:r>
      <w:r w:rsidRPr="00873110">
        <w:rPr>
          <w:color w:val="000000"/>
          <w:szCs w:val="22"/>
        </w:rPr>
        <w:t>p</w:t>
      </w:r>
      <w:r w:rsidRPr="00873110">
        <w:rPr>
          <w:color w:val="000000"/>
          <w:szCs w:val="22"/>
        </w:rPr>
        <w:t>position venant des rangs de l'organisation.</w:t>
      </w:r>
    </w:p>
    <w:p w:rsidR="00AD690E" w:rsidRPr="00873110" w:rsidRDefault="00AD690E" w:rsidP="00AD690E">
      <w:pPr>
        <w:spacing w:before="120" w:after="120"/>
        <w:jc w:val="both"/>
      </w:pPr>
      <w:r w:rsidRPr="00873110">
        <w:rPr>
          <w:color w:val="000000"/>
          <w:szCs w:val="22"/>
        </w:rPr>
        <w:t>Le CTC estimait aussi que le « prix à payer » par le gouvernement pour obtenir son adhésion aux contrôles, devrait être l'attribution aux syndicats d'un pouvoir décisionnel dans la structure de concertation tripartite. Ce nouveau « pouvoir » gagné par le CTC aurait pu être i</w:t>
      </w:r>
      <w:r w:rsidRPr="00873110">
        <w:rPr>
          <w:color w:val="000000"/>
          <w:szCs w:val="22"/>
        </w:rPr>
        <w:t>n</w:t>
      </w:r>
      <w:r w:rsidRPr="00873110">
        <w:rPr>
          <w:color w:val="000000"/>
          <w:szCs w:val="22"/>
        </w:rPr>
        <w:t>voqué auprès des membres comme un argument en faveur de l'acce</w:t>
      </w:r>
      <w:r w:rsidRPr="00873110">
        <w:rPr>
          <w:color w:val="000000"/>
          <w:szCs w:val="22"/>
        </w:rPr>
        <w:t>p</w:t>
      </w:r>
      <w:r w:rsidRPr="00873110">
        <w:rPr>
          <w:color w:val="000000"/>
          <w:szCs w:val="22"/>
        </w:rPr>
        <w:t>tation des contrôles et d'une plus grande centralisation des structures de la centrale. Or, tout en reprochant aux dirigeants syndicaux de ne pas être capables d'obtenir l'assentiment de leurs membres pour conclure des accords de politique économique avec le gouvern</w:t>
      </w:r>
      <w:r w:rsidRPr="00873110">
        <w:rPr>
          <w:color w:val="000000"/>
          <w:szCs w:val="22"/>
        </w:rPr>
        <w:t>e</w:t>
      </w:r>
      <w:r w:rsidRPr="00873110">
        <w:rPr>
          <w:color w:val="000000"/>
          <w:szCs w:val="22"/>
        </w:rPr>
        <w:t>ment</w:t>
      </w:r>
      <w:r>
        <w:rPr>
          <w:color w:val="000000"/>
          <w:szCs w:val="22"/>
        </w:rPr>
        <w:t> </w:t>
      </w:r>
      <w:r w:rsidRPr="002A1EB4">
        <w:rPr>
          <w:rStyle w:val="Appelnotedebasdep"/>
        </w:rPr>
        <w:footnoteReference w:id="492"/>
      </w:r>
      <w:r w:rsidRPr="00873110">
        <w:rPr>
          <w:color w:val="000000"/>
          <w:szCs w:val="22"/>
        </w:rPr>
        <w:t>, le premier ministre Trudeau refusa toujours de confier un pouvoir décisionnel à la structure de concertation, au nom de la souv</w:t>
      </w:r>
      <w:r w:rsidRPr="00873110">
        <w:rPr>
          <w:color w:val="000000"/>
          <w:szCs w:val="22"/>
        </w:rPr>
        <w:t>e</w:t>
      </w:r>
      <w:r w:rsidRPr="00873110">
        <w:rPr>
          <w:color w:val="000000"/>
          <w:szCs w:val="22"/>
        </w:rPr>
        <w:t>raineté du Parlement canadien, et continua d'exiger la création d'une structure multipartite plutôt que tripartite. À travers la souveraineté du Parl</w:t>
      </w:r>
      <w:r w:rsidRPr="00873110">
        <w:rPr>
          <w:color w:val="000000"/>
          <w:szCs w:val="22"/>
        </w:rPr>
        <w:t>e</w:t>
      </w:r>
      <w:r w:rsidRPr="00873110">
        <w:rPr>
          <w:color w:val="000000"/>
          <w:szCs w:val="22"/>
        </w:rPr>
        <w:t>ment, le gouvernement défendait la centralisation politique de l'État canadien — dans un contexte de crise constitutionnelle — contre une décentralisation des pouvoirs qu'aurait pu favoriser le tr</w:t>
      </w:r>
      <w:r w:rsidRPr="00873110">
        <w:rPr>
          <w:color w:val="000000"/>
          <w:szCs w:val="22"/>
        </w:rPr>
        <w:t>i</w:t>
      </w:r>
      <w:r w:rsidRPr="00873110">
        <w:rPr>
          <w:color w:val="000000"/>
          <w:szCs w:val="22"/>
        </w:rPr>
        <w:t>partisme déc</w:t>
      </w:r>
      <w:r w:rsidRPr="00873110">
        <w:rPr>
          <w:color w:val="000000"/>
          <w:szCs w:val="22"/>
        </w:rPr>
        <w:t>i</w:t>
      </w:r>
      <w:r w:rsidRPr="00873110">
        <w:rPr>
          <w:color w:val="000000"/>
          <w:szCs w:val="22"/>
        </w:rPr>
        <w:t>sionnel. À travers l'exigence du multipartisme, il refusait d'accorder un poids privilégié à certaines organisations comme le mouvement syndical, au détriment d'autres groupes sociaux. Adams souligne aussi que des représentants du patronat s'objectaient au tr</w:t>
      </w:r>
      <w:r w:rsidRPr="00873110">
        <w:rPr>
          <w:color w:val="000000"/>
          <w:szCs w:val="22"/>
        </w:rPr>
        <w:t>i</w:t>
      </w:r>
      <w:r w:rsidRPr="00873110">
        <w:rPr>
          <w:color w:val="000000"/>
          <w:szCs w:val="22"/>
        </w:rPr>
        <w:t>partisme en craignant que la création d'une puissante fédération patr</w:t>
      </w:r>
      <w:r w:rsidRPr="00873110">
        <w:rPr>
          <w:color w:val="000000"/>
          <w:szCs w:val="22"/>
        </w:rPr>
        <w:t>o</w:t>
      </w:r>
      <w:r w:rsidRPr="00873110">
        <w:rPr>
          <w:color w:val="000000"/>
          <w:szCs w:val="22"/>
        </w:rPr>
        <w:t>nale diffuse une image classiste plutôt que pluraliste de la société</w:t>
      </w:r>
      <w:r>
        <w:rPr>
          <w:color w:val="000000"/>
          <w:szCs w:val="22"/>
        </w:rPr>
        <w:t> </w:t>
      </w:r>
      <w:r w:rsidRPr="002A1EB4">
        <w:rPr>
          <w:rStyle w:val="Appelnotedebasdep"/>
        </w:rPr>
        <w:footnoteReference w:id="493"/>
      </w:r>
      <w:r w:rsidRPr="00873110">
        <w:rPr>
          <w:color w:val="000000"/>
          <w:szCs w:val="22"/>
        </w:rPr>
        <w:t>. Pourquoi, de plus, reconnaître aux syndicats le droit de parler au nom de toute la popul</w:t>
      </w:r>
      <w:r w:rsidRPr="00873110">
        <w:rPr>
          <w:color w:val="000000"/>
          <w:szCs w:val="22"/>
        </w:rPr>
        <w:t>a</w:t>
      </w:r>
      <w:r w:rsidRPr="00873110">
        <w:rPr>
          <w:color w:val="000000"/>
          <w:szCs w:val="22"/>
        </w:rPr>
        <w:t>tion laborieuse ? De son côté, le CTC craignait de voir son poids et son influence réduits ou annulés dans le cadre d'un forum d'intérêts multiples. Malgré tout, en mai 1977, lors d'une re</w:t>
      </w:r>
      <w:r w:rsidRPr="00873110">
        <w:rPr>
          <w:color w:val="000000"/>
          <w:szCs w:val="22"/>
        </w:rPr>
        <w:t>n</w:t>
      </w:r>
      <w:r w:rsidRPr="00873110">
        <w:rPr>
          <w:color w:val="000000"/>
          <w:szCs w:val="22"/>
        </w:rPr>
        <w:t>contre avec le pr</w:t>
      </w:r>
      <w:r w:rsidRPr="00873110">
        <w:rPr>
          <w:color w:val="000000"/>
          <w:szCs w:val="22"/>
        </w:rPr>
        <w:t>e</w:t>
      </w:r>
      <w:r w:rsidRPr="00873110">
        <w:rPr>
          <w:color w:val="000000"/>
          <w:szCs w:val="22"/>
        </w:rPr>
        <w:t>mier ministre, la direction du CTC s'était déclarée prête à laisser to</w:t>
      </w:r>
      <w:r w:rsidRPr="00873110">
        <w:rPr>
          <w:color w:val="000000"/>
          <w:szCs w:val="22"/>
        </w:rPr>
        <w:t>m</w:t>
      </w:r>
      <w:r w:rsidRPr="00873110">
        <w:rPr>
          <w:color w:val="000000"/>
          <w:szCs w:val="22"/>
        </w:rPr>
        <w:t>ber sa revendication d'un pouvoir décisionnel et même à faire un pas dans l'acceptation des contrôles volontaires. La future commission tripartite, disait Joe Morris, n'aurait qu'un rôle d'i</w:t>
      </w:r>
      <w:r w:rsidRPr="00873110">
        <w:rPr>
          <w:color w:val="000000"/>
          <w:szCs w:val="22"/>
        </w:rPr>
        <w:t>n</w:t>
      </w:r>
      <w:r w:rsidRPr="00873110">
        <w:rPr>
          <w:color w:val="000000"/>
          <w:szCs w:val="22"/>
        </w:rPr>
        <w:t>formation et de pe</w:t>
      </w:r>
      <w:r w:rsidRPr="00873110">
        <w:rPr>
          <w:color w:val="000000"/>
          <w:szCs w:val="22"/>
        </w:rPr>
        <w:t>r</w:t>
      </w:r>
      <w:r w:rsidRPr="00873110">
        <w:rPr>
          <w:color w:val="000000"/>
          <w:szCs w:val="22"/>
        </w:rPr>
        <w:t>suasion et elle n'aurait pas l'autorité d'émettre des « lignes directrices » en matière de contrôles des prix et des salaires. Mais Trudeau, sans vouloir confier à la Commission un pouvoir déc</w:t>
      </w:r>
      <w:r w:rsidRPr="00873110">
        <w:rPr>
          <w:color w:val="000000"/>
          <w:szCs w:val="22"/>
        </w:rPr>
        <w:t>i</w:t>
      </w:r>
      <w:r w:rsidRPr="00873110">
        <w:rPr>
          <w:color w:val="000000"/>
          <w:szCs w:val="22"/>
        </w:rPr>
        <w:t>sionnel sur les polit</w:t>
      </w:r>
      <w:r w:rsidRPr="00873110">
        <w:rPr>
          <w:color w:val="000000"/>
          <w:szCs w:val="22"/>
        </w:rPr>
        <w:t>i</w:t>
      </w:r>
      <w:r w:rsidRPr="00873110">
        <w:rPr>
          <w:color w:val="000000"/>
          <w:szCs w:val="22"/>
        </w:rPr>
        <w:t>ques</w:t>
      </w:r>
      <w:r>
        <w:rPr>
          <w:color w:val="000000"/>
          <w:szCs w:val="22"/>
        </w:rPr>
        <w:t xml:space="preserve"> </w:t>
      </w:r>
      <w:r>
        <w:t xml:space="preserve">[285] </w:t>
      </w:r>
      <w:r w:rsidRPr="00873110">
        <w:rPr>
          <w:color w:val="000000"/>
          <w:szCs w:val="22"/>
        </w:rPr>
        <w:t>économiques du gouvernement, tenait à ce qu'elle émette de telles lignes directrices. Il ne voulait pas du tr</w:t>
      </w:r>
      <w:r w:rsidRPr="00873110">
        <w:rPr>
          <w:color w:val="000000"/>
          <w:szCs w:val="22"/>
        </w:rPr>
        <w:t>i</w:t>
      </w:r>
      <w:r w:rsidRPr="00873110">
        <w:rPr>
          <w:color w:val="000000"/>
          <w:szCs w:val="22"/>
        </w:rPr>
        <w:t>partisme mais tenait au mult</w:t>
      </w:r>
      <w:r w:rsidRPr="00873110">
        <w:rPr>
          <w:color w:val="000000"/>
          <w:szCs w:val="22"/>
        </w:rPr>
        <w:t>i</w:t>
      </w:r>
      <w:r w:rsidRPr="00873110">
        <w:rPr>
          <w:color w:val="000000"/>
          <w:szCs w:val="22"/>
        </w:rPr>
        <w:t>partisme.</w:t>
      </w:r>
    </w:p>
    <w:p w:rsidR="00AD690E" w:rsidRPr="00873110" w:rsidRDefault="00AD690E" w:rsidP="00AD690E">
      <w:pPr>
        <w:spacing w:before="120" w:after="120"/>
        <w:jc w:val="both"/>
      </w:pPr>
      <w:r w:rsidRPr="00873110">
        <w:rPr>
          <w:color w:val="000000"/>
          <w:szCs w:val="22"/>
        </w:rPr>
        <w:t>Ainsi les contrôles furent maintenus. Et quand la récession vint frapper en 1981, de nouveaux contrôles coercitifs vinrent remplacer les premiers.</w:t>
      </w:r>
    </w:p>
    <w:p w:rsidR="00AD690E" w:rsidRDefault="00AD690E" w:rsidP="00AD690E">
      <w:pPr>
        <w:spacing w:before="120" w:after="120"/>
        <w:jc w:val="both"/>
        <w:rPr>
          <w:color w:val="000000"/>
          <w:szCs w:val="22"/>
        </w:rPr>
      </w:pPr>
    </w:p>
    <w:p w:rsidR="00AD690E" w:rsidRPr="00873110" w:rsidRDefault="00AD690E" w:rsidP="00AD690E">
      <w:pPr>
        <w:pStyle w:val="planche"/>
      </w:pPr>
      <w:r w:rsidRPr="00873110">
        <w:t>UN NOUVEAU RAPPORT DE FORCES.</w:t>
      </w:r>
    </w:p>
    <w:p w:rsidR="00AD690E" w:rsidRDefault="00AD690E" w:rsidP="00AD690E">
      <w:pPr>
        <w:spacing w:before="120" w:after="120"/>
        <w:jc w:val="both"/>
        <w:rPr>
          <w:color w:val="000000"/>
          <w:szCs w:val="22"/>
        </w:rPr>
      </w:pPr>
    </w:p>
    <w:p w:rsidR="00AD690E" w:rsidRPr="00873110" w:rsidRDefault="00AD690E" w:rsidP="00AD690E">
      <w:pPr>
        <w:spacing w:before="120" w:after="120"/>
        <w:ind w:firstLine="0"/>
        <w:jc w:val="both"/>
      </w:pPr>
      <w:r w:rsidRPr="00873110">
        <w:rPr>
          <w:color w:val="000000"/>
          <w:szCs w:val="22"/>
        </w:rPr>
        <w:t>Abordons maintenant la dernière partie de notre travail qui sera aussi notre conclusion.</w:t>
      </w:r>
    </w:p>
    <w:p w:rsidR="00AD690E" w:rsidRPr="00873110" w:rsidRDefault="00AD690E" w:rsidP="00AD690E">
      <w:pPr>
        <w:spacing w:before="120" w:after="120"/>
        <w:jc w:val="both"/>
      </w:pPr>
      <w:r w:rsidRPr="00873110">
        <w:rPr>
          <w:color w:val="000000"/>
          <w:szCs w:val="22"/>
        </w:rPr>
        <w:t>Nous soulignerons en premier lieu quelques éléments de portée générale qui débordent, tout en les intégrant, les questions plus spéc</w:t>
      </w:r>
      <w:r w:rsidRPr="00873110">
        <w:rPr>
          <w:color w:val="000000"/>
          <w:szCs w:val="22"/>
        </w:rPr>
        <w:t>i</w:t>
      </w:r>
      <w:r w:rsidRPr="00873110">
        <w:rPr>
          <w:color w:val="000000"/>
          <w:szCs w:val="22"/>
        </w:rPr>
        <w:t>fiques de l'évolution des rapports entre l'État fédéral et le syndicalisme pendant l'ère libérale.</w:t>
      </w:r>
    </w:p>
    <w:p w:rsidR="00AD690E" w:rsidRPr="00873110" w:rsidRDefault="00AD690E" w:rsidP="00AD690E">
      <w:pPr>
        <w:spacing w:before="120" w:after="120"/>
        <w:jc w:val="both"/>
      </w:pPr>
      <w:r w:rsidRPr="00873110">
        <w:rPr>
          <w:color w:val="000000"/>
          <w:szCs w:val="22"/>
        </w:rPr>
        <w:t>Le mouvement de croissance ininterrompue du syndicalisme pe</w:t>
      </w:r>
      <w:r w:rsidRPr="00873110">
        <w:rPr>
          <w:color w:val="000000"/>
          <w:szCs w:val="22"/>
        </w:rPr>
        <w:t>n</w:t>
      </w:r>
      <w:r w:rsidRPr="00873110">
        <w:rPr>
          <w:color w:val="000000"/>
          <w:szCs w:val="22"/>
        </w:rPr>
        <w:t>dant les années 60 et 70, s'est arrêté au début des années 80. On a r</w:t>
      </w:r>
      <w:r w:rsidRPr="00873110">
        <w:rPr>
          <w:color w:val="000000"/>
          <w:szCs w:val="22"/>
        </w:rPr>
        <w:t>e</w:t>
      </w:r>
      <w:r w:rsidRPr="00873110">
        <w:rPr>
          <w:color w:val="000000"/>
          <w:szCs w:val="22"/>
        </w:rPr>
        <w:t>levé certains facteurs de stagnation ou même de déclin de la force o</w:t>
      </w:r>
      <w:r w:rsidRPr="00873110">
        <w:rPr>
          <w:color w:val="000000"/>
          <w:szCs w:val="22"/>
        </w:rPr>
        <w:t>u</w:t>
      </w:r>
      <w:r w:rsidRPr="00873110">
        <w:rPr>
          <w:color w:val="000000"/>
          <w:szCs w:val="22"/>
        </w:rPr>
        <w:t>vrière organisée. Récession, chômage massif, changements technol</w:t>
      </w:r>
      <w:r w:rsidRPr="00873110">
        <w:rPr>
          <w:color w:val="000000"/>
          <w:szCs w:val="22"/>
        </w:rPr>
        <w:t>o</w:t>
      </w:r>
      <w:r w:rsidRPr="00873110">
        <w:rPr>
          <w:color w:val="000000"/>
          <w:szCs w:val="22"/>
        </w:rPr>
        <w:t>giques, licenciements, restrictions budgétaires, concessions, voilà a</w:t>
      </w:r>
      <w:r w:rsidRPr="00873110">
        <w:rPr>
          <w:color w:val="000000"/>
          <w:szCs w:val="22"/>
        </w:rPr>
        <w:t>u</w:t>
      </w:r>
      <w:r w:rsidRPr="00873110">
        <w:rPr>
          <w:color w:val="000000"/>
          <w:szCs w:val="22"/>
        </w:rPr>
        <w:t>tant de facteurs qu'on cite le plus souvent pour tenter de fournir une explication au phénomène observé. Les effectifs syndicaux ont baissé. En 1982, par exemple le mouvement syndical canadien perdait 55</w:t>
      </w:r>
      <w:r>
        <w:rPr>
          <w:color w:val="000000"/>
          <w:szCs w:val="22"/>
        </w:rPr>
        <w:t> </w:t>
      </w:r>
      <w:r w:rsidRPr="00873110">
        <w:rPr>
          <w:color w:val="000000"/>
          <w:szCs w:val="22"/>
        </w:rPr>
        <w:t>000 membres, ce qui non seulement constituait son premier déclin num</w:t>
      </w:r>
      <w:r w:rsidRPr="00873110">
        <w:rPr>
          <w:color w:val="000000"/>
          <w:szCs w:val="22"/>
        </w:rPr>
        <w:t>é</w:t>
      </w:r>
      <w:r w:rsidRPr="00873110">
        <w:rPr>
          <w:color w:val="000000"/>
          <w:szCs w:val="22"/>
        </w:rPr>
        <w:t>rique depuis 1961, mais la baisse la plus importante qu'il ait enregistré depuis six décennies. Outre le fléchissement du nombre, on a diagno</w:t>
      </w:r>
      <w:r w:rsidRPr="00873110">
        <w:rPr>
          <w:color w:val="000000"/>
          <w:szCs w:val="22"/>
        </w:rPr>
        <w:t>s</w:t>
      </w:r>
      <w:r w:rsidRPr="00873110">
        <w:rPr>
          <w:color w:val="000000"/>
          <w:szCs w:val="22"/>
        </w:rPr>
        <w:t>tiqué une baisse du pouvoir économique des syndicats et une « marginalisation de leur influence politique »</w:t>
      </w:r>
      <w:r>
        <w:rPr>
          <w:color w:val="000000"/>
          <w:szCs w:val="22"/>
        </w:rPr>
        <w:t> </w:t>
      </w:r>
      <w:r w:rsidRPr="002A1EB4">
        <w:rPr>
          <w:rStyle w:val="Appelnotedebasdep"/>
        </w:rPr>
        <w:footnoteReference w:id="494"/>
      </w:r>
      <w:r w:rsidRPr="00873110">
        <w:rPr>
          <w:color w:val="000000"/>
          <w:szCs w:val="22"/>
        </w:rPr>
        <w:t xml:space="preserve"> Les syndicats ont enregistré un déclin du revenu réel de leurs membres et ils ont dû e</w:t>
      </w:r>
      <w:r w:rsidRPr="00873110">
        <w:rPr>
          <w:color w:val="000000"/>
          <w:szCs w:val="22"/>
        </w:rPr>
        <w:t>n</w:t>
      </w:r>
      <w:r w:rsidRPr="00873110">
        <w:rPr>
          <w:color w:val="000000"/>
          <w:szCs w:val="22"/>
        </w:rPr>
        <w:t>caisser parfois la perte de droits acquis tels la sécurité d'emploi, l'a</w:t>
      </w:r>
      <w:r w:rsidRPr="00873110">
        <w:rPr>
          <w:color w:val="000000"/>
          <w:szCs w:val="22"/>
        </w:rPr>
        <w:t>n</w:t>
      </w:r>
      <w:r w:rsidRPr="00873110">
        <w:rPr>
          <w:color w:val="000000"/>
          <w:szCs w:val="22"/>
        </w:rPr>
        <w:t>cienneté, le droit à la négociation collective, ou encore la multiplic</w:t>
      </w:r>
      <w:r w:rsidRPr="00873110">
        <w:rPr>
          <w:color w:val="000000"/>
          <w:szCs w:val="22"/>
        </w:rPr>
        <w:t>a</w:t>
      </w:r>
      <w:r w:rsidRPr="00873110">
        <w:rPr>
          <w:color w:val="000000"/>
          <w:szCs w:val="22"/>
        </w:rPr>
        <w:t>tion des emplois à temps partiel et l'extension du travail précaire. S</w:t>
      </w:r>
      <w:r w:rsidRPr="00873110">
        <w:rPr>
          <w:color w:val="000000"/>
          <w:szCs w:val="22"/>
        </w:rPr>
        <w:t>u</w:t>
      </w:r>
      <w:r w:rsidRPr="00873110">
        <w:rPr>
          <w:color w:val="000000"/>
          <w:szCs w:val="22"/>
        </w:rPr>
        <w:t>bissant des reculs, les syndicats ont paru incapables d'organiser la r</w:t>
      </w:r>
      <w:r w:rsidRPr="00873110">
        <w:rPr>
          <w:color w:val="000000"/>
          <w:szCs w:val="22"/>
        </w:rPr>
        <w:t>i</w:t>
      </w:r>
      <w:r w:rsidRPr="00873110">
        <w:rPr>
          <w:color w:val="000000"/>
          <w:szCs w:val="22"/>
        </w:rPr>
        <w:t>poste et l'on a constaté la démobilisation des membres dans de no</w:t>
      </w:r>
      <w:r w:rsidRPr="00873110">
        <w:rPr>
          <w:color w:val="000000"/>
          <w:szCs w:val="22"/>
        </w:rPr>
        <w:t>m</w:t>
      </w:r>
      <w:r w:rsidRPr="00873110">
        <w:rPr>
          <w:color w:val="000000"/>
          <w:szCs w:val="22"/>
        </w:rPr>
        <w:t>breuses organisations.</w:t>
      </w:r>
    </w:p>
    <w:p w:rsidR="00AD690E" w:rsidRPr="00873110" w:rsidRDefault="00AD690E" w:rsidP="00AD690E">
      <w:pPr>
        <w:spacing w:before="120" w:after="120"/>
        <w:jc w:val="both"/>
      </w:pPr>
      <w:r w:rsidRPr="00873110">
        <w:rPr>
          <w:color w:val="000000"/>
          <w:szCs w:val="22"/>
        </w:rPr>
        <w:t>Si, devant l'ensemble de ces éléments, tous s'entendent pour reco</w:t>
      </w:r>
      <w:r w:rsidRPr="00873110">
        <w:rPr>
          <w:color w:val="000000"/>
          <w:szCs w:val="22"/>
        </w:rPr>
        <w:t>n</w:t>
      </w:r>
      <w:r w:rsidRPr="00873110">
        <w:rPr>
          <w:color w:val="000000"/>
          <w:szCs w:val="22"/>
        </w:rPr>
        <w:t>naître que le syndicalisme traverse une crise, on continue de s'interr</w:t>
      </w:r>
      <w:r w:rsidRPr="00873110">
        <w:rPr>
          <w:color w:val="000000"/>
          <w:szCs w:val="22"/>
        </w:rPr>
        <w:t>o</w:t>
      </w:r>
      <w:r w:rsidRPr="00873110">
        <w:rPr>
          <w:color w:val="000000"/>
          <w:szCs w:val="22"/>
        </w:rPr>
        <w:t>ger toutefois sur sa véritable nature : s'agit-il d'un phénomène struct</w:t>
      </w:r>
      <w:r w:rsidRPr="00873110">
        <w:rPr>
          <w:color w:val="000000"/>
          <w:szCs w:val="22"/>
        </w:rPr>
        <w:t>u</w:t>
      </w:r>
      <w:r w:rsidRPr="00873110">
        <w:rPr>
          <w:color w:val="000000"/>
          <w:szCs w:val="22"/>
        </w:rPr>
        <w:t>rel et permanent ou d'un processus conjoncturel et transitoire ? La question est posée et fait l'objet de diverses évaluations mais il n'en reste pas moins que, tout en étant confronté à des problèmes fond</w:t>
      </w:r>
      <w:r w:rsidRPr="00873110">
        <w:rPr>
          <w:color w:val="000000"/>
          <w:szCs w:val="22"/>
        </w:rPr>
        <w:t>a</w:t>
      </w:r>
      <w:r w:rsidRPr="00873110">
        <w:rPr>
          <w:color w:val="000000"/>
          <w:szCs w:val="22"/>
        </w:rPr>
        <w:t>mentaux, le mouvement syndical dispose aujourd'hui de forces et de moyens sans commune mesure avec ceux qui étaient les siens il y a 25 ans. Il ne suffit donc pas d'identifier les multiples « causes externes » de la crise syndicale, celles en particulier liées à la récession écon</w:t>
      </w:r>
      <w:r w:rsidRPr="00873110">
        <w:rPr>
          <w:color w:val="000000"/>
          <w:szCs w:val="22"/>
        </w:rPr>
        <w:t>o</w:t>
      </w:r>
      <w:r w:rsidRPr="00873110">
        <w:rPr>
          <w:color w:val="000000"/>
          <w:szCs w:val="22"/>
        </w:rPr>
        <w:t>mique mondiale du début de la décennie, mais il semble plus impo</w:t>
      </w:r>
      <w:r w:rsidRPr="00873110">
        <w:rPr>
          <w:color w:val="000000"/>
          <w:szCs w:val="22"/>
        </w:rPr>
        <w:t>r</w:t>
      </w:r>
      <w:r w:rsidRPr="00873110">
        <w:rPr>
          <w:color w:val="000000"/>
          <w:szCs w:val="22"/>
        </w:rPr>
        <w:t>tant de se demander pourquoi la</w:t>
      </w:r>
      <w:r>
        <w:rPr>
          <w:color w:val="000000"/>
          <w:szCs w:val="22"/>
        </w:rPr>
        <w:t xml:space="preserve"> </w:t>
      </w:r>
      <w:r>
        <w:t>[</w:t>
      </w:r>
      <w:r w:rsidRPr="00873110">
        <w:rPr>
          <w:color w:val="000000"/>
          <w:szCs w:val="18"/>
        </w:rPr>
        <w:t>286</w:t>
      </w:r>
      <w:r>
        <w:rPr>
          <w:color w:val="000000"/>
          <w:szCs w:val="18"/>
        </w:rPr>
        <w:t xml:space="preserve">] </w:t>
      </w:r>
      <w:r w:rsidRPr="00873110">
        <w:rPr>
          <w:color w:val="000000"/>
          <w:szCs w:val="22"/>
        </w:rPr>
        <w:t>nouvelle force syndicale n'a pas été capable de riposter plus efficac</w:t>
      </w:r>
      <w:r w:rsidRPr="00873110">
        <w:rPr>
          <w:color w:val="000000"/>
          <w:szCs w:val="22"/>
        </w:rPr>
        <w:t>e</w:t>
      </w:r>
      <w:r w:rsidRPr="00873110">
        <w:rPr>
          <w:color w:val="000000"/>
          <w:szCs w:val="22"/>
        </w:rPr>
        <w:t>ment aux contre-attaques de l'État et du patronat ? Ici, le domaine des « causes internes » de la crise est évoqué et il concerne notamment le problème de l'orientation du mo</w:t>
      </w:r>
      <w:r w:rsidRPr="00873110">
        <w:rPr>
          <w:color w:val="000000"/>
          <w:szCs w:val="22"/>
        </w:rPr>
        <w:t>u</w:t>
      </w:r>
      <w:r w:rsidRPr="00873110">
        <w:rPr>
          <w:color w:val="000000"/>
          <w:szCs w:val="22"/>
        </w:rPr>
        <w:t>vement syndical.</w:t>
      </w:r>
    </w:p>
    <w:p w:rsidR="00AD690E" w:rsidRPr="00873110" w:rsidRDefault="00AD690E" w:rsidP="00AD690E">
      <w:pPr>
        <w:spacing w:before="120" w:after="120"/>
        <w:jc w:val="both"/>
      </w:pPr>
      <w:r w:rsidRPr="00873110">
        <w:rPr>
          <w:color w:val="000000"/>
          <w:szCs w:val="22"/>
        </w:rPr>
        <w:t>Discutant d</w:t>
      </w:r>
      <w:r>
        <w:rPr>
          <w:color w:val="000000"/>
          <w:szCs w:val="22"/>
        </w:rPr>
        <w:t>e la crise du syndicalisme, Carl</w:t>
      </w:r>
      <w:r w:rsidRPr="00873110">
        <w:rPr>
          <w:color w:val="000000"/>
          <w:szCs w:val="22"/>
        </w:rPr>
        <w:t>a Lipsig-Mummé centre son attention sur la question qui lui paraît la plus déterminante, celle de la stratégie syndicale. De 1945 à 1975, souligne-t-elle, le mouv</w:t>
      </w:r>
      <w:r w:rsidRPr="00873110">
        <w:rPr>
          <w:color w:val="000000"/>
          <w:szCs w:val="22"/>
        </w:rPr>
        <w:t>e</w:t>
      </w:r>
      <w:r w:rsidRPr="00873110">
        <w:rPr>
          <w:color w:val="000000"/>
          <w:szCs w:val="22"/>
        </w:rPr>
        <w:t>ment syndical a considéré que la croissance de l'emploi et des effectifs syndicaux allait de pair avec la croissance soutenue des profits. Cette vision était conforme à celle d'un État-providence-médiateur dont on sollicitait l'intervention en défense des droits syndicaux et qu'on pe</w:t>
      </w:r>
      <w:r w:rsidRPr="00873110">
        <w:rPr>
          <w:color w:val="000000"/>
          <w:szCs w:val="22"/>
        </w:rPr>
        <w:t>r</w:t>
      </w:r>
      <w:r w:rsidRPr="00873110">
        <w:rPr>
          <w:color w:val="000000"/>
          <w:szCs w:val="22"/>
        </w:rPr>
        <w:t>cevait comme « civilisateur » des conflits. Cette conception a favorisé les « deux changements structurels » de la vie syndicale dans l'ère contemporaine : l'intégration à l'État et la dépendance face à l'État. Intégration coercitive d'une part lorsque l'État s'approprie des pouvoirs syndicaux à rencontre de la volonté syndicale ; et intégration conse</w:t>
      </w:r>
      <w:r w:rsidRPr="00873110">
        <w:rPr>
          <w:color w:val="000000"/>
          <w:szCs w:val="22"/>
        </w:rPr>
        <w:t>n</w:t>
      </w:r>
      <w:r w:rsidRPr="00873110">
        <w:rPr>
          <w:color w:val="000000"/>
          <w:szCs w:val="22"/>
        </w:rPr>
        <w:t>suelle lorsque le mouvement syndical collabore volontairement avec l'État pour en tirer certains bénéfices. Le point culminant de cette « collaboration opportuniste », selon Lipsig-Mummé, a été la « dépendance » accrue face à l'État et aux employeurs, les syndicats devenant de plus en plus dépendants des subventions étatiques pour la formation syndicale, les programmes d'apprentissage, la publication et la traduction des journaux syndicaux, etc. Cette idéologie de collab</w:t>
      </w:r>
      <w:r w:rsidRPr="00873110">
        <w:rPr>
          <w:color w:val="000000"/>
          <w:szCs w:val="22"/>
        </w:rPr>
        <w:t>o</w:t>
      </w:r>
      <w:r w:rsidRPr="00873110">
        <w:rPr>
          <w:color w:val="000000"/>
          <w:szCs w:val="22"/>
        </w:rPr>
        <w:t>ration a fort mal préparé les syndicats à l'ouverture d'une nouvelle p</w:t>
      </w:r>
      <w:r w:rsidRPr="00873110">
        <w:rPr>
          <w:color w:val="000000"/>
          <w:szCs w:val="22"/>
        </w:rPr>
        <w:t>é</w:t>
      </w:r>
      <w:r w:rsidRPr="00873110">
        <w:rPr>
          <w:color w:val="000000"/>
          <w:szCs w:val="22"/>
        </w:rPr>
        <w:t>riode, celle de la « désintégration » des États-Providence qui, incap</w:t>
      </w:r>
      <w:r w:rsidRPr="00873110">
        <w:rPr>
          <w:color w:val="000000"/>
          <w:szCs w:val="22"/>
        </w:rPr>
        <w:t>a</w:t>
      </w:r>
      <w:r w:rsidRPr="00873110">
        <w:rPr>
          <w:color w:val="000000"/>
          <w:szCs w:val="22"/>
        </w:rPr>
        <w:t>bles de s'accommoder plus longtemps des conquêtes sociales et synd</w:t>
      </w:r>
      <w:r w:rsidRPr="00873110">
        <w:rPr>
          <w:color w:val="000000"/>
          <w:szCs w:val="22"/>
        </w:rPr>
        <w:t>i</w:t>
      </w:r>
      <w:r w:rsidRPr="00873110">
        <w:rPr>
          <w:color w:val="000000"/>
          <w:szCs w:val="22"/>
        </w:rPr>
        <w:t>cales, se sont transformés en États « matraques ». Et Lipsig-Mummé de conclure ainsi son analyse :</w:t>
      </w:r>
    </w:p>
    <w:p w:rsidR="00AD690E" w:rsidRDefault="00AD690E" w:rsidP="00AD690E">
      <w:pPr>
        <w:pStyle w:val="Grillecouleur-Accent1"/>
      </w:pPr>
    </w:p>
    <w:p w:rsidR="00AD690E" w:rsidRDefault="00AD690E" w:rsidP="00AD690E">
      <w:pPr>
        <w:pStyle w:val="Grillecouleur-Accent1"/>
        <w:rPr>
          <w:i/>
        </w:rPr>
      </w:pPr>
      <w:r w:rsidRPr="00E61394">
        <w:t>Loin de se précipiter vers la concertation, il est peut-être arrivé le temps pour le mouvement syndical de réévaluer les coûts réels de cette longue période d'intégration et des voies possibles vers une véritable aut</w:t>
      </w:r>
      <w:r w:rsidRPr="00E61394">
        <w:t>o</w:t>
      </w:r>
      <w:r w:rsidRPr="00E61394">
        <w:t>nomie sy</w:t>
      </w:r>
      <w:r w:rsidRPr="00E61394">
        <w:t>n</w:t>
      </w:r>
      <w:r w:rsidRPr="00E61394">
        <w:t>dicale</w:t>
      </w:r>
      <w:r>
        <w:t> </w:t>
      </w:r>
      <w:r>
        <w:rPr>
          <w:rStyle w:val="Appelnotedebasdep"/>
          <w:szCs w:val="18"/>
        </w:rPr>
        <w:footnoteReference w:id="495"/>
      </w:r>
      <w:r w:rsidRPr="00873110">
        <w:rPr>
          <w:szCs w:val="18"/>
        </w:rPr>
        <w:t>.</w:t>
      </w:r>
      <w:r w:rsidRPr="00E61394">
        <w:rPr>
          <w:i/>
        </w:rPr>
        <w:t xml:space="preserve"> </w:t>
      </w:r>
    </w:p>
    <w:p w:rsidR="00AD690E" w:rsidRPr="000217F5" w:rsidRDefault="00AD690E" w:rsidP="00AD690E">
      <w:pPr>
        <w:pStyle w:val="Grillecouleur-Accent1"/>
        <w:rPr>
          <w:i/>
        </w:rPr>
      </w:pPr>
    </w:p>
    <w:p w:rsidR="00AD690E" w:rsidRPr="00873110" w:rsidRDefault="00AD690E" w:rsidP="00AD690E">
      <w:pPr>
        <w:spacing w:before="120" w:after="120"/>
        <w:jc w:val="both"/>
      </w:pPr>
      <w:r w:rsidRPr="00873110">
        <w:rPr>
          <w:color w:val="000000"/>
          <w:szCs w:val="22"/>
        </w:rPr>
        <w:t>Cette conclusion, qui fait de l'orientation stratégique du mouv</w:t>
      </w:r>
      <w:r w:rsidRPr="00873110">
        <w:rPr>
          <w:color w:val="000000"/>
          <w:szCs w:val="22"/>
        </w:rPr>
        <w:t>e</w:t>
      </w:r>
      <w:r w:rsidRPr="00873110">
        <w:rPr>
          <w:color w:val="000000"/>
          <w:szCs w:val="22"/>
        </w:rPr>
        <w:t>ment syndical l'enjeu le plus déterminant, nous ramène à notre propre travail. Comme nous avons voulu le montrer par l'étude des positions de la direction du CTC, il est incontestable que la collaboration et la recherche de la concertation ont été des pratiques marquantes de l'év</w:t>
      </w:r>
      <w:r w:rsidRPr="00873110">
        <w:rPr>
          <w:color w:val="000000"/>
          <w:szCs w:val="22"/>
        </w:rPr>
        <w:t>o</w:t>
      </w:r>
      <w:r w:rsidRPr="00873110">
        <w:rPr>
          <w:color w:val="000000"/>
          <w:szCs w:val="22"/>
        </w:rPr>
        <w:t>lution syndicale des deux dernières décennies. Mais nous avons con</w:t>
      </w:r>
      <w:r w:rsidRPr="00873110">
        <w:rPr>
          <w:color w:val="000000"/>
          <w:szCs w:val="22"/>
        </w:rPr>
        <w:t>s</w:t>
      </w:r>
      <w:r w:rsidRPr="00873110">
        <w:rPr>
          <w:color w:val="000000"/>
          <w:szCs w:val="22"/>
        </w:rPr>
        <w:t>taté aussi que la tentative d'institutionnaliser de façon structurelle et per</w:t>
      </w:r>
      <w:r>
        <w:rPr>
          <w:color w:val="000000"/>
          <w:szCs w:val="22"/>
        </w:rPr>
        <w:t>manente « l'intégration » État-</w:t>
      </w:r>
      <w:r w:rsidRPr="00873110">
        <w:rPr>
          <w:color w:val="000000"/>
          <w:szCs w:val="22"/>
        </w:rPr>
        <w:t>syndicat a été un échec. Malgré les ouvertures très grandes de la direction syndicale pour la réalisation du tripartisme, il est incontestable que la résistance et l'opposition man</w:t>
      </w:r>
      <w:r w:rsidRPr="00873110">
        <w:rPr>
          <w:color w:val="000000"/>
          <w:szCs w:val="22"/>
        </w:rPr>
        <w:t>i</w:t>
      </w:r>
      <w:r w:rsidRPr="00873110">
        <w:rPr>
          <w:color w:val="000000"/>
          <w:szCs w:val="22"/>
        </w:rPr>
        <w:t>festées au sein de la centrale contre cette politique ont été des facteurs décisifs de son échec. On ne saurait donc soulever le problème de la stratégie du mouvement syndical</w:t>
      </w:r>
      <w:r>
        <w:rPr>
          <w:color w:val="000000"/>
          <w:szCs w:val="22"/>
        </w:rPr>
        <w:t xml:space="preserve"> </w:t>
      </w:r>
      <w:r>
        <w:t xml:space="preserve">[287] </w:t>
      </w:r>
      <w:r w:rsidRPr="00873110">
        <w:rPr>
          <w:color w:val="000000"/>
          <w:szCs w:val="22"/>
        </w:rPr>
        <w:t>sans tenir compte du fait que son évolution n'a pas été marquée un</w:t>
      </w:r>
      <w:r w:rsidRPr="00873110">
        <w:rPr>
          <w:color w:val="000000"/>
          <w:szCs w:val="22"/>
        </w:rPr>
        <w:t>i</w:t>
      </w:r>
      <w:r w:rsidRPr="00873110">
        <w:rPr>
          <w:color w:val="000000"/>
          <w:szCs w:val="22"/>
        </w:rPr>
        <w:t>quement par la pratique de la collaboration mais par les luttes, les gr</w:t>
      </w:r>
      <w:r w:rsidRPr="00873110">
        <w:rPr>
          <w:color w:val="000000"/>
          <w:szCs w:val="22"/>
        </w:rPr>
        <w:t>è</w:t>
      </w:r>
      <w:r w:rsidRPr="00873110">
        <w:rPr>
          <w:color w:val="000000"/>
          <w:szCs w:val="22"/>
        </w:rPr>
        <w:t>ves, le refus des concessions et les mobilisations.</w:t>
      </w:r>
    </w:p>
    <w:p w:rsidR="00AD690E" w:rsidRPr="00873110" w:rsidRDefault="00AD690E" w:rsidP="00AD690E">
      <w:pPr>
        <w:spacing w:before="120" w:after="120"/>
        <w:jc w:val="both"/>
      </w:pPr>
      <w:r w:rsidRPr="00873110">
        <w:rPr>
          <w:color w:val="000000"/>
          <w:szCs w:val="22"/>
        </w:rPr>
        <w:t>Ces observations étant faites, quels éléments de bilan pouvons-nous dresser sur la période étudiée ?</w:t>
      </w:r>
    </w:p>
    <w:p w:rsidR="00AD690E" w:rsidRPr="00873110" w:rsidRDefault="00AD690E" w:rsidP="00AD690E">
      <w:pPr>
        <w:spacing w:before="120" w:after="120"/>
        <w:jc w:val="both"/>
      </w:pPr>
      <w:r w:rsidRPr="00873110">
        <w:rPr>
          <w:color w:val="000000"/>
          <w:szCs w:val="22"/>
        </w:rPr>
        <w:t>La plupart des auteurs qui étudient les relations de travail au Can</w:t>
      </w:r>
      <w:r w:rsidRPr="00873110">
        <w:rPr>
          <w:color w:val="000000"/>
          <w:szCs w:val="22"/>
        </w:rPr>
        <w:t>a</w:t>
      </w:r>
      <w:r w:rsidRPr="00873110">
        <w:rPr>
          <w:color w:val="000000"/>
          <w:szCs w:val="22"/>
        </w:rPr>
        <w:t>da recherchent les causes de ce qu'ils appellent généralement la « détérioration » des relations patronales-syndicales depuis les années 60. Pourquoi, par exemple, au cours des 25 dernières années, le Can</w:t>
      </w:r>
      <w:r w:rsidRPr="00873110">
        <w:rPr>
          <w:color w:val="000000"/>
          <w:szCs w:val="22"/>
        </w:rPr>
        <w:t>a</w:t>
      </w:r>
      <w:r w:rsidRPr="00873110">
        <w:rPr>
          <w:color w:val="000000"/>
          <w:szCs w:val="22"/>
        </w:rPr>
        <w:t>da a-t-il connu un taux exceptionnellement élevé de grèves, de lois spéciales et de conflits industriels de toutes sortes. Pourquoi la conce</w:t>
      </w:r>
      <w:r w:rsidRPr="00873110">
        <w:rPr>
          <w:color w:val="000000"/>
          <w:szCs w:val="22"/>
        </w:rPr>
        <w:t>r</w:t>
      </w:r>
      <w:r w:rsidRPr="00873110">
        <w:rPr>
          <w:color w:val="000000"/>
          <w:szCs w:val="22"/>
        </w:rPr>
        <w:t>tation, la participation, le tripartisme, qui ont été l'objet d'une tentative soutenue pendant les années du gouvernement de Pierre Trudeau, ont-elles abouti à un échec ? Sans prétendre, pour notre part, donner des réponses exhaustives à ces questions, elles nous semblent néanmoins intéressantes et stimulantes pour l'élaboration d'un certain nombre de réflexions sur l'évolution des rapports entre l'État fédéral et le syndic</w:t>
      </w:r>
      <w:r w:rsidRPr="00873110">
        <w:rPr>
          <w:color w:val="000000"/>
          <w:szCs w:val="22"/>
        </w:rPr>
        <w:t>a</w:t>
      </w:r>
      <w:r w:rsidRPr="00873110">
        <w:rPr>
          <w:color w:val="000000"/>
          <w:szCs w:val="22"/>
        </w:rPr>
        <w:t>lisme dans la dernière période.</w:t>
      </w:r>
    </w:p>
    <w:p w:rsidR="00AD690E" w:rsidRPr="00873110" w:rsidRDefault="00AD690E" w:rsidP="00AD690E">
      <w:pPr>
        <w:spacing w:before="120" w:after="120"/>
        <w:jc w:val="both"/>
      </w:pPr>
      <w:r>
        <w:rPr>
          <w:color w:val="000000"/>
          <w:szCs w:val="22"/>
        </w:rPr>
        <w:t>Un des traits les plus souvent</w:t>
      </w:r>
      <w:r w:rsidRPr="00873110">
        <w:rPr>
          <w:color w:val="000000"/>
          <w:szCs w:val="22"/>
        </w:rPr>
        <w:t xml:space="preserve"> notés pour expliquer l'état conflictuel des rapports entre capital et travail, est le caractère décentralisé de la structure du fédéralisme canadien en matière de relations de travail. Plus de 90</w:t>
      </w:r>
      <w:r>
        <w:rPr>
          <w:color w:val="000000"/>
          <w:szCs w:val="22"/>
        </w:rPr>
        <w:t>%</w:t>
      </w:r>
      <w:r w:rsidRPr="00873110">
        <w:rPr>
          <w:color w:val="000000"/>
          <w:szCs w:val="22"/>
        </w:rPr>
        <w:t xml:space="preserve"> de la force de travail se trouve en effet « gérée » au n</w:t>
      </w:r>
      <w:r w:rsidRPr="00873110">
        <w:rPr>
          <w:color w:val="000000"/>
          <w:szCs w:val="22"/>
        </w:rPr>
        <w:t>i</w:t>
      </w:r>
      <w:r w:rsidRPr="00873110">
        <w:rPr>
          <w:color w:val="000000"/>
          <w:szCs w:val="22"/>
        </w:rPr>
        <w:t>veau des provinces. Ainsi, même si les règles générales qui définissent le « modèle » des relations industrielles sont identiques d'un bout à l'autre du Canada, le fait que le gouvernement central ne soit pas le seul intervenant politique sur ce terrain peut rendre plus difficile une administration centralisée des relations de travail et la conclusion de grands accords « nationaux ». Reflet, dans une certaine mesure, de cette décentralisation politique, la structure de la négociation collect</w:t>
      </w:r>
      <w:r w:rsidRPr="00873110">
        <w:rPr>
          <w:color w:val="000000"/>
          <w:szCs w:val="22"/>
        </w:rPr>
        <w:t>i</w:t>
      </w:r>
      <w:r w:rsidRPr="00873110">
        <w:rPr>
          <w:color w:val="000000"/>
          <w:szCs w:val="22"/>
        </w:rPr>
        <w:t>ve, fondée sur l'accréditation par entreprise, est elle-même, au Canada, l'une des plus décentralisée au monde. Dans ses documents de lutte contre l'inflation, le gouvernement notait en octobre 1975 qu'il y avait 10</w:t>
      </w:r>
      <w:r>
        <w:rPr>
          <w:color w:val="000000"/>
          <w:szCs w:val="22"/>
        </w:rPr>
        <w:t> </w:t>
      </w:r>
      <w:r w:rsidRPr="00873110">
        <w:rPr>
          <w:color w:val="000000"/>
          <w:szCs w:val="22"/>
        </w:rPr>
        <w:t>000 conventions collectives couvrant deux millions et demi de tr</w:t>
      </w:r>
      <w:r w:rsidRPr="00873110">
        <w:rPr>
          <w:color w:val="000000"/>
          <w:szCs w:val="22"/>
        </w:rPr>
        <w:t>a</w:t>
      </w:r>
      <w:r w:rsidRPr="00873110">
        <w:rPr>
          <w:color w:val="000000"/>
          <w:szCs w:val="22"/>
        </w:rPr>
        <w:t>vailleurs. Toutes ces conventions, pour être négociées et signées, r</w:t>
      </w:r>
      <w:r w:rsidRPr="00873110">
        <w:rPr>
          <w:color w:val="000000"/>
          <w:szCs w:val="22"/>
        </w:rPr>
        <w:t>e</w:t>
      </w:r>
      <w:r w:rsidRPr="00873110">
        <w:rPr>
          <w:color w:val="000000"/>
          <w:szCs w:val="22"/>
        </w:rPr>
        <w:t>présentaient autant de foyers potentiels de conflits.</w:t>
      </w:r>
    </w:p>
    <w:p w:rsidR="00AD690E" w:rsidRDefault="00AD690E" w:rsidP="00AD690E">
      <w:pPr>
        <w:spacing w:before="120" w:after="120"/>
        <w:jc w:val="both"/>
        <w:rPr>
          <w:color w:val="000000"/>
          <w:szCs w:val="22"/>
        </w:rPr>
      </w:pPr>
      <w:r w:rsidRPr="00873110">
        <w:rPr>
          <w:color w:val="000000"/>
          <w:szCs w:val="22"/>
        </w:rPr>
        <w:t>On a donc cherché dans quelle mesure une plus grande centralis</w:t>
      </w:r>
      <w:r w:rsidRPr="00873110">
        <w:rPr>
          <w:color w:val="000000"/>
          <w:szCs w:val="22"/>
        </w:rPr>
        <w:t>a</w:t>
      </w:r>
      <w:r w:rsidRPr="00873110">
        <w:rPr>
          <w:color w:val="000000"/>
          <w:szCs w:val="22"/>
        </w:rPr>
        <w:t>tion de la structure de la négociation collective au Canada pourrait fournir un remède aux « maux » chroniques dont « souffre » le syst</w:t>
      </w:r>
      <w:r w:rsidRPr="00873110">
        <w:rPr>
          <w:color w:val="000000"/>
          <w:szCs w:val="22"/>
        </w:rPr>
        <w:t>è</w:t>
      </w:r>
      <w:r w:rsidRPr="00873110">
        <w:rPr>
          <w:color w:val="000000"/>
          <w:szCs w:val="22"/>
        </w:rPr>
        <w:t>me. Certains spécialistes ont recommandé au gouvernement d'agir en ce sens. Pourtant nombre d'hésitations subsistent à l'égard d'une telle solution et elles concernent en particulier la difficulté, pour ne pas dire l'impossibilité politique, d'enlever aux provinces les prérogatives qui leur ont été reconnues historiquement. D'autre part, tout en laissant intacte la répartition des pouvoirs fédérale-provinciale dans le doma</w:t>
      </w:r>
      <w:r w:rsidRPr="00873110">
        <w:rPr>
          <w:color w:val="000000"/>
          <w:szCs w:val="22"/>
        </w:rPr>
        <w:t>i</w:t>
      </w:r>
      <w:r w:rsidRPr="00873110">
        <w:rPr>
          <w:color w:val="000000"/>
          <w:szCs w:val="22"/>
        </w:rPr>
        <w:t>ne du travail, ne pourrait-on pas favoriser un processus de centralis</w:t>
      </w:r>
      <w:r w:rsidRPr="00873110">
        <w:rPr>
          <w:color w:val="000000"/>
          <w:szCs w:val="22"/>
        </w:rPr>
        <w:t>a</w:t>
      </w:r>
      <w:r w:rsidRPr="00873110">
        <w:rPr>
          <w:color w:val="000000"/>
          <w:szCs w:val="22"/>
        </w:rPr>
        <w:t>tion des relations de travail en encourageant, par exemple, les nég</w:t>
      </w:r>
      <w:r w:rsidRPr="00873110">
        <w:rPr>
          <w:color w:val="000000"/>
          <w:szCs w:val="22"/>
        </w:rPr>
        <w:t>o</w:t>
      </w:r>
      <w:r w:rsidRPr="00873110">
        <w:rPr>
          <w:color w:val="000000"/>
          <w:szCs w:val="22"/>
        </w:rPr>
        <w:t>ciations sectorielles ? La question a aussi été posée.</w:t>
      </w:r>
    </w:p>
    <w:p w:rsidR="00AD690E" w:rsidRPr="00873110" w:rsidRDefault="00AD690E" w:rsidP="00AD690E">
      <w:pPr>
        <w:spacing w:before="120" w:after="120"/>
        <w:jc w:val="both"/>
      </w:pPr>
      <w:r>
        <w:t>[</w:t>
      </w:r>
      <w:r w:rsidRPr="00873110">
        <w:rPr>
          <w:rFonts w:cs="Arial"/>
          <w:color w:val="000000"/>
          <w:szCs w:val="18"/>
        </w:rPr>
        <w:t>288</w:t>
      </w:r>
      <w:r>
        <w:rPr>
          <w:rFonts w:cs="Arial"/>
          <w:color w:val="000000"/>
          <w:szCs w:val="18"/>
        </w:rPr>
        <w:t>]</w:t>
      </w:r>
    </w:p>
    <w:p w:rsidR="00AD690E" w:rsidRPr="00873110" w:rsidRDefault="00AD690E" w:rsidP="00AD690E">
      <w:pPr>
        <w:spacing w:before="120" w:after="120"/>
        <w:jc w:val="both"/>
      </w:pPr>
      <w:r w:rsidRPr="00873110">
        <w:rPr>
          <w:color w:val="000000"/>
        </w:rPr>
        <w:t>Ces interrogatio</w:t>
      </w:r>
      <w:r>
        <w:rPr>
          <w:color w:val="000000"/>
        </w:rPr>
        <w:t>ns appellent diverses remarques</w:t>
      </w:r>
      <w:r w:rsidRPr="00873110">
        <w:rPr>
          <w:color w:val="000000"/>
        </w:rPr>
        <w:t>. Tout d'abord, il n'est pas sûr du tout qu'on puisse considérer seulement comme un trait de « faiblesse » de la structure étatique, l'actuelle division du travail entre le fédéral et les provinces en matière de relations ouvrières. Il est vrai que l'État central a moins de pouvoir d'intervention et de gestion mais, en revanche, la très large part des pouvoirs dont disposent les provinces dans ce champ décisif des rapports sociaux a servi histor</w:t>
      </w:r>
      <w:r w:rsidRPr="00873110">
        <w:rPr>
          <w:color w:val="000000"/>
        </w:rPr>
        <w:t>i</w:t>
      </w:r>
      <w:r w:rsidRPr="00873110">
        <w:rPr>
          <w:color w:val="000000"/>
        </w:rPr>
        <w:t>quement d'écran protecteur au centre du pouvoir. Les luttes de classes qui en d'autres sociétés débouchent toujours inévitablement sur un État unitaire et centralisé, ont vu leur dynamique être déportée ou contenue dans le cadre provincial. Les gouvernements de ce niveau agissent comme relais de l'État ou remparts de première ligne contre l'exacerbation des tensions sociales. La décentralisation du système de relations de travail a aussi rendu plus difficile au mouvement ouvrier la concentration de son action, à l'échelle pancanadienne, vers le ce</w:t>
      </w:r>
      <w:r w:rsidRPr="00873110">
        <w:rPr>
          <w:color w:val="000000"/>
        </w:rPr>
        <w:t>n</w:t>
      </w:r>
      <w:r w:rsidRPr="00873110">
        <w:rPr>
          <w:color w:val="000000"/>
        </w:rPr>
        <w:t>tre du pouvoir. Il faudrait comparer l'impact de ce facteur avec celui de l'oppression nationale qui, incontestablement, a joué puissamment contre l'unité d'action du mouvement ouvrier. Mais il reste que, dans la dernière période, le renforcement du mouvement syndical à l'éche</w:t>
      </w:r>
      <w:r w:rsidRPr="00873110">
        <w:rPr>
          <w:color w:val="000000"/>
        </w:rPr>
        <w:t>l</w:t>
      </w:r>
      <w:r w:rsidRPr="00873110">
        <w:rPr>
          <w:color w:val="000000"/>
        </w:rPr>
        <w:t>le de tout le pays lui a permis de se dresser en quelques occasions avec toutes ses composantes, comme une seule force face à Ottawa. Mais c'est justement face à cette capacité nouvelle, dans une conjon</w:t>
      </w:r>
      <w:r w:rsidRPr="00873110">
        <w:rPr>
          <w:color w:val="000000"/>
        </w:rPr>
        <w:t>c</w:t>
      </w:r>
      <w:r w:rsidRPr="00873110">
        <w:rPr>
          <w:color w:val="000000"/>
        </w:rPr>
        <w:t>ture de crise économique, que l'on a vu les diverses instances de l'a</w:t>
      </w:r>
      <w:r w:rsidRPr="00873110">
        <w:rPr>
          <w:color w:val="000000"/>
        </w:rPr>
        <w:t>p</w:t>
      </w:r>
      <w:r w:rsidRPr="00873110">
        <w:rPr>
          <w:color w:val="000000"/>
        </w:rPr>
        <w:t>pareil étatique surmonter très vite les obstacles de la décentralisation pour livrer une contre-offensive centralisée d'autant plus efficace qu'elle s'appuyait non pas sur un seul gouvernement, ni sur un seul appareil législatif et coercitif, mais sur onze gouvernements, marchant séparément mais frappant ensemble. Il y a eu un réel processus de centralisation politique des relations de travail au Canada pendant l'ère libérale, mais il n'est pas certain qu'elle ait réussi à guérir le système de ses « maux »de façon durable et en profondeur : le mouvement o</w:t>
      </w:r>
      <w:r w:rsidRPr="00873110">
        <w:rPr>
          <w:color w:val="000000"/>
        </w:rPr>
        <w:t>u</w:t>
      </w:r>
      <w:r w:rsidRPr="00873110">
        <w:rPr>
          <w:color w:val="000000"/>
        </w:rPr>
        <w:t>vrier a montré qu'il était lui aussi capable de mieux concentrer ses fo</w:t>
      </w:r>
      <w:r w:rsidRPr="00873110">
        <w:rPr>
          <w:color w:val="000000"/>
        </w:rPr>
        <w:t>r</w:t>
      </w:r>
      <w:r w:rsidRPr="00873110">
        <w:rPr>
          <w:color w:val="000000"/>
        </w:rPr>
        <w:t>ces sur certains enjeux décisifs.</w:t>
      </w:r>
    </w:p>
    <w:p w:rsidR="00AD690E" w:rsidRPr="00873110" w:rsidRDefault="00AD690E" w:rsidP="00AD690E">
      <w:pPr>
        <w:spacing w:before="120" w:after="120"/>
        <w:jc w:val="both"/>
      </w:pPr>
      <w:r w:rsidRPr="00873110">
        <w:rPr>
          <w:color w:val="000000"/>
        </w:rPr>
        <w:t>En deuxième lieu, il faudrait se demander si la constitution de plus grandes unités de négociation pourrait permettre, à l'échelle canadie</w:t>
      </w:r>
      <w:r w:rsidRPr="00873110">
        <w:rPr>
          <w:color w:val="000000"/>
        </w:rPr>
        <w:t>n</w:t>
      </w:r>
      <w:r w:rsidRPr="00873110">
        <w:rPr>
          <w:color w:val="000000"/>
        </w:rPr>
        <w:t>ne, « l'harmonisation » des rapports du travail, qui demeure un obje</w:t>
      </w:r>
      <w:r w:rsidRPr="00873110">
        <w:rPr>
          <w:color w:val="000000"/>
        </w:rPr>
        <w:t>c</w:t>
      </w:r>
      <w:r w:rsidRPr="00873110">
        <w:rPr>
          <w:color w:val="000000"/>
        </w:rPr>
        <w:t>tif prioritaire de tous les gouvernements. Rien là non plus n'est moins sûr. Le cas du Québec où, depuis les années 60, les négociations du secteur public ont été centralisées, offre plutôt l'exemple d'une société où la concentration des négociations a été propice à des luttes très v</w:t>
      </w:r>
      <w:r w:rsidRPr="00873110">
        <w:rPr>
          <w:color w:val="000000"/>
        </w:rPr>
        <w:t>i</w:t>
      </w:r>
      <w:r w:rsidRPr="00873110">
        <w:rPr>
          <w:color w:val="000000"/>
        </w:rPr>
        <w:t>ves et très politisées, justement dans la mesure où le mouvement sy</w:t>
      </w:r>
      <w:r w:rsidRPr="00873110">
        <w:rPr>
          <w:color w:val="000000"/>
        </w:rPr>
        <w:t>n</w:t>
      </w:r>
      <w:r w:rsidRPr="00873110">
        <w:rPr>
          <w:color w:val="000000"/>
        </w:rPr>
        <w:t>dical dans son ensemble était appelé à déployer toutes ses forces s</w:t>
      </w:r>
      <w:r w:rsidRPr="00873110">
        <w:rPr>
          <w:color w:val="000000"/>
        </w:rPr>
        <w:t>i</w:t>
      </w:r>
      <w:r w:rsidRPr="00873110">
        <w:rPr>
          <w:color w:val="000000"/>
        </w:rPr>
        <w:t>multanément contre l'État-patron. Depuis, les gouvernements ont cherché à revenir à une structure de négociations plus décentralisée afin de faire éclater l'affrontement centralisé en plusieurs lieux de n</w:t>
      </w:r>
      <w:r w:rsidRPr="00873110">
        <w:rPr>
          <w:color w:val="000000"/>
        </w:rPr>
        <w:t>é</w:t>
      </w:r>
      <w:r w:rsidRPr="00873110">
        <w:rPr>
          <w:color w:val="000000"/>
        </w:rPr>
        <w:t>gociations où les tensions auraient, espère-t-on, un impact réduit.</w:t>
      </w:r>
    </w:p>
    <w:p w:rsidR="00AD690E" w:rsidRPr="00873110" w:rsidRDefault="00AD690E" w:rsidP="00AD690E">
      <w:pPr>
        <w:spacing w:before="120" w:after="120"/>
        <w:jc w:val="both"/>
      </w:pPr>
      <w:r w:rsidRPr="00873110">
        <w:rPr>
          <w:color w:val="000000"/>
        </w:rPr>
        <w:t>Mais pourront-ils y parvenir ? Comme on l'a vu, lorsque les go</w:t>
      </w:r>
      <w:r w:rsidRPr="00873110">
        <w:rPr>
          <w:color w:val="000000"/>
        </w:rPr>
        <w:t>u</w:t>
      </w:r>
      <w:r w:rsidRPr="00873110">
        <w:rPr>
          <w:color w:val="000000"/>
        </w:rPr>
        <w:t>vernements ont envisagé de centraliser les relations de travail, c'est parce</w:t>
      </w:r>
      <w:r>
        <w:rPr>
          <w:color w:val="000000"/>
        </w:rPr>
        <w:t xml:space="preserve"> </w:t>
      </w:r>
      <w:r>
        <w:t xml:space="preserve">[289] </w:t>
      </w:r>
      <w:r w:rsidRPr="00873110">
        <w:rPr>
          <w:color w:val="000000"/>
        </w:rPr>
        <w:t>qu'ils souhaitaient justement réduire le nombre des conflits. Ceux-ci pouvaient paraître avoir une portée plus limitée du fait de leur caract</w:t>
      </w:r>
      <w:r w:rsidRPr="00873110">
        <w:rPr>
          <w:color w:val="000000"/>
        </w:rPr>
        <w:t>è</w:t>
      </w:r>
      <w:r w:rsidRPr="00873110">
        <w:rPr>
          <w:color w:val="000000"/>
        </w:rPr>
        <w:t>re décentralisé mais cet « avantage » s'est changé en son contraire lorsque l'on a vu des conflits « locaux » servir d'enco</w:t>
      </w:r>
      <w:r w:rsidRPr="00873110">
        <w:rPr>
          <w:color w:val="000000"/>
        </w:rPr>
        <w:t>u</w:t>
      </w:r>
      <w:r w:rsidRPr="00873110">
        <w:rPr>
          <w:color w:val="000000"/>
        </w:rPr>
        <w:t>ragement à d'a</w:t>
      </w:r>
      <w:r w:rsidRPr="00873110">
        <w:rPr>
          <w:color w:val="000000"/>
        </w:rPr>
        <w:t>u</w:t>
      </w:r>
      <w:r w:rsidRPr="00873110">
        <w:rPr>
          <w:color w:val="000000"/>
        </w:rPr>
        <w:t>tres luttes, tout en rendant plus difficile une riposte coordonnée de l'État ou du patronat. Dès lors, ce qui ressort plutôt de ce débat sur la centralisation ou la décentralisation des négociations collectives, c'est que si le « mal » a été diagnostiqué, le remède mir</w:t>
      </w:r>
      <w:r w:rsidRPr="00873110">
        <w:rPr>
          <w:color w:val="000000"/>
        </w:rPr>
        <w:t>a</w:t>
      </w:r>
      <w:r w:rsidRPr="00873110">
        <w:rPr>
          <w:color w:val="000000"/>
        </w:rPr>
        <w:t>cle lui, n'a pas été trouvé.</w:t>
      </w:r>
    </w:p>
    <w:p w:rsidR="00AD690E" w:rsidRPr="00873110" w:rsidRDefault="00AD690E" w:rsidP="00AD690E">
      <w:pPr>
        <w:spacing w:before="120" w:after="120"/>
        <w:jc w:val="both"/>
      </w:pPr>
      <w:r w:rsidRPr="00873110">
        <w:rPr>
          <w:color w:val="000000"/>
        </w:rPr>
        <w:t>De façon significative, tous les auteurs ou conseillers qui favor</w:t>
      </w:r>
      <w:r w:rsidRPr="00873110">
        <w:rPr>
          <w:color w:val="000000"/>
        </w:rPr>
        <w:t>i</w:t>
      </w:r>
      <w:r w:rsidRPr="00873110">
        <w:rPr>
          <w:color w:val="000000"/>
        </w:rPr>
        <w:t>sent un certain degré de centralisation de la structure des négociations collectives, relient l'efficacité de cette option à un autre enjeu, celui de la centralisation du pouvoir au sein même des organisations syndic</w:t>
      </w:r>
      <w:r w:rsidRPr="00873110">
        <w:rPr>
          <w:color w:val="000000"/>
        </w:rPr>
        <w:t>a</w:t>
      </w:r>
      <w:r w:rsidRPr="00873110">
        <w:rPr>
          <w:color w:val="000000"/>
        </w:rPr>
        <w:t>les. Il s'agit d'une question qui est demeurée cruciale pendant toute la période étudiée. Au Canada, le nombre des syndicats est très élevé, mais surtout, ce qu'il importe de noter à nouveau, c'est que ce sont les syndicats qui détiennent le pouvoir de négociation. Établir, dans ces conditions, un système de négociation plus centralisé ne peut guère avoir l'effet escompté si chaque syndicat reste libre d'accepter ou de refuser les accords découlant de cette négociation. Il faudrait que ces pouvoirs soient transférés aux représentants syndicaux agissant au sommet de la pyramide. Mais cela supposerait que les syndicats eux-mêmes et leurs membres se défassent d'une part essentielle de leur souveraineté.</w:t>
      </w:r>
    </w:p>
    <w:p w:rsidR="00AD690E" w:rsidRPr="00873110" w:rsidRDefault="00AD690E" w:rsidP="00AD690E">
      <w:pPr>
        <w:spacing w:before="120" w:after="120"/>
        <w:jc w:val="both"/>
      </w:pPr>
      <w:r w:rsidRPr="00873110">
        <w:rPr>
          <w:color w:val="000000"/>
        </w:rPr>
        <w:t>Par rapport à l'acceptation des contrôles salariaux, le gouvernement Trudeau a clairement favorisé cette orientation et la direction du CTC l'a elle-même défendue auprès des délégués des syndicats affiliés. Cet enjeu concentre finalement tous les autres parce qu'en plus de poser le problème de l'autonomie des syndicats, il pose celui de l'exercice de la démocratie au sein du mouvement syndical. Les dirigeants du CTC ne sont pas parvenus à mettre en œuvre la réforme qu'ils proposaient en vue d'une plus grande centralisation des pouvoirs aux mains de l'ex</w:t>
      </w:r>
      <w:r w:rsidRPr="00873110">
        <w:rPr>
          <w:color w:val="000000"/>
        </w:rPr>
        <w:t>é</w:t>
      </w:r>
      <w:r w:rsidRPr="00873110">
        <w:rPr>
          <w:color w:val="000000"/>
        </w:rPr>
        <w:t>cutif et cela, à notre avis, est un facteur majeur de l'échec du triparti</w:t>
      </w:r>
      <w:r w:rsidRPr="00873110">
        <w:rPr>
          <w:color w:val="000000"/>
        </w:rPr>
        <w:t>s</w:t>
      </w:r>
      <w:r w:rsidRPr="00873110">
        <w:rPr>
          <w:color w:val="000000"/>
        </w:rPr>
        <w:t>me pendant la période étudiée. Enfin, il faudrait ajouter à ces éléments un autre facteur d'importance primordiale qui a pesé lourdement contre l'action tripartite avec le pouvoir fédéral, tout aussi bien que contre la centralisation du pouvoir au sein du CTC : la revendication d'autonomie du mouvement syndical québécois. On notera toutefois, pour bien évaluer la nature de cette revendication, qu'elle concernait davantage la centralisation fédéraliste que le tripartisme comme tel. Ainsi, par exemple, la FTQ, qui s'opposait au tripartisme sur le plan fédéral tout en revendiquant une plus large autonomie au sein du CTC, souscrivait d'emblée à l'action concertée des « partenaires » s</w:t>
      </w:r>
      <w:r w:rsidRPr="00873110">
        <w:rPr>
          <w:color w:val="000000"/>
        </w:rPr>
        <w:t>o</w:t>
      </w:r>
      <w:r w:rsidRPr="00873110">
        <w:rPr>
          <w:color w:val="000000"/>
        </w:rPr>
        <w:t>ciaux promue par le gouvernement péquiste. Mais quels qu'en aient été les mobiles, le rejet de l'action concertée des syndicats québécois avec le gouvernement fédéral a contribué, parmi d'autres facteurs, à son échec.</w:t>
      </w:r>
    </w:p>
    <w:p w:rsidR="00AD690E" w:rsidRPr="00873110" w:rsidRDefault="00AD690E" w:rsidP="00AD690E">
      <w:pPr>
        <w:spacing w:before="120" w:after="120"/>
        <w:jc w:val="both"/>
      </w:pPr>
      <w:r w:rsidRPr="00873110">
        <w:rPr>
          <w:color w:val="000000"/>
        </w:rPr>
        <w:t>À titre d'éléments explicatifs de la « performance » canadienne en matière de grèves, certains auteurs, comme Lacroix (1985), notent la très forte croissance du syndicalisme et la nature décentralisée des n</w:t>
      </w:r>
      <w:r w:rsidRPr="00873110">
        <w:rPr>
          <w:color w:val="000000"/>
        </w:rPr>
        <w:t>é</w:t>
      </w:r>
      <w:r w:rsidRPr="00873110">
        <w:rPr>
          <w:color w:val="000000"/>
        </w:rPr>
        <w:t>gociations collectives. Mais</w:t>
      </w:r>
      <w:r>
        <w:rPr>
          <w:color w:val="000000"/>
        </w:rPr>
        <w:t xml:space="preserve"> </w:t>
      </w:r>
      <w:r>
        <w:t>[</w:t>
      </w:r>
      <w:r w:rsidRPr="00873110">
        <w:rPr>
          <w:color w:val="000000"/>
        </w:rPr>
        <w:t>290</w:t>
      </w:r>
      <w:r>
        <w:rPr>
          <w:color w:val="000000"/>
        </w:rPr>
        <w:t xml:space="preserve">] </w:t>
      </w:r>
      <w:r w:rsidRPr="00873110">
        <w:rPr>
          <w:color w:val="000000"/>
        </w:rPr>
        <w:t>Riddell note aussi comme facteur explicatif du niveau élevé des conflits, le fait que les conventions co</w:t>
      </w:r>
      <w:r w:rsidRPr="00873110">
        <w:rPr>
          <w:color w:val="000000"/>
        </w:rPr>
        <w:t>l</w:t>
      </w:r>
      <w:r w:rsidRPr="00873110">
        <w:rPr>
          <w:color w:val="000000"/>
        </w:rPr>
        <w:t>lectives au Canada couvrent un champ très large de matières négoci</w:t>
      </w:r>
      <w:r w:rsidRPr="00873110">
        <w:rPr>
          <w:color w:val="000000"/>
        </w:rPr>
        <w:t>a</w:t>
      </w:r>
      <w:r w:rsidRPr="00873110">
        <w:rPr>
          <w:color w:val="000000"/>
        </w:rPr>
        <w:t>bles. Ce constat est à mettre en relation avec le fait que ces dernières années, une des orientations privilégiées des gouvernements au Can</w:t>
      </w:r>
      <w:r w:rsidRPr="00873110">
        <w:rPr>
          <w:color w:val="000000"/>
        </w:rPr>
        <w:t>a</w:t>
      </w:r>
      <w:r w:rsidRPr="00873110">
        <w:rPr>
          <w:color w:val="000000"/>
        </w:rPr>
        <w:t>da pour réduire le rôle des rel</w:t>
      </w:r>
      <w:r w:rsidRPr="00873110">
        <w:rPr>
          <w:color w:val="000000"/>
        </w:rPr>
        <w:t>a</w:t>
      </w:r>
      <w:r w:rsidRPr="00873110">
        <w:rPr>
          <w:color w:val="000000"/>
        </w:rPr>
        <w:t>tions de travail comme facteur de conflits a été et est encore de diminuer le nombre des questions suje</w:t>
      </w:r>
      <w:r w:rsidRPr="00873110">
        <w:rPr>
          <w:color w:val="000000"/>
        </w:rPr>
        <w:t>t</w:t>
      </w:r>
      <w:r w:rsidRPr="00873110">
        <w:rPr>
          <w:color w:val="000000"/>
        </w:rPr>
        <w:t>tes à la négociation collective, dans le secteur public notamment.</w:t>
      </w:r>
    </w:p>
    <w:p w:rsidR="00AD690E" w:rsidRPr="00873110" w:rsidRDefault="00AD690E" w:rsidP="00AD690E">
      <w:pPr>
        <w:spacing w:before="120" w:after="120"/>
        <w:jc w:val="both"/>
      </w:pPr>
      <w:r w:rsidRPr="00873110">
        <w:rPr>
          <w:color w:val="000000"/>
        </w:rPr>
        <w:t>Enfin, la plupart des auteurs abordent la question des liens du CTC et du NPD dans la discussion des causes de l'échec du bipartisme au Canada. Rappelons d'abord que c'est le congrès du CTC en 1958 qui, par son appel lancé en faveur d'une alternative politique aux partis libéraux et conservateurs, est à l'origine de la fondation du Nouveau parti démocratique en 1961. L'initiative, d'importance historique, marquait non seulement la rupture officielle du mouvement syndical avec les partis traditionnels de la bourgeoisie canadienne, mais tradu</w:t>
      </w:r>
      <w:r w:rsidRPr="00873110">
        <w:rPr>
          <w:color w:val="000000"/>
        </w:rPr>
        <w:t>i</w:t>
      </w:r>
      <w:r w:rsidRPr="00873110">
        <w:rPr>
          <w:color w:val="000000"/>
        </w:rPr>
        <w:t>sait déjà la force nouvelle du syndicalisme deux ans après la fondation du CTC.</w:t>
      </w:r>
    </w:p>
    <w:p w:rsidR="00AD690E" w:rsidRPr="00873110" w:rsidRDefault="00AD690E" w:rsidP="00AD690E">
      <w:pPr>
        <w:spacing w:before="120" w:after="120"/>
        <w:jc w:val="both"/>
      </w:pPr>
      <w:r w:rsidRPr="00873110">
        <w:rPr>
          <w:color w:val="000000"/>
        </w:rPr>
        <w:t>Les liens du CTC avec le NPD ont-ils freiné ou même bloqué les volontés tripartistes de la direction du CTC ? La question peut être posée et mériterait d'être considérée plus largement que nous ne po</w:t>
      </w:r>
      <w:r w:rsidRPr="00873110">
        <w:rPr>
          <w:color w:val="000000"/>
        </w:rPr>
        <w:t>u</w:t>
      </w:r>
      <w:r w:rsidRPr="00873110">
        <w:rPr>
          <w:color w:val="000000"/>
        </w:rPr>
        <w:t>vons le faire ici. Mais soulignons que certains tendent à répondre par l'affirmative en soulevant l'argumentation suivante : les liens étroits qui unissent les syndicats au NPD, force politique d'opposition, « compliquent » la collaboration entre les syndicats et l'État, car du point de vue du gouvernement en place, cette association introduit des tensions dans le processus consultatif et, fait plus important encore, elle est source de sentiments contradictoires à l'égard de cette collab</w:t>
      </w:r>
      <w:r w:rsidRPr="00873110">
        <w:rPr>
          <w:color w:val="000000"/>
        </w:rPr>
        <w:t>o</w:t>
      </w:r>
      <w:r w:rsidRPr="00873110">
        <w:rPr>
          <w:color w:val="000000"/>
        </w:rPr>
        <w:t>ration parmi les syndiqués eux-mêmes</w:t>
      </w:r>
      <w:r>
        <w:rPr>
          <w:color w:val="000000"/>
        </w:rPr>
        <w:t> </w:t>
      </w:r>
      <w:r w:rsidRPr="002A1EB4">
        <w:rPr>
          <w:rStyle w:val="Appelnotedebasdep"/>
        </w:rPr>
        <w:footnoteReference w:id="496"/>
      </w:r>
      <w:r w:rsidRPr="00873110">
        <w:rPr>
          <w:color w:val="000000"/>
        </w:rPr>
        <w:t>. Banting (1985) développe l'idée selon laquelle l'établissement d'un système bipartite avec un gouvernement libéral ou conservateur placerait le NPD dans une pos</w:t>
      </w:r>
      <w:r w:rsidRPr="00873110">
        <w:rPr>
          <w:color w:val="000000"/>
        </w:rPr>
        <w:t>i</w:t>
      </w:r>
      <w:r w:rsidRPr="00873110">
        <w:rPr>
          <w:color w:val="000000"/>
        </w:rPr>
        <w:t>tion intenable puisqu'il serait mal placé pour critiquer des politiques sanctionnées par les syndicats.</w:t>
      </w:r>
    </w:p>
    <w:p w:rsidR="00AD690E" w:rsidRPr="00873110" w:rsidRDefault="00AD690E" w:rsidP="00AD690E">
      <w:pPr>
        <w:spacing w:before="120" w:after="120"/>
        <w:jc w:val="both"/>
      </w:pPr>
      <w:r w:rsidRPr="00873110">
        <w:rPr>
          <w:color w:val="000000"/>
        </w:rPr>
        <w:t>Pour tirer des conclusions plus précises, il faudrait étudier l'évol</w:t>
      </w:r>
      <w:r w:rsidRPr="00873110">
        <w:rPr>
          <w:color w:val="000000"/>
        </w:rPr>
        <w:t>u</w:t>
      </w:r>
      <w:r w:rsidRPr="00873110">
        <w:rPr>
          <w:color w:val="000000"/>
        </w:rPr>
        <w:t>tion concrète des relations entre le CTC et le NPD pendant les années du gouvernement Trudeau. Notons quand même que dans l'hypothèse où le NPD serait considéré comme candidat sérieux au pouvoir, tel que cela semble se confirmer à la fin des années 80, son poids polit</w:t>
      </w:r>
      <w:r w:rsidRPr="00873110">
        <w:rPr>
          <w:color w:val="000000"/>
        </w:rPr>
        <w:t>i</w:t>
      </w:r>
      <w:r w:rsidRPr="00873110">
        <w:rPr>
          <w:color w:val="000000"/>
        </w:rPr>
        <w:t>que pourrait effectivement faire obstacle à la conclusion d'accords b</w:t>
      </w:r>
      <w:r w:rsidRPr="00873110">
        <w:rPr>
          <w:color w:val="000000"/>
        </w:rPr>
        <w:t>i</w:t>
      </w:r>
      <w:r w:rsidRPr="00873110">
        <w:rPr>
          <w:color w:val="000000"/>
        </w:rPr>
        <w:t>partites entre les syndicats et un g</w:t>
      </w:r>
      <w:r>
        <w:rPr>
          <w:color w:val="000000"/>
        </w:rPr>
        <w:t>ouvernement formé par un parti tr</w:t>
      </w:r>
      <w:r w:rsidRPr="00873110">
        <w:rPr>
          <w:color w:val="000000"/>
        </w:rPr>
        <w:t>a</w:t>
      </w:r>
      <w:r w:rsidRPr="00873110">
        <w:rPr>
          <w:color w:val="000000"/>
        </w:rPr>
        <w:t>ditionnellement lié au pa</w:t>
      </w:r>
      <w:r>
        <w:rPr>
          <w:color w:val="000000"/>
        </w:rPr>
        <w:t>tr</w:t>
      </w:r>
      <w:r w:rsidRPr="00873110">
        <w:rPr>
          <w:color w:val="000000"/>
        </w:rPr>
        <w:t>onat.</w:t>
      </w:r>
    </w:p>
    <w:p w:rsidR="00AD690E" w:rsidRPr="00873110" w:rsidRDefault="00AD690E" w:rsidP="00AD690E">
      <w:pPr>
        <w:spacing w:before="120" w:after="120"/>
        <w:jc w:val="both"/>
      </w:pPr>
      <w:r w:rsidRPr="00873110">
        <w:rPr>
          <w:color w:val="000000"/>
        </w:rPr>
        <w:t>Mais cette appréciation soulève elle-même un problème d'un aube ordre. Léo Panitch, parmi d'aubes, observe que c'est dans les pays où des partis sociaux-démocrates é</w:t>
      </w:r>
      <w:r>
        <w:rPr>
          <w:color w:val="000000"/>
        </w:rPr>
        <w:t>tr</w:t>
      </w:r>
      <w:r w:rsidRPr="00873110">
        <w:rPr>
          <w:color w:val="000000"/>
        </w:rPr>
        <w:t>oitement liés au mouvement syndical sont parvenus à</w:t>
      </w:r>
      <w:r>
        <w:rPr>
          <w:color w:val="000000"/>
        </w:rPr>
        <w:t xml:space="preserve"> </w:t>
      </w:r>
      <w:r>
        <w:t xml:space="preserve">[291] </w:t>
      </w:r>
      <w:r w:rsidRPr="00873110">
        <w:rPr>
          <w:color w:val="000000"/>
        </w:rPr>
        <w:t xml:space="preserve">former le </w:t>
      </w:r>
      <w:r>
        <w:rPr>
          <w:color w:val="000000"/>
        </w:rPr>
        <w:t>gouvernement, qu'on a vu se mettr</w:t>
      </w:r>
      <w:r w:rsidRPr="00873110">
        <w:rPr>
          <w:color w:val="000000"/>
        </w:rPr>
        <w:t>e en place de véritables systèmes de collaboration pour la gestion bipartite de la politique économique et sociale. Dès lors, on pourrait se dema</w:t>
      </w:r>
      <w:r w:rsidRPr="00873110">
        <w:rPr>
          <w:color w:val="000000"/>
        </w:rPr>
        <w:t>n</w:t>
      </w:r>
      <w:r w:rsidRPr="00873110">
        <w:rPr>
          <w:color w:val="000000"/>
        </w:rPr>
        <w:t>der si le bipartisme qui a échoué pendant les années 70 et 80 ne serait pas remis à l'ordre du jour par une victoire du NPD sur le plan fédéral. Si l'on considère la situation dans d'aubes pays, notamment européens, la question n'est pas sans pertinence. Mais, chose certaine, au Canada, deux grands problèmes resurgiraient inévitablement dans une telle situation : celui de la cen</w:t>
      </w:r>
      <w:r>
        <w:rPr>
          <w:color w:val="000000"/>
        </w:rPr>
        <w:t>tr</w:t>
      </w:r>
      <w:r w:rsidRPr="00873110">
        <w:rPr>
          <w:color w:val="000000"/>
        </w:rPr>
        <w:t>alisation-décen</w:t>
      </w:r>
      <w:r>
        <w:rPr>
          <w:color w:val="000000"/>
        </w:rPr>
        <w:t>tr</w:t>
      </w:r>
      <w:r w:rsidRPr="00873110">
        <w:rPr>
          <w:color w:val="000000"/>
        </w:rPr>
        <w:t>alisation du pouvoir polit</w:t>
      </w:r>
      <w:r w:rsidRPr="00873110">
        <w:rPr>
          <w:color w:val="000000"/>
        </w:rPr>
        <w:t>i</w:t>
      </w:r>
      <w:r w:rsidRPr="00873110">
        <w:rPr>
          <w:color w:val="000000"/>
        </w:rPr>
        <w:t xml:space="preserve">que en matière de relations de </w:t>
      </w:r>
      <w:r>
        <w:rPr>
          <w:color w:val="000000"/>
        </w:rPr>
        <w:t>tr</w:t>
      </w:r>
      <w:r w:rsidRPr="00873110">
        <w:rPr>
          <w:color w:val="000000"/>
        </w:rPr>
        <w:t>avail, par rapport à l'établissement de politiques ou d'a</w:t>
      </w:r>
      <w:r w:rsidRPr="00873110">
        <w:rPr>
          <w:color w:val="000000"/>
        </w:rPr>
        <w:t>c</w:t>
      </w:r>
      <w:r w:rsidRPr="00873110">
        <w:rPr>
          <w:color w:val="000000"/>
        </w:rPr>
        <w:t>cords pancanadiens. À cet égard, l'obstacle lié à la question nationale du Québec ne serait certainement pas le moindre. Et d'aube part resu</w:t>
      </w:r>
      <w:r w:rsidRPr="00873110">
        <w:rPr>
          <w:color w:val="000000"/>
        </w:rPr>
        <w:t>r</w:t>
      </w:r>
      <w:r w:rsidRPr="00873110">
        <w:rPr>
          <w:color w:val="000000"/>
        </w:rPr>
        <w:t>girait, le problème d'une plus grande cen</w:t>
      </w:r>
      <w:r>
        <w:rPr>
          <w:color w:val="000000"/>
        </w:rPr>
        <w:t>tr</w:t>
      </w:r>
      <w:r w:rsidRPr="00873110">
        <w:rPr>
          <w:color w:val="000000"/>
        </w:rPr>
        <w:t>alisa</w:t>
      </w:r>
      <w:r>
        <w:rPr>
          <w:color w:val="000000"/>
        </w:rPr>
        <w:t>ti</w:t>
      </w:r>
      <w:r w:rsidRPr="00873110">
        <w:rPr>
          <w:color w:val="000000"/>
        </w:rPr>
        <w:t>on de pouvoirs en</w:t>
      </w:r>
      <w:r>
        <w:rPr>
          <w:color w:val="000000"/>
        </w:rPr>
        <w:t>tr</w:t>
      </w:r>
      <w:r w:rsidRPr="00873110">
        <w:rPr>
          <w:color w:val="000000"/>
        </w:rPr>
        <w:t>e les mains des dirigeants syndicaux évoluant sur la scène fédérale. Ces problèmes ont soulevé des questions de fond au cours des deux de</w:t>
      </w:r>
      <w:r w:rsidRPr="00873110">
        <w:rPr>
          <w:color w:val="000000"/>
        </w:rPr>
        <w:t>r</w:t>
      </w:r>
      <w:r w:rsidRPr="00873110">
        <w:rPr>
          <w:color w:val="000000"/>
        </w:rPr>
        <w:t>nières décennies et il serait présomptueux de penser qu'ils cesseraient de se poser avec l'arrivée au pouvoir d'un gouvern</w:t>
      </w:r>
      <w:r w:rsidRPr="00873110">
        <w:rPr>
          <w:color w:val="000000"/>
        </w:rPr>
        <w:t>e</w:t>
      </w:r>
      <w:r w:rsidRPr="00873110">
        <w:rPr>
          <w:color w:val="000000"/>
        </w:rPr>
        <w:t>ment NPD.</w:t>
      </w:r>
    </w:p>
    <w:p w:rsidR="00AD690E" w:rsidRPr="00873110" w:rsidRDefault="00AD690E" w:rsidP="00AD690E">
      <w:pPr>
        <w:spacing w:before="120" w:after="120"/>
        <w:jc w:val="both"/>
      </w:pPr>
      <w:r w:rsidRPr="00873110">
        <w:rPr>
          <w:color w:val="000000"/>
        </w:rPr>
        <w:t>Il faudrait plutôt considérer que la formation d'un gouvernement lié au mouvement ouvrier aurait pour effet de dé</w:t>
      </w:r>
      <w:r>
        <w:rPr>
          <w:color w:val="000000"/>
        </w:rPr>
        <w:t>placer sur un autre axe les contr</w:t>
      </w:r>
      <w:r w:rsidRPr="00873110">
        <w:rPr>
          <w:color w:val="000000"/>
        </w:rPr>
        <w:t>adictions qui s'étaient développées dans la période antérie</w:t>
      </w:r>
      <w:r w:rsidRPr="00873110">
        <w:rPr>
          <w:color w:val="000000"/>
        </w:rPr>
        <w:t>u</w:t>
      </w:r>
      <w:r w:rsidRPr="00873110">
        <w:rPr>
          <w:color w:val="000000"/>
        </w:rPr>
        <w:t>re : alors que la concertation avec le gouvernement libéral fut final</w:t>
      </w:r>
      <w:r w:rsidRPr="00873110">
        <w:rPr>
          <w:color w:val="000000"/>
        </w:rPr>
        <w:t>e</w:t>
      </w:r>
      <w:r w:rsidRPr="00873110">
        <w:rPr>
          <w:color w:val="000000"/>
        </w:rPr>
        <w:t>ment rejetée, elle pourrait effectivement se réaliser avec un gouve</w:t>
      </w:r>
      <w:r w:rsidRPr="00873110">
        <w:rPr>
          <w:color w:val="000000"/>
        </w:rPr>
        <w:t>r</w:t>
      </w:r>
      <w:r w:rsidRPr="00873110">
        <w:rPr>
          <w:color w:val="000000"/>
        </w:rPr>
        <w:t>nement lié au mouvement syndical. Mais sur quelle politique ? Les attentes des syndiqués et de la population risquent d'ê</w:t>
      </w:r>
      <w:r>
        <w:rPr>
          <w:color w:val="000000"/>
        </w:rPr>
        <w:t>tr</w:t>
      </w:r>
      <w:r w:rsidRPr="00873110">
        <w:rPr>
          <w:color w:val="000000"/>
        </w:rPr>
        <w:t>e plus fortes à l'endroit d'un parti et d'un gouvernement associés au mouvement sy</w:t>
      </w:r>
      <w:r w:rsidRPr="00873110">
        <w:rPr>
          <w:color w:val="000000"/>
        </w:rPr>
        <w:t>n</w:t>
      </w:r>
      <w:r w:rsidRPr="00873110">
        <w:rPr>
          <w:color w:val="000000"/>
        </w:rPr>
        <w:t>dical qu'elles ne le furent à l'endroit des aubes partis. Par conséquent, dans une telle situation, les deux termes de l'alternative pourraient ê</w:t>
      </w:r>
      <w:r>
        <w:rPr>
          <w:color w:val="000000"/>
        </w:rPr>
        <w:t>tr</w:t>
      </w:r>
      <w:r w:rsidRPr="00873110">
        <w:rPr>
          <w:color w:val="000000"/>
        </w:rPr>
        <w:t>e les suivants : ou la concertation serait l'ins</w:t>
      </w:r>
      <w:r>
        <w:rPr>
          <w:color w:val="000000"/>
        </w:rPr>
        <w:t>tr</w:t>
      </w:r>
      <w:r w:rsidRPr="00873110">
        <w:rPr>
          <w:color w:val="000000"/>
        </w:rPr>
        <w:t>ument de la mise en œuvre de politiques qui veulent répondre à ces attentes et dès lors, les luttes de classes en</w:t>
      </w:r>
      <w:r>
        <w:rPr>
          <w:color w:val="000000"/>
        </w:rPr>
        <w:t>tr</w:t>
      </w:r>
      <w:r w:rsidRPr="00873110">
        <w:rPr>
          <w:color w:val="000000"/>
        </w:rPr>
        <w:t xml:space="preserve">e </w:t>
      </w:r>
      <w:r>
        <w:rPr>
          <w:color w:val="000000"/>
        </w:rPr>
        <w:t>tr</w:t>
      </w:r>
      <w:r w:rsidRPr="00873110">
        <w:rPr>
          <w:color w:val="000000"/>
        </w:rPr>
        <w:t>avail et capital tendront à s'aiguiser au Canada pui</w:t>
      </w:r>
      <w:r w:rsidRPr="00873110">
        <w:rPr>
          <w:color w:val="000000"/>
        </w:rPr>
        <w:t>s</w:t>
      </w:r>
      <w:r w:rsidRPr="00873110">
        <w:rPr>
          <w:color w:val="000000"/>
        </w:rPr>
        <w:t>que le pa</w:t>
      </w:r>
      <w:r>
        <w:rPr>
          <w:color w:val="000000"/>
        </w:rPr>
        <w:t>tr</w:t>
      </w:r>
      <w:r w:rsidRPr="00873110">
        <w:rPr>
          <w:color w:val="000000"/>
        </w:rPr>
        <w:t>onat, dans la logique même de ses intérêts, opposera une résistance à ces politiques ; ou la concertation serait le moyen de faire accepter, comme dans certains pays européens, des politiques d'aust</w:t>
      </w:r>
      <w:r w:rsidRPr="00873110">
        <w:rPr>
          <w:color w:val="000000"/>
        </w:rPr>
        <w:t>é</w:t>
      </w:r>
      <w:r w:rsidRPr="00873110">
        <w:rPr>
          <w:color w:val="000000"/>
        </w:rPr>
        <w:t xml:space="preserve">rité </w:t>
      </w:r>
      <w:r>
        <w:rPr>
          <w:color w:val="000000"/>
        </w:rPr>
        <w:t>tr</w:t>
      </w:r>
      <w:r w:rsidRPr="00873110">
        <w:rPr>
          <w:color w:val="000000"/>
        </w:rPr>
        <w:t>ès proches de celles que le gouvernement libéral avait choisi d'imposer, et alors les con</w:t>
      </w:r>
      <w:r>
        <w:rPr>
          <w:color w:val="000000"/>
        </w:rPr>
        <w:t>tr</w:t>
      </w:r>
      <w:r w:rsidRPr="00873110">
        <w:rPr>
          <w:color w:val="000000"/>
        </w:rPr>
        <w:t>adictions tendront à s'aiguiser au sein m</w:t>
      </w:r>
      <w:r w:rsidRPr="00873110">
        <w:rPr>
          <w:color w:val="000000"/>
        </w:rPr>
        <w:t>ê</w:t>
      </w:r>
      <w:r w:rsidRPr="00873110">
        <w:rPr>
          <w:color w:val="000000"/>
        </w:rPr>
        <w:t>me du mouvement syndical et du NPD à un niveau plus élevé que dans la période antérieure. Soulevant ces problèmes, Sidney Ingerman écrit pour sa part :</w:t>
      </w:r>
    </w:p>
    <w:p w:rsidR="00AD690E" w:rsidRDefault="00AD690E" w:rsidP="00AD690E">
      <w:pPr>
        <w:pStyle w:val="Grillecouleur-Accent1"/>
      </w:pPr>
    </w:p>
    <w:p w:rsidR="00AD690E" w:rsidRDefault="00AD690E" w:rsidP="00AD690E">
      <w:pPr>
        <w:pStyle w:val="Grillecouleur-Accent1"/>
        <w:rPr>
          <w:i/>
        </w:rPr>
      </w:pPr>
      <w:r w:rsidRPr="00F8178C">
        <w:t>Le chemin de la relance passe par l'action politique. Si l'expérience c</w:t>
      </w:r>
      <w:r w:rsidRPr="00F8178C">
        <w:t>a</w:t>
      </w:r>
      <w:r w:rsidRPr="00F8178C">
        <w:t>nadie</w:t>
      </w:r>
      <w:r w:rsidRPr="00F8178C">
        <w:t>n</w:t>
      </w:r>
      <w:r w:rsidRPr="00F8178C">
        <w:t>ne des années 30 fournit une indication de ce qui s'en vient, alors on peut prévoir que les Canadiens vont évoluer vers la gauche politiquement. Le Nouveau parti démocratique peut-être à l'avant-garde de ce mouvement s'il consolide son alliance avec le mouvement syndical, défend les pr</w:t>
      </w:r>
      <w:r w:rsidRPr="00F8178C">
        <w:t>o</w:t>
      </w:r>
      <w:r w:rsidRPr="00F8178C">
        <w:t>grammes sociaux qui sont l'essence même de l'État-providence canadien... [se porte] en</w:t>
      </w:r>
      <w:r>
        <w:t xml:space="preserve"> </w:t>
      </w:r>
      <w:r w:rsidRPr="00F8178C">
        <w:rPr>
          <w:szCs w:val="28"/>
        </w:rPr>
        <w:t>[292]</w:t>
      </w:r>
      <w:r>
        <w:rPr>
          <w:szCs w:val="28"/>
        </w:rPr>
        <w:t xml:space="preserve"> </w:t>
      </w:r>
      <w:r w:rsidRPr="00F8178C">
        <w:t>défense de la négociation collective et du droit de grève [...] et propose un programme convainquant de relance économique</w:t>
      </w:r>
      <w:r>
        <w:t> </w:t>
      </w:r>
      <w:r w:rsidRPr="002A1EB4">
        <w:rPr>
          <w:rStyle w:val="Appelnotedebasdep"/>
          <w:szCs w:val="24"/>
        </w:rPr>
        <w:footnoteReference w:id="497"/>
      </w:r>
      <w:r w:rsidRPr="00F8178C">
        <w:t>.</w:t>
      </w:r>
    </w:p>
    <w:p w:rsidR="00AD690E" w:rsidRPr="000217F5" w:rsidRDefault="00AD690E" w:rsidP="00AD690E">
      <w:pPr>
        <w:pStyle w:val="Grillecouleur-Accent1"/>
        <w:rPr>
          <w:i/>
        </w:rPr>
      </w:pPr>
    </w:p>
    <w:p w:rsidR="00AD690E" w:rsidRPr="00873110" w:rsidRDefault="00AD690E" w:rsidP="00AD690E">
      <w:pPr>
        <w:spacing w:before="120" w:after="120"/>
        <w:jc w:val="both"/>
      </w:pPr>
      <w:r w:rsidRPr="00873110">
        <w:rPr>
          <w:color w:val="000000"/>
          <w:szCs w:val="22"/>
        </w:rPr>
        <w:t>Revenant, en terminant, sur la caractérisation de la période du po</w:t>
      </w:r>
      <w:r w:rsidRPr="00873110">
        <w:rPr>
          <w:color w:val="000000"/>
          <w:szCs w:val="22"/>
        </w:rPr>
        <w:t>u</w:t>
      </w:r>
      <w:r w:rsidRPr="00873110">
        <w:rPr>
          <w:color w:val="000000"/>
          <w:szCs w:val="22"/>
        </w:rPr>
        <w:t>voir libéral à Ottawa, nous pouvons certainement constater que l'inte</w:t>
      </w:r>
      <w:r w:rsidRPr="00873110">
        <w:rPr>
          <w:color w:val="000000"/>
          <w:szCs w:val="22"/>
        </w:rPr>
        <w:t>r</w:t>
      </w:r>
      <w:r w:rsidRPr="00873110">
        <w:rPr>
          <w:color w:val="000000"/>
          <w:szCs w:val="22"/>
        </w:rPr>
        <w:t>vention de l'État et le développement des moyens coercitifs sont un trait dominant de ces années. Mais donner une caractérisation de la période à travers cette seule dimension nous semblerait insuffisant, sinon erroné. Car si l'on note comme Panitch et Swartz qu'il y a eu transition d'une ère de « consentement » ou de libres négociations à une ère de « coercition », on ne considère ici que le rôle de l'État dans la caractérisation de la période. Or, il est tout à fait évident que la croissance exceptionnelle du mouvement syndical, du point de vue son nombre, de ses grèves et de ses conquêtes, constitue une caract</w:t>
      </w:r>
      <w:r w:rsidRPr="00873110">
        <w:rPr>
          <w:color w:val="000000"/>
          <w:szCs w:val="22"/>
        </w:rPr>
        <w:t>é</w:t>
      </w:r>
      <w:r w:rsidRPr="00873110">
        <w:rPr>
          <w:color w:val="000000"/>
          <w:szCs w:val="22"/>
        </w:rPr>
        <w:t>ristique au moins aussi déterminante de ces années. Dans plusieurs de ses aspects, la riposte étatique et la coercition ne s'expliquent d'ailleurs que comme tentative de réponse à cette force nouvelle. Nous n'ign</w:t>
      </w:r>
      <w:r w:rsidRPr="00873110">
        <w:rPr>
          <w:color w:val="000000"/>
          <w:szCs w:val="22"/>
        </w:rPr>
        <w:t>o</w:t>
      </w:r>
      <w:r w:rsidRPr="00873110">
        <w:rPr>
          <w:color w:val="000000"/>
          <w:szCs w:val="22"/>
        </w:rPr>
        <w:t>rons pas non plus que la crise du marché mondial capitaliste et la d</w:t>
      </w:r>
      <w:r w:rsidRPr="00873110">
        <w:rPr>
          <w:color w:val="000000"/>
          <w:szCs w:val="22"/>
        </w:rPr>
        <w:t>é</w:t>
      </w:r>
      <w:r w:rsidRPr="00873110">
        <w:rPr>
          <w:color w:val="000000"/>
          <w:szCs w:val="22"/>
        </w:rPr>
        <w:t>fense de la place menacée de l'économie canadienne dans cet ense</w:t>
      </w:r>
      <w:r w:rsidRPr="00873110">
        <w:rPr>
          <w:color w:val="000000"/>
          <w:szCs w:val="22"/>
        </w:rPr>
        <w:t>m</w:t>
      </w:r>
      <w:r w:rsidRPr="00873110">
        <w:rPr>
          <w:color w:val="000000"/>
          <w:szCs w:val="22"/>
        </w:rPr>
        <w:t>ble ont été des facteurs déterminants du passage à la coercition, en particulier par les lois spéciales et les contrôles. Mais ce facteur même n'est pas indépendant du développement des rapports de classe.</w:t>
      </w:r>
    </w:p>
    <w:p w:rsidR="00AD690E" w:rsidRPr="00873110" w:rsidRDefault="00AD690E" w:rsidP="00AD690E">
      <w:pPr>
        <w:spacing w:before="120" w:after="120"/>
        <w:jc w:val="both"/>
      </w:pPr>
      <w:r w:rsidRPr="00873110">
        <w:rPr>
          <w:color w:val="000000"/>
          <w:szCs w:val="22"/>
        </w:rPr>
        <w:t>On ne peut donc pas donner une caractérisation adéquate de la p</w:t>
      </w:r>
      <w:r w:rsidRPr="00873110">
        <w:rPr>
          <w:color w:val="000000"/>
          <w:szCs w:val="22"/>
        </w:rPr>
        <w:t>é</w:t>
      </w:r>
      <w:r w:rsidRPr="00873110">
        <w:rPr>
          <w:color w:val="000000"/>
          <w:szCs w:val="22"/>
        </w:rPr>
        <w:t>riode par un seul de ses pôles. Il faudrait plutôt la saisir comme l'e</w:t>
      </w:r>
      <w:r w:rsidRPr="00873110">
        <w:rPr>
          <w:color w:val="000000"/>
          <w:szCs w:val="22"/>
        </w:rPr>
        <w:t>x</w:t>
      </w:r>
      <w:r w:rsidRPr="00873110">
        <w:rPr>
          <w:color w:val="000000"/>
          <w:szCs w:val="22"/>
        </w:rPr>
        <w:t>pression d'un rapport dynamique et contradictoire. Et c'est peut-être justement le fait que nous assistons au développement d'un nouveau rapport de force sur la scène politique, marqué d'abord par le renfo</w:t>
      </w:r>
      <w:r w:rsidRPr="00873110">
        <w:rPr>
          <w:color w:val="000000"/>
          <w:szCs w:val="22"/>
        </w:rPr>
        <w:t>r</w:t>
      </w:r>
      <w:r w:rsidRPr="00873110">
        <w:rPr>
          <w:color w:val="000000"/>
          <w:szCs w:val="22"/>
        </w:rPr>
        <w:t>cement du mouvement ouvrier, qui caractérise le mieux la période étudiée. Même le bipartisme est une consécration de ce fait. Car on peut voir que l'État est d'autant plus soucieux d'obtenir l'assentiment du « Travail » à l'égard de ses politiques que le mouvement syndical détient désormais la force suffisante pour en compromettre la réalis</w:t>
      </w:r>
      <w:r w:rsidRPr="00873110">
        <w:rPr>
          <w:color w:val="000000"/>
          <w:szCs w:val="22"/>
        </w:rPr>
        <w:t>a</w:t>
      </w:r>
      <w:r w:rsidRPr="00873110">
        <w:rPr>
          <w:color w:val="000000"/>
          <w:szCs w:val="22"/>
        </w:rPr>
        <w:t>tion. En ce sens, on pourrait constater que plus le mouvement syndical est fort, plus l'État a besoin du bipartisme. On dira pourtant que, ma</w:t>
      </w:r>
      <w:r w:rsidRPr="00873110">
        <w:rPr>
          <w:color w:val="000000"/>
          <w:szCs w:val="22"/>
        </w:rPr>
        <w:t>l</w:t>
      </w:r>
      <w:r w:rsidRPr="00873110">
        <w:rPr>
          <w:color w:val="000000"/>
          <w:szCs w:val="22"/>
        </w:rPr>
        <w:t>gré l'échec du bipartisme, le gouvernement fut capable d'imposer ses plans. Cela est vrai au moins en partie, mais cela a peut-être peu à voir avec la faiblesse du mouvement syndical, mais davantage avec le fait que la direction du CTC était favorable au bipartisme et qu'elle s'est mon</w:t>
      </w:r>
      <w:r>
        <w:rPr>
          <w:color w:val="000000"/>
          <w:szCs w:val="22"/>
        </w:rPr>
        <w:t>tr</w:t>
      </w:r>
      <w:r w:rsidRPr="00873110">
        <w:rPr>
          <w:color w:val="000000"/>
          <w:szCs w:val="22"/>
        </w:rPr>
        <w:t>ée constamment réticente à compter sur la mobilisation de ma</w:t>
      </w:r>
      <w:r w:rsidRPr="00873110">
        <w:rPr>
          <w:color w:val="000000"/>
          <w:szCs w:val="22"/>
        </w:rPr>
        <w:t>s</w:t>
      </w:r>
      <w:r w:rsidRPr="00873110">
        <w:rPr>
          <w:color w:val="000000"/>
          <w:szCs w:val="22"/>
        </w:rPr>
        <w:t>se pour enrayer les plans du gouvernement, tandis que celui-ci n'a j</w:t>
      </w:r>
      <w:r w:rsidRPr="00873110">
        <w:rPr>
          <w:color w:val="000000"/>
          <w:szCs w:val="22"/>
        </w:rPr>
        <w:t>a</w:t>
      </w:r>
      <w:r w:rsidRPr="00873110">
        <w:rPr>
          <w:color w:val="000000"/>
          <w:szCs w:val="22"/>
        </w:rPr>
        <w:t>mais renoncé à la coercition.</w:t>
      </w:r>
    </w:p>
    <w:p w:rsidR="00AD690E" w:rsidRPr="00873110" w:rsidRDefault="00AD690E" w:rsidP="00AD690E">
      <w:pPr>
        <w:spacing w:before="120" w:after="120"/>
        <w:jc w:val="both"/>
      </w:pPr>
      <w:r w:rsidRPr="00873110">
        <w:rPr>
          <w:color w:val="000000"/>
          <w:szCs w:val="22"/>
        </w:rPr>
        <w:t>On observe donc que dans un processus de renforcement qualitatif du mouvement syndical, le problème de sa stratégie et de son orient</w:t>
      </w:r>
      <w:r w:rsidRPr="00873110">
        <w:rPr>
          <w:color w:val="000000"/>
          <w:szCs w:val="22"/>
        </w:rPr>
        <w:t>a</w:t>
      </w:r>
      <w:r w:rsidRPr="00873110">
        <w:rPr>
          <w:color w:val="000000"/>
          <w:szCs w:val="22"/>
        </w:rPr>
        <w:t>tion politique, loin d'être réduit, devient encore plus déterminant pui</w:t>
      </w:r>
      <w:r w:rsidRPr="00873110">
        <w:rPr>
          <w:color w:val="000000"/>
          <w:szCs w:val="22"/>
        </w:rPr>
        <w:t>s</w:t>
      </w:r>
      <w:r w:rsidRPr="00873110">
        <w:rPr>
          <w:color w:val="000000"/>
          <w:szCs w:val="22"/>
        </w:rPr>
        <w:t>que c'est lui qui, en dernier</w:t>
      </w:r>
      <w:r>
        <w:rPr>
          <w:color w:val="000000"/>
          <w:szCs w:val="22"/>
        </w:rPr>
        <w:t xml:space="preserve"> </w:t>
      </w:r>
      <w:r>
        <w:t xml:space="preserve">[293] </w:t>
      </w:r>
      <w:r w:rsidRPr="00873110">
        <w:rPr>
          <w:color w:val="000000"/>
          <w:szCs w:val="22"/>
        </w:rPr>
        <w:t>ressort, décide de l'évolution du ra</w:t>
      </w:r>
      <w:r w:rsidRPr="00873110">
        <w:rPr>
          <w:color w:val="000000"/>
          <w:szCs w:val="22"/>
        </w:rPr>
        <w:t>p</w:t>
      </w:r>
      <w:r w:rsidRPr="00873110">
        <w:rPr>
          <w:color w:val="000000"/>
          <w:szCs w:val="22"/>
        </w:rPr>
        <w:t>port des forces en présence. Un dernier</w:t>
      </w:r>
      <w:r>
        <w:rPr>
          <w:color w:val="000000"/>
          <w:szCs w:val="22"/>
        </w:rPr>
        <w:t xml:space="preserve"> exemple nous servira à le mont</w:t>
      </w:r>
      <w:r w:rsidRPr="00873110">
        <w:rPr>
          <w:color w:val="000000"/>
          <w:szCs w:val="22"/>
        </w:rPr>
        <w:t>r</w:t>
      </w:r>
      <w:r>
        <w:rPr>
          <w:color w:val="000000"/>
          <w:szCs w:val="22"/>
        </w:rPr>
        <w:t>er</w:t>
      </w:r>
      <w:r w:rsidRPr="00873110">
        <w:rPr>
          <w:color w:val="000000"/>
          <w:szCs w:val="22"/>
        </w:rPr>
        <w:t>. Les dirigeants du CTC a</w:t>
      </w:r>
      <w:r w:rsidRPr="00873110">
        <w:rPr>
          <w:color w:val="000000"/>
          <w:szCs w:val="22"/>
        </w:rPr>
        <w:t>f</w:t>
      </w:r>
      <w:r w:rsidRPr="00873110">
        <w:rPr>
          <w:color w:val="000000"/>
          <w:szCs w:val="22"/>
        </w:rPr>
        <w:t>firmaient depuis 1975 que le plan de rapatriement unilatéral de la Constitution du gouvernement Tr</w:t>
      </w:r>
      <w:r w:rsidRPr="00873110">
        <w:rPr>
          <w:color w:val="000000"/>
          <w:szCs w:val="22"/>
        </w:rPr>
        <w:t>u</w:t>
      </w:r>
      <w:r w:rsidRPr="00873110">
        <w:rPr>
          <w:color w:val="000000"/>
          <w:szCs w:val="22"/>
        </w:rPr>
        <w:t>deau participa</w:t>
      </w:r>
      <w:r>
        <w:rPr>
          <w:color w:val="000000"/>
          <w:szCs w:val="22"/>
        </w:rPr>
        <w:t>it de la même volonté centralisatr</w:t>
      </w:r>
      <w:r w:rsidRPr="00873110">
        <w:rPr>
          <w:color w:val="000000"/>
          <w:szCs w:val="22"/>
        </w:rPr>
        <w:t xml:space="preserve">ice que son </w:t>
      </w:r>
      <w:r>
        <w:rPr>
          <w:color w:val="000000"/>
          <w:szCs w:val="22"/>
        </w:rPr>
        <w:t>Progra</w:t>
      </w:r>
      <w:r>
        <w:rPr>
          <w:color w:val="000000"/>
          <w:szCs w:val="22"/>
        </w:rPr>
        <w:t>m</w:t>
      </w:r>
      <w:r>
        <w:rPr>
          <w:color w:val="000000"/>
          <w:szCs w:val="22"/>
        </w:rPr>
        <w:t>me de lutte contr</w:t>
      </w:r>
      <w:r w:rsidRPr="00873110">
        <w:rPr>
          <w:color w:val="000000"/>
          <w:szCs w:val="22"/>
        </w:rPr>
        <w:t>e l'inflation. Mais en 1981-1982, ils ne soulevèrent au</w:t>
      </w:r>
      <w:r>
        <w:rPr>
          <w:color w:val="000000"/>
          <w:szCs w:val="22"/>
        </w:rPr>
        <w:t>cune objection systématique contr</w:t>
      </w:r>
      <w:r w:rsidRPr="00873110">
        <w:rPr>
          <w:color w:val="000000"/>
          <w:szCs w:val="22"/>
        </w:rPr>
        <w:t>e l'adoption de la Charte des droits et libertés qui, reconnaissant le droit d'association, restait mue</w:t>
      </w:r>
      <w:r w:rsidRPr="00873110">
        <w:rPr>
          <w:color w:val="000000"/>
          <w:szCs w:val="22"/>
        </w:rPr>
        <w:t>t</w:t>
      </w:r>
      <w:r w:rsidRPr="00873110">
        <w:rPr>
          <w:color w:val="000000"/>
          <w:szCs w:val="22"/>
        </w:rPr>
        <w:t>te sur le droit à la libre négociation et sur le droit de grève. Or, deux mois après la promulgation de la loi constit</w:t>
      </w:r>
      <w:r w:rsidRPr="00873110">
        <w:rPr>
          <w:color w:val="000000"/>
          <w:szCs w:val="22"/>
        </w:rPr>
        <w:t>u</w:t>
      </w:r>
      <w:r w:rsidRPr="00873110">
        <w:rPr>
          <w:color w:val="000000"/>
          <w:szCs w:val="22"/>
        </w:rPr>
        <w:t>tionnelle du Canada, en avril 1982, le gouvernement Trudeau décr</w:t>
      </w:r>
      <w:r w:rsidRPr="00873110">
        <w:rPr>
          <w:color w:val="000000"/>
          <w:szCs w:val="22"/>
        </w:rPr>
        <w:t>é</w:t>
      </w:r>
      <w:r w:rsidRPr="00873110">
        <w:rPr>
          <w:color w:val="000000"/>
          <w:szCs w:val="22"/>
        </w:rPr>
        <w:t>tait, sous l'empire de cette nouvelle Charte des droits et</w:t>
      </w:r>
      <w:r>
        <w:rPr>
          <w:color w:val="000000"/>
          <w:szCs w:val="22"/>
        </w:rPr>
        <w:t xml:space="preserve"> libertés, son programme de contr</w:t>
      </w:r>
      <w:r w:rsidRPr="00873110">
        <w:rPr>
          <w:color w:val="000000"/>
          <w:szCs w:val="22"/>
        </w:rPr>
        <w:t>ôles des 6 et 5</w:t>
      </w:r>
      <w:r>
        <w:rPr>
          <w:color w:val="000000"/>
          <w:szCs w:val="22"/>
        </w:rPr>
        <w:t>%</w:t>
      </w:r>
      <w:r w:rsidRPr="00873110">
        <w:rPr>
          <w:color w:val="000000"/>
          <w:szCs w:val="22"/>
        </w:rPr>
        <w:t xml:space="preserve">. Il a été établi depuis par la Cour suprême du Canada que le droit d'association reconnu par la Charte n'inclut pas la reconnaissance du droit à la </w:t>
      </w:r>
      <w:r>
        <w:rPr>
          <w:color w:val="000000"/>
          <w:szCs w:val="22"/>
        </w:rPr>
        <w:t>négociati</w:t>
      </w:r>
      <w:r w:rsidRPr="00873110">
        <w:rPr>
          <w:color w:val="000000"/>
          <w:szCs w:val="22"/>
        </w:rPr>
        <w:t>on collective et du droit de grève</w:t>
      </w:r>
      <w:r>
        <w:rPr>
          <w:color w:val="000000"/>
          <w:szCs w:val="22"/>
        </w:rPr>
        <w:t> </w:t>
      </w:r>
      <w:r w:rsidRPr="002A1EB4">
        <w:rPr>
          <w:rStyle w:val="Appelnotedebasdep"/>
        </w:rPr>
        <w:footnoteReference w:id="498"/>
      </w:r>
      <w:r w:rsidRPr="00873110">
        <w:rPr>
          <w:color w:val="000000"/>
          <w:szCs w:val="22"/>
        </w:rPr>
        <w:t>.</w:t>
      </w:r>
    </w:p>
    <w:p w:rsidR="00AD690E" w:rsidRPr="00873110" w:rsidRDefault="00AD690E" w:rsidP="00AD690E">
      <w:pPr>
        <w:spacing w:before="120" w:after="120"/>
        <w:jc w:val="both"/>
      </w:pPr>
      <w:r w:rsidRPr="00873110">
        <w:rPr>
          <w:color w:val="000000"/>
          <w:szCs w:val="22"/>
        </w:rPr>
        <w:t>Si ce résultat confirme une donnée de la situation politique, c'est peut-êbe moins l'incapacité d'agir du mouvement syndical ou le fait qu'à la fin de la période étudiée, le gouvernement Trudeau serait enfin parvenu à rétablir le rapport des forces en sa faveur. C'est plutôt, enc</w:t>
      </w:r>
      <w:r w:rsidRPr="00873110">
        <w:rPr>
          <w:color w:val="000000"/>
          <w:szCs w:val="22"/>
        </w:rPr>
        <w:t>o</w:t>
      </w:r>
      <w:r w:rsidRPr="00873110">
        <w:rPr>
          <w:color w:val="000000"/>
          <w:szCs w:val="22"/>
        </w:rPr>
        <w:t>re une fois, l'importance de l'enjeu social que représente l'orientation polibque et sbatégique d'un mouvement syndical désormais doté d'une bès grande puissance économique, sociale et politique et qui, pour ce</w:t>
      </w:r>
      <w:r w:rsidRPr="00873110">
        <w:rPr>
          <w:color w:val="000000"/>
          <w:szCs w:val="22"/>
        </w:rPr>
        <w:t>t</w:t>
      </w:r>
      <w:r w:rsidRPr="00873110">
        <w:rPr>
          <w:color w:val="000000"/>
          <w:szCs w:val="22"/>
        </w:rPr>
        <w:t>te raison même, peut moins que jamais éviter de choisir entre les pre</w:t>
      </w:r>
      <w:r w:rsidRPr="00873110">
        <w:rPr>
          <w:color w:val="000000"/>
          <w:szCs w:val="22"/>
        </w:rPr>
        <w:t>s</w:t>
      </w:r>
      <w:r w:rsidRPr="00873110">
        <w:rPr>
          <w:color w:val="000000"/>
          <w:szCs w:val="22"/>
        </w:rPr>
        <w:t>sions contraires qui le sollicitent, celles de l'intégration-collaborarion ou celles de l'indépendance et de l'action de masse.</w:t>
      </w:r>
    </w:p>
    <w:p w:rsidR="00AD690E" w:rsidRDefault="00AD690E" w:rsidP="00AD690E">
      <w:pPr>
        <w:spacing w:before="120" w:after="120"/>
        <w:jc w:val="both"/>
      </w:pPr>
    </w:p>
    <w:p w:rsidR="00AD690E" w:rsidRDefault="00AD690E" w:rsidP="00AD690E">
      <w:pPr>
        <w:spacing w:before="120" w:after="120"/>
        <w:ind w:firstLine="0"/>
        <w:jc w:val="both"/>
      </w:pPr>
      <w:r>
        <w:t>[294]</w:t>
      </w:r>
    </w:p>
    <w:p w:rsidR="00AD690E" w:rsidRPr="00562808" w:rsidRDefault="00AD690E" w:rsidP="00AD690E">
      <w:pPr>
        <w:pStyle w:val="p"/>
      </w:pPr>
      <w:r>
        <w:br w:type="page"/>
      </w:r>
      <w:r w:rsidRPr="00562808">
        <w:t>[295]</w:t>
      </w:r>
    </w:p>
    <w:p w:rsidR="00AD690E" w:rsidRPr="00E07116" w:rsidRDefault="00AD690E" w:rsidP="00AD690E">
      <w:pPr>
        <w:jc w:val="both"/>
      </w:pPr>
    </w:p>
    <w:p w:rsidR="00AD690E" w:rsidRPr="00E07116" w:rsidRDefault="00AD690E" w:rsidP="00AD690E"/>
    <w:p w:rsidR="00AD690E" w:rsidRPr="00E07116" w:rsidRDefault="00AD690E" w:rsidP="00AD690E">
      <w:pPr>
        <w:jc w:val="both"/>
      </w:pPr>
    </w:p>
    <w:p w:rsidR="00AD690E" w:rsidRPr="00E07116" w:rsidRDefault="00AD690E" w:rsidP="00AD690E">
      <w:pPr>
        <w:jc w:val="both"/>
      </w:pPr>
    </w:p>
    <w:p w:rsidR="00AD690E" w:rsidRPr="00A32BFB" w:rsidRDefault="00AD690E" w:rsidP="00AD690E">
      <w:pPr>
        <w:spacing w:after="120"/>
        <w:jc w:val="center"/>
        <w:rPr>
          <w:b/>
        </w:rPr>
      </w:pPr>
      <w:bookmarkStart w:id="17" w:name="ere_Liberaux_pt3"/>
      <w:r w:rsidRPr="00A32BFB">
        <w:rPr>
          <w:b/>
        </w:rPr>
        <w:t>L’ère des Libéraux.</w:t>
      </w:r>
      <w:r w:rsidRPr="00A32BFB">
        <w:rPr>
          <w:b/>
        </w:rPr>
        <w:br/>
        <w:t>Le pouvoir fédéral de 1963 à 1984.</w:t>
      </w:r>
    </w:p>
    <w:p w:rsidR="00AD690E" w:rsidRPr="00E07116" w:rsidRDefault="00AD690E" w:rsidP="00AD690E">
      <w:pPr>
        <w:jc w:val="both"/>
      </w:pPr>
    </w:p>
    <w:p w:rsidR="00AD690E" w:rsidRPr="00384B20" w:rsidRDefault="00AD690E" w:rsidP="00AD690E">
      <w:pPr>
        <w:pStyle w:val="partie"/>
        <w:jc w:val="center"/>
        <w:rPr>
          <w:sz w:val="72"/>
        </w:rPr>
      </w:pPr>
      <w:r>
        <w:rPr>
          <w:sz w:val="72"/>
        </w:rPr>
        <w:t>Troisième</w:t>
      </w:r>
      <w:r w:rsidRPr="00384B20">
        <w:rPr>
          <w:sz w:val="72"/>
        </w:rPr>
        <w:t xml:space="preserve"> partie</w:t>
      </w:r>
    </w:p>
    <w:p w:rsidR="00AD690E" w:rsidRPr="00E07116" w:rsidRDefault="00AD690E" w:rsidP="00AD690E">
      <w:pPr>
        <w:jc w:val="both"/>
      </w:pPr>
    </w:p>
    <w:p w:rsidR="00AD690E" w:rsidRPr="00384B20" w:rsidRDefault="00AD690E" w:rsidP="00AD690E">
      <w:pPr>
        <w:pStyle w:val="Titreniveau2"/>
      </w:pPr>
      <w:r>
        <w:t>QUESTIONS CULTURELLES</w:t>
      </w:r>
      <w:r>
        <w:br/>
        <w:t>ET SOCIALES</w:t>
      </w:r>
    </w:p>
    <w:bookmarkEnd w:id="17"/>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562808" w:rsidRDefault="00AD690E" w:rsidP="00AD690E">
      <w:pPr>
        <w:spacing w:before="120" w:after="120"/>
        <w:jc w:val="both"/>
      </w:pPr>
    </w:p>
    <w:p w:rsidR="00AD690E" w:rsidRDefault="00AD690E" w:rsidP="00AD690E">
      <w:pPr>
        <w:pStyle w:val="p"/>
      </w:pPr>
      <w:r w:rsidRPr="00562808">
        <w:t>[296]</w:t>
      </w:r>
    </w:p>
    <w:p w:rsidR="00AD690E" w:rsidRDefault="00AD690E" w:rsidP="00AD690E">
      <w:pPr>
        <w:spacing w:before="120" w:after="120"/>
        <w:jc w:val="both"/>
      </w:pPr>
    </w:p>
    <w:p w:rsidR="00AD690E" w:rsidRPr="00562808" w:rsidRDefault="00AD690E" w:rsidP="00AD690E">
      <w:pPr>
        <w:spacing w:before="120" w:after="120"/>
        <w:jc w:val="both"/>
      </w:pPr>
    </w:p>
    <w:p w:rsidR="00AD690E" w:rsidRPr="00562808" w:rsidRDefault="00AD690E" w:rsidP="00AD690E">
      <w:pPr>
        <w:pStyle w:val="p"/>
      </w:pPr>
      <w:r w:rsidRPr="00562808">
        <w:br w:type="page"/>
        <w:t>[297]</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8" w:name="ere_Liberaux_pt3_texte_12"/>
      <w:r>
        <w:rPr>
          <w:b/>
          <w:color w:val="000080"/>
          <w:sz w:val="24"/>
        </w:rPr>
        <w:t>TROISIÈME</w:t>
      </w:r>
      <w:r w:rsidRPr="003634E0">
        <w:rPr>
          <w:b/>
          <w:color w:val="000080"/>
          <w:sz w:val="24"/>
        </w:rPr>
        <w:t xml:space="preserve"> PARTIE</w:t>
      </w:r>
      <w:r w:rsidRPr="003634E0">
        <w:rPr>
          <w:b/>
          <w:color w:val="000080"/>
          <w:sz w:val="24"/>
        </w:rPr>
        <w:br/>
        <w:t xml:space="preserve">QUESTIONS </w:t>
      </w:r>
      <w:r>
        <w:rPr>
          <w:b/>
          <w:color w:val="000080"/>
          <w:sz w:val="24"/>
        </w:rPr>
        <w:t>CULTURELLES ET SOCIALES</w:t>
      </w:r>
    </w:p>
    <w:p w:rsidR="00AD690E" w:rsidRPr="00E07116" w:rsidRDefault="00AD690E" w:rsidP="00AD690E">
      <w:pPr>
        <w:jc w:val="both"/>
        <w:rPr>
          <w:szCs w:val="36"/>
        </w:rPr>
      </w:pPr>
    </w:p>
    <w:p w:rsidR="00AD690E" w:rsidRPr="00E07116" w:rsidRDefault="00AD690E" w:rsidP="00AD690E">
      <w:pPr>
        <w:pStyle w:val="planchest"/>
      </w:pPr>
      <w:r>
        <w:t>“La dynamique étatique dans le champ</w:t>
      </w:r>
      <w:r>
        <w:br/>
        <w:t xml:space="preserve"> des développements substantiels,</w:t>
      </w:r>
      <w:r>
        <w:br/>
        <w:t>dans une certaine continuité.”</w:t>
      </w:r>
    </w:p>
    <w:bookmarkEnd w:id="18"/>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Michel PELLETIER</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science politique</w:t>
      </w:r>
      <w:r w:rsidRPr="00957619">
        <w:rPr>
          <w:sz w:val="24"/>
          <w:szCs w:val="22"/>
        </w:rPr>
        <w:br/>
        <w:t>Un</w:t>
      </w:r>
      <w:r w:rsidRPr="00957619">
        <w:rPr>
          <w:sz w:val="24"/>
          <w:szCs w:val="22"/>
        </w:rPr>
        <w:t>i</w:t>
      </w:r>
      <w:r w:rsidRPr="00957619">
        <w:rPr>
          <w:sz w:val="24"/>
          <w:szCs w:val="22"/>
        </w:rPr>
        <w:t>versité du Québec à Montréal</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562808" w:rsidRDefault="00AD690E" w:rsidP="00AD690E">
      <w:pPr>
        <w:spacing w:before="120" w:after="120"/>
        <w:jc w:val="both"/>
      </w:pPr>
      <w:r w:rsidRPr="00562808">
        <w:rPr>
          <w:szCs w:val="22"/>
        </w:rPr>
        <w:t>Il me semble qu'on pourrait résumer la dynamique de l'i</w:t>
      </w:r>
      <w:r w:rsidRPr="00562808">
        <w:rPr>
          <w:szCs w:val="22"/>
        </w:rPr>
        <w:t>n</w:t>
      </w:r>
      <w:r w:rsidRPr="00562808">
        <w:rPr>
          <w:szCs w:val="22"/>
        </w:rPr>
        <w:t>tervention de l'État can</w:t>
      </w:r>
      <w:r w:rsidRPr="00562808">
        <w:rPr>
          <w:szCs w:val="22"/>
        </w:rPr>
        <w:t>a</w:t>
      </w:r>
      <w:r w:rsidRPr="00562808">
        <w:rPr>
          <w:szCs w:val="22"/>
        </w:rPr>
        <w:t>dien dans le champ social, au cours de la période qui va de 1963 à 1984, par une formule délib</w:t>
      </w:r>
      <w:r w:rsidRPr="00562808">
        <w:rPr>
          <w:szCs w:val="22"/>
        </w:rPr>
        <w:t>é</w:t>
      </w:r>
      <w:r w:rsidRPr="00562808">
        <w:rPr>
          <w:szCs w:val="22"/>
        </w:rPr>
        <w:t>rément contradictoire : des transformations substantielles, dans une certaine continuité néa</w:t>
      </w:r>
      <w:r w:rsidRPr="00562808">
        <w:rPr>
          <w:szCs w:val="22"/>
        </w:rPr>
        <w:t>n</w:t>
      </w:r>
      <w:r w:rsidRPr="00562808">
        <w:rPr>
          <w:szCs w:val="22"/>
        </w:rPr>
        <w:t>moins. C'est un peu ce que je voudrais illustrer ici, à très grands traits.</w:t>
      </w:r>
    </w:p>
    <w:p w:rsidR="00AD690E" w:rsidRPr="00562808" w:rsidRDefault="00AD690E" w:rsidP="00AD690E">
      <w:pPr>
        <w:spacing w:before="120" w:after="120"/>
        <w:jc w:val="both"/>
      </w:pPr>
      <w:r w:rsidRPr="00562808">
        <w:rPr>
          <w:szCs w:val="22"/>
        </w:rPr>
        <w:t>Il me semble aussi que deux événements précis donnent une col</w:t>
      </w:r>
      <w:r w:rsidRPr="00562808">
        <w:rPr>
          <w:szCs w:val="22"/>
        </w:rPr>
        <w:t>o</w:t>
      </w:r>
      <w:r w:rsidRPr="00562808">
        <w:rPr>
          <w:szCs w:val="22"/>
        </w:rPr>
        <w:t>ration particulière à la dynamique de l'intervention de l'État can</w:t>
      </w:r>
      <w:r w:rsidRPr="00562808">
        <w:rPr>
          <w:szCs w:val="22"/>
        </w:rPr>
        <w:t>a</w:t>
      </w:r>
      <w:r w:rsidRPr="00562808">
        <w:rPr>
          <w:szCs w:val="22"/>
        </w:rPr>
        <w:t>dien au cours de cette même période : ce sont d'une part, la proclamation d'un état d'insu</w:t>
      </w:r>
      <w:r w:rsidRPr="00562808">
        <w:rPr>
          <w:szCs w:val="22"/>
        </w:rPr>
        <w:t>r</w:t>
      </w:r>
      <w:r w:rsidRPr="00562808">
        <w:rPr>
          <w:szCs w:val="22"/>
        </w:rPr>
        <w:t>rection appréhendée et l'intervention de l'armée au Québec, en 1970, dans le but proclamé de maintenir « la sécurité, la défense, la paix, l'ordre et le bien-être du Can</w:t>
      </w:r>
      <w:r w:rsidRPr="00562808">
        <w:rPr>
          <w:szCs w:val="22"/>
        </w:rPr>
        <w:t>a</w:t>
      </w:r>
      <w:r w:rsidRPr="00562808">
        <w:rPr>
          <w:szCs w:val="22"/>
        </w:rPr>
        <w:t>da » ; d'autre part, l'adoption de mesures autoritaires de contrôle des prix et des sala</w:t>
      </w:r>
      <w:r w:rsidRPr="00562808">
        <w:rPr>
          <w:szCs w:val="22"/>
        </w:rPr>
        <w:t>i</w:t>
      </w:r>
      <w:r w:rsidRPr="00562808">
        <w:rPr>
          <w:szCs w:val="22"/>
        </w:rPr>
        <w:t>res, en 1975.</w:t>
      </w:r>
    </w:p>
    <w:p w:rsidR="00AD690E" w:rsidRPr="00562808" w:rsidRDefault="00AD690E" w:rsidP="00AD690E">
      <w:pPr>
        <w:spacing w:before="120" w:after="120"/>
        <w:jc w:val="both"/>
      </w:pPr>
      <w:r w:rsidRPr="00562808">
        <w:rPr>
          <w:szCs w:val="22"/>
        </w:rPr>
        <w:t>On sera peut-être surpris que je range ces événements parmi ceux qui caractérisent la dynamique de l'État central can</w:t>
      </w:r>
      <w:r w:rsidRPr="00562808">
        <w:rPr>
          <w:szCs w:val="22"/>
        </w:rPr>
        <w:t>a</w:t>
      </w:r>
      <w:r w:rsidRPr="00562808">
        <w:rPr>
          <w:szCs w:val="22"/>
        </w:rPr>
        <w:t>dien dans le champ social, au cours de la période ét</w:t>
      </w:r>
      <w:r w:rsidRPr="00562808">
        <w:rPr>
          <w:szCs w:val="22"/>
        </w:rPr>
        <w:t>u</w:t>
      </w:r>
      <w:r w:rsidRPr="00562808">
        <w:rPr>
          <w:szCs w:val="22"/>
        </w:rPr>
        <w:t>diée. Et pourtant, s'il ne s'agit pas de « mesures sociales » conformément au sens usuel de cette e</w:t>
      </w:r>
      <w:r w:rsidRPr="00562808">
        <w:rPr>
          <w:szCs w:val="22"/>
        </w:rPr>
        <w:t>x</w:t>
      </w:r>
      <w:r w:rsidRPr="00562808">
        <w:rPr>
          <w:szCs w:val="22"/>
        </w:rPr>
        <w:t>pression, ne doit-on pas y voir au moins la manifestation ou la cons</w:t>
      </w:r>
      <w:r w:rsidRPr="00562808">
        <w:rPr>
          <w:szCs w:val="22"/>
        </w:rPr>
        <w:t>é</w:t>
      </w:r>
      <w:r w:rsidRPr="00562808">
        <w:rPr>
          <w:szCs w:val="22"/>
        </w:rPr>
        <w:t>quence de déficiences ou carences de la politique sociale, pui</w:t>
      </w:r>
      <w:r w:rsidRPr="00562808">
        <w:rPr>
          <w:szCs w:val="22"/>
        </w:rPr>
        <w:t>s</w:t>
      </w:r>
      <w:r w:rsidRPr="00562808">
        <w:rPr>
          <w:szCs w:val="22"/>
        </w:rPr>
        <w:t>qu'une fonction principale de ce</w:t>
      </w:r>
      <w:r w:rsidRPr="00562808">
        <w:rPr>
          <w:szCs w:val="22"/>
        </w:rPr>
        <w:t>l</w:t>
      </w:r>
      <w:r w:rsidRPr="00562808">
        <w:rPr>
          <w:szCs w:val="22"/>
        </w:rPr>
        <w:t>le-ci consiste à maintenir la cohésion sociale, la paix sociale, le bon fonctionnement de la société. La « sécurité s</w:t>
      </w:r>
      <w:r w:rsidRPr="00562808">
        <w:rPr>
          <w:szCs w:val="22"/>
        </w:rPr>
        <w:t>o</w:t>
      </w:r>
      <w:r w:rsidRPr="00562808">
        <w:rPr>
          <w:szCs w:val="22"/>
        </w:rPr>
        <w:t>ciale » n'est-elle pas au moins autant la « sécurité de la soci</w:t>
      </w:r>
      <w:r w:rsidRPr="00562808">
        <w:rPr>
          <w:szCs w:val="22"/>
        </w:rPr>
        <w:t>é</w:t>
      </w:r>
      <w:r w:rsidRPr="00562808">
        <w:rPr>
          <w:szCs w:val="22"/>
        </w:rPr>
        <w:t>té » elle-même, que la garantie d'un m</w:t>
      </w:r>
      <w:r w:rsidRPr="00562808">
        <w:rPr>
          <w:szCs w:val="22"/>
        </w:rPr>
        <w:t>i</w:t>
      </w:r>
      <w:r w:rsidRPr="00562808">
        <w:rPr>
          <w:szCs w:val="22"/>
        </w:rPr>
        <w:t>nimum de bien-être pour les individus ? Chose certaine, ces mesures, justifiées par une prétendue situation « d'urgence n</w:t>
      </w:r>
      <w:r w:rsidRPr="00562808">
        <w:rPr>
          <w:szCs w:val="22"/>
        </w:rPr>
        <w:t>a</w:t>
      </w:r>
      <w:r w:rsidRPr="00562808">
        <w:rPr>
          <w:szCs w:val="22"/>
        </w:rPr>
        <w:t>tionale » d'après le gouvernement de l'époque, ont concordé avec l'amorce de toute une</w:t>
      </w:r>
      <w:r>
        <w:rPr>
          <w:szCs w:val="22"/>
        </w:rPr>
        <w:t xml:space="preserve"> </w:t>
      </w:r>
      <w:r w:rsidRPr="00562808">
        <w:t>[</w:t>
      </w:r>
      <w:r w:rsidRPr="00562808">
        <w:rPr>
          <w:szCs w:val="22"/>
        </w:rPr>
        <w:t>298]</w:t>
      </w:r>
      <w:r>
        <w:rPr>
          <w:szCs w:val="22"/>
        </w:rPr>
        <w:t xml:space="preserve"> </w:t>
      </w:r>
      <w:r w:rsidRPr="00562808">
        <w:rPr>
          <w:szCs w:val="22"/>
        </w:rPr>
        <w:t>série d'initiatives partic</w:t>
      </w:r>
      <w:r w:rsidRPr="00562808">
        <w:rPr>
          <w:szCs w:val="22"/>
        </w:rPr>
        <w:t>u</w:t>
      </w:r>
      <w:r w:rsidRPr="00562808">
        <w:rPr>
          <w:szCs w:val="22"/>
        </w:rPr>
        <w:t>lières qui accentuaient et accéléraient le processus déjà amorcé de transformation de la politique sociale can</w:t>
      </w:r>
      <w:r w:rsidRPr="00562808">
        <w:rPr>
          <w:szCs w:val="22"/>
        </w:rPr>
        <w:t>a</w:t>
      </w:r>
      <w:r w:rsidRPr="00562808">
        <w:rPr>
          <w:szCs w:val="22"/>
        </w:rPr>
        <w:t>dienne.</w:t>
      </w:r>
    </w:p>
    <w:p w:rsidR="00AD690E" w:rsidRPr="00562808" w:rsidRDefault="00AD690E" w:rsidP="00AD690E">
      <w:pPr>
        <w:spacing w:before="120" w:after="120"/>
        <w:jc w:val="both"/>
        <w:rPr>
          <w:szCs w:val="22"/>
        </w:rPr>
      </w:pPr>
    </w:p>
    <w:p w:rsidR="00AD690E" w:rsidRPr="00562808" w:rsidRDefault="00AD690E" w:rsidP="00AD690E">
      <w:pPr>
        <w:pStyle w:val="planche"/>
      </w:pPr>
      <w:r w:rsidRPr="00562808">
        <w:t>LES POLITIQUES SOCIALES :</w:t>
      </w:r>
      <w:r>
        <w:br/>
      </w:r>
      <w:r w:rsidRPr="00562808">
        <w:t>DES DÉVELO</w:t>
      </w:r>
      <w:r w:rsidRPr="00562808">
        <w:t>P</w:t>
      </w:r>
      <w:r w:rsidRPr="00562808">
        <w:t>PEMENTS</w:t>
      </w:r>
      <w:r>
        <w:t xml:space="preserve"> </w:t>
      </w:r>
      <w:r w:rsidRPr="00562808">
        <w:t>MAJEURS</w:t>
      </w:r>
      <w:r>
        <w:t>…</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Pour parler adéquatement de la dynamique étatique dans le doma</w:t>
      </w:r>
      <w:r w:rsidRPr="00562808">
        <w:rPr>
          <w:szCs w:val="22"/>
        </w:rPr>
        <w:t>i</w:t>
      </w:r>
      <w:r w:rsidRPr="00562808">
        <w:rPr>
          <w:szCs w:val="22"/>
        </w:rPr>
        <w:t>ne de la politique sociale, il m'apparaît indispensable de bien disti</w:t>
      </w:r>
      <w:r w:rsidRPr="00562808">
        <w:rPr>
          <w:szCs w:val="22"/>
        </w:rPr>
        <w:t>n</w:t>
      </w:r>
      <w:r w:rsidRPr="00562808">
        <w:rPr>
          <w:szCs w:val="22"/>
        </w:rPr>
        <w:t>guer au départ entre le niveau de ce qu'on appelle usuellement « les politiques sociales » et le niveau de « la » politique sociale propr</w:t>
      </w:r>
      <w:r w:rsidRPr="00562808">
        <w:rPr>
          <w:szCs w:val="22"/>
        </w:rPr>
        <w:t>e</w:t>
      </w:r>
      <w:r w:rsidRPr="00562808">
        <w:rPr>
          <w:szCs w:val="22"/>
        </w:rPr>
        <w:t>ment dite. Des développements majeurs surviennent aux deux n</w:t>
      </w:r>
      <w:r w:rsidRPr="00562808">
        <w:rPr>
          <w:szCs w:val="22"/>
        </w:rPr>
        <w:t>i</w:t>
      </w:r>
      <w:r w:rsidRPr="00562808">
        <w:rPr>
          <w:szCs w:val="22"/>
        </w:rPr>
        <w:t>veaux, au cours de la période, mais leurs implications ne sont pas exactement les mêmes.</w:t>
      </w:r>
    </w:p>
    <w:p w:rsidR="00AD690E" w:rsidRPr="00562808" w:rsidRDefault="00AD690E" w:rsidP="00AD690E">
      <w:pPr>
        <w:spacing w:before="120" w:after="120"/>
        <w:jc w:val="both"/>
      </w:pPr>
      <w:r w:rsidRPr="00562808">
        <w:rPr>
          <w:szCs w:val="22"/>
        </w:rPr>
        <w:t>« La » politique sociale, c'est évidemment l'approche globale, la stratégie d'ensemble plus ou moins explicite qui sous-tend ou inspire chacune des initiatives particulières d'un go</w:t>
      </w:r>
      <w:r w:rsidRPr="00562808">
        <w:rPr>
          <w:szCs w:val="22"/>
        </w:rPr>
        <w:t>u</w:t>
      </w:r>
      <w:r w:rsidRPr="00562808">
        <w:rPr>
          <w:szCs w:val="22"/>
        </w:rPr>
        <w:t>vernement donné, dans un contexte donné. « Les » politiques sociales par contre, ce sont les différents programmes ou services sociaux dans lesquels, à des d</w:t>
      </w:r>
      <w:r w:rsidRPr="00562808">
        <w:rPr>
          <w:szCs w:val="22"/>
        </w:rPr>
        <w:t>e</w:t>
      </w:r>
      <w:r w:rsidRPr="00562808">
        <w:rPr>
          <w:szCs w:val="22"/>
        </w:rPr>
        <w:t>grés divers, s'incarne cette « politique sociale », précisément. La création de nouveaux programmes, les modifications apportées à certains pr</w:t>
      </w:r>
      <w:r w:rsidRPr="00562808">
        <w:rPr>
          <w:szCs w:val="22"/>
        </w:rPr>
        <w:t>o</w:t>
      </w:r>
      <w:r w:rsidRPr="00562808">
        <w:rPr>
          <w:szCs w:val="22"/>
        </w:rPr>
        <w:t>grammes existants, ou leur élimination pure et simple, const</w:t>
      </w:r>
      <w:r w:rsidRPr="00562808">
        <w:rPr>
          <w:szCs w:val="22"/>
        </w:rPr>
        <w:t>i</w:t>
      </w:r>
      <w:r w:rsidRPr="00562808">
        <w:rPr>
          <w:szCs w:val="22"/>
        </w:rPr>
        <w:t>tuent donc normalement autant de manifestations concrètes de la polit</w:t>
      </w:r>
      <w:r w:rsidRPr="00562808">
        <w:rPr>
          <w:szCs w:val="22"/>
        </w:rPr>
        <w:t>i</w:t>
      </w:r>
      <w:r w:rsidRPr="00562808">
        <w:rPr>
          <w:szCs w:val="22"/>
        </w:rPr>
        <w:t>que sociale du moment.</w:t>
      </w:r>
    </w:p>
    <w:p w:rsidR="00AD690E" w:rsidRPr="00562808" w:rsidRDefault="00AD690E" w:rsidP="00AD690E">
      <w:pPr>
        <w:spacing w:before="120" w:after="120"/>
        <w:jc w:val="both"/>
      </w:pPr>
      <w:r w:rsidRPr="00562808">
        <w:rPr>
          <w:szCs w:val="22"/>
        </w:rPr>
        <w:t>Il n'est cependant pas toujours facile de percevoir « la » politique sociale sous-jacente à chacune des mes</w:t>
      </w:r>
      <w:r w:rsidRPr="00562808">
        <w:rPr>
          <w:szCs w:val="22"/>
        </w:rPr>
        <w:t>u</w:t>
      </w:r>
      <w:r w:rsidRPr="00562808">
        <w:rPr>
          <w:szCs w:val="22"/>
        </w:rPr>
        <w:t>res sociales particulières, ne serait-ce que parce qu'aucune ne peut incarner cette politique sociale dans sa globalité et dans toutes ses d</w:t>
      </w:r>
      <w:r w:rsidRPr="00562808">
        <w:rPr>
          <w:szCs w:val="22"/>
        </w:rPr>
        <w:t>i</w:t>
      </w:r>
      <w:r w:rsidRPr="00562808">
        <w:rPr>
          <w:szCs w:val="22"/>
        </w:rPr>
        <w:t>mensions. Chacune n'offre donc qu'un reflet partiel de la stratégie d'ensemble et ce n'est qu'à la longue que la cohérence des initiatives particulières pourra être cla</w:t>
      </w:r>
      <w:r w:rsidRPr="00562808">
        <w:rPr>
          <w:szCs w:val="22"/>
        </w:rPr>
        <w:t>i</w:t>
      </w:r>
      <w:r w:rsidRPr="00562808">
        <w:rPr>
          <w:szCs w:val="22"/>
        </w:rPr>
        <w:t>rement perçue. La politique sociale de l'État à un moment donné, est donc généralement plus facile à percevoir dans les énoncés de pol</w:t>
      </w:r>
      <w:r w:rsidRPr="00562808">
        <w:rPr>
          <w:szCs w:val="22"/>
        </w:rPr>
        <w:t>i</w:t>
      </w:r>
      <w:r w:rsidRPr="00562808">
        <w:rPr>
          <w:szCs w:val="22"/>
        </w:rPr>
        <w:t>tique qui sont occasionnellement produits, tels les livres « verts » ou « blancs », ou encore dans certains rapports de commissions d'e</w:t>
      </w:r>
      <w:r w:rsidRPr="00562808">
        <w:rPr>
          <w:szCs w:val="22"/>
        </w:rPr>
        <w:t>n</w:t>
      </w:r>
      <w:r w:rsidRPr="00562808">
        <w:rPr>
          <w:szCs w:val="22"/>
        </w:rPr>
        <w:t>quête, quoique même là un certain travail de décryptage soit toujours nécessaire. De toute façon, on ne dispose pas toujours de tels documents de référe</w:t>
      </w:r>
      <w:r w:rsidRPr="00562808">
        <w:rPr>
          <w:szCs w:val="22"/>
        </w:rPr>
        <w:t>n</w:t>
      </w:r>
      <w:r w:rsidRPr="00562808">
        <w:rPr>
          <w:szCs w:val="22"/>
        </w:rPr>
        <w:t>ce.</w:t>
      </w:r>
    </w:p>
    <w:p w:rsidR="00AD690E" w:rsidRPr="00562808" w:rsidRDefault="00AD690E" w:rsidP="00AD690E">
      <w:pPr>
        <w:spacing w:before="120" w:after="120"/>
        <w:jc w:val="both"/>
      </w:pPr>
      <w:r w:rsidRPr="00562808">
        <w:rPr>
          <w:szCs w:val="22"/>
        </w:rPr>
        <w:t>Par ailleurs, quelle que soit « la » politique sociale dans laquelle les mesures particulières s'inscrivent, il n'est pas i</w:t>
      </w:r>
      <w:r w:rsidRPr="00562808">
        <w:rPr>
          <w:szCs w:val="22"/>
        </w:rPr>
        <w:t>n</w:t>
      </w:r>
      <w:r w:rsidRPr="00562808">
        <w:rPr>
          <w:szCs w:val="22"/>
        </w:rPr>
        <w:t xml:space="preserve">différent, pour les bénéficiaires potentiels que nous sommes par </w:t>
      </w:r>
      <w:hyperlink r:id="rId30" w:history="1">
        <w:r>
          <w:rPr>
            <w:szCs w:val="22"/>
          </w:rPr>
          <w:t xml:space="preserve">exemple </w:t>
        </w:r>
        <w:r w:rsidRPr="00562808">
          <w:rPr>
            <w:szCs w:val="22"/>
          </w:rPr>
          <w:t>d</w:t>
        </w:r>
        <w:r w:rsidRPr="00562808">
          <w:rPr>
            <w:szCs w:val="22"/>
          </w:rPr>
          <w:t>e</w:t>
        </w:r>
      </w:hyperlink>
      <w:r w:rsidRPr="00562808">
        <w:rPr>
          <w:szCs w:val="22"/>
        </w:rPr>
        <w:t xml:space="preserve"> connaître l'évolution des programmes sociaux concrets, de s</w:t>
      </w:r>
      <w:r w:rsidRPr="00562808">
        <w:rPr>
          <w:szCs w:val="22"/>
        </w:rPr>
        <w:t>a</w:t>
      </w:r>
      <w:r w:rsidRPr="00562808">
        <w:rPr>
          <w:szCs w:val="22"/>
        </w:rPr>
        <w:t>voir qu'il existe désormais tel type de protection sociale, là où il n'y avait rien aupar</w:t>
      </w:r>
      <w:r w:rsidRPr="00562808">
        <w:rPr>
          <w:szCs w:val="22"/>
        </w:rPr>
        <w:t>a</w:t>
      </w:r>
      <w:r w:rsidRPr="00562808">
        <w:rPr>
          <w:szCs w:val="22"/>
        </w:rPr>
        <w:t>vant, ou enc</w:t>
      </w:r>
      <w:r w:rsidRPr="00562808">
        <w:rPr>
          <w:szCs w:val="22"/>
        </w:rPr>
        <w:t>o</w:t>
      </w:r>
      <w:r w:rsidRPr="00562808">
        <w:rPr>
          <w:szCs w:val="22"/>
        </w:rPr>
        <w:t>re que les critères d'admissibilité de tel programme ont été élargis, ou au contraire rendus plus restrictifs... Les gouvernements n'ont donc pas entièrement tort, lorsqu'ils che</w:t>
      </w:r>
      <w:r w:rsidRPr="00562808">
        <w:rPr>
          <w:szCs w:val="22"/>
        </w:rPr>
        <w:t>r</w:t>
      </w:r>
      <w:r w:rsidRPr="00562808">
        <w:rPr>
          <w:szCs w:val="22"/>
        </w:rPr>
        <w:t>chent à valoriser leur « politique sociale » aux yeux des citoyens, de se contenter d'énum</w:t>
      </w:r>
      <w:r w:rsidRPr="00562808">
        <w:rPr>
          <w:szCs w:val="22"/>
        </w:rPr>
        <w:t>é</w:t>
      </w:r>
      <w:r w:rsidRPr="00562808">
        <w:rPr>
          <w:szCs w:val="22"/>
        </w:rPr>
        <w:t>rer les nouveaux programmes que l'État a pu mettre en place sous leur administration et les « améliorations » apportées à tels autres, consid</w:t>
      </w:r>
      <w:r w:rsidRPr="00562808">
        <w:rPr>
          <w:szCs w:val="22"/>
        </w:rPr>
        <w:t>é</w:t>
      </w:r>
      <w:r w:rsidRPr="00562808">
        <w:rPr>
          <w:szCs w:val="22"/>
        </w:rPr>
        <w:t>rant les besoins de tel ou tel segment de la population. Ce faisant, ils ne</w:t>
      </w:r>
      <w:r>
        <w:rPr>
          <w:szCs w:val="22"/>
        </w:rPr>
        <w:t xml:space="preserve"> </w:t>
      </w:r>
      <w:r w:rsidRPr="00562808">
        <w:t>[299]</w:t>
      </w:r>
      <w:r>
        <w:t xml:space="preserve"> </w:t>
      </w:r>
      <w:r w:rsidRPr="00562808">
        <w:rPr>
          <w:szCs w:val="22"/>
        </w:rPr>
        <w:t>révèlent peut-être pas leur vraie politique sociale et ses o</w:t>
      </w:r>
      <w:r w:rsidRPr="00562808">
        <w:rPr>
          <w:szCs w:val="22"/>
        </w:rPr>
        <w:t>b</w:t>
      </w:r>
      <w:r w:rsidRPr="00562808">
        <w:rPr>
          <w:szCs w:val="22"/>
        </w:rPr>
        <w:t>jectifs fondamentaux, qui peuvent être de mieux contrôler la dispon</w:t>
      </w:r>
      <w:r w:rsidRPr="00562808">
        <w:rPr>
          <w:szCs w:val="22"/>
        </w:rPr>
        <w:t>i</w:t>
      </w:r>
      <w:r w:rsidRPr="00562808">
        <w:rPr>
          <w:szCs w:val="22"/>
        </w:rPr>
        <w:t>bilité pour le travail de tous les travailleurs potentiels plutôt que d'améliorer le bien-être des individus par exemple, comme les mes</w:t>
      </w:r>
      <w:r w:rsidRPr="00562808">
        <w:rPr>
          <w:szCs w:val="22"/>
        </w:rPr>
        <w:t>u</w:t>
      </w:r>
      <w:r w:rsidRPr="00562808">
        <w:rPr>
          <w:szCs w:val="22"/>
        </w:rPr>
        <w:t>res particuli</w:t>
      </w:r>
      <w:r w:rsidRPr="00562808">
        <w:rPr>
          <w:szCs w:val="22"/>
        </w:rPr>
        <w:t>è</w:t>
      </w:r>
      <w:r w:rsidRPr="00562808">
        <w:rPr>
          <w:szCs w:val="22"/>
        </w:rPr>
        <w:t>res tendraient à le faire croire, mais il n'en reste pas moins que la connaissance de l'évolution des programmes et du « système » concrets ne sont pas sans intérêt, bien au contraire.</w:t>
      </w:r>
    </w:p>
    <w:p w:rsidR="00AD690E" w:rsidRPr="00562808" w:rsidRDefault="00AD690E" w:rsidP="00AD690E">
      <w:pPr>
        <w:spacing w:before="120" w:after="120"/>
        <w:jc w:val="both"/>
      </w:pPr>
      <w:r w:rsidRPr="00562808">
        <w:rPr>
          <w:szCs w:val="22"/>
        </w:rPr>
        <w:t>Si donc nous considérons ce qui se passe au niveau « des » polit</w:t>
      </w:r>
      <w:r w:rsidRPr="00562808">
        <w:rPr>
          <w:szCs w:val="22"/>
        </w:rPr>
        <w:t>i</w:t>
      </w:r>
      <w:r w:rsidRPr="00562808">
        <w:rPr>
          <w:szCs w:val="22"/>
        </w:rPr>
        <w:t>ques sociales au cours de la période 1963-1984, nous ne pouvons qu'être frappés par le nombre et surtout l'importance des mesures pr</w:t>
      </w:r>
      <w:r w:rsidRPr="00562808">
        <w:rPr>
          <w:szCs w:val="22"/>
        </w:rPr>
        <w:t>i</w:t>
      </w:r>
      <w:r w:rsidRPr="00562808">
        <w:rPr>
          <w:szCs w:val="22"/>
        </w:rPr>
        <w:t>ses. Puisqu'il ne sa</w:t>
      </w:r>
      <w:r w:rsidRPr="00562808">
        <w:rPr>
          <w:szCs w:val="22"/>
        </w:rPr>
        <w:t>u</w:t>
      </w:r>
      <w:r w:rsidRPr="00562808">
        <w:rPr>
          <w:szCs w:val="22"/>
        </w:rPr>
        <w:t>rait être question ici de procéder à une analyse détaillée de tout ce qui a pu se passer, contentons-nous d'énumérer les développements les plus spectaculaires, aux seules fins de rafra</w:t>
      </w:r>
      <w:r w:rsidRPr="00562808">
        <w:rPr>
          <w:szCs w:val="22"/>
        </w:rPr>
        <w:t>î</w:t>
      </w:r>
      <w:r w:rsidRPr="00562808">
        <w:rPr>
          <w:szCs w:val="22"/>
        </w:rPr>
        <w:t>chir notre mémoire : c'est l'ép</w:t>
      </w:r>
      <w:r w:rsidRPr="00562808">
        <w:rPr>
          <w:szCs w:val="22"/>
        </w:rPr>
        <w:t>o</w:t>
      </w:r>
      <w:r w:rsidRPr="00562808">
        <w:rPr>
          <w:szCs w:val="22"/>
        </w:rPr>
        <w:t>que où 1) l'assurance maladie, telle que nous la connaissons aujourd'hui, est mise en place dans l'ense</w:t>
      </w:r>
      <w:r w:rsidRPr="00562808">
        <w:rPr>
          <w:szCs w:val="22"/>
        </w:rPr>
        <w:t>m</w:t>
      </w:r>
      <w:r w:rsidRPr="00562808">
        <w:rPr>
          <w:szCs w:val="22"/>
        </w:rPr>
        <w:t>ble des provinces, non sans une vigoureuse impulsion du gouvernement ce</w:t>
      </w:r>
      <w:r w:rsidRPr="00562808">
        <w:rPr>
          <w:szCs w:val="22"/>
        </w:rPr>
        <w:t>n</w:t>
      </w:r>
      <w:r w:rsidRPr="00562808">
        <w:rPr>
          <w:szCs w:val="22"/>
        </w:rPr>
        <w:t>tral, bien que constitutionnellement ce soit un doma</w:t>
      </w:r>
      <w:r w:rsidRPr="00562808">
        <w:rPr>
          <w:szCs w:val="22"/>
        </w:rPr>
        <w:t>i</w:t>
      </w:r>
      <w:r w:rsidRPr="00562808">
        <w:rPr>
          <w:szCs w:val="22"/>
        </w:rPr>
        <w:t>ne de juridiction provinciale ; 2) le Régime d'assista</w:t>
      </w:r>
      <w:r w:rsidRPr="00562808">
        <w:rPr>
          <w:szCs w:val="22"/>
        </w:rPr>
        <w:t>n</w:t>
      </w:r>
      <w:r w:rsidRPr="00562808">
        <w:rPr>
          <w:szCs w:val="22"/>
        </w:rPr>
        <w:t>ce publique du Canada est adopté (1966), qui entraînera la disparition des anciens pr</w:t>
      </w:r>
      <w:r w:rsidRPr="00562808">
        <w:rPr>
          <w:szCs w:val="22"/>
        </w:rPr>
        <w:t>o</w:t>
      </w:r>
      <w:r w:rsidRPr="00562808">
        <w:rPr>
          <w:szCs w:val="22"/>
        </w:rPr>
        <w:t>grammes dits « catégoriels » et, surtout, favorisera l'application d'une approche int</w:t>
      </w:r>
      <w:r w:rsidRPr="00562808">
        <w:rPr>
          <w:szCs w:val="22"/>
        </w:rPr>
        <w:t>é</w:t>
      </w:r>
      <w:r w:rsidRPr="00562808">
        <w:rPr>
          <w:szCs w:val="22"/>
        </w:rPr>
        <w:t>grée aux problèmes de l'aide sociale, telle que nous la connai</w:t>
      </w:r>
      <w:r w:rsidRPr="00562808">
        <w:rPr>
          <w:szCs w:val="22"/>
        </w:rPr>
        <w:t>s</w:t>
      </w:r>
      <w:r w:rsidRPr="00562808">
        <w:rPr>
          <w:szCs w:val="22"/>
        </w:rPr>
        <w:t>sons aujourd'hui ; 3) la mise en place conjointe (1965) d'un rég</w:t>
      </w:r>
      <w:r>
        <w:rPr>
          <w:szCs w:val="22"/>
        </w:rPr>
        <w:t>im</w:t>
      </w:r>
      <w:r w:rsidRPr="00562808">
        <w:rPr>
          <w:szCs w:val="22"/>
        </w:rPr>
        <w:t>e d'ass</w:t>
      </w:r>
      <w:r w:rsidRPr="00562808">
        <w:rPr>
          <w:szCs w:val="22"/>
        </w:rPr>
        <w:t>u</w:t>
      </w:r>
      <w:r w:rsidRPr="00562808">
        <w:rPr>
          <w:szCs w:val="22"/>
        </w:rPr>
        <w:t>rance retraite pour les travai</w:t>
      </w:r>
      <w:r w:rsidRPr="00562808">
        <w:rPr>
          <w:szCs w:val="22"/>
        </w:rPr>
        <w:t>l</w:t>
      </w:r>
      <w:r w:rsidRPr="00562808">
        <w:rPr>
          <w:szCs w:val="22"/>
        </w:rPr>
        <w:t>leurs canadiens (PPC/RRQ) ; 4) l'amorce, à partir de 1970, d'un processus de restructuration du régime d'ass</w:t>
      </w:r>
      <w:r w:rsidRPr="00562808">
        <w:rPr>
          <w:szCs w:val="22"/>
        </w:rPr>
        <w:t>u</w:t>
      </w:r>
      <w:r w:rsidRPr="00562808">
        <w:rPr>
          <w:szCs w:val="22"/>
        </w:rPr>
        <w:t>rance-chômage, restructuration qui aura pour e</w:t>
      </w:r>
      <w:r w:rsidRPr="00562808">
        <w:rPr>
          <w:szCs w:val="22"/>
        </w:rPr>
        <w:t>f</w:t>
      </w:r>
      <w:r w:rsidRPr="00562808">
        <w:rPr>
          <w:szCs w:val="22"/>
        </w:rPr>
        <w:t>fet, — cela deviendra particulièrement marqué à partir de 1975 — de changer la nature m</w:t>
      </w:r>
      <w:r w:rsidRPr="00562808">
        <w:rPr>
          <w:szCs w:val="22"/>
        </w:rPr>
        <w:t>ê</w:t>
      </w:r>
      <w:r w:rsidRPr="00562808">
        <w:rPr>
          <w:szCs w:val="22"/>
        </w:rPr>
        <w:t>me de ce programme clé du système de sécurité sociale existant</w:t>
      </w:r>
      <w:r>
        <w:rPr>
          <w:szCs w:val="22"/>
        </w:rPr>
        <w:t> </w:t>
      </w:r>
      <w:r w:rsidRPr="002A1EB4">
        <w:rPr>
          <w:rStyle w:val="Appelnotedebasdep"/>
        </w:rPr>
        <w:footnoteReference w:id="499"/>
      </w:r>
      <w:r w:rsidRPr="00562808">
        <w:rPr>
          <w:szCs w:val="22"/>
        </w:rPr>
        <w:t> ; 5) l'expérimentation, à partir de 1965, de la technique de la suppl</w:t>
      </w:r>
      <w:r w:rsidRPr="00562808">
        <w:rPr>
          <w:szCs w:val="22"/>
        </w:rPr>
        <w:t>é</w:t>
      </w:r>
      <w:r w:rsidRPr="00562808">
        <w:rPr>
          <w:szCs w:val="22"/>
        </w:rPr>
        <w:t>mentation du revenu grâce au nouveau programme de suppl</w:t>
      </w:r>
      <w:r w:rsidRPr="00562808">
        <w:rPr>
          <w:szCs w:val="22"/>
        </w:rPr>
        <w:t>é</w:t>
      </w:r>
      <w:r w:rsidRPr="00562808">
        <w:rPr>
          <w:szCs w:val="22"/>
        </w:rPr>
        <w:t>ment de revenu garanti (SRG) pour les personnes âgées, une technique qui sera privilégiée dans le cadre de la nouvelle politique sociale déjà en gest</w:t>
      </w:r>
      <w:r w:rsidRPr="00562808">
        <w:rPr>
          <w:szCs w:val="22"/>
        </w:rPr>
        <w:t>a</w:t>
      </w:r>
      <w:r w:rsidRPr="00562808">
        <w:rPr>
          <w:szCs w:val="22"/>
        </w:rPr>
        <w:t>tion ; 6) l'amorce, à partir de 1973-1974, d'une révision en profondeur des allocations familiales et autres bénéfices pour les familles, qui aboutira, en 1978, à la substitution partielle d'un crédit d'impôt re</w:t>
      </w:r>
      <w:r w:rsidRPr="00562808">
        <w:rPr>
          <w:szCs w:val="22"/>
        </w:rPr>
        <w:t>m</w:t>
      </w:r>
      <w:r w:rsidRPr="00562808">
        <w:rPr>
          <w:szCs w:val="22"/>
        </w:rPr>
        <w:t>boursable pour enfants à charge — une des formes que peut prendre la nouvelle technique de la supplémentation du revenu — aux anciennes allocations famili</w:t>
      </w:r>
      <w:r w:rsidRPr="00562808">
        <w:rPr>
          <w:szCs w:val="22"/>
        </w:rPr>
        <w:t>a</w:t>
      </w:r>
      <w:r w:rsidRPr="00562808">
        <w:rPr>
          <w:szCs w:val="22"/>
        </w:rPr>
        <w:t>les.</w:t>
      </w:r>
    </w:p>
    <w:p w:rsidR="00AD690E" w:rsidRPr="00562808" w:rsidRDefault="00AD690E" w:rsidP="00AD690E">
      <w:pPr>
        <w:spacing w:before="120" w:after="120"/>
        <w:jc w:val="both"/>
      </w:pPr>
      <w:r w:rsidRPr="00562808">
        <w:rPr>
          <w:szCs w:val="22"/>
        </w:rPr>
        <w:t>Rappelons également que ces importants développements au n</w:t>
      </w:r>
      <w:r w:rsidRPr="00562808">
        <w:rPr>
          <w:szCs w:val="22"/>
        </w:rPr>
        <w:t>i</w:t>
      </w:r>
      <w:r w:rsidRPr="00562808">
        <w:rPr>
          <w:szCs w:val="22"/>
        </w:rPr>
        <w:t>veau des mesures sociales ne se sont pas faits sans d'importantes re</w:t>
      </w:r>
      <w:r w:rsidRPr="00562808">
        <w:rPr>
          <w:szCs w:val="22"/>
        </w:rPr>
        <w:t>s</w:t>
      </w:r>
      <w:r w:rsidRPr="00562808">
        <w:rPr>
          <w:szCs w:val="22"/>
        </w:rPr>
        <w:t>tructurations administratives. À ce n</w:t>
      </w:r>
      <w:r w:rsidRPr="00562808">
        <w:rPr>
          <w:szCs w:val="22"/>
        </w:rPr>
        <w:t>i</w:t>
      </w:r>
      <w:r w:rsidRPr="00562808">
        <w:rPr>
          <w:szCs w:val="22"/>
        </w:rPr>
        <w:t>veau, la création dans un premier temps (1966) d'un nouveau ministère de la Main-d'</w:t>
      </w:r>
      <w:r>
        <w:rPr>
          <w:szCs w:val="22"/>
        </w:rPr>
        <w:t>œuvre</w:t>
      </w:r>
      <w:r w:rsidRPr="00562808">
        <w:rPr>
          <w:szCs w:val="22"/>
        </w:rPr>
        <w:t xml:space="preserve"> et de l'I</w:t>
      </w:r>
      <w:r w:rsidRPr="00562808">
        <w:rPr>
          <w:szCs w:val="22"/>
        </w:rPr>
        <w:t>m</w:t>
      </w:r>
      <w:r w:rsidRPr="00562808">
        <w:rPr>
          <w:szCs w:val="22"/>
        </w:rPr>
        <w:t>migration, à côté de l'ancien ministère du Travail, dans le but nota</w:t>
      </w:r>
      <w:r w:rsidRPr="00562808">
        <w:rPr>
          <w:szCs w:val="22"/>
        </w:rPr>
        <w:t>m</w:t>
      </w:r>
      <w:r w:rsidRPr="00562808">
        <w:rPr>
          <w:szCs w:val="22"/>
        </w:rPr>
        <w:t>ment de libérer l'ancien Service national</w:t>
      </w:r>
      <w:r>
        <w:rPr>
          <w:szCs w:val="22"/>
        </w:rPr>
        <w:t xml:space="preserve"> </w:t>
      </w:r>
      <w:r w:rsidRPr="00562808">
        <w:rPr>
          <w:szCs w:val="18"/>
        </w:rPr>
        <w:t>[</w:t>
      </w:r>
      <w:r w:rsidRPr="00562808">
        <w:rPr>
          <w:rFonts w:cs="Arial"/>
          <w:szCs w:val="18"/>
        </w:rPr>
        <w:t>300]</w:t>
      </w:r>
      <w:r>
        <w:rPr>
          <w:rFonts w:cs="Arial"/>
          <w:szCs w:val="18"/>
        </w:rPr>
        <w:t xml:space="preserve"> </w:t>
      </w:r>
      <w:r w:rsidRPr="00562808">
        <w:rPr>
          <w:szCs w:val="22"/>
        </w:rPr>
        <w:t>de placement — qui est transformé en Centres de main-d'</w:t>
      </w:r>
      <w:r>
        <w:rPr>
          <w:szCs w:val="22"/>
        </w:rPr>
        <w:t>œuvre</w:t>
      </w:r>
      <w:r w:rsidRPr="00562808">
        <w:rPr>
          <w:szCs w:val="22"/>
        </w:rPr>
        <w:t xml:space="preserve"> par la même occasion — de la tutelle qu'exerçait sur lui la Commi</w:t>
      </w:r>
      <w:r w:rsidRPr="00562808">
        <w:rPr>
          <w:szCs w:val="22"/>
        </w:rPr>
        <w:t>s</w:t>
      </w:r>
      <w:r w:rsidRPr="00562808">
        <w:rPr>
          <w:szCs w:val="22"/>
        </w:rPr>
        <w:t>sion d'assurance-chômage, puis l'intégration, en 1976-1977, de celle-ci au sein d'une nouvelle Co</w:t>
      </w:r>
      <w:r w:rsidRPr="00562808">
        <w:rPr>
          <w:szCs w:val="22"/>
        </w:rPr>
        <w:t>m</w:t>
      </w:r>
      <w:r w:rsidRPr="00562808">
        <w:rPr>
          <w:szCs w:val="22"/>
        </w:rPr>
        <w:t>mission de l'emploi et de l'immigration — ce qui a pour effet de placer désormais l'assurance-chômage sous la dépendance des services de main-d'</w:t>
      </w:r>
      <w:r>
        <w:rPr>
          <w:szCs w:val="22"/>
        </w:rPr>
        <w:t>œuvre</w:t>
      </w:r>
      <w:r w:rsidRPr="00562808">
        <w:rPr>
          <w:szCs w:val="22"/>
        </w:rPr>
        <w:t xml:space="preserve"> — sont sans doute les développements les plus spect</w:t>
      </w:r>
      <w:r w:rsidRPr="00562808">
        <w:rPr>
          <w:szCs w:val="22"/>
        </w:rPr>
        <w:t>a</w:t>
      </w:r>
      <w:r w:rsidRPr="00562808">
        <w:rPr>
          <w:szCs w:val="22"/>
        </w:rPr>
        <w:t>culaires et les plus significatifs.</w:t>
      </w:r>
    </w:p>
    <w:p w:rsidR="00AD690E" w:rsidRPr="00562808" w:rsidRDefault="00AD690E" w:rsidP="00AD690E">
      <w:pPr>
        <w:spacing w:before="120" w:after="120"/>
        <w:jc w:val="both"/>
        <w:rPr>
          <w:szCs w:val="22"/>
        </w:rPr>
      </w:pPr>
    </w:p>
    <w:p w:rsidR="00AD690E" w:rsidRPr="00D55147" w:rsidRDefault="00AD690E" w:rsidP="00AD690E">
      <w:pPr>
        <w:pStyle w:val="a"/>
      </w:pPr>
      <w:r w:rsidRPr="00D55147">
        <w:t>... non sans une certaine continuité</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Ce qui frappe d'abord dans ces développements, c'est bien sûr le caractère novateur de certaines initiatives. Ainsi, le recours aux tec</w:t>
      </w:r>
      <w:r w:rsidRPr="00562808">
        <w:rPr>
          <w:szCs w:val="22"/>
        </w:rPr>
        <w:t>h</w:t>
      </w:r>
      <w:r w:rsidRPr="00562808">
        <w:rPr>
          <w:szCs w:val="22"/>
        </w:rPr>
        <w:t>niques de la supplémentation du revenu tend à accréditer l'idée so</w:t>
      </w:r>
      <w:r w:rsidRPr="00562808">
        <w:rPr>
          <w:szCs w:val="22"/>
        </w:rPr>
        <w:t>u</w:t>
      </w:r>
      <w:r w:rsidRPr="00562808">
        <w:rPr>
          <w:szCs w:val="22"/>
        </w:rPr>
        <w:t>vent proclamée que le gouvernement de l'époque était résolument e</w:t>
      </w:r>
      <w:r w:rsidRPr="00562808">
        <w:rPr>
          <w:szCs w:val="22"/>
        </w:rPr>
        <w:t>n</w:t>
      </w:r>
      <w:r w:rsidRPr="00562808">
        <w:rPr>
          <w:szCs w:val="22"/>
        </w:rPr>
        <w:t>gagé dans la voie qui devait conduire à la mise en place d'un syst</w:t>
      </w:r>
      <w:r w:rsidRPr="00562808">
        <w:rPr>
          <w:szCs w:val="22"/>
        </w:rPr>
        <w:t>è</w:t>
      </w:r>
      <w:r w:rsidRPr="00562808">
        <w:rPr>
          <w:szCs w:val="22"/>
        </w:rPr>
        <w:t xml:space="preserve">me de revenu annuel garanti au </w:t>
      </w:r>
      <w:r>
        <w:rPr>
          <w:szCs w:val="22"/>
        </w:rPr>
        <w:t>Canada </w:t>
      </w:r>
      <w:r w:rsidRPr="002A1EB4">
        <w:rPr>
          <w:rStyle w:val="Appelnotedebasdep"/>
        </w:rPr>
        <w:footnoteReference w:id="500"/>
      </w:r>
      <w:r w:rsidRPr="00562808">
        <w:rPr>
          <w:szCs w:val="22"/>
        </w:rPr>
        <w:t>.</w:t>
      </w:r>
    </w:p>
    <w:p w:rsidR="00AD690E" w:rsidRPr="00562808" w:rsidRDefault="00AD690E" w:rsidP="00AD690E">
      <w:pPr>
        <w:spacing w:before="120" w:after="120"/>
        <w:jc w:val="both"/>
      </w:pPr>
      <w:r w:rsidRPr="00562808">
        <w:rPr>
          <w:szCs w:val="22"/>
        </w:rPr>
        <w:t>À la réflexion cependant, cette nouvelle politique de « sécurité du revenu » qu'on entend substituer à l'ancienne politique dite « de séc</w:t>
      </w:r>
      <w:r w:rsidRPr="00562808">
        <w:rPr>
          <w:szCs w:val="22"/>
        </w:rPr>
        <w:t>u</w:t>
      </w:r>
      <w:r w:rsidRPr="00562808">
        <w:rPr>
          <w:szCs w:val="22"/>
        </w:rPr>
        <w:t>rité sociale », héritée de la « révolution keynésienne » des années 1930, pourrait bien être moins généreuse qu'il n'y paraît. Par exemple, la nouvelle politique implique qu'on remplace, dans la mesure du po</w:t>
      </w:r>
      <w:r w:rsidRPr="00562808">
        <w:rPr>
          <w:szCs w:val="22"/>
        </w:rPr>
        <w:t>s</w:t>
      </w:r>
      <w:r w:rsidRPr="00562808">
        <w:rPr>
          <w:szCs w:val="22"/>
        </w:rPr>
        <w:t>sible, les anciens mécanismes de transfert propres à la sécurité sociale, notamment les prestations dites « universelles » telles la « Sécurité de la vieillesse » et les allocations familiales, par les nouveaux mécani</w:t>
      </w:r>
      <w:r w:rsidRPr="00562808">
        <w:rPr>
          <w:szCs w:val="22"/>
        </w:rPr>
        <w:t>s</w:t>
      </w:r>
      <w:r w:rsidRPr="00562808">
        <w:rPr>
          <w:szCs w:val="22"/>
        </w:rPr>
        <w:t>mes de la supplémentation du revenu</w:t>
      </w:r>
      <w:r>
        <w:rPr>
          <w:szCs w:val="22"/>
        </w:rPr>
        <w:t> </w:t>
      </w:r>
      <w:r w:rsidRPr="002A1EB4">
        <w:rPr>
          <w:rStyle w:val="Appelnotedebasdep"/>
        </w:rPr>
        <w:footnoteReference w:id="501"/>
      </w:r>
      <w:r w:rsidRPr="00562808">
        <w:rPr>
          <w:szCs w:val="22"/>
        </w:rPr>
        <w:t>. En principe, cela devrait permettre de donner plus à</w:t>
      </w:r>
      <w:r>
        <w:rPr>
          <w:szCs w:val="22"/>
        </w:rPr>
        <w:t xml:space="preserve"> </w:t>
      </w:r>
      <w:r w:rsidRPr="00562808">
        <w:rPr>
          <w:szCs w:val="18"/>
        </w:rPr>
        <w:t>[301]</w:t>
      </w:r>
      <w:r>
        <w:rPr>
          <w:szCs w:val="18"/>
        </w:rPr>
        <w:t xml:space="preserve"> </w:t>
      </w:r>
      <w:r w:rsidRPr="00562808">
        <w:rPr>
          <w:szCs w:val="22"/>
        </w:rPr>
        <w:t>ceux qui en ont le plus besoin, pui</w:t>
      </w:r>
      <w:r w:rsidRPr="00562808">
        <w:rPr>
          <w:szCs w:val="22"/>
        </w:rPr>
        <w:t>s</w:t>
      </w:r>
      <w:r w:rsidRPr="00562808">
        <w:rPr>
          <w:szCs w:val="22"/>
        </w:rPr>
        <w:t>que la technique de la supplémentation du revenu permet d'aider ch</w:t>
      </w:r>
      <w:r w:rsidRPr="00562808">
        <w:rPr>
          <w:szCs w:val="22"/>
        </w:rPr>
        <w:t>a</w:t>
      </w:r>
      <w:r w:rsidRPr="00562808">
        <w:rPr>
          <w:szCs w:val="22"/>
        </w:rPr>
        <w:t>cun beaucoup plus précis</w:t>
      </w:r>
      <w:r w:rsidRPr="00562808">
        <w:rPr>
          <w:szCs w:val="22"/>
        </w:rPr>
        <w:t>é</w:t>
      </w:r>
      <w:r w:rsidRPr="00562808">
        <w:rPr>
          <w:szCs w:val="22"/>
        </w:rPr>
        <w:t>ment en fonction de ses besoins — dans la mesure où le niveau de r</w:t>
      </w:r>
      <w:r w:rsidRPr="00562808">
        <w:rPr>
          <w:szCs w:val="22"/>
        </w:rPr>
        <w:t>e</w:t>
      </w:r>
      <w:r w:rsidRPr="00562808">
        <w:rPr>
          <w:szCs w:val="22"/>
        </w:rPr>
        <w:t>venu est un bon indicateur du niveau des besoins. En pratique cepe</w:t>
      </w:r>
      <w:r w:rsidRPr="00562808">
        <w:rPr>
          <w:szCs w:val="22"/>
        </w:rPr>
        <w:t>n</w:t>
      </w:r>
      <w:r w:rsidRPr="00562808">
        <w:rPr>
          <w:szCs w:val="22"/>
        </w:rPr>
        <w:t>dant, on constate que dans le cadre de sa nouvelle politique soci</w:t>
      </w:r>
      <w:r w:rsidRPr="00562808">
        <w:rPr>
          <w:szCs w:val="22"/>
        </w:rPr>
        <w:t>a</w:t>
      </w:r>
      <w:r w:rsidRPr="00562808">
        <w:rPr>
          <w:szCs w:val="22"/>
        </w:rPr>
        <w:t>le, l'État ne se propose pas tant de consacrer plus de ressources à la protection sociale, que de distribuer différe</w:t>
      </w:r>
      <w:r w:rsidRPr="00562808">
        <w:rPr>
          <w:szCs w:val="22"/>
        </w:rPr>
        <w:t>m</w:t>
      </w:r>
      <w:r w:rsidRPr="00562808">
        <w:rPr>
          <w:szCs w:val="22"/>
        </w:rPr>
        <w:t>ment ce qu'il y consacre d</w:t>
      </w:r>
      <w:r w:rsidRPr="00562808">
        <w:rPr>
          <w:szCs w:val="22"/>
        </w:rPr>
        <w:t>é</w:t>
      </w:r>
      <w:r w:rsidRPr="00562808">
        <w:rPr>
          <w:szCs w:val="22"/>
        </w:rPr>
        <w:t>jà</w:t>
      </w:r>
      <w:r>
        <w:rPr>
          <w:szCs w:val="22"/>
        </w:rPr>
        <w:t> </w:t>
      </w:r>
      <w:r w:rsidRPr="002A1EB4">
        <w:rPr>
          <w:rStyle w:val="Appelnotedebasdep"/>
        </w:rPr>
        <w:footnoteReference w:id="502"/>
      </w:r>
      <w:r w:rsidRPr="00562808">
        <w:rPr>
          <w:szCs w:val="22"/>
        </w:rPr>
        <w:t>. Pour pouvoir donner plus à certains, il donnera moins à d'a</w:t>
      </w:r>
      <w:r w:rsidRPr="00562808">
        <w:rPr>
          <w:szCs w:val="22"/>
        </w:rPr>
        <w:t>u</w:t>
      </w:r>
      <w:r w:rsidRPr="00562808">
        <w:rPr>
          <w:szCs w:val="22"/>
        </w:rPr>
        <w:t>tres : mais est-il évident que ces « autres » — pensons aux familles et aux personnes âgées — recevaient trop ?</w:t>
      </w:r>
    </w:p>
    <w:p w:rsidR="00AD690E" w:rsidRDefault="00AD690E" w:rsidP="00AD690E">
      <w:pPr>
        <w:spacing w:before="120" w:after="120"/>
        <w:jc w:val="both"/>
        <w:rPr>
          <w:szCs w:val="22"/>
        </w:rPr>
      </w:pPr>
      <w:r w:rsidRPr="00562808">
        <w:rPr>
          <w:szCs w:val="22"/>
        </w:rPr>
        <w:t>D'autre part, la place prépondérante qu'on entend donner aux ass</w:t>
      </w:r>
      <w:r w:rsidRPr="00562808">
        <w:rPr>
          <w:szCs w:val="22"/>
        </w:rPr>
        <w:t>u</w:t>
      </w:r>
      <w:r w:rsidRPr="00562808">
        <w:rPr>
          <w:szCs w:val="22"/>
        </w:rPr>
        <w:t>rances sociales et le lien explicite qu'on établit entre celles-ci et les « revenus et épargnes indiv</w:t>
      </w:r>
      <w:r w:rsidRPr="00562808">
        <w:rPr>
          <w:szCs w:val="22"/>
        </w:rPr>
        <w:t>i</w:t>
      </w:r>
      <w:r w:rsidRPr="00562808">
        <w:rPr>
          <w:szCs w:val="22"/>
        </w:rPr>
        <w:t>duels » permettent de constater qu'on se propose d'articuler beaucoup plus étroitement les programmes réfo</w:t>
      </w:r>
      <w:r w:rsidRPr="00562808">
        <w:rPr>
          <w:szCs w:val="22"/>
        </w:rPr>
        <w:t>r</w:t>
      </w:r>
      <w:r w:rsidRPr="00562808">
        <w:rPr>
          <w:szCs w:val="22"/>
        </w:rPr>
        <w:t>més avec les exigences du marché du travail. Concrètement, cela d</w:t>
      </w:r>
      <w:r w:rsidRPr="00562808">
        <w:rPr>
          <w:szCs w:val="22"/>
        </w:rPr>
        <w:t>e</w:t>
      </w:r>
      <w:r w:rsidRPr="00562808">
        <w:rPr>
          <w:szCs w:val="22"/>
        </w:rPr>
        <w:t>vrait se traduire par un resserrement du contrôle de la disponibilité pour le travail des bénéficiaires pote</w:t>
      </w:r>
      <w:r w:rsidRPr="00562808">
        <w:rPr>
          <w:szCs w:val="22"/>
        </w:rPr>
        <w:t>n</w:t>
      </w:r>
      <w:r w:rsidRPr="00562808">
        <w:rPr>
          <w:szCs w:val="22"/>
        </w:rPr>
        <w:t>tiels, par un resserrement de la discipline du travail donc, et, selon toute probabilité, par l'élimination de la liste des bénéficiaires d'un certain nombre de perso</w:t>
      </w:r>
      <w:r w:rsidRPr="00562808">
        <w:rPr>
          <w:szCs w:val="22"/>
        </w:rPr>
        <w:t>n</w:t>
      </w:r>
      <w:r w:rsidRPr="00562808">
        <w:rPr>
          <w:szCs w:val="22"/>
        </w:rPr>
        <w:t>nes qui étaient admissibles aux anciens programmes de sécurité sociale. En fait, l'insi</w:t>
      </w:r>
      <w:r w:rsidRPr="00562808">
        <w:rPr>
          <w:szCs w:val="22"/>
        </w:rPr>
        <w:t>s</w:t>
      </w:r>
      <w:r w:rsidRPr="00562808">
        <w:rPr>
          <w:szCs w:val="22"/>
        </w:rPr>
        <w:t>tance qui est mise sur l'impératif de « l'incitation au travail » est telle</w:t>
      </w:r>
      <w:r>
        <w:rPr>
          <w:szCs w:val="22"/>
        </w:rPr>
        <w:t> </w:t>
      </w:r>
      <w:r w:rsidRPr="002A1EB4">
        <w:rPr>
          <w:rStyle w:val="Appelnotedebasdep"/>
        </w:rPr>
        <w:footnoteReference w:id="503"/>
      </w:r>
      <w:r w:rsidRPr="00562808">
        <w:rPr>
          <w:szCs w:val="22"/>
        </w:rPr>
        <w:t>, qu'il devient vite apparent que la nouvelle politique soci</w:t>
      </w:r>
      <w:r w:rsidRPr="00562808">
        <w:rPr>
          <w:szCs w:val="22"/>
        </w:rPr>
        <w:t>a</w:t>
      </w:r>
      <w:r w:rsidRPr="00562808">
        <w:rPr>
          <w:szCs w:val="22"/>
        </w:rPr>
        <w:t>le est une politique d'emploi avant d'être une politique de « lutte à la pauvr</w:t>
      </w:r>
      <w:r w:rsidRPr="00562808">
        <w:rPr>
          <w:szCs w:val="22"/>
        </w:rPr>
        <w:t>e</w:t>
      </w:r>
      <w:r w:rsidRPr="00562808">
        <w:rPr>
          <w:szCs w:val="22"/>
        </w:rPr>
        <w:t>té ». D'ailleurs, le fait qu'après avoir exercé sa tutelle sur les services de placement, l'assurance-chômage ait été à son tour placée sous la tutelle des nouveaux services d'emploi constitue sans doute une des manifestations les plus éclatantes du renversement opéré par la nouvelle politique et du caractère désormais dominant de la préo</w:t>
      </w:r>
      <w:r w:rsidRPr="00562808">
        <w:rPr>
          <w:szCs w:val="22"/>
        </w:rPr>
        <w:t>c</w:t>
      </w:r>
      <w:r w:rsidRPr="00562808">
        <w:rPr>
          <w:szCs w:val="22"/>
        </w:rPr>
        <w:t>cupation « emploi »</w:t>
      </w:r>
      <w:r>
        <w:rPr>
          <w:szCs w:val="22"/>
        </w:rPr>
        <w:t> </w:t>
      </w:r>
      <w:r w:rsidRPr="002A1EB4">
        <w:rPr>
          <w:rStyle w:val="Appelnotedebasdep"/>
        </w:rPr>
        <w:footnoteReference w:id="504"/>
      </w:r>
      <w:r w:rsidRPr="00562808">
        <w:rPr>
          <w:szCs w:val="22"/>
        </w:rPr>
        <w:t>.</w:t>
      </w:r>
    </w:p>
    <w:p w:rsidR="00AD690E" w:rsidRPr="00562808" w:rsidRDefault="00AD690E" w:rsidP="00AD690E">
      <w:pPr>
        <w:spacing w:before="120" w:after="120"/>
        <w:jc w:val="both"/>
      </w:pPr>
      <w:r w:rsidRPr="00562808">
        <w:t>[</w:t>
      </w:r>
      <w:r w:rsidRPr="00562808">
        <w:rPr>
          <w:rFonts w:cs="Arial"/>
          <w:szCs w:val="18"/>
        </w:rPr>
        <w:t>302]</w:t>
      </w:r>
    </w:p>
    <w:p w:rsidR="00AD690E" w:rsidRPr="00562808" w:rsidRDefault="00AD690E" w:rsidP="00AD690E">
      <w:pPr>
        <w:spacing w:before="120" w:after="120"/>
        <w:jc w:val="both"/>
      </w:pPr>
      <w:r w:rsidRPr="00562808">
        <w:rPr>
          <w:szCs w:val="22"/>
        </w:rPr>
        <w:t>Et pourtant, malgré le caractère radical de la transform</w:t>
      </w:r>
      <w:r w:rsidRPr="00562808">
        <w:rPr>
          <w:szCs w:val="22"/>
        </w:rPr>
        <w:t>a</w:t>
      </w:r>
      <w:r w:rsidRPr="00562808">
        <w:rPr>
          <w:szCs w:val="22"/>
        </w:rPr>
        <w:t>tion, on ne peut s'empêcher de discerner de nombreuses manifestations de cont</w:t>
      </w:r>
      <w:r w:rsidRPr="00562808">
        <w:rPr>
          <w:szCs w:val="22"/>
        </w:rPr>
        <w:t>i</w:t>
      </w:r>
      <w:r w:rsidRPr="00562808">
        <w:rPr>
          <w:szCs w:val="22"/>
        </w:rPr>
        <w:t>nuité à travers tout le proce</w:t>
      </w:r>
      <w:r w:rsidRPr="00562808">
        <w:rPr>
          <w:szCs w:val="22"/>
        </w:rPr>
        <w:t>s</w:t>
      </w:r>
      <w:r w:rsidRPr="00562808">
        <w:rPr>
          <w:szCs w:val="22"/>
        </w:rPr>
        <w:t>sus.</w:t>
      </w:r>
    </w:p>
    <w:p w:rsidR="00AD690E" w:rsidRPr="00562808" w:rsidRDefault="00AD690E" w:rsidP="00AD690E">
      <w:pPr>
        <w:spacing w:before="120" w:after="120"/>
        <w:jc w:val="both"/>
      </w:pPr>
      <w:r w:rsidRPr="00562808">
        <w:rPr>
          <w:szCs w:val="22"/>
        </w:rPr>
        <w:t>Ainsi, certaines initiatives majeures de cette période s'inscrivent parfaitement dans la logique propre à la « sécurité sociale » et n'ont donc que très peu à voir, s</w:t>
      </w:r>
      <w:r w:rsidRPr="00562808">
        <w:rPr>
          <w:szCs w:val="22"/>
        </w:rPr>
        <w:t>i</w:t>
      </w:r>
      <w:r w:rsidRPr="00562808">
        <w:rPr>
          <w:szCs w:val="22"/>
        </w:rPr>
        <w:t>non rien du tout, avec la nouvelle politique « de sécurité du revenu ». Tel est le cas par exemple de l'assurance santé et des PPC/RRQ, qui faisaient partie intégrante du système de sécurité sociale envisagé pour le Canada, dès les années 1940, même si ce n'était pas selon les modal</w:t>
      </w:r>
      <w:r w:rsidRPr="00562808">
        <w:rPr>
          <w:szCs w:val="22"/>
        </w:rPr>
        <w:t>i</w:t>
      </w:r>
      <w:r w:rsidRPr="00562808">
        <w:rPr>
          <w:szCs w:val="22"/>
        </w:rPr>
        <w:t xml:space="preserve">tés qui furent les leurs, lors de leur mise en place vers le milieu des années 1960. Ces mesures doivent donc être considérées comme une autre étape dans la réalisation de ce projet grandiose des années 1940, et non comme une manifestation de la mise en </w:t>
      </w:r>
      <w:r>
        <w:rPr>
          <w:szCs w:val="22"/>
        </w:rPr>
        <w:t>œuvre</w:t>
      </w:r>
      <w:r w:rsidRPr="00562808">
        <w:rPr>
          <w:szCs w:val="22"/>
        </w:rPr>
        <w:t xml:space="preserve"> de la nouvelle polit</w:t>
      </w:r>
      <w:r w:rsidRPr="00562808">
        <w:rPr>
          <w:szCs w:val="22"/>
        </w:rPr>
        <w:t>i</w:t>
      </w:r>
      <w:r w:rsidRPr="00562808">
        <w:rPr>
          <w:szCs w:val="22"/>
        </w:rPr>
        <w:t>que sociale.</w:t>
      </w:r>
    </w:p>
    <w:p w:rsidR="00AD690E" w:rsidRPr="00562808" w:rsidRDefault="00AD690E" w:rsidP="00AD690E">
      <w:pPr>
        <w:spacing w:before="120" w:after="120"/>
        <w:jc w:val="both"/>
      </w:pPr>
      <w:r w:rsidRPr="00562808">
        <w:rPr>
          <w:szCs w:val="22"/>
        </w:rPr>
        <w:t>On doit noter cependant que dès le début des années 1970, on cherchera à mieux ajuster ces programmes aux objectifs de la nouvelle politique sociale. Ainsi, au même moment où on s'efforçait — sans succès il est vrai, en raison du pouvoir électoral des personnes âgées — de réduire l'importance de la Sécurité de la vieillesse (log</w:t>
      </w:r>
      <w:r w:rsidRPr="00562808">
        <w:rPr>
          <w:szCs w:val="22"/>
        </w:rPr>
        <w:t>i</w:t>
      </w:r>
      <w:r w:rsidRPr="00562808">
        <w:rPr>
          <w:szCs w:val="22"/>
        </w:rPr>
        <w:t>que de la « sécurité sociale ») par rapport au Supplément de revenu garanti (l</w:t>
      </w:r>
      <w:r w:rsidRPr="00562808">
        <w:rPr>
          <w:szCs w:val="22"/>
        </w:rPr>
        <w:t>o</w:t>
      </w:r>
      <w:r w:rsidRPr="00562808">
        <w:rPr>
          <w:szCs w:val="22"/>
        </w:rPr>
        <w:t>gique de la « sécurité du revenu »), des amendements étaient apportés aux PPC/RRQ qui v</w:t>
      </w:r>
      <w:r w:rsidRPr="00562808">
        <w:rPr>
          <w:szCs w:val="22"/>
        </w:rPr>
        <w:t>i</w:t>
      </w:r>
      <w:r w:rsidRPr="00562808">
        <w:rPr>
          <w:szCs w:val="22"/>
        </w:rPr>
        <w:t>saient à ne pas décourager la poursuite du travail salarié au-delà de 65 ans (logique de l'emploi). Cela représentait un changement d'attitude important puisque lorsque le programme avait été institué, on l'avait conçu de façon à abaisser progressivement l'âge « normal » de la retraite de 70 à 65 ans.</w:t>
      </w:r>
    </w:p>
    <w:p w:rsidR="00AD690E" w:rsidRPr="00562808" w:rsidRDefault="00AD690E" w:rsidP="00AD690E">
      <w:pPr>
        <w:spacing w:before="120" w:after="120"/>
        <w:jc w:val="both"/>
      </w:pPr>
      <w:r w:rsidRPr="00562808">
        <w:rPr>
          <w:szCs w:val="22"/>
        </w:rPr>
        <w:t>La démarche n'est pas aussi évidente au niveau de l'ass</w:t>
      </w:r>
      <w:r w:rsidRPr="00562808">
        <w:rPr>
          <w:szCs w:val="22"/>
        </w:rPr>
        <w:t>u</w:t>
      </w:r>
      <w:r w:rsidRPr="00562808">
        <w:rPr>
          <w:szCs w:val="22"/>
        </w:rPr>
        <w:t>rance-maladie, sans doute parce que le processus d'ajustement de ce pr</w:t>
      </w:r>
      <w:r w:rsidRPr="00562808">
        <w:rPr>
          <w:szCs w:val="22"/>
        </w:rPr>
        <w:t>o</w:t>
      </w:r>
      <w:r w:rsidRPr="00562808">
        <w:rPr>
          <w:szCs w:val="22"/>
        </w:rPr>
        <w:t>gramme à la nouvelle politique n'est pas encore vraiment engagé. Ce</w:t>
      </w:r>
      <w:r w:rsidRPr="00562808">
        <w:rPr>
          <w:szCs w:val="22"/>
        </w:rPr>
        <w:t>r</w:t>
      </w:r>
      <w:r w:rsidRPr="00562808">
        <w:rPr>
          <w:szCs w:val="22"/>
        </w:rPr>
        <w:t>tains événements montrent bien cependant que ce pr</w:t>
      </w:r>
      <w:r w:rsidRPr="00562808">
        <w:rPr>
          <w:szCs w:val="22"/>
        </w:rPr>
        <w:t>o</w:t>
      </w:r>
      <w:r w:rsidRPr="00562808">
        <w:rPr>
          <w:szCs w:val="22"/>
        </w:rPr>
        <w:t>gramme, hérité de la période de la sécurité sociale, était aussi dans le collimateur des re</w:t>
      </w:r>
      <w:r w:rsidRPr="00562808">
        <w:rPr>
          <w:szCs w:val="22"/>
        </w:rPr>
        <w:t>s</w:t>
      </w:r>
      <w:r w:rsidRPr="00562808">
        <w:rPr>
          <w:szCs w:val="22"/>
        </w:rPr>
        <w:t>ponsables étatiques de la politique sociale, et on peut supposer qu'il ne saura résister indéfiniment aux exigences de la nouvelle politique, quelle que soit la force re</w:t>
      </w:r>
      <w:r w:rsidRPr="00562808">
        <w:rPr>
          <w:szCs w:val="22"/>
        </w:rPr>
        <w:t>s</w:t>
      </w:r>
      <w:r w:rsidRPr="00562808">
        <w:rPr>
          <w:szCs w:val="22"/>
        </w:rPr>
        <w:t>pective des puissants groupes d'intérêt en présence. Ainsi, rappelons qu'en 1974, le ministre responsable, mo</w:t>
      </w:r>
      <w:r w:rsidRPr="00562808">
        <w:rPr>
          <w:szCs w:val="22"/>
        </w:rPr>
        <w:t>n</w:t>
      </w:r>
      <w:r w:rsidRPr="00562808">
        <w:rPr>
          <w:szCs w:val="22"/>
        </w:rPr>
        <w:t>sieur Marc Lalonde, rendait public un document de travail intitulé « Nouvelle perspective de la santé des C</w:t>
      </w:r>
      <w:r w:rsidRPr="00562808">
        <w:rPr>
          <w:szCs w:val="22"/>
        </w:rPr>
        <w:t>a</w:t>
      </w:r>
      <w:r w:rsidRPr="00562808">
        <w:rPr>
          <w:szCs w:val="22"/>
        </w:rPr>
        <w:t>nadiens » : quel qu'ait pu être l'impact de cette public</w:t>
      </w:r>
      <w:r w:rsidRPr="00562808">
        <w:rPr>
          <w:szCs w:val="22"/>
        </w:rPr>
        <w:t>a</w:t>
      </w:r>
      <w:r w:rsidRPr="00562808">
        <w:rPr>
          <w:szCs w:val="22"/>
        </w:rPr>
        <w:t>tion, c'était déjà l'indication d'un désir de lancer un débat sur la question. Quelques années plus tard, le même ministre concluait avec les provinces, au nom du gouvernement ce</w:t>
      </w:r>
      <w:r w:rsidRPr="00562808">
        <w:rPr>
          <w:szCs w:val="22"/>
        </w:rPr>
        <w:t>n</w:t>
      </w:r>
      <w:r w:rsidRPr="00562808">
        <w:rPr>
          <w:szCs w:val="22"/>
        </w:rPr>
        <w:t>tral, les accords fiscaux de 1977 qui avaient pour conséquence, d'une part, de plafonner la contribution f</w:t>
      </w:r>
      <w:r w:rsidRPr="00562808">
        <w:rPr>
          <w:szCs w:val="22"/>
        </w:rPr>
        <w:t>é</w:t>
      </w:r>
      <w:r w:rsidRPr="00562808">
        <w:rPr>
          <w:szCs w:val="22"/>
        </w:rPr>
        <w:t>dérale aux coûts du régime et, d'autre part, de confier aux provinces, en pratique, une pleine auton</w:t>
      </w:r>
      <w:r w:rsidRPr="00562808">
        <w:rPr>
          <w:szCs w:val="22"/>
        </w:rPr>
        <w:t>o</w:t>
      </w:r>
      <w:r w:rsidRPr="00562808">
        <w:rPr>
          <w:szCs w:val="22"/>
        </w:rPr>
        <w:t>mie dans sa gestion. Connaissant le biais centralisateur de l'admini</w:t>
      </w:r>
      <w:r w:rsidRPr="00562808">
        <w:rPr>
          <w:szCs w:val="22"/>
        </w:rPr>
        <w:t>s</w:t>
      </w:r>
      <w:r w:rsidRPr="00562808">
        <w:rPr>
          <w:szCs w:val="22"/>
        </w:rPr>
        <w:t>tration Trudeau, l'abandon de la tutelle que le minist</w:t>
      </w:r>
      <w:r w:rsidRPr="00562808">
        <w:rPr>
          <w:szCs w:val="22"/>
        </w:rPr>
        <w:t>è</w:t>
      </w:r>
      <w:r w:rsidRPr="00562808">
        <w:rPr>
          <w:szCs w:val="22"/>
        </w:rPr>
        <w:t>re fédéral avait toujours exercé sur les provinces, pour ce pr</w:t>
      </w:r>
      <w:r w:rsidRPr="00562808">
        <w:rPr>
          <w:szCs w:val="22"/>
        </w:rPr>
        <w:t>o</w:t>
      </w:r>
      <w:r w:rsidRPr="00562808">
        <w:rPr>
          <w:szCs w:val="22"/>
        </w:rPr>
        <w:t>gramme comme pour tous les programmes à frais partagés, signifiait un changement d'att</w:t>
      </w:r>
      <w:r w:rsidRPr="00562808">
        <w:rPr>
          <w:szCs w:val="22"/>
        </w:rPr>
        <w:t>i</w:t>
      </w:r>
      <w:r w:rsidRPr="00562808">
        <w:rPr>
          <w:szCs w:val="22"/>
        </w:rPr>
        <w:t>tude radical, qui pou</w:t>
      </w:r>
      <w:r w:rsidRPr="00562808">
        <w:rPr>
          <w:szCs w:val="22"/>
        </w:rPr>
        <w:t>r</w:t>
      </w:r>
      <w:r w:rsidRPr="00562808">
        <w:rPr>
          <w:szCs w:val="22"/>
        </w:rPr>
        <w:t>rait peut-être</w:t>
      </w:r>
      <w:r>
        <w:rPr>
          <w:szCs w:val="22"/>
        </w:rPr>
        <w:t xml:space="preserve"> </w:t>
      </w:r>
      <w:r w:rsidRPr="00562808">
        <w:t>[303]</w:t>
      </w:r>
      <w:r>
        <w:t xml:space="preserve"> </w:t>
      </w:r>
      <w:r w:rsidRPr="00562808">
        <w:rPr>
          <w:szCs w:val="22"/>
        </w:rPr>
        <w:t>s'expliquer par le souci du gouvernement central de lai</w:t>
      </w:r>
      <w:r w:rsidRPr="00562808">
        <w:rPr>
          <w:szCs w:val="22"/>
        </w:rPr>
        <w:t>s</w:t>
      </w:r>
      <w:r w:rsidRPr="00562808">
        <w:rPr>
          <w:szCs w:val="22"/>
        </w:rPr>
        <w:t>ser aux provinces l'odieux de procéder aux ajustements souhaités. Chose ce</w:t>
      </w:r>
      <w:r w:rsidRPr="00562808">
        <w:rPr>
          <w:szCs w:val="22"/>
        </w:rPr>
        <w:t>r</w:t>
      </w:r>
      <w:r w:rsidRPr="00562808">
        <w:rPr>
          <w:szCs w:val="22"/>
        </w:rPr>
        <w:t>taine, on commença à discuter sérieusement de « tickets modér</w:t>
      </w:r>
      <w:r w:rsidRPr="00562808">
        <w:rPr>
          <w:szCs w:val="22"/>
        </w:rPr>
        <w:t>a</w:t>
      </w:r>
      <w:r w:rsidRPr="00562808">
        <w:rPr>
          <w:szCs w:val="22"/>
        </w:rPr>
        <w:t>teurs » un peu partout au Canada — ce qui avait pour effet de remettre en que</w:t>
      </w:r>
      <w:r w:rsidRPr="00562808">
        <w:rPr>
          <w:szCs w:val="22"/>
        </w:rPr>
        <w:t>s</w:t>
      </w:r>
      <w:r w:rsidRPr="00562808">
        <w:rPr>
          <w:szCs w:val="22"/>
        </w:rPr>
        <w:t>tion la gratuité totale des soins qui avait prévalu jusque-là — et dans certaines pro</w:t>
      </w:r>
      <w:r>
        <w:rPr>
          <w:szCs w:val="22"/>
        </w:rPr>
        <w:t>vinces, la pr</w:t>
      </w:r>
      <w:r>
        <w:rPr>
          <w:szCs w:val="22"/>
        </w:rPr>
        <w:t>a</w:t>
      </w:r>
      <w:r>
        <w:rPr>
          <w:szCs w:val="22"/>
        </w:rPr>
        <w:t>tique de la « sur</w:t>
      </w:r>
      <w:r w:rsidRPr="00562808">
        <w:rPr>
          <w:szCs w:val="22"/>
        </w:rPr>
        <w:t>facturation » co</w:t>
      </w:r>
      <w:r w:rsidRPr="00562808">
        <w:rPr>
          <w:szCs w:val="22"/>
        </w:rPr>
        <w:t>m</w:t>
      </w:r>
      <w:r w:rsidRPr="00562808">
        <w:rPr>
          <w:szCs w:val="22"/>
        </w:rPr>
        <w:t>mença à se généraliser. En 1984, une nouvelle Loi de la santé fédérale était adoptée qui redonnait au mini</w:t>
      </w:r>
      <w:r w:rsidRPr="00562808">
        <w:rPr>
          <w:szCs w:val="22"/>
        </w:rPr>
        <w:t>s</w:t>
      </w:r>
      <w:r w:rsidRPr="00562808">
        <w:rPr>
          <w:szCs w:val="22"/>
        </w:rPr>
        <w:t>tère f</w:t>
      </w:r>
      <w:r w:rsidRPr="00562808">
        <w:rPr>
          <w:szCs w:val="22"/>
        </w:rPr>
        <w:t>é</w:t>
      </w:r>
      <w:r w:rsidRPr="00562808">
        <w:rPr>
          <w:szCs w:val="22"/>
        </w:rPr>
        <w:t>déral son pouvoir de tutelle sur la gestion du programme par les provinces. Le ministre responsable de l'époque, madame Bégin, a ju</w:t>
      </w:r>
      <w:r w:rsidRPr="00562808">
        <w:rPr>
          <w:szCs w:val="22"/>
        </w:rPr>
        <w:t>s</w:t>
      </w:r>
      <w:r w:rsidRPr="00562808">
        <w:rPr>
          <w:szCs w:val="22"/>
        </w:rPr>
        <w:t>tifié cette loi par le désir du gouvernement fédéral de préserver l'e</w:t>
      </w:r>
      <w:r w:rsidRPr="00562808">
        <w:rPr>
          <w:szCs w:val="22"/>
        </w:rPr>
        <w:t>s</w:t>
      </w:r>
      <w:r w:rsidRPr="00562808">
        <w:rPr>
          <w:szCs w:val="22"/>
        </w:rPr>
        <w:t>sence même du programme tel qu'il avait été conçu au départ à savoir, essentiellement l'universalité d'accès (« gratuité » des soins) et le c</w:t>
      </w:r>
      <w:r w:rsidRPr="00562808">
        <w:rPr>
          <w:szCs w:val="22"/>
        </w:rPr>
        <w:t>a</w:t>
      </w:r>
      <w:r w:rsidRPr="00562808">
        <w:rPr>
          <w:szCs w:val="22"/>
        </w:rPr>
        <w:t>ractère public de son organis</w:t>
      </w:r>
      <w:r w:rsidRPr="00562808">
        <w:rPr>
          <w:szCs w:val="22"/>
        </w:rPr>
        <w:t>a</w:t>
      </w:r>
      <w:r w:rsidRPr="00562808">
        <w:rPr>
          <w:szCs w:val="22"/>
        </w:rPr>
        <w:t>tion</w:t>
      </w:r>
      <w:r>
        <w:rPr>
          <w:szCs w:val="22"/>
        </w:rPr>
        <w:t> </w:t>
      </w:r>
      <w:r w:rsidRPr="002A1EB4">
        <w:rPr>
          <w:rStyle w:val="Appelnotedebasdep"/>
        </w:rPr>
        <w:footnoteReference w:id="505"/>
      </w:r>
      <w:r w:rsidRPr="00562808">
        <w:rPr>
          <w:szCs w:val="22"/>
        </w:rPr>
        <w:t>. Assez étrangement cependant, si la loi de 1984 fermait la po</w:t>
      </w:r>
      <w:r w:rsidRPr="00562808">
        <w:rPr>
          <w:szCs w:val="22"/>
        </w:rPr>
        <w:t>r</w:t>
      </w:r>
      <w:r w:rsidRPr="00562808">
        <w:rPr>
          <w:szCs w:val="22"/>
        </w:rPr>
        <w:t>te aux « tickets modérateurs », elle n'en faisait pas autant quant à la possibilité de privatiser les services de santé. On discute donc aujou</w:t>
      </w:r>
      <w:r w:rsidRPr="00562808">
        <w:rPr>
          <w:szCs w:val="22"/>
        </w:rPr>
        <w:t>r</w:t>
      </w:r>
      <w:r w:rsidRPr="00562808">
        <w:rPr>
          <w:szCs w:val="22"/>
        </w:rPr>
        <w:t>d'hui, de plus en plus, de la possibilité d'introduire au Canada des « Organisations de services intégrés de santé » (OSIS), qui seraient en quelque sorte une réplique des « Health Maintenance Organ</w:t>
      </w:r>
      <w:r w:rsidRPr="00562808">
        <w:rPr>
          <w:szCs w:val="22"/>
        </w:rPr>
        <w:t>i</w:t>
      </w:r>
      <w:r w:rsidRPr="00562808">
        <w:rPr>
          <w:szCs w:val="22"/>
        </w:rPr>
        <w:t>zation » (HMO) américaines</w:t>
      </w:r>
      <w:r>
        <w:rPr>
          <w:szCs w:val="22"/>
        </w:rPr>
        <w:t> </w:t>
      </w:r>
      <w:r w:rsidRPr="002A1EB4">
        <w:rPr>
          <w:rStyle w:val="Appelnotedebasdep"/>
        </w:rPr>
        <w:footnoteReference w:id="506"/>
      </w:r>
      <w:r w:rsidRPr="00562808">
        <w:rPr>
          <w:szCs w:val="22"/>
        </w:rPr>
        <w:t>. Il est donc plus que légitime de se demander si l'objectif véritable du go</w:t>
      </w:r>
      <w:r w:rsidRPr="00562808">
        <w:rPr>
          <w:szCs w:val="22"/>
        </w:rPr>
        <w:t>u</w:t>
      </w:r>
      <w:r w:rsidRPr="00562808">
        <w:rPr>
          <w:szCs w:val="22"/>
        </w:rPr>
        <w:t>vernement Trudeau en 1984 n'était pas beaucoup plus de rét</w:t>
      </w:r>
      <w:r w:rsidRPr="00562808">
        <w:rPr>
          <w:szCs w:val="22"/>
        </w:rPr>
        <w:t>a</w:t>
      </w:r>
      <w:r w:rsidRPr="00562808">
        <w:rPr>
          <w:szCs w:val="22"/>
        </w:rPr>
        <w:t>blir la tutelle du fédéral sur les provinces dans ce secteur, que de contrer le processus d'ajustement de ce progra</w:t>
      </w:r>
      <w:r w:rsidRPr="00562808">
        <w:rPr>
          <w:szCs w:val="22"/>
        </w:rPr>
        <w:t>m</w:t>
      </w:r>
      <w:r w:rsidRPr="00562808">
        <w:rPr>
          <w:szCs w:val="22"/>
        </w:rPr>
        <w:t>me aux exigences de la nouvelle politique.</w:t>
      </w:r>
    </w:p>
    <w:p w:rsidR="00AD690E" w:rsidRPr="00562808" w:rsidRDefault="00AD690E" w:rsidP="00AD690E">
      <w:pPr>
        <w:spacing w:before="120" w:after="120"/>
        <w:jc w:val="both"/>
      </w:pPr>
      <w:r w:rsidRPr="00562808">
        <w:rPr>
          <w:szCs w:val="22"/>
        </w:rPr>
        <w:t>Finalement, ce que démontrent ces faits, c'est que la p</w:t>
      </w:r>
      <w:r w:rsidRPr="00562808">
        <w:rPr>
          <w:szCs w:val="22"/>
        </w:rPr>
        <w:t>é</w:t>
      </w:r>
      <w:r w:rsidRPr="00562808">
        <w:rPr>
          <w:szCs w:val="22"/>
        </w:rPr>
        <w:t>riode qui nous occupe ici en est une de transition dans le domaine de la polit</w:t>
      </w:r>
      <w:r w:rsidRPr="00562808">
        <w:rPr>
          <w:szCs w:val="22"/>
        </w:rPr>
        <w:t>i</w:t>
      </w:r>
      <w:r w:rsidRPr="00562808">
        <w:rPr>
          <w:szCs w:val="22"/>
        </w:rPr>
        <w:t>que sociale. La nouvelle politique sociale de l'État est assez bien déf</w:t>
      </w:r>
      <w:r w:rsidRPr="00562808">
        <w:rPr>
          <w:szCs w:val="22"/>
        </w:rPr>
        <w:t>i</w:t>
      </w:r>
      <w:r w:rsidRPr="00562808">
        <w:rPr>
          <w:szCs w:val="22"/>
        </w:rPr>
        <w:t>nie, mais le changement de politique se concrétise pr</w:t>
      </w:r>
      <w:r w:rsidRPr="00562808">
        <w:rPr>
          <w:szCs w:val="22"/>
        </w:rPr>
        <w:t>o</w:t>
      </w:r>
      <w:r w:rsidRPr="00562808">
        <w:rPr>
          <w:szCs w:val="22"/>
        </w:rPr>
        <w:t>gressivement dans les programmes, non sans résistance ni soubresauts. Tous ne se rallient pas inconditionnellement à la nouvelle polit</w:t>
      </w:r>
      <w:r w:rsidRPr="00562808">
        <w:rPr>
          <w:szCs w:val="22"/>
        </w:rPr>
        <w:t>i</w:t>
      </w:r>
      <w:r w:rsidRPr="00562808">
        <w:rPr>
          <w:szCs w:val="22"/>
        </w:rPr>
        <w:t>que et on peut parfois encore trouver des manifestations de l'ancienne approche.</w:t>
      </w:r>
    </w:p>
    <w:p w:rsidR="00AD690E" w:rsidRPr="00562808" w:rsidRDefault="00AD690E" w:rsidP="00AD690E">
      <w:pPr>
        <w:spacing w:before="120" w:after="120"/>
        <w:jc w:val="both"/>
        <w:rPr>
          <w:szCs w:val="22"/>
        </w:rPr>
      </w:pPr>
    </w:p>
    <w:p w:rsidR="00AD690E" w:rsidRPr="00562808" w:rsidRDefault="00AD690E" w:rsidP="00AD690E">
      <w:pPr>
        <w:pStyle w:val="planche"/>
      </w:pPr>
      <w:r w:rsidRPr="00562808">
        <w:t>CARACTÈRE STRUCTUREL</w:t>
      </w:r>
      <w:r>
        <w:br/>
      </w:r>
      <w:r w:rsidRPr="00562808">
        <w:t>DE LA POLITIQUE SOCIALE</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Il est cependant un autre niveau auquel cette « continuité » dont nous faisions état précédemment, se manifeste. En effet, un examen un peu attentif des tenants et aboutissants du processus de transform</w:t>
      </w:r>
      <w:r w:rsidRPr="00562808">
        <w:rPr>
          <w:szCs w:val="22"/>
        </w:rPr>
        <w:t>a</w:t>
      </w:r>
      <w:r w:rsidRPr="00562808">
        <w:rPr>
          <w:szCs w:val="22"/>
        </w:rPr>
        <w:t>tion de la pol</w:t>
      </w:r>
      <w:r w:rsidRPr="00562808">
        <w:rPr>
          <w:szCs w:val="22"/>
        </w:rPr>
        <w:t>i</w:t>
      </w:r>
      <w:r w:rsidRPr="00562808">
        <w:rPr>
          <w:szCs w:val="22"/>
        </w:rPr>
        <w:t>tique sociale qui se produit pendant cette période, révèle rapidement que certains des développements qui sont</w:t>
      </w:r>
      <w:r>
        <w:rPr>
          <w:szCs w:val="22"/>
        </w:rPr>
        <w:t xml:space="preserve"> </w:t>
      </w:r>
      <w:r w:rsidRPr="00562808">
        <w:rPr>
          <w:szCs w:val="18"/>
        </w:rPr>
        <w:t>[</w:t>
      </w:r>
      <w:r w:rsidRPr="00562808">
        <w:rPr>
          <w:rFonts w:cs="Arial"/>
          <w:szCs w:val="18"/>
        </w:rPr>
        <w:t>304]</w:t>
      </w:r>
      <w:r>
        <w:rPr>
          <w:rFonts w:cs="Arial"/>
          <w:szCs w:val="18"/>
        </w:rPr>
        <w:t xml:space="preserve"> </w:t>
      </w:r>
      <w:r w:rsidRPr="00562808">
        <w:rPr>
          <w:szCs w:val="22"/>
        </w:rPr>
        <w:t>survenus alors que le Parti libéral du Canada était au pouvoir, avaient été conçus sinon amorcés avant même qu'il n'arrivât au po</w:t>
      </w:r>
      <w:r w:rsidRPr="00562808">
        <w:rPr>
          <w:szCs w:val="22"/>
        </w:rPr>
        <w:t>u</w:t>
      </w:r>
      <w:r w:rsidRPr="00562808">
        <w:rPr>
          <w:szCs w:val="22"/>
        </w:rPr>
        <w:t>voir.</w:t>
      </w:r>
    </w:p>
    <w:p w:rsidR="00AD690E" w:rsidRPr="00562808" w:rsidRDefault="00AD690E" w:rsidP="00AD690E">
      <w:pPr>
        <w:spacing w:before="120" w:after="120"/>
        <w:jc w:val="both"/>
      </w:pPr>
      <w:r w:rsidRPr="00562808">
        <w:rPr>
          <w:szCs w:val="22"/>
        </w:rPr>
        <w:t xml:space="preserve">Ainsi, lors de mon analyse approfondie du processus de refonte de l'assurance-chômage qui aurait commencé en 1970, avec l'adoption d'une nouvelle </w:t>
      </w:r>
      <w:r w:rsidRPr="00562808">
        <w:rPr>
          <w:i/>
          <w:iCs/>
          <w:szCs w:val="22"/>
        </w:rPr>
        <w:t>Loi de l'ass</w:t>
      </w:r>
      <w:r w:rsidRPr="00562808">
        <w:rPr>
          <w:i/>
          <w:iCs/>
          <w:szCs w:val="22"/>
        </w:rPr>
        <w:t>u</w:t>
      </w:r>
      <w:r w:rsidRPr="00562808">
        <w:rPr>
          <w:i/>
          <w:iCs/>
          <w:szCs w:val="22"/>
        </w:rPr>
        <w:t xml:space="preserve">rance-chômage, </w:t>
      </w:r>
      <w:r w:rsidRPr="00562808">
        <w:rPr>
          <w:szCs w:val="22"/>
        </w:rPr>
        <w:t>j'ai pu découvrir que l'adoption du régime d'assistance publique du C</w:t>
      </w:r>
      <w:r w:rsidRPr="00562808">
        <w:rPr>
          <w:szCs w:val="22"/>
        </w:rPr>
        <w:t>a</w:t>
      </w:r>
      <w:r w:rsidRPr="00562808">
        <w:rPr>
          <w:szCs w:val="22"/>
        </w:rPr>
        <w:t>nada, la création du ministère de la Main-d'</w:t>
      </w:r>
      <w:r>
        <w:rPr>
          <w:szCs w:val="22"/>
        </w:rPr>
        <w:t>œuvre</w:t>
      </w:r>
      <w:r w:rsidRPr="00562808">
        <w:rPr>
          <w:szCs w:val="22"/>
        </w:rPr>
        <w:t xml:space="preserve"> qui devait permettre la séparation adm</w:t>
      </w:r>
      <w:r w:rsidRPr="00562808">
        <w:rPr>
          <w:szCs w:val="22"/>
        </w:rPr>
        <w:t>i</w:t>
      </w:r>
      <w:r w:rsidRPr="00562808">
        <w:rPr>
          <w:szCs w:val="22"/>
        </w:rPr>
        <w:t>nistrative du Service national de placement et de l'Assurance-chômage, et, plus fondamentalement, cette refonte même de l'assura</w:t>
      </w:r>
      <w:r w:rsidRPr="00562808">
        <w:rPr>
          <w:szCs w:val="22"/>
        </w:rPr>
        <w:t>n</w:t>
      </w:r>
      <w:r w:rsidRPr="00562808">
        <w:rPr>
          <w:szCs w:val="22"/>
        </w:rPr>
        <w:t>ce-chômage en 1970, faisaient suite à des recommandations précises du rapport Gill de 1962</w:t>
      </w:r>
      <w:r>
        <w:rPr>
          <w:szCs w:val="22"/>
        </w:rPr>
        <w:t> </w:t>
      </w:r>
      <w:r w:rsidRPr="002A1EB4">
        <w:rPr>
          <w:rStyle w:val="Appelnotedebasdep"/>
        </w:rPr>
        <w:footnoteReference w:id="507"/>
      </w:r>
      <w:r w:rsidRPr="00562808">
        <w:rPr>
          <w:szCs w:val="22"/>
        </w:rPr>
        <w:t> !</w:t>
      </w:r>
    </w:p>
    <w:p w:rsidR="00AD690E" w:rsidRPr="00562808" w:rsidRDefault="00AD690E" w:rsidP="00AD690E">
      <w:pPr>
        <w:spacing w:before="120" w:after="120"/>
        <w:jc w:val="both"/>
      </w:pPr>
      <w:r w:rsidRPr="00562808">
        <w:rPr>
          <w:szCs w:val="22"/>
        </w:rPr>
        <w:t>De même, lorsque les conservateurs ont succédé aux libéraux à la tête du gouvernement, cela n'a pas entraîné pour autant un redress</w:t>
      </w:r>
      <w:r w:rsidRPr="00562808">
        <w:rPr>
          <w:szCs w:val="22"/>
        </w:rPr>
        <w:t>e</w:t>
      </w:r>
      <w:r w:rsidRPr="00562808">
        <w:rPr>
          <w:szCs w:val="22"/>
        </w:rPr>
        <w:t>ment quelconque au niveau des orie</w:t>
      </w:r>
      <w:r w:rsidRPr="00562808">
        <w:rPr>
          <w:szCs w:val="22"/>
        </w:rPr>
        <w:t>n</w:t>
      </w:r>
      <w:r w:rsidRPr="00562808">
        <w:rPr>
          <w:szCs w:val="22"/>
        </w:rPr>
        <w:t>tations principales qu'on était en voie de donner à la politique sociale. D'un parti à l'a</w:t>
      </w:r>
      <w:r w:rsidRPr="00562808">
        <w:rPr>
          <w:szCs w:val="22"/>
        </w:rPr>
        <w:t>u</w:t>
      </w:r>
      <w:r w:rsidRPr="00562808">
        <w:rPr>
          <w:szCs w:val="22"/>
        </w:rPr>
        <w:t>tre, il y eut des différences d'accent beaucoup plus que de substance, en ce qui concerne la nouvelle politique sociale de l'État canadien.</w:t>
      </w:r>
    </w:p>
    <w:p w:rsidR="00AD690E" w:rsidRPr="00562808" w:rsidRDefault="00AD690E" w:rsidP="00AD690E">
      <w:pPr>
        <w:spacing w:before="120" w:after="120"/>
        <w:jc w:val="both"/>
      </w:pPr>
      <w:r w:rsidRPr="00562808">
        <w:rPr>
          <w:szCs w:val="22"/>
        </w:rPr>
        <w:t>Peut-être cette « continuité » s'explique-t-elle, en partie au moins, par les particular</w:t>
      </w:r>
      <w:r w:rsidRPr="00562808">
        <w:rPr>
          <w:szCs w:val="22"/>
        </w:rPr>
        <w:t>i</w:t>
      </w:r>
      <w:r w:rsidRPr="00562808">
        <w:rPr>
          <w:szCs w:val="22"/>
        </w:rPr>
        <w:t>tés de notre système parlementaire, qui conduisent d'une part au bipartisme et qui, d'a</w:t>
      </w:r>
      <w:r w:rsidRPr="00562808">
        <w:rPr>
          <w:szCs w:val="22"/>
        </w:rPr>
        <w:t>u</w:t>
      </w:r>
      <w:r w:rsidRPr="00562808">
        <w:rPr>
          <w:szCs w:val="22"/>
        </w:rPr>
        <w:t>tre part, ne permettent pas un grand écart idéologique entre les grands partis en prése</w:t>
      </w:r>
      <w:r w:rsidRPr="00562808">
        <w:rPr>
          <w:szCs w:val="22"/>
        </w:rPr>
        <w:t>n</w:t>
      </w:r>
      <w:r w:rsidRPr="00562808">
        <w:rPr>
          <w:szCs w:val="22"/>
        </w:rPr>
        <w:t>ce</w:t>
      </w:r>
      <w:r>
        <w:rPr>
          <w:szCs w:val="22"/>
        </w:rPr>
        <w:t> </w:t>
      </w:r>
      <w:r w:rsidRPr="002A1EB4">
        <w:rPr>
          <w:rStyle w:val="Appelnotedebasdep"/>
        </w:rPr>
        <w:footnoteReference w:id="508"/>
      </w:r>
      <w:r w:rsidRPr="00562808">
        <w:rPr>
          <w:szCs w:val="22"/>
        </w:rPr>
        <w:t>. Peut-être aussi cela est-il partiellement dû à la force d'inertie de la burea</w:t>
      </w:r>
      <w:r w:rsidRPr="00562808">
        <w:rPr>
          <w:szCs w:val="22"/>
        </w:rPr>
        <w:t>u</w:t>
      </w:r>
      <w:r w:rsidRPr="00562808">
        <w:rPr>
          <w:szCs w:val="22"/>
        </w:rPr>
        <w:t>cratie étatique, qui ne permet pas toujours au gouvernement de réal</w:t>
      </w:r>
      <w:r w:rsidRPr="00562808">
        <w:rPr>
          <w:szCs w:val="22"/>
        </w:rPr>
        <w:t>i</w:t>
      </w:r>
      <w:r w:rsidRPr="00562808">
        <w:rPr>
          <w:szCs w:val="22"/>
        </w:rPr>
        <w:t>ser ce qu'il souhaitait en a</w:t>
      </w:r>
      <w:r w:rsidRPr="00562808">
        <w:rPr>
          <w:szCs w:val="22"/>
        </w:rPr>
        <w:t>c</w:t>
      </w:r>
      <w:r w:rsidRPr="00562808">
        <w:rPr>
          <w:szCs w:val="22"/>
        </w:rPr>
        <w:t>cédant au pouvoir.</w:t>
      </w:r>
    </w:p>
    <w:p w:rsidR="00AD690E" w:rsidRPr="00562808" w:rsidRDefault="00AD690E" w:rsidP="00AD690E">
      <w:pPr>
        <w:spacing w:before="120" w:after="120"/>
        <w:jc w:val="both"/>
      </w:pPr>
      <w:r w:rsidRPr="00562808">
        <w:rPr>
          <w:szCs w:val="22"/>
        </w:rPr>
        <w:t>Plus fondamentalement cependant, je crois que cette « continuité » de la politique sociale ou, plus exactement, de ses transformations, découle directement de la nature proprement structurelle de la polit</w:t>
      </w:r>
      <w:r w:rsidRPr="00562808">
        <w:rPr>
          <w:szCs w:val="22"/>
        </w:rPr>
        <w:t>i</w:t>
      </w:r>
      <w:r w:rsidRPr="00562808">
        <w:rPr>
          <w:szCs w:val="22"/>
        </w:rPr>
        <w:t>que sociale. On est en effet habitué de considérer les « problèmes s</w:t>
      </w:r>
      <w:r w:rsidRPr="00562808">
        <w:rPr>
          <w:szCs w:val="22"/>
        </w:rPr>
        <w:t>o</w:t>
      </w:r>
      <w:r w:rsidRPr="00562808">
        <w:rPr>
          <w:szCs w:val="22"/>
        </w:rPr>
        <w:t>ciaux » comme des problèmes individuels de bien-être. Corrélativ</w:t>
      </w:r>
      <w:r w:rsidRPr="00562808">
        <w:rPr>
          <w:szCs w:val="22"/>
        </w:rPr>
        <w:t>e</w:t>
      </w:r>
      <w:r w:rsidRPr="00562808">
        <w:rPr>
          <w:szCs w:val="22"/>
        </w:rPr>
        <w:t>ment, les « politiques sociales » seraient, dans cette perspective, des mesures essentiellement humanitaires visant à alléger la misère de ceux qui en sont les victimes. Or, nos sociétés ont appris depuis lon</w:t>
      </w:r>
      <w:r w:rsidRPr="00562808">
        <w:rPr>
          <w:szCs w:val="22"/>
        </w:rPr>
        <w:t>g</w:t>
      </w:r>
      <w:r w:rsidRPr="00562808">
        <w:rPr>
          <w:szCs w:val="22"/>
        </w:rPr>
        <w:t>temps déjà que cette façon de concevoir les politiques sociales est non seulement partielle, mais qu'elle contribue à masquer leur nature pr</w:t>
      </w:r>
      <w:r w:rsidRPr="00562808">
        <w:rPr>
          <w:szCs w:val="22"/>
        </w:rPr>
        <w:t>o</w:t>
      </w:r>
      <w:r w:rsidRPr="00562808">
        <w:rPr>
          <w:szCs w:val="22"/>
        </w:rPr>
        <w:t>fonde. En effet, un problème devient « social » non pas tant en raison de la grande misère de ceux qui en sont les victimes, mais lorsque ceux-ci représentent une quelconque</w:t>
      </w:r>
      <w:r>
        <w:rPr>
          <w:szCs w:val="22"/>
        </w:rPr>
        <w:t xml:space="preserve"> </w:t>
      </w:r>
      <w:r w:rsidRPr="00562808">
        <w:rPr>
          <w:szCs w:val="18"/>
        </w:rPr>
        <w:t>[305]</w:t>
      </w:r>
      <w:r>
        <w:rPr>
          <w:szCs w:val="18"/>
        </w:rPr>
        <w:t xml:space="preserve"> </w:t>
      </w:r>
      <w:r w:rsidRPr="00562808">
        <w:rPr>
          <w:szCs w:val="22"/>
        </w:rPr>
        <w:t>menace pour l'ordre social lui-même : menace pour la paix sociale par exemple, ou encore pour le bon fonctionnement de l'économie... Cela permet de comprendre notamment que de graves problèmes de « bien-être » aient pu lon</w:t>
      </w:r>
      <w:r w:rsidRPr="00562808">
        <w:rPr>
          <w:szCs w:val="22"/>
        </w:rPr>
        <w:t>g</w:t>
      </w:r>
      <w:r w:rsidRPr="00562808">
        <w:rPr>
          <w:szCs w:val="22"/>
        </w:rPr>
        <w:t>temps exister dans nos sociétés, sans pour autant être reconnus comme « problèmes sociaux » : ou bien ceux qui les éprouvaient n'étaient pas suffisamment forts pour en saisir la soci</w:t>
      </w:r>
      <w:r w:rsidRPr="00562808">
        <w:rPr>
          <w:szCs w:val="22"/>
        </w:rPr>
        <w:t>é</w:t>
      </w:r>
      <w:r w:rsidRPr="00562808">
        <w:rPr>
          <w:szCs w:val="22"/>
        </w:rPr>
        <w:t>té, ou bien leur existence n'était pas de nature à perturber significativement le bon fonctionn</w:t>
      </w:r>
      <w:r w:rsidRPr="00562808">
        <w:rPr>
          <w:szCs w:val="22"/>
        </w:rPr>
        <w:t>e</w:t>
      </w:r>
      <w:r w:rsidRPr="00562808">
        <w:rPr>
          <w:szCs w:val="22"/>
        </w:rPr>
        <w:t>ment de l'ordre social existant.</w:t>
      </w:r>
    </w:p>
    <w:p w:rsidR="00AD690E" w:rsidRPr="00562808" w:rsidRDefault="00AD690E" w:rsidP="00AD690E">
      <w:pPr>
        <w:spacing w:before="120" w:after="120"/>
        <w:jc w:val="both"/>
      </w:pPr>
      <w:r w:rsidRPr="00562808">
        <w:rPr>
          <w:szCs w:val="22"/>
        </w:rPr>
        <w:t>Dans cette perspective proprement « sociale » — ou « sociétale » si on préfère, puisqu'à force d'être associé aux problèmes humanita</w:t>
      </w:r>
      <w:r w:rsidRPr="00562808">
        <w:rPr>
          <w:szCs w:val="22"/>
        </w:rPr>
        <w:t>i</w:t>
      </w:r>
      <w:r w:rsidRPr="00562808">
        <w:rPr>
          <w:szCs w:val="22"/>
        </w:rPr>
        <w:t>res, le qualificatif « social » a fini par perdre son sens premier pour prendre le sens d'« humanitaire » précisément — on con</w:t>
      </w:r>
      <w:r w:rsidRPr="00562808">
        <w:rPr>
          <w:szCs w:val="22"/>
        </w:rPr>
        <w:t>s</w:t>
      </w:r>
      <w:r w:rsidRPr="00562808">
        <w:rPr>
          <w:szCs w:val="22"/>
        </w:rPr>
        <w:t>tate que la finalité première et fondamentale de la politique sociale, ou des polit</w:t>
      </w:r>
      <w:r w:rsidRPr="00562808">
        <w:rPr>
          <w:szCs w:val="22"/>
        </w:rPr>
        <w:t>i</w:t>
      </w:r>
      <w:r w:rsidRPr="00562808">
        <w:rPr>
          <w:szCs w:val="22"/>
        </w:rPr>
        <w:t>ques sociales, est toujours de tenter d'atténuer, sinon d'éliminer, les effets néfastes de certa</w:t>
      </w:r>
      <w:r w:rsidRPr="00562808">
        <w:rPr>
          <w:szCs w:val="22"/>
        </w:rPr>
        <w:t>i</w:t>
      </w:r>
      <w:r w:rsidRPr="00562808">
        <w:rPr>
          <w:szCs w:val="22"/>
        </w:rPr>
        <w:t>nes des contradictions ou « dysfonctions » de notre système, l'allégement de la misère humaine constituant un moyen d'y arriver, beaucoup plus qu'une fin en soi. Ainsi que le disait, déjà en 1945, le ministre fédéral de la Santé nationale et du Bien-être social lors de la Conférence fédérale-provinciale du rétablissement (« reconstruction »), à laquelle le gouvernement fédéral devait dévo</w:t>
      </w:r>
      <w:r w:rsidRPr="00562808">
        <w:rPr>
          <w:szCs w:val="22"/>
        </w:rPr>
        <w:t>i</w:t>
      </w:r>
      <w:r w:rsidRPr="00562808">
        <w:rPr>
          <w:szCs w:val="22"/>
        </w:rPr>
        <w:t xml:space="preserve">ler le plan de sécurité sociale qu'il entendait mettre en </w:t>
      </w:r>
      <w:r>
        <w:rPr>
          <w:szCs w:val="22"/>
        </w:rPr>
        <w:t>œuvre</w:t>
      </w:r>
      <w:r w:rsidRPr="00562808">
        <w:rPr>
          <w:szCs w:val="22"/>
        </w:rPr>
        <w:t xml:space="preserve"> au Can</w:t>
      </w:r>
      <w:r w:rsidRPr="00562808">
        <w:rPr>
          <w:szCs w:val="22"/>
        </w:rPr>
        <w:t>a</w:t>
      </w:r>
      <w:r w:rsidRPr="00562808">
        <w:rPr>
          <w:szCs w:val="22"/>
        </w:rPr>
        <w:t>da :</w:t>
      </w:r>
    </w:p>
    <w:p w:rsidR="00AD690E" w:rsidRDefault="00AD690E" w:rsidP="00AD690E">
      <w:pPr>
        <w:pStyle w:val="Grillecouleur-Accent1"/>
      </w:pPr>
    </w:p>
    <w:p w:rsidR="00AD690E" w:rsidRDefault="00AD690E" w:rsidP="00AD690E">
      <w:pPr>
        <w:pStyle w:val="Grillecouleur-Accent1"/>
        <w:rPr>
          <w:i/>
        </w:rPr>
      </w:pPr>
      <w:r w:rsidRPr="006C5B4F">
        <w:t>Le problème de la sécurité sociale se présente sous deux aspects. En premier lieu, on trouve le côté humanitaire ou social et, en second lieu, le côté économique ou financier. Nous avons été enclins, par tradition, à e</w:t>
      </w:r>
      <w:r w:rsidRPr="006C5B4F">
        <w:t>n</w:t>
      </w:r>
      <w:r w:rsidRPr="006C5B4F">
        <w:t>visager ces deux aspects comme étant inco</w:t>
      </w:r>
      <w:r w:rsidRPr="006C5B4F">
        <w:t>m</w:t>
      </w:r>
      <w:r w:rsidRPr="006C5B4F">
        <w:t>patibles. Récemment, nous en sommes venus à nous rendre compte qu'un vaste programme de sécurité sociale trouve sa justification non seulement au point de vue hum</w:t>
      </w:r>
      <w:r w:rsidRPr="006C5B4F">
        <w:t>a</w:t>
      </w:r>
      <w:r w:rsidRPr="006C5B4F">
        <w:t>nitaire mais en ce qu'il peut contribuer à la stabilité économique par le maintien de la production, du revenu et de l'embauchage et par une distribution équitable de la pui</w:t>
      </w:r>
      <w:r w:rsidRPr="006C5B4F">
        <w:t>s</w:t>
      </w:r>
      <w:r w:rsidRPr="006C5B4F">
        <w:t>sance d'achat</w:t>
      </w:r>
      <w:r>
        <w:t> </w:t>
      </w:r>
      <w:r w:rsidRPr="002A1EB4">
        <w:rPr>
          <w:rStyle w:val="Appelnotedebasdep"/>
          <w:szCs w:val="18"/>
        </w:rPr>
        <w:footnoteReference w:id="509"/>
      </w:r>
      <w:r w:rsidRPr="006C5B4F">
        <w:t>.</w:t>
      </w:r>
    </w:p>
    <w:p w:rsidR="00AD690E" w:rsidRDefault="00AD690E" w:rsidP="00AD690E">
      <w:pPr>
        <w:pStyle w:val="Grillecouleur-Accent1"/>
        <w:rPr>
          <w:i/>
        </w:rPr>
      </w:pPr>
    </w:p>
    <w:p w:rsidR="00AD690E" w:rsidRPr="00562808" w:rsidRDefault="00AD690E" w:rsidP="00AD690E">
      <w:pPr>
        <w:spacing w:before="120" w:after="120"/>
        <w:jc w:val="both"/>
      </w:pPr>
      <w:r w:rsidRPr="00562808">
        <w:rPr>
          <w:szCs w:val="22"/>
        </w:rPr>
        <w:t xml:space="preserve"> En termes plus généraux et sans trahir le sens de ce qui précède, on pourrait dire que la « sécurité sociale », c'est au moins autant la sécurité de l'ordre social existant, qu'un mécanisme de protection pour les victimes désignées des « risques sociaux ». De même, la politique sociale, avant de se traduire par un ensemble de mesures destinées à att</w:t>
      </w:r>
      <w:r w:rsidRPr="00562808">
        <w:rPr>
          <w:szCs w:val="22"/>
        </w:rPr>
        <w:t>é</w:t>
      </w:r>
      <w:r w:rsidRPr="00562808">
        <w:rPr>
          <w:szCs w:val="22"/>
        </w:rPr>
        <w:t>nuer sinon à éliminer des problèmes particuliers et individuels de « bien-être, constitue une stratégie d'ensemble par laquelle une société donnée cherche à assurer son harmonie interne, sa cohésion, sa croi</w:t>
      </w:r>
      <w:r w:rsidRPr="00562808">
        <w:rPr>
          <w:szCs w:val="22"/>
        </w:rPr>
        <w:t>s</w:t>
      </w:r>
      <w:r w:rsidRPr="00562808">
        <w:rPr>
          <w:szCs w:val="22"/>
        </w:rPr>
        <w:t>sance et son épanouissement, sa reproduction, compte tenu de ses c</w:t>
      </w:r>
      <w:r w:rsidRPr="00562808">
        <w:rPr>
          <w:szCs w:val="22"/>
        </w:rPr>
        <w:t>a</w:t>
      </w:r>
      <w:r w:rsidRPr="00562808">
        <w:rPr>
          <w:szCs w:val="22"/>
        </w:rPr>
        <w:t>ractéristiques propres, des moyens matériels et des réserves humaines dont elle</w:t>
      </w:r>
      <w:r>
        <w:rPr>
          <w:szCs w:val="22"/>
        </w:rPr>
        <w:t xml:space="preserve"> </w:t>
      </w:r>
      <w:r w:rsidRPr="00562808">
        <w:t>[</w:t>
      </w:r>
      <w:r w:rsidRPr="00562808">
        <w:rPr>
          <w:szCs w:val="22"/>
        </w:rPr>
        <w:t>306]</w:t>
      </w:r>
      <w:r>
        <w:rPr>
          <w:szCs w:val="22"/>
        </w:rPr>
        <w:t xml:space="preserve"> </w:t>
      </w:r>
      <w:r w:rsidRPr="00562808">
        <w:rPr>
          <w:szCs w:val="22"/>
        </w:rPr>
        <w:t>dispose, des potentialités, limites et contradictions i</w:t>
      </w:r>
      <w:r w:rsidRPr="00562808">
        <w:rPr>
          <w:szCs w:val="22"/>
        </w:rPr>
        <w:t>n</w:t>
      </w:r>
      <w:r w:rsidRPr="00562808">
        <w:rPr>
          <w:szCs w:val="22"/>
        </w:rPr>
        <w:t>hérentes à son système socio-économique...</w:t>
      </w:r>
    </w:p>
    <w:p w:rsidR="00AD690E" w:rsidRPr="00562808" w:rsidRDefault="00AD690E" w:rsidP="00AD690E">
      <w:pPr>
        <w:spacing w:before="120" w:after="120"/>
        <w:jc w:val="both"/>
        <w:rPr>
          <w:szCs w:val="22"/>
        </w:rPr>
      </w:pPr>
    </w:p>
    <w:p w:rsidR="00AD690E" w:rsidRPr="00562808" w:rsidRDefault="00AD690E" w:rsidP="00AD690E">
      <w:pPr>
        <w:pStyle w:val="planche"/>
      </w:pPr>
      <w:r w:rsidRPr="00562808">
        <w:t>DE LA SÉCURITÉ SOCIALE</w:t>
      </w:r>
      <w:r>
        <w:br/>
      </w:r>
      <w:r w:rsidRPr="00562808">
        <w:t>À LA SÉCURITÉ DU REVENU</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Si donc il n'est pas toujours évident que les « problèmes sociaux » qui affectent une société résultent des caractéristiques structurelles du système socio-économique qui sert de fondement à l'organisation s</w:t>
      </w:r>
      <w:r w:rsidRPr="00562808">
        <w:rPr>
          <w:szCs w:val="22"/>
        </w:rPr>
        <w:t>o</w:t>
      </w:r>
      <w:r w:rsidRPr="00562808">
        <w:rPr>
          <w:szCs w:val="22"/>
        </w:rPr>
        <w:t>ciale, la « politique sociale » elle n'en a pas moins to</w:t>
      </w:r>
      <w:r w:rsidRPr="00562808">
        <w:rPr>
          <w:szCs w:val="22"/>
        </w:rPr>
        <w:t>u</w:t>
      </w:r>
      <w:r w:rsidRPr="00562808">
        <w:rPr>
          <w:szCs w:val="22"/>
        </w:rPr>
        <w:t>jours une finalité ou des préoccupations d'ordre structurel ou fondamental. Des préo</w:t>
      </w:r>
      <w:r w:rsidRPr="00562808">
        <w:rPr>
          <w:szCs w:val="22"/>
        </w:rPr>
        <w:t>c</w:t>
      </w:r>
      <w:r w:rsidRPr="00562808">
        <w:rPr>
          <w:szCs w:val="22"/>
        </w:rPr>
        <w:t>cupations de cet ordre n'étant jamais simplement accidentelles ou conjoncturelles, on comprend que le simple changement de gouve</w:t>
      </w:r>
      <w:r w:rsidRPr="00562808">
        <w:rPr>
          <w:szCs w:val="22"/>
        </w:rPr>
        <w:t>r</w:t>
      </w:r>
      <w:r w:rsidRPr="00562808">
        <w:rPr>
          <w:szCs w:val="22"/>
        </w:rPr>
        <w:t>nement ne suffise pas à modifier sub</w:t>
      </w:r>
      <w:r w:rsidRPr="00562808">
        <w:rPr>
          <w:szCs w:val="22"/>
        </w:rPr>
        <w:t>s</w:t>
      </w:r>
      <w:r w:rsidRPr="00562808">
        <w:rPr>
          <w:szCs w:val="22"/>
        </w:rPr>
        <w:t>tantiellement les orientations de la politique sociale, à moins que le nouveau gouvern</w:t>
      </w:r>
      <w:r w:rsidRPr="00562808">
        <w:rPr>
          <w:szCs w:val="22"/>
        </w:rPr>
        <w:t>e</w:t>
      </w:r>
      <w:r w:rsidRPr="00562808">
        <w:rPr>
          <w:szCs w:val="22"/>
        </w:rPr>
        <w:t xml:space="preserve">ment ne soit « révolutionnaire » et n'hésite pas à modifier les fondements mêmes de l'organisation sociale. Dans le cas contraire, la marge de </w:t>
      </w:r>
      <w:r>
        <w:rPr>
          <w:szCs w:val="22"/>
        </w:rPr>
        <w:t>manœuvre</w:t>
      </w:r>
      <w:r w:rsidRPr="00562808">
        <w:rPr>
          <w:szCs w:val="22"/>
        </w:rPr>
        <w:t xml:space="preserve"> dont il dispose au niveau de la politique sociale est très étroite, ce qui explique par exemple que des partis socio-démocrates, tels les partis socialistes de France ou du Portugal, ou encore des pa</w:t>
      </w:r>
      <w:r w:rsidRPr="00562808">
        <w:rPr>
          <w:szCs w:val="22"/>
        </w:rPr>
        <w:t>r</w:t>
      </w:r>
      <w:r w:rsidRPr="00562808">
        <w:rPr>
          <w:szCs w:val="22"/>
        </w:rPr>
        <w:t>tis ayant un « préjugé favorable aux travailleurs », tel le Parti québécois au Qu</w:t>
      </w:r>
      <w:r w:rsidRPr="00562808">
        <w:rPr>
          <w:szCs w:val="22"/>
        </w:rPr>
        <w:t>é</w:t>
      </w:r>
      <w:r w:rsidRPr="00562808">
        <w:rPr>
          <w:szCs w:val="22"/>
        </w:rPr>
        <w:t>bec, aient été contraints, malgré toutes les promesses antérieures et au risque de s'aliéner leur base électorale propre, de modifier radical</w:t>
      </w:r>
      <w:r w:rsidRPr="00562808">
        <w:rPr>
          <w:szCs w:val="22"/>
        </w:rPr>
        <w:t>e</w:t>
      </w:r>
      <w:r w:rsidRPr="00562808">
        <w:rPr>
          <w:szCs w:val="22"/>
        </w:rPr>
        <w:t>ment leur politique sociale une fois arrivés au pouvoir, adoptant même souvent des mesures sociales plus sévères et restrictives que ce qu'avaient pu se permettre les gouvernements « bourgeois » qui les avaient précédés.</w:t>
      </w:r>
    </w:p>
    <w:p w:rsidR="00AD690E" w:rsidRPr="00562808" w:rsidRDefault="00AD690E" w:rsidP="00AD690E">
      <w:pPr>
        <w:spacing w:before="120" w:after="120"/>
        <w:jc w:val="both"/>
      </w:pPr>
      <w:r w:rsidRPr="00562808">
        <w:rPr>
          <w:szCs w:val="22"/>
        </w:rPr>
        <w:t>Ceci dit cependant, si la constatation de cette dimension structure</w:t>
      </w:r>
      <w:r w:rsidRPr="00562808">
        <w:rPr>
          <w:szCs w:val="22"/>
        </w:rPr>
        <w:t>l</w:t>
      </w:r>
      <w:r w:rsidRPr="00562808">
        <w:rPr>
          <w:szCs w:val="22"/>
        </w:rPr>
        <w:t>le de la politique sociale indique clairement le niveau auquel on d</w:t>
      </w:r>
      <w:r w:rsidRPr="00562808">
        <w:rPr>
          <w:szCs w:val="22"/>
        </w:rPr>
        <w:t>e</w:t>
      </w:r>
      <w:r w:rsidRPr="00562808">
        <w:rPr>
          <w:szCs w:val="22"/>
        </w:rPr>
        <w:t>vrait rechercher les explications de la réorientation substantielle de la politique sociale canadienne qui se produit pendant la période étudiée, elle ne nous dit rien sur ces causes précises qui nous permettraient de comprendre la forme qu'allait prendre la nouvelle politique sociale, laquelle favorise le recours à la technique de la supplémentation du revenu, comme nous l'avons déjà noté, et est particulièrement préo</w:t>
      </w:r>
      <w:r w:rsidRPr="00562808">
        <w:rPr>
          <w:szCs w:val="22"/>
        </w:rPr>
        <w:t>c</w:t>
      </w:r>
      <w:r w:rsidRPr="00562808">
        <w:rPr>
          <w:szCs w:val="22"/>
        </w:rPr>
        <w:t>cupée par « l'incitation au travail » des bénéficiaires pote</w:t>
      </w:r>
      <w:r w:rsidRPr="00562808">
        <w:rPr>
          <w:szCs w:val="22"/>
        </w:rPr>
        <w:t>n</w:t>
      </w:r>
      <w:r w:rsidRPr="00562808">
        <w:rPr>
          <w:szCs w:val="22"/>
        </w:rPr>
        <w:t>tiels de la « sécurité du revenu ».</w:t>
      </w:r>
    </w:p>
    <w:p w:rsidR="00AD690E" w:rsidRPr="00562808" w:rsidRDefault="00AD690E" w:rsidP="00AD690E">
      <w:pPr>
        <w:spacing w:before="120" w:after="120"/>
        <w:jc w:val="both"/>
      </w:pPr>
      <w:r w:rsidRPr="00562808">
        <w:rPr>
          <w:szCs w:val="22"/>
        </w:rPr>
        <w:t>Plusieurs thèses ont été développées à propos de ce que d'aucuns ont appelé la « crise de l'État-providence » : crise « fiscale » de l'État ; crise de « légitimité » de la solidarité sociale construite artificiell</w:t>
      </w:r>
      <w:r w:rsidRPr="00562808">
        <w:rPr>
          <w:szCs w:val="22"/>
        </w:rPr>
        <w:t>e</w:t>
      </w:r>
      <w:r w:rsidRPr="00562808">
        <w:rPr>
          <w:szCs w:val="22"/>
        </w:rPr>
        <w:t>ment par l'État ; remise en question de l'interve</w:t>
      </w:r>
      <w:r w:rsidRPr="00562808">
        <w:rPr>
          <w:szCs w:val="22"/>
        </w:rPr>
        <w:t>n</w:t>
      </w:r>
      <w:r w:rsidRPr="00562808">
        <w:rPr>
          <w:szCs w:val="22"/>
        </w:rPr>
        <w:t>tionnisme et retour aux principes du libéralisme...</w:t>
      </w:r>
    </w:p>
    <w:p w:rsidR="00AD690E" w:rsidRDefault="00AD690E" w:rsidP="00AD690E">
      <w:pPr>
        <w:spacing w:before="120" w:after="120"/>
        <w:jc w:val="both"/>
        <w:rPr>
          <w:szCs w:val="22"/>
        </w:rPr>
      </w:pPr>
      <w:r w:rsidRPr="00562808">
        <w:rPr>
          <w:szCs w:val="22"/>
        </w:rPr>
        <w:t>Je n'ai pas les moyens ici de rendre justice à chacune de ces thèses, non plus que de développer ma propre thèse. Je me contenterai d'év</w:t>
      </w:r>
      <w:r w:rsidRPr="00562808">
        <w:rPr>
          <w:szCs w:val="22"/>
        </w:rPr>
        <w:t>o</w:t>
      </w:r>
      <w:r w:rsidRPr="00562808">
        <w:rPr>
          <w:szCs w:val="22"/>
        </w:rPr>
        <w:t>quer quelques faits qui, sans fournir « d'explication », aideront sans doute à se faire une idée un peu plus précise de la nature et du sens de la transformation de la politique sociale qui est survenue depuis le d</w:t>
      </w:r>
      <w:r w:rsidRPr="00562808">
        <w:rPr>
          <w:szCs w:val="22"/>
        </w:rPr>
        <w:t>é</w:t>
      </w:r>
      <w:r w:rsidRPr="00562808">
        <w:rPr>
          <w:szCs w:val="22"/>
        </w:rPr>
        <w:t>but des années 1960 au Canada.</w:t>
      </w:r>
    </w:p>
    <w:p w:rsidR="00AD690E" w:rsidRPr="00562808" w:rsidRDefault="00AD690E" w:rsidP="00AD690E">
      <w:pPr>
        <w:spacing w:before="120" w:after="120"/>
        <w:jc w:val="both"/>
      </w:pPr>
      <w:r w:rsidRPr="00562808">
        <w:t>[307]</w:t>
      </w:r>
    </w:p>
    <w:p w:rsidR="00AD690E" w:rsidRPr="00562808" w:rsidRDefault="00AD690E" w:rsidP="00AD690E">
      <w:pPr>
        <w:spacing w:before="120" w:after="120"/>
        <w:jc w:val="both"/>
      </w:pPr>
      <w:r w:rsidRPr="00562808">
        <w:rPr>
          <w:szCs w:val="22"/>
        </w:rPr>
        <w:t>D'abord, rappelons que depuis la « révolution keynésienne » et la mise au point conséquente de la stratégie de sécurité sociale, la polit</w:t>
      </w:r>
      <w:r w:rsidRPr="00562808">
        <w:rPr>
          <w:szCs w:val="22"/>
        </w:rPr>
        <w:t>i</w:t>
      </w:r>
      <w:r w:rsidRPr="00562808">
        <w:rPr>
          <w:szCs w:val="22"/>
        </w:rPr>
        <w:t>que sociale avait pris une conn</w:t>
      </w:r>
      <w:r w:rsidRPr="00562808">
        <w:rPr>
          <w:szCs w:val="22"/>
        </w:rPr>
        <w:t>o</w:t>
      </w:r>
      <w:r w:rsidRPr="00562808">
        <w:rPr>
          <w:szCs w:val="22"/>
        </w:rPr>
        <w:t>tation nettement économique, ainsi que le rappe</w:t>
      </w:r>
      <w:r>
        <w:rPr>
          <w:szCs w:val="22"/>
        </w:rPr>
        <w:t xml:space="preserve">lait par exemple la citation ci </w:t>
      </w:r>
      <w:r w:rsidRPr="00562808">
        <w:rPr>
          <w:szCs w:val="22"/>
        </w:rPr>
        <w:t>haut ra</w:t>
      </w:r>
      <w:r w:rsidRPr="00562808">
        <w:rPr>
          <w:szCs w:val="22"/>
        </w:rPr>
        <w:t>p</w:t>
      </w:r>
      <w:r w:rsidRPr="00562808">
        <w:rPr>
          <w:szCs w:val="22"/>
        </w:rPr>
        <w:t>portée du ministre fédéral de la Santé nationale à la Conférence du rétablissement. C'est donc d'abord sur le terrain économique qu'on doit chercher l'explic</w:t>
      </w:r>
      <w:r w:rsidRPr="00562808">
        <w:rPr>
          <w:szCs w:val="22"/>
        </w:rPr>
        <w:t>a</w:t>
      </w:r>
      <w:r w:rsidRPr="00562808">
        <w:rPr>
          <w:szCs w:val="22"/>
        </w:rPr>
        <w:t>tion de la remise en question de la stratégie de sécurité sociale d'insp</w:t>
      </w:r>
      <w:r w:rsidRPr="00562808">
        <w:rPr>
          <w:szCs w:val="22"/>
        </w:rPr>
        <w:t>i</w:t>
      </w:r>
      <w:r w:rsidRPr="00562808">
        <w:rPr>
          <w:szCs w:val="22"/>
        </w:rPr>
        <w:t>ration keynésienne.</w:t>
      </w:r>
    </w:p>
    <w:p w:rsidR="00AD690E" w:rsidRPr="00562808" w:rsidRDefault="00AD690E" w:rsidP="00AD690E">
      <w:pPr>
        <w:spacing w:before="120" w:after="120"/>
        <w:jc w:val="both"/>
      </w:pPr>
      <w:r w:rsidRPr="00562808">
        <w:rPr>
          <w:szCs w:val="22"/>
        </w:rPr>
        <w:t>D'autre part, une caractéristique de la politique économique keyn</w:t>
      </w:r>
      <w:r w:rsidRPr="00562808">
        <w:rPr>
          <w:szCs w:val="22"/>
        </w:rPr>
        <w:t>é</w:t>
      </w:r>
      <w:r w:rsidRPr="00562808">
        <w:rPr>
          <w:szCs w:val="22"/>
        </w:rPr>
        <w:t>sienne consistait à rechercher l'équilibre de l'économie tout en réal</w:t>
      </w:r>
      <w:r w:rsidRPr="00562808">
        <w:rPr>
          <w:szCs w:val="22"/>
        </w:rPr>
        <w:t>i</w:t>
      </w:r>
      <w:r w:rsidRPr="00562808">
        <w:rPr>
          <w:szCs w:val="22"/>
        </w:rPr>
        <w:t>sant le plein emploi, grâce à la régul</w:t>
      </w:r>
      <w:r w:rsidRPr="00562808">
        <w:rPr>
          <w:szCs w:val="22"/>
        </w:rPr>
        <w:t>a</w:t>
      </w:r>
      <w:r w:rsidRPr="00562808">
        <w:rPr>
          <w:szCs w:val="22"/>
        </w:rPr>
        <w:t>tion de la demande effective pour les biens de consommation et de production ; d'après Keynes en effet, la crise des années 1930 avait été en partie attribuable à une i</w:t>
      </w:r>
      <w:r w:rsidRPr="00562808">
        <w:rPr>
          <w:szCs w:val="22"/>
        </w:rPr>
        <w:t>n</w:t>
      </w:r>
      <w:r w:rsidRPr="00562808">
        <w:rPr>
          <w:szCs w:val="22"/>
        </w:rPr>
        <w:t>suffisance de la demande solvable par rapport à la capacité de produ</w:t>
      </w:r>
      <w:r w:rsidRPr="00562808">
        <w:rPr>
          <w:szCs w:val="22"/>
        </w:rPr>
        <w:t>c</w:t>
      </w:r>
      <w:r w:rsidRPr="00562808">
        <w:rPr>
          <w:szCs w:val="22"/>
        </w:rPr>
        <w:t>tion des entreprises, ce qui aurait provoqué une accumulation de stocks, une diminution de l'activité productive, une augmentation du chômage, une diminution encore plus grande de la demande so</w:t>
      </w:r>
      <w:r w:rsidRPr="00562808">
        <w:rPr>
          <w:szCs w:val="22"/>
        </w:rPr>
        <w:t>l</w:t>
      </w:r>
      <w:r w:rsidRPr="00562808">
        <w:rPr>
          <w:szCs w:val="22"/>
        </w:rPr>
        <w:t>vable, une accentuation du déséquilibre entre capacité productive et demande solvable et donc, un enfoncement progressif dans la crise plutôt qu'un retour à l'équilibre, ainsi que l'enseignait la théorique économique classique. Dans cette perspective, les méc</w:t>
      </w:r>
      <w:r w:rsidRPr="00562808">
        <w:rPr>
          <w:szCs w:val="22"/>
        </w:rPr>
        <w:t>a</w:t>
      </w:r>
      <w:r w:rsidRPr="00562808">
        <w:rPr>
          <w:szCs w:val="22"/>
        </w:rPr>
        <w:t>nismes de transfert social étaient perçus comme un moyen d'effectuer la régulation n</w:t>
      </w:r>
      <w:r w:rsidRPr="00562808">
        <w:rPr>
          <w:szCs w:val="22"/>
        </w:rPr>
        <w:t>é</w:t>
      </w:r>
      <w:r w:rsidRPr="00562808">
        <w:rPr>
          <w:szCs w:val="22"/>
        </w:rPr>
        <w:t>cessaire de la demande solvable et un programme comme l'assurance-chômage avait présumément l'avantage de faire une régulation automatique, la nature même du pr</w:t>
      </w:r>
      <w:r w:rsidRPr="00562808">
        <w:rPr>
          <w:szCs w:val="22"/>
        </w:rPr>
        <w:t>o</w:t>
      </w:r>
      <w:r w:rsidRPr="00562808">
        <w:rPr>
          <w:szCs w:val="22"/>
        </w:rPr>
        <w:t>gramme étant de constituer des réserves pendant les périodes de plein emploi (et donc de forte demande) pour les r</w:t>
      </w:r>
      <w:r w:rsidRPr="00562808">
        <w:rPr>
          <w:szCs w:val="22"/>
        </w:rPr>
        <w:t>e</w:t>
      </w:r>
      <w:r w:rsidRPr="00562808">
        <w:rPr>
          <w:szCs w:val="22"/>
        </w:rPr>
        <w:t>mettre proportionnellement en circulation pendant les périodes de r</w:t>
      </w:r>
      <w:r w:rsidRPr="00562808">
        <w:rPr>
          <w:szCs w:val="22"/>
        </w:rPr>
        <w:t>a</w:t>
      </w:r>
      <w:r w:rsidRPr="00562808">
        <w:rPr>
          <w:szCs w:val="22"/>
        </w:rPr>
        <w:t>lentissement économique (et donc de plus faible demande, par suite du chômage accru). D'où la place centrale qu'occupait le régime d'a</w:t>
      </w:r>
      <w:r w:rsidRPr="00562808">
        <w:rPr>
          <w:szCs w:val="22"/>
        </w:rPr>
        <w:t>s</w:t>
      </w:r>
      <w:r w:rsidRPr="00562808">
        <w:rPr>
          <w:szCs w:val="22"/>
        </w:rPr>
        <w:t>surance-chômage dans le système de sécurité sociale mis progress</w:t>
      </w:r>
      <w:r w:rsidRPr="00562808">
        <w:rPr>
          <w:szCs w:val="22"/>
        </w:rPr>
        <w:t>i</w:t>
      </w:r>
      <w:r w:rsidRPr="00562808">
        <w:rPr>
          <w:szCs w:val="22"/>
        </w:rPr>
        <w:t>vement en place, à partir des années 1940.</w:t>
      </w:r>
    </w:p>
    <w:p w:rsidR="00AD690E" w:rsidRPr="00562808" w:rsidRDefault="00AD690E" w:rsidP="00AD690E">
      <w:pPr>
        <w:spacing w:before="120" w:after="120"/>
        <w:jc w:val="both"/>
      </w:pPr>
      <w:r w:rsidRPr="00562808">
        <w:rPr>
          <w:szCs w:val="22"/>
        </w:rPr>
        <w:t>Dans les faits, la théorie n'a pas fonctionné tel que prévu au Can</w:t>
      </w:r>
      <w:r w:rsidRPr="00562808">
        <w:rPr>
          <w:szCs w:val="22"/>
        </w:rPr>
        <w:t>a</w:t>
      </w:r>
      <w:r w:rsidRPr="00562808">
        <w:rPr>
          <w:szCs w:val="22"/>
        </w:rPr>
        <w:t>da. Ainsi, à peine quelques années après que les mécanismes de la s</w:t>
      </w:r>
      <w:r w:rsidRPr="00562808">
        <w:rPr>
          <w:szCs w:val="22"/>
        </w:rPr>
        <w:t>é</w:t>
      </w:r>
      <w:r w:rsidRPr="00562808">
        <w:rPr>
          <w:szCs w:val="22"/>
        </w:rPr>
        <w:t>curité sociale eussent été appelés à jouer leur rôle de stimulation de la demande — soit à la fin des années 1950, moment auquel on assiste à un ralentissement de la croissance des dépenses militaires qui, ju</w:t>
      </w:r>
      <w:r w:rsidRPr="00562808">
        <w:rPr>
          <w:szCs w:val="22"/>
        </w:rPr>
        <w:t>s</w:t>
      </w:r>
      <w:r w:rsidRPr="00562808">
        <w:rPr>
          <w:szCs w:val="22"/>
        </w:rPr>
        <w:t>que-là, avaient joué le rôle de stimulant — le principal élément du système de sécurité sociale, à savoir l'assurance-chômage, est presque acculé à la faillite. D'où la création du Comité Gill sur l'assurance-chômage, qui constate déjà en 1962 l'insuffisance des m</w:t>
      </w:r>
      <w:r w:rsidRPr="00562808">
        <w:rPr>
          <w:szCs w:val="22"/>
        </w:rPr>
        <w:t>é</w:t>
      </w:r>
      <w:r w:rsidRPr="00562808">
        <w:rPr>
          <w:szCs w:val="22"/>
        </w:rPr>
        <w:t>canismes de la sécurité sociale en ce qui concerne la stabilisation économique, et qui reco</w:t>
      </w:r>
      <w:r w:rsidRPr="00562808">
        <w:rPr>
          <w:szCs w:val="22"/>
        </w:rPr>
        <w:t>m</w:t>
      </w:r>
      <w:r w:rsidRPr="00562808">
        <w:rPr>
          <w:szCs w:val="22"/>
        </w:rPr>
        <w:t>mande à l'État canadien d'adopter une stratégie économique beaucoup plus extensive que ce qui avait été fait jusque-là ; cette nouvelle str</w:t>
      </w:r>
      <w:r w:rsidRPr="00562808">
        <w:rPr>
          <w:szCs w:val="22"/>
        </w:rPr>
        <w:t>a</w:t>
      </w:r>
      <w:r w:rsidRPr="00562808">
        <w:rPr>
          <w:szCs w:val="22"/>
        </w:rPr>
        <w:t>tégie économique annonce déjà dans ses grandes lignes la nouvelle politique économique et sociale, qui ne deviendra manifeste cepe</w:t>
      </w:r>
      <w:r w:rsidRPr="00562808">
        <w:rPr>
          <w:szCs w:val="22"/>
        </w:rPr>
        <w:t>n</w:t>
      </w:r>
      <w:r w:rsidRPr="00562808">
        <w:rPr>
          <w:szCs w:val="22"/>
        </w:rPr>
        <w:t>dant qu'à partir de 1970, à l'occasion de la « refonte » de l'assura</w:t>
      </w:r>
      <w:r w:rsidRPr="00562808">
        <w:rPr>
          <w:szCs w:val="22"/>
        </w:rPr>
        <w:t>n</w:t>
      </w:r>
      <w:r w:rsidRPr="00562808">
        <w:rPr>
          <w:szCs w:val="22"/>
        </w:rPr>
        <w:t>ce-chômage précisément.</w:t>
      </w:r>
    </w:p>
    <w:p w:rsidR="00AD690E" w:rsidRPr="00562808" w:rsidRDefault="00AD690E" w:rsidP="00AD690E">
      <w:pPr>
        <w:spacing w:before="120" w:after="120"/>
        <w:jc w:val="both"/>
      </w:pPr>
      <w:r w:rsidRPr="00562808">
        <w:rPr>
          <w:szCs w:val="22"/>
        </w:rPr>
        <w:t>En effet, on assista à une reprise de l'activité économique au cours des années 1960, et on a pu penser que malgré l'alerte donnée par la faillite</w:t>
      </w:r>
      <w:r>
        <w:rPr>
          <w:szCs w:val="22"/>
        </w:rPr>
        <w:t xml:space="preserve"> </w:t>
      </w:r>
      <w:r w:rsidRPr="00562808">
        <w:t>[</w:t>
      </w:r>
      <w:r w:rsidRPr="00562808">
        <w:rPr>
          <w:rFonts w:cs="Arial"/>
          <w:szCs w:val="18"/>
        </w:rPr>
        <w:t>308]</w:t>
      </w:r>
      <w:r>
        <w:rPr>
          <w:rFonts w:cs="Arial"/>
          <w:szCs w:val="18"/>
        </w:rPr>
        <w:t xml:space="preserve"> </w:t>
      </w:r>
      <w:r w:rsidRPr="00562808">
        <w:rPr>
          <w:szCs w:val="22"/>
        </w:rPr>
        <w:t>appréhendée de l'assurance-chômage, les mécanismes de sécurité sociale avaient somme toute bien joué leur rôle. L'approche keynésienne devait cependant être à nouveau mise à mal avec l'appar</w:t>
      </w:r>
      <w:r w:rsidRPr="00562808">
        <w:rPr>
          <w:szCs w:val="22"/>
        </w:rPr>
        <w:t>i</w:t>
      </w:r>
      <w:r w:rsidRPr="00562808">
        <w:rPr>
          <w:szCs w:val="22"/>
        </w:rPr>
        <w:t>tion du phénomène de la « stagflation » vers la fin des a</w:t>
      </w:r>
      <w:r w:rsidRPr="00562808">
        <w:rPr>
          <w:szCs w:val="22"/>
        </w:rPr>
        <w:t>n</w:t>
      </w:r>
      <w:r w:rsidRPr="00562808">
        <w:rPr>
          <w:szCs w:val="22"/>
        </w:rPr>
        <w:t>nées 1960 : la théorie de la régulation keynésienne présume en effet qu'inflation et chômage évoluent inversement l'un par rapport à l'autre, alors qu'avec la « stagflation » on était témoin de hauts taux de chômage combinés avec des taux d'inflation qui ne ce</w:t>
      </w:r>
      <w:r w:rsidRPr="00562808">
        <w:rPr>
          <w:szCs w:val="22"/>
        </w:rPr>
        <w:t>s</w:t>
      </w:r>
      <w:r w:rsidRPr="00562808">
        <w:rPr>
          <w:szCs w:val="22"/>
        </w:rPr>
        <w:t>saient de croître. D'autre part, on commençait aussi à percevoir un nouveau « problème social » : celui de la croissance du rôle économique de l'État, une évolution qui app</w:t>
      </w:r>
      <w:r w:rsidRPr="00562808">
        <w:rPr>
          <w:szCs w:val="22"/>
        </w:rPr>
        <w:t>a</w:t>
      </w:r>
      <w:r w:rsidRPr="00562808">
        <w:rPr>
          <w:szCs w:val="22"/>
        </w:rPr>
        <w:t>raissait de plus en plus en contradiction avec les fondements mêmes de l'économie de marché. Comme le notait en effet le Conseil écon</w:t>
      </w:r>
      <w:r w:rsidRPr="00562808">
        <w:rPr>
          <w:szCs w:val="22"/>
        </w:rPr>
        <w:t>o</w:t>
      </w:r>
      <w:r w:rsidRPr="00562808">
        <w:rPr>
          <w:szCs w:val="22"/>
        </w:rPr>
        <w:t>mique du Canada dans son rapport annuel publié en 1973, en 1972, « près de 40% du produit national passait par les administrations p</w:t>
      </w:r>
      <w:r w:rsidRPr="00562808">
        <w:rPr>
          <w:szCs w:val="22"/>
        </w:rPr>
        <w:t>u</w:t>
      </w:r>
      <w:r w:rsidRPr="00562808">
        <w:rPr>
          <w:szCs w:val="22"/>
        </w:rPr>
        <w:t>bliques, soit sous forme d'achats de biens et services, soit sous forme de transferts. (...) Les dépenses des trois paliers de gouvernement qui représentaient 22% du PNB au début des années 50, se sont accrues graduellement mais de façon irrégulière pour atteindre près de 31% en 1966. Depuis, l'augmentation de leur part relative a pr</w:t>
      </w:r>
      <w:r w:rsidRPr="00562808">
        <w:rPr>
          <w:szCs w:val="22"/>
        </w:rPr>
        <w:t>o</w:t>
      </w:r>
      <w:r w:rsidRPr="00562808">
        <w:rPr>
          <w:szCs w:val="22"/>
        </w:rPr>
        <w:t>gressé à un rythme extrêmement rapide. Alors qu'il a fallu 16 ans pour hausser la part des dépenses publiques de 22 à 31% ; six années seulement ont suffi pour la faire grimper de 31 à 39% » (p. 103).</w:t>
      </w:r>
    </w:p>
    <w:p w:rsidR="00AD690E" w:rsidRDefault="00AD690E" w:rsidP="00AD690E">
      <w:pPr>
        <w:spacing w:before="120" w:after="120"/>
        <w:jc w:val="both"/>
        <w:rPr>
          <w:szCs w:val="22"/>
        </w:rPr>
      </w:pPr>
      <w:r w:rsidRPr="00562808">
        <w:rPr>
          <w:szCs w:val="22"/>
        </w:rPr>
        <w:t>Le rappel de ces quelques faits et paramètres ne nous informe év</w:t>
      </w:r>
      <w:r w:rsidRPr="00562808">
        <w:rPr>
          <w:szCs w:val="22"/>
        </w:rPr>
        <w:t>i</w:t>
      </w:r>
      <w:r w:rsidRPr="00562808">
        <w:rPr>
          <w:szCs w:val="22"/>
        </w:rPr>
        <w:t>demment pas sur le chemin précis qui a conduit à l'élaboration et à la mise au point de la nouvelle politique sociale. Celle-ci en effet n'a pas été arrêtée d'un seul coup, mais s'est précisée au fil des années, des essais et des erreurs, de même qu'en fonction des réactions qu'elle a suscitées. On pourrait même dire que le processus de sa mise en œ</w:t>
      </w:r>
      <w:r w:rsidRPr="00562808">
        <w:rPr>
          <w:szCs w:val="22"/>
        </w:rPr>
        <w:t>u</w:t>
      </w:r>
      <w:r w:rsidRPr="00562808">
        <w:rPr>
          <w:szCs w:val="22"/>
        </w:rPr>
        <w:t>vre étant toujours en cours, elle est elle aussi toujours en cours de d</w:t>
      </w:r>
      <w:r w:rsidRPr="00562808">
        <w:rPr>
          <w:szCs w:val="22"/>
        </w:rPr>
        <w:t>é</w:t>
      </w:r>
      <w:r w:rsidRPr="00562808">
        <w:rPr>
          <w:szCs w:val="22"/>
        </w:rPr>
        <w:t>finition. Ce rappel cependant nous pe</w:t>
      </w:r>
      <w:r w:rsidRPr="00562808">
        <w:rPr>
          <w:szCs w:val="22"/>
        </w:rPr>
        <w:t>r</w:t>
      </w:r>
      <w:r w:rsidRPr="00562808">
        <w:rPr>
          <w:szCs w:val="22"/>
        </w:rPr>
        <w:t>met de mieux saisir la raison d'être de certains de ses traits caractéristiques : la rédu</w:t>
      </w:r>
      <w:r w:rsidRPr="00562808">
        <w:rPr>
          <w:szCs w:val="22"/>
        </w:rPr>
        <w:t>c</w:t>
      </w:r>
      <w:r w:rsidRPr="00562808">
        <w:rPr>
          <w:szCs w:val="22"/>
        </w:rPr>
        <w:t>tion, dans toute la mesure possible, du rôle économique de l'État ; en conséquence, le recours à des techniques de transfert plus « efficaces » parce que mieux modulées sur les besoins, ce qui serait le cas des techniques de supplémentation du revenu nota</w:t>
      </w:r>
      <w:r w:rsidRPr="00562808">
        <w:rPr>
          <w:szCs w:val="22"/>
        </w:rPr>
        <w:t>m</w:t>
      </w:r>
      <w:r w:rsidRPr="00562808">
        <w:rPr>
          <w:szCs w:val="22"/>
        </w:rPr>
        <w:t>ment ; enfin, non pas un retrait total de l</w:t>
      </w:r>
      <w:r>
        <w:rPr>
          <w:szCs w:val="22"/>
        </w:rPr>
        <w:t>’</w:t>
      </w:r>
      <w:r w:rsidRPr="00562808">
        <w:rPr>
          <w:szCs w:val="22"/>
        </w:rPr>
        <w:t>État de l'économie ainsi que tend à le faire cro</w:t>
      </w:r>
      <w:r w:rsidRPr="00562808">
        <w:rPr>
          <w:szCs w:val="22"/>
        </w:rPr>
        <w:t>i</w:t>
      </w:r>
      <w:r w:rsidRPr="00562808">
        <w:rPr>
          <w:szCs w:val="22"/>
        </w:rPr>
        <w:t>re le discours « libéral » qui est souvent utilisé pour justifier la nouvelle politique soci</w:t>
      </w:r>
      <w:r w:rsidRPr="00562808">
        <w:rPr>
          <w:szCs w:val="22"/>
        </w:rPr>
        <w:t>a</w:t>
      </w:r>
      <w:r w:rsidRPr="00562808">
        <w:rPr>
          <w:szCs w:val="22"/>
        </w:rPr>
        <w:t>le, mais plutôt une nouvelle façon pour l'État d'intervenir. Celle-ci est telle que l'État, plutôt que de « concurrencer » le capital privé, se met directement à son service : c'est dans ce dernier contexte qu'on devrait situer la dimension « stratégie d'emploi » qui c</w:t>
      </w:r>
      <w:r w:rsidRPr="00562808">
        <w:rPr>
          <w:szCs w:val="22"/>
        </w:rPr>
        <w:t>a</w:t>
      </w:r>
      <w:r w:rsidRPr="00562808">
        <w:rPr>
          <w:szCs w:val="22"/>
        </w:rPr>
        <w:t>ractérise la nouvelle politique sociale ; celle-ci ne se traduit pas uniquement par un resserrement du contrôle de la disponibilité pour le travail des b</w:t>
      </w:r>
      <w:r w:rsidRPr="00562808">
        <w:rPr>
          <w:szCs w:val="22"/>
        </w:rPr>
        <w:t>é</w:t>
      </w:r>
      <w:r w:rsidRPr="00562808">
        <w:rPr>
          <w:szCs w:val="22"/>
        </w:rPr>
        <w:t>néficiaires de la nouvelle sécurité du revenu, en effet, mais aussi par des programmes de subvention directe aux entreprises, sous la forme des programmes de création d'emploi ou de formation de la main-d'</w:t>
      </w:r>
      <w:r>
        <w:rPr>
          <w:szCs w:val="22"/>
        </w:rPr>
        <w:t>œuvre</w:t>
      </w:r>
      <w:r w:rsidRPr="00562808">
        <w:rPr>
          <w:szCs w:val="22"/>
        </w:rPr>
        <w:t>, par exemple.</w:t>
      </w:r>
    </w:p>
    <w:p w:rsidR="00AD690E" w:rsidRPr="00562808" w:rsidRDefault="00AD690E" w:rsidP="00AD690E">
      <w:pPr>
        <w:spacing w:before="120" w:after="120"/>
        <w:jc w:val="both"/>
      </w:pPr>
      <w:r w:rsidRPr="00562808">
        <w:t>[309]</w:t>
      </w:r>
    </w:p>
    <w:p w:rsidR="00AD690E" w:rsidRPr="00562808" w:rsidRDefault="00AD690E" w:rsidP="00AD690E">
      <w:pPr>
        <w:spacing w:before="120" w:after="120"/>
        <w:jc w:val="both"/>
      </w:pPr>
    </w:p>
    <w:p w:rsidR="00AD690E" w:rsidRPr="00562808" w:rsidRDefault="00AD690E" w:rsidP="00AD690E">
      <w:pPr>
        <w:pStyle w:val="planche"/>
      </w:pPr>
      <w:r>
        <w:t>CRISE DE LA POLITIQUE SOCIALE...</w:t>
      </w:r>
      <w:r>
        <w:br/>
      </w:r>
      <w:r w:rsidRPr="00562808">
        <w:t>CRISE DE SOCIÉTÉ</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Enfin, une fois reconnu le caractère foncièrement structurel de la politique sociale, on peut aussi plus facilement saisir le lien qui peut exister entre l'évolution de la polit</w:t>
      </w:r>
      <w:r w:rsidRPr="00562808">
        <w:rPr>
          <w:szCs w:val="22"/>
        </w:rPr>
        <w:t>i</w:t>
      </w:r>
      <w:r w:rsidRPr="00562808">
        <w:rPr>
          <w:szCs w:val="22"/>
        </w:rPr>
        <w:t>que sociale, au Canada, d'une part, et ces deux séismes majeurs qu'ont été, pour la soci</w:t>
      </w:r>
      <w:r w:rsidRPr="00562808">
        <w:rPr>
          <w:szCs w:val="22"/>
        </w:rPr>
        <w:t>é</w:t>
      </w:r>
      <w:r w:rsidRPr="00562808">
        <w:rPr>
          <w:szCs w:val="22"/>
        </w:rPr>
        <w:t xml:space="preserve">té canadienne, la « crise d'octobre » 1970 et le recours conséquent à la </w:t>
      </w:r>
      <w:r w:rsidRPr="00562808">
        <w:rPr>
          <w:i/>
          <w:iCs/>
          <w:szCs w:val="22"/>
        </w:rPr>
        <w:t xml:space="preserve">Loi des mesures de guerre, </w:t>
      </w:r>
      <w:r w:rsidRPr="00562808">
        <w:rPr>
          <w:szCs w:val="22"/>
        </w:rPr>
        <w:t xml:space="preserve">ainsi que l'adoption de la </w:t>
      </w:r>
      <w:r>
        <w:rPr>
          <w:i/>
          <w:iCs/>
          <w:szCs w:val="22"/>
        </w:rPr>
        <w:t xml:space="preserve">Loi anti </w:t>
      </w:r>
      <w:r w:rsidRPr="00562808">
        <w:rPr>
          <w:i/>
          <w:iCs/>
          <w:szCs w:val="22"/>
        </w:rPr>
        <w:t xml:space="preserve">inflation </w:t>
      </w:r>
      <w:r w:rsidRPr="00562808">
        <w:rPr>
          <w:szCs w:val="22"/>
        </w:rPr>
        <w:t>en 1975, d'autre part.</w:t>
      </w:r>
    </w:p>
    <w:p w:rsidR="00AD690E" w:rsidRPr="00562808" w:rsidRDefault="00AD690E" w:rsidP="00AD690E">
      <w:pPr>
        <w:spacing w:before="120" w:after="120"/>
        <w:jc w:val="both"/>
      </w:pPr>
      <w:r w:rsidRPr="00562808">
        <w:rPr>
          <w:szCs w:val="22"/>
        </w:rPr>
        <w:t>En effet une caractéristique de la politique sociale consiste à ass</w:t>
      </w:r>
      <w:r w:rsidRPr="00562808">
        <w:rPr>
          <w:szCs w:val="22"/>
        </w:rPr>
        <w:t>u</w:t>
      </w:r>
      <w:r w:rsidRPr="00562808">
        <w:rPr>
          <w:szCs w:val="22"/>
        </w:rPr>
        <w:t>rer le bon fonctio</w:t>
      </w:r>
      <w:r w:rsidRPr="00562808">
        <w:rPr>
          <w:szCs w:val="22"/>
        </w:rPr>
        <w:t>n</w:t>
      </w:r>
      <w:r w:rsidRPr="00562808">
        <w:rPr>
          <w:szCs w:val="22"/>
        </w:rPr>
        <w:t>nement de la société « en douceur », par opposition aux modes d'intervention direct</w:t>
      </w:r>
      <w:r w:rsidRPr="00562808">
        <w:rPr>
          <w:szCs w:val="22"/>
        </w:rPr>
        <w:t>e</w:t>
      </w:r>
      <w:r w:rsidRPr="00562808">
        <w:rPr>
          <w:szCs w:val="22"/>
        </w:rPr>
        <w:t>ment répressifs dont dispose l'État pour maintenir l'ordre social établi. Ceux-ci sont sans doute très eff</w:t>
      </w:r>
      <w:r w:rsidRPr="00562808">
        <w:rPr>
          <w:szCs w:val="22"/>
        </w:rPr>
        <w:t>i</w:t>
      </w:r>
      <w:r w:rsidRPr="00562808">
        <w:rPr>
          <w:szCs w:val="22"/>
        </w:rPr>
        <w:t>caces à court terme, parce que radicaux, mais ils présentent l'inconv</w:t>
      </w:r>
      <w:r w:rsidRPr="00562808">
        <w:rPr>
          <w:szCs w:val="22"/>
        </w:rPr>
        <w:t>é</w:t>
      </w:r>
      <w:r w:rsidRPr="00562808">
        <w:rPr>
          <w:szCs w:val="22"/>
        </w:rPr>
        <w:t>nient majeur, à plus long terme, d'exacerber les tensions sociales qui ont été à l'origine de la crise, plutôt que de conduire à l'apparition d'un nouveau consensus social indispensable au bon fonctionnement de la société, dans la « paix sociale ». D'où l'avantage à long terme d'une politique sociale efficace, sur les méthodes ouvertement répressives ou autoritaires. Si donc l'État se voit contraint, dans un contexte do</w:t>
      </w:r>
      <w:r w:rsidRPr="00562808">
        <w:rPr>
          <w:szCs w:val="22"/>
        </w:rPr>
        <w:t>n</w:t>
      </w:r>
      <w:r w:rsidRPr="00562808">
        <w:rPr>
          <w:szCs w:val="22"/>
        </w:rPr>
        <w:t>né, de recourir à de telles méthodes, on peut présumer que c'est en ra</w:t>
      </w:r>
      <w:r w:rsidRPr="00562808">
        <w:rPr>
          <w:szCs w:val="22"/>
        </w:rPr>
        <w:t>i</w:t>
      </w:r>
      <w:r w:rsidRPr="00562808">
        <w:rPr>
          <w:szCs w:val="22"/>
        </w:rPr>
        <w:t>son de déficiences ou de carences majeures de sa politique sociale a</w:t>
      </w:r>
      <w:r w:rsidRPr="00562808">
        <w:rPr>
          <w:szCs w:val="22"/>
        </w:rPr>
        <w:t>n</w:t>
      </w:r>
      <w:r w:rsidRPr="00562808">
        <w:rPr>
          <w:szCs w:val="22"/>
        </w:rPr>
        <w:t>térieure. Chose certaine, il ne pourra recourir indéfiniment à de telles méthodes autoritaires, ou répressives, car à la longue, c'est sa légitim</w:t>
      </w:r>
      <w:r w:rsidRPr="00562808">
        <w:rPr>
          <w:szCs w:val="22"/>
        </w:rPr>
        <w:t>i</w:t>
      </w:r>
      <w:r w:rsidRPr="00562808">
        <w:rPr>
          <w:szCs w:val="22"/>
        </w:rPr>
        <w:t>té même qui risque d'être contestée. Un gouvernement éclairé, qui r</w:t>
      </w:r>
      <w:r w:rsidRPr="00562808">
        <w:rPr>
          <w:szCs w:val="22"/>
        </w:rPr>
        <w:t>e</w:t>
      </w:r>
      <w:r w:rsidRPr="00562808">
        <w:rPr>
          <w:szCs w:val="22"/>
        </w:rPr>
        <w:t>jette le modèle autoritaire, s'e</w:t>
      </w:r>
      <w:r w:rsidRPr="00562808">
        <w:rPr>
          <w:szCs w:val="22"/>
        </w:rPr>
        <w:t>m</w:t>
      </w:r>
      <w:r w:rsidRPr="00562808">
        <w:rPr>
          <w:szCs w:val="22"/>
        </w:rPr>
        <w:t>ploiera donc sans délai, dans de telles circonstances, à mettre au point une politique s</w:t>
      </w:r>
      <w:r w:rsidRPr="00562808">
        <w:rPr>
          <w:szCs w:val="22"/>
        </w:rPr>
        <w:t>o</w:t>
      </w:r>
      <w:r w:rsidRPr="00562808">
        <w:rPr>
          <w:szCs w:val="22"/>
        </w:rPr>
        <w:t>ciale mieux ajustée aux exigences du maintien de l'ordre socio-politique établi.</w:t>
      </w:r>
    </w:p>
    <w:p w:rsidR="00AD690E" w:rsidRPr="00562808" w:rsidRDefault="00AD690E" w:rsidP="00AD690E">
      <w:pPr>
        <w:spacing w:before="120" w:after="120"/>
        <w:jc w:val="both"/>
      </w:pPr>
      <w:r w:rsidRPr="00562808">
        <w:rPr>
          <w:szCs w:val="22"/>
        </w:rPr>
        <w:t>On ne saurait évidemment mettre en doute que ces deux évén</w:t>
      </w:r>
      <w:r w:rsidRPr="00562808">
        <w:rPr>
          <w:szCs w:val="22"/>
        </w:rPr>
        <w:t>e</w:t>
      </w:r>
      <w:r w:rsidRPr="00562808">
        <w:rPr>
          <w:szCs w:val="22"/>
        </w:rPr>
        <w:t>ments marquants de la période étudiée auxquels nous avons déjà fait allusion, aient constitué des moments de crise politique majeure pour la société canadienne. Pour y faire face en effet, l</w:t>
      </w:r>
      <w:r>
        <w:rPr>
          <w:szCs w:val="22"/>
        </w:rPr>
        <w:t>’</w:t>
      </w:r>
      <w:r w:rsidRPr="00562808">
        <w:rPr>
          <w:szCs w:val="22"/>
        </w:rPr>
        <w:t>État can</w:t>
      </w:r>
      <w:r w:rsidRPr="00562808">
        <w:rPr>
          <w:szCs w:val="22"/>
        </w:rPr>
        <w:t>a</w:t>
      </w:r>
      <w:r w:rsidRPr="00562808">
        <w:rPr>
          <w:szCs w:val="22"/>
        </w:rPr>
        <w:t>dien n'a pas hésité à utiliser les « grands moyens », puisque dans l'un et l'autre cas ce sont des caractéristiques fondamentales de l'ordre politique c</w:t>
      </w:r>
      <w:r w:rsidRPr="00562808">
        <w:rPr>
          <w:szCs w:val="22"/>
        </w:rPr>
        <w:t>a</w:t>
      </w:r>
      <w:r w:rsidRPr="00562808">
        <w:rPr>
          <w:szCs w:val="22"/>
        </w:rPr>
        <w:t>nadien qui ont été mises en veilleuse : en 1970, invoquant une situ</w:t>
      </w:r>
      <w:r w:rsidRPr="00562808">
        <w:rPr>
          <w:szCs w:val="22"/>
        </w:rPr>
        <w:t>a</w:t>
      </w:r>
      <w:r w:rsidRPr="00562808">
        <w:rPr>
          <w:szCs w:val="22"/>
        </w:rPr>
        <w:t>tion « d'insurrection appréhendée », l'État central a en effet suspendu les libertés fondamentales des citoyens, rendu possible l'a</w:t>
      </w:r>
      <w:r w:rsidRPr="00562808">
        <w:rPr>
          <w:szCs w:val="22"/>
        </w:rPr>
        <w:t>r</w:t>
      </w:r>
      <w:r w:rsidRPr="00562808">
        <w:rPr>
          <w:szCs w:val="22"/>
        </w:rPr>
        <w:t>restation et la séquestration de centaines de citoyens québécois, et ajouté à l'int</w:t>
      </w:r>
      <w:r w:rsidRPr="00562808">
        <w:rPr>
          <w:szCs w:val="22"/>
        </w:rPr>
        <w:t>i</w:t>
      </w:r>
      <w:r w:rsidRPr="00562808">
        <w:rPr>
          <w:szCs w:val="22"/>
        </w:rPr>
        <w:t>midation de l'ensemble des citoyens québécois par l'intervention au Québec de l'armée canadienne ; en 1975, les initiatives gouverneme</w:t>
      </w:r>
      <w:r w:rsidRPr="00562808">
        <w:rPr>
          <w:szCs w:val="22"/>
        </w:rPr>
        <w:t>n</w:t>
      </w:r>
      <w:r w:rsidRPr="00562808">
        <w:rPr>
          <w:szCs w:val="22"/>
        </w:rPr>
        <w:t>tales ne furent certes pas aussi spectaculaires, mais c'est encore en i</w:t>
      </w:r>
      <w:r w:rsidRPr="00562808">
        <w:rPr>
          <w:szCs w:val="22"/>
        </w:rPr>
        <w:t>n</w:t>
      </w:r>
      <w:r w:rsidRPr="00562808">
        <w:rPr>
          <w:szCs w:val="22"/>
        </w:rPr>
        <w:t>voquant une présumée situation « d'urgence nationale » que l'État ce</w:t>
      </w:r>
      <w:r w:rsidRPr="00562808">
        <w:rPr>
          <w:szCs w:val="22"/>
        </w:rPr>
        <w:t>n</w:t>
      </w:r>
      <w:r w:rsidRPr="00562808">
        <w:rPr>
          <w:szCs w:val="22"/>
        </w:rPr>
        <w:t>tral s'est permis de suspendre l'application d'un pan important de la Constitution c</w:t>
      </w:r>
      <w:r w:rsidRPr="00562808">
        <w:rPr>
          <w:szCs w:val="22"/>
        </w:rPr>
        <w:t>a</w:t>
      </w:r>
      <w:r w:rsidRPr="00562808">
        <w:rPr>
          <w:szCs w:val="22"/>
        </w:rPr>
        <w:t>nadienne — en vue d'intervenir dans un champ de compétence provinciale — tout en suspendant l'application de ces</w:t>
      </w:r>
      <w:r>
        <w:rPr>
          <w:szCs w:val="22"/>
        </w:rPr>
        <w:t xml:space="preserve"> </w:t>
      </w:r>
      <w:r w:rsidRPr="00562808">
        <w:t>[</w:t>
      </w:r>
      <w:r w:rsidRPr="00562808">
        <w:rPr>
          <w:szCs w:val="18"/>
        </w:rPr>
        <w:t>310]</w:t>
      </w:r>
      <w:r>
        <w:rPr>
          <w:szCs w:val="18"/>
        </w:rPr>
        <w:t xml:space="preserve"> </w:t>
      </w:r>
      <w:r w:rsidRPr="00562808">
        <w:rPr>
          <w:szCs w:val="22"/>
        </w:rPr>
        <w:t>principes fondamentaux des économies de marché que sont la l</w:t>
      </w:r>
      <w:r w:rsidRPr="00562808">
        <w:rPr>
          <w:szCs w:val="22"/>
        </w:rPr>
        <w:t>i</w:t>
      </w:r>
      <w:r w:rsidRPr="00562808">
        <w:rPr>
          <w:szCs w:val="22"/>
        </w:rPr>
        <w:t>berté du commerce et la liberté du travail</w:t>
      </w:r>
      <w:r>
        <w:rPr>
          <w:szCs w:val="22"/>
        </w:rPr>
        <w:t> </w:t>
      </w:r>
      <w:r w:rsidRPr="002A1EB4">
        <w:rPr>
          <w:rStyle w:val="Appelnotedebasdep"/>
        </w:rPr>
        <w:footnoteReference w:id="510"/>
      </w:r>
      <w:r w:rsidRPr="00562808">
        <w:rPr>
          <w:szCs w:val="22"/>
        </w:rPr>
        <w:t>.</w:t>
      </w:r>
    </w:p>
    <w:p w:rsidR="00AD690E" w:rsidRDefault="00AD690E" w:rsidP="00AD690E">
      <w:pPr>
        <w:spacing w:before="120" w:after="120"/>
        <w:jc w:val="both"/>
        <w:rPr>
          <w:szCs w:val="22"/>
        </w:rPr>
      </w:pPr>
      <w:r w:rsidRPr="00562808">
        <w:rPr>
          <w:szCs w:val="22"/>
        </w:rPr>
        <w:t>Certes, les racines de chacune de ces deux crises politiques maje</w:t>
      </w:r>
      <w:r w:rsidRPr="00562808">
        <w:rPr>
          <w:szCs w:val="22"/>
        </w:rPr>
        <w:t>u</w:t>
      </w:r>
      <w:r w:rsidRPr="00562808">
        <w:rPr>
          <w:szCs w:val="22"/>
        </w:rPr>
        <w:t>res qu'a connues la société canadienne sont très différentes. Dans le cas de la « crise d'octobre », ces racines étaient foncièrement polit</w:t>
      </w:r>
      <w:r w:rsidRPr="00562808">
        <w:rPr>
          <w:szCs w:val="22"/>
        </w:rPr>
        <w:t>i</w:t>
      </w:r>
      <w:r w:rsidRPr="00562808">
        <w:rPr>
          <w:szCs w:val="22"/>
        </w:rPr>
        <w:t>ques, puisque cette crise fut en quelque sorte l'aboutissement de l'a</w:t>
      </w:r>
      <w:r w:rsidRPr="00562808">
        <w:rPr>
          <w:szCs w:val="22"/>
        </w:rPr>
        <w:t>f</w:t>
      </w:r>
      <w:r w:rsidRPr="00562808">
        <w:rPr>
          <w:szCs w:val="22"/>
        </w:rPr>
        <w:t>frontement entre deux projets de société incompatibles : le projet de création d'une société québécoise « distincte » dirait-on aujourd'hui, et le projet d'une société canadienne dont le Québec devait être une pa</w:t>
      </w:r>
      <w:r w:rsidRPr="00562808">
        <w:rPr>
          <w:szCs w:val="22"/>
        </w:rPr>
        <w:t>r</w:t>
      </w:r>
      <w:r w:rsidRPr="00562808">
        <w:rPr>
          <w:szCs w:val="22"/>
        </w:rPr>
        <w:t>tie intégrante et indifférenciée. D'ailleurs, compte tenu du rôle que les politiques sociales sont appelées à jouer dans la caractéris</w:t>
      </w:r>
      <w:r w:rsidRPr="00562808">
        <w:rPr>
          <w:szCs w:val="22"/>
        </w:rPr>
        <w:t>a</w:t>
      </w:r>
      <w:r w:rsidRPr="00562808">
        <w:rPr>
          <w:szCs w:val="22"/>
        </w:rPr>
        <w:t>tion de la « solidarité nationale » au sein des États-nations modernes</w:t>
      </w:r>
      <w:r>
        <w:rPr>
          <w:szCs w:val="22"/>
        </w:rPr>
        <w:t> </w:t>
      </w:r>
      <w:r w:rsidRPr="002A1EB4">
        <w:rPr>
          <w:rStyle w:val="Appelnotedebasdep"/>
        </w:rPr>
        <w:footnoteReference w:id="511"/>
      </w:r>
      <w:r w:rsidRPr="00562808">
        <w:rPr>
          <w:szCs w:val="22"/>
        </w:rPr>
        <w:t>, on ne s'étonnera pas qu'une bonne part de l'affrontement entre les États c</w:t>
      </w:r>
      <w:r w:rsidRPr="00562808">
        <w:rPr>
          <w:szCs w:val="22"/>
        </w:rPr>
        <w:t>a</w:t>
      </w:r>
      <w:r w:rsidRPr="00562808">
        <w:rPr>
          <w:szCs w:val="22"/>
        </w:rPr>
        <w:t>nadien et québécois, au cours des années 1960, ait porté sur leur rôle respectif dans le champ de la politique sociale. L'État québécois r</w:t>
      </w:r>
      <w:r w:rsidRPr="00562808">
        <w:rPr>
          <w:szCs w:val="22"/>
        </w:rPr>
        <w:t>é</w:t>
      </w:r>
      <w:r w:rsidRPr="00562808">
        <w:rPr>
          <w:szCs w:val="22"/>
        </w:rPr>
        <w:t>clamait un retrait fédéral complet, tandis que l'État canadien souha</w:t>
      </w:r>
      <w:r w:rsidRPr="00562808">
        <w:rPr>
          <w:szCs w:val="22"/>
        </w:rPr>
        <w:t>i</w:t>
      </w:r>
      <w:r w:rsidRPr="00562808">
        <w:rPr>
          <w:szCs w:val="22"/>
        </w:rPr>
        <w:t>tait au contraire être reconnu comme maître d'</w:t>
      </w:r>
      <w:r>
        <w:rPr>
          <w:szCs w:val="22"/>
        </w:rPr>
        <w:t>œuvre</w:t>
      </w:r>
      <w:r w:rsidRPr="00562808">
        <w:rPr>
          <w:szCs w:val="22"/>
        </w:rPr>
        <w:t>, les provinces n'étant appelées qu'à jouer un rôle subalterne et complémentaire, au niveau de la gestion des services sociaux essentiellement</w:t>
      </w:r>
      <w:r>
        <w:rPr>
          <w:szCs w:val="22"/>
        </w:rPr>
        <w:t> </w:t>
      </w:r>
      <w:r w:rsidRPr="002A1EB4">
        <w:rPr>
          <w:rStyle w:val="Appelnotedebasdep"/>
        </w:rPr>
        <w:footnoteReference w:id="512"/>
      </w:r>
      <w:r w:rsidRPr="00562808">
        <w:rPr>
          <w:szCs w:val="22"/>
        </w:rPr>
        <w:t>. En ce qui concerne la crise de 1975, je pense avoir démontré qu'outre les facteurs fond</w:t>
      </w:r>
      <w:r w:rsidRPr="00562808">
        <w:rPr>
          <w:szCs w:val="22"/>
        </w:rPr>
        <w:t>a</w:t>
      </w:r>
      <w:r w:rsidRPr="00562808">
        <w:rPr>
          <w:szCs w:val="22"/>
        </w:rPr>
        <w:t>mentaux déjà identifiés — notamment la remise en question du rôle économique de l'État et l'option en faveur d'un nouveau mode d'inte</w:t>
      </w:r>
      <w:r w:rsidRPr="00562808">
        <w:rPr>
          <w:szCs w:val="22"/>
        </w:rPr>
        <w:t>r</w:t>
      </w:r>
      <w:r w:rsidRPr="00562808">
        <w:rPr>
          <w:szCs w:val="22"/>
        </w:rPr>
        <w:t>vention, « au serv</w:t>
      </w:r>
      <w:r w:rsidRPr="00562808">
        <w:rPr>
          <w:szCs w:val="22"/>
        </w:rPr>
        <w:t>i</w:t>
      </w:r>
      <w:r w:rsidRPr="00562808">
        <w:rPr>
          <w:szCs w:val="22"/>
        </w:rPr>
        <w:t>ce » du capital privé plutôt qu'« en concurrence » avec lui — la neutralisation par les travailleurs des initiatives prises en 1970 expliquerait aussi le recours momentané à des méthodes autor</w:t>
      </w:r>
      <w:r w:rsidRPr="00562808">
        <w:rPr>
          <w:szCs w:val="22"/>
        </w:rPr>
        <w:t>i</w:t>
      </w:r>
      <w:r w:rsidRPr="00562808">
        <w:rPr>
          <w:szCs w:val="22"/>
        </w:rPr>
        <w:t>taires</w:t>
      </w:r>
      <w:r>
        <w:rPr>
          <w:szCs w:val="22"/>
        </w:rPr>
        <w:t> </w:t>
      </w:r>
      <w:r w:rsidRPr="002A1EB4">
        <w:rPr>
          <w:rStyle w:val="Appelnotedebasdep"/>
        </w:rPr>
        <w:footnoteReference w:id="513"/>
      </w:r>
      <w:r w:rsidRPr="00562808">
        <w:rPr>
          <w:szCs w:val="22"/>
        </w:rPr>
        <w:t>. Sa politique sociale ne produisant pas (ou plus) les effets atte</w:t>
      </w:r>
      <w:r w:rsidRPr="00562808">
        <w:rPr>
          <w:szCs w:val="22"/>
        </w:rPr>
        <w:t>n</w:t>
      </w:r>
      <w:r w:rsidRPr="00562808">
        <w:rPr>
          <w:szCs w:val="22"/>
        </w:rPr>
        <w:t>dus, l'État canadien n'aurait eu d'autre choix que de recourir à la méthode forte, en a</w:t>
      </w:r>
      <w:r w:rsidRPr="00562808">
        <w:rPr>
          <w:szCs w:val="22"/>
        </w:rPr>
        <w:t>t</w:t>
      </w:r>
      <w:r w:rsidRPr="00562808">
        <w:rPr>
          <w:szCs w:val="22"/>
        </w:rPr>
        <w:t xml:space="preserve">tendant de mettre au point de nouvelles modalités de mise en </w:t>
      </w:r>
      <w:r>
        <w:rPr>
          <w:szCs w:val="22"/>
        </w:rPr>
        <w:t>œuvre</w:t>
      </w:r>
      <w:r w:rsidRPr="00562808">
        <w:rPr>
          <w:szCs w:val="22"/>
        </w:rPr>
        <w:t>, présumément plus efficaces de la politique soci</w:t>
      </w:r>
      <w:r w:rsidRPr="00562808">
        <w:rPr>
          <w:szCs w:val="22"/>
        </w:rPr>
        <w:t>a</w:t>
      </w:r>
      <w:r w:rsidRPr="00562808">
        <w:rPr>
          <w:szCs w:val="22"/>
        </w:rPr>
        <w:t>le.</w:t>
      </w:r>
    </w:p>
    <w:p w:rsidR="00AD690E" w:rsidRPr="00562808" w:rsidRDefault="00AD690E" w:rsidP="00AD690E">
      <w:pPr>
        <w:spacing w:before="120" w:after="120"/>
        <w:jc w:val="both"/>
        <w:rPr>
          <w:szCs w:val="18"/>
        </w:rPr>
      </w:pPr>
      <w:r>
        <w:rPr>
          <w:szCs w:val="18"/>
        </w:rPr>
        <w:br w:type="page"/>
      </w:r>
      <w:r w:rsidRPr="00562808">
        <w:rPr>
          <w:szCs w:val="18"/>
        </w:rPr>
        <w:t>[311]</w:t>
      </w:r>
    </w:p>
    <w:p w:rsidR="00AD690E" w:rsidRPr="00562808" w:rsidRDefault="00AD690E" w:rsidP="00AD690E">
      <w:pPr>
        <w:spacing w:before="120" w:after="120"/>
        <w:jc w:val="both"/>
      </w:pPr>
      <w:r w:rsidRPr="00562808">
        <w:rPr>
          <w:szCs w:val="22"/>
        </w:rPr>
        <w:t>Quoi qu'il en soit des causes de l'une et l'autre crises cependant, chacune fut suivie de développements assez intensifs au niveau des politiques sociales. Ainsi, après s'être affrontés pendant une bonne décennie à propos des politiques sociales, les gouvern</w:t>
      </w:r>
      <w:r w:rsidRPr="00562808">
        <w:rPr>
          <w:szCs w:val="22"/>
        </w:rPr>
        <w:t>e</w:t>
      </w:r>
      <w:r w:rsidRPr="00562808">
        <w:rPr>
          <w:szCs w:val="22"/>
        </w:rPr>
        <w:t>ments canadien et québécois s'engagèrent à partir de 1972 dans une période « coopérative » Ce nouveau « fédéralisme coopératif » dans le champ social se manife</w:t>
      </w:r>
      <w:r w:rsidRPr="00562808">
        <w:rPr>
          <w:szCs w:val="22"/>
        </w:rPr>
        <w:t>s</w:t>
      </w:r>
      <w:r w:rsidRPr="00562808">
        <w:rPr>
          <w:szCs w:val="22"/>
        </w:rPr>
        <w:t>ta d'abord à propos des allocations familiales : le gouvernement fédéral n'abandonna pas son programme, comme l'a</w:t>
      </w:r>
      <w:r w:rsidRPr="00562808">
        <w:rPr>
          <w:szCs w:val="22"/>
        </w:rPr>
        <w:t>u</w:t>
      </w:r>
      <w:r w:rsidRPr="00562808">
        <w:rPr>
          <w:szCs w:val="22"/>
        </w:rPr>
        <w:t>rait souhaité le Québec, mais accepta néanmoins de le m</w:t>
      </w:r>
      <w:r w:rsidRPr="00562808">
        <w:rPr>
          <w:szCs w:val="22"/>
        </w:rPr>
        <w:t>o</w:t>
      </w:r>
      <w:r w:rsidRPr="00562808">
        <w:rPr>
          <w:szCs w:val="22"/>
        </w:rPr>
        <w:t>duler en fonction de certaines préférences provinciales. Le gouvernement qu</w:t>
      </w:r>
      <w:r w:rsidRPr="00562808">
        <w:rPr>
          <w:szCs w:val="22"/>
        </w:rPr>
        <w:t>é</w:t>
      </w:r>
      <w:r w:rsidRPr="00562808">
        <w:rPr>
          <w:szCs w:val="22"/>
        </w:rPr>
        <w:t>bécois accepta pour sa part que ses propres allocations ne soient que des compléments aux prestations fédérales. Plus tard, en 1979, on constatera une étonnante complémentarité entre les politiques fédérale et québécoise, lors de l'introduction des crédits d'impôt remboursables pour enfants à charge, par le gouvernement fédéral, et la mise en place du supplément au revenu de travail, par le gouvernement québécois, pourtant officie</w:t>
      </w:r>
      <w:r w:rsidRPr="00562808">
        <w:rPr>
          <w:szCs w:val="22"/>
        </w:rPr>
        <w:t>l</w:t>
      </w:r>
      <w:r w:rsidRPr="00562808">
        <w:rPr>
          <w:szCs w:val="22"/>
        </w:rPr>
        <w:t>lement « souverainiste ». On pourrait donc penser que la démonstration de force de 1970 avait produit les effets attendus, en ce qui concerne les rapports Québec-Canada.</w:t>
      </w:r>
    </w:p>
    <w:p w:rsidR="00AD690E" w:rsidRPr="00562808" w:rsidRDefault="00AD690E" w:rsidP="00AD690E">
      <w:pPr>
        <w:spacing w:before="120" w:after="120"/>
        <w:jc w:val="both"/>
      </w:pPr>
      <w:r w:rsidRPr="00562808">
        <w:rPr>
          <w:szCs w:val="22"/>
        </w:rPr>
        <w:t>Quant à l'année 1975, elle marque elle aussi un virage important de la politique s</w:t>
      </w:r>
      <w:r w:rsidRPr="00562808">
        <w:rPr>
          <w:szCs w:val="22"/>
        </w:rPr>
        <w:t>o</w:t>
      </w:r>
      <w:r w:rsidRPr="00562808">
        <w:rPr>
          <w:szCs w:val="22"/>
        </w:rPr>
        <w:t xml:space="preserve">ciale canadienne. Alors que de 1970 à 1975 on avait privilégié des méthodes « incitatives » de mise en </w:t>
      </w:r>
      <w:r>
        <w:rPr>
          <w:szCs w:val="22"/>
        </w:rPr>
        <w:t>œuvre</w:t>
      </w:r>
      <w:r w:rsidRPr="00562808">
        <w:rPr>
          <w:szCs w:val="22"/>
        </w:rPr>
        <w:t xml:space="preserve"> de la nouve</w:t>
      </w:r>
      <w:r w:rsidRPr="00562808">
        <w:rPr>
          <w:szCs w:val="22"/>
        </w:rPr>
        <w:t>l</w:t>
      </w:r>
      <w:r w:rsidRPr="00562808">
        <w:rPr>
          <w:szCs w:val="22"/>
        </w:rPr>
        <w:t>le politique sociale, à partir de 1975 on n'hésitera pas à utiliser des moyens beaucoup plus directs et restrictifs à l'égard des tr</w:t>
      </w:r>
      <w:r w:rsidRPr="00562808">
        <w:rPr>
          <w:szCs w:val="22"/>
        </w:rPr>
        <w:t>a</w:t>
      </w:r>
      <w:r w:rsidRPr="00562808">
        <w:rPr>
          <w:szCs w:val="22"/>
        </w:rPr>
        <w:t>vailleurs. Ainsi, plutôt que d'exercer une pression sur les travailleurs réguliers en att</w:t>
      </w:r>
      <w:r w:rsidRPr="00562808">
        <w:rPr>
          <w:szCs w:val="22"/>
        </w:rPr>
        <w:t>i</w:t>
      </w:r>
      <w:r w:rsidRPr="00562808">
        <w:rPr>
          <w:szCs w:val="22"/>
        </w:rPr>
        <w:t>rant sur le marché du travail des travailleurs « marginaux », — mères de famille, jeunes, assistés sociaux — on s'attaqua directement aux travailleurs déjà présents sur le marché du travail en réduisant les bénéfices de l'assurance-chômage, ou en restreignant l'admi</w:t>
      </w:r>
      <w:r w:rsidRPr="00562808">
        <w:rPr>
          <w:szCs w:val="22"/>
        </w:rPr>
        <w:t>s</w:t>
      </w:r>
      <w:r w:rsidRPr="00562808">
        <w:rPr>
          <w:szCs w:val="22"/>
        </w:rPr>
        <w:t>sibilité de façon à rendre « plus intéressants » certains emplois moins bien r</w:t>
      </w:r>
      <w:r w:rsidRPr="00562808">
        <w:rPr>
          <w:szCs w:val="22"/>
        </w:rPr>
        <w:t>é</w:t>
      </w:r>
      <w:r w:rsidRPr="00562808">
        <w:rPr>
          <w:szCs w:val="22"/>
        </w:rPr>
        <w:t>munérés, et à décourager l'abandon volontaire d'emplois à certains égards insatisfaisants. En d'autres termes, les nouveaux objectifs de la politique sociale ne changeaient pas, mais ils dev</w:t>
      </w:r>
      <w:r w:rsidRPr="00562808">
        <w:rPr>
          <w:szCs w:val="22"/>
        </w:rPr>
        <w:t>e</w:t>
      </w:r>
      <w:r w:rsidRPr="00562808">
        <w:rPr>
          <w:szCs w:val="22"/>
        </w:rPr>
        <w:t>naient beaucoup plus clairs et précis, tandis que les moyens d'y parvenir se faisaient plus directs et contraignants.</w:t>
      </w:r>
    </w:p>
    <w:p w:rsidR="00AD690E" w:rsidRPr="00562808" w:rsidRDefault="00AD690E" w:rsidP="00AD690E">
      <w:pPr>
        <w:pStyle w:val="c"/>
      </w:pPr>
      <w:r w:rsidRPr="00562808">
        <w:t>*  *  *</w:t>
      </w:r>
    </w:p>
    <w:p w:rsidR="00AD690E" w:rsidRPr="00562808" w:rsidRDefault="00AD690E" w:rsidP="00AD690E">
      <w:pPr>
        <w:spacing w:before="120" w:after="120"/>
        <w:jc w:val="both"/>
      </w:pPr>
      <w:r w:rsidRPr="00562808">
        <w:rPr>
          <w:szCs w:val="22"/>
        </w:rPr>
        <w:t>On voit donc que si la politique sociale canadienne a été profo</w:t>
      </w:r>
      <w:r w:rsidRPr="00562808">
        <w:rPr>
          <w:szCs w:val="22"/>
        </w:rPr>
        <w:t>n</w:t>
      </w:r>
      <w:r w:rsidRPr="00562808">
        <w:rPr>
          <w:szCs w:val="22"/>
        </w:rPr>
        <w:t>dément transformée au cours de la période étudiée, on aurait tort d'a</w:t>
      </w:r>
      <w:r w:rsidRPr="00562808">
        <w:rPr>
          <w:szCs w:val="22"/>
        </w:rPr>
        <w:t>t</w:t>
      </w:r>
      <w:r w:rsidRPr="00562808">
        <w:rPr>
          <w:szCs w:val="22"/>
        </w:rPr>
        <w:t>tribuer tout le mérite, ou au contraire tout le blâme, selon l'appréci</w:t>
      </w:r>
      <w:r w:rsidRPr="00562808">
        <w:rPr>
          <w:szCs w:val="22"/>
        </w:rPr>
        <w:t>a</w:t>
      </w:r>
      <w:r w:rsidRPr="00562808">
        <w:rPr>
          <w:szCs w:val="22"/>
        </w:rPr>
        <w:t xml:space="preserve">tion qu'on en fait, au seul Parti libéral du Canada. Certes, on ne saurait nier les responsabilités de celui-ci et de ses leaders. Ainsi, le recours à la </w:t>
      </w:r>
      <w:r w:rsidRPr="00562808">
        <w:rPr>
          <w:i/>
          <w:iCs/>
          <w:szCs w:val="22"/>
        </w:rPr>
        <w:t xml:space="preserve">Loi sur les mesures de guerre </w:t>
      </w:r>
      <w:r w:rsidRPr="00562808">
        <w:rPr>
          <w:szCs w:val="22"/>
        </w:rPr>
        <w:t>contre la société québécoise, en 1970, et dans une certa</w:t>
      </w:r>
      <w:r w:rsidRPr="00562808">
        <w:rPr>
          <w:szCs w:val="22"/>
        </w:rPr>
        <w:t>i</w:t>
      </w:r>
      <w:r w:rsidRPr="00562808">
        <w:rPr>
          <w:szCs w:val="22"/>
        </w:rPr>
        <w:t xml:space="preserve">ne mesure, l'adoption de la </w:t>
      </w:r>
      <w:r w:rsidRPr="00562808">
        <w:rPr>
          <w:i/>
          <w:iCs/>
          <w:szCs w:val="22"/>
        </w:rPr>
        <w:t xml:space="preserve">Loi anti-inflation </w:t>
      </w:r>
      <w:r w:rsidRPr="00562808">
        <w:rPr>
          <w:szCs w:val="22"/>
        </w:rPr>
        <w:t>en 1975, entache à jamais son dossier aux yeux de l'histoire et ce, d'a</w:t>
      </w:r>
      <w:r w:rsidRPr="00562808">
        <w:rPr>
          <w:szCs w:val="22"/>
        </w:rPr>
        <w:t>u</w:t>
      </w:r>
      <w:r w:rsidRPr="00562808">
        <w:rPr>
          <w:szCs w:val="22"/>
        </w:rPr>
        <w:t>tant plus gravement qu'il se prétend le défenseur des libertés indiv</w:t>
      </w:r>
      <w:r w:rsidRPr="00562808">
        <w:rPr>
          <w:szCs w:val="22"/>
        </w:rPr>
        <w:t>i</w:t>
      </w:r>
      <w:r w:rsidRPr="00562808">
        <w:rPr>
          <w:szCs w:val="22"/>
        </w:rPr>
        <w:t>duelles et</w:t>
      </w:r>
      <w:r>
        <w:rPr>
          <w:szCs w:val="22"/>
        </w:rPr>
        <w:t xml:space="preserve"> </w:t>
      </w:r>
      <w:r w:rsidRPr="00562808">
        <w:t>[</w:t>
      </w:r>
      <w:r w:rsidRPr="00562808">
        <w:rPr>
          <w:szCs w:val="22"/>
        </w:rPr>
        <w:t>312]</w:t>
      </w:r>
      <w:r>
        <w:rPr>
          <w:szCs w:val="22"/>
        </w:rPr>
        <w:t xml:space="preserve"> </w:t>
      </w:r>
      <w:r w:rsidRPr="00562808">
        <w:rPr>
          <w:szCs w:val="22"/>
        </w:rPr>
        <w:t>de la libre entreprise. Mais les problèmes auxquels il était confro</w:t>
      </w:r>
      <w:r w:rsidRPr="00562808">
        <w:rPr>
          <w:szCs w:val="22"/>
        </w:rPr>
        <w:t>n</w:t>
      </w:r>
      <w:r w:rsidRPr="00562808">
        <w:rPr>
          <w:szCs w:val="22"/>
        </w:rPr>
        <w:t>té étant d'ordre structurel, on est forcé de reconnaître qu'un autre parti et d'autres hommes au pouvoir n'auraient peut-être pas eu recours à des méthodes aussi brutales, notamment en ce qui concerne le Qu</w:t>
      </w:r>
      <w:r w:rsidRPr="00562808">
        <w:rPr>
          <w:szCs w:val="22"/>
        </w:rPr>
        <w:t>é</w:t>
      </w:r>
      <w:r w:rsidRPr="00562808">
        <w:rPr>
          <w:szCs w:val="22"/>
        </w:rPr>
        <w:t>bec, mais auraient tout de même poursuivi les mêmes objectifs. L'étonnante continuité d'un gouvernement à l'autre, au plan de la pol</w:t>
      </w:r>
      <w:r w:rsidRPr="00562808">
        <w:rPr>
          <w:szCs w:val="22"/>
        </w:rPr>
        <w:t>i</w:t>
      </w:r>
      <w:r w:rsidRPr="00562808">
        <w:rPr>
          <w:szCs w:val="22"/>
        </w:rPr>
        <w:t>tique sociale, et sans doute même au plan constitutionnel — le lac Meech venant compléter le rapatriement unilatéral de 1982, l</w:t>
      </w:r>
      <w:r w:rsidRPr="00562808">
        <w:rPr>
          <w:szCs w:val="22"/>
        </w:rPr>
        <w:t>e</w:t>
      </w:r>
      <w:r w:rsidRPr="00562808">
        <w:rPr>
          <w:szCs w:val="22"/>
        </w:rPr>
        <w:t>quel s'inscrivait dans le prolongement du « règlement » de la crise d'oct</w:t>
      </w:r>
      <w:r w:rsidRPr="00562808">
        <w:rPr>
          <w:szCs w:val="22"/>
        </w:rPr>
        <w:t>o</w:t>
      </w:r>
      <w:r w:rsidRPr="00562808">
        <w:rPr>
          <w:szCs w:val="22"/>
        </w:rPr>
        <w:t>bre de 1970 — tend tout au moins à nous le faire croire. D'autre part, les tran</w:t>
      </w:r>
      <w:r w:rsidRPr="00562808">
        <w:rPr>
          <w:szCs w:val="22"/>
        </w:rPr>
        <w:t>s</w:t>
      </w:r>
      <w:r w:rsidRPr="00562808">
        <w:rPr>
          <w:szCs w:val="22"/>
        </w:rPr>
        <w:t>formations de la politique sociale révéleraient que le néo-libéralisme dont on se réclame souvent pour justifier la nouvelle politique sociale, loin de favoriser l'épanouissement des libertés ind</w:t>
      </w:r>
      <w:r w:rsidRPr="00562808">
        <w:rPr>
          <w:szCs w:val="22"/>
        </w:rPr>
        <w:t>i</w:t>
      </w:r>
      <w:r w:rsidRPr="00562808">
        <w:rPr>
          <w:szCs w:val="22"/>
        </w:rPr>
        <w:t>viduelles, mènerait plutôt notre société vers un contrôle social to</w:t>
      </w:r>
      <w:r w:rsidRPr="00562808">
        <w:rPr>
          <w:szCs w:val="22"/>
        </w:rPr>
        <w:t>u</w:t>
      </w:r>
      <w:r w:rsidRPr="00562808">
        <w:rPr>
          <w:szCs w:val="22"/>
        </w:rPr>
        <w:t>jours plus étroit, sinon vers l'autoritarisme. C'est peut-être là une autre manifestation du fonctionnement « à l'idéologie » de la politique s</w:t>
      </w:r>
      <w:r w:rsidRPr="00562808">
        <w:rPr>
          <w:szCs w:val="22"/>
        </w:rPr>
        <w:t>o</w:t>
      </w:r>
      <w:r w:rsidRPr="00562808">
        <w:rPr>
          <w:szCs w:val="22"/>
        </w:rPr>
        <w:t>ciale et du pouvoir de mystification des esprits qui en découle.</w:t>
      </w:r>
    </w:p>
    <w:p w:rsidR="00AD690E" w:rsidRPr="00562808" w:rsidRDefault="00AD690E" w:rsidP="00AD690E">
      <w:pPr>
        <w:pStyle w:val="p"/>
      </w:pPr>
      <w:r w:rsidRPr="00562808">
        <w:br w:type="page"/>
        <w:t>[313]</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19" w:name="ere_Liberaux_pt3_texte_13"/>
      <w:r>
        <w:rPr>
          <w:b/>
          <w:color w:val="000080"/>
          <w:sz w:val="24"/>
        </w:rPr>
        <w:t>TROISIÈME</w:t>
      </w:r>
      <w:r w:rsidRPr="003634E0">
        <w:rPr>
          <w:b/>
          <w:color w:val="000080"/>
          <w:sz w:val="24"/>
        </w:rPr>
        <w:t xml:space="preserve"> PARTIE</w:t>
      </w:r>
      <w:r w:rsidRPr="003634E0">
        <w:rPr>
          <w:b/>
          <w:color w:val="000080"/>
          <w:sz w:val="24"/>
        </w:rPr>
        <w:br/>
        <w:t xml:space="preserve">QUESTIONS </w:t>
      </w:r>
      <w:r>
        <w:rPr>
          <w:b/>
          <w:color w:val="000080"/>
          <w:sz w:val="24"/>
        </w:rPr>
        <w:t>CULTURELLES ET SOCIALES</w:t>
      </w:r>
    </w:p>
    <w:p w:rsidR="00AD690E" w:rsidRPr="00E07116" w:rsidRDefault="00AD690E" w:rsidP="00AD690E">
      <w:pPr>
        <w:jc w:val="both"/>
        <w:rPr>
          <w:szCs w:val="36"/>
        </w:rPr>
      </w:pPr>
    </w:p>
    <w:p w:rsidR="00AD690E" w:rsidRPr="00E07116" w:rsidRDefault="00AD690E" w:rsidP="00AD690E">
      <w:pPr>
        <w:pStyle w:val="planchest"/>
      </w:pPr>
      <w:r>
        <w:t>“La gestion fédérale de l’immigration</w:t>
      </w:r>
      <w:r>
        <w:br/>
        <w:t>internationale au Canada.”</w:t>
      </w:r>
    </w:p>
    <w:bookmarkEnd w:id="19"/>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Micheline LABELLE</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sociologie</w:t>
      </w:r>
      <w:r w:rsidRPr="00957619">
        <w:rPr>
          <w:sz w:val="24"/>
          <w:szCs w:val="22"/>
        </w:rPr>
        <w:br/>
        <w:t>Un</w:t>
      </w:r>
      <w:r w:rsidRPr="00957619">
        <w:rPr>
          <w:sz w:val="24"/>
          <w:szCs w:val="22"/>
        </w:rPr>
        <w:t>i</w:t>
      </w:r>
      <w:r w:rsidRPr="00957619">
        <w:rPr>
          <w:sz w:val="24"/>
          <w:szCs w:val="22"/>
        </w:rPr>
        <w:t>versité du Québec à Montréal</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562808" w:rsidRDefault="00AD690E" w:rsidP="00AD690E">
      <w:pPr>
        <w:spacing w:before="120" w:after="120"/>
        <w:jc w:val="both"/>
      </w:pPr>
      <w:r w:rsidRPr="00562808">
        <w:rPr>
          <w:szCs w:val="22"/>
        </w:rPr>
        <w:t>La gestion de l'immigration internationale au Canada a connu, sous le régime fédéral libéral de 1963 à 1984, des changements considér</w:t>
      </w:r>
      <w:r w:rsidRPr="00562808">
        <w:rPr>
          <w:szCs w:val="22"/>
        </w:rPr>
        <w:t>a</w:t>
      </w:r>
      <w:r w:rsidRPr="00562808">
        <w:rPr>
          <w:szCs w:val="22"/>
        </w:rPr>
        <w:t>bles. Des mesures importantes ont été adoptées : le principe de l'un</w:t>
      </w:r>
      <w:r w:rsidRPr="00562808">
        <w:rPr>
          <w:szCs w:val="22"/>
        </w:rPr>
        <w:t>i</w:t>
      </w:r>
      <w:r w:rsidRPr="00562808">
        <w:rPr>
          <w:szCs w:val="22"/>
        </w:rPr>
        <w:t>versalité dans l'admission des immigrés (il ne sera pas tenu compte de l'origine raciale ni ethnique), le système de sélection mis en applic</w:t>
      </w:r>
      <w:r w:rsidRPr="00562808">
        <w:rPr>
          <w:szCs w:val="22"/>
        </w:rPr>
        <w:t>a</w:t>
      </w:r>
      <w:r w:rsidRPr="00562808">
        <w:rPr>
          <w:szCs w:val="22"/>
        </w:rPr>
        <w:t>tion en 1967 et modifié en 1974, le livre vert de 1975 et la loi de 1976 sur l'immigration. Par ailleurs, une recomposition de l'immigration internationale s'est opérée sur le plan s</w:t>
      </w:r>
      <w:r w:rsidRPr="00562808">
        <w:rPr>
          <w:szCs w:val="22"/>
        </w:rPr>
        <w:t>o</w:t>
      </w:r>
      <w:r w:rsidRPr="00562808">
        <w:rPr>
          <w:szCs w:val="22"/>
        </w:rPr>
        <w:t>cio-démographique et, vers la fin, s'est posée avec acuité la question des réfugiés.</w:t>
      </w:r>
    </w:p>
    <w:p w:rsidR="00AD690E" w:rsidRPr="00562808" w:rsidRDefault="00AD690E" w:rsidP="00AD690E">
      <w:pPr>
        <w:spacing w:before="120" w:after="120"/>
        <w:jc w:val="both"/>
      </w:pPr>
      <w:r w:rsidRPr="00562808">
        <w:rPr>
          <w:szCs w:val="22"/>
        </w:rPr>
        <w:t>L'application des mesures de contrôle et de sélection de la force de travail immigrée, l'évaluation des problèmes sociaux engendrés par l'établissement des migrants intern</w:t>
      </w:r>
      <w:r w:rsidRPr="00562808">
        <w:rPr>
          <w:szCs w:val="22"/>
        </w:rPr>
        <w:t>a</w:t>
      </w:r>
      <w:r w:rsidRPr="00562808">
        <w:rPr>
          <w:szCs w:val="22"/>
        </w:rPr>
        <w:t>tionaux, la stratégie de révision et de planification des flux migratoires internationaux et de leur comp</w:t>
      </w:r>
      <w:r w:rsidRPr="00562808">
        <w:rPr>
          <w:szCs w:val="22"/>
        </w:rPr>
        <w:t>o</w:t>
      </w:r>
      <w:r w:rsidRPr="00562808">
        <w:rPr>
          <w:szCs w:val="22"/>
        </w:rPr>
        <w:t>sition se poseront différemment au cours de la période d'expansion des années 1963 à 1970, et au cours des années de crise qui suivront.</w:t>
      </w:r>
    </w:p>
    <w:p w:rsidR="00AD690E" w:rsidRPr="00562808" w:rsidRDefault="00AD690E" w:rsidP="00AD690E">
      <w:pPr>
        <w:spacing w:before="120" w:after="120"/>
        <w:jc w:val="both"/>
      </w:pPr>
      <w:r w:rsidRPr="00562808">
        <w:rPr>
          <w:szCs w:val="22"/>
        </w:rPr>
        <w:t>Dans ce texte, nous nous proposons d'étudier les changements su</w:t>
      </w:r>
      <w:r w:rsidRPr="00562808">
        <w:rPr>
          <w:szCs w:val="22"/>
        </w:rPr>
        <w:t>r</w:t>
      </w:r>
      <w:r w:rsidRPr="00562808">
        <w:rPr>
          <w:szCs w:val="22"/>
        </w:rPr>
        <w:t>venus sous le régime fédéral libéral en soulignant plus particulièr</w:t>
      </w:r>
      <w:r w:rsidRPr="00562808">
        <w:rPr>
          <w:szCs w:val="22"/>
        </w:rPr>
        <w:t>e</w:t>
      </w:r>
      <w:r w:rsidRPr="00562808">
        <w:rPr>
          <w:szCs w:val="22"/>
        </w:rPr>
        <w:t>ment les mesures législatives et r</w:t>
      </w:r>
      <w:r w:rsidRPr="00562808">
        <w:rPr>
          <w:szCs w:val="22"/>
        </w:rPr>
        <w:t>é</w:t>
      </w:r>
      <w:r w:rsidRPr="00562808">
        <w:rPr>
          <w:szCs w:val="22"/>
        </w:rPr>
        <w:t>glementaires les plus importantes, et leurs conséquences sur la composition socio-démographique de l'i</w:t>
      </w:r>
      <w:r w:rsidRPr="00562808">
        <w:rPr>
          <w:szCs w:val="22"/>
        </w:rPr>
        <w:t>m</w:t>
      </w:r>
      <w:r w:rsidRPr="00562808">
        <w:rPr>
          <w:szCs w:val="22"/>
        </w:rPr>
        <w:t>migration internationale au Canada. L'article comporte trois pa</w:t>
      </w:r>
      <w:r w:rsidRPr="00562808">
        <w:rPr>
          <w:szCs w:val="22"/>
        </w:rPr>
        <w:t>r</w:t>
      </w:r>
      <w:r w:rsidRPr="00562808">
        <w:rPr>
          <w:szCs w:val="22"/>
        </w:rPr>
        <w:t>ties. Dans un premier temps, nous brosserons à grands traits la gestion de l'immigration avant la décennie soixante, afin de situer dans leur contexte les mesures prises par les libéraux dès leur arrivée au po</w:t>
      </w:r>
      <w:r w:rsidRPr="00562808">
        <w:rPr>
          <w:szCs w:val="22"/>
        </w:rPr>
        <w:t>u</w:t>
      </w:r>
      <w:r w:rsidRPr="00562808">
        <w:rPr>
          <w:szCs w:val="22"/>
        </w:rPr>
        <w:t>voir. La seconde partie couvrira la décennie 1963-1973, caractérisée par une perspective expansionniste, rationalisatrice et, en principe, unive</w:t>
      </w:r>
      <w:r w:rsidRPr="00562808">
        <w:rPr>
          <w:szCs w:val="22"/>
        </w:rPr>
        <w:t>r</w:t>
      </w:r>
      <w:r w:rsidRPr="00562808">
        <w:rPr>
          <w:szCs w:val="22"/>
        </w:rPr>
        <w:t>saliste de la question de l'immigration. Dans la troisième partie, nous analyserons la relation étroite qui s'est établie entre la crise éc</w:t>
      </w:r>
      <w:r w:rsidRPr="00562808">
        <w:rPr>
          <w:szCs w:val="22"/>
        </w:rPr>
        <w:t>o</w:t>
      </w:r>
      <w:r w:rsidRPr="00562808">
        <w:rPr>
          <w:szCs w:val="22"/>
        </w:rPr>
        <w:t>nomique et le durcissement de la</w:t>
      </w:r>
      <w:r>
        <w:rPr>
          <w:szCs w:val="22"/>
        </w:rPr>
        <w:t xml:space="preserve"> </w:t>
      </w:r>
      <w:r w:rsidRPr="00562808">
        <w:t>[</w:t>
      </w:r>
      <w:r w:rsidRPr="00562808">
        <w:rPr>
          <w:szCs w:val="22"/>
        </w:rPr>
        <w:t>314]</w:t>
      </w:r>
      <w:r>
        <w:rPr>
          <w:szCs w:val="22"/>
        </w:rPr>
        <w:t xml:space="preserve"> </w:t>
      </w:r>
      <w:r w:rsidRPr="00562808">
        <w:rPr>
          <w:szCs w:val="22"/>
        </w:rPr>
        <w:t>politique d'immigration au cours de la décennie 1973-1984 : réduction des flux migratoires, ét</w:t>
      </w:r>
      <w:r w:rsidRPr="00562808">
        <w:rPr>
          <w:szCs w:val="22"/>
        </w:rPr>
        <w:t>a</w:t>
      </w:r>
      <w:r w:rsidRPr="00562808">
        <w:rPr>
          <w:szCs w:val="22"/>
        </w:rPr>
        <w:t>blissement de niveaux ou de plafonds, recours aux travailleurs imm</w:t>
      </w:r>
      <w:r w:rsidRPr="00562808">
        <w:rPr>
          <w:szCs w:val="22"/>
        </w:rPr>
        <w:t>i</w:t>
      </w:r>
      <w:r w:rsidRPr="00562808">
        <w:rPr>
          <w:szCs w:val="22"/>
        </w:rPr>
        <w:t>grés temporaires, etc.</w:t>
      </w:r>
    </w:p>
    <w:p w:rsidR="00AD690E" w:rsidRPr="00562808" w:rsidRDefault="00AD690E" w:rsidP="00AD690E">
      <w:pPr>
        <w:spacing w:before="120" w:after="120"/>
        <w:jc w:val="both"/>
        <w:rPr>
          <w:szCs w:val="22"/>
        </w:rPr>
      </w:pPr>
    </w:p>
    <w:p w:rsidR="00AD690E" w:rsidRPr="00562808" w:rsidRDefault="00AD690E" w:rsidP="00AD690E">
      <w:pPr>
        <w:pStyle w:val="planche"/>
      </w:pPr>
      <w:r w:rsidRPr="00562808">
        <w:t>LA POLITIQUE D'IMMIGRATION</w:t>
      </w:r>
      <w:r>
        <w:br/>
      </w:r>
      <w:r w:rsidRPr="00562808">
        <w:t>DE L'APRÈS-GUERRE À 1962</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La politique canadienne d'immigration a considérablement évolué depuis la Deuxième Guerre mondiale, en fonction du développement économique, des flux migratoires internationaux, des relations inte</w:t>
      </w:r>
      <w:r w:rsidRPr="00562808">
        <w:rPr>
          <w:szCs w:val="22"/>
        </w:rPr>
        <w:t>r</w:t>
      </w:r>
      <w:r w:rsidRPr="00562808">
        <w:rPr>
          <w:szCs w:val="22"/>
        </w:rPr>
        <w:t>nationales et des demandes à caractère h</w:t>
      </w:r>
      <w:r w:rsidRPr="00562808">
        <w:rPr>
          <w:szCs w:val="22"/>
        </w:rPr>
        <w:t>u</w:t>
      </w:r>
      <w:r w:rsidRPr="00562808">
        <w:rPr>
          <w:szCs w:val="22"/>
        </w:rPr>
        <w:t>manitaire.</w:t>
      </w:r>
    </w:p>
    <w:p w:rsidR="00AD690E" w:rsidRPr="00562808" w:rsidRDefault="00AD690E" w:rsidP="00AD690E">
      <w:pPr>
        <w:spacing w:before="120" w:after="120"/>
        <w:jc w:val="both"/>
      </w:pPr>
      <w:r w:rsidRPr="00562808">
        <w:rPr>
          <w:szCs w:val="22"/>
        </w:rPr>
        <w:t>Un des traits saillants de cette politique a été l'utilisation de la n</w:t>
      </w:r>
      <w:r w:rsidRPr="00562808">
        <w:rPr>
          <w:szCs w:val="22"/>
        </w:rPr>
        <w:t>o</w:t>
      </w:r>
      <w:r w:rsidRPr="00562808">
        <w:rPr>
          <w:szCs w:val="22"/>
        </w:rPr>
        <w:t xml:space="preserve">tion de capacité d'absorption, aux sens économique et socio-culturel du terme. Cette notion, qui a été le fil conducteur de la </w:t>
      </w:r>
      <w:r w:rsidRPr="00562808">
        <w:rPr>
          <w:i/>
          <w:iCs/>
          <w:szCs w:val="22"/>
        </w:rPr>
        <w:t>Loi de l'imm</w:t>
      </w:r>
      <w:r w:rsidRPr="00562808">
        <w:rPr>
          <w:i/>
          <w:iCs/>
          <w:szCs w:val="22"/>
        </w:rPr>
        <w:t>i</w:t>
      </w:r>
      <w:r w:rsidRPr="00562808">
        <w:rPr>
          <w:i/>
          <w:iCs/>
          <w:szCs w:val="22"/>
        </w:rPr>
        <w:t xml:space="preserve">gration de. </w:t>
      </w:r>
      <w:r w:rsidRPr="00562808">
        <w:rPr>
          <w:szCs w:val="22"/>
        </w:rPr>
        <w:t>1952 et des règlements qui l'ont précédée et suivie, a été avancée par le premier ministre du Canada, William Mackenzie King, lors d'un discours fait au parlement, le 1</w:t>
      </w:r>
      <w:r w:rsidRPr="00562808">
        <w:rPr>
          <w:szCs w:val="22"/>
          <w:vertAlign w:val="superscript"/>
        </w:rPr>
        <w:t xml:space="preserve">er </w:t>
      </w:r>
      <w:r w:rsidRPr="00562808">
        <w:rPr>
          <w:szCs w:val="22"/>
        </w:rPr>
        <w:t>mai 1947 :</w:t>
      </w:r>
    </w:p>
    <w:p w:rsidR="00AD690E" w:rsidRDefault="00AD690E" w:rsidP="00AD690E">
      <w:pPr>
        <w:pStyle w:val="Grillecouleur-Accent1"/>
      </w:pPr>
    </w:p>
    <w:p w:rsidR="00AD690E" w:rsidRDefault="00AD690E" w:rsidP="00AD690E">
      <w:pPr>
        <w:pStyle w:val="Grillecouleur-Accent1"/>
        <w:rPr>
          <w:i/>
        </w:rPr>
      </w:pPr>
      <w:r w:rsidRPr="00BC2EE8">
        <w:t>Le programme du Gouvernement vise à favoriser l'accroissement de la population du Canada en encourageant l'immigration. Le Gouvernement s'efforcera, au moyen de mesures législatives, de règlements et d'une a</w:t>
      </w:r>
      <w:r w:rsidRPr="00BC2EE8">
        <w:t>d</w:t>
      </w:r>
      <w:r w:rsidRPr="00BC2EE8">
        <w:t>ministration efficace, de choisir judicieusement et d'établir en permanence autant d'immigrants que notre économie nationale peut en absorber ava</w:t>
      </w:r>
      <w:r w:rsidRPr="00BC2EE8">
        <w:t>n</w:t>
      </w:r>
      <w:r w:rsidRPr="00BC2EE8">
        <w:t>tage</w:t>
      </w:r>
      <w:r w:rsidRPr="00BC2EE8">
        <w:t>u</w:t>
      </w:r>
      <w:r w:rsidRPr="00BC2EE8">
        <w:t>sement [...]</w:t>
      </w:r>
    </w:p>
    <w:p w:rsidR="00AD690E" w:rsidRDefault="00AD690E" w:rsidP="00AD690E">
      <w:pPr>
        <w:pStyle w:val="Grillecouleur-Accent1"/>
        <w:rPr>
          <w:i/>
        </w:rPr>
      </w:pPr>
      <w:r w:rsidRPr="00BC2EE8">
        <w:t xml:space="preserve"> [...] Il importe au plus haut point que nous adaptions l'immigration à n</w:t>
      </w:r>
      <w:r w:rsidRPr="00BC2EE8">
        <w:t>o</w:t>
      </w:r>
      <w:r w:rsidRPr="00BC2EE8">
        <w:t>tre capacité d'absorption [...]</w:t>
      </w:r>
    </w:p>
    <w:p w:rsidR="00AD690E" w:rsidRDefault="00AD690E" w:rsidP="00AD690E">
      <w:pPr>
        <w:pStyle w:val="Grillecouleur-Accent1"/>
        <w:rPr>
          <w:i/>
        </w:rPr>
      </w:pPr>
      <w:r w:rsidRPr="00BC2EE8">
        <w:t xml:space="preserve"> [...] Le chiffre correspondant à notre faculté d'absorption variera m</w:t>
      </w:r>
      <w:r w:rsidRPr="00BC2EE8">
        <w:t>a</w:t>
      </w:r>
      <w:r w:rsidRPr="00BC2EE8">
        <w:t>nifestement d'une année à l'autre, selon la situation économique [...]</w:t>
      </w:r>
    </w:p>
    <w:p w:rsidR="00AD690E" w:rsidRDefault="00AD690E" w:rsidP="00AD690E">
      <w:pPr>
        <w:pStyle w:val="Grillecouleur-Accent1"/>
        <w:rPr>
          <w:i/>
        </w:rPr>
      </w:pPr>
      <w:r w:rsidRPr="00BC2EE8">
        <w:t xml:space="preserve"> [...] Tous conviendront, j'en suis sûr, que l'ensemble de la population du Canada ne désire pas qu'une immigration massive modifie de façon fond</w:t>
      </w:r>
      <w:r w:rsidRPr="00BC2EE8">
        <w:t>a</w:t>
      </w:r>
      <w:r w:rsidRPr="00BC2EE8">
        <w:t>mentale le caractère ethnique de notre population. Une immigration en masse d'Orientaux changerait la composition fondamentale de la pop</w:t>
      </w:r>
      <w:r w:rsidRPr="00BC2EE8">
        <w:t>u</w:t>
      </w:r>
      <w:r w:rsidRPr="00BC2EE8">
        <w:t>lation c</w:t>
      </w:r>
      <w:r w:rsidRPr="00BC2EE8">
        <w:t>a</w:t>
      </w:r>
      <w:r w:rsidRPr="00BC2EE8">
        <w:t>nadienne</w:t>
      </w:r>
      <w:r>
        <w:t> </w:t>
      </w:r>
      <w:r>
        <w:rPr>
          <w:rStyle w:val="Appelnotedebasdep"/>
          <w:szCs w:val="18"/>
        </w:rPr>
        <w:footnoteReference w:id="514"/>
      </w:r>
      <w:r w:rsidRPr="00BC2EE8">
        <w:t>.</w:t>
      </w:r>
    </w:p>
    <w:p w:rsidR="00AD690E" w:rsidRDefault="00AD690E" w:rsidP="00AD690E">
      <w:pPr>
        <w:pStyle w:val="Grillecouleur-Accent1"/>
        <w:rPr>
          <w:i/>
        </w:rPr>
      </w:pPr>
    </w:p>
    <w:p w:rsidR="00AD690E" w:rsidRPr="00562808" w:rsidRDefault="00AD690E" w:rsidP="00AD690E">
      <w:pPr>
        <w:spacing w:before="120" w:after="120"/>
        <w:jc w:val="both"/>
      </w:pPr>
      <w:r w:rsidRPr="00562808">
        <w:rPr>
          <w:szCs w:val="22"/>
        </w:rPr>
        <w:t xml:space="preserve"> Le discours de Mackenzie King indiquait une « pénurie aiguë » de main-d'</w:t>
      </w:r>
      <w:r>
        <w:rPr>
          <w:szCs w:val="22"/>
        </w:rPr>
        <w:t>œuvre</w:t>
      </w:r>
      <w:r w:rsidRPr="00562808">
        <w:rPr>
          <w:szCs w:val="22"/>
        </w:rPr>
        <w:t xml:space="preserve"> dans les « industries de base », soit, entre autres, de l'agriculture, des mines et de l'e</w:t>
      </w:r>
      <w:r w:rsidRPr="00562808">
        <w:rPr>
          <w:szCs w:val="22"/>
        </w:rPr>
        <w:t>x</w:t>
      </w:r>
      <w:r w:rsidRPr="00562808">
        <w:rPr>
          <w:szCs w:val="22"/>
        </w:rPr>
        <w:t>ploitation forestière. Deux mesures étaient envisagées pour combler cette pénurie : il fallait admettre les parents parrainés des résidents ou citoyens canadiens, et les perso</w:t>
      </w:r>
      <w:r w:rsidRPr="00562808">
        <w:rPr>
          <w:szCs w:val="22"/>
        </w:rPr>
        <w:t>n</w:t>
      </w:r>
      <w:r w:rsidRPr="00562808">
        <w:rPr>
          <w:szCs w:val="22"/>
        </w:rPr>
        <w:t>nes déplacées en provenance de l'Europe. Grâce au développement des industries du secteur secondaire, à la croissance du produit</w:t>
      </w:r>
      <w:r>
        <w:rPr>
          <w:szCs w:val="22"/>
        </w:rPr>
        <w:t xml:space="preserve"> </w:t>
      </w:r>
      <w:r w:rsidRPr="00562808">
        <w:t>[315]</w:t>
      </w:r>
      <w:r>
        <w:t xml:space="preserve"> </w:t>
      </w:r>
      <w:r w:rsidRPr="00562808">
        <w:rPr>
          <w:szCs w:val="22"/>
        </w:rPr>
        <w:t>n</w:t>
      </w:r>
      <w:r w:rsidRPr="00562808">
        <w:rPr>
          <w:szCs w:val="22"/>
        </w:rPr>
        <w:t>a</w:t>
      </w:r>
      <w:r w:rsidRPr="00562808">
        <w:rPr>
          <w:szCs w:val="22"/>
        </w:rPr>
        <w:t>tional brut et à la forte demande en biens de consommation, plus d'un million d'immigrés européens sont venus se joindre, en l'espace de dix ans, aux strates les plus basses de la classe ouvrière nationale. De ce nombre, 200</w:t>
      </w:r>
      <w:r>
        <w:rPr>
          <w:szCs w:val="22"/>
        </w:rPr>
        <w:t> </w:t>
      </w:r>
      <w:r w:rsidRPr="00562808">
        <w:rPr>
          <w:szCs w:val="22"/>
        </w:rPr>
        <w:t>000 étaient des réfugiés.</w:t>
      </w:r>
      <w:r>
        <w:rPr>
          <w:szCs w:val="22"/>
        </w:rPr>
        <w:t> </w:t>
      </w:r>
      <w:r>
        <w:rPr>
          <w:rStyle w:val="Appelnotedebasdep"/>
        </w:rPr>
        <w:footnoteReference w:id="515"/>
      </w:r>
    </w:p>
    <w:p w:rsidR="00AD690E" w:rsidRPr="00562808" w:rsidRDefault="00AD690E" w:rsidP="00AD690E">
      <w:pPr>
        <w:spacing w:before="120" w:after="120"/>
        <w:jc w:val="both"/>
        <w:rPr>
          <w:szCs w:val="22"/>
        </w:rPr>
      </w:pPr>
      <w:r w:rsidRPr="00562808">
        <w:rPr>
          <w:szCs w:val="22"/>
        </w:rPr>
        <w:t>Selon le gouvernement canadien, il fallait encourager le parrain</w:t>
      </w:r>
      <w:r w:rsidRPr="00562808">
        <w:rPr>
          <w:szCs w:val="22"/>
        </w:rPr>
        <w:t>a</w:t>
      </w:r>
      <w:r w:rsidRPr="00562808">
        <w:rPr>
          <w:szCs w:val="22"/>
        </w:rPr>
        <w:t>ge</w:t>
      </w:r>
      <w:r>
        <w:rPr>
          <w:szCs w:val="22"/>
        </w:rPr>
        <w:t> </w:t>
      </w:r>
      <w:r w:rsidRPr="002A1EB4">
        <w:rPr>
          <w:rStyle w:val="Appelnotedebasdep"/>
        </w:rPr>
        <w:footnoteReference w:id="516"/>
      </w:r>
      <w:r>
        <w:rPr>
          <w:szCs w:val="22"/>
        </w:rPr>
        <w:t> </w:t>
      </w:r>
      <w:r w:rsidRPr="00562808">
        <w:rPr>
          <w:szCs w:val="22"/>
        </w:rPr>
        <w:t>: il constituait en effet le meilleur moyen de combattre la pén</w:t>
      </w:r>
      <w:r w:rsidRPr="00562808">
        <w:rPr>
          <w:szCs w:val="22"/>
        </w:rPr>
        <w:t>u</w:t>
      </w:r>
      <w:r w:rsidRPr="00562808">
        <w:rPr>
          <w:szCs w:val="22"/>
        </w:rPr>
        <w:t>rie de main-d'oeuvre, à partir des réseaux de parenté des résidents c</w:t>
      </w:r>
      <w:r w:rsidRPr="00562808">
        <w:rPr>
          <w:szCs w:val="22"/>
        </w:rPr>
        <w:t>a</w:t>
      </w:r>
      <w:r w:rsidRPr="00562808">
        <w:rPr>
          <w:szCs w:val="22"/>
        </w:rPr>
        <w:t>nadiens, et il permettait d'accroître la population sans modification not</w:t>
      </w:r>
      <w:r w:rsidRPr="00562808">
        <w:rPr>
          <w:szCs w:val="22"/>
        </w:rPr>
        <w:t>a</w:t>
      </w:r>
      <w:r w:rsidRPr="00562808">
        <w:rPr>
          <w:szCs w:val="22"/>
        </w:rPr>
        <w:t>ble de ses composantes ethniques. Immigrer au Canada était considéré comme un privilège réservé à certains groupes bien séle</w:t>
      </w:r>
      <w:r w:rsidRPr="00562808">
        <w:rPr>
          <w:szCs w:val="22"/>
        </w:rPr>
        <w:t>c</w:t>
      </w:r>
      <w:r w:rsidRPr="00562808">
        <w:rPr>
          <w:szCs w:val="22"/>
        </w:rPr>
        <w:t>tionnés, et le gouvernement maintenait les restrictions en vigueur d</w:t>
      </w:r>
      <w:r w:rsidRPr="00562808">
        <w:rPr>
          <w:szCs w:val="22"/>
        </w:rPr>
        <w:t>e</w:t>
      </w:r>
      <w:r w:rsidRPr="00562808">
        <w:rPr>
          <w:szCs w:val="22"/>
        </w:rPr>
        <w:t>puis le début du siècle touchant l'immigration noire et asiatique.</w:t>
      </w:r>
    </w:p>
    <w:p w:rsidR="00AD690E" w:rsidRPr="00562808" w:rsidRDefault="00AD690E" w:rsidP="00AD690E">
      <w:pPr>
        <w:spacing w:before="120" w:after="120"/>
        <w:jc w:val="both"/>
        <w:rPr>
          <w:szCs w:val="22"/>
        </w:rPr>
      </w:pPr>
      <w:r>
        <w:rPr>
          <w:szCs w:val="22"/>
        </w:rPr>
        <w:br w:type="page"/>
      </w:r>
    </w:p>
    <w:p w:rsidR="00AD690E" w:rsidRPr="00562808" w:rsidRDefault="00AD690E" w:rsidP="00AD690E">
      <w:pPr>
        <w:pStyle w:val="figtitre"/>
      </w:pPr>
      <w:r w:rsidRPr="00562808">
        <w:t>Tableau 1 L'immigration au Canada : 1946-1983</w:t>
      </w:r>
    </w:p>
    <w:tbl>
      <w:tblPr>
        <w:tblW w:w="7740" w:type="dxa"/>
        <w:tblInd w:w="40" w:type="dxa"/>
        <w:tblLayout w:type="fixed"/>
        <w:tblCellMar>
          <w:left w:w="40" w:type="dxa"/>
          <w:right w:w="40" w:type="dxa"/>
        </w:tblCellMar>
        <w:tblLook w:val="0000" w:firstRow="0" w:lastRow="0" w:firstColumn="0" w:lastColumn="0" w:noHBand="0" w:noVBand="0"/>
      </w:tblPr>
      <w:tblGrid>
        <w:gridCol w:w="990"/>
        <w:gridCol w:w="1800"/>
        <w:gridCol w:w="900"/>
        <w:gridCol w:w="1800"/>
        <w:gridCol w:w="900"/>
        <w:gridCol w:w="1350"/>
      </w:tblGrid>
      <w:tr w:rsidR="00AD690E" w:rsidRPr="00562808">
        <w:tblPrEx>
          <w:tblCellMar>
            <w:top w:w="0" w:type="dxa"/>
            <w:bottom w:w="0" w:type="dxa"/>
          </w:tblCellMar>
        </w:tblPrEx>
        <w:tc>
          <w:tcPr>
            <w:tcW w:w="990" w:type="dxa"/>
            <w:tcBorders>
              <w:top w:val="single" w:sz="4" w:space="0" w:color="auto"/>
              <w:left w:val="nil"/>
              <w:bottom w:val="nil"/>
              <w:right w:val="nil"/>
            </w:tcBorders>
            <w:shd w:val="clear" w:color="auto" w:fill="FFFFFF"/>
          </w:tcPr>
          <w:p w:rsidR="00AD690E" w:rsidRPr="00562808" w:rsidRDefault="00AD690E" w:rsidP="00AD690E">
            <w:pPr>
              <w:spacing w:before="60" w:after="60"/>
              <w:ind w:firstLine="0"/>
              <w:jc w:val="both"/>
              <w:rPr>
                <w:rFonts w:cs="Courier New"/>
                <w:sz w:val="24"/>
                <w:szCs w:val="18"/>
              </w:rPr>
            </w:pPr>
            <w:r w:rsidRPr="00562808">
              <w:rPr>
                <w:rFonts w:cs="Courier New"/>
                <w:sz w:val="24"/>
                <w:szCs w:val="18"/>
              </w:rPr>
              <w:t>1946</w:t>
            </w:r>
          </w:p>
        </w:tc>
        <w:tc>
          <w:tcPr>
            <w:tcW w:w="1800" w:type="dxa"/>
            <w:tcBorders>
              <w:top w:val="single" w:sz="4" w:space="0" w:color="auto"/>
              <w:left w:val="nil"/>
              <w:bottom w:val="nil"/>
              <w:right w:val="nil"/>
            </w:tcBorders>
            <w:shd w:val="clear" w:color="auto" w:fill="FFFFFF"/>
          </w:tcPr>
          <w:p w:rsidR="00AD690E" w:rsidRPr="00562808" w:rsidRDefault="00AD690E" w:rsidP="00AD690E">
            <w:pPr>
              <w:spacing w:before="60" w:after="60"/>
              <w:ind w:firstLine="0"/>
              <w:jc w:val="both"/>
              <w:rPr>
                <w:rFonts w:cs="Courier New"/>
                <w:sz w:val="24"/>
              </w:rPr>
            </w:pPr>
            <w:r w:rsidRPr="00562808">
              <w:rPr>
                <w:rFonts w:cs="Courier New"/>
                <w:sz w:val="24"/>
              </w:rPr>
              <w:t>71 719</w:t>
            </w:r>
          </w:p>
        </w:tc>
        <w:tc>
          <w:tcPr>
            <w:tcW w:w="900" w:type="dxa"/>
            <w:tcBorders>
              <w:top w:val="single" w:sz="4" w:space="0" w:color="auto"/>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1960</w:t>
            </w:r>
          </w:p>
        </w:tc>
        <w:tc>
          <w:tcPr>
            <w:tcW w:w="1800" w:type="dxa"/>
            <w:tcBorders>
              <w:top w:val="single" w:sz="4" w:space="0" w:color="auto"/>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104 111</w:t>
            </w:r>
          </w:p>
        </w:tc>
        <w:tc>
          <w:tcPr>
            <w:tcW w:w="900" w:type="dxa"/>
            <w:tcBorders>
              <w:top w:val="single" w:sz="4" w:space="0" w:color="auto"/>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1974</w:t>
            </w:r>
          </w:p>
        </w:tc>
        <w:tc>
          <w:tcPr>
            <w:tcW w:w="1350" w:type="dxa"/>
            <w:tcBorders>
              <w:top w:val="single" w:sz="4" w:space="0" w:color="auto"/>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218 465</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1947</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64 127</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1961</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71 689</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1975</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187 881</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1948</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125 414</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1962</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74 586</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1976</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149 429</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1949</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95 217</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1963</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93 151</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1977</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114 914</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1950</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73 912</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1964</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112 606</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1978</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86 313</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1951</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194 391</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1965</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146 758</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1979</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112 096</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1952</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164 498</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1966</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194 743</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1980</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143 133</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1953</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168 868</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1967</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222 876</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1981</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128 632</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1954</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154 227</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1968</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183 974</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1982</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121 166</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1955</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109 946</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1969</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161 531</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1983</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89 117</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1956</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164 857</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1970</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147 713</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1984</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88 239</w:t>
            </w:r>
          </w:p>
        </w:tc>
      </w:tr>
      <w:tr w:rsidR="00AD690E" w:rsidRPr="00562808">
        <w:tblPrEx>
          <w:tblCellMar>
            <w:top w:w="0" w:type="dxa"/>
            <w:bottom w:w="0" w:type="dxa"/>
          </w:tblCellMar>
        </w:tblPrEx>
        <w:tc>
          <w:tcPr>
            <w:tcW w:w="99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1957</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282 164</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1971</w:t>
            </w:r>
          </w:p>
        </w:tc>
        <w:tc>
          <w:tcPr>
            <w:tcW w:w="18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121 900</w:t>
            </w:r>
          </w:p>
        </w:tc>
        <w:tc>
          <w:tcPr>
            <w:tcW w:w="90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1985</w:t>
            </w:r>
          </w:p>
        </w:tc>
        <w:tc>
          <w:tcPr>
            <w:tcW w:w="1350" w:type="dxa"/>
            <w:tcBorders>
              <w:top w:val="nil"/>
              <w:left w:val="nil"/>
              <w:bottom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84 302</w:t>
            </w:r>
          </w:p>
        </w:tc>
      </w:tr>
      <w:tr w:rsidR="00AD690E" w:rsidRPr="00562808">
        <w:tblPrEx>
          <w:tblCellMar>
            <w:top w:w="0" w:type="dxa"/>
            <w:bottom w:w="0" w:type="dxa"/>
          </w:tblCellMar>
        </w:tblPrEx>
        <w:tc>
          <w:tcPr>
            <w:tcW w:w="990" w:type="dxa"/>
            <w:tcBorders>
              <w:top w:val="nil"/>
              <w:left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1958</w:t>
            </w:r>
          </w:p>
        </w:tc>
        <w:tc>
          <w:tcPr>
            <w:tcW w:w="1800" w:type="dxa"/>
            <w:tcBorders>
              <w:top w:val="nil"/>
              <w:left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124 851</w:t>
            </w:r>
          </w:p>
        </w:tc>
        <w:tc>
          <w:tcPr>
            <w:tcW w:w="900" w:type="dxa"/>
            <w:tcBorders>
              <w:top w:val="nil"/>
              <w:left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1972</w:t>
            </w:r>
          </w:p>
        </w:tc>
        <w:tc>
          <w:tcPr>
            <w:tcW w:w="1800" w:type="dxa"/>
            <w:tcBorders>
              <w:top w:val="nil"/>
              <w:left w:val="nil"/>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122 006</w:t>
            </w:r>
          </w:p>
        </w:tc>
        <w:tc>
          <w:tcPr>
            <w:tcW w:w="900" w:type="dxa"/>
            <w:tcBorders>
              <w:top w:val="nil"/>
              <w:left w:val="nil"/>
              <w:right w:val="nil"/>
            </w:tcBorders>
            <w:shd w:val="clear" w:color="auto" w:fill="FFFFFF"/>
          </w:tcPr>
          <w:p w:rsidR="00AD690E" w:rsidRPr="00562808" w:rsidRDefault="00AD690E" w:rsidP="00AD690E">
            <w:pPr>
              <w:spacing w:before="60" w:after="60"/>
              <w:ind w:firstLine="0"/>
              <w:jc w:val="both"/>
              <w:rPr>
                <w:sz w:val="24"/>
              </w:rPr>
            </w:pPr>
          </w:p>
        </w:tc>
        <w:tc>
          <w:tcPr>
            <w:tcW w:w="1350" w:type="dxa"/>
            <w:tcBorders>
              <w:top w:val="nil"/>
              <w:left w:val="nil"/>
              <w:right w:val="nil"/>
            </w:tcBorders>
            <w:shd w:val="clear" w:color="auto" w:fill="FFFFFF"/>
          </w:tcPr>
          <w:p w:rsidR="00AD690E" w:rsidRPr="00562808" w:rsidRDefault="00AD690E" w:rsidP="00AD690E">
            <w:pPr>
              <w:spacing w:before="60" w:after="60"/>
              <w:ind w:firstLine="0"/>
              <w:jc w:val="both"/>
              <w:rPr>
                <w:sz w:val="24"/>
              </w:rPr>
            </w:pPr>
          </w:p>
        </w:tc>
      </w:tr>
      <w:tr w:rsidR="00AD690E" w:rsidRPr="00562808">
        <w:tblPrEx>
          <w:tblCellMar>
            <w:top w:w="0" w:type="dxa"/>
            <w:bottom w:w="0" w:type="dxa"/>
          </w:tblCellMar>
        </w:tblPrEx>
        <w:tc>
          <w:tcPr>
            <w:tcW w:w="990" w:type="dxa"/>
            <w:tcBorders>
              <w:top w:val="nil"/>
              <w:left w:val="nil"/>
              <w:bottom w:val="single" w:sz="4" w:space="0" w:color="auto"/>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1959</w:t>
            </w:r>
          </w:p>
        </w:tc>
        <w:tc>
          <w:tcPr>
            <w:tcW w:w="1800" w:type="dxa"/>
            <w:tcBorders>
              <w:top w:val="nil"/>
              <w:left w:val="nil"/>
              <w:bottom w:val="single" w:sz="4" w:space="0" w:color="auto"/>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rPr>
              <w:t>106 928</w:t>
            </w:r>
          </w:p>
        </w:tc>
        <w:tc>
          <w:tcPr>
            <w:tcW w:w="900" w:type="dxa"/>
            <w:tcBorders>
              <w:top w:val="nil"/>
              <w:left w:val="nil"/>
              <w:bottom w:val="single" w:sz="4" w:space="0" w:color="auto"/>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1973</w:t>
            </w:r>
          </w:p>
        </w:tc>
        <w:tc>
          <w:tcPr>
            <w:tcW w:w="1800" w:type="dxa"/>
            <w:tcBorders>
              <w:top w:val="nil"/>
              <w:left w:val="nil"/>
              <w:bottom w:val="single" w:sz="4" w:space="0" w:color="auto"/>
              <w:right w:val="nil"/>
            </w:tcBorders>
            <w:shd w:val="clear" w:color="auto" w:fill="FFFFFF"/>
          </w:tcPr>
          <w:p w:rsidR="00AD690E" w:rsidRPr="00562808" w:rsidRDefault="00AD690E" w:rsidP="00AD690E">
            <w:pPr>
              <w:spacing w:before="60" w:after="60"/>
              <w:ind w:firstLine="0"/>
              <w:jc w:val="both"/>
              <w:rPr>
                <w:sz w:val="24"/>
              </w:rPr>
            </w:pPr>
            <w:r w:rsidRPr="00562808">
              <w:rPr>
                <w:rFonts w:cs="Courier New"/>
                <w:sz w:val="24"/>
                <w:szCs w:val="18"/>
              </w:rPr>
              <w:t>184 200</w:t>
            </w:r>
          </w:p>
        </w:tc>
        <w:tc>
          <w:tcPr>
            <w:tcW w:w="900" w:type="dxa"/>
            <w:tcBorders>
              <w:top w:val="nil"/>
              <w:left w:val="nil"/>
              <w:bottom w:val="single" w:sz="4" w:space="0" w:color="auto"/>
              <w:right w:val="nil"/>
            </w:tcBorders>
            <w:shd w:val="clear" w:color="auto" w:fill="FFFFFF"/>
          </w:tcPr>
          <w:p w:rsidR="00AD690E" w:rsidRPr="00562808" w:rsidRDefault="00AD690E" w:rsidP="00AD690E">
            <w:pPr>
              <w:spacing w:before="60" w:after="60"/>
              <w:ind w:firstLine="0"/>
              <w:jc w:val="both"/>
              <w:rPr>
                <w:sz w:val="24"/>
              </w:rPr>
            </w:pPr>
          </w:p>
        </w:tc>
        <w:tc>
          <w:tcPr>
            <w:tcW w:w="1350" w:type="dxa"/>
            <w:tcBorders>
              <w:top w:val="nil"/>
              <w:left w:val="nil"/>
              <w:bottom w:val="single" w:sz="4" w:space="0" w:color="auto"/>
              <w:right w:val="nil"/>
            </w:tcBorders>
            <w:shd w:val="clear" w:color="auto" w:fill="FFFFFF"/>
          </w:tcPr>
          <w:p w:rsidR="00AD690E" w:rsidRPr="00562808" w:rsidRDefault="00AD690E" w:rsidP="00AD690E">
            <w:pPr>
              <w:spacing w:before="60" w:after="60"/>
              <w:ind w:firstLine="0"/>
              <w:jc w:val="both"/>
              <w:rPr>
                <w:sz w:val="24"/>
              </w:rPr>
            </w:pPr>
          </w:p>
        </w:tc>
      </w:tr>
    </w:tbl>
    <w:p w:rsidR="00AD690E" w:rsidRPr="00562808" w:rsidRDefault="00AD690E" w:rsidP="00AD690E">
      <w:pPr>
        <w:pStyle w:val="FIGST0"/>
      </w:pPr>
      <w:r w:rsidRPr="00562808">
        <w:t>Emploi et Immigration Canada : Statistiques sur l'immigration 1984, Ottawa, ministre des Appr</w:t>
      </w:r>
      <w:r w:rsidRPr="00562808">
        <w:t>o</w:t>
      </w:r>
      <w:r w:rsidRPr="00562808">
        <w:t>visionnements et Services Canada, 1986.</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Avant 1962, les critères de sélection des immigrés sont la nation</w:t>
      </w:r>
      <w:r w:rsidRPr="00562808">
        <w:rPr>
          <w:szCs w:val="22"/>
        </w:rPr>
        <w:t>a</w:t>
      </w:r>
      <w:r w:rsidRPr="00562808">
        <w:rPr>
          <w:szCs w:val="22"/>
        </w:rPr>
        <w:t>lité et le pays de naissance, la capacité des individus à assurer leur propre subsistance jusqu'à l'obtention d'un emploi au Canada ou enc</w:t>
      </w:r>
      <w:r w:rsidRPr="00562808">
        <w:rPr>
          <w:szCs w:val="22"/>
        </w:rPr>
        <w:t>o</w:t>
      </w:r>
      <w:r w:rsidRPr="00562808">
        <w:rPr>
          <w:szCs w:val="22"/>
        </w:rPr>
        <w:t>re une garantie de placement</w:t>
      </w:r>
      <w:r>
        <w:rPr>
          <w:szCs w:val="22"/>
        </w:rPr>
        <w:t xml:space="preserve"> </w:t>
      </w:r>
      <w:r w:rsidRPr="00562808">
        <w:rPr>
          <w:szCs w:val="18"/>
        </w:rPr>
        <w:t>[</w:t>
      </w:r>
      <w:r w:rsidRPr="00562808">
        <w:t>316]</w:t>
      </w:r>
      <w:r>
        <w:t xml:space="preserve"> </w:t>
      </w:r>
      <w:r w:rsidRPr="00562808">
        <w:t>par le ministère de la Citoyenneté (créé en 1949) et, enfin, le type de liens familiaux unissant un résident ou un citoyen canadien au futur immigré</w:t>
      </w:r>
      <w:r>
        <w:t> </w:t>
      </w:r>
      <w:r w:rsidRPr="002A1EB4">
        <w:rPr>
          <w:rStyle w:val="Appelnotedebasdep"/>
        </w:rPr>
        <w:footnoteReference w:id="517"/>
      </w:r>
      <w:r w:rsidRPr="00562808">
        <w:t>.</w:t>
      </w:r>
    </w:p>
    <w:p w:rsidR="00AD690E" w:rsidRPr="00562808" w:rsidRDefault="00AD690E" w:rsidP="00AD690E">
      <w:pPr>
        <w:spacing w:before="120" w:after="120"/>
        <w:jc w:val="both"/>
      </w:pPr>
      <w:r w:rsidRPr="00562808">
        <w:t xml:space="preserve">En 1952, le gouvernement libéral de Louis Saint-Laurent introduit une nouvelle loi sur l'immigration, laquelle remplace celle de 1910 et réaffirme la notion de capacité d'absorption sur le plan économique et culturel. Le ministre de la Citoyenneté et de l'Immigration, Walter Harris, commenta ainsi le projet de loi : </w:t>
      </w:r>
      <w:r w:rsidRPr="00562808">
        <w:rPr>
          <w:i/>
          <w:iCs/>
        </w:rPr>
        <w:t>« The Policy of Immigr</w:t>
      </w:r>
      <w:r w:rsidRPr="00562808">
        <w:rPr>
          <w:i/>
          <w:iCs/>
        </w:rPr>
        <w:t>a</w:t>
      </w:r>
      <w:r w:rsidRPr="00562808">
        <w:rPr>
          <w:i/>
          <w:iCs/>
        </w:rPr>
        <w:t>tion [...] is to admit to Canada, in numbers not exceeding the absorptive capacity of our country, and without allering the fundamental chara</w:t>
      </w:r>
      <w:r w:rsidRPr="00562808">
        <w:rPr>
          <w:i/>
          <w:iCs/>
        </w:rPr>
        <w:t>c</w:t>
      </w:r>
      <w:r w:rsidRPr="00562808">
        <w:rPr>
          <w:i/>
          <w:iCs/>
        </w:rPr>
        <w:t>ter of</w:t>
      </w:r>
      <w:r>
        <w:rPr>
          <w:i/>
          <w:iCs/>
        </w:rPr>
        <w:t xml:space="preserve"> </w:t>
      </w:r>
      <w:r w:rsidRPr="00562808">
        <w:rPr>
          <w:i/>
          <w:iCs/>
        </w:rPr>
        <w:t>our people, such persons as are likely to contribute to our n</w:t>
      </w:r>
      <w:r w:rsidRPr="00562808">
        <w:rPr>
          <w:i/>
          <w:iCs/>
        </w:rPr>
        <w:t>a</w:t>
      </w:r>
      <w:r w:rsidRPr="00562808">
        <w:rPr>
          <w:i/>
          <w:iCs/>
        </w:rPr>
        <w:t>tional life »</w:t>
      </w:r>
      <w:r>
        <w:rPr>
          <w:iCs/>
        </w:rPr>
        <w:t> </w:t>
      </w:r>
      <w:r w:rsidRPr="002A1EB4">
        <w:rPr>
          <w:rStyle w:val="Appelnotedebasdep"/>
          <w:i/>
          <w:iCs/>
        </w:rPr>
        <w:footnoteReference w:id="518"/>
      </w:r>
      <w:r w:rsidRPr="00562808">
        <w:rPr>
          <w:i/>
          <w:iCs/>
        </w:rPr>
        <w:t>.</w:t>
      </w:r>
    </w:p>
    <w:p w:rsidR="00AD690E" w:rsidRPr="00562808" w:rsidRDefault="00AD690E" w:rsidP="00AD690E">
      <w:pPr>
        <w:spacing w:before="120" w:after="120"/>
        <w:jc w:val="both"/>
      </w:pPr>
      <w:r w:rsidRPr="00562808">
        <w:t xml:space="preserve">La </w:t>
      </w:r>
      <w:r w:rsidRPr="00562808">
        <w:rPr>
          <w:i/>
          <w:iCs/>
        </w:rPr>
        <w:t xml:space="preserve">Loi de l'immigration </w:t>
      </w:r>
      <w:r w:rsidRPr="00562808">
        <w:t>de 1952 accorde au ministre des pouvoirs discrétionnaires l'autorisant à limiter ou à prohiber l'admission en ve</w:t>
      </w:r>
      <w:r w:rsidRPr="00562808">
        <w:t>r</w:t>
      </w:r>
      <w:r w:rsidRPr="00562808">
        <w:t>tu des critères suivants : 1) la n</w:t>
      </w:r>
      <w:r w:rsidRPr="00562808">
        <w:t>a</w:t>
      </w:r>
      <w:r w:rsidRPr="00562808">
        <w:t>tionalité, la citoyenneté, le groupe ethnique, la profession, la classe, l'aire ou l'origine géographique ; 2) les habitudes particulières, les coutumes, les modes de vie, les méth</w:t>
      </w:r>
      <w:r w:rsidRPr="00562808">
        <w:t>o</w:t>
      </w:r>
      <w:r w:rsidRPr="00562808">
        <w:t>des de détention de la propriété ; 3) l'inaptitude à s'adapter au climat, aux conditions économiques, industrielles, éducationnelles, etc. ; 4) l'inaptitude probable à s'assimiler et à assumer les devoirs et les re</w:t>
      </w:r>
      <w:r w:rsidRPr="00562808">
        <w:t>s</w:t>
      </w:r>
      <w:r w:rsidRPr="00562808">
        <w:t>ponsabilités de la citoyenneté canadienne après un délai raisonn</w:t>
      </w:r>
      <w:r w:rsidRPr="00562808">
        <w:t>a</w:t>
      </w:r>
      <w:r w:rsidRPr="00562808">
        <w:t>ble</w:t>
      </w:r>
      <w:r>
        <w:t> </w:t>
      </w:r>
      <w:r w:rsidRPr="002A1EB4">
        <w:rPr>
          <w:rStyle w:val="Appelnotedebasdep"/>
        </w:rPr>
        <w:footnoteReference w:id="519"/>
      </w:r>
      <w:r w:rsidRPr="00562808">
        <w:t>.</w:t>
      </w:r>
    </w:p>
    <w:p w:rsidR="00AD690E" w:rsidRPr="00562808" w:rsidRDefault="00AD690E" w:rsidP="00AD690E">
      <w:pPr>
        <w:spacing w:before="120" w:after="120"/>
        <w:jc w:val="both"/>
      </w:pPr>
      <w:r w:rsidRPr="00562808">
        <w:t>L'ordre de préférence ethnique, d'après les réglementations en v</w:t>
      </w:r>
      <w:r w:rsidRPr="00562808">
        <w:t>i</w:t>
      </w:r>
      <w:r w:rsidRPr="00562808">
        <w:t>gueur vers 1956, s'établit comme suit : 1) immigrés en provenance de la France, de l'Angleterre, de l'Irlande, des États-Unis et des Dom</w:t>
      </w:r>
      <w:r w:rsidRPr="00562808">
        <w:t>i</w:t>
      </w:r>
      <w:r w:rsidRPr="00562808">
        <w:t>nions blancs du Commonwealth : Australie, Afrique du Sud, Nouve</w:t>
      </w:r>
      <w:r w:rsidRPr="00562808">
        <w:t>l</w:t>
      </w:r>
      <w:r w:rsidRPr="00562808">
        <w:t>le-Zélande ; 2) autres pays de l</w:t>
      </w:r>
      <w:r>
        <w:t>’</w:t>
      </w:r>
      <w:r w:rsidRPr="00562808">
        <w:t>Europe de l'Ouest ; 3) pays de l</w:t>
      </w:r>
      <w:r>
        <w:t>’</w:t>
      </w:r>
      <w:r w:rsidRPr="00562808">
        <w:t>Europe de l</w:t>
      </w:r>
      <w:r>
        <w:t>’</w:t>
      </w:r>
      <w:r w:rsidRPr="00562808">
        <w:t xml:space="preserve">Est, </w:t>
      </w:r>
      <w:r>
        <w:t>É</w:t>
      </w:r>
      <w:r w:rsidRPr="00562808">
        <w:t>gypte, Israël, Liban, Turquie, pays d'Amérique centrale et d'Amérique du Sud ; 4) pays d'Asie</w:t>
      </w:r>
      <w:r>
        <w:t> </w:t>
      </w:r>
      <w:r w:rsidRPr="002A1EB4">
        <w:rPr>
          <w:rStyle w:val="Appelnotedebasdep"/>
        </w:rPr>
        <w:footnoteReference w:id="520"/>
      </w:r>
      <w:r w:rsidRPr="00562808">
        <w:t>.</w:t>
      </w:r>
    </w:p>
    <w:p w:rsidR="00AD690E" w:rsidRPr="00562808" w:rsidRDefault="00AD690E" w:rsidP="00AD690E">
      <w:pPr>
        <w:spacing w:before="120" w:after="120"/>
        <w:jc w:val="both"/>
      </w:pPr>
      <w:r w:rsidRPr="00562808">
        <w:t>La discrimination ethnique s'exerça également par le biais de la d</w:t>
      </w:r>
      <w:r w:rsidRPr="00562808">
        <w:t>é</w:t>
      </w:r>
      <w:r w:rsidRPr="00562808">
        <w:t>termination des catégories de parents admissibles au parrainage. Ces catégories n'étaient pas les mêmes pour tous les immigrés. Ainsi, un citoyen canadien ou un résident permanent pouvait parrainer son conjoint, ses enfants, ses frères et ses soeurs (leurs conjoints et leurs e</w:t>
      </w:r>
      <w:r w:rsidRPr="00562808">
        <w:t>n</w:t>
      </w:r>
      <w:r w:rsidRPr="00562808">
        <w:t>fants non mariés de moins de 21 ans) et ses parents, si ceux-ci étaient citoyens (de nai</w:t>
      </w:r>
      <w:r w:rsidRPr="00562808">
        <w:t>s</w:t>
      </w:r>
      <w:r w:rsidRPr="00562808">
        <w:t>sance ou naturalisés) de pays situés hors de l'Afrique (excepté l'Egypte) et de l'Asie. Mais dans le cas des pays</w:t>
      </w:r>
      <w:r>
        <w:t xml:space="preserve"> </w:t>
      </w:r>
      <w:r w:rsidRPr="00562808">
        <w:t>[317]</w:t>
      </w:r>
      <w:r>
        <w:t xml:space="preserve"> </w:t>
      </w:r>
      <w:r w:rsidRPr="00562808">
        <w:t>africains et asiatiques, seuls le conjoint, les enfants non mariés de moins de 21 ans et les parents (de plus de 60 et 65 ans) pouvaient être parrainés</w:t>
      </w:r>
      <w:r>
        <w:t> </w:t>
      </w:r>
      <w:r w:rsidRPr="002A1EB4">
        <w:rPr>
          <w:rStyle w:val="Appelnotedebasdep"/>
        </w:rPr>
        <w:footnoteReference w:id="521"/>
      </w:r>
      <w:r w:rsidRPr="00562808">
        <w:t>.</w:t>
      </w:r>
    </w:p>
    <w:p w:rsidR="00AD690E" w:rsidRPr="00562808" w:rsidRDefault="00AD690E" w:rsidP="00AD690E">
      <w:pPr>
        <w:spacing w:before="120" w:after="120"/>
        <w:jc w:val="both"/>
      </w:pPr>
      <w:r w:rsidRPr="00562808">
        <w:t>Par ailleurs, pour combler des besoins spécifiques en main-d'</w:t>
      </w:r>
      <w:r>
        <w:t>œuvre</w:t>
      </w:r>
      <w:r w:rsidRPr="00562808">
        <w:t xml:space="preserve"> et parce que le nouveau Commonwealth multiracial faisait problème pour le gouvernement libéral qui rejetait l'immigration asiatique, on fixa des quotas pour permettre l'entrée, chaque année, d'immigrés i</w:t>
      </w:r>
      <w:r w:rsidRPr="00562808">
        <w:t>n</w:t>
      </w:r>
      <w:r w:rsidRPr="00562808">
        <w:t>dépendants de l'Inde (150), du Pakistan (100), de Ceylan (50), et de leurs dépendants. Ces quotas resteront en vigueur jusqu'en 1962</w:t>
      </w:r>
      <w:r>
        <w:t> </w:t>
      </w:r>
      <w:r w:rsidRPr="002A1EB4">
        <w:rPr>
          <w:rStyle w:val="Appelnotedebasdep"/>
        </w:rPr>
        <w:footnoteReference w:id="522"/>
      </w:r>
      <w:r w:rsidRPr="00562808">
        <w:t xml:space="preserve">. On procéda de la même manière avec la Caraïbe anglophone, grâce au </w:t>
      </w:r>
      <w:r w:rsidRPr="00562808">
        <w:rPr>
          <w:i/>
          <w:iCs/>
        </w:rPr>
        <w:t>West Indian Domestic Sch</w:t>
      </w:r>
      <w:r>
        <w:rPr>
          <w:i/>
          <w:iCs/>
        </w:rPr>
        <w:t>e</w:t>
      </w:r>
      <w:r w:rsidRPr="00562808">
        <w:rPr>
          <w:i/>
          <w:iCs/>
        </w:rPr>
        <w:t xml:space="preserve">ma, </w:t>
      </w:r>
      <w:r w:rsidRPr="00562808">
        <w:t>mis sur pied en 1955, dans le but de favoriser l'immigration de domestiques : 100 en 1955, 200 en 1956, 280 en 1959. En tout, 2690 domestiques antillaises entreront au Can</w:t>
      </w:r>
      <w:r w:rsidRPr="00562808">
        <w:t>a</w:t>
      </w:r>
      <w:r w:rsidRPr="00562808">
        <w:t>da de 1955 à 1965, dont 60%</w:t>
      </w:r>
      <w:r w:rsidRPr="00562808">
        <w:rPr>
          <w:i/>
          <w:iCs/>
        </w:rPr>
        <w:t xml:space="preserve"> </w:t>
      </w:r>
      <w:r w:rsidRPr="00562808">
        <w:t>s'installeront en Ontario</w:t>
      </w:r>
      <w:r>
        <w:t> </w:t>
      </w:r>
      <w:r w:rsidRPr="00BE70C7">
        <w:rPr>
          <w:rStyle w:val="Appelnotedebasdep"/>
        </w:rPr>
        <w:footnoteReference w:id="523"/>
      </w:r>
      <w:r w:rsidRPr="00562808">
        <w:t>.</w:t>
      </w:r>
    </w:p>
    <w:p w:rsidR="00AD690E" w:rsidRPr="00562808" w:rsidRDefault="00AD690E" w:rsidP="00AD690E">
      <w:pPr>
        <w:spacing w:before="120" w:after="120"/>
        <w:jc w:val="both"/>
      </w:pPr>
      <w:r w:rsidRPr="00562808">
        <w:t xml:space="preserve">Cette période fut donc marquée par une politique d'ouverture et de fermeture des frontières </w:t>
      </w:r>
      <w:r w:rsidRPr="00562808">
        <w:rPr>
          <w:i/>
          <w:iCs/>
        </w:rPr>
        <w:t xml:space="preserve">(tap on and off policy) </w:t>
      </w:r>
      <w:r w:rsidRPr="00562808">
        <w:t>qui fluctua fortement au gré de la conjoncture économique</w:t>
      </w:r>
      <w:r>
        <w:t> </w:t>
      </w:r>
      <w:r w:rsidRPr="00BE70C7">
        <w:rPr>
          <w:rStyle w:val="Appelnotedebasdep"/>
        </w:rPr>
        <w:footnoteReference w:id="524"/>
      </w:r>
      <w:r w:rsidRPr="00562808">
        <w:t>. Plus de deux millions d'i</w:t>
      </w:r>
      <w:r w:rsidRPr="00562808">
        <w:t>m</w:t>
      </w:r>
      <w:r w:rsidRPr="00562808">
        <w:t>migrés entrèrent au Canada de 1946 à 1961. Mais on note des vari</w:t>
      </w:r>
      <w:r w:rsidRPr="00562808">
        <w:t>a</w:t>
      </w:r>
      <w:r w:rsidRPr="00562808">
        <w:t>tions annuelles importantes : 73 912 entrées en 1950, 282 164 en 1957, 71 689 en 1961. À la fin des anné</w:t>
      </w:r>
      <w:r>
        <w:t>e</w:t>
      </w:r>
      <w:r w:rsidRPr="00562808">
        <w:t>s cinquante, le Canada entra dans une phase de récession et de chômage. Deux préoccupations m</w:t>
      </w:r>
      <w:r w:rsidRPr="00562808">
        <w:t>a</w:t>
      </w:r>
      <w:r w:rsidRPr="00562808">
        <w:t>jeures émergèrent alors : l'ampleur du mouvement de parrainage, qui écha</w:t>
      </w:r>
      <w:r w:rsidRPr="00562808">
        <w:t>p</w:t>
      </w:r>
      <w:r w:rsidRPr="00562808">
        <w:t>pait au contrôle des services d'immigration et qui impliquait un surplus de main-d'oeuvre non qualifiée dans l'industrie manufacturi</w:t>
      </w:r>
      <w:r w:rsidRPr="00562808">
        <w:t>è</w:t>
      </w:r>
      <w:r w:rsidRPr="00562808">
        <w:t>re, et la nécessité de recruter une force de travail qualifiée et profe</w:t>
      </w:r>
      <w:r w:rsidRPr="00562808">
        <w:t>s</w:t>
      </w:r>
      <w:r w:rsidRPr="00562808">
        <w:t>sionnelle dans un contexte où l'économie changeait et se diversifiait rapidement. Certaines catégories d'emploi f</w:t>
      </w:r>
      <w:r w:rsidRPr="00562808">
        <w:t>u</w:t>
      </w:r>
      <w:r w:rsidRPr="00562808">
        <w:t>rent particulièrement en demande : enseignants, médecins, infirmières, techniciens, tr</w:t>
      </w:r>
      <w:r w:rsidRPr="00562808">
        <w:t>a</w:t>
      </w:r>
      <w:r w:rsidRPr="00562808">
        <w:t>vailleurs sociaux, ouvriers qualifiés, etc.</w:t>
      </w:r>
      <w:r>
        <w:t> </w:t>
      </w:r>
      <w:r>
        <w:rPr>
          <w:rStyle w:val="Appelnotedebasdep"/>
        </w:rPr>
        <w:footnoteReference w:id="525"/>
      </w:r>
      <w:r w:rsidRPr="00562808">
        <w:t xml:space="preserve"> Par ailleurs, la discrimination exe</w:t>
      </w:r>
      <w:r w:rsidRPr="00562808">
        <w:t>r</w:t>
      </w:r>
      <w:r w:rsidRPr="00562808">
        <w:t>cée par la politique d'immigration est de plus en plus critiquée dans les milieux concernés.</w:t>
      </w:r>
    </w:p>
    <w:p w:rsidR="00AD690E" w:rsidRPr="00562808" w:rsidRDefault="00AD690E" w:rsidP="00AD690E">
      <w:pPr>
        <w:spacing w:before="120" w:after="120"/>
        <w:jc w:val="both"/>
      </w:pPr>
      <w:r w:rsidRPr="00562808">
        <w:t>L'année 1962 marque une transition entre la période que nous v</w:t>
      </w:r>
      <w:r w:rsidRPr="00562808">
        <w:t>e</w:t>
      </w:r>
      <w:r w:rsidRPr="00562808">
        <w:t>nons de décrire et les changements radicaux qui vont caractériser celle qui suit.</w:t>
      </w:r>
    </w:p>
    <w:p w:rsidR="00AD690E" w:rsidRPr="00562808" w:rsidRDefault="00AD690E" w:rsidP="00AD690E">
      <w:pPr>
        <w:spacing w:before="120" w:after="120"/>
        <w:jc w:val="both"/>
      </w:pPr>
      <w:r w:rsidRPr="00562808">
        <w:t>Le gouvernement conservateur de Diefenbaker (1957-1963) effe</w:t>
      </w:r>
      <w:r w:rsidRPr="00562808">
        <w:t>c</w:t>
      </w:r>
      <w:r w:rsidRPr="00562808">
        <w:t>tue un premier pas officiel vers une politique d'admission universelle des immigrés. À cet effet, des critères d'éducation, de qualification et de formation professionnelles sont introduits pour ass</w:t>
      </w:r>
      <w:r w:rsidRPr="00562808">
        <w:t>u</w:t>
      </w:r>
      <w:r w:rsidRPr="00562808">
        <w:t>rer la sélection des requérants indépendants. En corollaire, la réglementation de 1962 certifie que toute personne qualifiée doit être considérée sur la base de ses mérites personnels, indépendamment de sa race,</w:t>
      </w:r>
      <w:r>
        <w:t xml:space="preserve"> </w:t>
      </w:r>
      <w:r w:rsidRPr="00562808">
        <w:rPr>
          <w:szCs w:val="18"/>
        </w:rPr>
        <w:t>[</w:t>
      </w:r>
      <w:r w:rsidRPr="00562808">
        <w:rPr>
          <w:szCs w:val="22"/>
        </w:rPr>
        <w:t>318]</w:t>
      </w:r>
      <w:r>
        <w:rPr>
          <w:szCs w:val="22"/>
        </w:rPr>
        <w:t xml:space="preserve"> </w:t>
      </w:r>
      <w:r w:rsidRPr="00562808">
        <w:rPr>
          <w:szCs w:val="22"/>
        </w:rPr>
        <w:t>de son or</w:t>
      </w:r>
      <w:r w:rsidRPr="00562808">
        <w:rPr>
          <w:szCs w:val="22"/>
        </w:rPr>
        <w:t>i</w:t>
      </w:r>
      <w:r w:rsidRPr="00562808">
        <w:rPr>
          <w:szCs w:val="22"/>
        </w:rPr>
        <w:t>gine nationale ou du pays dont elle vient. Cependant, deux éléments de discrimination demeurent. Le premier renvoie aux normes de pa</w:t>
      </w:r>
      <w:r w:rsidRPr="00562808">
        <w:rPr>
          <w:szCs w:val="22"/>
        </w:rPr>
        <w:t>r</w:t>
      </w:r>
      <w:r w:rsidRPr="00562808">
        <w:rPr>
          <w:szCs w:val="22"/>
        </w:rPr>
        <w:t>rainage qui, tout en étant plus uniformes, continuent de favoriser les Européens</w:t>
      </w:r>
      <w:r>
        <w:rPr>
          <w:szCs w:val="22"/>
        </w:rPr>
        <w:t> </w:t>
      </w:r>
      <w:r w:rsidRPr="00BE70C7">
        <w:rPr>
          <w:rStyle w:val="Appelnotedebasdep"/>
        </w:rPr>
        <w:footnoteReference w:id="526"/>
      </w:r>
      <w:r w:rsidRPr="00562808">
        <w:rPr>
          <w:szCs w:val="22"/>
        </w:rPr>
        <w:t>. Le second renvoie à la distribution inégale des bureaux canadiens d'immigration dans le monde (voir le tableau 2). En dépit de la discrimination persistante, le Canada est le premier des grands États fédéraux receveurs d'immigration (États-Unis, Au</w:t>
      </w:r>
      <w:r w:rsidRPr="00562808">
        <w:rPr>
          <w:szCs w:val="22"/>
        </w:rPr>
        <w:t>s</w:t>
      </w:r>
      <w:r w:rsidRPr="00562808">
        <w:rPr>
          <w:szCs w:val="22"/>
        </w:rPr>
        <w:t>tralie, Canada) à abolir la discrimination ethnique et raciale dans sa politique d'imm</w:t>
      </w:r>
      <w:r w:rsidRPr="00562808">
        <w:rPr>
          <w:szCs w:val="22"/>
        </w:rPr>
        <w:t>i</w:t>
      </w:r>
      <w:r w:rsidRPr="00562808">
        <w:rPr>
          <w:szCs w:val="22"/>
        </w:rPr>
        <w:t>gration officielle. Les États-Unis le f</w:t>
      </w:r>
      <w:r w:rsidRPr="00562808">
        <w:rPr>
          <w:szCs w:val="22"/>
        </w:rPr>
        <w:t>e</w:t>
      </w:r>
      <w:r w:rsidRPr="00562808">
        <w:rPr>
          <w:szCs w:val="22"/>
        </w:rPr>
        <w:t>ront en 1965, l'Australie en 1973</w:t>
      </w:r>
      <w:r>
        <w:rPr>
          <w:szCs w:val="22"/>
        </w:rPr>
        <w:t> </w:t>
      </w:r>
      <w:r w:rsidRPr="00BE70C7">
        <w:rPr>
          <w:rStyle w:val="Appelnotedebasdep"/>
        </w:rPr>
        <w:footnoteReference w:id="527"/>
      </w:r>
      <w:r w:rsidRPr="00562808">
        <w:rPr>
          <w:szCs w:val="22"/>
        </w:rPr>
        <w:t>.</w:t>
      </w:r>
    </w:p>
    <w:p w:rsidR="00AD690E" w:rsidRPr="00562808" w:rsidRDefault="00AD690E" w:rsidP="00AD690E">
      <w:pPr>
        <w:spacing w:before="120" w:after="120"/>
        <w:jc w:val="both"/>
      </w:pPr>
      <w:r w:rsidRPr="00562808">
        <w:rPr>
          <w:szCs w:val="22"/>
        </w:rPr>
        <w:t>Le retrait des clauses de discrimination — que finalisera le régime libéral en 1967 — s'inscrit dans un contexte international et national précis : il résulte d'un malaise croi</w:t>
      </w:r>
      <w:r w:rsidRPr="00562808">
        <w:rPr>
          <w:szCs w:val="22"/>
        </w:rPr>
        <w:t>s</w:t>
      </w:r>
      <w:r w:rsidRPr="00562808">
        <w:rPr>
          <w:szCs w:val="22"/>
        </w:rPr>
        <w:t>sant au sein des dirigeants des deux partis politiques et des hauts fonctionnaires responsables de la planif</w:t>
      </w:r>
      <w:r w:rsidRPr="00562808">
        <w:rPr>
          <w:szCs w:val="22"/>
        </w:rPr>
        <w:t>i</w:t>
      </w:r>
      <w:r w:rsidRPr="00562808">
        <w:rPr>
          <w:szCs w:val="22"/>
        </w:rPr>
        <w:t xml:space="preserve">cation des affaires extérieures et du Foreign Office depuis la guerre. La </w:t>
      </w:r>
      <w:r w:rsidRPr="00562808">
        <w:rPr>
          <w:i/>
          <w:iCs/>
          <w:szCs w:val="22"/>
        </w:rPr>
        <w:t xml:space="preserve">Déclaration canadienne des droits de l'homme, </w:t>
      </w:r>
      <w:r w:rsidRPr="00562808">
        <w:rPr>
          <w:szCs w:val="22"/>
        </w:rPr>
        <w:t>sanctionnée en 1960, dénonce la discrimination découlant de la race, de l'origine n</w:t>
      </w:r>
      <w:r w:rsidRPr="00562808">
        <w:rPr>
          <w:szCs w:val="22"/>
        </w:rPr>
        <w:t>a</w:t>
      </w:r>
      <w:r w:rsidRPr="00562808">
        <w:rPr>
          <w:szCs w:val="22"/>
        </w:rPr>
        <w:t>tionale, de la couleur, de la religion ou du sexe. Par ailleurs, une pol</w:t>
      </w:r>
      <w:r w:rsidRPr="00562808">
        <w:rPr>
          <w:szCs w:val="22"/>
        </w:rPr>
        <w:t>i</w:t>
      </w:r>
      <w:r w:rsidRPr="00562808">
        <w:rPr>
          <w:szCs w:val="22"/>
        </w:rPr>
        <w:t>tique d'immigration fondée sur un ordre de préférences ethniques e</w:t>
      </w:r>
      <w:r w:rsidRPr="00562808">
        <w:rPr>
          <w:szCs w:val="22"/>
        </w:rPr>
        <w:t>n</w:t>
      </w:r>
      <w:r w:rsidRPr="00562808">
        <w:rPr>
          <w:szCs w:val="22"/>
        </w:rPr>
        <w:t>tre en contradiction avec le rôle que le Canada souhaite jouer sur le plan international et dans le Commonwealth, et avec les activités commerciales d'exportation et les investissements croissants qu'il compte encourager avec l'Asie (Japon, Chine, Inde en particulier) et les pays de la Caraïbe</w:t>
      </w:r>
      <w:r>
        <w:rPr>
          <w:szCs w:val="22"/>
        </w:rPr>
        <w:t> </w:t>
      </w:r>
      <w:r w:rsidRPr="00BE70C7">
        <w:rPr>
          <w:rStyle w:val="Appelnotedebasdep"/>
        </w:rPr>
        <w:footnoteReference w:id="528"/>
      </w:r>
      <w:r w:rsidRPr="00562808">
        <w:rPr>
          <w:szCs w:val="22"/>
        </w:rPr>
        <w:t>.</w:t>
      </w:r>
    </w:p>
    <w:p w:rsidR="00AD690E" w:rsidRDefault="00AD690E" w:rsidP="00AD690E">
      <w:pPr>
        <w:spacing w:before="120" w:after="120"/>
        <w:jc w:val="both"/>
        <w:rPr>
          <w:szCs w:val="22"/>
        </w:rPr>
      </w:pPr>
      <w:r w:rsidRPr="00562808">
        <w:rPr>
          <w:szCs w:val="22"/>
        </w:rPr>
        <w:t>Elle va également à rencontre des besoins en main-d'</w:t>
      </w:r>
      <w:r>
        <w:rPr>
          <w:szCs w:val="22"/>
        </w:rPr>
        <w:t>œuvre</w:t>
      </w:r>
      <w:r w:rsidRPr="00562808">
        <w:rPr>
          <w:szCs w:val="22"/>
        </w:rPr>
        <w:t xml:space="preserve"> qual</w:t>
      </w:r>
      <w:r w:rsidRPr="00562808">
        <w:rPr>
          <w:szCs w:val="22"/>
        </w:rPr>
        <w:t>i</w:t>
      </w:r>
      <w:r w:rsidRPr="00562808">
        <w:rPr>
          <w:szCs w:val="22"/>
        </w:rPr>
        <w:t>fiée, main-d'oeuvre que l'on va de plus en plus chercher à l'extérieur de l'Europe et qu'une politique de quotas minimaux est incapable d'a</w:t>
      </w:r>
      <w:r w:rsidRPr="00562808">
        <w:rPr>
          <w:szCs w:val="22"/>
        </w:rPr>
        <w:t>s</w:t>
      </w:r>
      <w:r w:rsidRPr="00562808">
        <w:rPr>
          <w:szCs w:val="22"/>
        </w:rPr>
        <w:t>surer.</w:t>
      </w:r>
    </w:p>
    <w:p w:rsidR="00AD690E" w:rsidRPr="00562808" w:rsidRDefault="00AD690E" w:rsidP="00AD690E">
      <w:pPr>
        <w:spacing w:before="120" w:after="120"/>
        <w:jc w:val="both"/>
      </w:pPr>
    </w:p>
    <w:p w:rsidR="00AD690E" w:rsidRDefault="00AD690E" w:rsidP="00AD690E">
      <w:pPr>
        <w:pStyle w:val="planche"/>
      </w:pPr>
      <w:r w:rsidRPr="00562808">
        <w:t>LA PÉRIODE D'EXPANSIONNISME</w:t>
      </w:r>
    </w:p>
    <w:p w:rsidR="00AD690E" w:rsidRPr="00562808" w:rsidRDefault="00AD690E" w:rsidP="00AD690E">
      <w:pPr>
        <w:pStyle w:val="planche"/>
      </w:pPr>
      <w:r>
        <w:t xml:space="preserve"> </w:t>
      </w:r>
      <w:r w:rsidRPr="00562808">
        <w:t>SOUS LE RÉGIME L</w:t>
      </w:r>
      <w:r w:rsidRPr="00562808">
        <w:t>I</w:t>
      </w:r>
      <w:r>
        <w:t>BÉRAL :</w:t>
      </w:r>
      <w:r>
        <w:br/>
      </w:r>
      <w:r w:rsidRPr="00562808">
        <w:t>1963-1971</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Le retour au pouvoir des libéraux en 1963 coïncide avec une p</w:t>
      </w:r>
      <w:r w:rsidRPr="00562808">
        <w:rPr>
          <w:szCs w:val="22"/>
        </w:rPr>
        <w:t>é</w:t>
      </w:r>
      <w:r w:rsidRPr="00562808">
        <w:rPr>
          <w:szCs w:val="22"/>
        </w:rPr>
        <w:t>riode de reprise et d'expansion économique. En 1961, un comité sp</w:t>
      </w:r>
      <w:r w:rsidRPr="00562808">
        <w:rPr>
          <w:szCs w:val="22"/>
        </w:rPr>
        <w:t>é</w:t>
      </w:r>
      <w:r w:rsidRPr="00562808">
        <w:rPr>
          <w:szCs w:val="22"/>
        </w:rPr>
        <w:t>cial du Sénat sur la main-d'</w:t>
      </w:r>
      <w:r>
        <w:rPr>
          <w:szCs w:val="22"/>
        </w:rPr>
        <w:t>œuvre</w:t>
      </w:r>
      <w:r w:rsidRPr="00562808">
        <w:rPr>
          <w:szCs w:val="22"/>
        </w:rPr>
        <w:t xml:space="preserve"> et l'emploi avait noté que le Canada entrait dans une phase nouvelle de développement et que ceci aurait un impact considérable sur les ressources en main-d'</w:t>
      </w:r>
      <w:r>
        <w:rPr>
          <w:szCs w:val="22"/>
        </w:rPr>
        <w:t>œuvre</w:t>
      </w:r>
      <w:r w:rsidRPr="00562808">
        <w:rPr>
          <w:szCs w:val="22"/>
        </w:rPr>
        <w:t>. Le comité soulignait que les possibilités d'emploi pour les travailleurs non qual</w:t>
      </w:r>
      <w:r w:rsidRPr="00562808">
        <w:rPr>
          <w:szCs w:val="22"/>
        </w:rPr>
        <w:t>i</w:t>
      </w:r>
      <w:r w:rsidRPr="00562808">
        <w:rPr>
          <w:szCs w:val="22"/>
        </w:rPr>
        <w:t>fiés étaient de plus en plus limitées et qu'il fallait désormais mettre l'accent sur l'éducation et la formation professionnelle des travailleurs. En</w:t>
      </w:r>
      <w:r>
        <w:rPr>
          <w:szCs w:val="22"/>
        </w:rPr>
        <w:t xml:space="preserve"> </w:t>
      </w:r>
      <w:r w:rsidRPr="00562808">
        <w:rPr>
          <w:szCs w:val="18"/>
        </w:rPr>
        <w:t>[319]</w:t>
      </w:r>
      <w:r>
        <w:rPr>
          <w:szCs w:val="18"/>
        </w:rPr>
        <w:t xml:space="preserve"> </w:t>
      </w:r>
      <w:r w:rsidRPr="00562808">
        <w:rPr>
          <w:szCs w:val="22"/>
        </w:rPr>
        <w:t>1964, le Conseil économique du Canada insiste, dans son premier rapport annuel, sur la nécessité de promouvoir de nouvelles politiques relatives au marché du travail dans le contexte nouveau d'expansion qui s'annonce. Par ailleurs, l'administration publique est en pleine r</w:t>
      </w:r>
      <w:r w:rsidRPr="00562808">
        <w:rPr>
          <w:szCs w:val="22"/>
        </w:rPr>
        <w:t>é</w:t>
      </w:r>
      <w:r w:rsidRPr="00562808">
        <w:rPr>
          <w:szCs w:val="22"/>
        </w:rPr>
        <w:t>forme, à la suite des recommandations de la Commission royale d'enquête sur l'administration publique, la Commission Glas</w:t>
      </w:r>
      <w:r w:rsidRPr="00562808">
        <w:rPr>
          <w:szCs w:val="22"/>
        </w:rPr>
        <w:t>s</w:t>
      </w:r>
      <w:r w:rsidRPr="00562808">
        <w:rPr>
          <w:szCs w:val="22"/>
        </w:rPr>
        <w:t>co</w:t>
      </w:r>
      <w:r>
        <w:rPr>
          <w:szCs w:val="22"/>
        </w:rPr>
        <w:t> </w:t>
      </w:r>
      <w:r w:rsidRPr="007E58F4">
        <w:rPr>
          <w:rStyle w:val="Appelnotedebasdep"/>
        </w:rPr>
        <w:footnoteReference w:id="529"/>
      </w:r>
      <w:r w:rsidRPr="00562808">
        <w:rPr>
          <w:szCs w:val="22"/>
        </w:rPr>
        <w:t>.</w:t>
      </w:r>
    </w:p>
    <w:p w:rsidR="00AD690E" w:rsidRPr="00562808" w:rsidRDefault="00AD690E" w:rsidP="00AD690E">
      <w:pPr>
        <w:pStyle w:val="figtitre"/>
      </w:pPr>
      <w:r>
        <w:rPr>
          <w:bCs w:val="0"/>
        </w:rPr>
        <w:br w:type="page"/>
      </w:r>
      <w:r w:rsidRPr="00562808">
        <w:t>Tableau 2</w:t>
      </w:r>
      <w:r>
        <w:br/>
      </w:r>
      <w:r w:rsidRPr="00562808">
        <w:t>Nombre et distribution des bureaux canadiens d'immigration à l'étranger :</w:t>
      </w:r>
      <w:r w:rsidRPr="00562808">
        <w:br/>
        <w:t>1946-1973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4"/>
        <w:gridCol w:w="904"/>
        <w:gridCol w:w="904"/>
        <w:gridCol w:w="904"/>
        <w:gridCol w:w="904"/>
        <w:gridCol w:w="904"/>
        <w:gridCol w:w="904"/>
        <w:gridCol w:w="904"/>
        <w:gridCol w:w="904"/>
      </w:tblGrid>
      <w:tr w:rsidR="00AD690E" w:rsidRPr="005C2588">
        <w:trPr>
          <w:cantSplit/>
          <w:trHeight w:val="1844"/>
        </w:trPr>
        <w:tc>
          <w:tcPr>
            <w:tcW w:w="935"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Année</w:t>
            </w:r>
          </w:p>
        </w:tc>
        <w:tc>
          <w:tcPr>
            <w:tcW w:w="935"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Total</w:t>
            </w:r>
          </w:p>
        </w:tc>
        <w:tc>
          <w:tcPr>
            <w:tcW w:w="935"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Royaume Uni et Irlande</w:t>
            </w:r>
          </w:p>
        </w:tc>
        <w:tc>
          <w:tcPr>
            <w:tcW w:w="935"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Europe</w:t>
            </w:r>
            <w:r w:rsidRPr="005C2588">
              <w:rPr>
                <w:rFonts w:eastAsia="Times" w:cs="Arial"/>
                <w:sz w:val="24"/>
                <w:szCs w:val="14"/>
              </w:rPr>
              <w:t xml:space="preserve"> </w:t>
            </w:r>
            <w:r w:rsidRPr="005C2588">
              <w:rPr>
                <w:rFonts w:eastAsia="Times"/>
                <w:sz w:val="24"/>
                <w:szCs w:val="14"/>
              </w:rPr>
              <w:t>du nord</w:t>
            </w:r>
          </w:p>
        </w:tc>
        <w:tc>
          <w:tcPr>
            <w:tcW w:w="936"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Europe</w:t>
            </w:r>
            <w:r w:rsidRPr="005C2588">
              <w:rPr>
                <w:rFonts w:eastAsia="Times" w:cs="Arial"/>
                <w:sz w:val="24"/>
                <w:szCs w:val="14"/>
              </w:rPr>
              <w:t xml:space="preserve"> </w:t>
            </w:r>
            <w:r w:rsidRPr="005C2588">
              <w:rPr>
                <w:rFonts w:eastAsia="Times"/>
                <w:sz w:val="24"/>
                <w:szCs w:val="14"/>
              </w:rPr>
              <w:t xml:space="preserve">du sud </w:t>
            </w:r>
          </w:p>
        </w:tc>
        <w:tc>
          <w:tcPr>
            <w:tcW w:w="936"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Moyen Orient</w:t>
            </w:r>
          </w:p>
        </w:tc>
        <w:tc>
          <w:tcPr>
            <w:tcW w:w="936"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 xml:space="preserve">Asie </w:t>
            </w:r>
          </w:p>
        </w:tc>
        <w:tc>
          <w:tcPr>
            <w:tcW w:w="936"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Amer. centra. &amp; Amer. du sud</w:t>
            </w:r>
          </w:p>
        </w:tc>
        <w:tc>
          <w:tcPr>
            <w:tcW w:w="936" w:type="dxa"/>
            <w:shd w:val="clear" w:color="auto" w:fill="EEECE1"/>
            <w:textDirection w:val="btLr"/>
            <w:vAlign w:val="center"/>
          </w:tcPr>
          <w:p w:rsidR="00AD690E" w:rsidRPr="005C2588" w:rsidRDefault="00AD690E" w:rsidP="00AD690E">
            <w:pPr>
              <w:spacing w:before="120" w:after="120"/>
              <w:ind w:left="113" w:right="113" w:firstLine="0"/>
              <w:rPr>
                <w:rFonts w:eastAsia="Times"/>
                <w:sz w:val="24"/>
                <w:szCs w:val="14"/>
              </w:rPr>
            </w:pPr>
            <w:r w:rsidRPr="005C2588">
              <w:rPr>
                <w:rFonts w:eastAsia="Times"/>
                <w:sz w:val="24"/>
                <w:szCs w:val="14"/>
              </w:rPr>
              <w:t>USA</w:t>
            </w:r>
          </w:p>
        </w:tc>
      </w:tr>
      <w:tr w:rsidR="00AD690E" w:rsidRPr="005C2588">
        <w:tc>
          <w:tcPr>
            <w:tcW w:w="935" w:type="dxa"/>
            <w:shd w:val="clear" w:color="auto" w:fill="EEECE1"/>
          </w:tcPr>
          <w:p w:rsidR="00AD690E" w:rsidRPr="005C2588" w:rsidRDefault="00AD690E" w:rsidP="00AD690E">
            <w:pPr>
              <w:spacing w:before="60" w:after="60"/>
              <w:ind w:firstLine="0"/>
              <w:jc w:val="both"/>
              <w:rPr>
                <w:rFonts w:eastAsia="Times"/>
                <w:sz w:val="24"/>
                <w:szCs w:val="14"/>
              </w:rPr>
            </w:pPr>
          </w:p>
        </w:tc>
        <w:tc>
          <w:tcPr>
            <w:tcW w:w="935" w:type="dxa"/>
            <w:shd w:val="clear" w:color="auto" w:fill="EEECE1"/>
          </w:tcPr>
          <w:p w:rsidR="00AD690E" w:rsidRPr="005C2588" w:rsidRDefault="00AD690E" w:rsidP="00AD690E">
            <w:pPr>
              <w:spacing w:before="60" w:after="60"/>
              <w:ind w:firstLine="0"/>
              <w:jc w:val="both"/>
              <w:rPr>
                <w:rFonts w:eastAsia="Times"/>
                <w:sz w:val="24"/>
                <w:szCs w:val="14"/>
              </w:rPr>
            </w:pPr>
          </w:p>
        </w:tc>
        <w:tc>
          <w:tcPr>
            <w:tcW w:w="935" w:type="dxa"/>
            <w:shd w:val="clear" w:color="auto" w:fill="EEECE1"/>
          </w:tcPr>
          <w:p w:rsidR="00AD690E" w:rsidRPr="005C2588" w:rsidRDefault="00AD690E" w:rsidP="00AD690E">
            <w:pPr>
              <w:spacing w:before="60" w:after="60"/>
              <w:ind w:firstLine="0"/>
              <w:jc w:val="both"/>
              <w:rPr>
                <w:rFonts w:eastAsia="Times"/>
                <w:sz w:val="24"/>
                <w:szCs w:val="14"/>
              </w:rPr>
            </w:pPr>
          </w:p>
        </w:tc>
        <w:tc>
          <w:tcPr>
            <w:tcW w:w="935" w:type="dxa"/>
            <w:shd w:val="clear" w:color="auto" w:fill="EEECE1"/>
          </w:tcPr>
          <w:p w:rsidR="00AD690E" w:rsidRPr="005C2588" w:rsidRDefault="00AD690E" w:rsidP="00AD690E">
            <w:pPr>
              <w:spacing w:before="60" w:after="60"/>
              <w:ind w:firstLine="0"/>
              <w:jc w:val="center"/>
              <w:rPr>
                <w:rFonts w:eastAsia="Times"/>
                <w:sz w:val="24"/>
                <w:szCs w:val="14"/>
              </w:rPr>
            </w:pPr>
            <w:r w:rsidRPr="005C2588">
              <w:rPr>
                <w:rFonts w:eastAsia="Times"/>
                <w:sz w:val="24"/>
                <w:szCs w:val="14"/>
              </w:rPr>
              <w:t>(1)</w:t>
            </w:r>
          </w:p>
        </w:tc>
        <w:tc>
          <w:tcPr>
            <w:tcW w:w="936" w:type="dxa"/>
            <w:shd w:val="clear" w:color="auto" w:fill="EEECE1"/>
          </w:tcPr>
          <w:p w:rsidR="00AD690E" w:rsidRPr="005C2588" w:rsidRDefault="00AD690E" w:rsidP="00AD690E">
            <w:pPr>
              <w:spacing w:before="60" w:after="60"/>
              <w:ind w:firstLine="0"/>
              <w:jc w:val="center"/>
              <w:rPr>
                <w:rFonts w:eastAsia="Times"/>
                <w:sz w:val="24"/>
                <w:szCs w:val="14"/>
              </w:rPr>
            </w:pPr>
            <w:r w:rsidRPr="005C2588">
              <w:rPr>
                <w:rFonts w:eastAsia="Times"/>
                <w:sz w:val="24"/>
                <w:szCs w:val="14"/>
              </w:rPr>
              <w:t>(2)</w:t>
            </w:r>
          </w:p>
        </w:tc>
        <w:tc>
          <w:tcPr>
            <w:tcW w:w="936" w:type="dxa"/>
            <w:shd w:val="clear" w:color="auto" w:fill="EEECE1"/>
          </w:tcPr>
          <w:p w:rsidR="00AD690E" w:rsidRPr="005C2588" w:rsidRDefault="00AD690E" w:rsidP="00AD690E">
            <w:pPr>
              <w:spacing w:before="60" w:after="60"/>
              <w:ind w:firstLine="0"/>
              <w:jc w:val="center"/>
              <w:rPr>
                <w:rFonts w:eastAsia="Times"/>
                <w:sz w:val="24"/>
                <w:szCs w:val="14"/>
              </w:rPr>
            </w:pPr>
            <w:r w:rsidRPr="005C2588">
              <w:rPr>
                <w:rFonts w:eastAsia="Times"/>
                <w:sz w:val="24"/>
                <w:szCs w:val="14"/>
              </w:rPr>
              <w:t>(3)</w:t>
            </w:r>
          </w:p>
        </w:tc>
        <w:tc>
          <w:tcPr>
            <w:tcW w:w="936" w:type="dxa"/>
            <w:shd w:val="clear" w:color="auto" w:fill="EEECE1"/>
          </w:tcPr>
          <w:p w:rsidR="00AD690E" w:rsidRPr="005C2588" w:rsidRDefault="00AD690E" w:rsidP="00AD690E">
            <w:pPr>
              <w:spacing w:before="60" w:after="60"/>
              <w:ind w:firstLine="0"/>
              <w:jc w:val="center"/>
              <w:rPr>
                <w:rFonts w:eastAsia="Times"/>
                <w:sz w:val="24"/>
                <w:szCs w:val="14"/>
              </w:rPr>
            </w:pPr>
            <w:r w:rsidRPr="005C2588">
              <w:rPr>
                <w:rFonts w:eastAsia="Times"/>
                <w:sz w:val="24"/>
                <w:szCs w:val="14"/>
              </w:rPr>
              <w:t>(4)</w:t>
            </w:r>
          </w:p>
        </w:tc>
        <w:tc>
          <w:tcPr>
            <w:tcW w:w="936" w:type="dxa"/>
            <w:shd w:val="clear" w:color="auto" w:fill="EEECE1"/>
          </w:tcPr>
          <w:p w:rsidR="00AD690E" w:rsidRPr="005C2588" w:rsidRDefault="00AD690E" w:rsidP="00AD690E">
            <w:pPr>
              <w:spacing w:before="60" w:after="60"/>
              <w:ind w:firstLine="0"/>
              <w:jc w:val="center"/>
              <w:rPr>
                <w:rFonts w:eastAsia="Times"/>
                <w:sz w:val="24"/>
                <w:szCs w:val="14"/>
              </w:rPr>
            </w:pPr>
            <w:r w:rsidRPr="005C2588">
              <w:rPr>
                <w:rFonts w:eastAsia="Times"/>
                <w:sz w:val="24"/>
                <w:szCs w:val="14"/>
              </w:rPr>
              <w:t>(5)</w:t>
            </w:r>
          </w:p>
        </w:tc>
        <w:tc>
          <w:tcPr>
            <w:tcW w:w="936" w:type="dxa"/>
            <w:shd w:val="clear" w:color="auto" w:fill="EEECE1"/>
          </w:tcPr>
          <w:p w:rsidR="00AD690E" w:rsidRPr="005C2588" w:rsidRDefault="00AD690E" w:rsidP="00AD690E">
            <w:pPr>
              <w:spacing w:before="60" w:after="60"/>
              <w:ind w:firstLine="0"/>
              <w:jc w:val="center"/>
              <w:rPr>
                <w:rFonts w:eastAsia="Times"/>
                <w:sz w:val="24"/>
                <w:szCs w:val="14"/>
              </w:rPr>
            </w:pP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1946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5" w:type="dxa"/>
          </w:tcPr>
          <w:p w:rsidR="00AD690E" w:rsidRPr="005C2588" w:rsidRDefault="00AD690E" w:rsidP="00AD690E">
            <w:pPr>
              <w:ind w:firstLine="0"/>
              <w:jc w:val="center"/>
              <w:rPr>
                <w:rFonts w:eastAsia="Times"/>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1947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5" w:type="dxa"/>
          </w:tcPr>
          <w:p w:rsidR="00AD690E" w:rsidRPr="005C2588" w:rsidRDefault="00AD690E" w:rsidP="00AD690E">
            <w:pPr>
              <w:ind w:firstLine="0"/>
              <w:jc w:val="center"/>
              <w:rPr>
                <w:rFonts w:eastAsia="Times"/>
              </w:rPr>
            </w:pPr>
            <w:r w:rsidRPr="005C2588">
              <w:rPr>
                <w:rFonts w:eastAsia="Times"/>
                <w:sz w:val="24"/>
                <w:szCs w:val="14"/>
              </w:rPr>
              <w:t>3</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1948</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cs="Arial"/>
                <w:szCs w:val="14"/>
              </w:rPr>
              <w:t>1</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1949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1950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8</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9</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1952</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10</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1953</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1954</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23</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24</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 w:val="24"/>
                <w:szCs w:val="14"/>
              </w:rPr>
            </w:pPr>
          </w:p>
        </w:tc>
        <w:tc>
          <w:tcPr>
            <w:tcW w:w="936" w:type="dxa"/>
          </w:tcPr>
          <w:p w:rsidR="00AD690E" w:rsidRPr="005C2588" w:rsidRDefault="00AD690E" w:rsidP="00AD690E">
            <w:pPr>
              <w:ind w:firstLine="0"/>
              <w:jc w:val="center"/>
              <w:rPr>
                <w:rFonts w:eastAsia="Times"/>
                <w:sz w:val="24"/>
                <w:szCs w:val="14"/>
              </w:rPr>
            </w:pP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1958</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1959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1960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1962</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33</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1963</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15</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1964</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15</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38</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8</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4</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rPr>
            </w:pPr>
            <w:r w:rsidRPr="005C2588">
              <w:rPr>
                <w:rFonts w:eastAsia="Times"/>
                <w:sz w:val="24"/>
                <w:szCs w:val="14"/>
              </w:rPr>
              <w:t>5</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29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1</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cs="Arial"/>
                <w:szCs w:val="14"/>
              </w:rPr>
            </w:pP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1967</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43</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8</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14</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6</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5</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1968</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5</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1969</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43</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8</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5</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1970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8</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2</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3</w:t>
            </w:r>
          </w:p>
        </w:tc>
      </w:tr>
      <w:tr w:rsidR="00AD690E" w:rsidRPr="005C2588">
        <w:tc>
          <w:tcPr>
            <w:tcW w:w="935" w:type="dxa"/>
          </w:tcPr>
          <w:p w:rsidR="00AD690E" w:rsidRPr="005C2588" w:rsidRDefault="00AD690E" w:rsidP="00AD690E">
            <w:pPr>
              <w:ind w:firstLine="0"/>
              <w:rPr>
                <w:rFonts w:eastAsia="Times"/>
              </w:rPr>
            </w:pPr>
            <w:r w:rsidRPr="005C2588">
              <w:rPr>
                <w:rFonts w:eastAsia="Times"/>
                <w:sz w:val="24"/>
                <w:szCs w:val="14"/>
              </w:rPr>
              <w:t>1971</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3</w:t>
            </w: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1972</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40</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6</w:t>
            </w:r>
          </w:p>
        </w:tc>
        <w:tc>
          <w:tcPr>
            <w:tcW w:w="935" w:type="dxa"/>
          </w:tcPr>
          <w:p w:rsidR="00AD690E" w:rsidRPr="005C2588" w:rsidRDefault="00AD690E" w:rsidP="00AD690E">
            <w:pPr>
              <w:ind w:firstLine="0"/>
              <w:jc w:val="center"/>
              <w:rPr>
                <w:rFonts w:eastAsia="Times" w:cs="Arial"/>
                <w:szCs w:val="14"/>
              </w:rPr>
            </w:pPr>
            <w:r w:rsidRPr="005C2588">
              <w:rPr>
                <w:rFonts w:eastAsia="Times"/>
                <w:sz w:val="24"/>
                <w:szCs w:val="14"/>
              </w:rPr>
              <w:t>12</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7</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5</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3</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3</w:t>
            </w:r>
          </w:p>
        </w:tc>
      </w:tr>
      <w:tr w:rsidR="00AD690E" w:rsidRPr="005C2588">
        <w:tc>
          <w:tcPr>
            <w:tcW w:w="935" w:type="dxa"/>
          </w:tcPr>
          <w:p w:rsidR="00AD690E" w:rsidRPr="005C2588" w:rsidRDefault="00AD690E" w:rsidP="00AD690E">
            <w:pPr>
              <w:ind w:firstLine="0"/>
              <w:jc w:val="both"/>
              <w:rPr>
                <w:rFonts w:eastAsia="Times"/>
                <w:sz w:val="24"/>
                <w:szCs w:val="14"/>
              </w:rPr>
            </w:pPr>
            <w:r w:rsidRPr="005C2588">
              <w:rPr>
                <w:rFonts w:eastAsia="Times"/>
                <w:sz w:val="24"/>
                <w:szCs w:val="14"/>
              </w:rPr>
              <w:t>1973</w:t>
            </w:r>
          </w:p>
        </w:tc>
        <w:tc>
          <w:tcPr>
            <w:tcW w:w="935" w:type="dxa"/>
          </w:tcPr>
          <w:p w:rsidR="00AD690E" w:rsidRPr="005C2588" w:rsidRDefault="00AD690E" w:rsidP="00AD690E">
            <w:pPr>
              <w:ind w:firstLine="0"/>
              <w:jc w:val="center"/>
              <w:rPr>
                <w:rFonts w:eastAsia="Times"/>
                <w:szCs w:val="14"/>
              </w:rPr>
            </w:pPr>
            <w:r w:rsidRPr="005C2588">
              <w:rPr>
                <w:rFonts w:eastAsia="Times"/>
                <w:sz w:val="24"/>
                <w:szCs w:val="14"/>
              </w:rPr>
              <w:t>55</w:t>
            </w:r>
          </w:p>
        </w:tc>
        <w:tc>
          <w:tcPr>
            <w:tcW w:w="935" w:type="dxa"/>
          </w:tcPr>
          <w:p w:rsidR="00AD690E" w:rsidRPr="005C2588" w:rsidRDefault="00AD690E" w:rsidP="00AD690E">
            <w:pPr>
              <w:ind w:firstLine="0"/>
              <w:jc w:val="center"/>
              <w:rPr>
                <w:rFonts w:eastAsia="Times"/>
                <w:szCs w:val="14"/>
              </w:rPr>
            </w:pPr>
            <w:r w:rsidRPr="005C2588">
              <w:rPr>
                <w:rFonts w:eastAsia="Times"/>
                <w:sz w:val="24"/>
                <w:szCs w:val="14"/>
              </w:rPr>
              <w:t>6</w:t>
            </w:r>
          </w:p>
        </w:tc>
        <w:tc>
          <w:tcPr>
            <w:tcW w:w="935" w:type="dxa"/>
          </w:tcPr>
          <w:p w:rsidR="00AD690E" w:rsidRPr="005C2588" w:rsidRDefault="00AD690E" w:rsidP="00AD690E">
            <w:pPr>
              <w:ind w:firstLine="0"/>
              <w:jc w:val="center"/>
              <w:rPr>
                <w:rFonts w:eastAsia="Times"/>
                <w:szCs w:val="14"/>
              </w:rPr>
            </w:pPr>
            <w:r w:rsidRPr="005C2588">
              <w:rPr>
                <w:rFonts w:eastAsia="Times"/>
                <w:sz w:val="24"/>
                <w:szCs w:val="14"/>
              </w:rPr>
              <w:t>12</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8</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4</w:t>
            </w:r>
          </w:p>
        </w:tc>
        <w:tc>
          <w:tcPr>
            <w:tcW w:w="936" w:type="dxa"/>
          </w:tcPr>
          <w:p w:rsidR="00AD690E" w:rsidRPr="005C2588" w:rsidRDefault="00AD690E" w:rsidP="00AD690E">
            <w:pPr>
              <w:ind w:firstLine="0"/>
              <w:jc w:val="center"/>
              <w:rPr>
                <w:rFonts w:eastAsia="Times"/>
                <w:szCs w:val="14"/>
              </w:rPr>
            </w:pPr>
            <w:r w:rsidRPr="005C2588">
              <w:rPr>
                <w:rFonts w:eastAsia="Times"/>
                <w:sz w:val="24"/>
                <w:szCs w:val="14"/>
              </w:rPr>
              <w:t>7</w:t>
            </w:r>
          </w:p>
        </w:tc>
        <w:tc>
          <w:tcPr>
            <w:tcW w:w="936" w:type="dxa"/>
          </w:tcPr>
          <w:p w:rsidR="00AD690E" w:rsidRPr="005C2588" w:rsidRDefault="00AD690E" w:rsidP="00AD690E">
            <w:pPr>
              <w:ind w:firstLine="0"/>
              <w:jc w:val="center"/>
              <w:rPr>
                <w:rFonts w:eastAsia="Times" w:cs="Arial"/>
                <w:szCs w:val="14"/>
              </w:rPr>
            </w:pPr>
            <w:r w:rsidRPr="005C2588">
              <w:rPr>
                <w:rFonts w:eastAsia="Times"/>
                <w:sz w:val="24"/>
                <w:szCs w:val="14"/>
              </w:rPr>
              <w:t>4</w:t>
            </w:r>
          </w:p>
        </w:tc>
        <w:tc>
          <w:tcPr>
            <w:tcW w:w="936" w:type="dxa"/>
          </w:tcPr>
          <w:p w:rsidR="00AD690E" w:rsidRPr="005C2588" w:rsidRDefault="00AD690E" w:rsidP="00AD690E">
            <w:pPr>
              <w:ind w:firstLine="0"/>
              <w:jc w:val="center"/>
              <w:rPr>
                <w:rFonts w:eastAsia="Times"/>
              </w:rPr>
            </w:pPr>
            <w:r w:rsidRPr="005C2588">
              <w:rPr>
                <w:rFonts w:eastAsia="Times"/>
                <w:sz w:val="24"/>
                <w:szCs w:val="14"/>
              </w:rPr>
              <w:t>12</w:t>
            </w:r>
          </w:p>
        </w:tc>
      </w:tr>
    </w:tbl>
    <w:p w:rsidR="00AD690E" w:rsidRDefault="00AD690E" w:rsidP="00AD690E">
      <w:pPr>
        <w:spacing w:before="120" w:after="120"/>
        <w:jc w:val="both"/>
        <w:rPr>
          <w:sz w:val="24"/>
          <w:szCs w:val="14"/>
        </w:rPr>
      </w:pPr>
    </w:p>
    <w:p w:rsidR="00AD690E" w:rsidRPr="00562808" w:rsidRDefault="00AD690E" w:rsidP="00AD690E">
      <w:pPr>
        <w:spacing w:before="120" w:after="120"/>
        <w:jc w:val="both"/>
        <w:rPr>
          <w:sz w:val="24"/>
          <w:szCs w:val="14"/>
        </w:rPr>
      </w:pPr>
      <w:r w:rsidRPr="00562808">
        <w:rPr>
          <w:sz w:val="24"/>
          <w:szCs w:val="14"/>
        </w:rPr>
        <w:t>(1)</w:t>
      </w:r>
      <w:r w:rsidRPr="00562808">
        <w:rPr>
          <w:sz w:val="24"/>
          <w:szCs w:val="14"/>
        </w:rPr>
        <w:tab/>
        <w:t>France, Allemagne, Autriche, Pays-Bas, Belgique, Suisse, Norvège, Su</w:t>
      </w:r>
      <w:r w:rsidRPr="00562808">
        <w:rPr>
          <w:sz w:val="24"/>
          <w:szCs w:val="14"/>
        </w:rPr>
        <w:t>è</w:t>
      </w:r>
      <w:r w:rsidRPr="00562808">
        <w:rPr>
          <w:sz w:val="24"/>
          <w:szCs w:val="14"/>
        </w:rPr>
        <w:t>de, Dan</w:t>
      </w:r>
      <w:r w:rsidRPr="00562808">
        <w:rPr>
          <w:sz w:val="24"/>
          <w:szCs w:val="14"/>
        </w:rPr>
        <w:t>e</w:t>
      </w:r>
      <w:r w:rsidRPr="00562808">
        <w:rPr>
          <w:sz w:val="24"/>
          <w:szCs w:val="14"/>
        </w:rPr>
        <w:t>mark, Finlande.</w:t>
      </w:r>
    </w:p>
    <w:p w:rsidR="00AD690E" w:rsidRPr="00562808" w:rsidRDefault="00AD690E" w:rsidP="00AD690E">
      <w:pPr>
        <w:spacing w:before="120" w:after="120"/>
        <w:jc w:val="both"/>
        <w:rPr>
          <w:sz w:val="24"/>
          <w:szCs w:val="14"/>
        </w:rPr>
      </w:pPr>
      <w:r w:rsidRPr="00562808">
        <w:rPr>
          <w:sz w:val="24"/>
          <w:szCs w:val="14"/>
        </w:rPr>
        <w:t>(2)</w:t>
      </w:r>
      <w:r w:rsidRPr="00562808">
        <w:rPr>
          <w:sz w:val="24"/>
          <w:szCs w:val="14"/>
        </w:rPr>
        <w:tab/>
        <w:t>Italie, Grèce, Portugal, Espagne, Hongrie, Yougoslavie.</w:t>
      </w:r>
    </w:p>
    <w:p w:rsidR="00AD690E" w:rsidRPr="00562808" w:rsidRDefault="00AD690E" w:rsidP="00AD690E">
      <w:pPr>
        <w:spacing w:before="120" w:after="120"/>
        <w:jc w:val="both"/>
        <w:rPr>
          <w:sz w:val="24"/>
          <w:szCs w:val="14"/>
        </w:rPr>
      </w:pPr>
      <w:r w:rsidRPr="00562808">
        <w:rPr>
          <w:sz w:val="24"/>
          <w:szCs w:val="14"/>
        </w:rPr>
        <w:t>(3)</w:t>
      </w:r>
      <w:r w:rsidRPr="00562808">
        <w:rPr>
          <w:sz w:val="24"/>
          <w:szCs w:val="14"/>
        </w:rPr>
        <w:tab/>
        <w:t>République arabe unie, Israël, Liban.</w:t>
      </w:r>
    </w:p>
    <w:p w:rsidR="00AD690E" w:rsidRPr="00562808" w:rsidRDefault="00AD690E" w:rsidP="00AD690E">
      <w:pPr>
        <w:spacing w:before="120" w:after="120"/>
        <w:jc w:val="both"/>
        <w:rPr>
          <w:sz w:val="24"/>
          <w:szCs w:val="14"/>
        </w:rPr>
      </w:pPr>
      <w:r w:rsidRPr="00562808">
        <w:rPr>
          <w:sz w:val="24"/>
          <w:szCs w:val="14"/>
        </w:rPr>
        <w:t>(4)</w:t>
      </w:r>
      <w:r w:rsidRPr="00562808">
        <w:rPr>
          <w:sz w:val="24"/>
          <w:szCs w:val="14"/>
        </w:rPr>
        <w:tab/>
        <w:t>Hong Kong, Inde, Pakistan, Philippines.</w:t>
      </w:r>
    </w:p>
    <w:p w:rsidR="00AD690E" w:rsidRPr="00562808" w:rsidRDefault="00AD690E" w:rsidP="00AD690E">
      <w:pPr>
        <w:spacing w:before="120" w:after="120"/>
        <w:jc w:val="both"/>
        <w:rPr>
          <w:sz w:val="24"/>
          <w:szCs w:val="14"/>
        </w:rPr>
      </w:pPr>
      <w:r w:rsidRPr="00562808">
        <w:rPr>
          <w:sz w:val="24"/>
          <w:szCs w:val="14"/>
        </w:rPr>
        <w:t>(5)</w:t>
      </w:r>
      <w:r w:rsidRPr="00562808">
        <w:rPr>
          <w:sz w:val="24"/>
          <w:szCs w:val="14"/>
        </w:rPr>
        <w:tab/>
        <w:t>Jamaïque, Trinidad, Argentine.</w:t>
      </w:r>
    </w:p>
    <w:p w:rsidR="00AD690E" w:rsidRPr="00562808" w:rsidRDefault="00AD690E" w:rsidP="00AD690E">
      <w:pPr>
        <w:spacing w:before="120" w:after="120"/>
        <w:jc w:val="both"/>
        <w:rPr>
          <w:sz w:val="24"/>
          <w:szCs w:val="14"/>
        </w:rPr>
      </w:pPr>
      <w:r w:rsidRPr="00562808">
        <w:rPr>
          <w:sz w:val="24"/>
          <w:szCs w:val="14"/>
        </w:rPr>
        <w:t>(6)</w:t>
      </w:r>
      <w:r w:rsidRPr="00562808">
        <w:rPr>
          <w:sz w:val="24"/>
          <w:szCs w:val="14"/>
        </w:rPr>
        <w:tab/>
        <w:t>Bureau ouvert en Australie en 1968, inclus dans le total</w:t>
      </w:r>
    </w:p>
    <w:p w:rsidR="00AD690E" w:rsidRPr="00562808" w:rsidRDefault="00AD690E" w:rsidP="00AD690E">
      <w:pPr>
        <w:spacing w:before="120" w:after="120"/>
        <w:jc w:val="both"/>
        <w:rPr>
          <w:sz w:val="24"/>
          <w:szCs w:val="14"/>
        </w:rPr>
      </w:pPr>
      <w:r w:rsidRPr="00562808">
        <w:rPr>
          <w:sz w:val="24"/>
          <w:szCs w:val="14"/>
        </w:rPr>
        <w:t>(7)</w:t>
      </w:r>
      <w:r w:rsidRPr="00562808">
        <w:rPr>
          <w:sz w:val="24"/>
          <w:szCs w:val="14"/>
        </w:rPr>
        <w:tab/>
        <w:t>Bureau ouvert à Nairobi en 1973, inclus dans le total</w:t>
      </w:r>
    </w:p>
    <w:p w:rsidR="00AD690E" w:rsidRPr="00562808" w:rsidRDefault="00AD690E" w:rsidP="00AD690E">
      <w:pPr>
        <w:spacing w:before="120" w:after="120"/>
        <w:jc w:val="both"/>
        <w:rPr>
          <w:sz w:val="24"/>
        </w:rPr>
      </w:pPr>
      <w:r>
        <w:rPr>
          <w:sz w:val="24"/>
          <w:szCs w:val="18"/>
        </w:rPr>
        <w:t>Source : Paral</w:t>
      </w:r>
      <w:r w:rsidRPr="00562808">
        <w:rPr>
          <w:sz w:val="24"/>
          <w:szCs w:val="18"/>
        </w:rPr>
        <w:t xml:space="preserve">, L., « Canada's Immigration Policy, 1962-74 », </w:t>
      </w:r>
      <w:r w:rsidRPr="00562808">
        <w:rPr>
          <w:i/>
          <w:iCs/>
          <w:sz w:val="24"/>
          <w:szCs w:val="18"/>
        </w:rPr>
        <w:t>International Migr</w:t>
      </w:r>
      <w:r w:rsidRPr="00562808">
        <w:rPr>
          <w:i/>
          <w:iCs/>
          <w:sz w:val="24"/>
          <w:szCs w:val="18"/>
        </w:rPr>
        <w:t>a</w:t>
      </w:r>
      <w:r w:rsidRPr="00562808">
        <w:rPr>
          <w:i/>
          <w:iCs/>
          <w:sz w:val="24"/>
          <w:szCs w:val="18"/>
        </w:rPr>
        <w:t xml:space="preserve">tion Review, </w:t>
      </w:r>
      <w:r w:rsidRPr="00562808">
        <w:rPr>
          <w:sz w:val="24"/>
          <w:szCs w:val="18"/>
        </w:rPr>
        <w:t>vol. 9, n° 4, 1975, p. 462.</w:t>
      </w:r>
    </w:p>
    <w:p w:rsidR="00AD690E" w:rsidRPr="00562808" w:rsidRDefault="00AD690E" w:rsidP="00AD690E">
      <w:pPr>
        <w:spacing w:before="120" w:after="120"/>
        <w:jc w:val="both"/>
        <w:rPr>
          <w:szCs w:val="18"/>
        </w:rPr>
      </w:pPr>
    </w:p>
    <w:p w:rsidR="00AD690E" w:rsidRDefault="00AD690E" w:rsidP="00AD690E">
      <w:pPr>
        <w:spacing w:before="120" w:after="120"/>
        <w:jc w:val="both"/>
        <w:rPr>
          <w:rFonts w:cs="Arial"/>
          <w:szCs w:val="18"/>
        </w:rPr>
      </w:pPr>
      <w:r w:rsidRPr="00562808">
        <w:br w:type="page"/>
        <w:t>[</w:t>
      </w:r>
      <w:r w:rsidRPr="00562808">
        <w:rPr>
          <w:rFonts w:cs="Arial"/>
          <w:szCs w:val="18"/>
        </w:rPr>
        <w:t>320]</w:t>
      </w:r>
    </w:p>
    <w:p w:rsidR="00AD690E" w:rsidRPr="00562808" w:rsidRDefault="00AD690E" w:rsidP="00AD690E">
      <w:pPr>
        <w:spacing w:before="120" w:after="120"/>
        <w:jc w:val="both"/>
      </w:pPr>
      <w:r w:rsidRPr="00562808">
        <w:rPr>
          <w:szCs w:val="22"/>
        </w:rPr>
        <w:t>Parallèlement, la composition des flux migratoires internationaux au Canada semble échapper au contrôle de l'État et à la volonté de r</w:t>
      </w:r>
      <w:r w:rsidRPr="00562808">
        <w:rPr>
          <w:szCs w:val="22"/>
        </w:rPr>
        <w:t>a</w:t>
      </w:r>
      <w:r w:rsidRPr="00562808">
        <w:rPr>
          <w:szCs w:val="22"/>
        </w:rPr>
        <w:t>tionalisation économique qui s'affirme de plusieurs côtés à la fois. L'importance croissante du mouvement de parrainage, e</w:t>
      </w:r>
      <w:r w:rsidRPr="00562808">
        <w:rPr>
          <w:szCs w:val="22"/>
        </w:rPr>
        <w:t>s</w:t>
      </w:r>
      <w:r w:rsidRPr="00562808">
        <w:rPr>
          <w:szCs w:val="22"/>
        </w:rPr>
        <w:t>sentiellement constitué de travailleurs non qualifiés, pose un premier problème. Pressentant que ces travailleurs ne pourraient s'adapter aux chang</w:t>
      </w:r>
      <w:r w:rsidRPr="00562808">
        <w:rPr>
          <w:szCs w:val="22"/>
        </w:rPr>
        <w:t>e</w:t>
      </w:r>
      <w:r w:rsidRPr="00562808">
        <w:rPr>
          <w:szCs w:val="22"/>
        </w:rPr>
        <w:t>ments technologiques en cours et compte tenu du chômage persistant, on veut limiter leur entrée au profit de travailleurs qualifiés</w:t>
      </w:r>
      <w:r>
        <w:rPr>
          <w:szCs w:val="22"/>
        </w:rPr>
        <w:t> </w:t>
      </w:r>
      <w:r w:rsidRPr="00BE70C7">
        <w:rPr>
          <w:rStyle w:val="Appelnotedebasdep"/>
        </w:rPr>
        <w:footnoteReference w:id="530"/>
      </w:r>
      <w:r w:rsidRPr="00562808">
        <w:rPr>
          <w:szCs w:val="22"/>
        </w:rPr>
        <w:t>. D'a</w:t>
      </w:r>
      <w:r w:rsidRPr="00562808">
        <w:rPr>
          <w:szCs w:val="22"/>
        </w:rPr>
        <w:t>u</w:t>
      </w:r>
      <w:r w:rsidRPr="00562808">
        <w:rPr>
          <w:szCs w:val="22"/>
        </w:rPr>
        <w:t>tre part, un nombre important d'immigrés, susceptibles d'être refusés comme personnes à charge parrainées et entrés comme touristes, v</w:t>
      </w:r>
      <w:r w:rsidRPr="00562808">
        <w:rPr>
          <w:szCs w:val="22"/>
        </w:rPr>
        <w:t>i</w:t>
      </w:r>
      <w:r w:rsidRPr="00562808">
        <w:rPr>
          <w:szCs w:val="22"/>
        </w:rPr>
        <w:t>vent dans l'illégalité et demandent le statut de résident sur place.</w:t>
      </w:r>
    </w:p>
    <w:p w:rsidR="00AD690E" w:rsidRPr="00562808" w:rsidRDefault="00AD690E" w:rsidP="00AD690E">
      <w:pPr>
        <w:spacing w:before="120" w:after="120"/>
        <w:jc w:val="both"/>
      </w:pPr>
      <w:r w:rsidRPr="00562808">
        <w:rPr>
          <w:szCs w:val="22"/>
        </w:rPr>
        <w:t>Dans ces conditions, on comprend que l'État ait fait de la coordin</w:t>
      </w:r>
      <w:r w:rsidRPr="00562808">
        <w:rPr>
          <w:szCs w:val="22"/>
        </w:rPr>
        <w:t>a</w:t>
      </w:r>
      <w:r w:rsidRPr="00562808">
        <w:rPr>
          <w:szCs w:val="22"/>
        </w:rPr>
        <w:t xml:space="preserve">tion des politiques de main-d'oeuvre et du contrôle des entrées l'une de ses priorités au cours de la décennie soixante. En 1964, un comité, mis sur pied par Lester Pearson, est chargé de rédiger un </w:t>
      </w:r>
      <w:r w:rsidRPr="00562808">
        <w:rPr>
          <w:i/>
          <w:iCs/>
          <w:szCs w:val="22"/>
        </w:rPr>
        <w:t xml:space="preserve">Livre blanc sur l'immigration, </w:t>
      </w:r>
      <w:r w:rsidRPr="00562808">
        <w:rPr>
          <w:szCs w:val="22"/>
        </w:rPr>
        <w:t>lequel est rendu public en 1966 seulement.</w:t>
      </w:r>
    </w:p>
    <w:p w:rsidR="00AD690E" w:rsidRPr="00562808" w:rsidRDefault="00AD690E" w:rsidP="00AD690E">
      <w:pPr>
        <w:spacing w:before="120" w:after="120"/>
        <w:jc w:val="both"/>
      </w:pPr>
      <w:r w:rsidRPr="00562808">
        <w:rPr>
          <w:szCs w:val="22"/>
        </w:rPr>
        <w:t>En vue de rendre opérationnel cet effort de coordination entre main-d'oeuvre et i</w:t>
      </w:r>
      <w:r w:rsidRPr="00562808">
        <w:rPr>
          <w:szCs w:val="22"/>
        </w:rPr>
        <w:t>m</w:t>
      </w:r>
      <w:r w:rsidRPr="00562808">
        <w:rPr>
          <w:szCs w:val="22"/>
        </w:rPr>
        <w:t>migration, un nouveau ministère de la Main-d'oeuvre et de l'Immigration est créé en 1966 pour répondre aux pre</w:t>
      </w:r>
      <w:r w:rsidRPr="00562808">
        <w:rPr>
          <w:szCs w:val="22"/>
        </w:rPr>
        <w:t>s</w:t>
      </w:r>
      <w:r w:rsidRPr="00562808">
        <w:rPr>
          <w:szCs w:val="22"/>
        </w:rPr>
        <w:t>sions et aux recommandations du comité spécial du Sénat sur la main-d'oeuvre et l'emploi, du Conseil économique du Canada, et du comité cha</w:t>
      </w:r>
      <w:r w:rsidRPr="00562808">
        <w:rPr>
          <w:szCs w:val="22"/>
        </w:rPr>
        <w:t>r</w:t>
      </w:r>
      <w:r w:rsidRPr="00562808">
        <w:rPr>
          <w:szCs w:val="22"/>
        </w:rPr>
        <w:t>gé du livre blanc. Il s'agit là d'un des événements majeurs de la période qui s'annonce, comme le note Parai :</w:t>
      </w:r>
    </w:p>
    <w:p w:rsidR="00AD690E" w:rsidRDefault="00AD690E" w:rsidP="00AD690E">
      <w:pPr>
        <w:pStyle w:val="Grillecouleur-Accent1"/>
      </w:pPr>
    </w:p>
    <w:p w:rsidR="00AD690E" w:rsidRDefault="00AD690E" w:rsidP="00AD690E">
      <w:pPr>
        <w:pStyle w:val="Grillecouleur-Accent1"/>
      </w:pPr>
      <w:r w:rsidRPr="00562808">
        <w:t>[...] this increasingly doser coordination of immigration with the requ</w:t>
      </w:r>
      <w:r w:rsidRPr="00562808">
        <w:t>i</w:t>
      </w:r>
      <w:r w:rsidRPr="00562808">
        <w:t>rements of the labour market has in fact evolved over the years... Immigr</w:t>
      </w:r>
      <w:r w:rsidRPr="00562808">
        <w:t>a</w:t>
      </w:r>
      <w:r w:rsidRPr="00562808">
        <w:t>tion over the post-war years has been reg</w:t>
      </w:r>
      <w:r w:rsidRPr="00562808">
        <w:t>u</w:t>
      </w:r>
      <w:r w:rsidRPr="00562808">
        <w:t>lated...so as to increase during periods of économie prosperity and decl</w:t>
      </w:r>
      <w:r w:rsidRPr="00562808">
        <w:t>i</w:t>
      </w:r>
      <w:r w:rsidRPr="00562808">
        <w:t>ne during recessions ; more over, the types of workers sought have reflected the needs of economy, so that initially after the war the preference was for agricultural and other primary industry workers and more recently for skilled and professional workers. Indeed, on the bases that initially the proposed name of this new depar</w:t>
      </w:r>
      <w:r w:rsidRPr="00562808">
        <w:t>t</w:t>
      </w:r>
      <w:r w:rsidRPr="00562808">
        <w:t>ment was to be simply the Department of manp</w:t>
      </w:r>
      <w:r w:rsidRPr="00562808">
        <w:t>o</w:t>
      </w:r>
      <w:r w:rsidRPr="00562808">
        <w:t>wer, one might wish to conclude that immigration was not to be considered to differ significantly from the other aspects relating to the labor force needs of the country.</w:t>
      </w:r>
      <w:r>
        <w:t> </w:t>
      </w:r>
      <w:r>
        <w:rPr>
          <w:rStyle w:val="Appelnotedebasdep"/>
          <w:iCs/>
          <w:szCs w:val="18"/>
        </w:rPr>
        <w:footnoteReference w:id="531"/>
      </w:r>
    </w:p>
    <w:p w:rsidR="00AD690E" w:rsidRDefault="00AD690E" w:rsidP="00AD690E">
      <w:pPr>
        <w:pStyle w:val="Grillecouleur-Accent1"/>
      </w:pPr>
    </w:p>
    <w:p w:rsidR="00AD690E" w:rsidRPr="00562808" w:rsidRDefault="00AD690E" w:rsidP="00AD690E">
      <w:pPr>
        <w:spacing w:before="120" w:after="120"/>
        <w:jc w:val="both"/>
      </w:pPr>
      <w:r w:rsidRPr="00562808">
        <w:rPr>
          <w:szCs w:val="22"/>
        </w:rPr>
        <w:t xml:space="preserve"> Enfin, il faut souligner la création d'une nouvelle Commission d'appel de l'immigr</w:t>
      </w:r>
      <w:r w:rsidRPr="00562808">
        <w:rPr>
          <w:szCs w:val="22"/>
        </w:rPr>
        <w:t>a</w:t>
      </w:r>
      <w:r w:rsidRPr="00562808">
        <w:rPr>
          <w:szCs w:val="22"/>
        </w:rPr>
        <w:t>tion en 1967, considérée comme plus impartiale parce qu'échappant aux pouvoirs di</w:t>
      </w:r>
      <w:r w:rsidRPr="00562808">
        <w:rPr>
          <w:szCs w:val="22"/>
        </w:rPr>
        <w:t>s</w:t>
      </w:r>
      <w:r w:rsidRPr="00562808">
        <w:rPr>
          <w:szCs w:val="22"/>
        </w:rPr>
        <w:t>crétionnaires du ministre. Cette commission avait pour tâche de juger des cas de dépo</w:t>
      </w:r>
      <w:r w:rsidRPr="00562808">
        <w:rPr>
          <w:szCs w:val="22"/>
        </w:rPr>
        <w:t>r</w:t>
      </w:r>
      <w:r w:rsidRPr="00562808">
        <w:rPr>
          <w:szCs w:val="22"/>
        </w:rPr>
        <w:t>tation ou de refus de statut de résidence, dans le cas des parents parrainés, à la su</w:t>
      </w:r>
      <w:r w:rsidRPr="00562808">
        <w:rPr>
          <w:szCs w:val="22"/>
        </w:rPr>
        <w:t>i</w:t>
      </w:r>
      <w:r w:rsidRPr="00562808">
        <w:rPr>
          <w:szCs w:val="22"/>
        </w:rPr>
        <w:t>te du rapport d'une commission indépendante présidée par Joseph Sedgwick. La création d'un Secrétariat d'État chargé de l'adaptation</w:t>
      </w:r>
      <w:r>
        <w:rPr>
          <w:szCs w:val="22"/>
        </w:rPr>
        <w:t xml:space="preserve"> </w:t>
      </w:r>
      <w:r w:rsidRPr="00562808">
        <w:rPr>
          <w:szCs w:val="18"/>
        </w:rPr>
        <w:t>[321]</w:t>
      </w:r>
      <w:r>
        <w:rPr>
          <w:szCs w:val="18"/>
        </w:rPr>
        <w:t xml:space="preserve"> </w:t>
      </w:r>
      <w:r w:rsidRPr="00562808">
        <w:rPr>
          <w:szCs w:val="22"/>
        </w:rPr>
        <w:t>sociale, politique et culturelle des immigrés date également de 1966. La restructuration des ministères entraîne le partage des respo</w:t>
      </w:r>
      <w:r w:rsidRPr="00562808">
        <w:rPr>
          <w:szCs w:val="22"/>
        </w:rPr>
        <w:t>n</w:t>
      </w:r>
      <w:r w:rsidRPr="00562808">
        <w:rPr>
          <w:szCs w:val="22"/>
        </w:rPr>
        <w:t>sabilités envers les immigrés, à l'éche</w:t>
      </w:r>
      <w:r w:rsidRPr="00562808">
        <w:rPr>
          <w:szCs w:val="22"/>
        </w:rPr>
        <w:t>l</w:t>
      </w:r>
      <w:r w:rsidRPr="00562808">
        <w:rPr>
          <w:szCs w:val="22"/>
        </w:rPr>
        <w:t>le fédérale, entre le ministère de la Main-d'oeuvre et de l'Immigration, responsable de l'intégration éc</w:t>
      </w:r>
      <w:r w:rsidRPr="00562808">
        <w:rPr>
          <w:szCs w:val="22"/>
        </w:rPr>
        <w:t>o</w:t>
      </w:r>
      <w:r w:rsidRPr="00562808">
        <w:rPr>
          <w:szCs w:val="22"/>
        </w:rPr>
        <w:t>nomique des immigrés, et le Secrétariat d'État qui assurera par la suite la défense du multiculturalisme canadien</w:t>
      </w:r>
      <w:r>
        <w:rPr>
          <w:szCs w:val="22"/>
        </w:rPr>
        <w:t> </w:t>
      </w:r>
      <w:r>
        <w:rPr>
          <w:rStyle w:val="Appelnotedebasdep"/>
        </w:rPr>
        <w:footnoteReference w:id="532"/>
      </w:r>
      <w:r w:rsidRPr="00562808">
        <w:rPr>
          <w:szCs w:val="22"/>
        </w:rPr>
        <w:t>.</w:t>
      </w:r>
    </w:p>
    <w:p w:rsidR="00AD690E" w:rsidRPr="00562808" w:rsidRDefault="00AD690E" w:rsidP="00AD690E">
      <w:pPr>
        <w:spacing w:before="120" w:after="120"/>
        <w:jc w:val="both"/>
        <w:rPr>
          <w:bCs/>
          <w:szCs w:val="22"/>
        </w:rPr>
      </w:pPr>
    </w:p>
    <w:p w:rsidR="00AD690E" w:rsidRPr="00562808" w:rsidRDefault="00AD690E" w:rsidP="00AD690E">
      <w:pPr>
        <w:pStyle w:val="a"/>
      </w:pPr>
      <w:r>
        <w:t xml:space="preserve">a. </w:t>
      </w:r>
      <w:r w:rsidRPr="00562808">
        <w:t>Le livre blanc</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 xml:space="preserve">Le </w:t>
      </w:r>
      <w:r w:rsidRPr="00562808">
        <w:rPr>
          <w:i/>
          <w:iCs/>
          <w:szCs w:val="22"/>
        </w:rPr>
        <w:t xml:space="preserve">Livre blanc sur l'immigration, </w:t>
      </w:r>
      <w:r w:rsidRPr="00562808">
        <w:rPr>
          <w:szCs w:val="22"/>
        </w:rPr>
        <w:t>présenté par le ministre Jean Marchand, permet de diffuser dans le grand public les objectifs fo</w:t>
      </w:r>
      <w:r w:rsidRPr="00562808">
        <w:rPr>
          <w:szCs w:val="22"/>
        </w:rPr>
        <w:t>n</w:t>
      </w:r>
      <w:r w:rsidRPr="00562808">
        <w:rPr>
          <w:szCs w:val="22"/>
        </w:rPr>
        <w:t>damentaux de la politique d'immigration des années soixante. En pr</w:t>
      </w:r>
      <w:r w:rsidRPr="00562808">
        <w:rPr>
          <w:szCs w:val="22"/>
        </w:rPr>
        <w:t>e</w:t>
      </w:r>
      <w:r w:rsidRPr="00562808">
        <w:rPr>
          <w:szCs w:val="22"/>
        </w:rPr>
        <w:t>mier lieu, il prône une attitude expansionniste d'accueil, mettant en évidence les aspects positifs de l'immigration internationale au Can</w:t>
      </w:r>
      <w:r w:rsidRPr="00562808">
        <w:rPr>
          <w:szCs w:val="22"/>
        </w:rPr>
        <w:t>a</w:t>
      </w:r>
      <w:r w:rsidRPr="00562808">
        <w:rPr>
          <w:szCs w:val="22"/>
        </w:rPr>
        <w:t>da, soit : la croissance démographique, l'expansion du marché int</w:t>
      </w:r>
      <w:r w:rsidRPr="00562808">
        <w:rPr>
          <w:szCs w:val="22"/>
        </w:rPr>
        <w:t>é</w:t>
      </w:r>
      <w:r w:rsidRPr="00562808">
        <w:rPr>
          <w:szCs w:val="22"/>
        </w:rPr>
        <w:t>rieur, la réduction par habitant des frais du gouvernement et des serv</w:t>
      </w:r>
      <w:r w:rsidRPr="00562808">
        <w:rPr>
          <w:szCs w:val="22"/>
        </w:rPr>
        <w:t>i</w:t>
      </w:r>
      <w:r w:rsidRPr="00562808">
        <w:rPr>
          <w:szCs w:val="22"/>
        </w:rPr>
        <w:t>ces, l'enrichissement culturel. En second lieu, il fixe les bases d'une immigration sélective, à l'aide des critères de l'instruction et de la compétence professionnelle. Il recommande clairement que l'on di</w:t>
      </w:r>
      <w:r w:rsidRPr="00562808">
        <w:rPr>
          <w:szCs w:val="22"/>
        </w:rPr>
        <w:t>s</w:t>
      </w:r>
      <w:r w:rsidRPr="00562808">
        <w:rPr>
          <w:szCs w:val="22"/>
        </w:rPr>
        <w:t>tingue les immigrés aptes à s'adapter au nouveau contexte économique canadien, et ceux qui ne l'étaient pas, tout en reconnaissant le principe de la réunification des familles</w:t>
      </w:r>
      <w:r>
        <w:rPr>
          <w:szCs w:val="22"/>
        </w:rPr>
        <w:t> </w:t>
      </w:r>
      <w:r w:rsidRPr="00BE70C7">
        <w:rPr>
          <w:rStyle w:val="Appelnotedebasdep"/>
        </w:rPr>
        <w:footnoteReference w:id="533"/>
      </w:r>
      <w:r w:rsidRPr="00562808">
        <w:rPr>
          <w:szCs w:val="22"/>
        </w:rPr>
        <w:t>. Enfin, il se prononce contre les rel</w:t>
      </w:r>
      <w:r w:rsidRPr="00562808">
        <w:rPr>
          <w:szCs w:val="22"/>
        </w:rPr>
        <w:t>i</w:t>
      </w:r>
      <w:r w:rsidRPr="00562808">
        <w:rPr>
          <w:szCs w:val="22"/>
        </w:rPr>
        <w:t>quats de discrimination ethnique, par principe, et aussi parce que l'heure est venue d'aller « chercher ailleurs pour trouver de bons i</w:t>
      </w:r>
      <w:r w:rsidRPr="00562808">
        <w:rPr>
          <w:szCs w:val="22"/>
        </w:rPr>
        <w:t>m</w:t>
      </w:r>
      <w:r w:rsidRPr="00562808">
        <w:rPr>
          <w:szCs w:val="22"/>
        </w:rPr>
        <w:t>migrants »</w:t>
      </w:r>
      <w:r>
        <w:rPr>
          <w:szCs w:val="22"/>
        </w:rPr>
        <w:t> </w:t>
      </w:r>
      <w:r w:rsidRPr="00BE70C7">
        <w:rPr>
          <w:rStyle w:val="Appelnotedebasdep"/>
        </w:rPr>
        <w:footnoteReference w:id="534"/>
      </w:r>
      <w:r w:rsidRPr="00562808">
        <w:rPr>
          <w:szCs w:val="22"/>
        </w:rPr>
        <w:t>.</w:t>
      </w:r>
    </w:p>
    <w:p w:rsidR="00AD690E" w:rsidRPr="00562808" w:rsidRDefault="00AD690E" w:rsidP="00AD690E">
      <w:pPr>
        <w:spacing w:before="120" w:after="120"/>
        <w:jc w:val="both"/>
        <w:rPr>
          <w:szCs w:val="22"/>
        </w:rPr>
      </w:pPr>
    </w:p>
    <w:p w:rsidR="00AD690E" w:rsidRPr="00562808" w:rsidRDefault="00AD690E" w:rsidP="00AD690E">
      <w:pPr>
        <w:pStyle w:val="a"/>
      </w:pPr>
      <w:r>
        <w:t>b. L</w:t>
      </w:r>
      <w:r w:rsidRPr="00562808">
        <w:t>e Règlement de 1967</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En 1967, le gouvernement libéral abolit les dernières mesures o</w:t>
      </w:r>
      <w:r w:rsidRPr="00562808">
        <w:rPr>
          <w:szCs w:val="22"/>
        </w:rPr>
        <w:t>u</w:t>
      </w:r>
      <w:r w:rsidRPr="00562808">
        <w:rPr>
          <w:szCs w:val="22"/>
        </w:rPr>
        <w:t>vertement discrim</w:t>
      </w:r>
      <w:r w:rsidRPr="00562808">
        <w:rPr>
          <w:szCs w:val="22"/>
        </w:rPr>
        <w:t>i</w:t>
      </w:r>
      <w:r w:rsidRPr="00562808">
        <w:rPr>
          <w:szCs w:val="22"/>
        </w:rPr>
        <w:t>natoires qui affectent le parrainage et les remplace par une grille de critères objectifs (le système de points). Le Règl</w:t>
      </w:r>
      <w:r w:rsidRPr="00562808">
        <w:rPr>
          <w:szCs w:val="22"/>
        </w:rPr>
        <w:t>e</w:t>
      </w:r>
      <w:r w:rsidRPr="00562808">
        <w:rPr>
          <w:szCs w:val="22"/>
        </w:rPr>
        <w:t>ment vise à : 1) empêcher tout traitement différentiel dû à la race ou à la nationalité ; 2) créer un système objectif de sélection pour les r</w:t>
      </w:r>
      <w:r w:rsidRPr="00562808">
        <w:rPr>
          <w:szCs w:val="22"/>
        </w:rPr>
        <w:t>e</w:t>
      </w:r>
      <w:r w:rsidRPr="00562808">
        <w:rPr>
          <w:szCs w:val="22"/>
        </w:rPr>
        <w:t>quérants indépendants ; 3) créer une nouvelle catégorie de parents, les « parents nommément d</w:t>
      </w:r>
      <w:r w:rsidRPr="00562808">
        <w:rPr>
          <w:szCs w:val="22"/>
        </w:rPr>
        <w:t>é</w:t>
      </w:r>
      <w:r w:rsidRPr="00562808">
        <w:rPr>
          <w:szCs w:val="22"/>
        </w:rPr>
        <w:t>signés », distincts des parrainés, catégorie intermédiaire qui sera examinée en fonction de critères de sélection à long terme ; 4) autoriser les visiteurs à solliciter, au Canada, la rés</w:t>
      </w:r>
      <w:r w:rsidRPr="00562808">
        <w:rPr>
          <w:szCs w:val="22"/>
        </w:rPr>
        <w:t>i</w:t>
      </w:r>
      <w:r w:rsidRPr="00562808">
        <w:rPr>
          <w:szCs w:val="22"/>
        </w:rPr>
        <w:t>dence</w:t>
      </w:r>
      <w:r>
        <w:rPr>
          <w:szCs w:val="22"/>
        </w:rPr>
        <w:t> </w:t>
      </w:r>
      <w:r w:rsidRPr="00BE70C7">
        <w:rPr>
          <w:rStyle w:val="Appelnotedebasdep"/>
        </w:rPr>
        <w:footnoteReference w:id="535"/>
      </w:r>
      <w:r w:rsidRPr="00562808">
        <w:rPr>
          <w:szCs w:val="22"/>
        </w:rPr>
        <w:t>.</w:t>
      </w:r>
    </w:p>
    <w:p w:rsidR="00AD690E" w:rsidRPr="00562808" w:rsidRDefault="00AD690E" w:rsidP="00AD690E">
      <w:pPr>
        <w:spacing w:before="120" w:after="120"/>
        <w:jc w:val="both"/>
        <w:rPr>
          <w:szCs w:val="18"/>
        </w:rPr>
      </w:pPr>
    </w:p>
    <w:p w:rsidR="00AD690E" w:rsidRDefault="00AD690E" w:rsidP="00AD690E">
      <w:pPr>
        <w:pStyle w:val="p"/>
      </w:pPr>
      <w:r w:rsidRPr="00562808">
        <w:br w:type="page"/>
        <w:t>[322]</w:t>
      </w:r>
    </w:p>
    <w:p w:rsidR="00AD690E" w:rsidRPr="00562808" w:rsidRDefault="00AD690E" w:rsidP="00AD690E">
      <w:pPr>
        <w:spacing w:before="120" w:after="120"/>
        <w:jc w:val="both"/>
      </w:pPr>
    </w:p>
    <w:p w:rsidR="00AD690E" w:rsidRPr="00562808" w:rsidRDefault="00AD690E" w:rsidP="00AD690E">
      <w:pPr>
        <w:pStyle w:val="figtitre"/>
      </w:pPr>
      <w:r w:rsidRPr="00562808">
        <w:t>Tableau 3</w:t>
      </w:r>
    </w:p>
    <w:p w:rsidR="00AD690E" w:rsidRPr="00562808" w:rsidRDefault="00AD690E" w:rsidP="00AD690E">
      <w:pPr>
        <w:pStyle w:val="figtitre"/>
        <w:rPr>
          <w:szCs w:val="18"/>
        </w:rPr>
      </w:pPr>
      <w:r w:rsidRPr="00562808">
        <w:t>Facteurs de sélection pour l'admission au Canada</w:t>
      </w:r>
      <w:r w:rsidRPr="00562808">
        <w:br/>
        <w:t>Règlement de 1967, modifiée en 1974</w:t>
      </w:r>
      <w:r w:rsidRPr="00562808">
        <w:br/>
      </w:r>
      <w:r w:rsidRPr="00562808">
        <w:rPr>
          <w:szCs w:val="18"/>
        </w:rPr>
        <w:t>Requérants indépendants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643"/>
        <w:gridCol w:w="2493"/>
      </w:tblGrid>
      <w:tr w:rsidR="00AD690E" w:rsidRPr="005C2588">
        <w:tc>
          <w:tcPr>
            <w:tcW w:w="5868" w:type="dxa"/>
            <w:shd w:val="clear" w:color="auto" w:fill="EEECE1"/>
          </w:tcPr>
          <w:p w:rsidR="00AD690E" w:rsidRPr="005C2588" w:rsidRDefault="00AD690E" w:rsidP="00AD690E">
            <w:pPr>
              <w:spacing w:before="120" w:after="120"/>
              <w:ind w:firstLine="0"/>
              <w:rPr>
                <w:rFonts w:eastAsia="Times"/>
                <w:sz w:val="24"/>
              </w:rPr>
            </w:pPr>
            <w:r w:rsidRPr="005C2588">
              <w:rPr>
                <w:rFonts w:eastAsia="Times"/>
                <w:smallCaps/>
                <w:sz w:val="24"/>
                <w:szCs w:val="18"/>
              </w:rPr>
              <w:t>Facteurs à long terme</w:t>
            </w:r>
          </w:p>
        </w:tc>
        <w:tc>
          <w:tcPr>
            <w:tcW w:w="2552" w:type="dxa"/>
            <w:shd w:val="clear" w:color="auto" w:fill="EEECE1"/>
          </w:tcPr>
          <w:p w:rsidR="00AD690E" w:rsidRPr="005C2588" w:rsidRDefault="00AD690E" w:rsidP="00AD690E">
            <w:pPr>
              <w:spacing w:before="120" w:after="120"/>
              <w:ind w:firstLine="0"/>
              <w:jc w:val="center"/>
              <w:rPr>
                <w:rFonts w:eastAsia="Times"/>
                <w:sz w:val="24"/>
              </w:rPr>
            </w:pPr>
            <w:r w:rsidRPr="005C2588">
              <w:rPr>
                <w:rFonts w:eastAsia="Times"/>
                <w:sz w:val="24"/>
                <w:szCs w:val="18"/>
              </w:rPr>
              <w:t>Échelle des points</w:t>
            </w:r>
            <w:r w:rsidRPr="005C2588">
              <w:rPr>
                <w:rFonts w:eastAsia="Times"/>
                <w:sz w:val="24"/>
                <w:szCs w:val="18"/>
              </w:rPr>
              <w:br/>
              <w:t>d'appréciation attribu</w:t>
            </w:r>
            <w:r w:rsidRPr="005C2588">
              <w:rPr>
                <w:rFonts w:eastAsia="Times"/>
                <w:sz w:val="24"/>
                <w:szCs w:val="18"/>
              </w:rPr>
              <w:t>a</w:t>
            </w:r>
            <w:r w:rsidRPr="005C2588">
              <w:rPr>
                <w:rFonts w:eastAsia="Times"/>
                <w:sz w:val="24"/>
                <w:szCs w:val="18"/>
              </w:rPr>
              <w:t>bles</w:t>
            </w:r>
          </w:p>
        </w:tc>
      </w:tr>
      <w:tr w:rsidR="00AD690E" w:rsidRPr="005C2588">
        <w:tc>
          <w:tcPr>
            <w:tcW w:w="5868" w:type="dxa"/>
          </w:tcPr>
          <w:p w:rsidR="00AD690E" w:rsidRPr="005C2588" w:rsidRDefault="00AD690E" w:rsidP="00AD690E">
            <w:pPr>
              <w:ind w:left="540" w:firstLine="0"/>
              <w:rPr>
                <w:rFonts w:eastAsia="Times"/>
                <w:sz w:val="24"/>
              </w:rPr>
            </w:pPr>
            <w:r w:rsidRPr="005C2588">
              <w:rPr>
                <w:rFonts w:eastAsia="Times"/>
                <w:sz w:val="24"/>
                <w:szCs w:val="18"/>
              </w:rPr>
              <w:t>Instruction et formation</w:t>
            </w:r>
          </w:p>
        </w:tc>
        <w:tc>
          <w:tcPr>
            <w:tcW w:w="2552" w:type="dxa"/>
          </w:tcPr>
          <w:p w:rsidR="00AD690E" w:rsidRPr="005C2588" w:rsidRDefault="00AD690E" w:rsidP="00AD690E">
            <w:pPr>
              <w:ind w:firstLine="0"/>
              <w:jc w:val="center"/>
              <w:rPr>
                <w:rFonts w:eastAsia="Times"/>
                <w:sz w:val="24"/>
              </w:rPr>
            </w:pPr>
            <w:r w:rsidRPr="005C2588">
              <w:rPr>
                <w:rFonts w:eastAsia="Times"/>
                <w:sz w:val="24"/>
                <w:szCs w:val="18"/>
              </w:rPr>
              <w:t>0-20</w:t>
            </w:r>
          </w:p>
        </w:tc>
      </w:tr>
      <w:tr w:rsidR="00AD690E" w:rsidRPr="005C2588">
        <w:tc>
          <w:tcPr>
            <w:tcW w:w="5868" w:type="dxa"/>
          </w:tcPr>
          <w:p w:rsidR="00AD690E" w:rsidRPr="005C2588" w:rsidRDefault="00AD690E" w:rsidP="00AD690E">
            <w:pPr>
              <w:ind w:left="540" w:firstLine="0"/>
              <w:rPr>
                <w:rFonts w:eastAsia="Times"/>
                <w:sz w:val="24"/>
              </w:rPr>
            </w:pPr>
            <w:r w:rsidRPr="005C2588">
              <w:rPr>
                <w:rFonts w:eastAsia="Times"/>
                <w:sz w:val="24"/>
                <w:szCs w:val="18"/>
              </w:rPr>
              <w:t>Qualités personnelles</w:t>
            </w:r>
          </w:p>
        </w:tc>
        <w:tc>
          <w:tcPr>
            <w:tcW w:w="2552" w:type="dxa"/>
          </w:tcPr>
          <w:p w:rsidR="00AD690E" w:rsidRPr="005C2588" w:rsidRDefault="00AD690E" w:rsidP="00AD690E">
            <w:pPr>
              <w:ind w:firstLine="0"/>
              <w:jc w:val="center"/>
              <w:rPr>
                <w:rFonts w:eastAsia="Times"/>
                <w:sz w:val="24"/>
              </w:rPr>
            </w:pPr>
            <w:r w:rsidRPr="005C2588">
              <w:rPr>
                <w:rFonts w:eastAsia="Times"/>
                <w:sz w:val="24"/>
                <w:szCs w:val="18"/>
              </w:rPr>
              <w:t>0-15</w:t>
            </w:r>
          </w:p>
        </w:tc>
      </w:tr>
      <w:tr w:rsidR="00AD690E" w:rsidRPr="005C2588">
        <w:tc>
          <w:tcPr>
            <w:tcW w:w="5868" w:type="dxa"/>
          </w:tcPr>
          <w:p w:rsidR="00AD690E" w:rsidRPr="005C2588" w:rsidRDefault="00AD690E" w:rsidP="00AD690E">
            <w:pPr>
              <w:ind w:left="540" w:firstLine="0"/>
              <w:rPr>
                <w:rFonts w:eastAsia="Times"/>
                <w:sz w:val="24"/>
              </w:rPr>
            </w:pPr>
            <w:r w:rsidRPr="005C2588">
              <w:rPr>
                <w:rFonts w:eastAsia="Times"/>
                <w:sz w:val="24"/>
                <w:szCs w:val="18"/>
              </w:rPr>
              <w:t>Demande dans la profession</w:t>
            </w:r>
          </w:p>
        </w:tc>
        <w:tc>
          <w:tcPr>
            <w:tcW w:w="2552" w:type="dxa"/>
          </w:tcPr>
          <w:p w:rsidR="00AD690E" w:rsidRPr="005C2588" w:rsidRDefault="00AD690E" w:rsidP="00AD690E">
            <w:pPr>
              <w:ind w:firstLine="0"/>
              <w:jc w:val="center"/>
              <w:rPr>
                <w:rFonts w:eastAsia="Times"/>
                <w:sz w:val="24"/>
              </w:rPr>
            </w:pPr>
            <w:r w:rsidRPr="005C2588">
              <w:rPr>
                <w:rFonts w:eastAsia="Times"/>
                <w:sz w:val="24"/>
                <w:szCs w:val="18"/>
              </w:rPr>
              <w:t>0-15</w:t>
            </w:r>
          </w:p>
        </w:tc>
      </w:tr>
      <w:tr w:rsidR="00AD690E" w:rsidRPr="005C2588">
        <w:tc>
          <w:tcPr>
            <w:tcW w:w="5868" w:type="dxa"/>
          </w:tcPr>
          <w:p w:rsidR="00AD690E" w:rsidRPr="005C2588" w:rsidRDefault="00AD690E" w:rsidP="00AD690E">
            <w:pPr>
              <w:ind w:left="540" w:firstLine="0"/>
              <w:rPr>
                <w:rFonts w:eastAsia="Times"/>
                <w:sz w:val="24"/>
              </w:rPr>
            </w:pPr>
            <w:r w:rsidRPr="005C2588">
              <w:rPr>
                <w:rFonts w:eastAsia="Times"/>
                <w:sz w:val="24"/>
                <w:szCs w:val="18"/>
              </w:rPr>
              <w:t>Compétence professionnelle</w:t>
            </w:r>
          </w:p>
        </w:tc>
        <w:tc>
          <w:tcPr>
            <w:tcW w:w="2552" w:type="dxa"/>
          </w:tcPr>
          <w:p w:rsidR="00AD690E" w:rsidRPr="005C2588" w:rsidRDefault="00AD690E" w:rsidP="00AD690E">
            <w:pPr>
              <w:ind w:firstLine="0"/>
              <w:jc w:val="center"/>
              <w:rPr>
                <w:rFonts w:eastAsia="Times"/>
                <w:sz w:val="24"/>
              </w:rPr>
            </w:pPr>
            <w:r w:rsidRPr="005C2588">
              <w:rPr>
                <w:rFonts w:eastAsia="Times"/>
                <w:sz w:val="24"/>
                <w:szCs w:val="18"/>
              </w:rPr>
              <w:t>1-10</w:t>
            </w:r>
          </w:p>
        </w:tc>
      </w:tr>
      <w:tr w:rsidR="00AD690E" w:rsidRPr="005C2588">
        <w:tc>
          <w:tcPr>
            <w:tcW w:w="5868" w:type="dxa"/>
          </w:tcPr>
          <w:p w:rsidR="00AD690E" w:rsidRPr="005C2588" w:rsidRDefault="00AD690E" w:rsidP="00AD690E">
            <w:pPr>
              <w:ind w:left="540" w:firstLine="0"/>
              <w:rPr>
                <w:rFonts w:eastAsia="Times"/>
                <w:sz w:val="24"/>
              </w:rPr>
            </w:pPr>
            <w:r w:rsidRPr="005C2588">
              <w:rPr>
                <w:rFonts w:eastAsia="Times"/>
                <w:sz w:val="24"/>
                <w:szCs w:val="18"/>
              </w:rPr>
              <w:t>Âge</w:t>
            </w:r>
          </w:p>
        </w:tc>
        <w:tc>
          <w:tcPr>
            <w:tcW w:w="2552" w:type="dxa"/>
          </w:tcPr>
          <w:p w:rsidR="00AD690E" w:rsidRPr="005C2588" w:rsidRDefault="00AD690E" w:rsidP="00AD690E">
            <w:pPr>
              <w:ind w:firstLine="0"/>
              <w:jc w:val="center"/>
              <w:rPr>
                <w:rFonts w:eastAsia="Times"/>
                <w:sz w:val="24"/>
              </w:rPr>
            </w:pPr>
            <w:r w:rsidRPr="005C2588">
              <w:rPr>
                <w:rFonts w:eastAsia="Times"/>
                <w:sz w:val="24"/>
                <w:szCs w:val="18"/>
              </w:rPr>
              <w:t>0-10</w:t>
            </w:r>
          </w:p>
        </w:tc>
      </w:tr>
      <w:tr w:rsidR="00AD690E" w:rsidRPr="005C2588">
        <w:tc>
          <w:tcPr>
            <w:tcW w:w="5868" w:type="dxa"/>
          </w:tcPr>
          <w:p w:rsidR="00AD690E" w:rsidRPr="005C2588" w:rsidRDefault="00AD690E" w:rsidP="00AD690E">
            <w:pPr>
              <w:spacing w:before="120" w:after="120"/>
              <w:ind w:firstLine="0"/>
              <w:rPr>
                <w:rFonts w:eastAsia="Times"/>
                <w:sz w:val="24"/>
                <w:szCs w:val="18"/>
              </w:rPr>
            </w:pPr>
            <w:r w:rsidRPr="005C2588">
              <w:rPr>
                <w:rFonts w:eastAsia="Times"/>
                <w:smallCaps/>
                <w:sz w:val="24"/>
                <w:szCs w:val="18"/>
              </w:rPr>
              <w:t>Facteurs à court terme</w:t>
            </w:r>
          </w:p>
        </w:tc>
        <w:tc>
          <w:tcPr>
            <w:tcW w:w="2552" w:type="dxa"/>
          </w:tcPr>
          <w:p w:rsidR="00AD690E" w:rsidRPr="005C2588" w:rsidRDefault="00AD690E" w:rsidP="00AD690E">
            <w:pPr>
              <w:spacing w:before="120" w:after="120"/>
              <w:ind w:firstLine="0"/>
              <w:jc w:val="center"/>
              <w:rPr>
                <w:rFonts w:eastAsia="Times"/>
                <w:sz w:val="24"/>
                <w:szCs w:val="18"/>
              </w:rPr>
            </w:pP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Emploi réservé/profession désignée (ajout en 1974)</w:t>
            </w:r>
          </w:p>
        </w:tc>
        <w:tc>
          <w:tcPr>
            <w:tcW w:w="2552" w:type="dxa"/>
          </w:tcPr>
          <w:p w:rsidR="00AD690E" w:rsidRPr="005C2588" w:rsidRDefault="00AD690E" w:rsidP="00AD690E">
            <w:pPr>
              <w:ind w:firstLine="0"/>
              <w:jc w:val="center"/>
              <w:rPr>
                <w:rFonts w:eastAsia="Times"/>
                <w:sz w:val="24"/>
                <w:szCs w:val="18"/>
              </w:rPr>
            </w:pPr>
            <w:r w:rsidRPr="005C2588">
              <w:rPr>
                <w:rFonts w:eastAsia="Times"/>
                <w:sz w:val="24"/>
                <w:szCs w:val="18"/>
              </w:rPr>
              <w:t>0 ou 10</w:t>
            </w: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Connaissance du français et (ou) de l'anglais</w:t>
            </w:r>
          </w:p>
        </w:tc>
        <w:tc>
          <w:tcPr>
            <w:tcW w:w="2552" w:type="dxa"/>
          </w:tcPr>
          <w:p w:rsidR="00AD690E" w:rsidRPr="005C2588" w:rsidRDefault="00AD690E" w:rsidP="00AD690E">
            <w:pPr>
              <w:ind w:firstLine="0"/>
              <w:jc w:val="center"/>
              <w:rPr>
                <w:rFonts w:eastAsia="Times"/>
                <w:sz w:val="24"/>
                <w:szCs w:val="18"/>
              </w:rPr>
            </w:pPr>
            <w:r w:rsidRPr="005C2588">
              <w:rPr>
                <w:rFonts w:eastAsia="Times"/>
                <w:sz w:val="24"/>
                <w:szCs w:val="18"/>
              </w:rPr>
              <w:t>0-10</w:t>
            </w: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 xml:space="preserve">Parent au </w:t>
            </w:r>
            <w:r>
              <w:rPr>
                <w:rFonts w:eastAsia="Times"/>
                <w:sz w:val="24"/>
                <w:szCs w:val="18"/>
              </w:rPr>
              <w:t>Canada</w:t>
            </w:r>
          </w:p>
        </w:tc>
        <w:tc>
          <w:tcPr>
            <w:tcW w:w="2552" w:type="dxa"/>
          </w:tcPr>
          <w:p w:rsidR="00AD690E" w:rsidRPr="005C2588" w:rsidRDefault="00AD690E" w:rsidP="00AD690E">
            <w:pPr>
              <w:ind w:firstLine="0"/>
              <w:jc w:val="center"/>
              <w:rPr>
                <w:rFonts w:eastAsia="Times"/>
                <w:sz w:val="24"/>
                <w:szCs w:val="18"/>
              </w:rPr>
            </w:pPr>
            <w:r w:rsidRPr="005C2588">
              <w:rPr>
                <w:rFonts w:eastAsia="Times"/>
                <w:sz w:val="24"/>
                <w:szCs w:val="18"/>
              </w:rPr>
              <w:t>0 ou 3 ou 5</w:t>
            </w: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Lieu de destination</w:t>
            </w:r>
          </w:p>
        </w:tc>
        <w:tc>
          <w:tcPr>
            <w:tcW w:w="2552" w:type="dxa"/>
          </w:tcPr>
          <w:p w:rsidR="00AD690E" w:rsidRPr="005C2588" w:rsidRDefault="00AD690E" w:rsidP="00AD690E">
            <w:pPr>
              <w:ind w:firstLine="0"/>
              <w:jc w:val="center"/>
              <w:rPr>
                <w:rFonts w:eastAsia="Times"/>
                <w:sz w:val="24"/>
                <w:szCs w:val="18"/>
              </w:rPr>
            </w:pPr>
            <w:r w:rsidRPr="005C2588">
              <w:rPr>
                <w:rFonts w:eastAsia="Times"/>
                <w:sz w:val="24"/>
                <w:szCs w:val="18"/>
              </w:rPr>
              <w:t>0-5</w:t>
            </w: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Maximum possible</w:t>
            </w:r>
          </w:p>
        </w:tc>
        <w:tc>
          <w:tcPr>
            <w:tcW w:w="2552" w:type="dxa"/>
          </w:tcPr>
          <w:p w:rsidR="00AD690E" w:rsidRPr="005C2588" w:rsidRDefault="00AD690E" w:rsidP="00AD690E">
            <w:pPr>
              <w:ind w:firstLine="0"/>
              <w:jc w:val="center"/>
              <w:rPr>
                <w:rFonts w:eastAsia="Times"/>
                <w:sz w:val="24"/>
                <w:szCs w:val="18"/>
              </w:rPr>
            </w:pPr>
            <w:r w:rsidRPr="005C2588">
              <w:rPr>
                <w:rFonts w:eastAsia="Times"/>
                <w:sz w:val="24"/>
                <w:szCs w:val="18"/>
              </w:rPr>
              <w:t>100</w:t>
            </w:r>
          </w:p>
        </w:tc>
      </w:tr>
      <w:tr w:rsidR="00AD690E" w:rsidRPr="005C2588">
        <w:tc>
          <w:tcPr>
            <w:tcW w:w="5868" w:type="dxa"/>
          </w:tcPr>
          <w:p w:rsidR="00AD690E" w:rsidRPr="005C2588" w:rsidRDefault="00AD690E" w:rsidP="00AD690E">
            <w:pPr>
              <w:spacing w:before="120" w:after="120"/>
              <w:ind w:firstLine="0"/>
              <w:rPr>
                <w:rFonts w:eastAsia="Times"/>
                <w:sz w:val="24"/>
                <w:szCs w:val="18"/>
              </w:rPr>
            </w:pPr>
            <w:r w:rsidRPr="005C2588">
              <w:rPr>
                <w:rFonts w:eastAsia="Times"/>
                <w:b/>
                <w:sz w:val="24"/>
                <w:szCs w:val="18"/>
              </w:rPr>
              <w:t>Parents nommément</w:t>
            </w:r>
            <w:r w:rsidRPr="005C2588">
              <w:rPr>
                <w:rFonts w:eastAsia="Times" w:cs="Arial"/>
                <w:b/>
                <w:sz w:val="24"/>
                <w:szCs w:val="18"/>
              </w:rPr>
              <w:t xml:space="preserve"> </w:t>
            </w:r>
            <w:r w:rsidRPr="005C2588">
              <w:rPr>
                <w:rFonts w:eastAsia="Times"/>
                <w:b/>
                <w:sz w:val="24"/>
                <w:szCs w:val="18"/>
              </w:rPr>
              <w:t>désignés</w:t>
            </w:r>
          </w:p>
        </w:tc>
        <w:tc>
          <w:tcPr>
            <w:tcW w:w="2552" w:type="dxa"/>
          </w:tcPr>
          <w:p w:rsidR="00AD690E" w:rsidRPr="005C2588" w:rsidRDefault="00AD690E" w:rsidP="00AD690E">
            <w:pPr>
              <w:spacing w:before="120" w:after="120"/>
              <w:ind w:firstLine="0"/>
              <w:jc w:val="center"/>
              <w:rPr>
                <w:rFonts w:eastAsia="Times"/>
                <w:sz w:val="24"/>
                <w:szCs w:val="18"/>
              </w:rPr>
            </w:pPr>
          </w:p>
        </w:tc>
      </w:tr>
      <w:tr w:rsidR="00AD690E" w:rsidRPr="005C2588">
        <w:tc>
          <w:tcPr>
            <w:tcW w:w="5868" w:type="dxa"/>
          </w:tcPr>
          <w:p w:rsidR="00AD690E" w:rsidRPr="005C2588" w:rsidRDefault="00AD690E" w:rsidP="00AD690E">
            <w:pPr>
              <w:spacing w:before="120" w:after="120"/>
              <w:ind w:firstLine="0"/>
              <w:rPr>
                <w:rFonts w:eastAsia="Times"/>
                <w:sz w:val="24"/>
                <w:szCs w:val="18"/>
              </w:rPr>
            </w:pPr>
            <w:r w:rsidRPr="005C2588">
              <w:rPr>
                <w:rFonts w:eastAsia="Times"/>
                <w:smallCaps/>
                <w:sz w:val="24"/>
                <w:szCs w:val="18"/>
              </w:rPr>
              <w:t xml:space="preserve">Facteurs à long terme </w:t>
            </w:r>
            <w:r w:rsidRPr="005C2588">
              <w:rPr>
                <w:rFonts w:eastAsia="Times"/>
                <w:sz w:val="24"/>
                <w:szCs w:val="18"/>
              </w:rPr>
              <w:t>(voir requérants indépe</w:t>
            </w:r>
            <w:r w:rsidRPr="005C2588">
              <w:rPr>
                <w:rFonts w:eastAsia="Times"/>
                <w:sz w:val="24"/>
                <w:szCs w:val="18"/>
              </w:rPr>
              <w:t>n</w:t>
            </w:r>
            <w:r w:rsidRPr="005C2588">
              <w:rPr>
                <w:rFonts w:eastAsia="Times"/>
                <w:sz w:val="24"/>
                <w:szCs w:val="18"/>
              </w:rPr>
              <w:t>dants)</w:t>
            </w:r>
          </w:p>
        </w:tc>
        <w:tc>
          <w:tcPr>
            <w:tcW w:w="2552" w:type="dxa"/>
          </w:tcPr>
          <w:p w:rsidR="00AD690E" w:rsidRPr="005C2588" w:rsidRDefault="00AD690E" w:rsidP="00AD690E">
            <w:pPr>
              <w:spacing w:before="120" w:after="120"/>
              <w:ind w:firstLine="0"/>
              <w:jc w:val="center"/>
              <w:rPr>
                <w:rFonts w:eastAsia="Times"/>
                <w:sz w:val="24"/>
                <w:szCs w:val="18"/>
              </w:rPr>
            </w:pPr>
            <w:r w:rsidRPr="005C2588">
              <w:rPr>
                <w:rFonts w:eastAsia="Times"/>
                <w:sz w:val="24"/>
                <w:szCs w:val="18"/>
              </w:rPr>
              <w:t>1-70</w:t>
            </w: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 xml:space="preserve">Dispositions à court terme pour l'établissement prises par un parent au </w:t>
            </w:r>
            <w:r>
              <w:rPr>
                <w:rFonts w:eastAsia="Times"/>
                <w:sz w:val="24"/>
                <w:szCs w:val="18"/>
              </w:rPr>
              <w:t>Canada</w:t>
            </w:r>
          </w:p>
        </w:tc>
        <w:tc>
          <w:tcPr>
            <w:tcW w:w="2552" w:type="dxa"/>
          </w:tcPr>
          <w:p w:rsidR="00AD690E" w:rsidRPr="005C2588" w:rsidRDefault="00AD690E" w:rsidP="00AD690E">
            <w:pPr>
              <w:ind w:left="540" w:firstLine="0"/>
              <w:jc w:val="center"/>
              <w:rPr>
                <w:rFonts w:eastAsia="Times"/>
                <w:sz w:val="24"/>
                <w:szCs w:val="18"/>
              </w:rPr>
            </w:pPr>
            <w:r w:rsidRPr="005C2588">
              <w:rPr>
                <w:rFonts w:eastAsia="Times"/>
                <w:sz w:val="24"/>
                <w:szCs w:val="18"/>
              </w:rPr>
              <w:t>15,</w:t>
            </w:r>
            <w:r>
              <w:rPr>
                <w:rFonts w:eastAsia="Times"/>
                <w:sz w:val="24"/>
                <w:szCs w:val="18"/>
              </w:rPr>
              <w:t xml:space="preserve"> </w:t>
            </w:r>
            <w:r w:rsidRPr="005C2588">
              <w:rPr>
                <w:rFonts w:eastAsia="Times"/>
                <w:sz w:val="24"/>
                <w:szCs w:val="18"/>
              </w:rPr>
              <w:t>20, 25 ou 30</w:t>
            </w:r>
          </w:p>
        </w:tc>
      </w:tr>
      <w:tr w:rsidR="00AD690E" w:rsidRPr="005C2588">
        <w:tc>
          <w:tcPr>
            <w:tcW w:w="5868" w:type="dxa"/>
          </w:tcPr>
          <w:p w:rsidR="00AD690E" w:rsidRPr="005C2588" w:rsidRDefault="00AD690E" w:rsidP="00AD690E">
            <w:pPr>
              <w:ind w:left="540" w:firstLine="0"/>
              <w:rPr>
                <w:rFonts w:eastAsia="Times"/>
                <w:sz w:val="24"/>
                <w:szCs w:val="18"/>
              </w:rPr>
            </w:pPr>
            <w:r w:rsidRPr="005C2588">
              <w:rPr>
                <w:rFonts w:eastAsia="Times"/>
                <w:sz w:val="24"/>
                <w:szCs w:val="18"/>
              </w:rPr>
              <w:t>Maximum possible</w:t>
            </w:r>
          </w:p>
        </w:tc>
        <w:tc>
          <w:tcPr>
            <w:tcW w:w="2552" w:type="dxa"/>
          </w:tcPr>
          <w:p w:rsidR="00AD690E" w:rsidRPr="005C2588" w:rsidRDefault="00AD690E" w:rsidP="00AD690E">
            <w:pPr>
              <w:ind w:left="540" w:firstLine="0"/>
              <w:jc w:val="center"/>
              <w:rPr>
                <w:rFonts w:eastAsia="Times"/>
                <w:sz w:val="24"/>
                <w:szCs w:val="18"/>
              </w:rPr>
            </w:pPr>
            <w:r w:rsidRPr="005C2588">
              <w:rPr>
                <w:rFonts w:eastAsia="Times"/>
                <w:sz w:val="24"/>
                <w:szCs w:val="18"/>
              </w:rPr>
              <w:t>100</w:t>
            </w:r>
          </w:p>
        </w:tc>
      </w:tr>
      <w:tr w:rsidR="00AD690E" w:rsidRPr="005C2588">
        <w:tc>
          <w:tcPr>
            <w:tcW w:w="5868" w:type="dxa"/>
          </w:tcPr>
          <w:p w:rsidR="00AD690E" w:rsidRPr="005C2588" w:rsidRDefault="00AD690E" w:rsidP="00AD690E">
            <w:pPr>
              <w:spacing w:before="120" w:after="120"/>
              <w:ind w:firstLine="0"/>
              <w:rPr>
                <w:rFonts w:eastAsia="Times"/>
                <w:sz w:val="24"/>
                <w:szCs w:val="18"/>
              </w:rPr>
            </w:pPr>
            <w:r w:rsidRPr="005C2588">
              <w:rPr>
                <w:rFonts w:eastAsia="Times"/>
                <w:sz w:val="24"/>
                <w:szCs w:val="18"/>
              </w:rPr>
              <w:t>Personnes à charge parrainées</w:t>
            </w:r>
          </w:p>
        </w:tc>
        <w:tc>
          <w:tcPr>
            <w:tcW w:w="2552" w:type="dxa"/>
          </w:tcPr>
          <w:p w:rsidR="00AD690E" w:rsidRPr="005C2588" w:rsidRDefault="00AD690E" w:rsidP="00AD690E">
            <w:pPr>
              <w:spacing w:before="120" w:after="120"/>
              <w:ind w:firstLine="0"/>
              <w:jc w:val="center"/>
              <w:rPr>
                <w:rFonts w:eastAsia="Times"/>
                <w:sz w:val="24"/>
                <w:szCs w:val="18"/>
              </w:rPr>
            </w:pPr>
          </w:p>
        </w:tc>
      </w:tr>
      <w:tr w:rsidR="00AD690E" w:rsidRPr="005C2588">
        <w:tc>
          <w:tcPr>
            <w:tcW w:w="5868" w:type="dxa"/>
          </w:tcPr>
          <w:p w:rsidR="00AD690E" w:rsidRPr="005C2588" w:rsidRDefault="00AD690E" w:rsidP="00AD690E">
            <w:pPr>
              <w:spacing w:before="120" w:after="120"/>
              <w:ind w:firstLine="0"/>
              <w:rPr>
                <w:rFonts w:eastAsia="Times"/>
                <w:sz w:val="24"/>
                <w:szCs w:val="18"/>
              </w:rPr>
            </w:pPr>
            <w:r w:rsidRPr="005C2588">
              <w:rPr>
                <w:rFonts w:eastAsia="Times"/>
                <w:sz w:val="24"/>
                <w:szCs w:val="18"/>
              </w:rPr>
              <w:t>Proche parent au Canada disposé à assumer la respo</w:t>
            </w:r>
            <w:r w:rsidRPr="005C2588">
              <w:rPr>
                <w:rFonts w:eastAsia="Times"/>
                <w:sz w:val="24"/>
                <w:szCs w:val="18"/>
              </w:rPr>
              <w:t>n</w:t>
            </w:r>
            <w:r w:rsidRPr="005C2588">
              <w:rPr>
                <w:rFonts w:eastAsia="Times"/>
                <w:sz w:val="24"/>
                <w:szCs w:val="18"/>
              </w:rPr>
              <w:t>sabilité de subvenir aux besoins du requérant parra</w:t>
            </w:r>
            <w:r w:rsidRPr="005C2588">
              <w:rPr>
                <w:rFonts w:eastAsia="Times"/>
                <w:sz w:val="24"/>
                <w:szCs w:val="18"/>
              </w:rPr>
              <w:t>i</w:t>
            </w:r>
            <w:r w:rsidRPr="005C2588">
              <w:rPr>
                <w:rFonts w:eastAsia="Times"/>
                <w:sz w:val="24"/>
                <w:szCs w:val="18"/>
              </w:rPr>
              <w:t>né</w:t>
            </w:r>
          </w:p>
        </w:tc>
        <w:tc>
          <w:tcPr>
            <w:tcW w:w="2552" w:type="dxa"/>
          </w:tcPr>
          <w:p w:rsidR="00AD690E" w:rsidRPr="005C2588" w:rsidRDefault="00AD690E" w:rsidP="00AD690E">
            <w:pPr>
              <w:spacing w:before="120" w:after="120"/>
              <w:ind w:firstLine="0"/>
              <w:jc w:val="center"/>
              <w:rPr>
                <w:rFonts w:eastAsia="Times"/>
                <w:sz w:val="24"/>
                <w:szCs w:val="18"/>
              </w:rPr>
            </w:pPr>
            <w:r w:rsidRPr="005C2588">
              <w:rPr>
                <w:rFonts w:eastAsia="Times"/>
                <w:sz w:val="24"/>
                <w:szCs w:val="18"/>
              </w:rPr>
              <w:t>Aucun point d'appr</w:t>
            </w:r>
            <w:r w:rsidRPr="005C2588">
              <w:rPr>
                <w:rFonts w:eastAsia="Times"/>
                <w:sz w:val="24"/>
                <w:szCs w:val="18"/>
              </w:rPr>
              <w:t>é</w:t>
            </w:r>
            <w:r w:rsidRPr="005C2588">
              <w:rPr>
                <w:rFonts w:eastAsia="Times"/>
                <w:sz w:val="24"/>
                <w:szCs w:val="18"/>
              </w:rPr>
              <w:t>ciation exigé</w:t>
            </w:r>
          </w:p>
        </w:tc>
      </w:tr>
    </w:tbl>
    <w:p w:rsidR="00AD690E" w:rsidRPr="00562808" w:rsidRDefault="00AD690E" w:rsidP="00AD690E">
      <w:pPr>
        <w:spacing w:before="120" w:after="120"/>
        <w:jc w:val="both"/>
        <w:rPr>
          <w:sz w:val="24"/>
        </w:rPr>
      </w:pPr>
    </w:p>
    <w:p w:rsidR="00AD690E" w:rsidRPr="00562808" w:rsidRDefault="00AD690E" w:rsidP="00AD690E">
      <w:pPr>
        <w:spacing w:before="120" w:after="120"/>
        <w:jc w:val="both"/>
        <w:rPr>
          <w:sz w:val="24"/>
        </w:rPr>
      </w:pPr>
      <w:r w:rsidRPr="00562808">
        <w:rPr>
          <w:sz w:val="24"/>
          <w:szCs w:val="18"/>
        </w:rPr>
        <w:t>Notes</w:t>
      </w:r>
    </w:p>
    <w:p w:rsidR="00AD690E" w:rsidRPr="00562808" w:rsidRDefault="00AD690E" w:rsidP="00AD690E">
      <w:pPr>
        <w:spacing w:before="120" w:after="120"/>
        <w:jc w:val="both"/>
        <w:rPr>
          <w:sz w:val="24"/>
          <w:szCs w:val="18"/>
        </w:rPr>
      </w:pPr>
      <w:r>
        <w:rPr>
          <w:sz w:val="24"/>
          <w:szCs w:val="18"/>
        </w:rPr>
        <w:t xml:space="preserve">1. </w:t>
      </w:r>
      <w:r w:rsidRPr="00562808">
        <w:rPr>
          <w:sz w:val="24"/>
          <w:szCs w:val="18"/>
        </w:rPr>
        <w:t>Pour pouvoir passer la sélection, les requérants indépendants et les parents nomm</w:t>
      </w:r>
      <w:r w:rsidRPr="00562808">
        <w:rPr>
          <w:sz w:val="24"/>
          <w:szCs w:val="18"/>
        </w:rPr>
        <w:t>é</w:t>
      </w:r>
      <w:r w:rsidRPr="00562808">
        <w:rPr>
          <w:sz w:val="24"/>
          <w:szCs w:val="18"/>
        </w:rPr>
        <w:t>ment désignés doivent habituellement obtenir au moins 50 des 100 points d'appréciation. En outre, ils ont dû obtenir au moins un point au titre de la dema</w:t>
      </w:r>
      <w:r w:rsidRPr="00562808">
        <w:rPr>
          <w:sz w:val="24"/>
          <w:szCs w:val="18"/>
        </w:rPr>
        <w:t>n</w:t>
      </w:r>
      <w:r w:rsidRPr="00562808">
        <w:rPr>
          <w:sz w:val="24"/>
          <w:szCs w:val="18"/>
        </w:rPr>
        <w:t>de dans la pr</w:t>
      </w:r>
      <w:r w:rsidRPr="00562808">
        <w:rPr>
          <w:sz w:val="24"/>
          <w:szCs w:val="18"/>
        </w:rPr>
        <w:t>o</w:t>
      </w:r>
      <w:r w:rsidRPr="00562808">
        <w:rPr>
          <w:sz w:val="24"/>
          <w:szCs w:val="18"/>
        </w:rPr>
        <w:t>fession ou avoir un emploi ou exercer une profession désignée (ajout en 1974).</w:t>
      </w:r>
    </w:p>
    <w:p w:rsidR="00AD690E" w:rsidRPr="00562808" w:rsidRDefault="00AD690E" w:rsidP="00AD690E">
      <w:pPr>
        <w:spacing w:before="120" w:after="120"/>
        <w:jc w:val="both"/>
        <w:rPr>
          <w:sz w:val="24"/>
          <w:szCs w:val="18"/>
        </w:rPr>
      </w:pPr>
      <w:r>
        <w:rPr>
          <w:sz w:val="24"/>
          <w:szCs w:val="18"/>
        </w:rPr>
        <w:t xml:space="preserve">2. </w:t>
      </w:r>
      <w:r w:rsidRPr="00562808">
        <w:rPr>
          <w:sz w:val="24"/>
          <w:szCs w:val="18"/>
        </w:rPr>
        <w:t>Dans des cas exceptionnels, les agents de sélection peuvent accepter ou r</w:t>
      </w:r>
      <w:r w:rsidRPr="00562808">
        <w:rPr>
          <w:sz w:val="24"/>
          <w:szCs w:val="18"/>
        </w:rPr>
        <w:t>e</w:t>
      </w:r>
      <w:r w:rsidRPr="00562808">
        <w:rPr>
          <w:sz w:val="24"/>
          <w:szCs w:val="18"/>
        </w:rPr>
        <w:t>jeter la demande d'un requérant ou d'un parent nommément désigné, nonobstant le nombre réel des points d'appréciation attribués.</w:t>
      </w:r>
    </w:p>
    <w:p w:rsidR="00AD690E" w:rsidRPr="00562808" w:rsidRDefault="00AD690E" w:rsidP="00AD690E">
      <w:pPr>
        <w:spacing w:before="120" w:after="120"/>
        <w:jc w:val="both"/>
        <w:rPr>
          <w:sz w:val="24"/>
          <w:szCs w:val="18"/>
        </w:rPr>
      </w:pPr>
      <w:r>
        <w:rPr>
          <w:sz w:val="24"/>
          <w:szCs w:val="18"/>
        </w:rPr>
        <w:t xml:space="preserve">3. </w:t>
      </w:r>
      <w:r w:rsidRPr="00562808">
        <w:rPr>
          <w:sz w:val="24"/>
          <w:szCs w:val="18"/>
        </w:rPr>
        <w:t>Les demandes des entrepreneurs sont appréciées de la même manière que celles des requérants indépendants, sauf qu'on accorde systématiquement aux premiers 25 points d'appréciation au lieu des points qu'ils auraient pu recevoir pour la demande dans la pr</w:t>
      </w:r>
      <w:r w:rsidRPr="00562808">
        <w:rPr>
          <w:sz w:val="24"/>
          <w:szCs w:val="18"/>
        </w:rPr>
        <w:t>o</w:t>
      </w:r>
      <w:r w:rsidRPr="00562808">
        <w:rPr>
          <w:sz w:val="24"/>
          <w:szCs w:val="18"/>
        </w:rPr>
        <w:t>fession et la compétence professionnelle.</w:t>
      </w:r>
    </w:p>
    <w:p w:rsidR="00AD690E" w:rsidRPr="00562808" w:rsidRDefault="00AD690E" w:rsidP="00AD690E">
      <w:pPr>
        <w:spacing w:before="120" w:after="120"/>
        <w:jc w:val="both"/>
        <w:rPr>
          <w:sz w:val="24"/>
        </w:rPr>
      </w:pPr>
      <w:r w:rsidRPr="00562808">
        <w:rPr>
          <w:sz w:val="24"/>
          <w:szCs w:val="18"/>
        </w:rPr>
        <w:t>Source : Ministère de la Main-d'</w:t>
      </w:r>
      <w:r>
        <w:rPr>
          <w:sz w:val="24"/>
          <w:szCs w:val="18"/>
        </w:rPr>
        <w:t>œuvre</w:t>
      </w:r>
      <w:r w:rsidRPr="00562808">
        <w:rPr>
          <w:sz w:val="24"/>
          <w:szCs w:val="18"/>
        </w:rPr>
        <w:t xml:space="preserve"> et de l'Immigration, </w:t>
      </w:r>
      <w:r w:rsidRPr="00562808">
        <w:rPr>
          <w:i/>
          <w:iCs/>
          <w:sz w:val="24"/>
          <w:szCs w:val="18"/>
        </w:rPr>
        <w:t>Le Programme d'imm</w:t>
      </w:r>
      <w:r w:rsidRPr="00562808">
        <w:rPr>
          <w:i/>
          <w:iCs/>
          <w:sz w:val="24"/>
          <w:szCs w:val="18"/>
        </w:rPr>
        <w:t>i</w:t>
      </w:r>
      <w:r w:rsidRPr="00562808">
        <w:rPr>
          <w:i/>
          <w:iCs/>
          <w:sz w:val="24"/>
          <w:szCs w:val="18"/>
        </w:rPr>
        <w:t xml:space="preserve">gration, </w:t>
      </w:r>
      <w:r w:rsidRPr="00562808">
        <w:rPr>
          <w:sz w:val="24"/>
          <w:szCs w:val="18"/>
        </w:rPr>
        <w:t>Ottawa, Information Canada, 1974, p. 67.</w:t>
      </w:r>
    </w:p>
    <w:p w:rsidR="00AD690E" w:rsidRDefault="00AD690E" w:rsidP="00AD690E">
      <w:pPr>
        <w:spacing w:before="120" w:after="120"/>
        <w:jc w:val="both"/>
      </w:pPr>
      <w:r w:rsidRPr="00562808">
        <w:br w:type="page"/>
      </w:r>
      <w:r>
        <w:t>[</w:t>
      </w:r>
      <w:r w:rsidRPr="00562808">
        <w:t>323]</w:t>
      </w:r>
    </w:p>
    <w:p w:rsidR="00AD690E" w:rsidRPr="00562808" w:rsidRDefault="00AD690E" w:rsidP="00AD690E">
      <w:pPr>
        <w:spacing w:before="120" w:after="120"/>
        <w:jc w:val="both"/>
      </w:pPr>
      <w:r w:rsidRPr="00562808">
        <w:rPr>
          <w:szCs w:val="22"/>
        </w:rPr>
        <w:t>La grille de sélection, pièce maîtresse du Règlement, utilise neuf critères qui confèrent au maximum un total de 100 points (voir le t</w:t>
      </w:r>
      <w:r w:rsidRPr="00562808">
        <w:rPr>
          <w:szCs w:val="22"/>
        </w:rPr>
        <w:t>a</w:t>
      </w:r>
      <w:r w:rsidRPr="00562808">
        <w:rPr>
          <w:szCs w:val="22"/>
        </w:rPr>
        <w:t>bleau 3). Quatre d'entre eux conce</w:t>
      </w:r>
      <w:r w:rsidRPr="00562808">
        <w:rPr>
          <w:szCs w:val="22"/>
        </w:rPr>
        <w:t>r</w:t>
      </w:r>
      <w:r w:rsidRPr="00562808">
        <w:rPr>
          <w:szCs w:val="22"/>
        </w:rPr>
        <w:t>nent l'établissement à court terme et les cinq autres, celui à long terme.</w:t>
      </w:r>
    </w:p>
    <w:p w:rsidR="00AD690E" w:rsidRPr="00562808" w:rsidRDefault="00AD690E" w:rsidP="00AD690E">
      <w:pPr>
        <w:spacing w:before="120" w:after="120"/>
        <w:jc w:val="both"/>
      </w:pPr>
      <w:r w:rsidRPr="00562808">
        <w:rPr>
          <w:szCs w:val="22"/>
        </w:rPr>
        <w:t>Le requérant peut avoir jusqu'à 20 points pour l'instruction, l'a</w:t>
      </w:r>
      <w:r w:rsidRPr="00562808">
        <w:rPr>
          <w:szCs w:val="22"/>
        </w:rPr>
        <w:t>p</w:t>
      </w:r>
      <w:r w:rsidRPr="00562808">
        <w:rPr>
          <w:szCs w:val="22"/>
        </w:rPr>
        <w:t>prentissage et la fo</w:t>
      </w:r>
      <w:r w:rsidRPr="00562808">
        <w:rPr>
          <w:szCs w:val="22"/>
        </w:rPr>
        <w:t>r</w:t>
      </w:r>
      <w:r w:rsidRPr="00562808">
        <w:rPr>
          <w:szCs w:val="22"/>
        </w:rPr>
        <w:t>mation professionnelle. La personnalité (faculté d'adaptation, esprit d'initiative, motiv</w:t>
      </w:r>
      <w:r w:rsidRPr="00562808">
        <w:rPr>
          <w:szCs w:val="22"/>
        </w:rPr>
        <w:t>a</w:t>
      </w:r>
      <w:r w:rsidRPr="00562808">
        <w:rPr>
          <w:szCs w:val="22"/>
        </w:rPr>
        <w:t xml:space="preserve">tion, ingéniosité, et comme le note le </w:t>
      </w:r>
      <w:r w:rsidRPr="00562808">
        <w:rPr>
          <w:i/>
          <w:iCs/>
          <w:szCs w:val="22"/>
        </w:rPr>
        <w:t xml:space="preserve">Programme d'immigration </w:t>
      </w:r>
      <w:r w:rsidRPr="00562808">
        <w:rPr>
          <w:szCs w:val="22"/>
        </w:rPr>
        <w:t>l'« irascibilité » ou le « sectarisme ») est laissée à l'appréciation subjective de l'agent d'i</w:t>
      </w:r>
      <w:r w:rsidRPr="00562808">
        <w:rPr>
          <w:szCs w:val="22"/>
        </w:rPr>
        <w:t>m</w:t>
      </w:r>
      <w:r w:rsidRPr="00562808">
        <w:rPr>
          <w:szCs w:val="22"/>
        </w:rPr>
        <w:t>migration qui peut coter jusqu'à 15. Le facteur « demande dans la pr</w:t>
      </w:r>
      <w:r w:rsidRPr="00562808">
        <w:rPr>
          <w:szCs w:val="22"/>
        </w:rPr>
        <w:t>o</w:t>
      </w:r>
      <w:r w:rsidRPr="00562808">
        <w:rPr>
          <w:szCs w:val="22"/>
        </w:rPr>
        <w:t>fession » peut donner de 0 à 15 points, selon les besoins conjoncturels. La compétence professionnelle compte pour 10 points. Un requérant obtient 10 points s'il a entre 18 et 35 ans, et on enlève un point par an après 35 ans ; ceux qui ont 45 ans et plus ne reçoivent aucun point.</w:t>
      </w:r>
    </w:p>
    <w:p w:rsidR="00AD690E" w:rsidRPr="00562808" w:rsidRDefault="00AD690E" w:rsidP="00AD690E">
      <w:pPr>
        <w:spacing w:before="120" w:after="120"/>
        <w:jc w:val="both"/>
      </w:pPr>
      <w:r w:rsidRPr="00562808">
        <w:rPr>
          <w:szCs w:val="22"/>
        </w:rPr>
        <w:t>Quatre facteurs permettent d'évaluer la possibilité d'établissement à court terme. Avec un emploi réservé, un requérant peut recevoir 10 points. La connaissance du fra</w:t>
      </w:r>
      <w:r w:rsidRPr="00562808">
        <w:rPr>
          <w:szCs w:val="22"/>
        </w:rPr>
        <w:t>n</w:t>
      </w:r>
      <w:r w:rsidRPr="00562808">
        <w:rPr>
          <w:szCs w:val="22"/>
        </w:rPr>
        <w:t>çais et/ou de l'anglais vaudra jusqu'à 10 points. La présence d'un parent au Canada do</w:t>
      </w:r>
      <w:r w:rsidRPr="00562808">
        <w:rPr>
          <w:szCs w:val="22"/>
        </w:rPr>
        <w:t>n</w:t>
      </w:r>
      <w:r w:rsidRPr="00562808">
        <w:rPr>
          <w:szCs w:val="22"/>
        </w:rPr>
        <w:t>ne 3 ou 5 points, selon que le requérant s'établit ou non dans la même localité que lui. Enfin, si la demande concerne une région riche en possibilités d'e</w:t>
      </w:r>
      <w:r w:rsidRPr="00562808">
        <w:rPr>
          <w:szCs w:val="22"/>
        </w:rPr>
        <w:t>m</w:t>
      </w:r>
      <w:r w:rsidRPr="00562808">
        <w:rPr>
          <w:szCs w:val="22"/>
        </w:rPr>
        <w:t>ploi, on peut obtenir 5 points.</w:t>
      </w:r>
    </w:p>
    <w:p w:rsidR="00AD690E" w:rsidRPr="00562808" w:rsidRDefault="00AD690E" w:rsidP="00AD690E">
      <w:pPr>
        <w:spacing w:before="120" w:after="120"/>
        <w:jc w:val="both"/>
      </w:pPr>
      <w:r w:rsidRPr="00562808">
        <w:rPr>
          <w:szCs w:val="22"/>
        </w:rPr>
        <w:t>Le Règlement de 1967 distingue maintenant trois catégories de candidats : les personnes à charge parrainées, soit le conjoint, les e</w:t>
      </w:r>
      <w:r w:rsidRPr="00562808">
        <w:rPr>
          <w:szCs w:val="22"/>
        </w:rPr>
        <w:t>n</w:t>
      </w:r>
      <w:r w:rsidRPr="00562808">
        <w:rPr>
          <w:szCs w:val="22"/>
        </w:rPr>
        <w:t>fants non mariés de moins de 21 ans, les parents et grands-parents âgés de 60 ans et plus, ou, sinon, inaptes au travail ; les parents no</w:t>
      </w:r>
      <w:r w:rsidRPr="00562808">
        <w:rPr>
          <w:szCs w:val="22"/>
        </w:rPr>
        <w:t>m</w:t>
      </w:r>
      <w:r w:rsidRPr="00562808">
        <w:rPr>
          <w:szCs w:val="22"/>
        </w:rPr>
        <w:t xml:space="preserve">mément désignés, soit les enfants de 21 ans et plus, les enfants mariés de moins de 21 ans, les frères, </w:t>
      </w:r>
      <w:r>
        <w:rPr>
          <w:szCs w:val="22"/>
        </w:rPr>
        <w:t>sœurs</w:t>
      </w:r>
      <w:r w:rsidRPr="00562808">
        <w:rPr>
          <w:szCs w:val="22"/>
        </w:rPr>
        <w:t>, parents et grands-parents de moins de 60 ans, les nièces, neveux, oncles, tantes ou petits-enfants. On appelle requérants indépendants to</w:t>
      </w:r>
      <w:r w:rsidRPr="00562808">
        <w:rPr>
          <w:szCs w:val="22"/>
        </w:rPr>
        <w:t>u</w:t>
      </w:r>
      <w:r w:rsidRPr="00562808">
        <w:rPr>
          <w:szCs w:val="22"/>
        </w:rPr>
        <w:t>tes les autres personnes qui désirent être admises. Ils doivent obtenir 50 points sur la base des neuf critères ; les parents nommément désignés, 50 points selon une pond</w:t>
      </w:r>
      <w:r w:rsidRPr="00562808">
        <w:rPr>
          <w:szCs w:val="22"/>
        </w:rPr>
        <w:t>é</w:t>
      </w:r>
      <w:r w:rsidRPr="00562808">
        <w:rPr>
          <w:szCs w:val="22"/>
        </w:rPr>
        <w:t>ration différente des critères (un maximum de 70 points pour l'instru</w:t>
      </w:r>
      <w:r w:rsidRPr="00562808">
        <w:rPr>
          <w:szCs w:val="22"/>
        </w:rPr>
        <w:t>c</w:t>
      </w:r>
      <w:r w:rsidRPr="00562808">
        <w:rPr>
          <w:szCs w:val="22"/>
        </w:rPr>
        <w:t>tion, la formation, la personnalité, la demande dans la profession, la compétence professionnelle et l'âge, et de 15 à 30 points en vertu des liens de parenté avec leurs proposants) ; les personnes à charge pa</w:t>
      </w:r>
      <w:r w:rsidRPr="00562808">
        <w:rPr>
          <w:szCs w:val="22"/>
        </w:rPr>
        <w:t>r</w:t>
      </w:r>
      <w:r w:rsidRPr="00562808">
        <w:rPr>
          <w:szCs w:val="22"/>
        </w:rPr>
        <w:t>rainées sont admises automatiquement si elles sont en bonne santé et n'e</w:t>
      </w:r>
      <w:r w:rsidRPr="00562808">
        <w:rPr>
          <w:szCs w:val="22"/>
        </w:rPr>
        <w:t>n</w:t>
      </w:r>
      <w:r w:rsidRPr="00562808">
        <w:rPr>
          <w:szCs w:val="22"/>
        </w:rPr>
        <w:t>trent pas dans les catégories prohibées d'immigrés</w:t>
      </w:r>
      <w:r>
        <w:rPr>
          <w:szCs w:val="22"/>
        </w:rPr>
        <w:t> </w:t>
      </w:r>
      <w:r w:rsidRPr="00BE70C7">
        <w:rPr>
          <w:rStyle w:val="Appelnotedebasdep"/>
        </w:rPr>
        <w:footnoteReference w:id="536"/>
      </w:r>
      <w:r w:rsidRPr="00562808">
        <w:rPr>
          <w:szCs w:val="22"/>
        </w:rPr>
        <w:t>.</w:t>
      </w:r>
    </w:p>
    <w:p w:rsidR="00AD690E" w:rsidRPr="00562808" w:rsidRDefault="00AD690E" w:rsidP="00AD690E">
      <w:pPr>
        <w:spacing w:before="120" w:after="120"/>
        <w:jc w:val="both"/>
      </w:pPr>
      <w:r w:rsidRPr="00562808">
        <w:rPr>
          <w:szCs w:val="22"/>
        </w:rPr>
        <w:t>En résumé, se dégagent du Règlement de 1967 les orientations su</w:t>
      </w:r>
      <w:r w:rsidRPr="00562808">
        <w:rPr>
          <w:szCs w:val="22"/>
        </w:rPr>
        <w:t>i</w:t>
      </w:r>
      <w:r w:rsidRPr="00562808">
        <w:rPr>
          <w:szCs w:val="22"/>
        </w:rPr>
        <w:t>vantes : volonté d'accroître la main-d'œuvre qualifiée indépendante, quel que soit le pays d'origine ; v</w:t>
      </w:r>
      <w:r w:rsidRPr="00562808">
        <w:rPr>
          <w:szCs w:val="22"/>
        </w:rPr>
        <w:t>o</w:t>
      </w:r>
      <w:r w:rsidRPr="00562808">
        <w:rPr>
          <w:szCs w:val="22"/>
        </w:rPr>
        <w:t>lonté de contrôler également la main-d'oeuvre que représentent les parents non direct</w:t>
      </w:r>
      <w:r w:rsidRPr="00562808">
        <w:rPr>
          <w:szCs w:val="22"/>
        </w:rPr>
        <w:t>e</w:t>
      </w:r>
      <w:r w:rsidRPr="00562808">
        <w:rPr>
          <w:szCs w:val="22"/>
        </w:rPr>
        <w:t>ment parrainés, en exigeant d'eux plus de qualification qu'auparavant. Selon Passaris, le Règlement de 1967 : « </w:t>
      </w:r>
      <w:r w:rsidRPr="00562808">
        <w:rPr>
          <w:i/>
          <w:iCs/>
          <w:szCs w:val="22"/>
        </w:rPr>
        <w:t>[...] provided the most direct and obvions emphasis that had been placed in Canadian post war</w:t>
      </w:r>
      <w:r>
        <w:rPr>
          <w:iCs/>
          <w:szCs w:val="22"/>
        </w:rPr>
        <w:t xml:space="preserve"> </w:t>
      </w:r>
      <w:r w:rsidRPr="00562808">
        <w:t>[</w:t>
      </w:r>
      <w:r w:rsidRPr="00562808">
        <w:rPr>
          <w:rFonts w:cs="Arial"/>
          <w:szCs w:val="18"/>
        </w:rPr>
        <w:t>324]</w:t>
      </w:r>
      <w:r>
        <w:rPr>
          <w:rFonts w:cs="Arial"/>
          <w:szCs w:val="18"/>
        </w:rPr>
        <w:t xml:space="preserve"> </w:t>
      </w:r>
      <w:r w:rsidRPr="00562808">
        <w:rPr>
          <w:i/>
          <w:iCs/>
          <w:szCs w:val="22"/>
        </w:rPr>
        <w:t>immigr</w:t>
      </w:r>
      <w:r w:rsidRPr="00562808">
        <w:rPr>
          <w:i/>
          <w:iCs/>
          <w:szCs w:val="22"/>
        </w:rPr>
        <w:t>a</w:t>
      </w:r>
      <w:r w:rsidRPr="00562808">
        <w:rPr>
          <w:i/>
          <w:iCs/>
          <w:szCs w:val="22"/>
        </w:rPr>
        <w:t>tion policy between immigration and the economy's manpower requ</w:t>
      </w:r>
      <w:r w:rsidRPr="00562808">
        <w:rPr>
          <w:i/>
          <w:iCs/>
          <w:szCs w:val="22"/>
        </w:rPr>
        <w:t>i</w:t>
      </w:r>
      <w:r w:rsidRPr="00562808">
        <w:rPr>
          <w:i/>
          <w:iCs/>
          <w:szCs w:val="22"/>
        </w:rPr>
        <w:t>rements </w:t>
      </w:r>
      <w:r>
        <w:rPr>
          <w:i/>
          <w:iCs/>
          <w:szCs w:val="22"/>
        </w:rPr>
        <w:t>»</w:t>
      </w:r>
      <w:r>
        <w:rPr>
          <w:iCs/>
          <w:szCs w:val="22"/>
        </w:rPr>
        <w:t> </w:t>
      </w:r>
      <w:r w:rsidRPr="009B1BA7">
        <w:rPr>
          <w:rStyle w:val="Appelnotedebasdep"/>
          <w:iCs/>
        </w:rPr>
        <w:footnoteReference w:id="537"/>
      </w:r>
      <w:r w:rsidRPr="00562808">
        <w:rPr>
          <w:i/>
          <w:iCs/>
          <w:szCs w:val="22"/>
        </w:rPr>
        <w:t>.</w:t>
      </w:r>
    </w:p>
    <w:p w:rsidR="00AD690E" w:rsidRPr="00562808" w:rsidRDefault="00AD690E" w:rsidP="00AD690E">
      <w:pPr>
        <w:spacing w:before="120" w:after="120"/>
        <w:jc w:val="both"/>
      </w:pPr>
      <w:r w:rsidRPr="00562808">
        <w:rPr>
          <w:szCs w:val="22"/>
        </w:rPr>
        <w:t>Enfin, l'ouverture de bureaux d'immigration à l'extérieur de l'Eur</w:t>
      </w:r>
      <w:r w:rsidRPr="00562808">
        <w:rPr>
          <w:szCs w:val="22"/>
        </w:rPr>
        <w:t>o</w:t>
      </w:r>
      <w:r w:rsidRPr="00562808">
        <w:rPr>
          <w:szCs w:val="22"/>
        </w:rPr>
        <w:t>pe va relativement dans le sens de l'abolition des mesures de discrim</w:t>
      </w:r>
      <w:r w:rsidRPr="00562808">
        <w:rPr>
          <w:szCs w:val="22"/>
        </w:rPr>
        <w:t>i</w:t>
      </w:r>
      <w:r w:rsidRPr="00562808">
        <w:rPr>
          <w:szCs w:val="22"/>
        </w:rPr>
        <w:t>nation. Avant 1962, deux tiers des bureaux d'immigration étaient loc</w:t>
      </w:r>
      <w:r w:rsidRPr="00562808">
        <w:rPr>
          <w:szCs w:val="22"/>
        </w:rPr>
        <w:t>a</w:t>
      </w:r>
      <w:r w:rsidRPr="00562808">
        <w:rPr>
          <w:szCs w:val="22"/>
        </w:rPr>
        <w:t xml:space="preserve">lisés en Grande-Bretagne et en Europe du Nord, alors qu'en 1973, ces bureaux étaient réduits à un tiers. De nouveaux bureaux seront ouverts en Europe du Sud, au Moyen-Orient, en Amérique centrale, et aux </w:t>
      </w:r>
      <w:r>
        <w:rPr>
          <w:szCs w:val="22"/>
        </w:rPr>
        <w:t>États-Unis </w:t>
      </w:r>
      <w:r>
        <w:rPr>
          <w:rStyle w:val="Appelnotedebasdep"/>
        </w:rPr>
        <w:footnoteReference w:id="538"/>
      </w:r>
      <w:r w:rsidRPr="00562808">
        <w:rPr>
          <w:szCs w:val="22"/>
        </w:rPr>
        <w:t>.</w:t>
      </w:r>
    </w:p>
    <w:p w:rsidR="00AD690E" w:rsidRPr="00562808" w:rsidRDefault="00AD690E" w:rsidP="00AD690E">
      <w:pPr>
        <w:spacing w:before="120" w:after="120"/>
        <w:jc w:val="both"/>
      </w:pPr>
      <w:r w:rsidRPr="00562808">
        <w:rPr>
          <w:szCs w:val="22"/>
        </w:rPr>
        <w:t>Cependant, le traitement préférentiel des immigrés s'exerce par d'autres moyens. La taille et la localisation des bureaux à l'étranger, le caractère plus ou moins actif et org</w:t>
      </w:r>
      <w:r w:rsidRPr="00562808">
        <w:rPr>
          <w:szCs w:val="22"/>
        </w:rPr>
        <w:t>a</w:t>
      </w:r>
      <w:r w:rsidRPr="00562808">
        <w:rPr>
          <w:szCs w:val="22"/>
        </w:rPr>
        <w:t>nisé de la promotion à l'étranger ont un effet sélectif certain. Par ailleurs, la forte vari</w:t>
      </w:r>
      <w:r w:rsidRPr="00562808">
        <w:rPr>
          <w:szCs w:val="22"/>
        </w:rPr>
        <w:t>a</w:t>
      </w:r>
      <w:r w:rsidRPr="00562808">
        <w:rPr>
          <w:szCs w:val="22"/>
        </w:rPr>
        <w:t>tion dans le taux de refus des demandes d'admission présentées au Canada peut servir également d'indice. Ainsi, entre 1969 et 1973, 43,8% des demandes d'admission d'immigrés de la Caraïbe, présentées sur le territoire c</w:t>
      </w:r>
      <w:r w:rsidRPr="00562808">
        <w:rPr>
          <w:szCs w:val="22"/>
        </w:rPr>
        <w:t>a</w:t>
      </w:r>
      <w:r w:rsidRPr="00562808">
        <w:rPr>
          <w:szCs w:val="22"/>
        </w:rPr>
        <w:t>nadien, ont été refusées, à comparer à 22% pour toutes les autres r</w:t>
      </w:r>
      <w:r w:rsidRPr="00562808">
        <w:rPr>
          <w:szCs w:val="22"/>
        </w:rPr>
        <w:t>é</w:t>
      </w:r>
      <w:r w:rsidRPr="00562808">
        <w:rPr>
          <w:szCs w:val="22"/>
        </w:rPr>
        <w:t>gions du monde</w:t>
      </w:r>
      <w:r>
        <w:rPr>
          <w:szCs w:val="22"/>
        </w:rPr>
        <w:t> </w:t>
      </w:r>
      <w:r w:rsidRPr="00D23A0B">
        <w:rPr>
          <w:rStyle w:val="Appelnotedebasdep"/>
        </w:rPr>
        <w:footnoteReference w:id="539"/>
      </w:r>
      <w:r w:rsidRPr="00562808">
        <w:rPr>
          <w:szCs w:val="22"/>
        </w:rPr>
        <w:t>. La contradiction entre les principes démocrat</w:t>
      </w:r>
      <w:r w:rsidRPr="00562808">
        <w:rPr>
          <w:szCs w:val="22"/>
        </w:rPr>
        <w:t>i</w:t>
      </w:r>
      <w:r w:rsidRPr="00562808">
        <w:rPr>
          <w:szCs w:val="22"/>
        </w:rPr>
        <w:t>ques d'ouverture et la fermeture des portes par des moyens indirects a été plus d'une fois notée</w:t>
      </w:r>
      <w:r>
        <w:rPr>
          <w:szCs w:val="22"/>
        </w:rPr>
        <w:t> </w:t>
      </w:r>
      <w:r w:rsidRPr="00D23A0B">
        <w:rPr>
          <w:rStyle w:val="Appelnotedebasdep"/>
        </w:rPr>
        <w:footnoteReference w:id="540"/>
      </w:r>
      <w:r w:rsidRPr="00562808">
        <w:rPr>
          <w:szCs w:val="22"/>
        </w:rPr>
        <w:t>.</w:t>
      </w:r>
    </w:p>
    <w:p w:rsidR="00AD690E" w:rsidRPr="00562808" w:rsidRDefault="00AD690E" w:rsidP="00AD690E">
      <w:pPr>
        <w:spacing w:before="120" w:after="120"/>
        <w:jc w:val="both"/>
        <w:rPr>
          <w:bCs/>
          <w:szCs w:val="22"/>
        </w:rPr>
      </w:pPr>
    </w:p>
    <w:p w:rsidR="00AD690E" w:rsidRPr="00562808" w:rsidRDefault="00AD690E" w:rsidP="00AD690E">
      <w:pPr>
        <w:pStyle w:val="a"/>
      </w:pPr>
      <w:r w:rsidRPr="00562808">
        <w:t>Le</w:t>
      </w:r>
      <w:r>
        <w:t>s caractéristiques des immigrés</w:t>
      </w:r>
      <w:r>
        <w:br/>
      </w:r>
      <w:r w:rsidRPr="00562808">
        <w:t>au cours de la décennie soixante</w:t>
      </w:r>
    </w:p>
    <w:p w:rsidR="00AD690E" w:rsidRPr="00562808"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Avec les débuts du régime libéral, le volume annuel de l'immigr</w:t>
      </w:r>
      <w:r w:rsidRPr="00562808">
        <w:rPr>
          <w:szCs w:val="22"/>
        </w:rPr>
        <w:t>a</w:t>
      </w:r>
      <w:r w:rsidRPr="00562808">
        <w:rPr>
          <w:szCs w:val="22"/>
        </w:rPr>
        <w:t>tion internationale au Canada augmente rapidement pour atteindre un sommet en 1967, avec 222 876 e</w:t>
      </w:r>
      <w:r w:rsidRPr="00562808">
        <w:rPr>
          <w:szCs w:val="22"/>
        </w:rPr>
        <w:t>n</w:t>
      </w:r>
      <w:r w:rsidRPr="00562808">
        <w:rPr>
          <w:szCs w:val="22"/>
        </w:rPr>
        <w:t>trées (voir le tableau 4). Au cours de la période 1961 à 1970, environ 1 410 627 imm</w:t>
      </w:r>
      <w:r w:rsidRPr="00562808">
        <w:rPr>
          <w:szCs w:val="22"/>
        </w:rPr>
        <w:t>i</w:t>
      </w:r>
      <w:r w:rsidRPr="00562808">
        <w:rPr>
          <w:szCs w:val="22"/>
        </w:rPr>
        <w:t>grés seront admis au Canada.</w:t>
      </w:r>
    </w:p>
    <w:p w:rsidR="00AD690E" w:rsidRDefault="00AD690E" w:rsidP="00AD690E">
      <w:pPr>
        <w:spacing w:before="120" w:after="120"/>
        <w:jc w:val="both"/>
        <w:rPr>
          <w:szCs w:val="22"/>
        </w:rPr>
      </w:pPr>
      <w:r w:rsidRPr="00562808">
        <w:rPr>
          <w:szCs w:val="22"/>
        </w:rPr>
        <w:t>Un changement majeur a lieu dans la composition ethnique de l'immigration. La proportion des immigrés en provenance de l'Europe (en forte majorité du Royaume-Uni) passe de 88% pour la période 1950-1955 à 50% pour la période de 1968-1973. Celle des immigrés en provenance de l'Asie passe de 2,8% à 16,8% ; des États-Unis, de 6,3% à 15,2% ; de l'Amérique centrale et de la Caraïbe, de 0,07% à 8,4% (voir le tableau 5). L'existence de la Communauté économique européenne et la prospérité qui règne en Europe ont</w:t>
      </w:r>
      <w:r>
        <w:rPr>
          <w:szCs w:val="22"/>
        </w:rPr>
        <w:t xml:space="preserve"> </w:t>
      </w:r>
      <w:r w:rsidRPr="00562808">
        <w:t>[325]</w:t>
      </w:r>
      <w:r>
        <w:t xml:space="preserve"> </w:t>
      </w:r>
      <w:r w:rsidRPr="00562808">
        <w:rPr>
          <w:szCs w:val="22"/>
        </w:rPr>
        <w:t>fait baisser l'émigration. Aux États-Unis, les conflits raciaux et les problèmes liés à la guerre du Vietnam ont favorisé l'émigration. Dans les pays du Tiers-Monde, les conditions économiques et politiques, de même que la surproduction et la surspécialisation relative de profe</w:t>
      </w:r>
      <w:r w:rsidRPr="00562808">
        <w:rPr>
          <w:szCs w:val="22"/>
        </w:rPr>
        <w:t>s</w:t>
      </w:r>
      <w:r w:rsidRPr="00562808">
        <w:rPr>
          <w:szCs w:val="22"/>
        </w:rPr>
        <w:t>sionnels et de spécialistes formés dans des institutions et des pr</w:t>
      </w:r>
      <w:r w:rsidRPr="00562808">
        <w:rPr>
          <w:szCs w:val="22"/>
        </w:rPr>
        <w:t>o</w:t>
      </w:r>
      <w:r w:rsidRPr="00562808">
        <w:rPr>
          <w:szCs w:val="22"/>
        </w:rPr>
        <w:t>grammes axés sur les pratiques des pays industrialisés plus que sur celles de pays pér</w:t>
      </w:r>
      <w:r w:rsidRPr="00562808">
        <w:rPr>
          <w:szCs w:val="22"/>
        </w:rPr>
        <w:t>i</w:t>
      </w:r>
      <w:r w:rsidRPr="00562808">
        <w:rPr>
          <w:szCs w:val="22"/>
        </w:rPr>
        <w:t>phériques (cas des Philippines, de l'Argentine, de l'Egypte), ont fav</w:t>
      </w:r>
      <w:r w:rsidRPr="00562808">
        <w:rPr>
          <w:szCs w:val="22"/>
        </w:rPr>
        <w:t>o</w:t>
      </w:r>
      <w:r w:rsidRPr="00562808">
        <w:rPr>
          <w:szCs w:val="22"/>
        </w:rPr>
        <w:t>risé l'exode des cerveaux vers les pays fortement industrialisés</w:t>
      </w:r>
      <w:r>
        <w:rPr>
          <w:szCs w:val="22"/>
        </w:rPr>
        <w:t> </w:t>
      </w:r>
      <w:r w:rsidRPr="00D23A0B">
        <w:rPr>
          <w:rStyle w:val="Appelnotedebasdep"/>
        </w:rPr>
        <w:footnoteReference w:id="541"/>
      </w:r>
      <w:r w:rsidRPr="00562808">
        <w:rPr>
          <w:szCs w:val="22"/>
        </w:rPr>
        <w:t>.</w:t>
      </w:r>
    </w:p>
    <w:p w:rsidR="00AD690E" w:rsidRPr="00562808" w:rsidRDefault="00AD690E" w:rsidP="00AD690E">
      <w:pPr>
        <w:spacing w:before="120" w:after="120"/>
        <w:jc w:val="both"/>
      </w:pPr>
      <w:r>
        <w:br w:type="page"/>
      </w:r>
    </w:p>
    <w:p w:rsidR="00AD690E" w:rsidRPr="00562808" w:rsidRDefault="00AD690E" w:rsidP="00AD690E">
      <w:pPr>
        <w:pStyle w:val="figtitre"/>
      </w:pPr>
      <w:r w:rsidRPr="00562808">
        <w:t>Tableau 4</w:t>
      </w:r>
      <w:r>
        <w:br/>
      </w:r>
      <w:r w:rsidRPr="00562808">
        <w:t xml:space="preserve">L'immigration au </w:t>
      </w:r>
      <w:r>
        <w:t>Canada</w:t>
      </w:r>
      <w:r>
        <w:br/>
      </w:r>
      <w:r w:rsidRPr="00562808">
        <w:t>1946-1938</w:t>
      </w:r>
    </w:p>
    <w:tbl>
      <w:tblPr>
        <w:tblW w:w="7920" w:type="dxa"/>
        <w:tblInd w:w="40" w:type="dxa"/>
        <w:tblLayout w:type="fixed"/>
        <w:tblCellMar>
          <w:left w:w="40" w:type="dxa"/>
          <w:right w:w="40" w:type="dxa"/>
        </w:tblCellMar>
        <w:tblLook w:val="0000" w:firstRow="0" w:lastRow="0" w:firstColumn="0" w:lastColumn="0" w:noHBand="0" w:noVBand="0"/>
      </w:tblPr>
      <w:tblGrid>
        <w:gridCol w:w="1380"/>
        <w:gridCol w:w="1380"/>
        <w:gridCol w:w="1380"/>
        <w:gridCol w:w="1380"/>
        <w:gridCol w:w="1140"/>
        <w:gridCol w:w="1260"/>
      </w:tblGrid>
      <w:tr w:rsidR="00AD690E" w:rsidRPr="00562808">
        <w:tblPrEx>
          <w:tblCellMar>
            <w:top w:w="0" w:type="dxa"/>
            <w:bottom w:w="0" w:type="dxa"/>
          </w:tblCellMar>
        </w:tblPrEx>
        <w:tc>
          <w:tcPr>
            <w:tcW w:w="1380" w:type="dxa"/>
            <w:tcBorders>
              <w:top w:val="single" w:sz="6" w:space="0" w:color="auto"/>
              <w:left w:val="nil"/>
              <w:bottom w:val="nil"/>
              <w:right w:val="nil"/>
            </w:tcBorders>
            <w:shd w:val="clear" w:color="auto" w:fill="FFFFFF"/>
          </w:tcPr>
          <w:p w:rsidR="00AD690E" w:rsidRPr="00562808" w:rsidRDefault="00AD690E" w:rsidP="00AD690E">
            <w:pPr>
              <w:spacing w:before="120"/>
              <w:ind w:firstLine="0"/>
              <w:jc w:val="both"/>
              <w:rPr>
                <w:sz w:val="24"/>
              </w:rPr>
            </w:pPr>
            <w:r w:rsidRPr="00562808">
              <w:rPr>
                <w:rFonts w:cs="Courier New"/>
                <w:sz w:val="24"/>
                <w:szCs w:val="18"/>
              </w:rPr>
              <w:t>1946</w:t>
            </w:r>
          </w:p>
        </w:tc>
        <w:tc>
          <w:tcPr>
            <w:tcW w:w="1380" w:type="dxa"/>
            <w:tcBorders>
              <w:top w:val="single" w:sz="6" w:space="0" w:color="auto"/>
              <w:left w:val="nil"/>
              <w:bottom w:val="nil"/>
              <w:right w:val="nil"/>
            </w:tcBorders>
            <w:shd w:val="clear" w:color="auto" w:fill="FFFFFF"/>
          </w:tcPr>
          <w:p w:rsidR="00AD690E" w:rsidRPr="00562808" w:rsidRDefault="00AD690E" w:rsidP="00AD690E">
            <w:pPr>
              <w:spacing w:before="120"/>
              <w:ind w:firstLine="0"/>
              <w:jc w:val="both"/>
              <w:rPr>
                <w:sz w:val="24"/>
              </w:rPr>
            </w:pPr>
            <w:r w:rsidRPr="00562808">
              <w:rPr>
                <w:rFonts w:cs="Courier New"/>
                <w:sz w:val="24"/>
                <w:szCs w:val="18"/>
              </w:rPr>
              <w:t>71 719</w:t>
            </w:r>
          </w:p>
        </w:tc>
        <w:tc>
          <w:tcPr>
            <w:tcW w:w="1380" w:type="dxa"/>
            <w:tcBorders>
              <w:top w:val="single" w:sz="6" w:space="0" w:color="auto"/>
              <w:left w:val="nil"/>
              <w:bottom w:val="nil"/>
              <w:right w:val="nil"/>
            </w:tcBorders>
            <w:shd w:val="clear" w:color="auto" w:fill="FFFFFF"/>
          </w:tcPr>
          <w:p w:rsidR="00AD690E" w:rsidRPr="00562808" w:rsidRDefault="00AD690E" w:rsidP="00AD690E">
            <w:pPr>
              <w:spacing w:before="120"/>
              <w:ind w:firstLine="0"/>
              <w:jc w:val="both"/>
              <w:rPr>
                <w:sz w:val="24"/>
              </w:rPr>
            </w:pPr>
            <w:r w:rsidRPr="00562808">
              <w:rPr>
                <w:rFonts w:cs="Courier New"/>
                <w:sz w:val="24"/>
                <w:szCs w:val="18"/>
              </w:rPr>
              <w:t>1960</w:t>
            </w:r>
          </w:p>
        </w:tc>
        <w:tc>
          <w:tcPr>
            <w:tcW w:w="1380" w:type="dxa"/>
            <w:tcBorders>
              <w:top w:val="single" w:sz="6" w:space="0" w:color="auto"/>
              <w:left w:val="nil"/>
              <w:bottom w:val="nil"/>
              <w:right w:val="nil"/>
            </w:tcBorders>
            <w:shd w:val="clear" w:color="auto" w:fill="FFFFFF"/>
          </w:tcPr>
          <w:p w:rsidR="00AD690E" w:rsidRPr="00562808" w:rsidRDefault="00AD690E" w:rsidP="00AD690E">
            <w:pPr>
              <w:spacing w:before="120"/>
              <w:ind w:firstLine="0"/>
              <w:jc w:val="both"/>
              <w:rPr>
                <w:sz w:val="24"/>
              </w:rPr>
            </w:pPr>
            <w:r w:rsidRPr="00562808">
              <w:rPr>
                <w:rFonts w:cs="Courier New"/>
                <w:sz w:val="24"/>
                <w:szCs w:val="18"/>
              </w:rPr>
              <w:t>104 111</w:t>
            </w:r>
          </w:p>
        </w:tc>
        <w:tc>
          <w:tcPr>
            <w:tcW w:w="1140" w:type="dxa"/>
            <w:tcBorders>
              <w:top w:val="single" w:sz="6" w:space="0" w:color="auto"/>
              <w:left w:val="nil"/>
              <w:bottom w:val="nil"/>
              <w:right w:val="nil"/>
            </w:tcBorders>
            <w:shd w:val="clear" w:color="auto" w:fill="FFFFFF"/>
          </w:tcPr>
          <w:p w:rsidR="00AD690E" w:rsidRPr="00562808" w:rsidRDefault="00AD690E" w:rsidP="00AD690E">
            <w:pPr>
              <w:spacing w:before="120"/>
              <w:ind w:firstLine="0"/>
              <w:jc w:val="both"/>
              <w:rPr>
                <w:sz w:val="24"/>
              </w:rPr>
            </w:pPr>
            <w:r w:rsidRPr="00562808">
              <w:rPr>
                <w:rFonts w:cs="Courier New"/>
                <w:sz w:val="24"/>
                <w:szCs w:val="18"/>
              </w:rPr>
              <w:t>1974</w:t>
            </w:r>
          </w:p>
        </w:tc>
        <w:tc>
          <w:tcPr>
            <w:tcW w:w="1260" w:type="dxa"/>
            <w:tcBorders>
              <w:top w:val="single" w:sz="6" w:space="0" w:color="auto"/>
              <w:left w:val="nil"/>
              <w:bottom w:val="nil"/>
              <w:right w:val="nil"/>
            </w:tcBorders>
            <w:shd w:val="clear" w:color="auto" w:fill="FFFFFF"/>
          </w:tcPr>
          <w:p w:rsidR="00AD690E" w:rsidRPr="00562808" w:rsidRDefault="00AD690E" w:rsidP="00AD690E">
            <w:pPr>
              <w:spacing w:before="120"/>
              <w:ind w:firstLine="0"/>
              <w:jc w:val="both"/>
              <w:rPr>
                <w:sz w:val="24"/>
              </w:rPr>
            </w:pPr>
            <w:r w:rsidRPr="00562808">
              <w:rPr>
                <w:rFonts w:cs="Courier New"/>
                <w:sz w:val="24"/>
                <w:szCs w:val="18"/>
              </w:rPr>
              <w:t>218 465</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1947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64 127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1961</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71 689</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1975</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187 881</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1948</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125 414</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1962</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74 586</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1976</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149 429</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1949</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95 217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1963</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93 151</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1977</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114 914</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1950</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73 912</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1964</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112 606</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1978</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86 313</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1951</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194 391</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1965</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146 758</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1979</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112 096</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1952</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164 498</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1966</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194 743</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1980</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143 133</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1953</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168 868</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222 876</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1981</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128 632</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1954</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154 227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1968</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183 974</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1982</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121 166</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1955</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109 946</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1969</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161 531</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1983</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89 117</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1956</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164 857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1970</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bCs/>
                <w:sz w:val="24"/>
                <w:szCs w:val="18"/>
              </w:rPr>
              <w:t xml:space="preserve">147 </w:t>
            </w:r>
            <w:r w:rsidRPr="00562808">
              <w:rPr>
                <w:rFonts w:cs="Courier New"/>
                <w:sz w:val="24"/>
                <w:szCs w:val="18"/>
              </w:rPr>
              <w:t>713</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1984</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88 239</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1957</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282 164</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1971</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121 900</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1985</w:t>
            </w: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84 302</w:t>
            </w:r>
          </w:p>
        </w:tc>
      </w:tr>
      <w:tr w:rsidR="00AD690E" w:rsidRPr="00562808">
        <w:tblPrEx>
          <w:tblCellMar>
            <w:top w:w="0" w:type="dxa"/>
            <w:bottom w:w="0" w:type="dxa"/>
          </w:tblCellMar>
        </w:tblPrEx>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1958</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124 851</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1972</w:t>
            </w:r>
          </w:p>
        </w:tc>
        <w:tc>
          <w:tcPr>
            <w:tcW w:w="1380" w:type="dxa"/>
            <w:tcBorders>
              <w:top w:val="nil"/>
              <w:left w:val="nil"/>
              <w:bottom w:val="nil"/>
              <w:right w:val="nil"/>
            </w:tcBorders>
            <w:shd w:val="clear" w:color="auto" w:fill="FFFFFF"/>
          </w:tcPr>
          <w:p w:rsidR="00AD690E" w:rsidRPr="00562808" w:rsidRDefault="00AD690E" w:rsidP="00AD690E">
            <w:pPr>
              <w:ind w:firstLine="0"/>
              <w:jc w:val="both"/>
              <w:rPr>
                <w:sz w:val="24"/>
              </w:rPr>
            </w:pPr>
            <w:r w:rsidRPr="00562808">
              <w:rPr>
                <w:rFonts w:cs="Courier New"/>
                <w:sz w:val="24"/>
                <w:szCs w:val="18"/>
              </w:rPr>
              <w:t>122 006</w:t>
            </w:r>
          </w:p>
        </w:tc>
        <w:tc>
          <w:tcPr>
            <w:tcW w:w="1140" w:type="dxa"/>
            <w:tcBorders>
              <w:top w:val="nil"/>
              <w:left w:val="nil"/>
              <w:bottom w:val="nil"/>
              <w:right w:val="nil"/>
            </w:tcBorders>
            <w:shd w:val="clear" w:color="auto" w:fill="FFFFFF"/>
          </w:tcPr>
          <w:p w:rsidR="00AD690E" w:rsidRPr="00562808" w:rsidRDefault="00AD690E" w:rsidP="00AD690E">
            <w:pPr>
              <w:ind w:firstLine="0"/>
              <w:jc w:val="both"/>
              <w:rPr>
                <w:sz w:val="24"/>
              </w:rPr>
            </w:pPr>
          </w:p>
        </w:tc>
        <w:tc>
          <w:tcPr>
            <w:tcW w:w="1260" w:type="dxa"/>
            <w:tcBorders>
              <w:top w:val="nil"/>
              <w:left w:val="nil"/>
              <w:bottom w:val="nil"/>
              <w:right w:val="nil"/>
            </w:tcBorders>
            <w:shd w:val="clear" w:color="auto" w:fill="FFFFFF"/>
          </w:tcPr>
          <w:p w:rsidR="00AD690E" w:rsidRPr="00562808" w:rsidRDefault="00AD690E" w:rsidP="00AD690E">
            <w:pPr>
              <w:ind w:firstLine="0"/>
              <w:jc w:val="both"/>
              <w:rPr>
                <w:sz w:val="24"/>
              </w:rPr>
            </w:pPr>
          </w:p>
        </w:tc>
      </w:tr>
      <w:tr w:rsidR="00AD690E" w:rsidRPr="00562808">
        <w:tblPrEx>
          <w:tblCellMar>
            <w:top w:w="0" w:type="dxa"/>
            <w:bottom w:w="0" w:type="dxa"/>
          </w:tblCellMar>
        </w:tblPrEx>
        <w:tc>
          <w:tcPr>
            <w:tcW w:w="1380" w:type="dxa"/>
            <w:tcBorders>
              <w:top w:val="nil"/>
              <w:left w:val="nil"/>
              <w:bottom w:val="single" w:sz="6" w:space="0" w:color="auto"/>
              <w:right w:val="nil"/>
            </w:tcBorders>
            <w:shd w:val="clear" w:color="auto" w:fill="FFFFFF"/>
          </w:tcPr>
          <w:p w:rsidR="00AD690E" w:rsidRPr="00562808" w:rsidRDefault="00AD690E" w:rsidP="00AD690E">
            <w:pPr>
              <w:spacing w:after="120"/>
              <w:ind w:firstLine="0"/>
              <w:jc w:val="both"/>
              <w:rPr>
                <w:sz w:val="24"/>
              </w:rPr>
            </w:pPr>
            <w:r w:rsidRPr="00562808">
              <w:rPr>
                <w:rFonts w:cs="Courier New"/>
                <w:sz w:val="24"/>
                <w:szCs w:val="18"/>
              </w:rPr>
              <w:t>1959</w:t>
            </w:r>
          </w:p>
        </w:tc>
        <w:tc>
          <w:tcPr>
            <w:tcW w:w="1380" w:type="dxa"/>
            <w:tcBorders>
              <w:top w:val="nil"/>
              <w:left w:val="nil"/>
              <w:bottom w:val="single" w:sz="6" w:space="0" w:color="auto"/>
              <w:right w:val="nil"/>
            </w:tcBorders>
            <w:shd w:val="clear" w:color="auto" w:fill="FFFFFF"/>
          </w:tcPr>
          <w:p w:rsidR="00AD690E" w:rsidRPr="00562808" w:rsidRDefault="00AD690E" w:rsidP="00AD690E">
            <w:pPr>
              <w:spacing w:after="120"/>
              <w:ind w:firstLine="0"/>
              <w:jc w:val="both"/>
              <w:rPr>
                <w:sz w:val="24"/>
              </w:rPr>
            </w:pPr>
            <w:r w:rsidRPr="00562808">
              <w:rPr>
                <w:rFonts w:cs="Courier New"/>
                <w:sz w:val="24"/>
                <w:szCs w:val="18"/>
              </w:rPr>
              <w:t>106 928</w:t>
            </w:r>
          </w:p>
        </w:tc>
        <w:tc>
          <w:tcPr>
            <w:tcW w:w="1380" w:type="dxa"/>
            <w:tcBorders>
              <w:top w:val="nil"/>
              <w:left w:val="nil"/>
              <w:bottom w:val="single" w:sz="6" w:space="0" w:color="auto"/>
              <w:right w:val="nil"/>
            </w:tcBorders>
            <w:shd w:val="clear" w:color="auto" w:fill="FFFFFF"/>
          </w:tcPr>
          <w:p w:rsidR="00AD690E" w:rsidRPr="00562808" w:rsidRDefault="00AD690E" w:rsidP="00AD690E">
            <w:pPr>
              <w:spacing w:after="120"/>
              <w:ind w:firstLine="0"/>
              <w:jc w:val="both"/>
              <w:rPr>
                <w:sz w:val="24"/>
              </w:rPr>
            </w:pPr>
            <w:r w:rsidRPr="00562808">
              <w:rPr>
                <w:rFonts w:cs="Courier New"/>
                <w:sz w:val="24"/>
                <w:szCs w:val="18"/>
              </w:rPr>
              <w:t>1973</w:t>
            </w:r>
          </w:p>
        </w:tc>
        <w:tc>
          <w:tcPr>
            <w:tcW w:w="1380" w:type="dxa"/>
            <w:tcBorders>
              <w:top w:val="nil"/>
              <w:left w:val="nil"/>
              <w:bottom w:val="single" w:sz="6" w:space="0" w:color="auto"/>
              <w:right w:val="nil"/>
            </w:tcBorders>
            <w:shd w:val="clear" w:color="auto" w:fill="FFFFFF"/>
          </w:tcPr>
          <w:p w:rsidR="00AD690E" w:rsidRPr="00562808" w:rsidRDefault="00AD690E" w:rsidP="00AD690E">
            <w:pPr>
              <w:spacing w:after="120"/>
              <w:ind w:firstLine="0"/>
              <w:jc w:val="both"/>
              <w:rPr>
                <w:sz w:val="24"/>
              </w:rPr>
            </w:pPr>
            <w:r w:rsidRPr="00562808">
              <w:rPr>
                <w:rFonts w:cs="Courier New"/>
                <w:sz w:val="24"/>
                <w:szCs w:val="18"/>
              </w:rPr>
              <w:t>184 200</w:t>
            </w:r>
          </w:p>
        </w:tc>
        <w:tc>
          <w:tcPr>
            <w:tcW w:w="1140" w:type="dxa"/>
            <w:tcBorders>
              <w:top w:val="nil"/>
              <w:left w:val="nil"/>
              <w:bottom w:val="single" w:sz="6" w:space="0" w:color="auto"/>
              <w:right w:val="nil"/>
            </w:tcBorders>
            <w:shd w:val="clear" w:color="auto" w:fill="FFFFFF"/>
          </w:tcPr>
          <w:p w:rsidR="00AD690E" w:rsidRPr="00562808" w:rsidRDefault="00AD690E" w:rsidP="00AD690E">
            <w:pPr>
              <w:spacing w:after="120"/>
              <w:ind w:firstLine="0"/>
              <w:jc w:val="both"/>
              <w:rPr>
                <w:sz w:val="24"/>
              </w:rPr>
            </w:pPr>
          </w:p>
        </w:tc>
        <w:tc>
          <w:tcPr>
            <w:tcW w:w="1260" w:type="dxa"/>
            <w:tcBorders>
              <w:top w:val="nil"/>
              <w:left w:val="nil"/>
              <w:bottom w:val="single" w:sz="6" w:space="0" w:color="auto"/>
              <w:right w:val="nil"/>
            </w:tcBorders>
            <w:shd w:val="clear" w:color="auto" w:fill="FFFFFF"/>
          </w:tcPr>
          <w:p w:rsidR="00AD690E" w:rsidRPr="00562808" w:rsidRDefault="00AD690E" w:rsidP="00AD690E">
            <w:pPr>
              <w:spacing w:after="120"/>
              <w:ind w:firstLine="0"/>
              <w:jc w:val="both"/>
              <w:rPr>
                <w:sz w:val="24"/>
              </w:rPr>
            </w:pPr>
          </w:p>
        </w:tc>
      </w:tr>
    </w:tbl>
    <w:p w:rsidR="00AD690E" w:rsidRPr="00562808" w:rsidRDefault="00AD690E" w:rsidP="00AD690E">
      <w:pPr>
        <w:pStyle w:val="FIGST0"/>
      </w:pPr>
      <w:r w:rsidRPr="00562808">
        <w:t xml:space="preserve">Source : Emploi et Immigration Canada : </w:t>
      </w:r>
      <w:r w:rsidRPr="00562808">
        <w:rPr>
          <w:i/>
          <w:iCs/>
        </w:rPr>
        <w:t xml:space="preserve">Statistiques sur l'immigration 1984, </w:t>
      </w:r>
      <w:r w:rsidRPr="00562808">
        <w:t>Ott</w:t>
      </w:r>
      <w:r w:rsidRPr="00562808">
        <w:t>a</w:t>
      </w:r>
      <w:r w:rsidRPr="00562808">
        <w:t>wa, ministère des Approvisionnements et Services Canada, 1986.</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C'est dans ce contexte d'internationalisation nouvelle de la force de travail et dans celui de la question nationale au Québec que s'inscrira graduellement la politique fédérale du bilinguisme et du multicultur</w:t>
      </w:r>
      <w:r w:rsidRPr="00562808">
        <w:rPr>
          <w:szCs w:val="22"/>
        </w:rPr>
        <w:t>a</w:t>
      </w:r>
      <w:r w:rsidRPr="00562808">
        <w:rPr>
          <w:szCs w:val="22"/>
        </w:rPr>
        <w:t>lisme dont Pierre Trudeau se fera le promoteur. Il s'agira en partie de faire face aux changements démographiques de la population et aux revendications des groupes d'immigration déjà constitués ou en form</w:t>
      </w:r>
      <w:r w:rsidRPr="00562808">
        <w:rPr>
          <w:szCs w:val="22"/>
        </w:rPr>
        <w:t>a</w:t>
      </w:r>
      <w:r w:rsidRPr="00562808">
        <w:rPr>
          <w:szCs w:val="22"/>
        </w:rPr>
        <w:t>tion, tout en contrôlant la montée des revendications des francoph</w:t>
      </w:r>
      <w:r w:rsidRPr="00562808">
        <w:rPr>
          <w:szCs w:val="22"/>
        </w:rPr>
        <w:t>o</w:t>
      </w:r>
      <w:r w:rsidRPr="00562808">
        <w:rPr>
          <w:szCs w:val="22"/>
        </w:rPr>
        <w:t>nes.</w:t>
      </w:r>
    </w:p>
    <w:p w:rsidR="00AD690E" w:rsidRDefault="00AD690E" w:rsidP="00AD690E">
      <w:pPr>
        <w:spacing w:before="120" w:after="120"/>
        <w:jc w:val="both"/>
        <w:rPr>
          <w:szCs w:val="18"/>
        </w:rPr>
      </w:pPr>
    </w:p>
    <w:p w:rsidR="00AD690E" w:rsidRDefault="00AD690E" w:rsidP="00AD690E">
      <w:pPr>
        <w:pStyle w:val="p"/>
      </w:pPr>
      <w:r w:rsidRPr="00562808">
        <w:br w:type="page"/>
      </w:r>
      <w:r>
        <w:t>[</w:t>
      </w:r>
      <w:r w:rsidRPr="00562808">
        <w:t>326</w:t>
      </w:r>
      <w:r>
        <w:t>]</w:t>
      </w:r>
    </w:p>
    <w:p w:rsidR="00AD690E" w:rsidRPr="00562808" w:rsidRDefault="00AD690E" w:rsidP="00AD690E">
      <w:pPr>
        <w:spacing w:before="120" w:after="120"/>
        <w:jc w:val="both"/>
      </w:pPr>
    </w:p>
    <w:p w:rsidR="00AD690E" w:rsidRDefault="00AD690E" w:rsidP="00AD690E">
      <w:pPr>
        <w:pStyle w:val="figtitre"/>
      </w:pPr>
      <w:r w:rsidRPr="00562808">
        <w:t>Tableau 5</w:t>
      </w:r>
    </w:p>
    <w:p w:rsidR="00AD690E" w:rsidRPr="00562808" w:rsidRDefault="00AD690E" w:rsidP="00AD690E">
      <w:pPr>
        <w:pStyle w:val="figtitre"/>
        <w:rPr>
          <w:szCs w:val="2"/>
        </w:rPr>
      </w:pPr>
      <w:r w:rsidRPr="00562808">
        <w:t>Répartition des immigrés par pays de</w:t>
      </w:r>
      <w:r>
        <w:t xml:space="preserve">  </w:t>
      </w:r>
      <w:r w:rsidRPr="00562808">
        <w:t>dernière résidence permanente</w:t>
      </w:r>
      <w:r>
        <w:br/>
      </w:r>
      <w:r w:rsidRPr="00562808">
        <w:t>1950-1984</w:t>
      </w:r>
    </w:p>
    <w:tbl>
      <w:tblPr>
        <w:tblW w:w="0" w:type="auto"/>
        <w:tblInd w:w="-1490" w:type="dxa"/>
        <w:tblLayout w:type="fixed"/>
        <w:tblCellMar>
          <w:left w:w="40" w:type="dxa"/>
          <w:right w:w="40" w:type="dxa"/>
        </w:tblCellMar>
        <w:tblLook w:val="0000" w:firstRow="0" w:lastRow="0" w:firstColumn="0" w:lastColumn="0" w:noHBand="0" w:noVBand="0"/>
      </w:tblPr>
      <w:tblGrid>
        <w:gridCol w:w="3033"/>
        <w:gridCol w:w="847"/>
        <w:gridCol w:w="847"/>
        <w:gridCol w:w="847"/>
        <w:gridCol w:w="848"/>
        <w:gridCol w:w="847"/>
        <w:gridCol w:w="847"/>
        <w:gridCol w:w="847"/>
        <w:gridCol w:w="848"/>
      </w:tblGrid>
      <w:tr w:rsidR="00AD690E" w:rsidRPr="00562808">
        <w:tblPrEx>
          <w:tblCellMar>
            <w:top w:w="0" w:type="dxa"/>
            <w:bottom w:w="0" w:type="dxa"/>
          </w:tblCellMar>
        </w:tblPrEx>
        <w:trPr>
          <w:cantSplit/>
          <w:trHeight w:val="1134"/>
        </w:trPr>
        <w:tc>
          <w:tcPr>
            <w:tcW w:w="3033" w:type="dxa"/>
            <w:tcBorders>
              <w:top w:val="single" w:sz="4" w:space="0" w:color="auto"/>
              <w:left w:val="nil"/>
              <w:bottom w:val="single" w:sz="4" w:space="0" w:color="auto"/>
              <w:right w:val="nil"/>
            </w:tcBorders>
            <w:shd w:val="clear" w:color="auto" w:fill="EEECE1"/>
          </w:tcPr>
          <w:p w:rsidR="00AD690E" w:rsidRPr="00EE6C92" w:rsidRDefault="00AD690E" w:rsidP="00AD690E">
            <w:pPr>
              <w:ind w:firstLine="0"/>
              <w:jc w:val="both"/>
              <w:rPr>
                <w:sz w:val="24"/>
                <w:szCs w:val="14"/>
              </w:rPr>
            </w:pPr>
          </w:p>
        </w:tc>
        <w:tc>
          <w:tcPr>
            <w:tcW w:w="847" w:type="dxa"/>
            <w:tcBorders>
              <w:top w:val="single" w:sz="4" w:space="0" w:color="auto"/>
              <w:left w:val="nil"/>
              <w:bottom w:val="single" w:sz="4" w:space="0" w:color="auto"/>
              <w:right w:val="nil"/>
            </w:tcBorders>
            <w:shd w:val="clear" w:color="auto" w:fill="EEECE1"/>
            <w:textDirection w:val="btLr"/>
            <w:vAlign w:val="center"/>
          </w:tcPr>
          <w:p w:rsidR="00AD690E" w:rsidRDefault="00AD690E" w:rsidP="00AD690E">
            <w:pPr>
              <w:ind w:left="113" w:right="113" w:firstLine="0"/>
              <w:rPr>
                <w:sz w:val="24"/>
                <w:szCs w:val="14"/>
              </w:rPr>
            </w:pPr>
            <w:r>
              <w:rPr>
                <w:sz w:val="24"/>
                <w:szCs w:val="14"/>
              </w:rPr>
              <w:t>1</w:t>
            </w:r>
            <w:r w:rsidRPr="00EE6C92">
              <w:rPr>
                <w:sz w:val="24"/>
                <w:szCs w:val="14"/>
              </w:rPr>
              <w:t xml:space="preserve">950-55 </w:t>
            </w:r>
          </w:p>
        </w:tc>
        <w:tc>
          <w:tcPr>
            <w:tcW w:w="847"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Pr>
                <w:sz w:val="24"/>
                <w:szCs w:val="14"/>
              </w:rPr>
              <w:t>1</w:t>
            </w:r>
            <w:r w:rsidRPr="00EE6C92">
              <w:rPr>
                <w:sz w:val="24"/>
                <w:szCs w:val="14"/>
              </w:rPr>
              <w:t xml:space="preserve">956-61 </w:t>
            </w:r>
          </w:p>
        </w:tc>
        <w:tc>
          <w:tcPr>
            <w:tcW w:w="847"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Pr>
                <w:sz w:val="24"/>
                <w:szCs w:val="14"/>
              </w:rPr>
              <w:t>1</w:t>
            </w:r>
            <w:r w:rsidRPr="00EE6C92">
              <w:rPr>
                <w:sz w:val="24"/>
                <w:szCs w:val="14"/>
              </w:rPr>
              <w:t xml:space="preserve">962-67 </w:t>
            </w:r>
          </w:p>
        </w:tc>
        <w:tc>
          <w:tcPr>
            <w:tcW w:w="848"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Pr>
                <w:sz w:val="24"/>
                <w:szCs w:val="14"/>
              </w:rPr>
              <w:t>1</w:t>
            </w:r>
            <w:r w:rsidRPr="00EE6C92">
              <w:rPr>
                <w:sz w:val="24"/>
                <w:szCs w:val="14"/>
              </w:rPr>
              <w:t xml:space="preserve">968-73 </w:t>
            </w:r>
          </w:p>
        </w:tc>
        <w:tc>
          <w:tcPr>
            <w:tcW w:w="847"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sidRPr="00EE6C92">
              <w:rPr>
                <w:sz w:val="24"/>
                <w:szCs w:val="14"/>
              </w:rPr>
              <w:t xml:space="preserve">1974 </w:t>
            </w:r>
          </w:p>
        </w:tc>
        <w:tc>
          <w:tcPr>
            <w:tcW w:w="847"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sidRPr="00EE6C92">
              <w:rPr>
                <w:sz w:val="24"/>
                <w:szCs w:val="14"/>
              </w:rPr>
              <w:t>1975</w:t>
            </w:r>
          </w:p>
        </w:tc>
        <w:tc>
          <w:tcPr>
            <w:tcW w:w="847"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sidRPr="00EE6C92">
              <w:rPr>
                <w:sz w:val="24"/>
                <w:szCs w:val="14"/>
              </w:rPr>
              <w:t>1976</w:t>
            </w:r>
          </w:p>
        </w:tc>
        <w:tc>
          <w:tcPr>
            <w:tcW w:w="848" w:type="dxa"/>
            <w:tcBorders>
              <w:top w:val="single" w:sz="4" w:space="0" w:color="auto"/>
              <w:left w:val="nil"/>
              <w:bottom w:val="single" w:sz="4" w:space="0" w:color="auto"/>
              <w:right w:val="nil"/>
            </w:tcBorders>
            <w:shd w:val="clear" w:color="auto" w:fill="EEECE1"/>
            <w:textDirection w:val="btLr"/>
            <w:vAlign w:val="center"/>
          </w:tcPr>
          <w:p w:rsidR="00AD690E" w:rsidRPr="00EE6C92" w:rsidRDefault="00AD690E" w:rsidP="00AD690E">
            <w:pPr>
              <w:ind w:left="113" w:right="113" w:firstLine="0"/>
              <w:rPr>
                <w:sz w:val="24"/>
                <w:szCs w:val="14"/>
              </w:rPr>
            </w:pPr>
            <w:r w:rsidRPr="00EE6C92">
              <w:rPr>
                <w:sz w:val="24"/>
                <w:szCs w:val="14"/>
              </w:rPr>
              <w:t xml:space="preserve">1977 </w:t>
            </w:r>
          </w:p>
        </w:tc>
      </w:tr>
      <w:tr w:rsidR="00AD690E" w:rsidRPr="00562808">
        <w:tblPrEx>
          <w:tblCellMar>
            <w:top w:w="0" w:type="dxa"/>
            <w:bottom w:w="0" w:type="dxa"/>
          </w:tblCellMar>
        </w:tblPrEx>
        <w:tc>
          <w:tcPr>
            <w:tcW w:w="3033"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Afr</w:t>
            </w:r>
            <w:r w:rsidRPr="00EE6C92">
              <w:rPr>
                <w:sz w:val="24"/>
                <w:szCs w:val="14"/>
              </w:rPr>
              <w:t>i</w:t>
            </w:r>
            <w:r w:rsidRPr="00EE6C92">
              <w:rPr>
                <w:sz w:val="24"/>
                <w:szCs w:val="14"/>
              </w:rPr>
              <w:t>que</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1 0.4</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1 1.0</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1 2.2</w:t>
            </w:r>
          </w:p>
        </w:tc>
        <w:tc>
          <w:tcPr>
            <w:tcW w:w="848"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3.3</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4.8</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 xml:space="preserve"> 5.3</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5.2</w:t>
            </w:r>
          </w:p>
        </w:tc>
        <w:tc>
          <w:tcPr>
            <w:tcW w:w="848"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5.6</w:t>
            </w: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Asie (incluant</w:t>
            </w:r>
            <w:r>
              <w:rPr>
                <w:sz w:val="24"/>
                <w:szCs w:val="14"/>
              </w:rPr>
              <w:t xml:space="preserve"> </w:t>
            </w:r>
            <w:r w:rsidRPr="00EE6C92">
              <w:rPr>
                <w:sz w:val="24"/>
                <w:szCs w:val="14"/>
              </w:rPr>
              <w:t>Moyen-Orient)</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7.2</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16.8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23.2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25.2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29.7</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27.3</w:t>
            </w: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2"/>
              </w:rPr>
              <w:t>Au</w:t>
            </w:r>
            <w:r w:rsidRPr="00EE6C92">
              <w:rPr>
                <w:sz w:val="24"/>
                <w:szCs w:val="12"/>
              </w:rPr>
              <w:t>s</w:t>
            </w:r>
            <w:r w:rsidRPr="00EE6C92">
              <w:rPr>
                <w:sz w:val="24"/>
                <w:szCs w:val="12"/>
              </w:rPr>
              <w:t>tralasie</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0.8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1.4</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2.2</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Z3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1.3</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1.3</w:t>
            </w: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Eur</w:t>
            </w:r>
            <w:r w:rsidRPr="00EE6C92">
              <w:rPr>
                <w:sz w:val="24"/>
                <w:szCs w:val="14"/>
              </w:rPr>
              <w:t>o</w:t>
            </w:r>
            <w:r w:rsidRPr="00EE6C92">
              <w:rPr>
                <w:sz w:val="24"/>
                <w:szCs w:val="14"/>
              </w:rPr>
              <w:t>pe</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88.0</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84.8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73.5</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49.9</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40.6</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38.8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33.4</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35.5</w:t>
            </w: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Am</w:t>
            </w:r>
            <w:r w:rsidRPr="00EE6C92">
              <w:rPr>
                <w:sz w:val="24"/>
                <w:szCs w:val="14"/>
              </w:rPr>
              <w:t>é</w:t>
            </w:r>
            <w:r w:rsidRPr="00EE6C92">
              <w:rPr>
                <w:sz w:val="24"/>
                <w:szCs w:val="14"/>
              </w:rPr>
              <w:t>rique du Nord</w:t>
            </w:r>
            <w:r>
              <w:rPr>
                <w:sz w:val="24"/>
                <w:szCs w:val="14"/>
              </w:rPr>
              <w:t xml:space="preserve"> </w:t>
            </w:r>
            <w:r w:rsidRPr="00EE6C92">
              <w:rPr>
                <w:sz w:val="24"/>
                <w:szCs w:val="14"/>
              </w:rPr>
              <w:t>et Amer, centrale</w:t>
            </w:r>
            <w:r>
              <w:rPr>
                <w:sz w:val="24"/>
                <w:szCs w:val="14"/>
              </w:rPr>
              <w:t xml:space="preserve"> </w:t>
            </w:r>
            <w:r w:rsidRPr="00EE6C92">
              <w:rPr>
                <w:sz w:val="24"/>
                <w:szCs w:val="14"/>
              </w:rPr>
              <w:t>(moins les É.U.)</w:t>
            </w:r>
            <w:r>
              <w:rPr>
                <w:sz w:val="24"/>
                <w:szCs w:val="14"/>
              </w:rPr>
              <w:t xml:space="preserve"> </w:t>
            </w:r>
            <w:r w:rsidRPr="00EE6C92">
              <w:rPr>
                <w:sz w:val="24"/>
                <w:szCs w:val="14"/>
              </w:rPr>
              <w:t>incl. les C</w:t>
            </w:r>
            <w:r w:rsidRPr="00EE6C92">
              <w:rPr>
                <w:sz w:val="24"/>
                <w:szCs w:val="14"/>
              </w:rPr>
              <w:t>a</w:t>
            </w:r>
            <w:r w:rsidRPr="00EE6C92">
              <w:rPr>
                <w:sz w:val="24"/>
                <w:szCs w:val="14"/>
              </w:rPr>
              <w:t>raïbes</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0.1</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2.8</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8.4</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11.6</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10.4</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10.8</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11.5</w:t>
            </w: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Pr>
                <w:sz w:val="24"/>
                <w:szCs w:val="14"/>
              </w:rPr>
              <w:t>Etats-Unis</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6.3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10.4</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15.2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12.1</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11.6</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11.2</w:t>
            </w: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Am</w:t>
            </w:r>
            <w:r w:rsidRPr="00EE6C92">
              <w:rPr>
                <w:sz w:val="24"/>
                <w:szCs w:val="14"/>
              </w:rPr>
              <w:t>é</w:t>
            </w:r>
            <w:r w:rsidRPr="00EE6C92">
              <w:rPr>
                <w:sz w:val="24"/>
                <w:szCs w:val="14"/>
              </w:rPr>
              <w:t>rique du Sud</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0.08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1.6</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3.6</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5.7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7.1</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7.1</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6.8</w:t>
            </w:r>
          </w:p>
        </w:tc>
      </w:tr>
      <w:tr w:rsidR="00AD690E" w:rsidRPr="00562808">
        <w:tblPrEx>
          <w:tblCellMar>
            <w:top w:w="0" w:type="dxa"/>
            <w:bottom w:w="0" w:type="dxa"/>
          </w:tblCellMar>
        </w:tblPrEx>
        <w:tc>
          <w:tcPr>
            <w:tcW w:w="3033"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A</w:t>
            </w:r>
            <w:r w:rsidRPr="00EE6C92">
              <w:rPr>
                <w:sz w:val="24"/>
                <w:szCs w:val="14"/>
              </w:rPr>
              <w:t>u</w:t>
            </w:r>
            <w:r w:rsidRPr="00EE6C92">
              <w:rPr>
                <w:sz w:val="24"/>
                <w:szCs w:val="14"/>
              </w:rPr>
              <w:t>tres</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0.02</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0.1</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0.1</w:t>
            </w:r>
          </w:p>
        </w:tc>
        <w:tc>
          <w:tcPr>
            <w:tcW w:w="848"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0.5</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0.8</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1.3</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0.9</w:t>
            </w:r>
          </w:p>
        </w:tc>
        <w:tc>
          <w:tcPr>
            <w:tcW w:w="848"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0.8</w:t>
            </w:r>
          </w:p>
        </w:tc>
      </w:tr>
      <w:tr w:rsidR="00AD690E" w:rsidRPr="00562808">
        <w:tblPrEx>
          <w:tblCellMar>
            <w:top w:w="0" w:type="dxa"/>
            <w:bottom w:w="0" w:type="dxa"/>
          </w:tblCellMar>
        </w:tblPrEx>
        <w:tc>
          <w:tcPr>
            <w:tcW w:w="3033"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p>
        </w:tc>
        <w:tc>
          <w:tcPr>
            <w:tcW w:w="847"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7"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7"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8"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7"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7"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7"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c>
          <w:tcPr>
            <w:tcW w:w="848" w:type="dxa"/>
            <w:tcBorders>
              <w:top w:val="nil"/>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r w:rsidRPr="00EE6C92">
              <w:rPr>
                <w:sz w:val="24"/>
                <w:szCs w:val="14"/>
              </w:rPr>
              <w:t>100%</w:t>
            </w:r>
          </w:p>
        </w:tc>
      </w:tr>
      <w:tr w:rsidR="00AD690E" w:rsidRPr="00562808">
        <w:tblPrEx>
          <w:tblCellMar>
            <w:top w:w="0" w:type="dxa"/>
            <w:bottom w:w="0" w:type="dxa"/>
          </w:tblCellMar>
        </w:tblPrEx>
        <w:tc>
          <w:tcPr>
            <w:tcW w:w="3033"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p>
        </w:tc>
        <w:tc>
          <w:tcPr>
            <w:tcW w:w="847"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1978</w:t>
            </w:r>
          </w:p>
        </w:tc>
        <w:tc>
          <w:tcPr>
            <w:tcW w:w="847"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1979</w:t>
            </w:r>
          </w:p>
        </w:tc>
        <w:tc>
          <w:tcPr>
            <w:tcW w:w="847"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1980</w:t>
            </w:r>
          </w:p>
        </w:tc>
        <w:tc>
          <w:tcPr>
            <w:tcW w:w="848"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1981</w:t>
            </w:r>
          </w:p>
        </w:tc>
        <w:tc>
          <w:tcPr>
            <w:tcW w:w="847"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1982</w:t>
            </w:r>
          </w:p>
        </w:tc>
        <w:tc>
          <w:tcPr>
            <w:tcW w:w="847"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1983</w:t>
            </w:r>
          </w:p>
        </w:tc>
        <w:tc>
          <w:tcPr>
            <w:tcW w:w="847"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r w:rsidRPr="00EE6C92">
              <w:rPr>
                <w:sz w:val="24"/>
                <w:szCs w:val="14"/>
              </w:rPr>
              <w:t>1984</w:t>
            </w:r>
          </w:p>
        </w:tc>
        <w:tc>
          <w:tcPr>
            <w:tcW w:w="848" w:type="dxa"/>
            <w:tcBorders>
              <w:top w:val="single" w:sz="4" w:space="0" w:color="auto"/>
              <w:left w:val="nil"/>
              <w:bottom w:val="single" w:sz="4" w:space="0" w:color="auto"/>
              <w:right w:val="nil"/>
            </w:tcBorders>
            <w:shd w:val="clear" w:color="auto" w:fill="EEECE1"/>
          </w:tcPr>
          <w:p w:rsidR="00AD690E" w:rsidRPr="00EE6C92" w:rsidRDefault="00AD690E" w:rsidP="00AD690E">
            <w:pPr>
              <w:spacing w:before="120" w:after="120"/>
              <w:ind w:firstLine="0"/>
              <w:jc w:val="both"/>
              <w:rPr>
                <w:sz w:val="24"/>
              </w:rPr>
            </w:pPr>
          </w:p>
        </w:tc>
      </w:tr>
      <w:tr w:rsidR="00AD690E" w:rsidRPr="00562808">
        <w:tblPrEx>
          <w:tblCellMar>
            <w:top w:w="0" w:type="dxa"/>
            <w:bottom w:w="0" w:type="dxa"/>
          </w:tblCellMar>
        </w:tblPrEx>
        <w:tc>
          <w:tcPr>
            <w:tcW w:w="3033"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Afr</w:t>
            </w:r>
            <w:r w:rsidRPr="00EE6C92">
              <w:rPr>
                <w:sz w:val="24"/>
                <w:szCs w:val="14"/>
              </w:rPr>
              <w:t>i</w:t>
            </w:r>
            <w:r w:rsidRPr="00EE6C92">
              <w:rPr>
                <w:sz w:val="24"/>
                <w:szCs w:val="14"/>
              </w:rPr>
              <w:t>que</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4.9</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3.5</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3.0</w:t>
            </w:r>
          </w:p>
        </w:tc>
        <w:tc>
          <w:tcPr>
            <w:tcW w:w="848"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3.8</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3.7</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4.1</w:t>
            </w:r>
          </w:p>
        </w:tc>
        <w:tc>
          <w:tcPr>
            <w:tcW w:w="847"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r w:rsidRPr="00EE6C92">
              <w:rPr>
                <w:sz w:val="24"/>
                <w:szCs w:val="14"/>
              </w:rPr>
              <w:t>4.0</w:t>
            </w:r>
          </w:p>
        </w:tc>
        <w:tc>
          <w:tcPr>
            <w:tcW w:w="848" w:type="dxa"/>
            <w:tcBorders>
              <w:top w:val="single" w:sz="4" w:space="0" w:color="auto"/>
              <w:left w:val="nil"/>
              <w:bottom w:val="nil"/>
              <w:right w:val="nil"/>
            </w:tcBorders>
            <w:shd w:val="clear" w:color="auto" w:fill="FFFFFF"/>
          </w:tcPr>
          <w:p w:rsidR="00AD690E" w:rsidRPr="00EE6C92" w:rsidRDefault="00AD690E" w:rsidP="00AD690E">
            <w:pPr>
              <w:spacing w:before="120"/>
              <w:ind w:firstLine="0"/>
              <w:jc w:val="both"/>
              <w:rPr>
                <w:sz w:val="24"/>
              </w:rPr>
            </w:pP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Asie (incluant</w:t>
            </w:r>
            <w:r>
              <w:rPr>
                <w:sz w:val="24"/>
                <w:szCs w:val="14"/>
              </w:rPr>
              <w:t xml:space="preserve"> </w:t>
            </w:r>
            <w:r w:rsidRPr="00EE6C92">
              <w:rPr>
                <w:sz w:val="24"/>
                <w:szCs w:val="14"/>
              </w:rPr>
              <w:t>Moyen-Orient)</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27.8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45.1</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50.0</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38.0</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34.3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41.4</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47.5</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Au</w:t>
            </w:r>
            <w:r w:rsidRPr="00EE6C92">
              <w:rPr>
                <w:sz w:val="24"/>
                <w:szCs w:val="14"/>
              </w:rPr>
              <w:t>s</w:t>
            </w:r>
            <w:r w:rsidRPr="00EE6C92">
              <w:rPr>
                <w:sz w:val="24"/>
                <w:szCs w:val="14"/>
              </w:rPr>
              <w:t>tralasie</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1.4</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0.8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0.5</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0.6</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Eur</w:t>
            </w:r>
            <w:r w:rsidRPr="00EE6C92">
              <w:rPr>
                <w:sz w:val="24"/>
                <w:szCs w:val="14"/>
              </w:rPr>
              <w:t>o</w:t>
            </w:r>
            <w:r w:rsidRPr="00EE6C92">
              <w:rPr>
                <w:sz w:val="24"/>
                <w:szCs w:val="14"/>
              </w:rPr>
              <w:t>pe</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34.9</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29.3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28.8</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28.9</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36.0</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27.2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23.6</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Am</w:t>
            </w:r>
            <w:r w:rsidRPr="00EE6C92">
              <w:rPr>
                <w:sz w:val="24"/>
                <w:szCs w:val="14"/>
              </w:rPr>
              <w:t>é</w:t>
            </w:r>
            <w:r w:rsidRPr="00EE6C92">
              <w:rPr>
                <w:sz w:val="24"/>
                <w:szCs w:val="14"/>
              </w:rPr>
              <w:t>rique du Nord</w:t>
            </w:r>
            <w:r>
              <w:rPr>
                <w:sz w:val="24"/>
                <w:szCs w:val="14"/>
              </w:rPr>
              <w:t xml:space="preserve"> </w:t>
            </w:r>
            <w:r w:rsidRPr="00EE6C92">
              <w:rPr>
                <w:sz w:val="24"/>
                <w:szCs w:val="14"/>
              </w:rPr>
              <w:t>et Amer, centrale</w:t>
            </w:r>
            <w:r>
              <w:rPr>
                <w:sz w:val="24"/>
                <w:szCs w:val="14"/>
              </w:rPr>
              <w:t xml:space="preserve"> </w:t>
            </w:r>
            <w:r w:rsidRPr="00EE6C92">
              <w:rPr>
                <w:sz w:val="24"/>
                <w:szCs w:val="14"/>
              </w:rPr>
              <w:t>(moins les É.U.)</w:t>
            </w:r>
            <w:r>
              <w:rPr>
                <w:sz w:val="24"/>
                <w:szCs w:val="14"/>
              </w:rPr>
              <w:t xml:space="preserve"> </w:t>
            </w:r>
            <w:r w:rsidRPr="00EE6C92">
              <w:rPr>
                <w:sz w:val="24"/>
                <w:szCs w:val="14"/>
              </w:rPr>
              <w:t>incl. les C</w:t>
            </w:r>
            <w:r w:rsidRPr="00EE6C92">
              <w:rPr>
                <w:sz w:val="24"/>
                <w:szCs w:val="14"/>
              </w:rPr>
              <w:t>a</w:t>
            </w:r>
            <w:r w:rsidRPr="00EE6C92">
              <w:rPr>
                <w:sz w:val="24"/>
                <w:szCs w:val="14"/>
              </w:rPr>
              <w:t>raïbes</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10.7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6.3</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5.7</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7.5</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8.5</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12.2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11.0</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Pr>
                <w:sz w:val="24"/>
                <w:szCs w:val="14"/>
              </w:rPr>
              <w:t>Etats-Unis</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11.5</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8.6</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6.9</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8.2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7.8</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Am</w:t>
            </w:r>
            <w:r w:rsidRPr="00EE6C92">
              <w:rPr>
                <w:sz w:val="24"/>
                <w:szCs w:val="14"/>
              </w:rPr>
              <w:t>é</w:t>
            </w:r>
            <w:r w:rsidRPr="00EE6C92">
              <w:rPr>
                <w:sz w:val="24"/>
                <w:szCs w:val="14"/>
              </w:rPr>
              <w:t>rique du Sud</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7.9</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5.2</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3.8</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4.8</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5.7</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5.4</w:t>
            </w:r>
          </w:p>
        </w:tc>
        <w:tc>
          <w:tcPr>
            <w:tcW w:w="847" w:type="dxa"/>
            <w:tcBorders>
              <w:top w:val="nil"/>
              <w:left w:val="nil"/>
              <w:bottom w:val="nil"/>
              <w:right w:val="nil"/>
            </w:tcBorders>
            <w:shd w:val="clear" w:color="auto" w:fill="FFFFFF"/>
          </w:tcPr>
          <w:p w:rsidR="00AD690E" w:rsidRPr="00EE6C92" w:rsidRDefault="00AD690E" w:rsidP="00AD690E">
            <w:pPr>
              <w:ind w:firstLine="0"/>
              <w:jc w:val="both"/>
              <w:rPr>
                <w:sz w:val="24"/>
              </w:rPr>
            </w:pPr>
            <w:r w:rsidRPr="00EE6C92">
              <w:rPr>
                <w:sz w:val="24"/>
                <w:szCs w:val="14"/>
              </w:rPr>
              <w:t>4.6</w:t>
            </w:r>
          </w:p>
        </w:tc>
        <w:tc>
          <w:tcPr>
            <w:tcW w:w="848" w:type="dxa"/>
            <w:tcBorders>
              <w:top w:val="nil"/>
              <w:left w:val="nil"/>
              <w:bottom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A</w:t>
            </w:r>
            <w:r w:rsidRPr="00EE6C92">
              <w:rPr>
                <w:sz w:val="24"/>
                <w:szCs w:val="14"/>
              </w:rPr>
              <w:t>u</w:t>
            </w:r>
            <w:r w:rsidRPr="00EE6C92">
              <w:rPr>
                <w:sz w:val="24"/>
                <w:szCs w:val="14"/>
              </w:rPr>
              <w:t>tres</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0.9</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 xml:space="preserve">0.7 </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 xml:space="preserve">0.7 </w:t>
            </w:r>
          </w:p>
        </w:tc>
        <w:tc>
          <w:tcPr>
            <w:tcW w:w="848"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 xml:space="preserve">0.7 </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1.1</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1.0</w:t>
            </w:r>
          </w:p>
        </w:tc>
        <w:tc>
          <w:tcPr>
            <w:tcW w:w="847" w:type="dxa"/>
            <w:tcBorders>
              <w:top w:val="nil"/>
              <w:left w:val="nil"/>
              <w:right w:val="nil"/>
            </w:tcBorders>
            <w:shd w:val="clear" w:color="auto" w:fill="FFFFFF"/>
          </w:tcPr>
          <w:p w:rsidR="00AD690E" w:rsidRPr="00EE6C92" w:rsidRDefault="00AD690E" w:rsidP="00AD690E">
            <w:pPr>
              <w:ind w:firstLine="0"/>
              <w:jc w:val="both"/>
              <w:rPr>
                <w:sz w:val="24"/>
              </w:rPr>
            </w:pPr>
            <w:r w:rsidRPr="00EE6C92">
              <w:rPr>
                <w:sz w:val="24"/>
                <w:szCs w:val="14"/>
              </w:rPr>
              <w:t>0.7</w:t>
            </w:r>
          </w:p>
        </w:tc>
        <w:tc>
          <w:tcPr>
            <w:tcW w:w="848" w:type="dxa"/>
            <w:tcBorders>
              <w:top w:val="nil"/>
              <w:left w:val="nil"/>
              <w:right w:val="nil"/>
            </w:tcBorders>
            <w:shd w:val="clear" w:color="auto" w:fill="FFFFFF"/>
          </w:tcPr>
          <w:p w:rsidR="00AD690E" w:rsidRPr="00EE6C92" w:rsidRDefault="00AD690E" w:rsidP="00AD690E">
            <w:pPr>
              <w:ind w:firstLine="0"/>
              <w:jc w:val="both"/>
              <w:rPr>
                <w:sz w:val="24"/>
              </w:rPr>
            </w:pPr>
          </w:p>
        </w:tc>
      </w:tr>
      <w:tr w:rsidR="00AD690E" w:rsidRPr="00562808">
        <w:tblPrEx>
          <w:tblCellMar>
            <w:top w:w="0" w:type="dxa"/>
            <w:bottom w:w="0" w:type="dxa"/>
          </w:tblCellMar>
        </w:tblPrEx>
        <w:tc>
          <w:tcPr>
            <w:tcW w:w="3033" w:type="dxa"/>
            <w:tcBorders>
              <w:left w:val="nil"/>
              <w:bottom w:val="single" w:sz="4" w:space="0" w:color="auto"/>
              <w:right w:val="nil"/>
            </w:tcBorders>
            <w:shd w:val="clear" w:color="auto" w:fill="FFFFFF"/>
          </w:tcPr>
          <w:p w:rsidR="00AD690E" w:rsidRPr="00EE6C92" w:rsidRDefault="00AD690E" w:rsidP="00AD690E">
            <w:pPr>
              <w:spacing w:after="120"/>
              <w:ind w:firstLine="0"/>
              <w:jc w:val="both"/>
              <w:rPr>
                <w:sz w:val="24"/>
                <w:szCs w:val="14"/>
              </w:rPr>
            </w:pPr>
          </w:p>
        </w:tc>
        <w:tc>
          <w:tcPr>
            <w:tcW w:w="847" w:type="dxa"/>
            <w:tcBorders>
              <w:left w:val="nil"/>
              <w:bottom w:val="single" w:sz="4" w:space="0" w:color="auto"/>
              <w:right w:val="nil"/>
            </w:tcBorders>
            <w:shd w:val="clear" w:color="auto" w:fill="FFFFFF"/>
          </w:tcPr>
          <w:p w:rsidR="00AD690E" w:rsidRDefault="00AD690E" w:rsidP="00AD690E">
            <w:pPr>
              <w:spacing w:after="120"/>
              <w:ind w:firstLine="0"/>
            </w:pPr>
            <w:r w:rsidRPr="008F3C1E">
              <w:rPr>
                <w:sz w:val="24"/>
                <w:szCs w:val="14"/>
              </w:rPr>
              <w:t>100%</w:t>
            </w:r>
          </w:p>
        </w:tc>
        <w:tc>
          <w:tcPr>
            <w:tcW w:w="847" w:type="dxa"/>
            <w:tcBorders>
              <w:left w:val="nil"/>
              <w:bottom w:val="single" w:sz="4" w:space="0" w:color="auto"/>
              <w:right w:val="nil"/>
            </w:tcBorders>
            <w:shd w:val="clear" w:color="auto" w:fill="FFFFFF"/>
          </w:tcPr>
          <w:p w:rsidR="00AD690E" w:rsidRDefault="00AD690E" w:rsidP="00AD690E">
            <w:pPr>
              <w:spacing w:after="120"/>
              <w:ind w:firstLine="0"/>
            </w:pPr>
            <w:r w:rsidRPr="008F3C1E">
              <w:rPr>
                <w:sz w:val="24"/>
                <w:szCs w:val="14"/>
              </w:rPr>
              <w:t>100%</w:t>
            </w:r>
          </w:p>
        </w:tc>
        <w:tc>
          <w:tcPr>
            <w:tcW w:w="847" w:type="dxa"/>
            <w:tcBorders>
              <w:left w:val="nil"/>
              <w:bottom w:val="single" w:sz="4" w:space="0" w:color="auto"/>
              <w:right w:val="nil"/>
            </w:tcBorders>
            <w:shd w:val="clear" w:color="auto" w:fill="FFFFFF"/>
          </w:tcPr>
          <w:p w:rsidR="00AD690E" w:rsidRDefault="00AD690E" w:rsidP="00AD690E">
            <w:pPr>
              <w:spacing w:after="120"/>
              <w:ind w:firstLine="0"/>
            </w:pPr>
            <w:r w:rsidRPr="008F3C1E">
              <w:rPr>
                <w:sz w:val="24"/>
                <w:szCs w:val="14"/>
              </w:rPr>
              <w:t>100%</w:t>
            </w:r>
          </w:p>
        </w:tc>
        <w:tc>
          <w:tcPr>
            <w:tcW w:w="848" w:type="dxa"/>
            <w:tcBorders>
              <w:left w:val="nil"/>
              <w:bottom w:val="single" w:sz="4" w:space="0" w:color="auto"/>
              <w:right w:val="nil"/>
            </w:tcBorders>
            <w:shd w:val="clear" w:color="auto" w:fill="FFFFFF"/>
          </w:tcPr>
          <w:p w:rsidR="00AD690E" w:rsidRDefault="00AD690E" w:rsidP="00AD690E">
            <w:pPr>
              <w:spacing w:after="120"/>
              <w:ind w:firstLine="0"/>
            </w:pPr>
            <w:r w:rsidRPr="008F3C1E">
              <w:rPr>
                <w:sz w:val="24"/>
                <w:szCs w:val="14"/>
              </w:rPr>
              <w:t>100%</w:t>
            </w:r>
          </w:p>
        </w:tc>
        <w:tc>
          <w:tcPr>
            <w:tcW w:w="847" w:type="dxa"/>
            <w:tcBorders>
              <w:left w:val="nil"/>
              <w:bottom w:val="single" w:sz="4" w:space="0" w:color="auto"/>
              <w:right w:val="nil"/>
            </w:tcBorders>
            <w:shd w:val="clear" w:color="auto" w:fill="FFFFFF"/>
          </w:tcPr>
          <w:p w:rsidR="00AD690E" w:rsidRPr="00EE6C92" w:rsidRDefault="00AD690E" w:rsidP="00AD690E">
            <w:pPr>
              <w:spacing w:after="120"/>
              <w:ind w:firstLine="0"/>
              <w:jc w:val="both"/>
              <w:rPr>
                <w:sz w:val="24"/>
                <w:szCs w:val="14"/>
              </w:rPr>
            </w:pPr>
          </w:p>
        </w:tc>
        <w:tc>
          <w:tcPr>
            <w:tcW w:w="847" w:type="dxa"/>
            <w:tcBorders>
              <w:left w:val="nil"/>
              <w:bottom w:val="single" w:sz="4" w:space="0" w:color="auto"/>
              <w:right w:val="nil"/>
            </w:tcBorders>
            <w:shd w:val="clear" w:color="auto" w:fill="FFFFFF"/>
          </w:tcPr>
          <w:p w:rsidR="00AD690E" w:rsidRPr="00EE6C92" w:rsidRDefault="00AD690E" w:rsidP="00AD690E">
            <w:pPr>
              <w:spacing w:after="120"/>
              <w:ind w:firstLine="0"/>
              <w:jc w:val="both"/>
              <w:rPr>
                <w:sz w:val="24"/>
                <w:szCs w:val="14"/>
              </w:rPr>
            </w:pPr>
          </w:p>
        </w:tc>
        <w:tc>
          <w:tcPr>
            <w:tcW w:w="847" w:type="dxa"/>
            <w:tcBorders>
              <w:left w:val="nil"/>
              <w:bottom w:val="single" w:sz="4" w:space="0" w:color="auto"/>
              <w:right w:val="nil"/>
            </w:tcBorders>
            <w:shd w:val="clear" w:color="auto" w:fill="FFFFFF"/>
          </w:tcPr>
          <w:p w:rsidR="00AD690E" w:rsidRPr="00EE6C92" w:rsidRDefault="00AD690E" w:rsidP="00AD690E">
            <w:pPr>
              <w:spacing w:after="120"/>
              <w:ind w:firstLine="0"/>
              <w:jc w:val="both"/>
              <w:rPr>
                <w:sz w:val="24"/>
                <w:szCs w:val="14"/>
              </w:rPr>
            </w:pPr>
          </w:p>
        </w:tc>
        <w:tc>
          <w:tcPr>
            <w:tcW w:w="848" w:type="dxa"/>
            <w:tcBorders>
              <w:left w:val="nil"/>
              <w:bottom w:val="single" w:sz="4" w:space="0" w:color="auto"/>
              <w:right w:val="nil"/>
            </w:tcBorders>
            <w:shd w:val="clear" w:color="auto" w:fill="FFFFFF"/>
          </w:tcPr>
          <w:p w:rsidR="00AD690E" w:rsidRPr="00EE6C92" w:rsidRDefault="00AD690E" w:rsidP="00AD690E">
            <w:pPr>
              <w:spacing w:after="120"/>
              <w:ind w:firstLine="0"/>
              <w:jc w:val="both"/>
              <w:rPr>
                <w:sz w:val="24"/>
              </w:rPr>
            </w:pPr>
          </w:p>
        </w:tc>
      </w:tr>
    </w:tbl>
    <w:p w:rsidR="00AD690E" w:rsidRPr="00562808" w:rsidRDefault="00AD690E" w:rsidP="00AD690E">
      <w:pPr>
        <w:pStyle w:val="FIGST0"/>
      </w:pPr>
      <w:r w:rsidRPr="00562808">
        <w:t>Source : 1) Ministère de la Main-d'</w:t>
      </w:r>
      <w:r>
        <w:t>œuvre</w:t>
      </w:r>
      <w:r w:rsidRPr="00562808">
        <w:t xml:space="preserve"> et de l'Immigration, </w:t>
      </w:r>
      <w:r w:rsidRPr="00562808">
        <w:rPr>
          <w:i/>
          <w:iCs/>
        </w:rPr>
        <w:t xml:space="preserve">Le programme d'immigration, </w:t>
      </w:r>
      <w:r w:rsidRPr="00562808">
        <w:t>O</w:t>
      </w:r>
      <w:r w:rsidRPr="00562808">
        <w:t>t</w:t>
      </w:r>
      <w:r w:rsidRPr="00562808">
        <w:t>tawa, Information Canada, 1974, p. 93. 2) Ministère de la Main-d'</w:t>
      </w:r>
      <w:r>
        <w:t>œuvre</w:t>
      </w:r>
      <w:r w:rsidRPr="00562808">
        <w:t xml:space="preserve"> et de l'Immigration, </w:t>
      </w:r>
      <w:r w:rsidRPr="00562808">
        <w:rPr>
          <w:i/>
          <w:iCs/>
        </w:rPr>
        <w:t>I</w:t>
      </w:r>
      <w:r w:rsidRPr="00562808">
        <w:rPr>
          <w:i/>
          <w:iCs/>
        </w:rPr>
        <w:t>m</w:t>
      </w:r>
      <w:r w:rsidRPr="00562808">
        <w:rPr>
          <w:i/>
          <w:iCs/>
        </w:rPr>
        <w:t xml:space="preserve">migration. Statistiques, </w:t>
      </w:r>
      <w:r w:rsidRPr="00562808">
        <w:t xml:space="preserve">1974-76. Ministère de l'Emploi et de l'Immigration, </w:t>
      </w:r>
      <w:r w:rsidRPr="00562808">
        <w:rPr>
          <w:i/>
          <w:iCs/>
        </w:rPr>
        <w:t>Immigration. Statist</w:t>
      </w:r>
      <w:r w:rsidRPr="00562808">
        <w:rPr>
          <w:i/>
          <w:iCs/>
        </w:rPr>
        <w:t>i</w:t>
      </w:r>
      <w:r w:rsidRPr="00562808">
        <w:rPr>
          <w:i/>
          <w:iCs/>
        </w:rPr>
        <w:t>ques.</w:t>
      </w:r>
    </w:p>
    <w:p w:rsidR="00AD690E" w:rsidRDefault="00AD690E" w:rsidP="00AD690E">
      <w:pPr>
        <w:spacing w:before="120" w:after="120"/>
        <w:jc w:val="both"/>
        <w:rPr>
          <w:szCs w:val="22"/>
        </w:rPr>
      </w:pPr>
      <w:r>
        <w:rPr>
          <w:szCs w:val="22"/>
        </w:rPr>
        <w:br w:type="page"/>
      </w:r>
    </w:p>
    <w:p w:rsidR="00AD690E" w:rsidRPr="00562808" w:rsidRDefault="00AD690E" w:rsidP="00AD690E">
      <w:pPr>
        <w:spacing w:before="120" w:after="120"/>
        <w:jc w:val="both"/>
      </w:pPr>
      <w:r w:rsidRPr="00562808">
        <w:rPr>
          <w:szCs w:val="22"/>
        </w:rPr>
        <w:t>Au début de la décennie soixante, le nombre d'immigrés indépe</w:t>
      </w:r>
      <w:r w:rsidRPr="00562808">
        <w:rPr>
          <w:szCs w:val="22"/>
        </w:rPr>
        <w:t>n</w:t>
      </w:r>
      <w:r w:rsidRPr="00562808">
        <w:rPr>
          <w:szCs w:val="22"/>
        </w:rPr>
        <w:t>dants augmente pour diminuer à partir de 1968. Inversement, le no</w:t>
      </w:r>
      <w:r w:rsidRPr="00562808">
        <w:rPr>
          <w:szCs w:val="22"/>
        </w:rPr>
        <w:t>m</w:t>
      </w:r>
      <w:r w:rsidRPr="00562808">
        <w:rPr>
          <w:szCs w:val="22"/>
        </w:rPr>
        <w:t>bre de parrainés et de parents dés</w:t>
      </w:r>
      <w:r w:rsidRPr="00562808">
        <w:rPr>
          <w:szCs w:val="22"/>
        </w:rPr>
        <w:t>i</w:t>
      </w:r>
      <w:r w:rsidRPr="00562808">
        <w:rPr>
          <w:szCs w:val="22"/>
        </w:rPr>
        <w:t>gnés s'est accru considérablement entre 1968 et 1972, traduisant une augmentation des travailleurs moins qualifiés et destinés au secteur industriel dans les emplois de « cols-bleus »</w:t>
      </w:r>
      <w:r>
        <w:rPr>
          <w:szCs w:val="22"/>
        </w:rPr>
        <w:t> </w:t>
      </w:r>
      <w:r w:rsidRPr="00D23A0B">
        <w:rPr>
          <w:rStyle w:val="Appelnotedebasdep"/>
        </w:rPr>
        <w:footnoteReference w:id="542"/>
      </w:r>
      <w:r w:rsidRPr="00562808">
        <w:rPr>
          <w:szCs w:val="22"/>
        </w:rPr>
        <w:t xml:space="preserve"> (voir le tableau 6). L'intention d'emploi</w:t>
      </w:r>
      <w:r>
        <w:rPr>
          <w:szCs w:val="22"/>
        </w:rPr>
        <w:t xml:space="preserve"> </w:t>
      </w:r>
      <w:r>
        <w:t xml:space="preserve">[327] </w:t>
      </w:r>
      <w:r w:rsidRPr="00562808">
        <w:rPr>
          <w:szCs w:val="22"/>
        </w:rPr>
        <w:t>connait des changements radicaux. On remarque une augmentation constante dans les catégories « administration et personnel profe</w:t>
      </w:r>
      <w:r w:rsidRPr="00562808">
        <w:rPr>
          <w:szCs w:val="22"/>
        </w:rPr>
        <w:t>s</w:t>
      </w:r>
      <w:r w:rsidRPr="00562808">
        <w:rPr>
          <w:szCs w:val="22"/>
        </w:rPr>
        <w:t>sionnel », qui passent de 17,1% (1958 à 1962) à 34,9% en 1969, pour commencer à baisser entre 1970 et 1973. Les i</w:t>
      </w:r>
      <w:r w:rsidRPr="00562808">
        <w:rPr>
          <w:szCs w:val="22"/>
        </w:rPr>
        <w:t>n</w:t>
      </w:r>
      <w:r w:rsidRPr="00562808">
        <w:rPr>
          <w:szCs w:val="22"/>
        </w:rPr>
        <w:t>tentions d'emploi dans les catégories « personnel de bureau » et « métiers de la fabric</w:t>
      </w:r>
      <w:r w:rsidRPr="00562808">
        <w:rPr>
          <w:szCs w:val="22"/>
        </w:rPr>
        <w:t>a</w:t>
      </w:r>
      <w:r w:rsidRPr="00562808">
        <w:rPr>
          <w:szCs w:val="22"/>
        </w:rPr>
        <w:t>tion et de la mécanique » sont également en hausse, aux dépens de la catég</w:t>
      </w:r>
      <w:r w:rsidRPr="00562808">
        <w:rPr>
          <w:szCs w:val="22"/>
        </w:rPr>
        <w:t>o</w:t>
      </w:r>
      <w:r w:rsidRPr="00562808">
        <w:rPr>
          <w:szCs w:val="22"/>
        </w:rPr>
        <w:t>rie des agr</w:t>
      </w:r>
      <w:r w:rsidRPr="00562808">
        <w:rPr>
          <w:szCs w:val="22"/>
        </w:rPr>
        <w:t>i</w:t>
      </w:r>
      <w:r w:rsidRPr="00562808">
        <w:rPr>
          <w:szCs w:val="22"/>
        </w:rPr>
        <w:t>culteurs (voir le tableau 7). Il faut se rappeler qu'il s'agit bien ici de l'intention d'emploi du requérant avant d'émigrer, et que cette intention, tout en restant significative de la</w:t>
      </w:r>
      <w:r w:rsidRPr="00562808">
        <w:rPr>
          <w:szCs w:val="22"/>
        </w:rPr>
        <w:t>r</w:t>
      </w:r>
      <w:r w:rsidRPr="00562808">
        <w:rPr>
          <w:szCs w:val="22"/>
        </w:rPr>
        <w:t>ges tendances, ne correspond pas nécessairement à l'emploi réellement occupé. Trop de facteurs, comme la méconnaissance de la langue, les difficultés liées à la reconnaissance du diplôme, l'expérience demandée, le manque d'emploi approprié, peuvent interférer.</w:t>
      </w:r>
    </w:p>
    <w:p w:rsidR="00AD690E" w:rsidRDefault="00AD690E" w:rsidP="00AD690E">
      <w:pPr>
        <w:spacing w:before="120" w:after="120"/>
        <w:jc w:val="both"/>
        <w:rPr>
          <w:bCs/>
          <w:szCs w:val="22"/>
        </w:rPr>
      </w:pPr>
      <w:r>
        <w:rPr>
          <w:bCs/>
          <w:szCs w:val="22"/>
        </w:rPr>
        <w:br w:type="page"/>
      </w:r>
    </w:p>
    <w:p w:rsidR="00AD690E" w:rsidRPr="00562808" w:rsidRDefault="00AD690E" w:rsidP="00AD690E">
      <w:pPr>
        <w:pStyle w:val="figtitre"/>
        <w:rPr>
          <w:szCs w:val="2"/>
        </w:rPr>
      </w:pPr>
      <w:r w:rsidRPr="00562808">
        <w:t>Tableau 6</w:t>
      </w:r>
      <w:r>
        <w:br/>
      </w:r>
      <w:r w:rsidRPr="00562808">
        <w:t>Répartition des immigrés par catégorie d'admission</w:t>
      </w:r>
      <w:r>
        <w:br/>
      </w:r>
      <w:r w:rsidRPr="00562808">
        <w:t>1965-1983</w:t>
      </w:r>
    </w:p>
    <w:tbl>
      <w:tblPr>
        <w:tblW w:w="0" w:type="auto"/>
        <w:tblInd w:w="40" w:type="dxa"/>
        <w:tblLayout w:type="fixed"/>
        <w:tblCellMar>
          <w:left w:w="40" w:type="dxa"/>
          <w:right w:w="40" w:type="dxa"/>
        </w:tblCellMar>
        <w:tblLook w:val="0000" w:firstRow="0" w:lastRow="0" w:firstColumn="0" w:lastColumn="0" w:noHBand="0" w:noVBand="0"/>
      </w:tblPr>
      <w:tblGrid>
        <w:gridCol w:w="920"/>
        <w:gridCol w:w="920"/>
        <w:gridCol w:w="920"/>
        <w:gridCol w:w="920"/>
        <w:gridCol w:w="920"/>
        <w:gridCol w:w="920"/>
        <w:gridCol w:w="920"/>
        <w:gridCol w:w="920"/>
        <w:gridCol w:w="920"/>
      </w:tblGrid>
      <w:tr w:rsidR="00AD690E" w:rsidRPr="00562808">
        <w:tblPrEx>
          <w:tblCellMar>
            <w:top w:w="0" w:type="dxa"/>
            <w:bottom w:w="0" w:type="dxa"/>
          </w:tblCellMar>
        </w:tblPrEx>
        <w:trPr>
          <w:cantSplit/>
          <w:trHeight w:val="1782"/>
        </w:trPr>
        <w:tc>
          <w:tcPr>
            <w:tcW w:w="1840" w:type="dxa"/>
            <w:gridSpan w:val="2"/>
            <w:tcBorders>
              <w:top w:val="single" w:sz="4" w:space="0" w:color="auto"/>
              <w:left w:val="nil"/>
              <w:bottom w:val="single" w:sz="4" w:space="0" w:color="auto"/>
              <w:right w:val="nil"/>
            </w:tcBorders>
            <w:shd w:val="clear" w:color="auto" w:fill="EEECE1"/>
          </w:tcPr>
          <w:p w:rsidR="00AD690E" w:rsidRPr="00C20384" w:rsidRDefault="00AD690E" w:rsidP="00AD690E">
            <w:pPr>
              <w:ind w:firstLine="0"/>
              <w:jc w:val="both"/>
              <w:rPr>
                <w:sz w:val="24"/>
                <w:szCs w:val="16"/>
              </w:rPr>
            </w:pPr>
          </w:p>
        </w:tc>
        <w:tc>
          <w:tcPr>
            <w:tcW w:w="1840" w:type="dxa"/>
            <w:gridSpan w:val="2"/>
            <w:tcBorders>
              <w:top w:val="single" w:sz="4" w:space="0" w:color="auto"/>
              <w:left w:val="nil"/>
              <w:bottom w:val="single" w:sz="4" w:space="0" w:color="auto"/>
              <w:right w:val="nil"/>
            </w:tcBorders>
            <w:shd w:val="clear" w:color="auto" w:fill="EEECE1"/>
            <w:textDirection w:val="btLr"/>
            <w:vAlign w:val="center"/>
          </w:tcPr>
          <w:p w:rsidR="00AD690E" w:rsidRPr="00C20384" w:rsidRDefault="00AD690E" w:rsidP="00AD690E">
            <w:pPr>
              <w:ind w:left="113" w:right="113" w:firstLine="0"/>
              <w:rPr>
                <w:sz w:val="24"/>
                <w:szCs w:val="16"/>
              </w:rPr>
            </w:pPr>
            <w:r w:rsidRPr="00C20384">
              <w:rPr>
                <w:sz w:val="24"/>
                <w:szCs w:val="14"/>
              </w:rPr>
              <w:t>Parra</w:t>
            </w:r>
            <w:r w:rsidRPr="00C20384">
              <w:rPr>
                <w:sz w:val="24"/>
                <w:szCs w:val="14"/>
              </w:rPr>
              <w:t>i</w:t>
            </w:r>
            <w:r w:rsidRPr="00C20384">
              <w:rPr>
                <w:sz w:val="24"/>
                <w:szCs w:val="14"/>
              </w:rPr>
              <w:t>nés (ou</w:t>
            </w:r>
            <w:r>
              <w:rPr>
                <w:sz w:val="24"/>
                <w:szCs w:val="14"/>
              </w:rPr>
              <w:t xml:space="preserve"> </w:t>
            </w:r>
            <w:r w:rsidRPr="00C20384">
              <w:rPr>
                <w:sz w:val="24"/>
                <w:szCs w:val="14"/>
              </w:rPr>
              <w:t>cat</w:t>
            </w:r>
            <w:r w:rsidRPr="00C20384">
              <w:rPr>
                <w:sz w:val="24"/>
                <w:szCs w:val="14"/>
              </w:rPr>
              <w:t>é</w:t>
            </w:r>
            <w:r w:rsidRPr="00C20384">
              <w:rPr>
                <w:sz w:val="24"/>
                <w:szCs w:val="14"/>
              </w:rPr>
              <w:t>gories de la famille)</w:t>
            </w:r>
          </w:p>
        </w:tc>
        <w:tc>
          <w:tcPr>
            <w:tcW w:w="1840" w:type="dxa"/>
            <w:gridSpan w:val="2"/>
            <w:tcBorders>
              <w:top w:val="single" w:sz="4" w:space="0" w:color="auto"/>
              <w:left w:val="nil"/>
              <w:bottom w:val="single" w:sz="4" w:space="0" w:color="auto"/>
              <w:right w:val="nil"/>
            </w:tcBorders>
            <w:shd w:val="clear" w:color="auto" w:fill="EEECE1"/>
            <w:textDirection w:val="btLr"/>
            <w:vAlign w:val="center"/>
          </w:tcPr>
          <w:p w:rsidR="00AD690E" w:rsidRPr="00C20384" w:rsidRDefault="00AD690E" w:rsidP="00AD690E">
            <w:pPr>
              <w:ind w:left="113" w:right="113" w:firstLine="0"/>
              <w:rPr>
                <w:sz w:val="24"/>
              </w:rPr>
            </w:pPr>
            <w:r w:rsidRPr="00C20384">
              <w:rPr>
                <w:sz w:val="24"/>
                <w:szCs w:val="14"/>
              </w:rPr>
              <w:t>Désignés (ou</w:t>
            </w:r>
            <w:r>
              <w:rPr>
                <w:sz w:val="24"/>
                <w:szCs w:val="14"/>
              </w:rPr>
              <w:t xml:space="preserve"> </w:t>
            </w:r>
            <w:r w:rsidRPr="00C20384">
              <w:rPr>
                <w:sz w:val="24"/>
                <w:szCs w:val="14"/>
              </w:rPr>
              <w:t>parents</w:t>
            </w:r>
            <w:r>
              <w:rPr>
                <w:sz w:val="24"/>
                <w:szCs w:val="14"/>
              </w:rPr>
              <w:t xml:space="preserve"> </w:t>
            </w:r>
            <w:r w:rsidRPr="00C20384">
              <w:rPr>
                <w:sz w:val="24"/>
                <w:szCs w:val="14"/>
              </w:rPr>
              <w:t>a</w:t>
            </w:r>
            <w:r w:rsidRPr="00C20384">
              <w:rPr>
                <w:sz w:val="24"/>
                <w:szCs w:val="14"/>
              </w:rPr>
              <w:t>i</w:t>
            </w:r>
            <w:r w:rsidRPr="00C20384">
              <w:rPr>
                <w:sz w:val="24"/>
                <w:szCs w:val="14"/>
              </w:rPr>
              <w:t>dés)</w:t>
            </w:r>
          </w:p>
        </w:tc>
        <w:tc>
          <w:tcPr>
            <w:tcW w:w="1840" w:type="dxa"/>
            <w:gridSpan w:val="2"/>
            <w:tcBorders>
              <w:top w:val="single" w:sz="4" w:space="0" w:color="auto"/>
              <w:left w:val="nil"/>
              <w:bottom w:val="single" w:sz="4" w:space="0" w:color="auto"/>
              <w:right w:val="nil"/>
            </w:tcBorders>
            <w:shd w:val="clear" w:color="auto" w:fill="EEECE1"/>
            <w:textDirection w:val="btLr"/>
            <w:vAlign w:val="center"/>
          </w:tcPr>
          <w:p w:rsidR="00AD690E" w:rsidRPr="00C20384" w:rsidRDefault="00AD690E" w:rsidP="00AD690E">
            <w:pPr>
              <w:ind w:left="113" w:right="113" w:firstLine="0"/>
              <w:rPr>
                <w:sz w:val="24"/>
                <w:szCs w:val="16"/>
              </w:rPr>
            </w:pPr>
            <w:r w:rsidRPr="00C20384">
              <w:rPr>
                <w:sz w:val="24"/>
                <w:szCs w:val="14"/>
              </w:rPr>
              <w:t>Ind</w:t>
            </w:r>
            <w:r w:rsidRPr="00C20384">
              <w:rPr>
                <w:sz w:val="24"/>
                <w:szCs w:val="14"/>
              </w:rPr>
              <w:t>é</w:t>
            </w:r>
            <w:r w:rsidRPr="00C20384">
              <w:rPr>
                <w:sz w:val="24"/>
                <w:szCs w:val="14"/>
              </w:rPr>
              <w:t>pendants</w:t>
            </w:r>
          </w:p>
        </w:tc>
        <w:tc>
          <w:tcPr>
            <w:tcW w:w="920" w:type="dxa"/>
            <w:tcBorders>
              <w:top w:val="single" w:sz="4" w:space="0" w:color="auto"/>
              <w:left w:val="nil"/>
              <w:bottom w:val="single" w:sz="4" w:space="0" w:color="auto"/>
              <w:right w:val="nil"/>
            </w:tcBorders>
            <w:shd w:val="clear" w:color="auto" w:fill="EEECE1"/>
            <w:textDirection w:val="btLr"/>
            <w:vAlign w:val="center"/>
          </w:tcPr>
          <w:p w:rsidR="00AD690E" w:rsidRPr="00C20384" w:rsidRDefault="00AD690E" w:rsidP="00AD690E">
            <w:pPr>
              <w:ind w:left="113" w:right="113" w:firstLine="0"/>
              <w:rPr>
                <w:sz w:val="24"/>
              </w:rPr>
            </w:pPr>
            <w:r w:rsidRPr="00C20384">
              <w:rPr>
                <w:sz w:val="24"/>
                <w:szCs w:val="14"/>
              </w:rPr>
              <w:t xml:space="preserve">Réfug. </w:t>
            </w:r>
            <w:r>
              <w:rPr>
                <w:sz w:val="24"/>
                <w:szCs w:val="14"/>
              </w:rPr>
              <w:t>e</w:t>
            </w:r>
            <w:r w:rsidRPr="00C20384">
              <w:rPr>
                <w:sz w:val="24"/>
                <w:szCs w:val="14"/>
              </w:rPr>
              <w:t>t</w:t>
            </w:r>
            <w:r>
              <w:rPr>
                <w:sz w:val="24"/>
                <w:szCs w:val="14"/>
              </w:rPr>
              <w:t xml:space="preserve"> </w:t>
            </w:r>
            <w:r w:rsidRPr="00C20384">
              <w:rPr>
                <w:sz w:val="24"/>
                <w:szCs w:val="14"/>
              </w:rPr>
              <w:t>cat</w:t>
            </w:r>
            <w:r w:rsidRPr="00C20384">
              <w:rPr>
                <w:sz w:val="24"/>
                <w:szCs w:val="14"/>
              </w:rPr>
              <w:t>é</w:t>
            </w:r>
            <w:r w:rsidRPr="00C20384">
              <w:rPr>
                <w:sz w:val="24"/>
                <w:szCs w:val="14"/>
              </w:rPr>
              <w:t>g</w:t>
            </w:r>
            <w:r w:rsidRPr="00C20384">
              <w:rPr>
                <w:sz w:val="24"/>
                <w:szCs w:val="14"/>
              </w:rPr>
              <w:t>o</w:t>
            </w:r>
            <w:r w:rsidRPr="00C20384">
              <w:rPr>
                <w:sz w:val="24"/>
                <w:szCs w:val="14"/>
              </w:rPr>
              <w:t>ries</w:t>
            </w:r>
            <w:r>
              <w:rPr>
                <w:sz w:val="24"/>
                <w:szCs w:val="14"/>
              </w:rPr>
              <w:t xml:space="preserve"> </w:t>
            </w:r>
            <w:r w:rsidRPr="00C20384">
              <w:rPr>
                <w:sz w:val="24"/>
                <w:szCs w:val="14"/>
              </w:rPr>
              <w:t>dés</w:t>
            </w:r>
            <w:r w:rsidRPr="00C20384">
              <w:rPr>
                <w:sz w:val="24"/>
                <w:szCs w:val="14"/>
              </w:rPr>
              <w:t>i</w:t>
            </w:r>
            <w:r w:rsidRPr="00C20384">
              <w:rPr>
                <w:sz w:val="24"/>
                <w:szCs w:val="14"/>
              </w:rPr>
              <w:t>gnées</w:t>
            </w:r>
          </w:p>
        </w:tc>
      </w:tr>
      <w:tr w:rsidR="00AD690E" w:rsidRPr="00562808">
        <w:tblPrEx>
          <w:tblCellMar>
            <w:top w:w="0" w:type="dxa"/>
            <w:bottom w:w="0" w:type="dxa"/>
          </w:tblCellMar>
        </w:tblPrEx>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both"/>
              <w:rPr>
                <w:sz w:val="24"/>
                <w:szCs w:val="16"/>
              </w:rPr>
            </w:pPr>
            <w:r>
              <w:rPr>
                <w:sz w:val="24"/>
                <w:szCs w:val="14"/>
              </w:rPr>
              <w:t>a</w:t>
            </w:r>
            <w:r w:rsidRPr="00C20384">
              <w:rPr>
                <w:sz w:val="24"/>
                <w:szCs w:val="14"/>
              </w:rPr>
              <w:t>n</w:t>
            </w:r>
            <w:r w:rsidRPr="00C20384">
              <w:rPr>
                <w:sz w:val="24"/>
                <w:szCs w:val="14"/>
              </w:rPr>
              <w:t>née</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sz w:val="24"/>
                <w:szCs w:val="14"/>
              </w:rPr>
              <w:t>T</w:t>
            </w:r>
            <w:r w:rsidRPr="00C20384">
              <w:rPr>
                <w:sz w:val="24"/>
                <w:szCs w:val="14"/>
              </w:rPr>
              <w:t>o</w:t>
            </w:r>
            <w:r w:rsidRPr="00C20384">
              <w:rPr>
                <w:sz w:val="24"/>
                <w:szCs w:val="14"/>
              </w:rPr>
              <w:t>tal</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sz w:val="24"/>
                <w:szCs w:val="14"/>
              </w:rPr>
              <w:t>Nombre</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bCs/>
                <w:i/>
                <w:iCs/>
                <w:sz w:val="24"/>
              </w:rPr>
              <w:t>%</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sz w:val="24"/>
                <w:szCs w:val="14"/>
              </w:rPr>
              <w:t>Nombre</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bCs/>
                <w:i/>
                <w:iCs/>
                <w:sz w:val="24"/>
              </w:rPr>
              <w:t>%</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sz w:val="24"/>
                <w:szCs w:val="14"/>
              </w:rPr>
              <w:t>Nombre</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szCs w:val="16"/>
              </w:rPr>
            </w:pPr>
            <w:r w:rsidRPr="00C20384">
              <w:rPr>
                <w:bCs/>
                <w:i/>
                <w:iCs/>
                <w:sz w:val="24"/>
              </w:rPr>
              <w:t>%</w:t>
            </w:r>
          </w:p>
        </w:tc>
        <w:tc>
          <w:tcPr>
            <w:tcW w:w="920" w:type="dxa"/>
            <w:tcBorders>
              <w:top w:val="single" w:sz="4" w:space="0" w:color="auto"/>
              <w:left w:val="nil"/>
              <w:bottom w:val="single" w:sz="4" w:space="0" w:color="auto"/>
              <w:right w:val="nil"/>
            </w:tcBorders>
            <w:shd w:val="clear" w:color="auto" w:fill="EEECE1"/>
          </w:tcPr>
          <w:p w:rsidR="00AD690E" w:rsidRPr="00C20384" w:rsidRDefault="00AD690E" w:rsidP="00AD690E">
            <w:pPr>
              <w:spacing w:before="60" w:after="60"/>
              <w:ind w:firstLine="0"/>
              <w:jc w:val="center"/>
              <w:rPr>
                <w:sz w:val="24"/>
              </w:rPr>
            </w:pPr>
          </w:p>
        </w:tc>
      </w:tr>
      <w:tr w:rsidR="00AD690E" w:rsidRPr="00562808">
        <w:tblPrEx>
          <w:tblCellMar>
            <w:top w:w="0" w:type="dxa"/>
            <w:bottom w:w="0" w:type="dxa"/>
          </w:tblCellMar>
        </w:tblPrEx>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r w:rsidRPr="00C20384">
              <w:rPr>
                <w:sz w:val="24"/>
                <w:szCs w:val="16"/>
              </w:rPr>
              <w:t>1965</w:t>
            </w: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r w:rsidRPr="00C20384">
              <w:rPr>
                <w:sz w:val="24"/>
                <w:szCs w:val="16"/>
              </w:rPr>
              <w:t>146 758</w:t>
            </w: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r w:rsidRPr="00C20384">
              <w:rPr>
                <w:sz w:val="24"/>
                <w:szCs w:val="16"/>
              </w:rPr>
              <w:t>57 373</w:t>
            </w: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r w:rsidRPr="00C20384">
              <w:rPr>
                <w:sz w:val="24"/>
                <w:szCs w:val="16"/>
              </w:rPr>
              <w:t>30.9</w:t>
            </w: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r w:rsidRPr="00C20384">
              <w:rPr>
                <w:sz w:val="24"/>
                <w:szCs w:val="16"/>
              </w:rPr>
              <w:t>89 685</w:t>
            </w: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r w:rsidRPr="00C20384">
              <w:rPr>
                <w:sz w:val="24"/>
                <w:szCs w:val="16"/>
              </w:rPr>
              <w:t>61.1</w:t>
            </w:r>
          </w:p>
        </w:tc>
        <w:tc>
          <w:tcPr>
            <w:tcW w:w="920" w:type="dxa"/>
            <w:tcBorders>
              <w:top w:val="single" w:sz="4" w:space="0" w:color="auto"/>
              <w:left w:val="nil"/>
              <w:bottom w:val="nil"/>
              <w:right w:val="nil"/>
            </w:tcBorders>
            <w:shd w:val="clear" w:color="auto" w:fill="FFFFFF"/>
          </w:tcPr>
          <w:p w:rsidR="00AD690E" w:rsidRPr="00C20384" w:rsidRDefault="00AD690E" w:rsidP="00AD690E">
            <w:pPr>
              <w:spacing w:before="120"/>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1966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197 743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66 652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34.2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128 181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65.8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1967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222 876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74 427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33.4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148 449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66.6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1968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183 974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38 307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20.8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35 040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110 627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60.1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1969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161 531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33 548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20.8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39.084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24.2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88 899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147 713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32 263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21.8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35 151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23.8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80 299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54.4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121900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33 450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27.4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29 328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24.1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59 122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48.5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122 006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33 019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27.1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30.692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25.2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53 115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43.5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5 180</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184 200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41677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22.6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44.278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95 886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52.1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2 359</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218 465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54 232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24.8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53 161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24.8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109 406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50.1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1666</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187 881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64 124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34.1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45 727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24.3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73 464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38.6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5 566</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149 429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60 880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40.7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32 528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21.8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44 320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29.6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11751</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114914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51355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44.7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26 114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22.7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30 145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26.2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7 300</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86 313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45 540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52.8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17 199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19 319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22.4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4 265</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1979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112 096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46 763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41.7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11474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10.2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25 980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23.2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27 879</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1980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143 117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51037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35.7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13 531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9.4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38 203</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26.7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40 344</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1981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128 611</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50 987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39.6</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17 582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13.7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44 984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35</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14 826</w:t>
            </w:r>
          </w:p>
        </w:tc>
      </w:tr>
      <w:tr w:rsidR="00AD690E" w:rsidRPr="00562808">
        <w:tblPrEx>
          <w:tblCellMar>
            <w:top w:w="0" w:type="dxa"/>
            <w:bottom w:w="0" w:type="dxa"/>
          </w:tblCellMar>
        </w:tblPrEx>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1982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121 147</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49 980</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41.2</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11948</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9.9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42 294</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34.9</w:t>
            </w:r>
          </w:p>
        </w:tc>
        <w:tc>
          <w:tcPr>
            <w:tcW w:w="920" w:type="dxa"/>
            <w:tcBorders>
              <w:top w:val="nil"/>
              <w:left w:val="nil"/>
              <w:bottom w:val="nil"/>
              <w:right w:val="nil"/>
            </w:tcBorders>
            <w:shd w:val="clear" w:color="auto" w:fill="FFFFFF"/>
          </w:tcPr>
          <w:p w:rsidR="00AD690E" w:rsidRPr="00C20384" w:rsidRDefault="00AD690E" w:rsidP="00AD690E">
            <w:pPr>
              <w:ind w:firstLine="0"/>
              <w:jc w:val="both"/>
              <w:rPr>
                <w:sz w:val="24"/>
              </w:rPr>
            </w:pPr>
            <w:r w:rsidRPr="00C20384">
              <w:rPr>
                <w:sz w:val="24"/>
                <w:szCs w:val="16"/>
              </w:rPr>
              <w:t>11925</w:t>
            </w:r>
          </w:p>
        </w:tc>
      </w:tr>
      <w:tr w:rsidR="00AD690E" w:rsidRPr="00562808">
        <w:tblPrEx>
          <w:tblCellMar>
            <w:top w:w="0" w:type="dxa"/>
            <w:bottom w:w="0" w:type="dxa"/>
          </w:tblCellMar>
        </w:tblPrEx>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1983</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88 846</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48 538</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54.6</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4 986</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5.6</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21415</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24.1</w:t>
            </w:r>
          </w:p>
        </w:tc>
        <w:tc>
          <w:tcPr>
            <w:tcW w:w="920" w:type="dxa"/>
            <w:tcBorders>
              <w:top w:val="nil"/>
              <w:left w:val="nil"/>
              <w:right w:val="nil"/>
            </w:tcBorders>
            <w:shd w:val="clear" w:color="auto" w:fill="FFFFFF"/>
          </w:tcPr>
          <w:p w:rsidR="00AD690E" w:rsidRPr="00C20384" w:rsidRDefault="00AD690E" w:rsidP="00AD690E">
            <w:pPr>
              <w:ind w:firstLine="0"/>
              <w:jc w:val="both"/>
              <w:rPr>
                <w:sz w:val="24"/>
              </w:rPr>
            </w:pPr>
            <w:r w:rsidRPr="00C20384">
              <w:rPr>
                <w:sz w:val="24"/>
                <w:szCs w:val="16"/>
              </w:rPr>
              <w:t>13 907</w:t>
            </w:r>
          </w:p>
        </w:tc>
      </w:tr>
      <w:tr w:rsidR="00AD690E" w:rsidRPr="00562808">
        <w:tblPrEx>
          <w:tblCellMar>
            <w:top w:w="0" w:type="dxa"/>
            <w:bottom w:w="0" w:type="dxa"/>
          </w:tblCellMar>
        </w:tblPrEx>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1984</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88 239</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43 814</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49.6</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8 167</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9.2</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20 916</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23.7</w:t>
            </w:r>
          </w:p>
        </w:tc>
        <w:tc>
          <w:tcPr>
            <w:tcW w:w="920" w:type="dxa"/>
            <w:tcBorders>
              <w:top w:val="nil"/>
              <w:left w:val="nil"/>
              <w:bottom w:val="single" w:sz="12" w:space="0" w:color="auto"/>
              <w:right w:val="nil"/>
            </w:tcBorders>
            <w:shd w:val="clear" w:color="auto" w:fill="FFFFFF"/>
          </w:tcPr>
          <w:p w:rsidR="00AD690E" w:rsidRPr="00C20384" w:rsidRDefault="00AD690E" w:rsidP="00AD690E">
            <w:pPr>
              <w:spacing w:after="120"/>
              <w:ind w:firstLine="0"/>
              <w:jc w:val="both"/>
              <w:rPr>
                <w:sz w:val="24"/>
              </w:rPr>
            </w:pPr>
            <w:r w:rsidRPr="00C20384">
              <w:rPr>
                <w:sz w:val="24"/>
                <w:szCs w:val="16"/>
              </w:rPr>
              <w:t>15 342</w:t>
            </w:r>
          </w:p>
        </w:tc>
      </w:tr>
    </w:tbl>
    <w:p w:rsidR="00AD690E" w:rsidRPr="00562808" w:rsidRDefault="00AD690E" w:rsidP="00AD690E">
      <w:pPr>
        <w:pStyle w:val="FIGST0"/>
      </w:pPr>
      <w:r w:rsidRPr="00562808">
        <w:t xml:space="preserve">Source : L. Del Negro, </w:t>
      </w:r>
      <w:r w:rsidRPr="00562808">
        <w:rPr>
          <w:i/>
          <w:iCs/>
        </w:rPr>
        <w:t xml:space="preserve">Canada's Immigration Policy, Immigration Législation and Immigration Labour in 1970's, </w:t>
      </w:r>
      <w:r w:rsidRPr="00562808">
        <w:t xml:space="preserve">Montréal, Université du Québec à Montréal, mémoire de maîtrise en science politique, 1984 et ministère de l'Emploi et de l'Immigration : </w:t>
      </w:r>
      <w:r w:rsidRPr="00562808">
        <w:rPr>
          <w:i/>
          <w:iCs/>
        </w:rPr>
        <w:t>Stati</w:t>
      </w:r>
      <w:r w:rsidRPr="00562808">
        <w:rPr>
          <w:i/>
          <w:iCs/>
        </w:rPr>
        <w:t>s</w:t>
      </w:r>
      <w:r w:rsidRPr="00562808">
        <w:rPr>
          <w:i/>
          <w:iCs/>
        </w:rPr>
        <w:t xml:space="preserve">tiques sur l'immigration, 1984, </w:t>
      </w:r>
      <w:r w:rsidRPr="00562808">
        <w:t>Ottawa, ministère des Approvisionnements et Services, 1986.</w:t>
      </w:r>
    </w:p>
    <w:p w:rsidR="00AD690E" w:rsidRDefault="00AD690E" w:rsidP="00AD690E">
      <w:pPr>
        <w:pStyle w:val="p"/>
      </w:pPr>
      <w:r w:rsidRPr="00562808">
        <w:br w:type="page"/>
      </w:r>
      <w:r>
        <w:t>[328</w:t>
      </w:r>
      <w:r w:rsidRPr="00C20384">
        <w:t>]</w:t>
      </w:r>
    </w:p>
    <w:p w:rsidR="00AD690E" w:rsidRPr="00C20384" w:rsidRDefault="00AD690E" w:rsidP="00AD690E">
      <w:pPr>
        <w:pStyle w:val="p"/>
        <w:rPr>
          <w:szCs w:val="14"/>
        </w:rPr>
      </w:pPr>
    </w:p>
    <w:p w:rsidR="00AD690E" w:rsidRPr="00562808" w:rsidRDefault="00AD690E" w:rsidP="00AD690E">
      <w:pPr>
        <w:pStyle w:val="figtitre"/>
        <w:rPr>
          <w:szCs w:val="2"/>
        </w:rPr>
      </w:pPr>
      <w:r w:rsidRPr="00562808">
        <w:t>Tableau 7</w:t>
      </w:r>
      <w:r>
        <w:br/>
      </w:r>
      <w:r w:rsidRPr="00562808">
        <w:t>Immigrés destinés à la population active, répartition procentuelle,</w:t>
      </w:r>
      <w:r>
        <w:br/>
      </w:r>
      <w:r w:rsidRPr="00562808">
        <w:t>selon les groupes de professions ou secteurs d'activités, 1946-1973.</w:t>
      </w:r>
    </w:p>
    <w:tbl>
      <w:tblPr>
        <w:tblW w:w="0" w:type="auto"/>
        <w:tblInd w:w="-1580" w:type="dxa"/>
        <w:tblLayout w:type="fixed"/>
        <w:tblCellMar>
          <w:left w:w="40" w:type="dxa"/>
          <w:right w:w="40" w:type="dxa"/>
        </w:tblCellMar>
        <w:tblLook w:val="0000" w:firstRow="0" w:lastRow="0" w:firstColumn="0" w:lastColumn="0" w:noHBand="0" w:noVBand="0"/>
      </w:tblPr>
      <w:tblGrid>
        <w:gridCol w:w="2340"/>
        <w:gridCol w:w="557"/>
        <w:gridCol w:w="558"/>
        <w:gridCol w:w="558"/>
        <w:gridCol w:w="558"/>
        <w:gridCol w:w="557"/>
        <w:gridCol w:w="558"/>
        <w:gridCol w:w="558"/>
        <w:gridCol w:w="558"/>
        <w:gridCol w:w="557"/>
        <w:gridCol w:w="558"/>
        <w:gridCol w:w="558"/>
        <w:gridCol w:w="558"/>
        <w:gridCol w:w="558"/>
      </w:tblGrid>
      <w:tr w:rsidR="00AD690E" w:rsidRPr="00562808">
        <w:tblPrEx>
          <w:tblCellMar>
            <w:top w:w="0" w:type="dxa"/>
            <w:bottom w:w="0" w:type="dxa"/>
          </w:tblCellMar>
        </w:tblPrEx>
        <w:trPr>
          <w:cantSplit/>
          <w:trHeight w:val="1134"/>
        </w:trPr>
        <w:tc>
          <w:tcPr>
            <w:tcW w:w="2340" w:type="dxa"/>
            <w:tcBorders>
              <w:top w:val="single" w:sz="4" w:space="0" w:color="auto"/>
              <w:left w:val="nil"/>
              <w:bottom w:val="single" w:sz="4" w:space="0" w:color="auto"/>
              <w:right w:val="nil"/>
            </w:tcBorders>
            <w:shd w:val="clear" w:color="auto" w:fill="EEECE1"/>
            <w:vAlign w:val="center"/>
          </w:tcPr>
          <w:p w:rsidR="00AD690E" w:rsidRPr="00D23A0B" w:rsidRDefault="00AD690E" w:rsidP="00AD690E">
            <w:pPr>
              <w:ind w:firstLine="0"/>
              <w:rPr>
                <w:sz w:val="24"/>
              </w:rPr>
            </w:pPr>
            <w:r w:rsidRPr="00D23A0B">
              <w:rPr>
                <w:sz w:val="24"/>
                <w:szCs w:val="14"/>
              </w:rPr>
              <w:t>Groupes de profe</w:t>
            </w:r>
            <w:r w:rsidRPr="00D23A0B">
              <w:rPr>
                <w:sz w:val="24"/>
                <w:szCs w:val="14"/>
              </w:rPr>
              <w:t>s</w:t>
            </w:r>
            <w:r w:rsidRPr="00D23A0B">
              <w:rPr>
                <w:sz w:val="24"/>
                <w:szCs w:val="14"/>
              </w:rPr>
              <w:t>sions</w:t>
            </w:r>
          </w:p>
        </w:tc>
        <w:tc>
          <w:tcPr>
            <w:tcW w:w="557"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1946-50</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 xml:space="preserve">1951-57 </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 xml:space="preserve">1958-62 </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1963</w:t>
            </w:r>
          </w:p>
        </w:tc>
        <w:tc>
          <w:tcPr>
            <w:tcW w:w="557"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1964</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 xml:space="preserve">1965 </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1966</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1967</w:t>
            </w:r>
          </w:p>
        </w:tc>
        <w:tc>
          <w:tcPr>
            <w:tcW w:w="557"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1968</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1969</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 xml:space="preserve">1970 </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 xml:space="preserve">1971 </w:t>
            </w:r>
          </w:p>
        </w:tc>
        <w:tc>
          <w:tcPr>
            <w:tcW w:w="558" w:type="dxa"/>
            <w:tcBorders>
              <w:top w:val="single" w:sz="4" w:space="0" w:color="auto"/>
              <w:left w:val="nil"/>
              <w:bottom w:val="single" w:sz="4" w:space="0" w:color="auto"/>
              <w:right w:val="nil"/>
            </w:tcBorders>
            <w:shd w:val="clear" w:color="auto" w:fill="EEECE1"/>
            <w:textDirection w:val="btLr"/>
            <w:vAlign w:val="center"/>
          </w:tcPr>
          <w:p w:rsidR="00AD690E" w:rsidRPr="00D23A0B" w:rsidRDefault="00AD690E" w:rsidP="00AD690E">
            <w:pPr>
              <w:ind w:left="113" w:right="113" w:firstLine="0"/>
              <w:rPr>
                <w:sz w:val="24"/>
              </w:rPr>
            </w:pPr>
            <w:r w:rsidRPr="00D23A0B">
              <w:rPr>
                <w:sz w:val="24"/>
                <w:szCs w:val="14"/>
              </w:rPr>
              <w:t xml:space="preserve">1972 </w:t>
            </w:r>
          </w:p>
        </w:tc>
      </w:tr>
      <w:tr w:rsidR="00AD690E" w:rsidRPr="00562808">
        <w:tblPrEx>
          <w:tblCellMar>
            <w:top w:w="0" w:type="dxa"/>
            <w:bottom w:w="0" w:type="dxa"/>
          </w:tblCellMar>
        </w:tblPrEx>
        <w:tc>
          <w:tcPr>
            <w:tcW w:w="2340" w:type="dxa"/>
            <w:tcBorders>
              <w:top w:val="single" w:sz="4" w:space="0" w:color="auto"/>
              <w:left w:val="nil"/>
              <w:bottom w:val="nil"/>
              <w:right w:val="nil"/>
            </w:tcBorders>
            <w:shd w:val="clear" w:color="auto" w:fill="FFFFFF"/>
          </w:tcPr>
          <w:p w:rsidR="00AD690E" w:rsidRPr="00D23A0B" w:rsidRDefault="00AD690E" w:rsidP="00AD690E">
            <w:pPr>
              <w:spacing w:before="120"/>
              <w:ind w:firstLine="0"/>
              <w:rPr>
                <w:sz w:val="24"/>
                <w:szCs w:val="14"/>
              </w:rPr>
            </w:pPr>
            <w:r w:rsidRPr="00D23A0B">
              <w:rPr>
                <w:sz w:val="24"/>
                <w:szCs w:val="14"/>
              </w:rPr>
              <w:t>Administrateurs (1)</w:t>
            </w:r>
          </w:p>
        </w:tc>
        <w:tc>
          <w:tcPr>
            <w:tcW w:w="557"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1.0</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1.9</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2.5</w:t>
            </w:r>
          </w:p>
        </w:tc>
        <w:tc>
          <w:tcPr>
            <w:tcW w:w="557"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2.2</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2.3</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2.3</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2.5</w:t>
            </w:r>
          </w:p>
        </w:tc>
        <w:tc>
          <w:tcPr>
            <w:tcW w:w="557"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2.5</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3.0</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4.0</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5.7</w:t>
            </w:r>
          </w:p>
        </w:tc>
        <w:tc>
          <w:tcPr>
            <w:tcW w:w="558" w:type="dxa"/>
            <w:tcBorders>
              <w:top w:val="single" w:sz="4" w:space="0" w:color="auto"/>
              <w:left w:val="nil"/>
              <w:bottom w:val="nil"/>
              <w:right w:val="nil"/>
            </w:tcBorders>
            <w:shd w:val="clear" w:color="auto" w:fill="FFFFFF"/>
          </w:tcPr>
          <w:p w:rsidR="00AD690E" w:rsidRPr="00D23A0B" w:rsidRDefault="00AD690E" w:rsidP="00AD690E">
            <w:pPr>
              <w:spacing w:before="120"/>
              <w:ind w:firstLine="0"/>
              <w:jc w:val="both"/>
              <w:rPr>
                <w:sz w:val="24"/>
                <w:szCs w:val="14"/>
              </w:rPr>
            </w:pPr>
            <w:r w:rsidRPr="00D23A0B">
              <w:rPr>
                <w:sz w:val="24"/>
                <w:szCs w:val="14"/>
              </w:rPr>
              <w:t>7.4</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Professionnels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4.4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15.2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21.0</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21.3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22.4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23.8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25.8</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30.6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31.9</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28.8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26.6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25.7</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Bureau</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11.3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13.5</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13.9</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15.6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16.2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14.4</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Transport (2)</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1.9</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1.1</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1.1</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Communic</w:t>
            </w:r>
            <w:r w:rsidRPr="00D23A0B">
              <w:rPr>
                <w:sz w:val="24"/>
                <w:szCs w:val="14"/>
              </w:rPr>
              <w:t>a</w:t>
            </w:r>
            <w:r w:rsidRPr="00D23A0B">
              <w:rPr>
                <w:sz w:val="24"/>
                <w:szCs w:val="14"/>
              </w:rPr>
              <w:t>tions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0.2</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Commerce (3)</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5.5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3.0</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2.5</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3.5</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Finance</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0.7</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Services et lo</w:t>
            </w:r>
            <w:r w:rsidRPr="00D23A0B">
              <w:rPr>
                <w:sz w:val="24"/>
                <w:szCs w:val="14"/>
              </w:rPr>
              <w:t>i</w:t>
            </w:r>
            <w:r w:rsidRPr="00D23A0B">
              <w:rPr>
                <w:sz w:val="24"/>
                <w:szCs w:val="14"/>
              </w:rPr>
              <w:t>sirs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12.1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17.5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13.3</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11.4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9.0</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11.1</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Agriculteurs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bCs/>
                <w:sz w:val="24"/>
                <w:szCs w:val="14"/>
              </w:rPr>
              <w:t>29.1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5.2</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4.0</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2.7</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3.6</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Bûcherons, p</w:t>
            </w:r>
            <w:r w:rsidRPr="00D23A0B">
              <w:rPr>
                <w:sz w:val="24"/>
                <w:szCs w:val="14"/>
              </w:rPr>
              <w:t>é</w:t>
            </w:r>
            <w:r w:rsidRPr="00D23A0B">
              <w:rPr>
                <w:sz w:val="24"/>
                <w:szCs w:val="14"/>
              </w:rPr>
              <w:t>cheurs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2.9</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0.1</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Mineurs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0.3</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0.2</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Bâtiment</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7.0</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7.9</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8.4</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8.9</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8.9</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8.1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6.5</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6.4</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Fabrication et mécan</w:t>
            </w:r>
            <w:r w:rsidRPr="00D23A0B">
              <w:rPr>
                <w:sz w:val="24"/>
                <w:szCs w:val="14"/>
              </w:rPr>
              <w:t>i</w:t>
            </w:r>
            <w:r w:rsidRPr="00D23A0B">
              <w:rPr>
                <w:sz w:val="24"/>
                <w:szCs w:val="14"/>
              </w:rPr>
              <w:t>que</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23.2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23.6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17.6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23.0</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22.6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23.7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24.7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23.5</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24.3</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20.7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20.6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19.8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19.4</w:t>
            </w:r>
          </w:p>
        </w:tc>
      </w:tr>
      <w:tr w:rsidR="00AD690E" w:rsidRPr="00562808">
        <w:tblPrEx>
          <w:tblCellMar>
            <w:top w:w="0" w:type="dxa"/>
            <w:bottom w:w="0" w:type="dxa"/>
          </w:tblCellMar>
        </w:tblPrEx>
        <w:tc>
          <w:tcPr>
            <w:tcW w:w="2340" w:type="dxa"/>
            <w:tcBorders>
              <w:top w:val="nil"/>
              <w:left w:val="nil"/>
              <w:bottom w:val="nil"/>
              <w:right w:val="nil"/>
            </w:tcBorders>
            <w:shd w:val="clear" w:color="auto" w:fill="FFFFFF"/>
          </w:tcPr>
          <w:p w:rsidR="00AD690E" w:rsidRPr="00D23A0B" w:rsidRDefault="00AD690E" w:rsidP="00AD690E">
            <w:pPr>
              <w:spacing w:before="40" w:after="40"/>
              <w:ind w:firstLine="0"/>
              <w:rPr>
                <w:sz w:val="24"/>
              </w:rPr>
            </w:pPr>
            <w:r w:rsidRPr="00D23A0B">
              <w:rPr>
                <w:sz w:val="24"/>
                <w:szCs w:val="14"/>
              </w:rPr>
              <w:t>Manœuvres</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2.9</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12.6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13.6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7.8</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9.6</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7.7</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7.4</w:t>
            </w:r>
          </w:p>
        </w:tc>
        <w:tc>
          <w:tcPr>
            <w:tcW w:w="557"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28</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2.4</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21</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2.2</w:t>
            </w:r>
          </w:p>
        </w:tc>
        <w:tc>
          <w:tcPr>
            <w:tcW w:w="558" w:type="dxa"/>
            <w:tcBorders>
              <w:top w:val="nil"/>
              <w:left w:val="nil"/>
              <w:bottom w:val="nil"/>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2.0</w:t>
            </w:r>
          </w:p>
        </w:tc>
      </w:tr>
      <w:tr w:rsidR="00AD690E" w:rsidRPr="00562808">
        <w:tblPrEx>
          <w:tblCellMar>
            <w:top w:w="0" w:type="dxa"/>
            <w:bottom w:w="0" w:type="dxa"/>
          </w:tblCellMar>
        </w:tblPrEx>
        <w:tc>
          <w:tcPr>
            <w:tcW w:w="2340"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rPr>
                <w:sz w:val="24"/>
              </w:rPr>
            </w:pPr>
            <w:r w:rsidRPr="00D23A0B">
              <w:rPr>
                <w:sz w:val="24"/>
                <w:szCs w:val="14"/>
              </w:rPr>
              <w:t>Non mentionnés</w:t>
            </w:r>
          </w:p>
        </w:tc>
        <w:tc>
          <w:tcPr>
            <w:tcW w:w="557"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2.4</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0.8</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0.1</w:t>
            </w:r>
          </w:p>
        </w:tc>
        <w:tc>
          <w:tcPr>
            <w:tcW w:w="557"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0.5</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0.9</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w:t>
            </w:r>
          </w:p>
        </w:tc>
        <w:tc>
          <w:tcPr>
            <w:tcW w:w="557"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0.1</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1.4</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2.9</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3.3</w:t>
            </w:r>
          </w:p>
        </w:tc>
        <w:tc>
          <w:tcPr>
            <w:tcW w:w="558" w:type="dxa"/>
            <w:tcBorders>
              <w:top w:val="nil"/>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4.2</w:t>
            </w:r>
          </w:p>
        </w:tc>
      </w:tr>
      <w:tr w:rsidR="00AD690E" w:rsidRPr="00562808">
        <w:tblPrEx>
          <w:tblCellMar>
            <w:top w:w="0" w:type="dxa"/>
            <w:bottom w:w="0" w:type="dxa"/>
          </w:tblCellMar>
        </w:tblPrEx>
        <w:tc>
          <w:tcPr>
            <w:tcW w:w="2340"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rPr>
                <w:sz w:val="24"/>
              </w:rPr>
            </w:pPr>
            <w:r w:rsidRPr="00D23A0B">
              <w:rPr>
                <w:sz w:val="24"/>
                <w:szCs w:val="14"/>
              </w:rPr>
              <w:t>Nombre total de tr</w:t>
            </w:r>
            <w:r w:rsidRPr="00D23A0B">
              <w:rPr>
                <w:sz w:val="24"/>
                <w:szCs w:val="14"/>
              </w:rPr>
              <w:t>a</w:t>
            </w:r>
            <w:r w:rsidRPr="00D23A0B">
              <w:rPr>
                <w:sz w:val="24"/>
                <w:szCs w:val="14"/>
              </w:rPr>
              <w:t>vailleurs</w:t>
            </w:r>
          </w:p>
        </w:tc>
        <w:tc>
          <w:tcPr>
            <w:tcW w:w="557"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7"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7"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c>
          <w:tcPr>
            <w:tcW w:w="558" w:type="dxa"/>
            <w:tcBorders>
              <w:top w:val="single" w:sz="4" w:space="0" w:color="auto"/>
              <w:left w:val="nil"/>
              <w:bottom w:val="single" w:sz="4" w:space="0" w:color="auto"/>
              <w:right w:val="nil"/>
            </w:tcBorders>
            <w:shd w:val="clear" w:color="auto" w:fill="FFFFFF"/>
          </w:tcPr>
          <w:p w:rsidR="00AD690E" w:rsidRPr="00D23A0B" w:rsidRDefault="00AD690E" w:rsidP="00AD690E">
            <w:pPr>
              <w:spacing w:before="40" w:after="40"/>
              <w:ind w:firstLine="0"/>
              <w:jc w:val="both"/>
              <w:rPr>
                <w:sz w:val="24"/>
              </w:rPr>
            </w:pPr>
            <w:r w:rsidRPr="00D23A0B">
              <w:rPr>
                <w:sz w:val="24"/>
                <w:szCs w:val="14"/>
              </w:rPr>
              <w:t>100.0</w:t>
            </w:r>
          </w:p>
        </w:tc>
      </w:tr>
    </w:tbl>
    <w:p w:rsidR="00AD690E" w:rsidRDefault="00AD690E" w:rsidP="00AD690E">
      <w:pPr>
        <w:pStyle w:val="figstliste"/>
      </w:pPr>
    </w:p>
    <w:p w:rsidR="00AD690E" w:rsidRPr="00562808" w:rsidRDefault="00AD690E" w:rsidP="00AD690E">
      <w:pPr>
        <w:pStyle w:val="figstliste"/>
      </w:pPr>
      <w:r>
        <w:t>1.</w:t>
      </w:r>
      <w:r>
        <w:tab/>
      </w:r>
      <w:r w:rsidRPr="00562808">
        <w:t>Aucune donnée n'est disponible pour ce se</w:t>
      </w:r>
      <w:r>
        <w:t>cteur d'activité, de 1946 à 1952.</w:t>
      </w:r>
    </w:p>
    <w:p w:rsidR="00AD690E" w:rsidRPr="00562808" w:rsidRDefault="00AD690E" w:rsidP="00AD690E">
      <w:pPr>
        <w:pStyle w:val="figstliste"/>
      </w:pPr>
      <w:r>
        <w:t>2.</w:t>
      </w:r>
      <w:r>
        <w:tab/>
      </w:r>
      <w:r w:rsidRPr="00562808">
        <w:t>Les métiers du transport et des communications sont groupés pour la période allant de 1946 à 1950.</w:t>
      </w:r>
    </w:p>
    <w:p w:rsidR="00AD690E" w:rsidRPr="00562808" w:rsidRDefault="00AD690E" w:rsidP="00AD690E">
      <w:pPr>
        <w:pStyle w:val="figstliste"/>
      </w:pPr>
      <w:r>
        <w:t>3.</w:t>
      </w:r>
      <w:r>
        <w:tab/>
      </w:r>
      <w:r w:rsidRPr="00562808">
        <w:t>Les employés des</w:t>
      </w:r>
      <w:r>
        <w:t xml:space="preserve"> secteurs com</w:t>
      </w:r>
      <w:r w:rsidRPr="00562808">
        <w:t>merce et finance sont groupés pour la période allant de 1946 à 1950.</w:t>
      </w:r>
    </w:p>
    <w:p w:rsidR="00AD690E" w:rsidRPr="00562808" w:rsidRDefault="00AD690E" w:rsidP="00AD690E">
      <w:pPr>
        <w:pStyle w:val="FIGST0"/>
      </w:pPr>
      <w:r w:rsidRPr="00562808">
        <w:t>Source : Canada, ministère de la Main-d'</w:t>
      </w:r>
      <w:r>
        <w:t xml:space="preserve">œuvre </w:t>
      </w:r>
      <w:r w:rsidRPr="00562808">
        <w:t xml:space="preserve"> et de l'Immigration, </w:t>
      </w:r>
      <w:r w:rsidRPr="00562808">
        <w:rPr>
          <w:i/>
          <w:iCs/>
        </w:rPr>
        <w:t xml:space="preserve">Statistiques sur l'immigration de la population, </w:t>
      </w:r>
      <w:r w:rsidRPr="00562808">
        <w:t>Information Canada, 1974, p. 71.</w:t>
      </w:r>
    </w:p>
    <w:p w:rsidR="00AD690E" w:rsidRDefault="00AD690E" w:rsidP="00AD690E">
      <w:pPr>
        <w:spacing w:before="120" w:after="120"/>
        <w:jc w:val="both"/>
        <w:rPr>
          <w:szCs w:val="18"/>
        </w:rPr>
      </w:pPr>
      <w:r w:rsidRPr="00562808">
        <w:br w:type="page"/>
      </w:r>
      <w:r>
        <w:t>[</w:t>
      </w:r>
      <w:r>
        <w:rPr>
          <w:szCs w:val="18"/>
        </w:rPr>
        <w:t>32</w:t>
      </w:r>
      <w:r w:rsidRPr="00562808">
        <w:rPr>
          <w:szCs w:val="18"/>
        </w:rPr>
        <w:t>9</w:t>
      </w:r>
      <w:r>
        <w:rPr>
          <w:szCs w:val="18"/>
        </w:rPr>
        <w:t>]</w:t>
      </w:r>
    </w:p>
    <w:p w:rsidR="00AD690E" w:rsidRPr="00562808" w:rsidRDefault="00AD690E" w:rsidP="00AD690E">
      <w:pPr>
        <w:spacing w:before="120" w:after="120"/>
        <w:jc w:val="both"/>
      </w:pPr>
      <w:r w:rsidRPr="00562808">
        <w:rPr>
          <w:szCs w:val="22"/>
        </w:rPr>
        <w:t>Dans les années 1960-1970, le Canada a donc eu une part active dans le phénomène de l'exode des cerveaux. Le personnel qualifié vient pour plus de la moitié d'Europe et des États-Unis mais égal</w:t>
      </w:r>
      <w:r w:rsidRPr="00562808">
        <w:rPr>
          <w:szCs w:val="22"/>
        </w:rPr>
        <w:t>e</w:t>
      </w:r>
      <w:r w:rsidRPr="00562808">
        <w:rPr>
          <w:szCs w:val="22"/>
        </w:rPr>
        <w:t>ment des pays du Tiers-Monde. Ainsi, 30% des immigrés de la région de la Caraïbe entrés entre 1962 et 1966 projettent d'occuper des e</w:t>
      </w:r>
      <w:r w:rsidRPr="00562808">
        <w:rPr>
          <w:szCs w:val="22"/>
        </w:rPr>
        <w:t>m</w:t>
      </w:r>
      <w:r w:rsidRPr="00562808">
        <w:rPr>
          <w:szCs w:val="22"/>
        </w:rPr>
        <w:t>plois professionnels et techniques</w:t>
      </w:r>
      <w:r>
        <w:rPr>
          <w:szCs w:val="22"/>
        </w:rPr>
        <w:t> </w:t>
      </w:r>
      <w:r w:rsidRPr="00D23A0B">
        <w:rPr>
          <w:rStyle w:val="Appelnotedebasdep"/>
        </w:rPr>
        <w:footnoteReference w:id="543"/>
      </w:r>
      <w:r w:rsidRPr="00562808">
        <w:rPr>
          <w:szCs w:val="22"/>
        </w:rPr>
        <w:t>. En 1971 et 1972, le Canada a admis 987 médecins et chirurgiens, 55 dentistes, 749 techniciens en médecine et chirurgie dentaire, et 1 538 autres professionnels en soins de la santé, plusieurs venant de pays sous-développés</w:t>
      </w:r>
      <w:r>
        <w:rPr>
          <w:szCs w:val="22"/>
        </w:rPr>
        <w:t> </w:t>
      </w:r>
      <w:r w:rsidRPr="00D23A0B">
        <w:rPr>
          <w:rStyle w:val="Appelnotedebasdep"/>
        </w:rPr>
        <w:footnoteReference w:id="544"/>
      </w:r>
      <w:r w:rsidRPr="00562808">
        <w:rPr>
          <w:szCs w:val="22"/>
        </w:rPr>
        <w:t>. En 1971, les immigrés du Tiers-Monde se dirigent dans une forte proportion vers les catégories hautement qualifiés</w:t>
      </w:r>
      <w:r>
        <w:rPr>
          <w:szCs w:val="22"/>
        </w:rPr>
        <w:t> </w:t>
      </w:r>
      <w:r w:rsidRPr="00D23A0B">
        <w:rPr>
          <w:rStyle w:val="Appelnotedebasdep"/>
        </w:rPr>
        <w:footnoteReference w:id="545"/>
      </w:r>
      <w:r w:rsidRPr="00562808">
        <w:rPr>
          <w:szCs w:val="22"/>
        </w:rPr>
        <w:t>.</w:t>
      </w:r>
    </w:p>
    <w:p w:rsidR="00AD690E" w:rsidRDefault="00AD690E" w:rsidP="00AD690E">
      <w:pPr>
        <w:spacing w:before="120" w:after="120"/>
        <w:jc w:val="both"/>
        <w:rPr>
          <w:szCs w:val="22"/>
        </w:rPr>
      </w:pPr>
    </w:p>
    <w:p w:rsidR="00AD690E" w:rsidRPr="00BA7745" w:rsidRDefault="00AD690E" w:rsidP="00AD690E">
      <w:pPr>
        <w:pStyle w:val="a"/>
      </w:pPr>
      <w:r w:rsidRPr="00BA7745">
        <w:t>Les réfugiés</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 xml:space="preserve">En 1966, le </w:t>
      </w:r>
      <w:r w:rsidRPr="00562808">
        <w:rPr>
          <w:i/>
          <w:iCs/>
          <w:szCs w:val="22"/>
        </w:rPr>
        <w:t xml:space="preserve">Livre blanc sur l'immigration </w:t>
      </w:r>
      <w:r w:rsidRPr="00562808">
        <w:rPr>
          <w:szCs w:val="22"/>
        </w:rPr>
        <w:t>réaffirme la volonté du Canada « d'accepter sa juste part de responsabilités internationales à l'égard des réfugiés, y compris les malades et les diminués phys</w:t>
      </w:r>
      <w:r w:rsidRPr="00562808">
        <w:rPr>
          <w:szCs w:val="22"/>
        </w:rPr>
        <w:t>i</w:t>
      </w:r>
      <w:r w:rsidRPr="00562808">
        <w:rPr>
          <w:szCs w:val="22"/>
        </w:rPr>
        <w:t>ques »</w:t>
      </w:r>
      <w:r>
        <w:rPr>
          <w:szCs w:val="22"/>
        </w:rPr>
        <w:t> </w:t>
      </w:r>
      <w:r w:rsidRPr="00D23A0B">
        <w:rPr>
          <w:rStyle w:val="Appelnotedebasdep"/>
        </w:rPr>
        <w:footnoteReference w:id="546"/>
      </w:r>
      <w:r w:rsidRPr="00562808">
        <w:rPr>
          <w:szCs w:val="22"/>
        </w:rPr>
        <w:t>. Il mentionne aussi qu'il ne saurait être question de déterm</w:t>
      </w:r>
      <w:r w:rsidRPr="00562808">
        <w:rPr>
          <w:szCs w:val="22"/>
        </w:rPr>
        <w:t>i</w:t>
      </w:r>
      <w:r w:rsidRPr="00562808">
        <w:rPr>
          <w:szCs w:val="22"/>
        </w:rPr>
        <w:t>ner avec précision l'étendue des obligations du Canada et la capacité de s'en acquitter, laquelle dépendra de la situation sociale, économ</w:t>
      </w:r>
      <w:r w:rsidRPr="00562808">
        <w:rPr>
          <w:szCs w:val="22"/>
        </w:rPr>
        <w:t>i</w:t>
      </w:r>
      <w:r w:rsidRPr="00562808">
        <w:rPr>
          <w:szCs w:val="22"/>
        </w:rPr>
        <w:t>que et politique. Le livre blanc admet également la nature plutôt conjoncturelle de la politique à l'égard des réfugiés, axée sur les cas urgents, et suggère qu'une certaine planification devrait s'exercer dans le futur.</w:t>
      </w:r>
    </w:p>
    <w:p w:rsidR="00AD690E" w:rsidRDefault="00AD690E" w:rsidP="00AD690E">
      <w:pPr>
        <w:spacing w:before="120" w:after="120"/>
        <w:jc w:val="both"/>
        <w:rPr>
          <w:szCs w:val="22"/>
        </w:rPr>
      </w:pPr>
      <w:r w:rsidRPr="00562808">
        <w:rPr>
          <w:szCs w:val="22"/>
        </w:rPr>
        <w:t>Ce n'est qu'en 1969, et après avoir longtemps hésité, que le Canada adhère à la Convention des Nations Unies relative au statut de réf</w:t>
      </w:r>
      <w:r w:rsidRPr="00562808">
        <w:rPr>
          <w:szCs w:val="22"/>
        </w:rPr>
        <w:t>u</w:t>
      </w:r>
      <w:r w:rsidRPr="00562808">
        <w:rPr>
          <w:szCs w:val="22"/>
        </w:rPr>
        <w:t>gié</w:t>
      </w:r>
      <w:r>
        <w:rPr>
          <w:szCs w:val="22"/>
        </w:rPr>
        <w:t>s</w:t>
      </w:r>
      <w:r w:rsidRPr="00562808">
        <w:rPr>
          <w:szCs w:val="22"/>
        </w:rPr>
        <w:t>, établie depuis 1957, et à son Protocole d'entente. De nouveaux principes directeurs guideront l'admission des réfugiés. Ainsi on fac</w:t>
      </w:r>
      <w:r w:rsidRPr="00562808">
        <w:rPr>
          <w:szCs w:val="22"/>
        </w:rPr>
        <w:t>i</w:t>
      </w:r>
      <w:r w:rsidRPr="00562808">
        <w:rPr>
          <w:szCs w:val="22"/>
        </w:rPr>
        <w:t>litera, dans certaines circonstances, l'admission de réfugiés qui s</w:t>
      </w:r>
      <w:r w:rsidRPr="00562808">
        <w:rPr>
          <w:szCs w:val="22"/>
        </w:rPr>
        <w:t>e</w:t>
      </w:r>
      <w:r w:rsidRPr="00562808">
        <w:rPr>
          <w:szCs w:val="22"/>
        </w:rPr>
        <w:t>raient encore dans leur pays de nationalité ou de résidence, ce qui élargit la définition du réfugié selon la convention.</w:t>
      </w:r>
    </w:p>
    <w:p w:rsidR="00AD690E" w:rsidRPr="00562808" w:rsidRDefault="00AD690E" w:rsidP="00AD690E">
      <w:pPr>
        <w:spacing w:before="120" w:after="120"/>
        <w:jc w:val="both"/>
      </w:pPr>
    </w:p>
    <w:p w:rsidR="00AD690E" w:rsidRPr="00562808" w:rsidRDefault="00AD690E" w:rsidP="00AD690E">
      <w:pPr>
        <w:spacing w:before="120" w:after="120"/>
        <w:jc w:val="both"/>
      </w:pPr>
      <w:r w:rsidRPr="00562808">
        <w:rPr>
          <w:szCs w:val="22"/>
        </w:rPr>
        <w:t>Dans les années soixante, l'Afrique et l'Asie sont les régions du monde où la question des réfugiés devient la plus importante. Le r</w:t>
      </w:r>
      <w:r w:rsidRPr="00562808">
        <w:rPr>
          <w:szCs w:val="22"/>
        </w:rPr>
        <w:t>e</w:t>
      </w:r>
      <w:r w:rsidRPr="00562808">
        <w:rPr>
          <w:szCs w:val="22"/>
        </w:rPr>
        <w:t>trait de la discrimination dans le Règlement de 1967 et l'adhésion à la Convention de Genève vont permettre aux réfugiés vivant hors du continent européen de demander l'asile politique. Mais de 1965 à 1975, le Canada a accepté moins de réfugiés qu'au cours des deux précédentes décennies. 300</w:t>
      </w:r>
      <w:r>
        <w:rPr>
          <w:i/>
        </w:rPr>
        <w:t> </w:t>
      </w:r>
      <w:r w:rsidRPr="00562808">
        <w:rPr>
          <w:szCs w:val="22"/>
        </w:rPr>
        <w:t>000 personnes ont été admises de 1946 à 1966 : personnes déplacées après la guerre, réfugiés hongrois en 1957, réfugiés</w:t>
      </w:r>
      <w:r>
        <w:rPr>
          <w:szCs w:val="22"/>
        </w:rPr>
        <w:t xml:space="preserve"> </w:t>
      </w:r>
      <w:r w:rsidRPr="00562808">
        <w:rPr>
          <w:szCs w:val="18"/>
        </w:rPr>
        <w:t>[330]</w:t>
      </w:r>
      <w:r>
        <w:rPr>
          <w:szCs w:val="18"/>
        </w:rPr>
        <w:t xml:space="preserve"> </w:t>
      </w:r>
      <w:r w:rsidRPr="00562808">
        <w:t>libanais, marocains et turcs et de Hong Kong en 1962. Par ailleurs, la contribution financière canadienne au Haut Commiss</w:t>
      </w:r>
      <w:r w:rsidRPr="00562808">
        <w:t>a</w:t>
      </w:r>
      <w:r w:rsidRPr="00562808">
        <w:t>riat des N</w:t>
      </w:r>
      <w:r w:rsidRPr="00562808">
        <w:t>a</w:t>
      </w:r>
      <w:r w:rsidRPr="00562808">
        <w:t>tions Unies a augmenté considérablement afin de porter assistance aux réfugiés africains sur leur propre continent</w:t>
      </w:r>
      <w:r>
        <w:t> </w:t>
      </w:r>
      <w:r w:rsidRPr="00D23A0B">
        <w:rPr>
          <w:rStyle w:val="Appelnotedebasdep"/>
        </w:rPr>
        <w:footnoteReference w:id="547"/>
      </w:r>
      <w:r w:rsidRPr="00562808">
        <w:t>.</w:t>
      </w:r>
    </w:p>
    <w:p w:rsidR="00AD690E" w:rsidRPr="00562808" w:rsidRDefault="00AD690E" w:rsidP="00AD690E">
      <w:pPr>
        <w:spacing w:before="120" w:after="120"/>
        <w:jc w:val="both"/>
      </w:pPr>
      <w:r w:rsidRPr="00562808">
        <w:t>Le Canada a admis 12 000 Tchécoslovaques en 1968-1969,288 T</w:t>
      </w:r>
      <w:r w:rsidRPr="00562808">
        <w:t>i</w:t>
      </w:r>
      <w:r w:rsidRPr="00562808">
        <w:t>bétains en 1970, 5 600 Asiatiques d'Ouganda en 1972-1973 et 700 Chiliens en 1973-1974. Ces choix impliquaient des enjeux émine</w:t>
      </w:r>
      <w:r w:rsidRPr="00562808">
        <w:t>m</w:t>
      </w:r>
      <w:r w:rsidRPr="00562808">
        <w:t xml:space="preserve">ment politiques, d'où la politique </w:t>
      </w:r>
      <w:r w:rsidRPr="00562808">
        <w:rPr>
          <w:i/>
          <w:iCs/>
        </w:rPr>
        <w:t xml:space="preserve">ad hoc </w:t>
      </w:r>
      <w:r w:rsidRPr="00562808">
        <w:t xml:space="preserve">pratiquée tout comme lors des périodes précédentes. Comme le note Dirks : </w:t>
      </w:r>
      <w:r w:rsidRPr="00562808">
        <w:rPr>
          <w:i/>
          <w:iCs/>
        </w:rPr>
        <w:t>« Ideological cons</w:t>
      </w:r>
      <w:r w:rsidRPr="00562808">
        <w:rPr>
          <w:i/>
          <w:iCs/>
        </w:rPr>
        <w:t>i</w:t>
      </w:r>
      <w:r w:rsidRPr="00562808">
        <w:rPr>
          <w:i/>
          <w:iCs/>
        </w:rPr>
        <w:t>d</w:t>
      </w:r>
      <w:r>
        <w:rPr>
          <w:i/>
          <w:iCs/>
        </w:rPr>
        <w:t>e</w:t>
      </w:r>
      <w:r w:rsidRPr="00562808">
        <w:rPr>
          <w:i/>
          <w:iCs/>
        </w:rPr>
        <w:t>rations may h</w:t>
      </w:r>
      <w:r>
        <w:rPr>
          <w:i/>
          <w:iCs/>
        </w:rPr>
        <w:t>a</w:t>
      </w:r>
      <w:r w:rsidRPr="00562808">
        <w:rPr>
          <w:i/>
          <w:iCs/>
        </w:rPr>
        <w:t>ve overshadowed race, at least temporarily, as a d</w:t>
      </w:r>
      <w:r w:rsidRPr="00562808">
        <w:rPr>
          <w:i/>
          <w:iCs/>
        </w:rPr>
        <w:t>e</w:t>
      </w:r>
      <w:r w:rsidRPr="00562808">
        <w:rPr>
          <w:i/>
          <w:iCs/>
        </w:rPr>
        <w:t>termining factor for refugee admission »</w:t>
      </w:r>
      <w:r>
        <w:rPr>
          <w:iCs/>
        </w:rPr>
        <w:t> </w:t>
      </w:r>
      <w:r w:rsidRPr="00D23A0B">
        <w:rPr>
          <w:rStyle w:val="Appelnotedebasdep"/>
          <w:iCs/>
        </w:rPr>
        <w:footnoteReference w:id="548"/>
      </w:r>
      <w:r w:rsidRPr="000E290A">
        <w:rPr>
          <w:iCs/>
        </w:rPr>
        <w:t>.</w:t>
      </w:r>
    </w:p>
    <w:p w:rsidR="00AD690E" w:rsidRDefault="00AD690E" w:rsidP="00AD690E">
      <w:pPr>
        <w:spacing w:before="120" w:after="120"/>
        <w:jc w:val="both"/>
        <w:rPr>
          <w:bCs/>
        </w:rPr>
      </w:pPr>
    </w:p>
    <w:p w:rsidR="00AD690E" w:rsidRPr="00B15AFC" w:rsidRDefault="00AD690E" w:rsidP="00AD690E">
      <w:pPr>
        <w:pStyle w:val="a"/>
      </w:pPr>
      <w:r w:rsidRPr="00B15AFC">
        <w:t>Les relations fédérales-provinciales</w:t>
      </w:r>
    </w:p>
    <w:p w:rsidR="00AD690E" w:rsidRDefault="00AD690E" w:rsidP="00AD690E">
      <w:pPr>
        <w:spacing w:before="120" w:after="120"/>
        <w:jc w:val="both"/>
      </w:pPr>
    </w:p>
    <w:p w:rsidR="00AD690E" w:rsidRPr="00562808" w:rsidRDefault="00AD690E" w:rsidP="00AD690E">
      <w:pPr>
        <w:spacing w:before="120" w:after="120"/>
        <w:jc w:val="both"/>
      </w:pPr>
      <w:r w:rsidRPr="00562808">
        <w:t>La Constitution canadienne définit l'immigration comme un d</w:t>
      </w:r>
      <w:r w:rsidRPr="00562808">
        <w:t>o</w:t>
      </w:r>
      <w:r w:rsidRPr="00562808">
        <w:t>maine de compétence concurrente, c'est-à-dire partagée entre le go</w:t>
      </w:r>
      <w:r w:rsidRPr="00562808">
        <w:t>u</w:t>
      </w:r>
      <w:r w:rsidRPr="00562808">
        <w:t>vernement fédéral et celui des provinces. Mais la juridiction de l'État fédéral est nettement prioritaire : c'est-à-dire qu'il lui incombe esse</w:t>
      </w:r>
      <w:r w:rsidRPr="00562808">
        <w:t>n</w:t>
      </w:r>
      <w:r w:rsidRPr="00562808">
        <w:t>tiellement d'admettre un immigré, de l'exclure et de lui accorder la citoyenneté.</w:t>
      </w:r>
    </w:p>
    <w:p w:rsidR="00AD690E" w:rsidRPr="00562808" w:rsidRDefault="00AD690E" w:rsidP="00AD690E">
      <w:pPr>
        <w:spacing w:before="120" w:after="120"/>
        <w:jc w:val="both"/>
      </w:pPr>
      <w:r w:rsidRPr="00562808">
        <w:t>À partir des années soixante, le Québec négocie des pouvoirs éla</w:t>
      </w:r>
      <w:r w:rsidRPr="00562808">
        <w:t>r</w:t>
      </w:r>
      <w:r w:rsidRPr="00562808">
        <w:t>gis sur la question de l'immigration. La « Révolution tranquille », la question nationale et la question linguistique l'amèneront graduell</w:t>
      </w:r>
      <w:r w:rsidRPr="00562808">
        <w:t>e</w:t>
      </w:r>
      <w:r w:rsidRPr="00562808">
        <w:t>ment à réclamer un droit de regard sur le processus de sélection des immigrés, à des fins d'intégration économique et culturelle. En 1965, une Direction générale de l'immigration est créée, qui relève du mini</w:t>
      </w:r>
      <w:r w:rsidRPr="00562808">
        <w:t>s</w:t>
      </w:r>
      <w:r w:rsidRPr="00562808">
        <w:t>tère des Affaires culturelles. En 1968, le Québec se dote d'un minist</w:t>
      </w:r>
      <w:r w:rsidRPr="00562808">
        <w:t>è</w:t>
      </w:r>
      <w:r w:rsidRPr="00562808">
        <w:t>re de l'Immigration destiné à favoriser l'établissement et l'adaptation des immigrés. Des Centres d'orientation et de formation (COFI) sont mis sur pied la même année pour accueillir et intégrer les immigrés à la communauté francophone. Le premier objectif du Québec a donc visé l'adaptation.</w:t>
      </w:r>
    </w:p>
    <w:p w:rsidR="00AD690E" w:rsidRPr="00562808" w:rsidRDefault="00AD690E" w:rsidP="00AD690E">
      <w:pPr>
        <w:spacing w:before="120" w:after="120"/>
        <w:jc w:val="both"/>
      </w:pPr>
      <w:r w:rsidRPr="00562808">
        <w:t>La sélection et le recrutement relèvent du fédéral et seront l'objet de négociations graduelles. En 1971, l'Entente Cloutier-Lang accorde au Québec que des agents québécois d'orientation soient présents dans les bureaux d'immigration à l'étranger, à des fins d'information. L'E</w:t>
      </w:r>
      <w:r w:rsidRPr="00562808">
        <w:t>n</w:t>
      </w:r>
      <w:r w:rsidRPr="00562808">
        <w:t>tente Andras-Bienvenue, en 1975, permettra aux agents québécois de recruter et de sélectionner les immigrés, conjointement avec le féd</w:t>
      </w:r>
      <w:r w:rsidRPr="00562808">
        <w:t>é</w:t>
      </w:r>
      <w:r w:rsidRPr="00562808">
        <w:t>ral. En 1978, en vertu de l'entente Couture-Cullen, le Québec obtient des pouvoirs décisionnels en matière de sélection des immigrés et un droit de regard sur l'ensemble des questions d'immigration : niveaux annuels</w:t>
      </w:r>
      <w:r>
        <w:t xml:space="preserve"> </w:t>
      </w:r>
      <w:r w:rsidRPr="00562808">
        <w:rPr>
          <w:szCs w:val="18"/>
        </w:rPr>
        <w:t>[331]</w:t>
      </w:r>
      <w:r>
        <w:rPr>
          <w:szCs w:val="18"/>
        </w:rPr>
        <w:t xml:space="preserve"> </w:t>
      </w:r>
      <w:r w:rsidRPr="00562808">
        <w:t>d'immigration, critères de sélection — dont, entre a</w:t>
      </w:r>
      <w:r w:rsidRPr="00562808">
        <w:t>u</w:t>
      </w:r>
      <w:r w:rsidRPr="00562808">
        <w:t>tres, celui qui a trait à la question de la langue</w:t>
      </w:r>
      <w:r>
        <w:t> </w:t>
      </w:r>
      <w:r w:rsidRPr="00D23A0B">
        <w:rPr>
          <w:rStyle w:val="Appelnotedebasdep"/>
        </w:rPr>
        <w:footnoteReference w:id="549"/>
      </w:r>
      <w:r w:rsidRPr="00562808">
        <w:t>.</w:t>
      </w:r>
    </w:p>
    <w:p w:rsidR="00AD690E" w:rsidRDefault="00AD690E" w:rsidP="00AD690E">
      <w:pPr>
        <w:spacing w:before="120" w:after="120"/>
        <w:jc w:val="both"/>
      </w:pPr>
      <w:r>
        <w:br w:type="page"/>
      </w:r>
    </w:p>
    <w:p w:rsidR="00AD690E" w:rsidRPr="00562808" w:rsidRDefault="00AD690E" w:rsidP="00AD690E">
      <w:pPr>
        <w:pStyle w:val="planche"/>
      </w:pPr>
      <w:r w:rsidRPr="00562808">
        <w:t>LES ANN</w:t>
      </w:r>
      <w:r>
        <w:t>É</w:t>
      </w:r>
      <w:r w:rsidRPr="00562808">
        <w:t>ES DE CRISE ET LES LIB</w:t>
      </w:r>
      <w:r>
        <w:t>É</w:t>
      </w:r>
      <w:r w:rsidRPr="00562808">
        <w:t>RAUX.</w:t>
      </w:r>
      <w:r>
        <w:br/>
        <w:t>LES MESURES PRÉPARATOIRES</w:t>
      </w:r>
      <w:r>
        <w:br/>
      </w:r>
      <w:r w:rsidRPr="00562808">
        <w:t>DE GESTION DE CRISE</w:t>
      </w:r>
    </w:p>
    <w:p w:rsidR="00AD690E" w:rsidRDefault="00AD690E" w:rsidP="00AD690E">
      <w:pPr>
        <w:spacing w:before="120" w:after="120"/>
        <w:jc w:val="both"/>
      </w:pPr>
    </w:p>
    <w:p w:rsidR="00AD690E" w:rsidRPr="00562808" w:rsidRDefault="00AD690E" w:rsidP="00AD690E">
      <w:pPr>
        <w:spacing w:before="120" w:after="120"/>
        <w:jc w:val="both"/>
      </w:pPr>
      <w:r w:rsidRPr="00562808">
        <w:t>La période de libéralisation précédente coïncide avec une période de prospérité. Au cours des années soixante-dix, la situation économ</w:t>
      </w:r>
      <w:r w:rsidRPr="00562808">
        <w:t>i</w:t>
      </w:r>
      <w:r w:rsidRPr="00562808">
        <w:t>que se détériore et de nombreuses mesures de contrôle et de planific</w:t>
      </w:r>
      <w:r w:rsidRPr="00562808">
        <w:t>a</w:t>
      </w:r>
      <w:r w:rsidRPr="00562808">
        <w:t>tion de l'immigration internationale sont prises, parallèlement aux m</w:t>
      </w:r>
      <w:r w:rsidRPr="00562808">
        <w:t>e</w:t>
      </w:r>
      <w:r w:rsidRPr="00562808">
        <w:t>sures de lutte à l'inflation du gouvernement Trudeau, y compris la promulgation d'une nouvelle loi de l'immigration. Une étape différente s'ouvre maintenant dans le processus de rationalisation de l'immigr</w:t>
      </w:r>
      <w:r w:rsidRPr="00562808">
        <w:t>a</w:t>
      </w:r>
      <w:r w:rsidRPr="00562808">
        <w:t>tion.</w:t>
      </w:r>
    </w:p>
    <w:p w:rsidR="00AD690E" w:rsidRPr="00562808" w:rsidRDefault="00AD690E" w:rsidP="00AD690E">
      <w:pPr>
        <w:spacing w:before="120" w:after="120"/>
        <w:jc w:val="both"/>
      </w:pPr>
      <w:r w:rsidRPr="00562808">
        <w:t>De 1968 à 1972, un nombre croissant de visiteurs se sont prévalus de leur droit — accordé en vertu du Règlement de 1967 — et ont d</w:t>
      </w:r>
      <w:r w:rsidRPr="00562808">
        <w:t>e</w:t>
      </w:r>
      <w:r w:rsidRPr="00562808">
        <w:t>mandé le statut d'immigrant reçu, à partir du Canada. Alors qu'en 1967, moins de 6% des immigrés étaient admis sans avoir été l'objet du processus habituel de sélection à l'étranger, un tiers des immigrés l'étaient en 1973</w:t>
      </w:r>
      <w:r>
        <w:t> </w:t>
      </w:r>
      <w:r w:rsidRPr="00D23A0B">
        <w:rPr>
          <w:rStyle w:val="Appelnotedebasdep"/>
        </w:rPr>
        <w:footnoteReference w:id="550"/>
      </w:r>
      <w:r w:rsidRPr="00562808">
        <w:t>. Pour le gouvernement, ceci signifie que : « Le processus de sélection à l'étranger était sapé à sa base. Cela indiquait qu'on avait perdu la direction de la politique et du programme »</w:t>
      </w:r>
      <w:r>
        <w:t> </w:t>
      </w:r>
      <w:r w:rsidRPr="00D23A0B">
        <w:rPr>
          <w:rStyle w:val="Appelnotedebasdep"/>
        </w:rPr>
        <w:footnoteReference w:id="551"/>
      </w:r>
      <w:r w:rsidRPr="00562808">
        <w:t>. On craignait une migration de parenté en chaîne, composée majoritair</w:t>
      </w:r>
      <w:r w:rsidRPr="00562808">
        <w:t>e</w:t>
      </w:r>
      <w:r w:rsidRPr="00562808">
        <w:t>ment de travailleurs non qualifiés venant de pays non traditionnels. D'où la décision d'annuler le droit de demander le statut de résident au Canada.</w:t>
      </w:r>
    </w:p>
    <w:p w:rsidR="00AD690E" w:rsidRPr="00562808" w:rsidRDefault="00AD690E" w:rsidP="00AD690E">
      <w:pPr>
        <w:spacing w:before="120" w:after="120"/>
        <w:jc w:val="both"/>
      </w:pPr>
      <w:r w:rsidRPr="00562808">
        <w:t>Cette mesure était également motivée par ce qui se passait à la Commission d'appel de l'immigration. De 1968 à 1972, un nombre croissant de visiteurs qui se voyaient refuser leur demande de réside</w:t>
      </w:r>
      <w:r w:rsidRPr="00562808">
        <w:t>n</w:t>
      </w:r>
      <w:r w:rsidRPr="00562808">
        <w:t>ce interjetaient appel auprès de cette Commission, laquelle se prono</w:t>
      </w:r>
      <w:r w:rsidRPr="00562808">
        <w:t>n</w:t>
      </w:r>
      <w:r w:rsidRPr="00562808">
        <w:t>çait la plupart du temps en leur faveur. De plus, ils avaient le droit de travailler en attendant la décision de la Commission pour ne pas être à charge à l'État. En 1973, les cas en souffrance devant la Commission d'appel de l'immigration étaient de 17 472 et on estimait à dix le no</w:t>
      </w:r>
      <w:r w:rsidRPr="00562808">
        <w:t>m</w:t>
      </w:r>
      <w:r w:rsidRPr="00562808">
        <w:t>bre d'années nécessaires au tribunal pour assurer leur gestion</w:t>
      </w:r>
      <w:r>
        <w:t> </w:t>
      </w:r>
      <w:r w:rsidRPr="00D23A0B">
        <w:rPr>
          <w:rStyle w:val="Appelnotedebasdep"/>
        </w:rPr>
        <w:footnoteReference w:id="552"/>
      </w:r>
      <w:r w:rsidRPr="00562808">
        <w:t>. D'où</w:t>
      </w:r>
      <w:r>
        <w:t xml:space="preserve"> </w:t>
      </w:r>
      <w:r>
        <w:rPr>
          <w:szCs w:val="18"/>
        </w:rPr>
        <w:t>[</w:t>
      </w:r>
      <w:r w:rsidRPr="00562808">
        <w:rPr>
          <w:rFonts w:cs="Arial"/>
          <w:szCs w:val="18"/>
        </w:rPr>
        <w:t>332</w:t>
      </w:r>
      <w:r>
        <w:rPr>
          <w:rFonts w:cs="Arial"/>
          <w:szCs w:val="18"/>
        </w:rPr>
        <w:t xml:space="preserve">] </w:t>
      </w:r>
      <w:r w:rsidRPr="00562808">
        <w:rPr>
          <w:szCs w:val="22"/>
        </w:rPr>
        <w:t>une série de mesures législatives prises en 1973 pour accroître les moyens de la Commission d'appel et pour amnistier une partie des illégaux entrés avant le 30 novembre 1972, et dont le nombre était e</w:t>
      </w:r>
      <w:r w:rsidRPr="00562808">
        <w:rPr>
          <w:szCs w:val="22"/>
        </w:rPr>
        <w:t>s</w:t>
      </w:r>
      <w:r w:rsidRPr="00562808">
        <w:rPr>
          <w:szCs w:val="22"/>
        </w:rPr>
        <w:t>timé entre 50</w:t>
      </w:r>
      <w:r>
        <w:rPr>
          <w:szCs w:val="22"/>
        </w:rPr>
        <w:t> </w:t>
      </w:r>
      <w:r w:rsidRPr="00562808">
        <w:rPr>
          <w:szCs w:val="22"/>
        </w:rPr>
        <w:t>000 et 200</w:t>
      </w:r>
      <w:r>
        <w:rPr>
          <w:szCs w:val="22"/>
        </w:rPr>
        <w:t> </w:t>
      </w:r>
      <w:r w:rsidRPr="00562808">
        <w:rPr>
          <w:szCs w:val="22"/>
        </w:rPr>
        <w:t>000</w:t>
      </w:r>
      <w:r>
        <w:rPr>
          <w:szCs w:val="22"/>
        </w:rPr>
        <w:t> </w:t>
      </w:r>
      <w:r w:rsidRPr="00D23A0B">
        <w:rPr>
          <w:rStyle w:val="Appelnotedebasdep"/>
        </w:rPr>
        <w:footnoteReference w:id="553"/>
      </w:r>
      <w:r w:rsidRPr="00562808">
        <w:rPr>
          <w:szCs w:val="22"/>
        </w:rPr>
        <w:t>. En même temps, on restreint le droit d'appel contre une ordonnance d'expulsion à certaines catégories d'immigrés : immigrants reçus, personnes en possession de visas c</w:t>
      </w:r>
      <w:r w:rsidRPr="00562808">
        <w:rPr>
          <w:szCs w:val="22"/>
        </w:rPr>
        <w:t>a</w:t>
      </w:r>
      <w:r w:rsidRPr="00562808">
        <w:rPr>
          <w:szCs w:val="22"/>
        </w:rPr>
        <w:t>nadiens en règle, réfugiés et citoyens canadiens.</w:t>
      </w:r>
    </w:p>
    <w:p w:rsidR="00AD690E" w:rsidRPr="00562808" w:rsidRDefault="00AD690E" w:rsidP="00AD690E">
      <w:pPr>
        <w:spacing w:before="120" w:after="120"/>
        <w:jc w:val="both"/>
      </w:pPr>
      <w:r w:rsidRPr="00562808">
        <w:rPr>
          <w:szCs w:val="22"/>
        </w:rPr>
        <w:t>D'autres mesures sont prises, qui témoignent d'une « gestion de cr</w:t>
      </w:r>
      <w:r w:rsidRPr="00562808">
        <w:rPr>
          <w:szCs w:val="22"/>
        </w:rPr>
        <w:t>i</w:t>
      </w:r>
      <w:r w:rsidRPr="00562808">
        <w:rPr>
          <w:szCs w:val="22"/>
        </w:rPr>
        <w:t>se ». En 1973, le gouvernement libéral introduit les visas temporaires de travail « en vue de protéger la population active du Canada contre l'utilisation injustifiée de la main-d'</w:t>
      </w:r>
      <w:r>
        <w:rPr>
          <w:szCs w:val="22"/>
        </w:rPr>
        <w:t>œuvre</w:t>
      </w:r>
      <w:r w:rsidRPr="00562808">
        <w:rPr>
          <w:szCs w:val="22"/>
        </w:rPr>
        <w:t xml:space="preserve"> étrangère, de même que pour adopter une mesure de contrôle additionnelle des visiteurs dont le séjour doit se prolonger ». L'objectif du système est double : « [...] d'une part, sauvegarder les emplois disponibles pour les résidents c</w:t>
      </w:r>
      <w:r w:rsidRPr="00562808">
        <w:rPr>
          <w:szCs w:val="22"/>
        </w:rPr>
        <w:t>a</w:t>
      </w:r>
      <w:r w:rsidRPr="00562808">
        <w:rPr>
          <w:szCs w:val="22"/>
        </w:rPr>
        <w:t>nadiens et, d'autre part, fournir un moyen permettant à des personnes dont l'économie a besoin, de prendre temporairement un emploi pour lequel aucun Canadien ni immigrant reçu n'est disponible »</w:t>
      </w:r>
      <w:r>
        <w:rPr>
          <w:szCs w:val="22"/>
        </w:rPr>
        <w:t> </w:t>
      </w:r>
      <w:r w:rsidRPr="00D23A0B">
        <w:rPr>
          <w:rStyle w:val="Appelnotedebasdep"/>
        </w:rPr>
        <w:footnoteReference w:id="554"/>
      </w:r>
      <w:r w:rsidRPr="00562808">
        <w:rPr>
          <w:szCs w:val="22"/>
        </w:rPr>
        <w:t>.</w:t>
      </w:r>
    </w:p>
    <w:p w:rsidR="00AD690E" w:rsidRPr="00562808" w:rsidRDefault="00AD690E" w:rsidP="00AD690E">
      <w:pPr>
        <w:spacing w:before="120" w:after="120"/>
        <w:jc w:val="both"/>
      </w:pPr>
      <w:r w:rsidRPr="00562808">
        <w:rPr>
          <w:szCs w:val="22"/>
        </w:rPr>
        <w:t>Le gouvernement se défend par ailleurs d'utiliser une politique an</w:t>
      </w:r>
      <w:r w:rsidRPr="00562808">
        <w:rPr>
          <w:szCs w:val="22"/>
        </w:rPr>
        <w:t>a</w:t>
      </w:r>
      <w:r w:rsidRPr="00562808">
        <w:rPr>
          <w:szCs w:val="22"/>
        </w:rPr>
        <w:t xml:space="preserve">logue à celle de l'Europe de l'Ouest, soit le système des </w:t>
      </w:r>
      <w:r w:rsidRPr="00562808">
        <w:rPr>
          <w:i/>
          <w:iCs/>
          <w:szCs w:val="22"/>
        </w:rPr>
        <w:t xml:space="preserve">guest workers, </w:t>
      </w:r>
      <w:r w:rsidRPr="00562808">
        <w:rPr>
          <w:szCs w:val="22"/>
        </w:rPr>
        <w:t>qui lui paraît abusive et source de tensions sociales</w:t>
      </w:r>
      <w:r>
        <w:rPr>
          <w:szCs w:val="22"/>
        </w:rPr>
        <w:t> </w:t>
      </w:r>
      <w:r w:rsidRPr="00D23A0B">
        <w:rPr>
          <w:rStyle w:val="Appelnotedebasdep"/>
        </w:rPr>
        <w:footnoteReference w:id="555"/>
      </w:r>
      <w:r w:rsidRPr="00562808">
        <w:rPr>
          <w:szCs w:val="22"/>
        </w:rPr>
        <w:t>. En réalité, plus de 80 000 visas ont été issus en 1973, dont le tiers à des Américains. Le Canada a signé des accords bilatéraux avec quelques pays de la Caraïbe et le Mexique pour importer des travailleurs saisonniers agr</w:t>
      </w:r>
      <w:r w:rsidRPr="00562808">
        <w:rPr>
          <w:szCs w:val="22"/>
        </w:rPr>
        <w:t>i</w:t>
      </w:r>
      <w:r w:rsidRPr="00562808">
        <w:rPr>
          <w:szCs w:val="22"/>
        </w:rPr>
        <w:t>coles</w:t>
      </w:r>
      <w:r>
        <w:rPr>
          <w:szCs w:val="22"/>
        </w:rPr>
        <w:t> </w:t>
      </w:r>
      <w:r w:rsidRPr="00D23A0B">
        <w:rPr>
          <w:rStyle w:val="Appelnotedebasdep"/>
        </w:rPr>
        <w:footnoteReference w:id="556"/>
      </w:r>
      <w:r w:rsidRPr="00562808">
        <w:rPr>
          <w:szCs w:val="22"/>
        </w:rPr>
        <w:t>. Ainsi la politique d'immigration canadienne devient de plus en plus fonction des besoins en main-d'</w:t>
      </w:r>
      <w:r>
        <w:rPr>
          <w:szCs w:val="22"/>
        </w:rPr>
        <w:t>œuvre</w:t>
      </w:r>
      <w:r w:rsidRPr="00562808">
        <w:rPr>
          <w:szCs w:val="22"/>
        </w:rPr>
        <w:t>.</w:t>
      </w:r>
    </w:p>
    <w:p w:rsidR="00AD690E" w:rsidRDefault="00AD690E" w:rsidP="00AD690E">
      <w:pPr>
        <w:spacing w:before="120" w:after="120"/>
        <w:jc w:val="both"/>
        <w:rPr>
          <w:szCs w:val="22"/>
        </w:rPr>
      </w:pPr>
      <w:r w:rsidRPr="00562808">
        <w:rPr>
          <w:szCs w:val="22"/>
        </w:rPr>
        <w:t>En 1974, on resserre l'admission des requérants indépendants et des parents désignés en modifiant les points requis d'après la grille de sélection du Règlement de 1967. Dorénavant, un immigré doit remplir un certain nombre de conditions additionnelles, quel que soit le no</w:t>
      </w:r>
      <w:r w:rsidRPr="00562808">
        <w:rPr>
          <w:szCs w:val="22"/>
        </w:rPr>
        <w:t>m</w:t>
      </w:r>
      <w:r w:rsidRPr="00562808">
        <w:rPr>
          <w:szCs w:val="22"/>
        </w:rPr>
        <w:t>bre de points qu'il ait obtenu : 1) ou obtenir un point au moins au titre de la « demande dans la profession » ; 2) ou avoir un « emploi rése</w:t>
      </w:r>
      <w:r w:rsidRPr="00562808">
        <w:rPr>
          <w:szCs w:val="22"/>
        </w:rPr>
        <w:t>r</w:t>
      </w:r>
      <w:r w:rsidRPr="00562808">
        <w:rPr>
          <w:szCs w:val="22"/>
        </w:rPr>
        <w:t>vé » auprès d'un employeur, pour lequel il a été établi qu'aucun requ</w:t>
      </w:r>
      <w:r w:rsidRPr="00562808">
        <w:rPr>
          <w:szCs w:val="22"/>
        </w:rPr>
        <w:t>é</w:t>
      </w:r>
      <w:r w:rsidRPr="00562808">
        <w:rPr>
          <w:szCs w:val="22"/>
        </w:rPr>
        <w:t>rant canadien n'en aurait fait la demande ; 3) ou exercer une « profession désignée », c'est-à-dire une profession en forte demande (voir le tableau 3). De plus, on peut lui enlever 10 points s'il ne re</w:t>
      </w:r>
      <w:r w:rsidRPr="00562808">
        <w:rPr>
          <w:szCs w:val="22"/>
        </w:rPr>
        <w:t>n</w:t>
      </w:r>
      <w:r w:rsidRPr="00562808">
        <w:rPr>
          <w:szCs w:val="22"/>
        </w:rPr>
        <w:t>contre pas l'une ou l'autre des deux dernières conditions.</w:t>
      </w:r>
    </w:p>
    <w:p w:rsidR="00AD690E" w:rsidRDefault="00AD690E" w:rsidP="00AD690E">
      <w:pPr>
        <w:spacing w:before="120" w:after="120"/>
        <w:jc w:val="both"/>
      </w:pPr>
      <w:r>
        <w:t>[333]</w:t>
      </w:r>
    </w:p>
    <w:p w:rsidR="00AD690E" w:rsidRPr="00562808" w:rsidRDefault="00AD690E" w:rsidP="00AD690E">
      <w:pPr>
        <w:spacing w:before="120" w:after="120"/>
        <w:jc w:val="both"/>
      </w:pPr>
    </w:p>
    <w:p w:rsidR="00AD690E" w:rsidRPr="00562808" w:rsidRDefault="00AD690E" w:rsidP="00AD690E">
      <w:pPr>
        <w:pStyle w:val="a"/>
      </w:pPr>
      <w:r w:rsidRPr="00562808">
        <w:t>Le Livre vert sur l'immigration</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Étant donné l'augmentation du nombre de visiteurs demandant la résidence et du nombre d'illégaux, et puisque c'est l'Année mondiale sur les questions de population, le 17 septembre 1973, le ministre de la Main-d'oeuvre et de l'Immigration, Robert Andras, annonce à la Chambre des communes que la politique d'immigration va faire l'objet d'une révision en profondeur. Un comité de travail est chargé de pr</w:t>
      </w:r>
      <w:r w:rsidRPr="00562808">
        <w:rPr>
          <w:szCs w:val="22"/>
        </w:rPr>
        <w:t>o</w:t>
      </w:r>
      <w:r w:rsidRPr="00562808">
        <w:rPr>
          <w:szCs w:val="22"/>
        </w:rPr>
        <w:t xml:space="preserve">duire un livre vert, lequel paraîtra sous le titre </w:t>
      </w:r>
      <w:r w:rsidRPr="00562808">
        <w:rPr>
          <w:i/>
          <w:iCs/>
          <w:szCs w:val="22"/>
        </w:rPr>
        <w:t xml:space="preserve">Étude sur l'immigration et les objectifs démographiques du Canada. </w:t>
      </w:r>
      <w:r w:rsidRPr="00562808">
        <w:rPr>
          <w:szCs w:val="22"/>
        </w:rPr>
        <w:t>Le but de ce livre vert est de susciter des débats nationaux sur la question de l'immigration tout en intégrant cette dernière dans le contexte plus large d'une politique démographique et d'objectifs de croissance. En réalité, le gouvern</w:t>
      </w:r>
      <w:r w:rsidRPr="00562808">
        <w:rPr>
          <w:szCs w:val="22"/>
        </w:rPr>
        <w:t>e</w:t>
      </w:r>
      <w:r w:rsidRPr="00562808">
        <w:rPr>
          <w:szCs w:val="22"/>
        </w:rPr>
        <w:t>ment libéral veut préparer l'opinion publique à la « légitimisation » de pratiques restrictives déjà en cours</w:t>
      </w:r>
      <w:r>
        <w:rPr>
          <w:szCs w:val="22"/>
        </w:rPr>
        <w:t> </w:t>
      </w:r>
      <w:r w:rsidRPr="00D23A0B">
        <w:rPr>
          <w:rStyle w:val="Appelnotedebasdep"/>
        </w:rPr>
        <w:footnoteReference w:id="557"/>
      </w:r>
      <w:r w:rsidRPr="00562808">
        <w:rPr>
          <w:szCs w:val="22"/>
          <w:vertAlign w:val="superscript"/>
        </w:rPr>
        <w:t xml:space="preserve"> </w:t>
      </w:r>
      <w:r w:rsidRPr="00562808">
        <w:rPr>
          <w:szCs w:val="22"/>
        </w:rPr>
        <w:t>et annonciatrices d'une loi de l'immigration plus musclée, et il veut le faire sans s'aliéner son élect</w:t>
      </w:r>
      <w:r w:rsidRPr="00562808">
        <w:rPr>
          <w:szCs w:val="22"/>
        </w:rPr>
        <w:t>o</w:t>
      </w:r>
      <w:r w:rsidRPr="00562808">
        <w:rPr>
          <w:szCs w:val="22"/>
        </w:rPr>
        <w:t>rat ethnique traditionnel autour d'une question qui pourrait devenir un champ de bataille sur le plan politique</w:t>
      </w:r>
      <w:r>
        <w:rPr>
          <w:szCs w:val="22"/>
        </w:rPr>
        <w:t> </w:t>
      </w:r>
      <w:r w:rsidRPr="00D23A0B">
        <w:rPr>
          <w:rStyle w:val="Appelnotedebasdep"/>
        </w:rPr>
        <w:footnoteReference w:id="558"/>
      </w:r>
      <w:r w:rsidRPr="00562808">
        <w:rPr>
          <w:szCs w:val="22"/>
        </w:rPr>
        <w:t>.</w:t>
      </w:r>
    </w:p>
    <w:p w:rsidR="00AD690E" w:rsidRPr="00562808" w:rsidRDefault="00AD690E" w:rsidP="00AD690E">
      <w:pPr>
        <w:spacing w:before="120" w:after="120"/>
        <w:jc w:val="both"/>
      </w:pPr>
      <w:r w:rsidRPr="00562808">
        <w:rPr>
          <w:szCs w:val="22"/>
        </w:rPr>
        <w:t>Le livre vert rappelle les principales lignes de force : 1) la non-discrimination ; 2) le respect de la réunification familiale ; 3) un sy</w:t>
      </w:r>
      <w:r w:rsidRPr="00562808">
        <w:rPr>
          <w:szCs w:val="22"/>
        </w:rPr>
        <w:t>s</w:t>
      </w:r>
      <w:r w:rsidRPr="00562808">
        <w:rPr>
          <w:szCs w:val="22"/>
        </w:rPr>
        <w:t>tème de sélection de la main-d'</w:t>
      </w:r>
      <w:r>
        <w:rPr>
          <w:szCs w:val="22"/>
        </w:rPr>
        <w:t>œuvre</w:t>
      </w:r>
      <w:r w:rsidRPr="00562808">
        <w:rPr>
          <w:szCs w:val="22"/>
        </w:rPr>
        <w:t xml:space="preserve"> qui soit compatible avec les p</w:t>
      </w:r>
      <w:r w:rsidRPr="00562808">
        <w:rPr>
          <w:szCs w:val="22"/>
        </w:rPr>
        <w:t>o</w:t>
      </w:r>
      <w:r w:rsidRPr="00562808">
        <w:rPr>
          <w:szCs w:val="22"/>
        </w:rPr>
        <w:t>litiques économiques et sociales du Canada ; 4) une politique d'ouve</w:t>
      </w:r>
      <w:r w:rsidRPr="00562808">
        <w:rPr>
          <w:szCs w:val="22"/>
        </w:rPr>
        <w:t>r</w:t>
      </w:r>
      <w:r w:rsidRPr="00562808">
        <w:rPr>
          <w:szCs w:val="22"/>
        </w:rPr>
        <w:t>ture à l'égard des réfugiés.</w:t>
      </w:r>
    </w:p>
    <w:p w:rsidR="00AD690E" w:rsidRPr="00562808" w:rsidRDefault="00AD690E" w:rsidP="00AD690E">
      <w:pPr>
        <w:spacing w:before="120" w:after="120"/>
        <w:jc w:val="both"/>
      </w:pPr>
      <w:r w:rsidRPr="00562808">
        <w:rPr>
          <w:szCs w:val="22"/>
        </w:rPr>
        <w:t>Plusieurs questions sont soulevées : 1) le nombre d'immigrés so</w:t>
      </w:r>
      <w:r w:rsidRPr="00562808">
        <w:rPr>
          <w:szCs w:val="22"/>
        </w:rPr>
        <w:t>u</w:t>
      </w:r>
      <w:r w:rsidRPr="00562808">
        <w:rPr>
          <w:szCs w:val="22"/>
        </w:rPr>
        <w:t>haités, selon une politique de croissance à déterminer ; pour les a</w:t>
      </w:r>
      <w:r w:rsidRPr="00562808">
        <w:rPr>
          <w:szCs w:val="22"/>
        </w:rPr>
        <w:t>u</w:t>
      </w:r>
      <w:r w:rsidRPr="00562808">
        <w:rPr>
          <w:szCs w:val="22"/>
        </w:rPr>
        <w:t>teurs du document, cette croissance doit être modérée : « Aux yeux de beaucoup de Canadiens vivant dans une société moderne industrial</w:t>
      </w:r>
      <w:r w:rsidRPr="00562808">
        <w:rPr>
          <w:szCs w:val="22"/>
        </w:rPr>
        <w:t>i</w:t>
      </w:r>
      <w:r w:rsidRPr="00562808">
        <w:rPr>
          <w:szCs w:val="22"/>
        </w:rPr>
        <w:t>sée et de plus en plus urbanisée, les avantages que présente un taux de croissance démographique élevé semblent douteux à maints égards »</w:t>
      </w:r>
      <w:r>
        <w:rPr>
          <w:szCs w:val="22"/>
        </w:rPr>
        <w:t> </w:t>
      </w:r>
      <w:r w:rsidRPr="00D23A0B">
        <w:rPr>
          <w:rStyle w:val="Appelnotedebasdep"/>
        </w:rPr>
        <w:footnoteReference w:id="559"/>
      </w:r>
      <w:r w:rsidRPr="00562808">
        <w:rPr>
          <w:szCs w:val="22"/>
        </w:rPr>
        <w:t> ; 2) les répercussions possibles de l'immigration future sur le trad</w:t>
      </w:r>
      <w:r w:rsidRPr="00562808">
        <w:rPr>
          <w:szCs w:val="22"/>
        </w:rPr>
        <w:t>i</w:t>
      </w:r>
      <w:r w:rsidRPr="00562808">
        <w:rPr>
          <w:szCs w:val="22"/>
        </w:rPr>
        <w:t>tionnel équilibre entre francophones et anglophones ; une « troisième force » est identifiée et le livre vert s'interroge sur les e</w:t>
      </w:r>
      <w:r w:rsidRPr="00562808">
        <w:rPr>
          <w:szCs w:val="22"/>
        </w:rPr>
        <w:t>f</w:t>
      </w:r>
      <w:r w:rsidRPr="00562808">
        <w:rPr>
          <w:szCs w:val="22"/>
        </w:rPr>
        <w:t>fets de cette troisième force quant à la politique officielle du bili</w:t>
      </w:r>
      <w:r w:rsidRPr="00562808">
        <w:rPr>
          <w:szCs w:val="22"/>
        </w:rPr>
        <w:t>n</w:t>
      </w:r>
      <w:r w:rsidRPr="00562808">
        <w:rPr>
          <w:szCs w:val="22"/>
        </w:rPr>
        <w:t>guisme ; 3) la question de la sélection de la main-d'</w:t>
      </w:r>
      <w:r>
        <w:rPr>
          <w:szCs w:val="22"/>
        </w:rPr>
        <w:t>œuvre</w:t>
      </w:r>
      <w:r w:rsidRPr="00562808">
        <w:rPr>
          <w:szCs w:val="22"/>
        </w:rPr>
        <w:t> ; on affirme la nécessité de rationaliser cette sélection en fonction d'objectifs à court terme (co</w:t>
      </w:r>
      <w:r w:rsidRPr="00562808">
        <w:rPr>
          <w:szCs w:val="22"/>
        </w:rPr>
        <w:t>m</w:t>
      </w:r>
      <w:r w:rsidRPr="00562808">
        <w:rPr>
          <w:szCs w:val="22"/>
        </w:rPr>
        <w:t>bler la pénurie immédiate de main-d'</w:t>
      </w:r>
      <w:r>
        <w:rPr>
          <w:szCs w:val="22"/>
        </w:rPr>
        <w:t>œuvre</w:t>
      </w:r>
      <w:r w:rsidRPr="00562808">
        <w:rPr>
          <w:szCs w:val="22"/>
        </w:rPr>
        <w:t>), à moyen terme (choisir les immigrés en fonction de leur capacité à s'adapter à des situations changeantes), et à long terme (il ne s'agit plus de</w:t>
      </w:r>
      <w:r>
        <w:rPr>
          <w:szCs w:val="22"/>
        </w:rPr>
        <w:t xml:space="preserve"> </w:t>
      </w:r>
      <w:r>
        <w:rPr>
          <w:szCs w:val="18"/>
        </w:rPr>
        <w:t>[</w:t>
      </w:r>
      <w:r w:rsidRPr="00562808">
        <w:rPr>
          <w:rFonts w:cs="Arial"/>
          <w:szCs w:val="18"/>
        </w:rPr>
        <w:t>334</w:t>
      </w:r>
      <w:r>
        <w:rPr>
          <w:rFonts w:cs="Arial"/>
          <w:szCs w:val="18"/>
        </w:rPr>
        <w:t xml:space="preserve">] </w:t>
      </w:r>
      <w:r w:rsidRPr="00562808">
        <w:rPr>
          <w:szCs w:val="22"/>
        </w:rPr>
        <w:t>défendre une politique expansionniste comme en 1966) ; 4) la question de la distribution inégale et des modèles d'établissement des immigrés entre les régions et les provinces du Canada est égal</w:t>
      </w:r>
      <w:r w:rsidRPr="00562808">
        <w:rPr>
          <w:szCs w:val="22"/>
        </w:rPr>
        <w:t>e</w:t>
      </w:r>
      <w:r w:rsidRPr="00562808">
        <w:rPr>
          <w:szCs w:val="22"/>
        </w:rPr>
        <w:t>ment soulevée. Cette question est mise en regard avec la composition ethn</w:t>
      </w:r>
      <w:r w:rsidRPr="00562808">
        <w:rPr>
          <w:szCs w:val="22"/>
        </w:rPr>
        <w:t>i</w:t>
      </w:r>
      <w:r w:rsidRPr="00562808">
        <w:rPr>
          <w:szCs w:val="22"/>
        </w:rPr>
        <w:t>que et multiraciale de l'immigration internationale, et les tensions sociales croissantes en milieu urbain</w:t>
      </w:r>
      <w:r>
        <w:rPr>
          <w:szCs w:val="22"/>
        </w:rPr>
        <w:t> </w:t>
      </w:r>
      <w:r w:rsidRPr="00D23A0B">
        <w:rPr>
          <w:rStyle w:val="Appelnotedebasdep"/>
        </w:rPr>
        <w:footnoteReference w:id="560"/>
      </w:r>
      <w:r w:rsidRPr="00562808">
        <w:rPr>
          <w:szCs w:val="22"/>
        </w:rPr>
        <w:t>. Faisant allusion aux polit</w:t>
      </w:r>
      <w:r w:rsidRPr="00562808">
        <w:rPr>
          <w:szCs w:val="22"/>
        </w:rPr>
        <w:t>i</w:t>
      </w:r>
      <w:r w:rsidRPr="00562808">
        <w:rPr>
          <w:szCs w:val="22"/>
        </w:rPr>
        <w:t>ques restrictives mises en application par la Grande-Bretagne, les pays de la Communauté économique européenne, l'Australie, etc., le livre vert mentionne que « les événements qui ont influencé</w:t>
      </w:r>
      <w:r>
        <w:rPr>
          <w:szCs w:val="22"/>
        </w:rPr>
        <w:t xml:space="preserve"> le mouvement i</w:t>
      </w:r>
      <w:r>
        <w:rPr>
          <w:szCs w:val="22"/>
        </w:rPr>
        <w:t>n</w:t>
      </w:r>
      <w:r>
        <w:rPr>
          <w:szCs w:val="22"/>
        </w:rPr>
        <w:t>ternational d'i</w:t>
      </w:r>
      <w:r w:rsidRPr="00562808">
        <w:rPr>
          <w:szCs w:val="22"/>
        </w:rPr>
        <w:t>mmigration font qu'il n'est plus nécessaire ni opportun de faire valoir, comme un aspect de la politique, la nécessité de conserver au Canada son attrait comme pays d'immigration »</w:t>
      </w:r>
      <w:r>
        <w:rPr>
          <w:szCs w:val="22"/>
        </w:rPr>
        <w:t> </w:t>
      </w:r>
      <w:r w:rsidRPr="00D23A0B">
        <w:rPr>
          <w:rStyle w:val="Appelnotedebasdep"/>
        </w:rPr>
        <w:footnoteReference w:id="561"/>
      </w:r>
      <w:r w:rsidRPr="00562808">
        <w:rPr>
          <w:szCs w:val="22"/>
        </w:rPr>
        <w:t>.</w:t>
      </w:r>
    </w:p>
    <w:p w:rsidR="00AD690E" w:rsidRPr="00562808" w:rsidRDefault="00AD690E" w:rsidP="00AD690E">
      <w:pPr>
        <w:spacing w:before="120" w:after="120"/>
        <w:jc w:val="both"/>
      </w:pPr>
      <w:r w:rsidRPr="00562808">
        <w:rPr>
          <w:szCs w:val="22"/>
        </w:rPr>
        <w:t>Le livre vert a fait l'objet de multiples critiques : document déc</w:t>
      </w:r>
      <w:r w:rsidRPr="00562808">
        <w:rPr>
          <w:szCs w:val="22"/>
        </w:rPr>
        <w:t>e</w:t>
      </w:r>
      <w:r w:rsidRPr="00562808">
        <w:rPr>
          <w:szCs w:val="22"/>
        </w:rPr>
        <w:t>vant, peu sérieux, phraséologie oblique, qui limite la perspective de l'immigration</w:t>
      </w:r>
      <w:r>
        <w:rPr>
          <w:szCs w:val="22"/>
        </w:rPr>
        <w:t> </w:t>
      </w:r>
      <w:r w:rsidRPr="00D23A0B">
        <w:rPr>
          <w:rStyle w:val="Appelnotedebasdep"/>
        </w:rPr>
        <w:footnoteReference w:id="562"/>
      </w:r>
      <w:r w:rsidRPr="00562808">
        <w:rPr>
          <w:szCs w:val="22"/>
        </w:rPr>
        <w:t> ; omission de la contribution positive des immigrés à l'économie et à la société canadienne ; racisme insidieux imprégnant les considérations relatives à l'augmentation de l'immigration visible (Caraïbéens, Asiatiques, etc.) dans les villes</w:t>
      </w:r>
      <w:r>
        <w:rPr>
          <w:szCs w:val="22"/>
        </w:rPr>
        <w:t> </w:t>
      </w:r>
      <w:r w:rsidRPr="00D23A0B">
        <w:rPr>
          <w:rStyle w:val="Appelnotedebasdep"/>
        </w:rPr>
        <w:footnoteReference w:id="563"/>
      </w:r>
      <w:r w:rsidRPr="00562808">
        <w:rPr>
          <w:szCs w:val="22"/>
        </w:rPr>
        <w:t>.</w:t>
      </w:r>
    </w:p>
    <w:p w:rsidR="00AD690E" w:rsidRPr="00562808" w:rsidRDefault="00AD690E" w:rsidP="00AD690E">
      <w:pPr>
        <w:spacing w:before="120" w:after="120"/>
        <w:jc w:val="both"/>
      </w:pPr>
      <w:r w:rsidRPr="00562808">
        <w:rPr>
          <w:szCs w:val="22"/>
        </w:rPr>
        <w:t>En 1975, un Comité mixte spécial sur la politique de l'immigration est créé pour examiner le livre vert, tenir des rencontres publiques et recevoir des mémoires. Le Comité soumet son rapport en novembre 1975 et conclut que le Canada doit rester un pays d'immigration o</w:t>
      </w:r>
      <w:r w:rsidRPr="00562808">
        <w:rPr>
          <w:szCs w:val="22"/>
        </w:rPr>
        <w:t>u</w:t>
      </w:r>
      <w:r w:rsidRPr="00562808">
        <w:rPr>
          <w:szCs w:val="22"/>
        </w:rPr>
        <w:t>vert, compte tenu des avantages démographiques et économiques de l'immigration internationale et des objectifs familiaux et humanitaires qu'il faut poursuivre.</w:t>
      </w:r>
    </w:p>
    <w:p w:rsidR="00AD690E" w:rsidRPr="00943CDA" w:rsidRDefault="00AD690E" w:rsidP="00AD690E">
      <w:pPr>
        <w:spacing w:before="120" w:after="120"/>
        <w:jc w:val="both"/>
        <w:rPr>
          <w:szCs w:val="22"/>
        </w:rPr>
      </w:pPr>
      <w:r w:rsidRPr="00562808">
        <w:rPr>
          <w:szCs w:val="22"/>
        </w:rPr>
        <w:t>Il propose de fixer des objectifs et des plafonds ou niveaux (un m</w:t>
      </w:r>
      <w:r w:rsidRPr="00562808">
        <w:rPr>
          <w:szCs w:val="22"/>
        </w:rPr>
        <w:t>i</w:t>
      </w:r>
      <w:r w:rsidRPr="00562808">
        <w:rPr>
          <w:szCs w:val="22"/>
        </w:rPr>
        <w:t>nimum de 100 000 personnes par an) en vue de régulariser les flux migratoires annuels et d'assurer une croissance démographique équil</w:t>
      </w:r>
      <w:r w:rsidRPr="00562808">
        <w:rPr>
          <w:szCs w:val="22"/>
        </w:rPr>
        <w:t>i</w:t>
      </w:r>
      <w:r w:rsidRPr="00562808">
        <w:rPr>
          <w:szCs w:val="22"/>
        </w:rPr>
        <w:t>brée, tout en tenant compte de l'activité économique, de l'emploi et du chômage. Les niveaux annuels seraient fixés après consultation avec les provinces. Le Comité spécifie que le nombre de parents parrainés doit être soustrait de l'objectif annuel déterminé, et que les réfugiés ne doivent pas être pris en considération dans les niveaux annuels. Le système de points doit être maintenu, mais le critère de la « région désignée » (en rapport a</w:t>
      </w:r>
      <w:r>
        <w:rPr>
          <w:szCs w:val="22"/>
        </w:rPr>
        <w:t>vec une pénurie de main-d'œuvre</w:t>
      </w:r>
      <w:r w:rsidRPr="00562808">
        <w:rPr>
          <w:szCs w:val="22"/>
        </w:rPr>
        <w:t>) doit être prioritaire</w:t>
      </w:r>
      <w:r>
        <w:rPr>
          <w:szCs w:val="22"/>
        </w:rPr>
        <w:t> </w:t>
      </w:r>
      <w:r w:rsidRPr="00D23A0B">
        <w:rPr>
          <w:rStyle w:val="Appelnotedebasdep"/>
        </w:rPr>
        <w:footnoteReference w:id="564"/>
      </w:r>
      <w:r w:rsidRPr="00562808">
        <w:rPr>
          <w:szCs w:val="22"/>
        </w:rPr>
        <w:t>.</w:t>
      </w:r>
    </w:p>
    <w:p w:rsidR="00AD690E" w:rsidRDefault="00AD690E" w:rsidP="00AD690E">
      <w:pPr>
        <w:spacing w:before="120" w:after="120"/>
        <w:jc w:val="both"/>
        <w:rPr>
          <w:szCs w:val="18"/>
        </w:rPr>
      </w:pPr>
      <w:r w:rsidRPr="00562808">
        <w:rPr>
          <w:szCs w:val="18"/>
        </w:rPr>
        <w:br w:type="page"/>
      </w:r>
      <w:r>
        <w:rPr>
          <w:szCs w:val="18"/>
        </w:rPr>
        <w:t>[335]</w:t>
      </w:r>
    </w:p>
    <w:p w:rsidR="00AD690E" w:rsidRPr="00562808" w:rsidRDefault="00AD690E" w:rsidP="00AD690E">
      <w:pPr>
        <w:spacing w:before="120" w:after="120"/>
        <w:jc w:val="both"/>
      </w:pPr>
      <w:r w:rsidRPr="00562808">
        <w:rPr>
          <w:szCs w:val="22"/>
        </w:rPr>
        <w:t xml:space="preserve">La majorité des recommandations du Comité a été incluse dans le nouveau projet de loi sur l'immigration, le projet de loi C-24, présenté à la Chambre le 24 novembre 1976 par le ministre Bud Cullen. La </w:t>
      </w:r>
      <w:r w:rsidRPr="00562808">
        <w:rPr>
          <w:i/>
          <w:iCs/>
          <w:szCs w:val="22"/>
        </w:rPr>
        <w:t xml:space="preserve">Loi de l'immigration </w:t>
      </w:r>
      <w:r w:rsidRPr="00562808">
        <w:rPr>
          <w:szCs w:val="22"/>
        </w:rPr>
        <w:t>entrera en vigueur le 10 avril 1978.</w:t>
      </w:r>
    </w:p>
    <w:p w:rsidR="00AD690E" w:rsidRDefault="00AD690E" w:rsidP="00AD690E">
      <w:pPr>
        <w:spacing w:before="120" w:after="120"/>
        <w:jc w:val="both"/>
        <w:rPr>
          <w:bCs/>
          <w:szCs w:val="22"/>
        </w:rPr>
      </w:pPr>
    </w:p>
    <w:p w:rsidR="00AD690E" w:rsidRPr="00562808" w:rsidRDefault="00AD690E" w:rsidP="00AD690E">
      <w:pPr>
        <w:pStyle w:val="a"/>
      </w:pPr>
      <w:r w:rsidRPr="00562808">
        <w:t>La Loi de l'Immigration de 1976</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Pour la première fois au Canada, une loi de l'immigration définit les principes de base et les objectifs de l'immigration canadienne, soit :</w:t>
      </w:r>
    </w:p>
    <w:p w:rsidR="00AD690E" w:rsidRDefault="00AD690E" w:rsidP="00AD690E">
      <w:pPr>
        <w:spacing w:before="120" w:after="120"/>
        <w:jc w:val="both"/>
        <w:rPr>
          <w:szCs w:val="18"/>
        </w:rPr>
      </w:pPr>
    </w:p>
    <w:p w:rsidR="00AD690E" w:rsidRPr="00374091" w:rsidRDefault="00AD690E" w:rsidP="00AD690E">
      <w:pPr>
        <w:spacing w:before="120" w:after="120"/>
        <w:ind w:left="720" w:hanging="360"/>
        <w:jc w:val="both"/>
        <w:rPr>
          <w:sz w:val="24"/>
          <w:szCs w:val="18"/>
        </w:rPr>
      </w:pPr>
      <w:r w:rsidRPr="00374091">
        <w:rPr>
          <w:sz w:val="24"/>
          <w:szCs w:val="18"/>
        </w:rPr>
        <w:t>a)</w:t>
      </w:r>
      <w:r w:rsidRPr="00374091">
        <w:rPr>
          <w:sz w:val="24"/>
          <w:szCs w:val="18"/>
        </w:rPr>
        <w:tab/>
        <w:t>de favoriser la poursuite des objectifs démographiques établis par le go</w:t>
      </w:r>
      <w:r w:rsidRPr="00374091">
        <w:rPr>
          <w:sz w:val="24"/>
          <w:szCs w:val="18"/>
        </w:rPr>
        <w:t>u</w:t>
      </w:r>
      <w:r w:rsidRPr="00374091">
        <w:rPr>
          <w:sz w:val="24"/>
          <w:szCs w:val="18"/>
        </w:rPr>
        <w:t>vernement du Canada, relatifs au chiffre, au taux de croissance, à la co</w:t>
      </w:r>
      <w:r w:rsidRPr="00374091">
        <w:rPr>
          <w:sz w:val="24"/>
          <w:szCs w:val="18"/>
        </w:rPr>
        <w:t>m</w:t>
      </w:r>
      <w:r w:rsidRPr="00374091">
        <w:rPr>
          <w:sz w:val="24"/>
          <w:szCs w:val="18"/>
        </w:rPr>
        <w:t>position et à la répartition géographique de la population canadienne ;</w:t>
      </w:r>
    </w:p>
    <w:p w:rsidR="00AD690E" w:rsidRPr="00374091" w:rsidRDefault="00AD690E" w:rsidP="00AD690E">
      <w:pPr>
        <w:spacing w:before="120" w:after="120"/>
        <w:ind w:left="720" w:hanging="360"/>
        <w:jc w:val="both"/>
        <w:rPr>
          <w:sz w:val="24"/>
          <w:szCs w:val="18"/>
        </w:rPr>
      </w:pPr>
      <w:r w:rsidRPr="00374091">
        <w:rPr>
          <w:sz w:val="24"/>
          <w:szCs w:val="18"/>
        </w:rPr>
        <w:t>b)</w:t>
      </w:r>
      <w:r w:rsidRPr="00374091">
        <w:rPr>
          <w:sz w:val="24"/>
          <w:szCs w:val="18"/>
        </w:rPr>
        <w:tab/>
        <w:t>d'enrichir et de consolider le patrimoine culturel et social du Canada, compte tenu de son caractère fédéral et bilingue ;</w:t>
      </w:r>
    </w:p>
    <w:p w:rsidR="00AD690E" w:rsidRPr="00374091" w:rsidRDefault="00AD690E" w:rsidP="00AD690E">
      <w:pPr>
        <w:spacing w:before="120" w:after="120"/>
        <w:ind w:left="720" w:hanging="360"/>
        <w:jc w:val="both"/>
        <w:rPr>
          <w:sz w:val="24"/>
          <w:szCs w:val="18"/>
        </w:rPr>
      </w:pPr>
      <w:r w:rsidRPr="00374091">
        <w:rPr>
          <w:sz w:val="24"/>
          <w:szCs w:val="18"/>
        </w:rPr>
        <w:t>c)</w:t>
      </w:r>
      <w:r w:rsidRPr="00374091">
        <w:rPr>
          <w:sz w:val="24"/>
          <w:szCs w:val="18"/>
        </w:rPr>
        <w:tab/>
        <w:t>de faciliter la réunion au Canada des citoyens canadiens et résidents pe</w:t>
      </w:r>
      <w:r w:rsidRPr="00374091">
        <w:rPr>
          <w:sz w:val="24"/>
          <w:szCs w:val="18"/>
        </w:rPr>
        <w:t>r</w:t>
      </w:r>
      <w:r w:rsidRPr="00374091">
        <w:rPr>
          <w:sz w:val="24"/>
          <w:szCs w:val="18"/>
        </w:rPr>
        <w:t>manents avec leurs proches parents de l'étranger ;</w:t>
      </w:r>
    </w:p>
    <w:p w:rsidR="00AD690E" w:rsidRPr="00374091" w:rsidRDefault="00AD690E" w:rsidP="00AD690E">
      <w:pPr>
        <w:spacing w:before="120" w:after="120"/>
        <w:ind w:left="720" w:hanging="360"/>
        <w:jc w:val="both"/>
        <w:rPr>
          <w:sz w:val="24"/>
          <w:szCs w:val="18"/>
        </w:rPr>
      </w:pPr>
      <w:r w:rsidRPr="00374091">
        <w:rPr>
          <w:sz w:val="24"/>
          <w:szCs w:val="18"/>
        </w:rPr>
        <w:t>d)</w:t>
      </w:r>
      <w:r w:rsidRPr="00374091">
        <w:rPr>
          <w:sz w:val="24"/>
          <w:szCs w:val="18"/>
        </w:rPr>
        <w:tab/>
        <w:t>d'encourager et de faciliter, grâce aux efforts conjugués du gouvernement fédéral, des autres niveaux de gouvernement et des organismes non go</w:t>
      </w:r>
      <w:r w:rsidRPr="00374091">
        <w:rPr>
          <w:sz w:val="24"/>
          <w:szCs w:val="18"/>
        </w:rPr>
        <w:t>u</w:t>
      </w:r>
      <w:r w:rsidRPr="00374091">
        <w:rPr>
          <w:sz w:val="24"/>
          <w:szCs w:val="18"/>
        </w:rPr>
        <w:t>vernementaux, l'adaptation à la société canadienne des personnes qui ont obtenu l'admission à titre de résidents permanents ;</w:t>
      </w:r>
    </w:p>
    <w:p w:rsidR="00AD690E" w:rsidRPr="00374091" w:rsidRDefault="00AD690E" w:rsidP="00AD690E">
      <w:pPr>
        <w:spacing w:before="120" w:after="120"/>
        <w:ind w:left="720" w:hanging="360"/>
        <w:jc w:val="both"/>
        <w:rPr>
          <w:sz w:val="24"/>
          <w:szCs w:val="18"/>
        </w:rPr>
      </w:pPr>
      <w:r w:rsidRPr="00374091">
        <w:rPr>
          <w:sz w:val="24"/>
          <w:szCs w:val="18"/>
        </w:rPr>
        <w:t>e)</w:t>
      </w:r>
      <w:r w:rsidRPr="00374091">
        <w:rPr>
          <w:sz w:val="24"/>
          <w:szCs w:val="18"/>
        </w:rPr>
        <w:tab/>
        <w:t>de faciliter le séjour au Canada de visiteurs en vue de promouvoir le commerce, le tourisme, les activités scientifiques et culturelles ainsi que la compréhension internationale ;</w:t>
      </w:r>
    </w:p>
    <w:p w:rsidR="00AD690E" w:rsidRPr="00374091" w:rsidRDefault="00AD690E" w:rsidP="00AD690E">
      <w:pPr>
        <w:spacing w:before="120" w:after="120"/>
        <w:ind w:left="720" w:hanging="360"/>
        <w:jc w:val="both"/>
        <w:rPr>
          <w:sz w:val="24"/>
          <w:szCs w:val="18"/>
        </w:rPr>
      </w:pPr>
      <w:r w:rsidRPr="00374091">
        <w:rPr>
          <w:sz w:val="24"/>
          <w:szCs w:val="18"/>
        </w:rPr>
        <w:t>f)</w:t>
      </w:r>
      <w:r w:rsidRPr="00374091">
        <w:rPr>
          <w:sz w:val="24"/>
          <w:szCs w:val="18"/>
        </w:rPr>
        <w:tab/>
        <w:t>de s'assurer que les personnes désireuses d'être admises au Canada à titre permanent ou temporaire soient soumises à des critères non discriminato</w:t>
      </w:r>
      <w:r w:rsidRPr="00374091">
        <w:rPr>
          <w:sz w:val="24"/>
          <w:szCs w:val="18"/>
        </w:rPr>
        <w:t>i</w:t>
      </w:r>
      <w:r w:rsidRPr="00374091">
        <w:rPr>
          <w:sz w:val="24"/>
          <w:szCs w:val="18"/>
        </w:rPr>
        <w:t>res en raison de la race, l'origine nationale ou ethnique, la couleur, la rel</w:t>
      </w:r>
      <w:r w:rsidRPr="00374091">
        <w:rPr>
          <w:sz w:val="24"/>
          <w:szCs w:val="18"/>
        </w:rPr>
        <w:t>i</w:t>
      </w:r>
      <w:r w:rsidRPr="00374091">
        <w:rPr>
          <w:sz w:val="24"/>
          <w:szCs w:val="18"/>
        </w:rPr>
        <w:t>gion ou le sexe ;</w:t>
      </w:r>
    </w:p>
    <w:p w:rsidR="00AD690E" w:rsidRPr="00374091" w:rsidRDefault="00AD690E" w:rsidP="00AD690E">
      <w:pPr>
        <w:spacing w:before="120" w:after="120"/>
        <w:ind w:left="720" w:hanging="360"/>
        <w:jc w:val="both"/>
        <w:rPr>
          <w:sz w:val="24"/>
          <w:szCs w:val="18"/>
        </w:rPr>
      </w:pPr>
      <w:r w:rsidRPr="00374091">
        <w:rPr>
          <w:sz w:val="24"/>
          <w:szCs w:val="18"/>
        </w:rPr>
        <w:t>g)</w:t>
      </w:r>
      <w:r w:rsidRPr="00374091">
        <w:rPr>
          <w:sz w:val="24"/>
          <w:szCs w:val="18"/>
        </w:rPr>
        <w:tab/>
        <w:t>de remplir, envers les réfugiés, les obligations légales du Canada sur le plan international et de maintenir sa traditionnelle attitude humanitaire, à l'égard des personnes déplacées ou persécutées ;</w:t>
      </w:r>
    </w:p>
    <w:p w:rsidR="00AD690E" w:rsidRPr="00374091" w:rsidRDefault="00AD690E" w:rsidP="00AD690E">
      <w:pPr>
        <w:spacing w:before="120" w:after="120"/>
        <w:ind w:left="720" w:hanging="360"/>
        <w:jc w:val="both"/>
        <w:rPr>
          <w:sz w:val="24"/>
        </w:rPr>
      </w:pPr>
      <w:r w:rsidRPr="00374091">
        <w:rPr>
          <w:sz w:val="24"/>
          <w:szCs w:val="18"/>
        </w:rPr>
        <w:t>h)</w:t>
      </w:r>
      <w:r w:rsidRPr="00374091">
        <w:rPr>
          <w:sz w:val="24"/>
          <w:szCs w:val="18"/>
        </w:rPr>
        <w:tab/>
        <w:t>de stimuler le développement d'une économie florissante et assurer la prospérité dans toutes les régions du pays ;</w:t>
      </w:r>
    </w:p>
    <w:p w:rsidR="00AD690E" w:rsidRDefault="00AD690E" w:rsidP="00AD690E">
      <w:pPr>
        <w:spacing w:before="120" w:after="120"/>
        <w:ind w:left="720" w:hanging="360"/>
        <w:jc w:val="both"/>
        <w:rPr>
          <w:sz w:val="24"/>
          <w:szCs w:val="18"/>
        </w:rPr>
      </w:pPr>
      <w:r w:rsidRPr="00374091">
        <w:rPr>
          <w:sz w:val="24"/>
          <w:szCs w:val="18"/>
        </w:rPr>
        <w:t>i)</w:t>
      </w:r>
      <w:r w:rsidRPr="00374091">
        <w:rPr>
          <w:sz w:val="24"/>
          <w:szCs w:val="18"/>
        </w:rPr>
        <w:tab/>
        <w:t>de maintenir et de garantir la santé, la sécurité et l'ordre au Canada ; et</w:t>
      </w:r>
      <w:r>
        <w:rPr>
          <w:sz w:val="24"/>
          <w:szCs w:val="18"/>
        </w:rPr>
        <w:t xml:space="preserve"> </w:t>
      </w:r>
    </w:p>
    <w:p w:rsidR="00AD690E" w:rsidRDefault="00AD690E" w:rsidP="00AD690E">
      <w:pPr>
        <w:pStyle w:val="p"/>
      </w:pPr>
      <w:r w:rsidRPr="007E58F4">
        <w:t>[336]</w:t>
      </w:r>
    </w:p>
    <w:p w:rsidR="00AD690E" w:rsidRPr="003D2B33" w:rsidRDefault="00AD690E" w:rsidP="00AD690E">
      <w:pPr>
        <w:spacing w:before="120" w:after="120"/>
        <w:ind w:left="720" w:hanging="360"/>
        <w:jc w:val="both"/>
        <w:rPr>
          <w:sz w:val="24"/>
        </w:rPr>
      </w:pPr>
      <w:r w:rsidRPr="003D2B33">
        <w:rPr>
          <w:sz w:val="24"/>
          <w:szCs w:val="18"/>
        </w:rPr>
        <w:t>j)</w:t>
      </w:r>
      <w:r w:rsidRPr="003D2B33">
        <w:rPr>
          <w:sz w:val="24"/>
          <w:szCs w:val="18"/>
        </w:rPr>
        <w:tab/>
        <w:t>de promouvoir l'ordre et la justice sur le plan international en ref</w:t>
      </w:r>
      <w:r w:rsidRPr="003D2B33">
        <w:rPr>
          <w:sz w:val="24"/>
          <w:szCs w:val="18"/>
        </w:rPr>
        <w:t>u</w:t>
      </w:r>
      <w:r w:rsidRPr="003D2B33">
        <w:rPr>
          <w:sz w:val="24"/>
          <w:szCs w:val="18"/>
        </w:rPr>
        <w:t>sant aux personnes susceptibles de se livrer à des activités crimine</w:t>
      </w:r>
      <w:r w:rsidRPr="003D2B33">
        <w:rPr>
          <w:sz w:val="24"/>
          <w:szCs w:val="18"/>
        </w:rPr>
        <w:t>l</w:t>
      </w:r>
      <w:r w:rsidRPr="003D2B33">
        <w:rPr>
          <w:sz w:val="24"/>
          <w:szCs w:val="18"/>
        </w:rPr>
        <w:t>les de se trouver en territoire canadien.</w:t>
      </w:r>
      <w:r>
        <w:rPr>
          <w:sz w:val="24"/>
          <w:szCs w:val="18"/>
        </w:rPr>
        <w:t> </w:t>
      </w:r>
      <w:r>
        <w:rPr>
          <w:rStyle w:val="Appelnotedebasdep"/>
          <w:szCs w:val="18"/>
        </w:rPr>
        <w:footnoteReference w:id="565"/>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L'immigration demeure une responsabilité conjointe du gouvern</w:t>
      </w:r>
      <w:r w:rsidRPr="00562808">
        <w:rPr>
          <w:szCs w:val="22"/>
        </w:rPr>
        <w:t>e</w:t>
      </w:r>
      <w:r w:rsidRPr="00562808">
        <w:rPr>
          <w:szCs w:val="22"/>
        </w:rPr>
        <w:t>ment fédéral et des gouvernement</w:t>
      </w:r>
      <w:r>
        <w:rPr>
          <w:szCs w:val="22"/>
        </w:rPr>
        <w:t>s</w:t>
      </w:r>
      <w:r w:rsidRPr="00562808">
        <w:rPr>
          <w:szCs w:val="22"/>
        </w:rPr>
        <w:t xml:space="preserve"> provinciaux, la prééminence rev</w:t>
      </w:r>
      <w:r w:rsidRPr="00562808">
        <w:rPr>
          <w:szCs w:val="22"/>
        </w:rPr>
        <w:t>e</w:t>
      </w:r>
      <w:r w:rsidRPr="00562808">
        <w:rPr>
          <w:szCs w:val="22"/>
        </w:rPr>
        <w:t>nant au gouvernement fédéral. Cependant, le ministre est requis de consulter les provinces afin d'annoncer, chaque année, le nombre d'immigrés qu'il se propose d'admettre. Le principe des niveaux ou des plafonds annuels est donc fondamental, et ces niveaux seront déterm</w:t>
      </w:r>
      <w:r w:rsidRPr="00562808">
        <w:rPr>
          <w:szCs w:val="22"/>
        </w:rPr>
        <w:t>i</w:t>
      </w:r>
      <w:r w:rsidRPr="00562808">
        <w:rPr>
          <w:szCs w:val="22"/>
        </w:rPr>
        <w:t>nés en conformité avec les besoins économiques et démographiques du pays. En 1984, on adoptera des plans triennaux qu'il sera possible de modifier d'année en année.</w:t>
      </w:r>
    </w:p>
    <w:p w:rsidR="00AD690E" w:rsidRDefault="00AD690E" w:rsidP="00AD690E">
      <w:pPr>
        <w:spacing w:before="120" w:after="120"/>
        <w:jc w:val="both"/>
        <w:rPr>
          <w:szCs w:val="22"/>
        </w:rPr>
      </w:pPr>
      <w:r w:rsidRPr="00562808">
        <w:rPr>
          <w:szCs w:val="22"/>
        </w:rPr>
        <w:t>Parmi les autres points importants de la loi, on trouve une nouvelle définition des catégories admissibles : 1) la catégorie de la famille, qui correspond à la catégorie antérieure des « personnes à charge parra</w:t>
      </w:r>
      <w:r w:rsidRPr="00562808">
        <w:rPr>
          <w:szCs w:val="22"/>
        </w:rPr>
        <w:t>i</w:t>
      </w:r>
      <w:r w:rsidRPr="00562808">
        <w:rPr>
          <w:szCs w:val="22"/>
        </w:rPr>
        <w:t xml:space="preserve">nées », a été élargie de telle sorte qu'un </w:t>
      </w:r>
      <w:r w:rsidRPr="00562808">
        <w:rPr>
          <w:i/>
          <w:iCs/>
          <w:szCs w:val="22"/>
        </w:rPr>
        <w:t xml:space="preserve">citoyen </w:t>
      </w:r>
      <w:r w:rsidRPr="00562808">
        <w:rPr>
          <w:szCs w:val="22"/>
        </w:rPr>
        <w:t>canadien puisse pa</w:t>
      </w:r>
      <w:r w:rsidRPr="00562808">
        <w:rPr>
          <w:szCs w:val="22"/>
        </w:rPr>
        <w:t>r</w:t>
      </w:r>
      <w:r w:rsidRPr="00562808">
        <w:rPr>
          <w:szCs w:val="22"/>
        </w:rPr>
        <w:t>rainer ses père et mère, quel que soit leur âge, pendant une période maximale de dix ans ; 2) la catégorie des réfugiés ; 3) la catégorie des requérants indépendants, qui comprendra, selon la réglementation complémentaire : les retraités, les entrepreneurs et les travailleurs a</w:t>
      </w:r>
      <w:r w:rsidRPr="00562808">
        <w:rPr>
          <w:szCs w:val="22"/>
        </w:rPr>
        <w:t>u</w:t>
      </w:r>
      <w:r w:rsidRPr="00562808">
        <w:rPr>
          <w:szCs w:val="22"/>
        </w:rPr>
        <w:t>tonomes, les travailleurs sélectionnés et les parents aidés. Cette de</w:t>
      </w:r>
      <w:r w:rsidRPr="00562808">
        <w:rPr>
          <w:szCs w:val="22"/>
        </w:rPr>
        <w:t>r</w:t>
      </w:r>
      <w:r w:rsidRPr="00562808">
        <w:rPr>
          <w:szCs w:val="22"/>
        </w:rPr>
        <w:t>nière sous-catégorie correspond à l'ancienne catégorie des « parents nommément désignés » et sera soumise à une sélection plus sév</w:t>
      </w:r>
      <w:r w:rsidRPr="00562808">
        <w:rPr>
          <w:szCs w:val="22"/>
        </w:rPr>
        <w:t>è</w:t>
      </w:r>
      <w:r w:rsidRPr="00562808">
        <w:rPr>
          <w:szCs w:val="22"/>
        </w:rPr>
        <w:t>re</w:t>
      </w:r>
      <w:r>
        <w:rPr>
          <w:szCs w:val="22"/>
        </w:rPr>
        <w:t> </w:t>
      </w:r>
      <w:r w:rsidRPr="00D23A0B">
        <w:rPr>
          <w:rStyle w:val="Appelnotedebasdep"/>
        </w:rPr>
        <w:footnoteReference w:id="566"/>
      </w:r>
      <w:r>
        <w:rPr>
          <w:szCs w:val="22"/>
        </w:rPr>
        <w:t xml:space="preserve">. </w:t>
      </w:r>
      <w:r w:rsidRPr="00562808">
        <w:rPr>
          <w:szCs w:val="22"/>
        </w:rPr>
        <w:t>Afin d'être admis comme résident permanent, chaque immigré séle</w:t>
      </w:r>
      <w:r w:rsidRPr="00562808">
        <w:rPr>
          <w:szCs w:val="22"/>
        </w:rPr>
        <w:t>c</w:t>
      </w:r>
      <w:r w:rsidRPr="00562808">
        <w:rPr>
          <w:szCs w:val="22"/>
        </w:rPr>
        <w:t>tionné doit obtenir un minimum de points. Les entrepreneurs doivent obtenir au moins 25 points, les parents aidés entre 20 et 35 points, et les autres requérants 50 points. Les exigences relatives à la profession désignée, à l'emploi réservé ou à la demande dans la pr</w:t>
      </w:r>
      <w:r w:rsidRPr="00562808">
        <w:rPr>
          <w:szCs w:val="22"/>
        </w:rPr>
        <w:t>o</w:t>
      </w:r>
      <w:r w:rsidRPr="00562808">
        <w:rPr>
          <w:szCs w:val="22"/>
        </w:rPr>
        <w:t>fession sont les mêmes qu'en 1974. En 1982, on exigera à titre temp</w:t>
      </w:r>
      <w:r w:rsidRPr="00562808">
        <w:rPr>
          <w:szCs w:val="22"/>
        </w:rPr>
        <w:t>o</w:t>
      </w:r>
      <w:r w:rsidRPr="00562808">
        <w:rPr>
          <w:szCs w:val="22"/>
        </w:rPr>
        <w:t>raire, que les travailleurs indépendants sélectionnés soient munis d'une offre d'e</w:t>
      </w:r>
      <w:r w:rsidRPr="00562808">
        <w:rPr>
          <w:szCs w:val="22"/>
        </w:rPr>
        <w:t>m</w:t>
      </w:r>
      <w:r w:rsidRPr="00562808">
        <w:rPr>
          <w:szCs w:val="22"/>
        </w:rPr>
        <w:t>ploi validée avant même que leur demande d'immigration au Canada puisse être étudiée. De plus, les critères des « études » et de la « préparation professionnelle spécifique » comptent maintenant pour 27 points au lieu de 20</w:t>
      </w:r>
      <w:r>
        <w:rPr>
          <w:szCs w:val="22"/>
        </w:rPr>
        <w:t xml:space="preserve"> comme dans le Règlement de 1967 </w:t>
      </w:r>
      <w:r>
        <w:rPr>
          <w:rStyle w:val="Appelnotedebasdep"/>
        </w:rPr>
        <w:footnoteReference w:id="567"/>
      </w:r>
      <w:r w:rsidRPr="00562808">
        <w:rPr>
          <w:szCs w:val="22"/>
        </w:rPr>
        <w:t> :</w:t>
      </w:r>
      <w:r>
        <w:rPr>
          <w:szCs w:val="22"/>
        </w:rPr>
        <w:t xml:space="preserve"> </w:t>
      </w:r>
      <w:r w:rsidRPr="00562808">
        <w:rPr>
          <w:szCs w:val="22"/>
        </w:rPr>
        <w:t>La loi autorise les agents d'immigration à faciliter l'admission d'un immigré si celui-ci accepte de vivre dans une région désignée pendant une p</w:t>
      </w:r>
      <w:r w:rsidRPr="00562808">
        <w:rPr>
          <w:szCs w:val="22"/>
        </w:rPr>
        <w:t>é</w:t>
      </w:r>
      <w:r w:rsidRPr="00562808">
        <w:rPr>
          <w:szCs w:val="22"/>
        </w:rPr>
        <w:t>riode de six mois</w:t>
      </w:r>
      <w:r>
        <w:rPr>
          <w:szCs w:val="22"/>
        </w:rPr>
        <w:t> </w:t>
      </w:r>
      <w:r w:rsidRPr="00D23A0B">
        <w:rPr>
          <w:rStyle w:val="Appelnotedebasdep"/>
        </w:rPr>
        <w:footnoteReference w:id="568"/>
      </w:r>
      <w:r>
        <w:rPr>
          <w:szCs w:val="22"/>
        </w:rPr>
        <w:t>.</w:t>
      </w:r>
    </w:p>
    <w:p w:rsidR="00AD690E" w:rsidRDefault="00AD690E" w:rsidP="00AD690E">
      <w:pPr>
        <w:spacing w:before="120" w:after="120"/>
        <w:jc w:val="both"/>
      </w:pPr>
      <w:r>
        <w:t>[337]</w:t>
      </w:r>
    </w:p>
    <w:p w:rsidR="00AD690E" w:rsidRPr="00562808" w:rsidRDefault="00AD690E" w:rsidP="00AD690E">
      <w:pPr>
        <w:spacing w:before="120" w:after="120"/>
        <w:jc w:val="both"/>
      </w:pPr>
      <w:r w:rsidRPr="00562808">
        <w:rPr>
          <w:szCs w:val="22"/>
        </w:rPr>
        <w:t>Pour contrevenir au problème de l'immigration illégale, la loi exige que toute personne qui veut travailler ou étudier temporairement au Canada, obtienne une autorisation de séjour alors qu'elle est encore à l'extérieur du Canada. Le droit de demander le statut de résident pe</w:t>
      </w:r>
      <w:r w:rsidRPr="00562808">
        <w:rPr>
          <w:szCs w:val="22"/>
        </w:rPr>
        <w:t>r</w:t>
      </w:r>
      <w:r w:rsidRPr="00562808">
        <w:rPr>
          <w:szCs w:val="22"/>
        </w:rPr>
        <w:t>manent est aboli, ce qui correspond à une mesure prise en 1972. De plus, la loi prévoit des pénalités contre les employeurs qui emba</w:t>
      </w:r>
      <w:r w:rsidRPr="00562808">
        <w:rPr>
          <w:szCs w:val="22"/>
        </w:rPr>
        <w:t>u</w:t>
      </w:r>
      <w:r w:rsidRPr="00562808">
        <w:rPr>
          <w:szCs w:val="22"/>
        </w:rPr>
        <w:t>chent des illégaux</w:t>
      </w:r>
      <w:r>
        <w:rPr>
          <w:szCs w:val="22"/>
        </w:rPr>
        <w:t> </w:t>
      </w:r>
      <w:r w:rsidRPr="00D23A0B">
        <w:rPr>
          <w:rStyle w:val="Appelnotedebasdep"/>
        </w:rPr>
        <w:footnoteReference w:id="569"/>
      </w:r>
      <w:r w:rsidRPr="00562808">
        <w:rPr>
          <w:szCs w:val="22"/>
        </w:rPr>
        <w:t>.</w:t>
      </w:r>
    </w:p>
    <w:p w:rsidR="00AD690E" w:rsidRPr="00562808" w:rsidRDefault="00AD690E" w:rsidP="00AD690E">
      <w:pPr>
        <w:spacing w:before="120" w:after="120"/>
        <w:jc w:val="both"/>
      </w:pPr>
      <w:r w:rsidRPr="00562808">
        <w:rPr>
          <w:szCs w:val="22"/>
        </w:rPr>
        <w:t>Les catégories non admissibles d'immigrés sont modifiées par ra</w:t>
      </w:r>
      <w:r w:rsidRPr="00562808">
        <w:rPr>
          <w:szCs w:val="22"/>
        </w:rPr>
        <w:t>p</w:t>
      </w:r>
      <w:r w:rsidRPr="00562808">
        <w:rPr>
          <w:szCs w:val="22"/>
        </w:rPr>
        <w:t>port à la loi de 1952. Cette dernière interdisait l'entrée des « idiots, imbéciles, morons, tuberculeux, épileptiques, alcooliques, aveugles, sourds, prostituées, homosexuels, vagabonds, drogués », etc.. La loi de 1976 reconnaît des catégories larges de personnes qui pourraient porter atteinte à la santé ou à la sécurité publique, ou entraîner un fa</w:t>
      </w:r>
      <w:r w:rsidRPr="00562808">
        <w:rPr>
          <w:szCs w:val="22"/>
        </w:rPr>
        <w:t>r</w:t>
      </w:r>
      <w:r w:rsidRPr="00562808">
        <w:rPr>
          <w:szCs w:val="22"/>
        </w:rPr>
        <w:t>deau excessif pour les services sociaux ou de santé, ou qui pourraient se livrer à des activités criminelles, à des actes d'espionnage ou de subversion contre des institutions démocratiques. Enfin, plusieurs m</w:t>
      </w:r>
      <w:r w:rsidRPr="00562808">
        <w:rPr>
          <w:szCs w:val="22"/>
        </w:rPr>
        <w:t>e</w:t>
      </w:r>
      <w:r w:rsidRPr="00562808">
        <w:rPr>
          <w:szCs w:val="22"/>
        </w:rPr>
        <w:t>sures de contrôle administratif sont prévues</w:t>
      </w:r>
      <w:r>
        <w:rPr>
          <w:szCs w:val="22"/>
        </w:rPr>
        <w:t> </w:t>
      </w:r>
      <w:r w:rsidRPr="00D23A0B">
        <w:rPr>
          <w:rStyle w:val="Appelnotedebasdep"/>
        </w:rPr>
        <w:footnoteReference w:id="570"/>
      </w:r>
      <w:r w:rsidRPr="00562808">
        <w:rPr>
          <w:szCs w:val="22"/>
        </w:rPr>
        <w:t>.</w:t>
      </w:r>
    </w:p>
    <w:p w:rsidR="00AD690E" w:rsidRPr="00562808" w:rsidRDefault="00AD690E" w:rsidP="00AD690E">
      <w:pPr>
        <w:spacing w:before="120" w:after="120"/>
        <w:jc w:val="both"/>
      </w:pPr>
      <w:r w:rsidRPr="00562808">
        <w:rPr>
          <w:szCs w:val="22"/>
        </w:rPr>
        <w:t>Pour la première fois, la loi de 1976 stipule que le Canada assum</w:t>
      </w:r>
      <w:r w:rsidRPr="00562808">
        <w:rPr>
          <w:szCs w:val="22"/>
        </w:rPr>
        <w:t>e</w:t>
      </w:r>
      <w:r w:rsidRPr="00562808">
        <w:rPr>
          <w:szCs w:val="22"/>
        </w:rPr>
        <w:t>ra les obligations légales qui ont été contractées auprès de la Conve</w:t>
      </w:r>
      <w:r w:rsidRPr="00562808">
        <w:rPr>
          <w:szCs w:val="22"/>
        </w:rPr>
        <w:t>n</w:t>
      </w:r>
      <w:r w:rsidRPr="00562808">
        <w:rPr>
          <w:szCs w:val="22"/>
        </w:rPr>
        <w:t>tion de Genève et reconnaît de plus avoir des obligations morales à l'endroit des réfugiés. De nouvelles procédures sont prévues pour d</w:t>
      </w:r>
      <w:r w:rsidRPr="00562808">
        <w:rPr>
          <w:szCs w:val="22"/>
        </w:rPr>
        <w:t>é</w:t>
      </w:r>
      <w:r w:rsidRPr="00562808">
        <w:rPr>
          <w:szCs w:val="22"/>
        </w:rPr>
        <w:t>terminer le statut de réfugié. La loi autorise également le recours à des critères de sélection élargis, se fondant sur des considérations human</w:t>
      </w:r>
      <w:r w:rsidRPr="00562808">
        <w:rPr>
          <w:szCs w:val="22"/>
        </w:rPr>
        <w:t>i</w:t>
      </w:r>
      <w:r w:rsidRPr="00562808">
        <w:rPr>
          <w:szCs w:val="22"/>
        </w:rPr>
        <w:t>taires pour admettre des personnes qui ne correspondent pas à la déf</w:t>
      </w:r>
      <w:r w:rsidRPr="00562808">
        <w:rPr>
          <w:szCs w:val="22"/>
        </w:rPr>
        <w:t>i</w:t>
      </w:r>
      <w:r w:rsidRPr="00562808">
        <w:rPr>
          <w:szCs w:val="22"/>
        </w:rPr>
        <w:t>nition du réfugié au sens de la Convention (exilés volontaires de l'E</w:t>
      </w:r>
      <w:r w:rsidRPr="00562808">
        <w:rPr>
          <w:szCs w:val="22"/>
        </w:rPr>
        <w:t>u</w:t>
      </w:r>
      <w:r w:rsidRPr="00562808">
        <w:rPr>
          <w:szCs w:val="22"/>
        </w:rPr>
        <w:t>rope de l'Est, Indochinois, groupes latino-américains, etc.). Elle crée formellement un Comité consultatif sur le statut de réfugié au sens de cette Convention.</w:t>
      </w:r>
    </w:p>
    <w:p w:rsidR="00AD690E" w:rsidRDefault="00AD690E" w:rsidP="00AD690E">
      <w:pPr>
        <w:spacing w:before="120" w:after="120"/>
        <w:jc w:val="both"/>
        <w:rPr>
          <w:szCs w:val="22"/>
        </w:rPr>
      </w:pPr>
      <w:r w:rsidRPr="00562808">
        <w:rPr>
          <w:szCs w:val="22"/>
        </w:rPr>
        <w:t>En résumé, la loi de 1976 se démarque radicalement de l'évolution de la politique canadienne d'immigration depuis la Deuxième Guerre mondiale. La fixation des niveaux annuels d'immigration révèle une centralisation accrue dans la planification de l'immigration et la cons</w:t>
      </w:r>
      <w:r w:rsidRPr="00562808">
        <w:rPr>
          <w:szCs w:val="22"/>
        </w:rPr>
        <w:t>i</w:t>
      </w:r>
      <w:r w:rsidRPr="00562808">
        <w:rPr>
          <w:szCs w:val="22"/>
        </w:rPr>
        <w:t>dération d'objectifs économiques et démographiques à court et à long terme. Comme le note Kubat, on a évolué d'une politique expansio</w:t>
      </w:r>
      <w:r w:rsidRPr="00562808">
        <w:rPr>
          <w:szCs w:val="22"/>
        </w:rPr>
        <w:t>n</w:t>
      </w:r>
      <w:r w:rsidRPr="00562808">
        <w:rPr>
          <w:szCs w:val="22"/>
        </w:rPr>
        <w:t>niste mais particulariste, avec la loi de 1952, vers une politique de st</w:t>
      </w:r>
      <w:r w:rsidRPr="00562808">
        <w:rPr>
          <w:szCs w:val="22"/>
        </w:rPr>
        <w:t>a</w:t>
      </w:r>
      <w:r w:rsidRPr="00562808">
        <w:rPr>
          <w:szCs w:val="22"/>
        </w:rPr>
        <w:t>bilisation démographique mais universaliste, avec la loi de 1976</w:t>
      </w:r>
      <w:r>
        <w:rPr>
          <w:szCs w:val="22"/>
        </w:rPr>
        <w:t> </w:t>
      </w:r>
      <w:r w:rsidRPr="00D23A0B">
        <w:rPr>
          <w:rStyle w:val="Appelnotedebasdep"/>
        </w:rPr>
        <w:footnoteReference w:id="571"/>
      </w:r>
      <w:r w:rsidRPr="00562808">
        <w:rPr>
          <w:szCs w:val="22"/>
        </w:rPr>
        <w:t>.</w:t>
      </w:r>
    </w:p>
    <w:p w:rsidR="00AD690E" w:rsidRPr="00562808" w:rsidRDefault="00AD690E" w:rsidP="00AD690E">
      <w:pPr>
        <w:spacing w:before="120" w:after="120"/>
        <w:jc w:val="both"/>
      </w:pPr>
      <w:r>
        <w:rPr>
          <w:szCs w:val="18"/>
        </w:rPr>
        <w:t>[</w:t>
      </w:r>
      <w:r w:rsidRPr="00562808">
        <w:rPr>
          <w:szCs w:val="22"/>
        </w:rPr>
        <w:t>338</w:t>
      </w:r>
      <w:r>
        <w:rPr>
          <w:szCs w:val="22"/>
        </w:rPr>
        <w:t>]</w:t>
      </w:r>
    </w:p>
    <w:p w:rsidR="00AD690E" w:rsidRDefault="00AD690E" w:rsidP="00AD690E">
      <w:pPr>
        <w:spacing w:before="120" w:after="120"/>
        <w:jc w:val="both"/>
        <w:rPr>
          <w:bCs/>
          <w:szCs w:val="22"/>
        </w:rPr>
      </w:pPr>
    </w:p>
    <w:p w:rsidR="00AD690E" w:rsidRPr="007364E5" w:rsidRDefault="00AD690E" w:rsidP="00AD690E">
      <w:pPr>
        <w:pStyle w:val="a"/>
      </w:pPr>
      <w:r w:rsidRPr="007364E5">
        <w:t>Les caractéristiques des immigrés</w:t>
      </w:r>
      <w:r>
        <w:br/>
      </w:r>
      <w:r w:rsidRPr="007364E5">
        <w:t>au cours des années 1970 et 1980</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De 1971 à 1984, le Canada a reçu près de 1,9 million d'immigrés. Durant cette période, les niveaux annuels ont connu plusieurs fluctu</w:t>
      </w:r>
      <w:r w:rsidRPr="00562808">
        <w:rPr>
          <w:szCs w:val="22"/>
        </w:rPr>
        <w:t>a</w:t>
      </w:r>
      <w:r w:rsidRPr="00562808">
        <w:rPr>
          <w:szCs w:val="22"/>
        </w:rPr>
        <w:t>tions, en fonction des conditions économiques et sociales qui r</w:t>
      </w:r>
      <w:r w:rsidRPr="00562808">
        <w:rPr>
          <w:szCs w:val="22"/>
        </w:rPr>
        <w:t>é</w:t>
      </w:r>
      <w:r w:rsidRPr="00562808">
        <w:rPr>
          <w:szCs w:val="22"/>
        </w:rPr>
        <w:t>gnaient au Canada et à l'étranger. Le nombre des entrées a connu un sommet en 1974 (218</w:t>
      </w:r>
      <w:r>
        <w:rPr>
          <w:szCs w:val="22"/>
        </w:rPr>
        <w:t> </w:t>
      </w:r>
      <w:r w:rsidRPr="00562808">
        <w:rPr>
          <w:szCs w:val="22"/>
        </w:rPr>
        <w:t>465) pour décliner à partir de 1975. Suite à une mesure spéciale prise en 1982, en vertu de laquelle on exigeait du r</w:t>
      </w:r>
      <w:r w:rsidRPr="00562808">
        <w:rPr>
          <w:szCs w:val="22"/>
        </w:rPr>
        <w:t>e</w:t>
      </w:r>
      <w:r w:rsidRPr="00562808">
        <w:rPr>
          <w:szCs w:val="22"/>
        </w:rPr>
        <w:t>quérant une offre d'emploi réservé, le volume est tombé à 89</w:t>
      </w:r>
      <w:r>
        <w:rPr>
          <w:szCs w:val="22"/>
        </w:rPr>
        <w:t> </w:t>
      </w:r>
      <w:r w:rsidRPr="00562808">
        <w:rPr>
          <w:szCs w:val="22"/>
        </w:rPr>
        <w:t>117 en 1983 et à 88</w:t>
      </w:r>
      <w:r>
        <w:rPr>
          <w:szCs w:val="22"/>
        </w:rPr>
        <w:t> </w:t>
      </w:r>
      <w:r w:rsidRPr="00562808">
        <w:rPr>
          <w:szCs w:val="22"/>
        </w:rPr>
        <w:t>239 en 1984.</w:t>
      </w:r>
    </w:p>
    <w:p w:rsidR="00AD690E" w:rsidRPr="00562808" w:rsidRDefault="00AD690E" w:rsidP="00AD690E">
      <w:pPr>
        <w:spacing w:before="120" w:after="120"/>
        <w:jc w:val="both"/>
      </w:pPr>
      <w:r w:rsidRPr="00562808">
        <w:rPr>
          <w:szCs w:val="22"/>
        </w:rPr>
        <w:t>La composition ethnique et raciale n'a cessé de se diversifier, d</w:t>
      </w:r>
      <w:r w:rsidRPr="00562808">
        <w:rPr>
          <w:szCs w:val="22"/>
        </w:rPr>
        <w:t>e</w:t>
      </w:r>
      <w:r w:rsidRPr="00562808">
        <w:rPr>
          <w:szCs w:val="22"/>
        </w:rPr>
        <w:t>puis 1974. L'Asie, (Vietnam, Kampuchea, Inde, Chine, Hong Kong, Philippines), prend une place prépondérante comme région source : de 1974 à 1984, l'immigration en provenance de cette région passe de 23,2% à 47,3%, à cause de l'exode des réfugiés indochinois et de la guerre civile au Liban (voir le tableau 4). Le nombre d'immigrés de l'Amérique centrale et de la Caraïbe a fluctué et s'est maintenu autour de 11%, alors que les flux en provenance des États-Unis et de l'Europe ont diminué. Alors que les pays sources d'immigration sont maint</w:t>
      </w:r>
      <w:r w:rsidRPr="00562808">
        <w:rPr>
          <w:szCs w:val="22"/>
        </w:rPr>
        <w:t>e</w:t>
      </w:r>
      <w:r w:rsidRPr="00562808">
        <w:rPr>
          <w:szCs w:val="22"/>
        </w:rPr>
        <w:t>nant surtout ceux du Tiers-Monde, la Commission de l'immigration n'a pas pour autant changé la localisation de ses bureaux à l'étranger, ce qui explique la longueur des délais dans le traitement des demandes en provenance de ces pays. Ainsi les demandes faites aux États-Unis et dans les îles britanniques sont étudiées en infiniment moins de temps que celles provenant d'Afrique, d'Inde, d'Amérique latine ou de la Caraïbe</w:t>
      </w:r>
      <w:r>
        <w:rPr>
          <w:szCs w:val="22"/>
        </w:rPr>
        <w:t> </w:t>
      </w:r>
      <w:r w:rsidRPr="00D23A0B">
        <w:rPr>
          <w:rStyle w:val="Appelnotedebasdep"/>
        </w:rPr>
        <w:footnoteReference w:id="572"/>
      </w:r>
      <w:r w:rsidRPr="00562808">
        <w:rPr>
          <w:szCs w:val="22"/>
        </w:rPr>
        <w:t>.</w:t>
      </w:r>
    </w:p>
    <w:p w:rsidR="00AD690E" w:rsidRPr="00562808" w:rsidRDefault="00AD690E" w:rsidP="00AD690E">
      <w:pPr>
        <w:spacing w:before="120" w:after="120"/>
        <w:jc w:val="both"/>
      </w:pPr>
      <w:r w:rsidRPr="00562808">
        <w:rPr>
          <w:szCs w:val="22"/>
        </w:rPr>
        <w:t>Fait intéressant, la surféminité caractérise certains flux migratoires annuels à partir de 1975. En effet, un peu plus de femmes que d'ho</w:t>
      </w:r>
      <w:r w:rsidRPr="00562808">
        <w:rPr>
          <w:szCs w:val="22"/>
        </w:rPr>
        <w:t>m</w:t>
      </w:r>
      <w:r w:rsidRPr="00562808">
        <w:rPr>
          <w:szCs w:val="22"/>
        </w:rPr>
        <w:t>mes immigrent au Canada annuellement, renversant une tendance qui se maintenait depuis des décennies. Ce trait s'observe par ailleurs au</w:t>
      </w:r>
      <w:r w:rsidRPr="00562808">
        <w:rPr>
          <w:szCs w:val="22"/>
        </w:rPr>
        <w:t>s</w:t>
      </w:r>
      <w:r w:rsidRPr="00562808">
        <w:rPr>
          <w:szCs w:val="22"/>
        </w:rPr>
        <w:t>si bien aux États-Unis qu'en Europe de l'Ouest et au Québec</w:t>
      </w:r>
      <w:r>
        <w:rPr>
          <w:szCs w:val="22"/>
        </w:rPr>
        <w:t> </w:t>
      </w:r>
      <w:r w:rsidRPr="00D23A0B">
        <w:rPr>
          <w:rStyle w:val="Appelnotedebasdep"/>
        </w:rPr>
        <w:footnoteReference w:id="573"/>
      </w:r>
      <w:r w:rsidRPr="00562808">
        <w:rPr>
          <w:szCs w:val="22"/>
        </w:rPr>
        <w:t>.</w:t>
      </w:r>
    </w:p>
    <w:p w:rsidR="00AD690E" w:rsidRPr="00562808" w:rsidRDefault="00AD690E" w:rsidP="00AD690E">
      <w:pPr>
        <w:spacing w:before="120" w:after="120"/>
        <w:jc w:val="both"/>
      </w:pPr>
      <w:r w:rsidRPr="00562808">
        <w:rPr>
          <w:szCs w:val="22"/>
        </w:rPr>
        <w:t>Si l'on considère les catégories d'admission (voir le tableau 5), on note, de 1974 à 1984, une augmentation considérable de la catégorie de la famille (de 24,8 à 49,6% de l'ensemble du mouvement d'imm</w:t>
      </w:r>
      <w:r w:rsidRPr="00562808">
        <w:rPr>
          <w:szCs w:val="22"/>
        </w:rPr>
        <w:t>i</w:t>
      </w:r>
      <w:r w:rsidRPr="00562808">
        <w:rPr>
          <w:szCs w:val="22"/>
        </w:rPr>
        <w:t>gration) et des réfugiés et catégories désignées (de 0,8 à 17,3%) aux dépens des parents aidés (de 24,8 à 9,2%) et des requérants indépe</w:t>
      </w:r>
      <w:r w:rsidRPr="00562808">
        <w:rPr>
          <w:szCs w:val="22"/>
        </w:rPr>
        <w:t>n</w:t>
      </w:r>
      <w:r w:rsidRPr="00562808">
        <w:rPr>
          <w:szCs w:val="22"/>
        </w:rPr>
        <w:t>dants (de 50,1 à 23,7%). Le nombre d'immigrés indépendants et de parents aidés a diminué drastiquement en 1983, lorsqu'il est devenu obligatoire d'avoir une offre d'emploi validée au Canada — mesure imposée en 1982 et visant les catégories particulières. La diminution des</w:t>
      </w:r>
      <w:r>
        <w:rPr>
          <w:szCs w:val="22"/>
        </w:rPr>
        <w:t xml:space="preserve"> </w:t>
      </w:r>
      <w:r>
        <w:t xml:space="preserve">[339] </w:t>
      </w:r>
      <w:r w:rsidRPr="00562808">
        <w:rPr>
          <w:szCs w:val="22"/>
        </w:rPr>
        <w:t>travailleurs sélectionnés (sous-catégories des indépendants), qui passe de 21</w:t>
      </w:r>
      <w:r>
        <w:rPr>
          <w:szCs w:val="22"/>
        </w:rPr>
        <w:t> </w:t>
      </w:r>
      <w:r w:rsidRPr="00562808">
        <w:rPr>
          <w:szCs w:val="22"/>
        </w:rPr>
        <w:t>173 en 1981 à 6</w:t>
      </w:r>
      <w:r>
        <w:rPr>
          <w:szCs w:val="22"/>
        </w:rPr>
        <w:t> </w:t>
      </w:r>
      <w:r w:rsidRPr="00562808">
        <w:rPr>
          <w:szCs w:val="22"/>
        </w:rPr>
        <w:t>439 en 1983</w:t>
      </w:r>
      <w:r>
        <w:rPr>
          <w:szCs w:val="22"/>
        </w:rPr>
        <w:t> </w:t>
      </w:r>
      <w:r w:rsidRPr="00D23A0B">
        <w:rPr>
          <w:rStyle w:val="Appelnotedebasdep"/>
        </w:rPr>
        <w:footnoteReference w:id="574"/>
      </w:r>
      <w:r w:rsidRPr="00562808">
        <w:rPr>
          <w:szCs w:val="22"/>
        </w:rPr>
        <w:t>, et celle des parents aidés illustre le lien remarquable qui existe entre le volume annuel d'immigrés admis et le taux de chômage, indicateur économique priv</w:t>
      </w:r>
      <w:r w:rsidRPr="00562808">
        <w:rPr>
          <w:szCs w:val="22"/>
        </w:rPr>
        <w:t>i</w:t>
      </w:r>
      <w:r w:rsidRPr="00562808">
        <w:rPr>
          <w:szCs w:val="22"/>
        </w:rPr>
        <w:t>légié</w:t>
      </w:r>
      <w:r>
        <w:rPr>
          <w:szCs w:val="22"/>
        </w:rPr>
        <w:t> </w:t>
      </w:r>
      <w:r w:rsidRPr="00D23A0B">
        <w:rPr>
          <w:rStyle w:val="Appelnotedebasdep"/>
        </w:rPr>
        <w:footnoteReference w:id="575"/>
      </w:r>
      <w:r w:rsidRPr="00562808">
        <w:rPr>
          <w:szCs w:val="22"/>
        </w:rPr>
        <w:t>. De plus, au cours des années, le nombre d'immigrés a plus d</w:t>
      </w:r>
      <w:r w:rsidRPr="00562808">
        <w:rPr>
          <w:szCs w:val="22"/>
        </w:rPr>
        <w:t>i</w:t>
      </w:r>
      <w:r w:rsidRPr="00562808">
        <w:rPr>
          <w:szCs w:val="22"/>
        </w:rPr>
        <w:t>minué que celui des visas temporaires pour les travailleurs étrangers (voir le tableau 8), ces visas étant émis pour des secteurs d'activité variés : agriculture, services, ventes, fabrication et réparation, bât</w:t>
      </w:r>
      <w:r w:rsidRPr="00562808">
        <w:rPr>
          <w:szCs w:val="22"/>
        </w:rPr>
        <w:t>i</w:t>
      </w:r>
      <w:r w:rsidRPr="00562808">
        <w:rPr>
          <w:szCs w:val="22"/>
        </w:rPr>
        <w:t>ment, adm</w:t>
      </w:r>
      <w:r w:rsidRPr="00562808">
        <w:rPr>
          <w:szCs w:val="22"/>
        </w:rPr>
        <w:t>i</w:t>
      </w:r>
      <w:r w:rsidRPr="00562808">
        <w:rPr>
          <w:szCs w:val="22"/>
        </w:rPr>
        <w:t>nistration, etc.</w:t>
      </w:r>
    </w:p>
    <w:p w:rsidR="00AD690E" w:rsidRDefault="00AD690E" w:rsidP="00AD690E">
      <w:pPr>
        <w:spacing w:before="120" w:after="120"/>
        <w:jc w:val="both"/>
      </w:pPr>
      <w:r w:rsidRPr="00562808">
        <w:t>Par contre, les sous-catégories des « gens d'affaires » ou immigrés entrepreneurs et des « travailleurs autonomes », au cours des mêmes années sont demeurées stables, en dépit de la conjoncture : 1</w:t>
      </w:r>
      <w:r>
        <w:t> </w:t>
      </w:r>
      <w:r w:rsidRPr="00562808">
        <w:t>903 pe</w:t>
      </w:r>
      <w:r w:rsidRPr="00562808">
        <w:t>r</w:t>
      </w:r>
      <w:r w:rsidRPr="00562808">
        <w:t>sonnes en 1981 ; 2</w:t>
      </w:r>
      <w:r>
        <w:t> </w:t>
      </w:r>
      <w:r w:rsidRPr="00562808">
        <w:t>040 en 1982, 1</w:t>
      </w:r>
      <w:r>
        <w:t> </w:t>
      </w:r>
      <w:r w:rsidRPr="00562808">
        <w:t>982 en 1983 et 2</w:t>
      </w:r>
      <w:r>
        <w:t> </w:t>
      </w:r>
      <w:r w:rsidRPr="00562808">
        <w:t>094 en 1984. R</w:t>
      </w:r>
      <w:r w:rsidRPr="00562808">
        <w:t>e</w:t>
      </w:r>
      <w:r w:rsidRPr="00562808">
        <w:t>crutés activement par des conseillers spécialement formés et affectés dans une quinzaine de bureaux à l'étranger, ces gens d'affaires sont venu de l'Allemagne de l'Ouest, de Hong Kong, de la France, du Royaume-Uni, des États-Unis, des Pays-Bas, de la Suisse, d'Israël et de l'Iran principalement</w:t>
      </w:r>
      <w:r>
        <w:t> </w:t>
      </w:r>
      <w:r w:rsidRPr="00D23A0B">
        <w:rPr>
          <w:rStyle w:val="Appelnotedebasdep"/>
        </w:rPr>
        <w:footnoteReference w:id="576"/>
      </w:r>
      <w:r w:rsidRPr="00562808">
        <w:t>.</w:t>
      </w:r>
    </w:p>
    <w:p w:rsidR="00AD690E" w:rsidRDefault="00AD690E" w:rsidP="00AD690E">
      <w:pPr>
        <w:spacing w:before="120" w:after="120"/>
        <w:jc w:val="both"/>
      </w:pPr>
    </w:p>
    <w:p w:rsidR="00AD690E" w:rsidRDefault="00AD690E" w:rsidP="00AD690E">
      <w:pPr>
        <w:pStyle w:val="figtitre"/>
      </w:pPr>
      <w:r w:rsidRPr="00562808">
        <w:t>Tableau 8</w:t>
      </w:r>
      <w:r>
        <w:br/>
      </w:r>
      <w:r w:rsidRPr="00562808">
        <w:t>Chômage, permis temporaires et immigration</w:t>
      </w:r>
      <w:r>
        <w:br/>
      </w:r>
      <w:r w:rsidRPr="00AB372F">
        <w:t>1979-1984</w:t>
      </w:r>
    </w:p>
    <w:tbl>
      <w:tblPr>
        <w:tblW w:w="8281" w:type="dxa"/>
        <w:tblInd w:w="40" w:type="dxa"/>
        <w:tblLayout w:type="fixed"/>
        <w:tblCellMar>
          <w:left w:w="40" w:type="dxa"/>
          <w:right w:w="40" w:type="dxa"/>
        </w:tblCellMar>
        <w:tblLook w:val="0000" w:firstRow="0" w:lastRow="0" w:firstColumn="0" w:lastColumn="0" w:noHBand="0" w:noVBand="0"/>
      </w:tblPr>
      <w:tblGrid>
        <w:gridCol w:w="830"/>
        <w:gridCol w:w="1862"/>
        <w:gridCol w:w="1863"/>
        <w:gridCol w:w="9"/>
        <w:gridCol w:w="1854"/>
        <w:gridCol w:w="1863"/>
      </w:tblGrid>
      <w:tr w:rsidR="00AD690E" w:rsidRPr="00562808">
        <w:tblPrEx>
          <w:tblCellMar>
            <w:top w:w="0" w:type="dxa"/>
            <w:bottom w:w="0" w:type="dxa"/>
          </w:tblCellMar>
        </w:tblPrEx>
        <w:tc>
          <w:tcPr>
            <w:tcW w:w="830" w:type="dxa"/>
            <w:vMerge w:val="restart"/>
            <w:tcBorders>
              <w:top w:val="single" w:sz="6" w:space="0" w:color="auto"/>
              <w:left w:val="nil"/>
              <w:right w:val="nil"/>
            </w:tcBorders>
            <w:shd w:val="clear" w:color="auto" w:fill="EEECE1"/>
            <w:vAlign w:val="bottom"/>
          </w:tcPr>
          <w:p w:rsidR="00AD690E" w:rsidRPr="00AB372F" w:rsidRDefault="00AD690E" w:rsidP="00AD690E">
            <w:pPr>
              <w:spacing w:before="60" w:after="60"/>
              <w:ind w:firstLine="0"/>
              <w:jc w:val="both"/>
              <w:rPr>
                <w:sz w:val="24"/>
              </w:rPr>
            </w:pPr>
            <w:r w:rsidRPr="00AB372F">
              <w:rPr>
                <w:sz w:val="24"/>
                <w:szCs w:val="18"/>
              </w:rPr>
              <w:t>Année</w:t>
            </w:r>
          </w:p>
        </w:tc>
        <w:tc>
          <w:tcPr>
            <w:tcW w:w="3734" w:type="dxa"/>
            <w:gridSpan w:val="3"/>
            <w:tcBorders>
              <w:top w:val="single" w:sz="6" w:space="0" w:color="auto"/>
              <w:left w:val="nil"/>
              <w:bottom w:val="nil"/>
              <w:right w:val="nil"/>
            </w:tcBorders>
            <w:shd w:val="clear" w:color="auto" w:fill="EEECE1"/>
          </w:tcPr>
          <w:p w:rsidR="00AD690E" w:rsidRPr="00AB372F" w:rsidRDefault="00AD690E" w:rsidP="00AD690E">
            <w:pPr>
              <w:spacing w:before="60" w:after="60"/>
              <w:ind w:firstLine="0"/>
              <w:jc w:val="center"/>
              <w:rPr>
                <w:sz w:val="24"/>
              </w:rPr>
            </w:pPr>
            <w:r w:rsidRPr="00AB372F">
              <w:rPr>
                <w:sz w:val="24"/>
                <w:szCs w:val="18"/>
              </w:rPr>
              <w:t>Chômage*</w:t>
            </w:r>
          </w:p>
        </w:tc>
        <w:tc>
          <w:tcPr>
            <w:tcW w:w="1854" w:type="dxa"/>
            <w:vMerge w:val="restart"/>
            <w:tcBorders>
              <w:top w:val="single" w:sz="6" w:space="0" w:color="auto"/>
              <w:left w:val="nil"/>
              <w:right w:val="nil"/>
            </w:tcBorders>
            <w:shd w:val="clear" w:color="auto" w:fill="EEECE1"/>
            <w:vAlign w:val="center"/>
          </w:tcPr>
          <w:p w:rsidR="00AD690E" w:rsidRPr="00AB372F" w:rsidRDefault="00AD690E" w:rsidP="00AD690E">
            <w:pPr>
              <w:spacing w:before="60" w:after="60"/>
              <w:ind w:firstLine="0"/>
              <w:jc w:val="center"/>
              <w:rPr>
                <w:sz w:val="24"/>
              </w:rPr>
            </w:pPr>
            <w:r w:rsidRPr="00AB372F">
              <w:rPr>
                <w:sz w:val="24"/>
                <w:szCs w:val="18"/>
              </w:rPr>
              <w:t>Permis</w:t>
            </w:r>
            <w:r>
              <w:rPr>
                <w:sz w:val="24"/>
                <w:szCs w:val="18"/>
              </w:rPr>
              <w:t xml:space="preserve"> </w:t>
            </w:r>
            <w:r w:rsidRPr="00AB372F">
              <w:rPr>
                <w:sz w:val="24"/>
                <w:szCs w:val="18"/>
              </w:rPr>
              <w:t>de tr</w:t>
            </w:r>
            <w:r w:rsidRPr="00AB372F">
              <w:rPr>
                <w:sz w:val="24"/>
                <w:szCs w:val="18"/>
              </w:rPr>
              <w:t>a</w:t>
            </w:r>
            <w:r w:rsidRPr="00AB372F">
              <w:rPr>
                <w:sz w:val="24"/>
                <w:szCs w:val="18"/>
              </w:rPr>
              <w:t>vail</w:t>
            </w:r>
            <w:r>
              <w:rPr>
                <w:sz w:val="24"/>
                <w:szCs w:val="18"/>
              </w:rPr>
              <w:t xml:space="preserve"> </w:t>
            </w:r>
            <w:r w:rsidRPr="00AB372F">
              <w:rPr>
                <w:sz w:val="24"/>
                <w:szCs w:val="18"/>
              </w:rPr>
              <w:t>temporaires</w:t>
            </w:r>
          </w:p>
        </w:tc>
        <w:tc>
          <w:tcPr>
            <w:tcW w:w="1863" w:type="dxa"/>
            <w:vMerge w:val="restart"/>
            <w:tcBorders>
              <w:top w:val="single" w:sz="6" w:space="0" w:color="auto"/>
              <w:left w:val="nil"/>
              <w:right w:val="nil"/>
            </w:tcBorders>
            <w:shd w:val="clear" w:color="auto" w:fill="EEECE1"/>
          </w:tcPr>
          <w:p w:rsidR="00AD690E" w:rsidRPr="00AB372F" w:rsidRDefault="00AD690E" w:rsidP="00AD690E">
            <w:pPr>
              <w:spacing w:before="60" w:after="60"/>
              <w:ind w:firstLine="0"/>
              <w:jc w:val="center"/>
              <w:rPr>
                <w:sz w:val="24"/>
              </w:rPr>
            </w:pPr>
            <w:r w:rsidRPr="00AB372F">
              <w:rPr>
                <w:sz w:val="24"/>
                <w:szCs w:val="18"/>
              </w:rPr>
              <w:t>Nombre</w:t>
            </w:r>
            <w:r>
              <w:rPr>
                <w:sz w:val="24"/>
                <w:szCs w:val="18"/>
              </w:rPr>
              <w:t xml:space="preserve"> </w:t>
            </w:r>
            <w:r w:rsidRPr="00AB372F">
              <w:rPr>
                <w:sz w:val="24"/>
                <w:szCs w:val="18"/>
              </w:rPr>
              <w:t>d'imm</w:t>
            </w:r>
            <w:r w:rsidRPr="00AB372F">
              <w:rPr>
                <w:sz w:val="24"/>
                <w:szCs w:val="18"/>
              </w:rPr>
              <w:t>i</w:t>
            </w:r>
            <w:r w:rsidRPr="00AB372F">
              <w:rPr>
                <w:sz w:val="24"/>
                <w:szCs w:val="18"/>
              </w:rPr>
              <w:t>grants</w:t>
            </w:r>
            <w:r>
              <w:rPr>
                <w:sz w:val="24"/>
                <w:szCs w:val="18"/>
              </w:rPr>
              <w:t xml:space="preserve"> </w:t>
            </w:r>
            <w:r w:rsidRPr="00AB372F">
              <w:rPr>
                <w:sz w:val="24"/>
                <w:szCs w:val="18"/>
              </w:rPr>
              <w:t>a</w:t>
            </w:r>
            <w:r w:rsidRPr="00AB372F">
              <w:rPr>
                <w:sz w:val="24"/>
                <w:szCs w:val="18"/>
              </w:rPr>
              <w:t>d</w:t>
            </w:r>
            <w:r w:rsidRPr="00AB372F">
              <w:rPr>
                <w:sz w:val="24"/>
                <w:szCs w:val="18"/>
              </w:rPr>
              <w:t>mis</w:t>
            </w:r>
          </w:p>
        </w:tc>
      </w:tr>
      <w:tr w:rsidR="00AD690E" w:rsidRPr="00562808">
        <w:tblPrEx>
          <w:tblCellMar>
            <w:top w:w="0" w:type="dxa"/>
            <w:bottom w:w="0" w:type="dxa"/>
          </w:tblCellMar>
        </w:tblPrEx>
        <w:trPr>
          <w:trHeight w:val="396"/>
        </w:trPr>
        <w:tc>
          <w:tcPr>
            <w:tcW w:w="830" w:type="dxa"/>
            <w:vMerge/>
            <w:tcBorders>
              <w:left w:val="nil"/>
              <w:right w:val="nil"/>
            </w:tcBorders>
            <w:shd w:val="clear" w:color="auto" w:fill="EEECE1"/>
          </w:tcPr>
          <w:p w:rsidR="00AD690E" w:rsidRPr="00AB372F" w:rsidRDefault="00AD690E" w:rsidP="00AD690E">
            <w:pPr>
              <w:spacing w:before="60" w:after="60"/>
              <w:ind w:firstLine="0"/>
              <w:jc w:val="both"/>
              <w:rPr>
                <w:sz w:val="24"/>
              </w:rPr>
            </w:pPr>
          </w:p>
        </w:tc>
        <w:tc>
          <w:tcPr>
            <w:tcW w:w="1862" w:type="dxa"/>
            <w:vMerge w:val="restart"/>
            <w:tcBorders>
              <w:top w:val="nil"/>
              <w:left w:val="nil"/>
              <w:right w:val="nil"/>
            </w:tcBorders>
            <w:shd w:val="clear" w:color="auto" w:fill="EEECE1"/>
          </w:tcPr>
          <w:p w:rsidR="00AD690E" w:rsidRPr="00AB372F" w:rsidRDefault="00AD690E" w:rsidP="00AD690E">
            <w:pPr>
              <w:spacing w:before="60" w:after="60"/>
              <w:ind w:firstLine="0"/>
              <w:jc w:val="center"/>
              <w:rPr>
                <w:sz w:val="24"/>
              </w:rPr>
            </w:pPr>
            <w:r w:rsidRPr="00AB372F">
              <w:rPr>
                <w:sz w:val="24"/>
                <w:szCs w:val="18"/>
              </w:rPr>
              <w:t>Nombre</w:t>
            </w:r>
            <w:r>
              <w:rPr>
                <w:sz w:val="24"/>
                <w:szCs w:val="18"/>
              </w:rPr>
              <w:t xml:space="preserve"> </w:t>
            </w:r>
            <w:r w:rsidRPr="00AB372F">
              <w:rPr>
                <w:sz w:val="24"/>
                <w:szCs w:val="18"/>
              </w:rPr>
              <w:t>de ch</w:t>
            </w:r>
            <w:r w:rsidRPr="00AB372F">
              <w:rPr>
                <w:sz w:val="24"/>
                <w:szCs w:val="18"/>
              </w:rPr>
              <w:t>ô</w:t>
            </w:r>
            <w:r w:rsidRPr="00AB372F">
              <w:rPr>
                <w:sz w:val="24"/>
                <w:szCs w:val="18"/>
              </w:rPr>
              <w:t>meurs</w:t>
            </w:r>
          </w:p>
        </w:tc>
        <w:tc>
          <w:tcPr>
            <w:tcW w:w="1872" w:type="dxa"/>
            <w:gridSpan w:val="2"/>
            <w:vMerge w:val="restart"/>
            <w:tcBorders>
              <w:top w:val="nil"/>
              <w:left w:val="nil"/>
              <w:right w:val="nil"/>
            </w:tcBorders>
            <w:shd w:val="clear" w:color="auto" w:fill="EEECE1"/>
          </w:tcPr>
          <w:p w:rsidR="00AD690E" w:rsidRPr="00AB372F" w:rsidRDefault="00AD690E" w:rsidP="00AD690E">
            <w:pPr>
              <w:spacing w:before="60" w:after="60"/>
              <w:ind w:firstLine="0"/>
              <w:jc w:val="center"/>
              <w:rPr>
                <w:sz w:val="24"/>
              </w:rPr>
            </w:pPr>
            <w:r w:rsidRPr="00AB372F">
              <w:rPr>
                <w:sz w:val="24"/>
                <w:szCs w:val="18"/>
              </w:rPr>
              <w:t>Taux</w:t>
            </w:r>
          </w:p>
        </w:tc>
        <w:tc>
          <w:tcPr>
            <w:tcW w:w="1854" w:type="dxa"/>
            <w:vMerge/>
            <w:tcBorders>
              <w:left w:val="nil"/>
              <w:right w:val="nil"/>
            </w:tcBorders>
            <w:shd w:val="clear" w:color="auto" w:fill="EEECE1"/>
          </w:tcPr>
          <w:p w:rsidR="00AD690E" w:rsidRPr="00AB372F" w:rsidRDefault="00AD690E" w:rsidP="00AD690E">
            <w:pPr>
              <w:spacing w:before="60" w:after="60"/>
              <w:ind w:firstLine="0"/>
              <w:jc w:val="center"/>
              <w:rPr>
                <w:sz w:val="24"/>
              </w:rPr>
            </w:pPr>
          </w:p>
        </w:tc>
        <w:tc>
          <w:tcPr>
            <w:tcW w:w="1863" w:type="dxa"/>
            <w:vMerge/>
            <w:tcBorders>
              <w:left w:val="nil"/>
              <w:right w:val="nil"/>
            </w:tcBorders>
            <w:shd w:val="clear" w:color="auto" w:fill="EEECE1"/>
          </w:tcPr>
          <w:p w:rsidR="00AD690E" w:rsidRPr="00AB372F" w:rsidRDefault="00AD690E" w:rsidP="00AD690E">
            <w:pPr>
              <w:spacing w:before="60" w:after="60"/>
              <w:ind w:firstLine="0"/>
              <w:jc w:val="center"/>
              <w:rPr>
                <w:sz w:val="24"/>
              </w:rPr>
            </w:pPr>
          </w:p>
        </w:tc>
      </w:tr>
      <w:tr w:rsidR="00AD690E" w:rsidRPr="00562808">
        <w:tblPrEx>
          <w:tblCellMar>
            <w:top w:w="0" w:type="dxa"/>
            <w:bottom w:w="0" w:type="dxa"/>
          </w:tblCellMar>
        </w:tblPrEx>
        <w:trPr>
          <w:trHeight w:val="276"/>
        </w:trPr>
        <w:tc>
          <w:tcPr>
            <w:tcW w:w="830" w:type="dxa"/>
            <w:vMerge/>
            <w:tcBorders>
              <w:left w:val="nil"/>
              <w:bottom w:val="single" w:sz="6" w:space="0" w:color="auto"/>
              <w:right w:val="nil"/>
            </w:tcBorders>
            <w:shd w:val="clear" w:color="auto" w:fill="EEECE1"/>
          </w:tcPr>
          <w:p w:rsidR="00AD690E" w:rsidRPr="00AB372F" w:rsidRDefault="00AD690E" w:rsidP="00AD690E">
            <w:pPr>
              <w:ind w:firstLine="0"/>
              <w:jc w:val="both"/>
              <w:rPr>
                <w:sz w:val="24"/>
              </w:rPr>
            </w:pPr>
          </w:p>
        </w:tc>
        <w:tc>
          <w:tcPr>
            <w:tcW w:w="1862" w:type="dxa"/>
            <w:vMerge/>
            <w:tcBorders>
              <w:left w:val="nil"/>
              <w:bottom w:val="single" w:sz="6" w:space="0" w:color="auto"/>
              <w:right w:val="nil"/>
            </w:tcBorders>
            <w:shd w:val="clear" w:color="auto" w:fill="EEECE1"/>
          </w:tcPr>
          <w:p w:rsidR="00AD690E" w:rsidRPr="00AB372F" w:rsidRDefault="00AD690E" w:rsidP="00AD690E">
            <w:pPr>
              <w:ind w:firstLine="0"/>
              <w:jc w:val="both"/>
              <w:rPr>
                <w:sz w:val="24"/>
              </w:rPr>
            </w:pPr>
          </w:p>
        </w:tc>
        <w:tc>
          <w:tcPr>
            <w:tcW w:w="1872" w:type="dxa"/>
            <w:gridSpan w:val="2"/>
            <w:vMerge/>
            <w:tcBorders>
              <w:left w:val="nil"/>
              <w:bottom w:val="single" w:sz="6" w:space="0" w:color="auto"/>
              <w:right w:val="nil"/>
            </w:tcBorders>
            <w:shd w:val="clear" w:color="auto" w:fill="EEECE1"/>
          </w:tcPr>
          <w:p w:rsidR="00AD690E" w:rsidRPr="00AB372F" w:rsidRDefault="00AD690E" w:rsidP="00AD690E">
            <w:pPr>
              <w:ind w:firstLine="0"/>
              <w:jc w:val="both"/>
              <w:rPr>
                <w:sz w:val="24"/>
              </w:rPr>
            </w:pPr>
          </w:p>
        </w:tc>
        <w:tc>
          <w:tcPr>
            <w:tcW w:w="1854" w:type="dxa"/>
            <w:vMerge/>
            <w:tcBorders>
              <w:left w:val="nil"/>
              <w:bottom w:val="single" w:sz="6" w:space="0" w:color="auto"/>
              <w:right w:val="nil"/>
            </w:tcBorders>
            <w:shd w:val="clear" w:color="auto" w:fill="EEECE1"/>
          </w:tcPr>
          <w:p w:rsidR="00AD690E" w:rsidRPr="00AB372F" w:rsidRDefault="00AD690E" w:rsidP="00AD690E">
            <w:pPr>
              <w:ind w:firstLine="0"/>
              <w:jc w:val="both"/>
              <w:rPr>
                <w:sz w:val="24"/>
              </w:rPr>
            </w:pPr>
          </w:p>
        </w:tc>
        <w:tc>
          <w:tcPr>
            <w:tcW w:w="1863" w:type="dxa"/>
            <w:vMerge/>
            <w:tcBorders>
              <w:left w:val="nil"/>
              <w:bottom w:val="single" w:sz="6" w:space="0" w:color="auto"/>
              <w:right w:val="nil"/>
            </w:tcBorders>
            <w:shd w:val="clear" w:color="auto" w:fill="EEECE1"/>
          </w:tcPr>
          <w:p w:rsidR="00AD690E" w:rsidRPr="00AB372F" w:rsidRDefault="00AD690E" w:rsidP="00AD690E">
            <w:pPr>
              <w:ind w:firstLine="0"/>
              <w:jc w:val="both"/>
              <w:rPr>
                <w:sz w:val="24"/>
              </w:rPr>
            </w:pPr>
          </w:p>
        </w:tc>
      </w:tr>
      <w:tr w:rsidR="00AD690E" w:rsidRPr="00562808">
        <w:tblPrEx>
          <w:tblCellMar>
            <w:top w:w="0" w:type="dxa"/>
            <w:bottom w:w="0" w:type="dxa"/>
          </w:tblCellMar>
        </w:tblPrEx>
        <w:tc>
          <w:tcPr>
            <w:tcW w:w="830" w:type="dxa"/>
            <w:tcBorders>
              <w:top w:val="single" w:sz="6" w:space="0" w:color="auto"/>
              <w:left w:val="nil"/>
              <w:bottom w:val="nil"/>
              <w:right w:val="nil"/>
            </w:tcBorders>
            <w:shd w:val="clear" w:color="auto" w:fill="FFFFFF"/>
          </w:tcPr>
          <w:p w:rsidR="00AD690E" w:rsidRPr="00AB372F" w:rsidRDefault="00AD690E" w:rsidP="00AD690E">
            <w:pPr>
              <w:spacing w:before="120"/>
              <w:ind w:firstLine="0"/>
              <w:jc w:val="both"/>
              <w:rPr>
                <w:sz w:val="24"/>
              </w:rPr>
            </w:pPr>
            <w:r w:rsidRPr="00AB372F">
              <w:rPr>
                <w:sz w:val="24"/>
                <w:szCs w:val="18"/>
              </w:rPr>
              <w:t>1979</w:t>
            </w:r>
          </w:p>
        </w:tc>
        <w:tc>
          <w:tcPr>
            <w:tcW w:w="1862" w:type="dxa"/>
            <w:tcBorders>
              <w:top w:val="single" w:sz="6" w:space="0" w:color="auto"/>
              <w:left w:val="nil"/>
              <w:bottom w:val="nil"/>
              <w:right w:val="nil"/>
            </w:tcBorders>
            <w:shd w:val="clear" w:color="auto" w:fill="FFFFFF"/>
          </w:tcPr>
          <w:p w:rsidR="00AD690E" w:rsidRPr="00AB372F" w:rsidRDefault="00AD690E" w:rsidP="00AD690E">
            <w:pPr>
              <w:tabs>
                <w:tab w:val="decimal" w:pos="1290"/>
              </w:tabs>
              <w:spacing w:before="120"/>
              <w:ind w:firstLine="0"/>
              <w:jc w:val="both"/>
              <w:rPr>
                <w:sz w:val="24"/>
              </w:rPr>
            </w:pPr>
            <w:r w:rsidRPr="00AB372F">
              <w:rPr>
                <w:sz w:val="24"/>
                <w:szCs w:val="18"/>
              </w:rPr>
              <w:t>836 000</w:t>
            </w:r>
          </w:p>
        </w:tc>
        <w:tc>
          <w:tcPr>
            <w:tcW w:w="1863" w:type="dxa"/>
            <w:tcBorders>
              <w:top w:val="single" w:sz="6" w:space="0" w:color="auto"/>
              <w:left w:val="nil"/>
              <w:bottom w:val="nil"/>
              <w:right w:val="nil"/>
            </w:tcBorders>
            <w:shd w:val="clear" w:color="auto" w:fill="FFFFFF"/>
          </w:tcPr>
          <w:p w:rsidR="00AD690E" w:rsidRPr="00AB372F" w:rsidRDefault="00AD690E" w:rsidP="00AD690E">
            <w:pPr>
              <w:tabs>
                <w:tab w:val="decimal" w:pos="930"/>
              </w:tabs>
              <w:spacing w:before="120"/>
              <w:ind w:firstLine="0"/>
              <w:jc w:val="both"/>
              <w:rPr>
                <w:sz w:val="24"/>
              </w:rPr>
            </w:pPr>
            <w:r w:rsidRPr="00AB372F">
              <w:rPr>
                <w:sz w:val="24"/>
                <w:szCs w:val="18"/>
              </w:rPr>
              <w:t>7.4</w:t>
            </w:r>
          </w:p>
        </w:tc>
        <w:tc>
          <w:tcPr>
            <w:tcW w:w="1863" w:type="dxa"/>
            <w:gridSpan w:val="2"/>
            <w:tcBorders>
              <w:top w:val="single" w:sz="6" w:space="0" w:color="auto"/>
              <w:left w:val="nil"/>
              <w:bottom w:val="nil"/>
              <w:right w:val="nil"/>
            </w:tcBorders>
            <w:shd w:val="clear" w:color="auto" w:fill="FFFFFF"/>
          </w:tcPr>
          <w:p w:rsidR="00AD690E" w:rsidRPr="00AB372F" w:rsidRDefault="00AD690E" w:rsidP="00AD690E">
            <w:pPr>
              <w:tabs>
                <w:tab w:val="decimal" w:pos="930"/>
              </w:tabs>
              <w:spacing w:before="120"/>
              <w:ind w:firstLine="0"/>
              <w:jc w:val="both"/>
              <w:rPr>
                <w:sz w:val="24"/>
              </w:rPr>
            </w:pPr>
            <w:r w:rsidRPr="00AB372F">
              <w:rPr>
                <w:sz w:val="24"/>
                <w:szCs w:val="18"/>
              </w:rPr>
              <w:t>94 413</w:t>
            </w:r>
          </w:p>
        </w:tc>
        <w:tc>
          <w:tcPr>
            <w:tcW w:w="1863" w:type="dxa"/>
            <w:tcBorders>
              <w:top w:val="single" w:sz="6" w:space="0" w:color="auto"/>
              <w:left w:val="nil"/>
              <w:bottom w:val="nil"/>
              <w:right w:val="nil"/>
            </w:tcBorders>
            <w:shd w:val="clear" w:color="auto" w:fill="FFFFFF"/>
          </w:tcPr>
          <w:p w:rsidR="00AD690E" w:rsidRPr="00AB372F" w:rsidRDefault="00AD690E" w:rsidP="00AD690E">
            <w:pPr>
              <w:tabs>
                <w:tab w:val="decimal" w:pos="930"/>
              </w:tabs>
              <w:spacing w:before="120"/>
              <w:ind w:firstLine="0"/>
              <w:jc w:val="both"/>
              <w:rPr>
                <w:sz w:val="24"/>
              </w:rPr>
            </w:pPr>
            <w:r w:rsidRPr="00AB372F">
              <w:rPr>
                <w:sz w:val="24"/>
                <w:szCs w:val="18"/>
              </w:rPr>
              <w:t>112 096</w:t>
            </w:r>
          </w:p>
        </w:tc>
      </w:tr>
      <w:tr w:rsidR="00AD690E" w:rsidRPr="00562808">
        <w:tblPrEx>
          <w:tblCellMar>
            <w:top w:w="0" w:type="dxa"/>
            <w:bottom w:w="0" w:type="dxa"/>
          </w:tblCellMar>
        </w:tblPrEx>
        <w:tc>
          <w:tcPr>
            <w:tcW w:w="830" w:type="dxa"/>
            <w:tcBorders>
              <w:top w:val="nil"/>
              <w:left w:val="nil"/>
              <w:bottom w:val="nil"/>
              <w:right w:val="nil"/>
            </w:tcBorders>
            <w:shd w:val="clear" w:color="auto" w:fill="FFFFFF"/>
          </w:tcPr>
          <w:p w:rsidR="00AD690E" w:rsidRPr="00AB372F" w:rsidRDefault="00AD690E" w:rsidP="00AD690E">
            <w:pPr>
              <w:ind w:firstLine="0"/>
              <w:jc w:val="both"/>
              <w:rPr>
                <w:sz w:val="24"/>
              </w:rPr>
            </w:pPr>
            <w:r w:rsidRPr="00AB372F">
              <w:rPr>
                <w:sz w:val="24"/>
                <w:szCs w:val="18"/>
              </w:rPr>
              <w:t>1980</w:t>
            </w:r>
          </w:p>
        </w:tc>
        <w:tc>
          <w:tcPr>
            <w:tcW w:w="1862" w:type="dxa"/>
            <w:tcBorders>
              <w:top w:val="nil"/>
              <w:left w:val="nil"/>
              <w:bottom w:val="nil"/>
              <w:right w:val="nil"/>
            </w:tcBorders>
            <w:shd w:val="clear" w:color="auto" w:fill="FFFFFF"/>
          </w:tcPr>
          <w:p w:rsidR="00AD690E" w:rsidRPr="00AB372F" w:rsidRDefault="00AD690E" w:rsidP="00AD690E">
            <w:pPr>
              <w:tabs>
                <w:tab w:val="decimal" w:pos="1290"/>
              </w:tabs>
              <w:ind w:firstLine="0"/>
              <w:jc w:val="both"/>
              <w:rPr>
                <w:sz w:val="24"/>
              </w:rPr>
            </w:pPr>
            <w:r w:rsidRPr="00AB372F">
              <w:rPr>
                <w:sz w:val="24"/>
                <w:szCs w:val="18"/>
              </w:rPr>
              <w:t>865 000</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7.5</w:t>
            </w:r>
          </w:p>
        </w:tc>
        <w:tc>
          <w:tcPr>
            <w:tcW w:w="1863" w:type="dxa"/>
            <w:gridSpan w:val="2"/>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108 855</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143 117</w:t>
            </w:r>
          </w:p>
        </w:tc>
      </w:tr>
      <w:tr w:rsidR="00AD690E" w:rsidRPr="00562808">
        <w:tblPrEx>
          <w:tblCellMar>
            <w:top w:w="0" w:type="dxa"/>
            <w:bottom w:w="0" w:type="dxa"/>
          </w:tblCellMar>
        </w:tblPrEx>
        <w:tc>
          <w:tcPr>
            <w:tcW w:w="830" w:type="dxa"/>
            <w:tcBorders>
              <w:top w:val="nil"/>
              <w:left w:val="nil"/>
              <w:bottom w:val="nil"/>
              <w:right w:val="nil"/>
            </w:tcBorders>
            <w:shd w:val="clear" w:color="auto" w:fill="FFFFFF"/>
          </w:tcPr>
          <w:p w:rsidR="00AD690E" w:rsidRPr="00AB372F" w:rsidRDefault="00AD690E" w:rsidP="00AD690E">
            <w:pPr>
              <w:ind w:firstLine="0"/>
              <w:jc w:val="both"/>
              <w:rPr>
                <w:sz w:val="24"/>
              </w:rPr>
            </w:pPr>
            <w:r w:rsidRPr="00AB372F">
              <w:rPr>
                <w:sz w:val="24"/>
                <w:szCs w:val="18"/>
              </w:rPr>
              <w:t>1981</w:t>
            </w:r>
          </w:p>
        </w:tc>
        <w:tc>
          <w:tcPr>
            <w:tcW w:w="1862" w:type="dxa"/>
            <w:tcBorders>
              <w:top w:val="nil"/>
              <w:left w:val="nil"/>
              <w:bottom w:val="nil"/>
              <w:right w:val="nil"/>
            </w:tcBorders>
            <w:shd w:val="clear" w:color="auto" w:fill="FFFFFF"/>
          </w:tcPr>
          <w:p w:rsidR="00AD690E" w:rsidRPr="00AB372F" w:rsidRDefault="00AD690E" w:rsidP="00AD690E">
            <w:pPr>
              <w:tabs>
                <w:tab w:val="decimal" w:pos="1290"/>
              </w:tabs>
              <w:ind w:firstLine="0"/>
              <w:jc w:val="both"/>
              <w:rPr>
                <w:sz w:val="24"/>
              </w:rPr>
            </w:pPr>
            <w:r w:rsidRPr="00AB372F">
              <w:rPr>
                <w:sz w:val="24"/>
                <w:szCs w:val="18"/>
              </w:rPr>
              <w:t>898 000</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7.5</w:t>
            </w:r>
          </w:p>
        </w:tc>
        <w:tc>
          <w:tcPr>
            <w:tcW w:w="1863" w:type="dxa"/>
            <w:gridSpan w:val="2"/>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126 575</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128 618</w:t>
            </w:r>
          </w:p>
        </w:tc>
      </w:tr>
      <w:tr w:rsidR="00AD690E" w:rsidRPr="00562808">
        <w:tblPrEx>
          <w:tblCellMar>
            <w:top w:w="0" w:type="dxa"/>
            <w:bottom w:w="0" w:type="dxa"/>
          </w:tblCellMar>
        </w:tblPrEx>
        <w:tc>
          <w:tcPr>
            <w:tcW w:w="830" w:type="dxa"/>
            <w:tcBorders>
              <w:top w:val="nil"/>
              <w:left w:val="nil"/>
              <w:bottom w:val="nil"/>
              <w:right w:val="nil"/>
            </w:tcBorders>
            <w:shd w:val="clear" w:color="auto" w:fill="FFFFFF"/>
          </w:tcPr>
          <w:p w:rsidR="00AD690E" w:rsidRPr="00AB372F" w:rsidRDefault="00AD690E" w:rsidP="00AD690E">
            <w:pPr>
              <w:ind w:firstLine="0"/>
              <w:jc w:val="both"/>
              <w:rPr>
                <w:sz w:val="24"/>
              </w:rPr>
            </w:pPr>
            <w:r w:rsidRPr="00AB372F">
              <w:rPr>
                <w:sz w:val="24"/>
                <w:szCs w:val="18"/>
              </w:rPr>
              <w:t>1982</w:t>
            </w:r>
          </w:p>
        </w:tc>
        <w:tc>
          <w:tcPr>
            <w:tcW w:w="1862" w:type="dxa"/>
            <w:tcBorders>
              <w:top w:val="nil"/>
              <w:left w:val="nil"/>
              <w:bottom w:val="nil"/>
              <w:right w:val="nil"/>
            </w:tcBorders>
            <w:shd w:val="clear" w:color="auto" w:fill="FFFFFF"/>
          </w:tcPr>
          <w:p w:rsidR="00AD690E" w:rsidRPr="00AB372F" w:rsidRDefault="00AD690E" w:rsidP="00AD690E">
            <w:pPr>
              <w:tabs>
                <w:tab w:val="decimal" w:pos="1290"/>
              </w:tabs>
              <w:ind w:firstLine="0"/>
              <w:jc w:val="both"/>
              <w:rPr>
                <w:sz w:val="24"/>
              </w:rPr>
            </w:pPr>
            <w:r w:rsidRPr="00AB372F">
              <w:rPr>
                <w:sz w:val="24"/>
                <w:szCs w:val="18"/>
              </w:rPr>
              <w:t>1 314 000</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11.0</w:t>
            </w:r>
          </w:p>
        </w:tc>
        <w:tc>
          <w:tcPr>
            <w:tcW w:w="1863" w:type="dxa"/>
            <w:gridSpan w:val="2"/>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125 894</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121 147</w:t>
            </w:r>
          </w:p>
        </w:tc>
      </w:tr>
      <w:tr w:rsidR="00AD690E" w:rsidRPr="00562808">
        <w:tblPrEx>
          <w:tblCellMar>
            <w:top w:w="0" w:type="dxa"/>
            <w:bottom w:w="0" w:type="dxa"/>
          </w:tblCellMar>
        </w:tblPrEx>
        <w:tc>
          <w:tcPr>
            <w:tcW w:w="830" w:type="dxa"/>
            <w:tcBorders>
              <w:top w:val="nil"/>
              <w:left w:val="nil"/>
              <w:bottom w:val="nil"/>
              <w:right w:val="nil"/>
            </w:tcBorders>
            <w:shd w:val="clear" w:color="auto" w:fill="FFFFFF"/>
          </w:tcPr>
          <w:p w:rsidR="00AD690E" w:rsidRPr="00AB372F" w:rsidRDefault="00AD690E" w:rsidP="00AD690E">
            <w:pPr>
              <w:ind w:firstLine="0"/>
              <w:jc w:val="both"/>
              <w:rPr>
                <w:sz w:val="24"/>
              </w:rPr>
            </w:pPr>
            <w:r w:rsidRPr="00AB372F">
              <w:rPr>
                <w:sz w:val="24"/>
                <w:szCs w:val="18"/>
              </w:rPr>
              <w:t>1983</w:t>
            </w:r>
          </w:p>
        </w:tc>
        <w:tc>
          <w:tcPr>
            <w:tcW w:w="1862" w:type="dxa"/>
            <w:tcBorders>
              <w:top w:val="nil"/>
              <w:left w:val="nil"/>
              <w:bottom w:val="nil"/>
              <w:right w:val="nil"/>
            </w:tcBorders>
            <w:shd w:val="clear" w:color="auto" w:fill="FFFFFF"/>
          </w:tcPr>
          <w:p w:rsidR="00AD690E" w:rsidRPr="00AB372F" w:rsidRDefault="00AD690E" w:rsidP="00AD690E">
            <w:pPr>
              <w:tabs>
                <w:tab w:val="decimal" w:pos="1290"/>
              </w:tabs>
              <w:ind w:firstLine="0"/>
              <w:jc w:val="both"/>
              <w:rPr>
                <w:sz w:val="24"/>
              </w:rPr>
            </w:pPr>
            <w:r w:rsidRPr="00AB372F">
              <w:rPr>
                <w:sz w:val="24"/>
                <w:szCs w:val="18"/>
              </w:rPr>
              <w:t>1 448 000</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11.9</w:t>
            </w:r>
          </w:p>
        </w:tc>
        <w:tc>
          <w:tcPr>
            <w:tcW w:w="1863" w:type="dxa"/>
            <w:gridSpan w:val="2"/>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130 716</w:t>
            </w:r>
          </w:p>
        </w:tc>
        <w:tc>
          <w:tcPr>
            <w:tcW w:w="1863" w:type="dxa"/>
            <w:tcBorders>
              <w:top w:val="nil"/>
              <w:left w:val="nil"/>
              <w:bottom w:val="nil"/>
              <w:right w:val="nil"/>
            </w:tcBorders>
            <w:shd w:val="clear" w:color="auto" w:fill="FFFFFF"/>
          </w:tcPr>
          <w:p w:rsidR="00AD690E" w:rsidRPr="00AB372F" w:rsidRDefault="00AD690E" w:rsidP="00AD690E">
            <w:pPr>
              <w:tabs>
                <w:tab w:val="decimal" w:pos="930"/>
              </w:tabs>
              <w:ind w:firstLine="0"/>
              <w:jc w:val="both"/>
              <w:rPr>
                <w:sz w:val="24"/>
              </w:rPr>
            </w:pPr>
            <w:r w:rsidRPr="00AB372F">
              <w:rPr>
                <w:sz w:val="24"/>
                <w:szCs w:val="18"/>
              </w:rPr>
              <w:t>89 157</w:t>
            </w:r>
          </w:p>
        </w:tc>
      </w:tr>
      <w:tr w:rsidR="00AD690E" w:rsidRPr="00562808">
        <w:tblPrEx>
          <w:tblCellMar>
            <w:top w:w="0" w:type="dxa"/>
            <w:bottom w:w="0" w:type="dxa"/>
          </w:tblCellMar>
        </w:tblPrEx>
        <w:tc>
          <w:tcPr>
            <w:tcW w:w="830" w:type="dxa"/>
            <w:tcBorders>
              <w:top w:val="nil"/>
              <w:left w:val="nil"/>
              <w:bottom w:val="single" w:sz="6" w:space="0" w:color="auto"/>
              <w:right w:val="nil"/>
            </w:tcBorders>
            <w:shd w:val="clear" w:color="auto" w:fill="FFFFFF"/>
          </w:tcPr>
          <w:p w:rsidR="00AD690E" w:rsidRPr="00AB372F" w:rsidRDefault="00AD690E" w:rsidP="00AD690E">
            <w:pPr>
              <w:spacing w:after="120"/>
              <w:ind w:firstLine="0"/>
              <w:jc w:val="both"/>
              <w:rPr>
                <w:sz w:val="24"/>
              </w:rPr>
            </w:pPr>
            <w:r w:rsidRPr="00AB372F">
              <w:rPr>
                <w:sz w:val="24"/>
                <w:szCs w:val="18"/>
              </w:rPr>
              <w:t>1984</w:t>
            </w:r>
          </w:p>
        </w:tc>
        <w:tc>
          <w:tcPr>
            <w:tcW w:w="1862" w:type="dxa"/>
            <w:tcBorders>
              <w:top w:val="nil"/>
              <w:left w:val="nil"/>
              <w:bottom w:val="single" w:sz="6" w:space="0" w:color="auto"/>
              <w:right w:val="nil"/>
            </w:tcBorders>
            <w:shd w:val="clear" w:color="auto" w:fill="FFFFFF"/>
          </w:tcPr>
          <w:p w:rsidR="00AD690E" w:rsidRPr="00AB372F" w:rsidRDefault="00AD690E" w:rsidP="00AD690E">
            <w:pPr>
              <w:tabs>
                <w:tab w:val="decimal" w:pos="1290"/>
              </w:tabs>
              <w:spacing w:after="120"/>
              <w:ind w:firstLine="0"/>
              <w:jc w:val="both"/>
              <w:rPr>
                <w:sz w:val="24"/>
              </w:rPr>
            </w:pPr>
            <w:r w:rsidRPr="00AB372F">
              <w:rPr>
                <w:sz w:val="24"/>
                <w:szCs w:val="18"/>
              </w:rPr>
              <w:t>1 399 000</w:t>
            </w:r>
          </w:p>
        </w:tc>
        <w:tc>
          <w:tcPr>
            <w:tcW w:w="1863" w:type="dxa"/>
            <w:tcBorders>
              <w:top w:val="nil"/>
              <w:left w:val="nil"/>
              <w:bottom w:val="single" w:sz="6" w:space="0" w:color="auto"/>
              <w:right w:val="nil"/>
            </w:tcBorders>
            <w:shd w:val="clear" w:color="auto" w:fill="FFFFFF"/>
          </w:tcPr>
          <w:p w:rsidR="00AD690E" w:rsidRPr="00AB372F" w:rsidRDefault="00AD690E" w:rsidP="00AD690E">
            <w:pPr>
              <w:tabs>
                <w:tab w:val="decimal" w:pos="930"/>
              </w:tabs>
              <w:spacing w:after="120"/>
              <w:ind w:firstLine="0"/>
              <w:jc w:val="both"/>
              <w:rPr>
                <w:sz w:val="24"/>
              </w:rPr>
            </w:pPr>
            <w:r w:rsidRPr="00AB372F">
              <w:rPr>
                <w:sz w:val="24"/>
                <w:szCs w:val="18"/>
              </w:rPr>
              <w:t>11.3</w:t>
            </w:r>
          </w:p>
        </w:tc>
        <w:tc>
          <w:tcPr>
            <w:tcW w:w="1863" w:type="dxa"/>
            <w:gridSpan w:val="2"/>
            <w:tcBorders>
              <w:top w:val="nil"/>
              <w:left w:val="nil"/>
              <w:bottom w:val="single" w:sz="6" w:space="0" w:color="auto"/>
              <w:right w:val="nil"/>
            </w:tcBorders>
            <w:shd w:val="clear" w:color="auto" w:fill="FFFFFF"/>
          </w:tcPr>
          <w:p w:rsidR="00AD690E" w:rsidRPr="00AB372F" w:rsidRDefault="00AD690E" w:rsidP="00AD690E">
            <w:pPr>
              <w:tabs>
                <w:tab w:val="decimal" w:pos="930"/>
              </w:tabs>
              <w:spacing w:after="120"/>
              <w:ind w:firstLine="0"/>
              <w:jc w:val="both"/>
              <w:rPr>
                <w:sz w:val="24"/>
              </w:rPr>
            </w:pPr>
            <w:r w:rsidRPr="00AB372F">
              <w:rPr>
                <w:sz w:val="24"/>
                <w:szCs w:val="18"/>
              </w:rPr>
              <w:t>141 424**</w:t>
            </w:r>
          </w:p>
        </w:tc>
        <w:tc>
          <w:tcPr>
            <w:tcW w:w="1863" w:type="dxa"/>
            <w:tcBorders>
              <w:top w:val="nil"/>
              <w:left w:val="nil"/>
              <w:bottom w:val="single" w:sz="6" w:space="0" w:color="auto"/>
              <w:right w:val="nil"/>
            </w:tcBorders>
            <w:shd w:val="clear" w:color="auto" w:fill="FFFFFF"/>
          </w:tcPr>
          <w:p w:rsidR="00AD690E" w:rsidRPr="00AB372F" w:rsidRDefault="00AD690E" w:rsidP="00AD690E">
            <w:pPr>
              <w:tabs>
                <w:tab w:val="decimal" w:pos="930"/>
              </w:tabs>
              <w:spacing w:after="120"/>
              <w:ind w:firstLine="0"/>
              <w:jc w:val="both"/>
              <w:rPr>
                <w:sz w:val="24"/>
              </w:rPr>
            </w:pPr>
            <w:r w:rsidRPr="00AB372F">
              <w:rPr>
                <w:sz w:val="24"/>
                <w:szCs w:val="18"/>
              </w:rPr>
              <w:t>88 239</w:t>
            </w:r>
          </w:p>
        </w:tc>
      </w:tr>
    </w:tbl>
    <w:p w:rsidR="00AD690E" w:rsidRPr="00562808" w:rsidRDefault="00AD690E" w:rsidP="00AD690E">
      <w:pPr>
        <w:spacing w:before="120" w:after="120"/>
        <w:jc w:val="both"/>
        <w:rPr>
          <w:szCs w:val="18"/>
        </w:rPr>
      </w:pPr>
      <w:r w:rsidRPr="006537A3">
        <w:rPr>
          <w:sz w:val="24"/>
        </w:rPr>
        <w:t xml:space="preserve">Source : Conseil consultatif canadien de l'emploi et de l'immigration. </w:t>
      </w:r>
      <w:r w:rsidRPr="006537A3">
        <w:rPr>
          <w:i/>
          <w:iCs/>
          <w:sz w:val="24"/>
        </w:rPr>
        <w:t>Imm</w:t>
      </w:r>
      <w:r w:rsidRPr="006537A3">
        <w:rPr>
          <w:i/>
          <w:iCs/>
          <w:sz w:val="24"/>
        </w:rPr>
        <w:t>i</w:t>
      </w:r>
      <w:r w:rsidRPr="006537A3">
        <w:rPr>
          <w:i/>
          <w:iCs/>
          <w:sz w:val="24"/>
        </w:rPr>
        <w:t xml:space="preserve">gration : politique de croissance, </w:t>
      </w:r>
      <w:r w:rsidRPr="006537A3">
        <w:rPr>
          <w:sz w:val="24"/>
        </w:rPr>
        <w:t>Hull, 1985, p. 13</w:t>
      </w:r>
      <w:r w:rsidRPr="007364E5">
        <w:t>.</w:t>
      </w:r>
    </w:p>
    <w:p w:rsidR="00AD690E" w:rsidRDefault="00AD690E" w:rsidP="00AD690E">
      <w:pPr>
        <w:spacing w:before="120" w:after="120"/>
        <w:jc w:val="both"/>
      </w:pPr>
      <w:r w:rsidRPr="00562808">
        <w:rPr>
          <w:szCs w:val="18"/>
        </w:rPr>
        <w:br w:type="page"/>
      </w:r>
      <w:r>
        <w:t>[340]</w:t>
      </w:r>
    </w:p>
    <w:p w:rsidR="00AD690E" w:rsidRDefault="00AD690E" w:rsidP="00AD690E">
      <w:pPr>
        <w:spacing w:before="120" w:after="120"/>
        <w:jc w:val="both"/>
        <w:rPr>
          <w:szCs w:val="22"/>
        </w:rPr>
      </w:pPr>
      <w:r w:rsidRPr="00562808">
        <w:rPr>
          <w:szCs w:val="22"/>
        </w:rPr>
        <w:t>L'intention d'emploi des travailleurs sélectionnés s'est modifiée au cours de la période 1974 à 1983. La proportion d'immigrants se dest</w:t>
      </w:r>
      <w:r w:rsidRPr="00562808">
        <w:rPr>
          <w:szCs w:val="22"/>
        </w:rPr>
        <w:t>i</w:t>
      </w:r>
      <w:r w:rsidRPr="00562808">
        <w:rPr>
          <w:szCs w:val="22"/>
        </w:rPr>
        <w:t>nant à occuper des postes de directeurs, administrateurs et autres tr</w:t>
      </w:r>
      <w:r w:rsidRPr="00562808">
        <w:rPr>
          <w:szCs w:val="22"/>
        </w:rPr>
        <w:t>a</w:t>
      </w:r>
      <w:r w:rsidRPr="00562808">
        <w:rPr>
          <w:szCs w:val="22"/>
        </w:rPr>
        <w:t>vailleurs dans les domaines des sciences, de l'enseignement, de la m</w:t>
      </w:r>
      <w:r w:rsidRPr="00562808">
        <w:rPr>
          <w:szCs w:val="22"/>
        </w:rPr>
        <w:t>é</w:t>
      </w:r>
      <w:r w:rsidRPr="00562808">
        <w:rPr>
          <w:szCs w:val="22"/>
        </w:rPr>
        <w:t>decine, des arts et des loisirs est passé de 26,6% à 23,6%. Les catég</w:t>
      </w:r>
      <w:r w:rsidRPr="00562808">
        <w:rPr>
          <w:szCs w:val="22"/>
        </w:rPr>
        <w:t>o</w:t>
      </w:r>
      <w:r w:rsidRPr="00562808">
        <w:rPr>
          <w:szCs w:val="22"/>
        </w:rPr>
        <w:t>ries de vente et de bureau ont baissé (19,0 à 13,5%). Par contre, la proportion de travailleurs se destinant aux diverses industries, au b</w:t>
      </w:r>
      <w:r w:rsidRPr="00562808">
        <w:rPr>
          <w:szCs w:val="22"/>
        </w:rPr>
        <w:t>â</w:t>
      </w:r>
      <w:r w:rsidRPr="00562808">
        <w:rPr>
          <w:szCs w:val="22"/>
        </w:rPr>
        <w:t>timent, aux transports ou à des emplois de manutentionnaires et a</w:t>
      </w:r>
      <w:r w:rsidRPr="00562808">
        <w:rPr>
          <w:szCs w:val="22"/>
        </w:rPr>
        <w:t>u</w:t>
      </w:r>
      <w:r w:rsidRPr="00562808">
        <w:rPr>
          <w:szCs w:val="22"/>
        </w:rPr>
        <w:t>tres, est passé de 35,6% à 20,9%, alors que la catégorie des travai</w:t>
      </w:r>
      <w:r w:rsidRPr="00562808">
        <w:rPr>
          <w:szCs w:val="22"/>
        </w:rPr>
        <w:t>l</w:t>
      </w:r>
      <w:r w:rsidRPr="00562808">
        <w:rPr>
          <w:szCs w:val="22"/>
        </w:rPr>
        <w:t>leurs non classés a crû de 6,3 à 20,4%. (Voir le tableau 7).</w:t>
      </w:r>
    </w:p>
    <w:p w:rsidR="00AD690E" w:rsidRDefault="00AD690E" w:rsidP="00AD690E">
      <w:pPr>
        <w:spacing w:before="120" w:after="120"/>
        <w:jc w:val="both"/>
      </w:pPr>
    </w:p>
    <w:p w:rsidR="00AD690E" w:rsidRDefault="00AD690E" w:rsidP="00AD690E">
      <w:pPr>
        <w:pStyle w:val="a"/>
      </w:pPr>
      <w:r w:rsidRPr="006537A3">
        <w:rPr>
          <w:bCs/>
        </w:rPr>
        <w:t xml:space="preserve">Les </w:t>
      </w:r>
      <w:r w:rsidRPr="006537A3">
        <w:t>réfugiés</w:t>
      </w:r>
    </w:p>
    <w:p w:rsidR="00AD690E" w:rsidRPr="006537A3" w:rsidRDefault="00AD690E" w:rsidP="00AD690E">
      <w:pPr>
        <w:spacing w:before="120" w:after="120"/>
        <w:jc w:val="both"/>
        <w:rPr>
          <w:b/>
        </w:rPr>
      </w:pPr>
    </w:p>
    <w:p w:rsidR="00AD690E" w:rsidRPr="00562808" w:rsidRDefault="00AD690E" w:rsidP="00AD690E">
      <w:pPr>
        <w:spacing w:before="120" w:after="120"/>
        <w:jc w:val="both"/>
      </w:pPr>
      <w:r w:rsidRPr="00562808">
        <w:rPr>
          <w:szCs w:val="22"/>
        </w:rPr>
        <w:t>Au cours de la décennie 1974-1984, la question des réfugiés s'est posée avec acuité au Canada comme dans les principaux pays d'imm</w:t>
      </w:r>
      <w:r w:rsidRPr="00562808">
        <w:rPr>
          <w:szCs w:val="22"/>
        </w:rPr>
        <w:t>i</w:t>
      </w:r>
      <w:r w:rsidRPr="00562808">
        <w:rPr>
          <w:szCs w:val="22"/>
        </w:rPr>
        <w:t>gration. Les difficultés faites aux revendicateurs du statut de réfugié au sens de la convention et dont la demande a été refusée dans la grande majorité des cas (60 à 80% entre 1979 et 1983)</w:t>
      </w:r>
      <w:r>
        <w:rPr>
          <w:szCs w:val="22"/>
        </w:rPr>
        <w:t> </w:t>
      </w:r>
      <w:r w:rsidRPr="00D23A0B">
        <w:rPr>
          <w:rStyle w:val="Appelnotedebasdep"/>
        </w:rPr>
        <w:footnoteReference w:id="577"/>
      </w:r>
      <w:r w:rsidRPr="00562808">
        <w:rPr>
          <w:szCs w:val="22"/>
        </w:rPr>
        <w:t xml:space="preserve">, </w:t>
      </w:r>
      <w:r>
        <w:rPr>
          <w:szCs w:val="22"/>
        </w:rPr>
        <w:t>e</w:t>
      </w:r>
      <w:r w:rsidRPr="00562808">
        <w:rPr>
          <w:szCs w:val="22"/>
        </w:rPr>
        <w:t>t le no</w:t>
      </w:r>
      <w:r w:rsidRPr="00562808">
        <w:rPr>
          <w:szCs w:val="22"/>
        </w:rPr>
        <w:t>m</w:t>
      </w:r>
      <w:r w:rsidRPr="00562808">
        <w:rPr>
          <w:szCs w:val="22"/>
        </w:rPr>
        <w:t>bre de cas en instance ont soulevé plusieurs critiques et donné lieu à d</w:t>
      </w:r>
      <w:r w:rsidRPr="00562808">
        <w:rPr>
          <w:szCs w:val="22"/>
        </w:rPr>
        <w:t>i</w:t>
      </w:r>
      <w:r w:rsidRPr="00562808">
        <w:rPr>
          <w:szCs w:val="22"/>
        </w:rPr>
        <w:t xml:space="preserve">verses enquêtes spéciales sur les lacunes du processus canadien quant à la reconnaissance du statut de réfugié : </w:t>
      </w:r>
      <w:r w:rsidRPr="00562808">
        <w:rPr>
          <w:i/>
          <w:iCs/>
          <w:szCs w:val="22"/>
        </w:rPr>
        <w:t xml:space="preserve">Rapport Robinson </w:t>
      </w:r>
      <w:r w:rsidRPr="00562808">
        <w:rPr>
          <w:szCs w:val="22"/>
        </w:rPr>
        <w:t xml:space="preserve">en 1981, </w:t>
      </w:r>
      <w:r w:rsidRPr="00562808">
        <w:rPr>
          <w:i/>
          <w:iCs/>
          <w:szCs w:val="22"/>
        </w:rPr>
        <w:t xml:space="preserve">Rapport Ratushny </w:t>
      </w:r>
      <w:r w:rsidRPr="00562808">
        <w:rPr>
          <w:szCs w:val="22"/>
        </w:rPr>
        <w:t xml:space="preserve">en 1984, sous le régime libéral, et </w:t>
      </w:r>
      <w:r w:rsidRPr="00562808">
        <w:rPr>
          <w:i/>
          <w:iCs/>
          <w:szCs w:val="22"/>
        </w:rPr>
        <w:t xml:space="preserve">Rapport Plaut </w:t>
      </w:r>
      <w:r w:rsidRPr="00562808">
        <w:rPr>
          <w:szCs w:val="22"/>
        </w:rPr>
        <w:t>en 1985, sous le régime conservateur. Par ailleurs, le Canada a donné priorité à son rôle de « pays de réétablissement », privilégiant la séle</w:t>
      </w:r>
      <w:r w:rsidRPr="00562808">
        <w:rPr>
          <w:szCs w:val="22"/>
        </w:rPr>
        <w:t>c</w:t>
      </w:r>
      <w:r w:rsidRPr="00562808">
        <w:rPr>
          <w:szCs w:val="22"/>
        </w:rPr>
        <w:t>tion et l'accueil de réfugiés à l'étranger (en fonction de critères d'ada</w:t>
      </w:r>
      <w:r w:rsidRPr="00562808">
        <w:rPr>
          <w:szCs w:val="22"/>
        </w:rPr>
        <w:t>p</w:t>
      </w:r>
      <w:r w:rsidRPr="00562808">
        <w:rPr>
          <w:szCs w:val="22"/>
        </w:rPr>
        <w:t>tabilité socio-économique relevant davantage de la gestion de l'imm</w:t>
      </w:r>
      <w:r w:rsidRPr="00562808">
        <w:rPr>
          <w:szCs w:val="22"/>
        </w:rPr>
        <w:t>i</w:t>
      </w:r>
      <w:r w:rsidRPr="00562808">
        <w:rPr>
          <w:szCs w:val="22"/>
        </w:rPr>
        <w:t>gration que d'une véritable politique d'asile)</w:t>
      </w:r>
      <w:r>
        <w:rPr>
          <w:szCs w:val="22"/>
        </w:rPr>
        <w:t> </w:t>
      </w:r>
      <w:r w:rsidRPr="00D23A0B">
        <w:rPr>
          <w:rStyle w:val="Appelnotedebasdep"/>
        </w:rPr>
        <w:footnoteReference w:id="578"/>
      </w:r>
      <w:r w:rsidRPr="00562808">
        <w:rPr>
          <w:szCs w:val="22"/>
        </w:rPr>
        <w:t>.</w:t>
      </w:r>
    </w:p>
    <w:p w:rsidR="00AD690E" w:rsidRPr="00562808" w:rsidRDefault="00AD690E" w:rsidP="00AD690E">
      <w:pPr>
        <w:spacing w:before="120" w:after="120"/>
        <w:jc w:val="both"/>
      </w:pPr>
      <w:r w:rsidRPr="00562808">
        <w:rPr>
          <w:szCs w:val="22"/>
        </w:rPr>
        <w:t>Ainsi, en 1980, le nombre de réfugiés parrainés par le gouvern</w:t>
      </w:r>
      <w:r w:rsidRPr="00562808">
        <w:rPr>
          <w:szCs w:val="22"/>
        </w:rPr>
        <w:t>e</w:t>
      </w:r>
      <w:r w:rsidRPr="00562808">
        <w:rPr>
          <w:szCs w:val="22"/>
        </w:rPr>
        <w:t>ment se chiffrait à 19</w:t>
      </w:r>
      <w:r>
        <w:rPr>
          <w:szCs w:val="22"/>
        </w:rPr>
        <w:t> </w:t>
      </w:r>
      <w:r w:rsidRPr="00562808">
        <w:rPr>
          <w:szCs w:val="22"/>
        </w:rPr>
        <w:t>041 : 14</w:t>
      </w:r>
      <w:r>
        <w:rPr>
          <w:szCs w:val="22"/>
        </w:rPr>
        <w:t> </w:t>
      </w:r>
      <w:r w:rsidRPr="00562808">
        <w:rPr>
          <w:szCs w:val="22"/>
        </w:rPr>
        <w:t>673 de l'Indochine, 3</w:t>
      </w:r>
      <w:r>
        <w:rPr>
          <w:szCs w:val="22"/>
        </w:rPr>
        <w:t> </w:t>
      </w:r>
      <w:r w:rsidRPr="00562808">
        <w:rPr>
          <w:szCs w:val="22"/>
        </w:rPr>
        <w:t>606 de l'Europe de l'Est, 372 de l'Amérique latine et 1</w:t>
      </w:r>
      <w:r>
        <w:rPr>
          <w:szCs w:val="22"/>
        </w:rPr>
        <w:t> </w:t>
      </w:r>
      <w:r w:rsidRPr="00562808">
        <w:rPr>
          <w:szCs w:val="22"/>
        </w:rPr>
        <w:t>134 d'autres régions. Ces chi</w:t>
      </w:r>
      <w:r w:rsidRPr="00562808">
        <w:rPr>
          <w:szCs w:val="22"/>
        </w:rPr>
        <w:t>f</w:t>
      </w:r>
      <w:r w:rsidRPr="00562808">
        <w:rPr>
          <w:szCs w:val="22"/>
        </w:rPr>
        <w:t>fres sont à mettre en regard avec les 256 revendicateurs du statut de réfugié acceptés. Le secteur privé parrainait la même année 21</w:t>
      </w:r>
      <w:r>
        <w:rPr>
          <w:szCs w:val="22"/>
        </w:rPr>
        <w:t> </w:t>
      </w:r>
      <w:r w:rsidRPr="00562808">
        <w:rPr>
          <w:szCs w:val="22"/>
        </w:rPr>
        <w:t>103 autres réfugiés et personnes de catégories désignées</w:t>
      </w:r>
      <w:r>
        <w:rPr>
          <w:szCs w:val="22"/>
        </w:rPr>
        <w:t> </w:t>
      </w:r>
      <w:r w:rsidRPr="00D23A0B">
        <w:rPr>
          <w:rStyle w:val="Appelnotedebasdep"/>
        </w:rPr>
        <w:footnoteReference w:id="579"/>
      </w:r>
      <w:r w:rsidRPr="00562808">
        <w:rPr>
          <w:szCs w:val="22"/>
        </w:rPr>
        <w:t>. En 1983, le total des réfugiés admis était de 17</w:t>
      </w:r>
      <w:r>
        <w:rPr>
          <w:szCs w:val="22"/>
        </w:rPr>
        <w:t> </w:t>
      </w:r>
      <w:r w:rsidRPr="00562808">
        <w:rPr>
          <w:szCs w:val="22"/>
        </w:rPr>
        <w:t>879 : 8</w:t>
      </w:r>
      <w:r>
        <w:rPr>
          <w:szCs w:val="22"/>
        </w:rPr>
        <w:t> </w:t>
      </w:r>
      <w:r w:rsidRPr="00562808">
        <w:rPr>
          <w:szCs w:val="22"/>
        </w:rPr>
        <w:t>941 parrainés par le go</w:t>
      </w:r>
      <w:r w:rsidRPr="00562808">
        <w:rPr>
          <w:szCs w:val="22"/>
        </w:rPr>
        <w:t>u</w:t>
      </w:r>
      <w:r w:rsidRPr="00562808">
        <w:rPr>
          <w:szCs w:val="22"/>
        </w:rPr>
        <w:t>vernement, 4</w:t>
      </w:r>
      <w:r>
        <w:rPr>
          <w:szCs w:val="22"/>
        </w:rPr>
        <w:t> </w:t>
      </w:r>
      <w:r w:rsidRPr="00562808">
        <w:rPr>
          <w:szCs w:val="22"/>
        </w:rPr>
        <w:t>076 parrainés par le secteur privé, 4</w:t>
      </w:r>
      <w:r>
        <w:rPr>
          <w:szCs w:val="22"/>
        </w:rPr>
        <w:t> </w:t>
      </w:r>
      <w:r w:rsidRPr="00562808">
        <w:rPr>
          <w:szCs w:val="22"/>
        </w:rPr>
        <w:t>236 admis en vertu de mesures spéciales, contre 626 revendicateurs du statut de réfugié. Les réfugiés</w:t>
      </w:r>
      <w:r>
        <w:rPr>
          <w:szCs w:val="22"/>
        </w:rPr>
        <w:t xml:space="preserve"> </w:t>
      </w:r>
      <w:r>
        <w:rPr>
          <w:szCs w:val="18"/>
        </w:rPr>
        <w:t xml:space="preserve">[341] </w:t>
      </w:r>
      <w:r w:rsidRPr="00562808">
        <w:rPr>
          <w:szCs w:val="22"/>
        </w:rPr>
        <w:t>d'Indochine et de l'Europe de l'Est comptaient pour 66% de l'e</w:t>
      </w:r>
      <w:r w:rsidRPr="00562808">
        <w:rPr>
          <w:szCs w:val="22"/>
        </w:rPr>
        <w:t>n</w:t>
      </w:r>
      <w:r w:rsidRPr="00562808">
        <w:rPr>
          <w:szCs w:val="22"/>
        </w:rPr>
        <w:t>semble du mouvement de 1983, ceux d'Amérique latine pour 19% ; ceux du Moyen-Orient pour 8%, ceux d'Afrique pour 5% et ceux des autres pays pour 2%</w:t>
      </w:r>
      <w:r>
        <w:rPr>
          <w:szCs w:val="22"/>
        </w:rPr>
        <w:t> </w:t>
      </w:r>
      <w:r w:rsidRPr="00D23A0B">
        <w:rPr>
          <w:rStyle w:val="Appelnotedebasdep"/>
        </w:rPr>
        <w:footnoteReference w:id="580"/>
      </w:r>
      <w:r w:rsidRPr="00562808">
        <w:rPr>
          <w:szCs w:val="22"/>
        </w:rPr>
        <w:t>. L'étalement de ces données a fait naître deux autres questions : celle de la continuité du biais politique et idéolog</w:t>
      </w:r>
      <w:r w:rsidRPr="00562808">
        <w:rPr>
          <w:szCs w:val="22"/>
        </w:rPr>
        <w:t>i</w:t>
      </w:r>
      <w:r w:rsidRPr="00562808">
        <w:rPr>
          <w:szCs w:val="22"/>
        </w:rPr>
        <w:t>que qui semble avoir prévalu depuis la Deuxième Guerre mondiale à l'égard de certaines catégories de réfugiés selon le système politique du pays d'origine. De plus, la soumission dans le choix des réfugiés à des impératifs d'ordre économique et politique laisse croire que les programmes spéciaux à l'égard des réfugiés sont en réalité une polit</w:t>
      </w:r>
      <w:r w:rsidRPr="00562808">
        <w:rPr>
          <w:szCs w:val="22"/>
        </w:rPr>
        <w:t>i</w:t>
      </w:r>
      <w:r w:rsidRPr="00562808">
        <w:rPr>
          <w:szCs w:val="22"/>
        </w:rPr>
        <w:t>que</w:t>
      </w:r>
      <w:r>
        <w:rPr>
          <w:szCs w:val="22"/>
        </w:rPr>
        <w:t xml:space="preserve"> </w:t>
      </w:r>
      <w:r w:rsidRPr="00562808">
        <w:rPr>
          <w:szCs w:val="22"/>
        </w:rPr>
        <w:t>détournée de main-d'</w:t>
      </w:r>
      <w:r>
        <w:rPr>
          <w:szCs w:val="22"/>
        </w:rPr>
        <w:t>œuvre</w:t>
      </w:r>
      <w:r w:rsidRPr="00562808">
        <w:rPr>
          <w:szCs w:val="22"/>
        </w:rPr>
        <w:t>.</w:t>
      </w:r>
    </w:p>
    <w:p w:rsidR="00AD690E" w:rsidRPr="00562808" w:rsidRDefault="00AD690E" w:rsidP="00AD690E">
      <w:pPr>
        <w:pStyle w:val="c"/>
      </w:pPr>
      <w:r w:rsidRPr="00562808">
        <w:rPr>
          <w:szCs w:val="22"/>
        </w:rPr>
        <w:t>*</w:t>
      </w:r>
      <w:r>
        <w:rPr>
          <w:szCs w:val="22"/>
        </w:rPr>
        <w:t xml:space="preserve"> </w:t>
      </w:r>
      <w:r w:rsidRPr="00562808">
        <w:rPr>
          <w:szCs w:val="22"/>
        </w:rPr>
        <w:t xml:space="preserve"> *</w:t>
      </w:r>
      <w:r>
        <w:rPr>
          <w:szCs w:val="22"/>
        </w:rPr>
        <w:t xml:space="preserve"> </w:t>
      </w:r>
      <w:r w:rsidRPr="00562808">
        <w:rPr>
          <w:szCs w:val="22"/>
        </w:rPr>
        <w:t xml:space="preserve"> *</w:t>
      </w:r>
    </w:p>
    <w:p w:rsidR="00AD690E" w:rsidRPr="00562808" w:rsidRDefault="00AD690E" w:rsidP="00AD690E">
      <w:pPr>
        <w:spacing w:before="120" w:after="120"/>
        <w:jc w:val="both"/>
      </w:pPr>
      <w:r w:rsidRPr="00562808">
        <w:rPr>
          <w:szCs w:val="22"/>
        </w:rPr>
        <w:t>L'analyse de la gestion de l'immigration internationale au cours de la période 1963-1984 révèle que le régime libéral à Ottawa a utilisé des stratégies totalement différentes selon les situations économiques. Dans un premier temps, l'abolition de mesures discriminatoires sur le plan racial et ethnique, déjà amorcée par le régime conservateur, et l'instauration d'une grille « rationnelle » de sélection (le système de points) se sont inscrites dans une perspective expansionniste, animée par la quête d'une main-d'oeuvre qualifiée. Ces mesures ont été à l'or</w:t>
      </w:r>
      <w:r w:rsidRPr="00562808">
        <w:rPr>
          <w:szCs w:val="22"/>
        </w:rPr>
        <w:t>i</w:t>
      </w:r>
      <w:r w:rsidRPr="00562808">
        <w:rPr>
          <w:szCs w:val="22"/>
        </w:rPr>
        <w:t>gine des modifications considérables qui ont affecté la composition socio-démographique des flux migratoires annuels vers le Canada.</w:t>
      </w:r>
    </w:p>
    <w:p w:rsidR="00AD690E" w:rsidRPr="00562808" w:rsidRDefault="00AD690E" w:rsidP="00AD690E">
      <w:pPr>
        <w:spacing w:before="120" w:after="120"/>
        <w:jc w:val="both"/>
      </w:pPr>
      <w:r w:rsidRPr="00562808">
        <w:rPr>
          <w:szCs w:val="22"/>
        </w:rPr>
        <w:t>Avec la décennie soixante-dix et le début de la décennie quatre-vingt, le gouvernement a opéré un revirement majeur dans la gestion de l'immigration : interdiction de demander le statut de résident à pa</w:t>
      </w:r>
      <w:r w:rsidRPr="00562808">
        <w:rPr>
          <w:szCs w:val="22"/>
        </w:rPr>
        <w:t>r</w:t>
      </w:r>
      <w:r w:rsidRPr="00562808">
        <w:rPr>
          <w:szCs w:val="22"/>
        </w:rPr>
        <w:t>tir du Canada, réduction des flux selon une planification annuelle, puis triennale, contrôle sur les catégories composant les niveaux ou pl</w:t>
      </w:r>
      <w:r w:rsidRPr="00562808">
        <w:rPr>
          <w:szCs w:val="22"/>
        </w:rPr>
        <w:t>a</w:t>
      </w:r>
      <w:r w:rsidRPr="00562808">
        <w:rPr>
          <w:szCs w:val="22"/>
        </w:rPr>
        <w:t>fonds annuels, recours important au système du travail temporaire. Toutes ces mesures témoignent d'une tentative de rationalisation pr</w:t>
      </w:r>
      <w:r w:rsidRPr="00562808">
        <w:rPr>
          <w:szCs w:val="22"/>
        </w:rPr>
        <w:t>o</w:t>
      </w:r>
      <w:r w:rsidRPr="00562808">
        <w:rPr>
          <w:szCs w:val="22"/>
        </w:rPr>
        <w:t>pre à la gestion de la crise qu'ont amorcée, parallèlement, les grands pays importateurs de main-d'oeuvre de l'Europe de l'Ouest et les États-Unis.</w:t>
      </w:r>
    </w:p>
    <w:p w:rsidR="00AD690E" w:rsidRPr="00562808" w:rsidRDefault="00AD690E" w:rsidP="00AD690E">
      <w:pPr>
        <w:spacing w:before="120" w:after="120"/>
        <w:jc w:val="both"/>
      </w:pPr>
      <w:r w:rsidRPr="00562808">
        <w:rPr>
          <w:szCs w:val="22"/>
        </w:rPr>
        <w:t>Ces faits ne font que confirmer les fonctions bien connues de l'i</w:t>
      </w:r>
      <w:r w:rsidRPr="00562808">
        <w:rPr>
          <w:szCs w:val="22"/>
        </w:rPr>
        <w:t>m</w:t>
      </w:r>
      <w:r w:rsidRPr="00562808">
        <w:rPr>
          <w:szCs w:val="22"/>
        </w:rPr>
        <w:t>migration internationale dans les pays capitalistes avancés. L'immigr</w:t>
      </w:r>
      <w:r w:rsidRPr="00562808">
        <w:rPr>
          <w:szCs w:val="22"/>
        </w:rPr>
        <w:t>a</w:t>
      </w:r>
      <w:r w:rsidRPr="00562808">
        <w:rPr>
          <w:szCs w:val="22"/>
        </w:rPr>
        <w:t>tion constitue une composante structurelle de la main-d'</w:t>
      </w:r>
      <w:r>
        <w:rPr>
          <w:szCs w:val="22"/>
        </w:rPr>
        <w:t>œuvre</w:t>
      </w:r>
      <w:r w:rsidRPr="00562808">
        <w:rPr>
          <w:szCs w:val="22"/>
        </w:rPr>
        <w:t>, irre</w:t>
      </w:r>
      <w:r w:rsidRPr="00562808">
        <w:rPr>
          <w:szCs w:val="22"/>
        </w:rPr>
        <w:t>m</w:t>
      </w:r>
      <w:r w:rsidRPr="00562808">
        <w:rPr>
          <w:szCs w:val="22"/>
        </w:rPr>
        <w:t>plaçable, en jouant un rôle de complémentarité de la main-d'</w:t>
      </w:r>
      <w:r>
        <w:rPr>
          <w:szCs w:val="22"/>
        </w:rPr>
        <w:t>œuvre</w:t>
      </w:r>
      <w:r w:rsidRPr="00562808">
        <w:rPr>
          <w:szCs w:val="22"/>
        </w:rPr>
        <w:t xml:space="preserve"> nationale. Si ce rôle est consolidé en période de croissance, il n'est pas supprimé en période de crise. Par ailleurs l'immigration joue un rôle de régulation conjoncturelle dans les fluctuations à court terme pui</w:t>
      </w:r>
      <w:r w:rsidRPr="00562808">
        <w:rPr>
          <w:szCs w:val="22"/>
        </w:rPr>
        <w:t>s</w:t>
      </w:r>
      <w:r w:rsidRPr="00562808">
        <w:rPr>
          <w:szCs w:val="22"/>
        </w:rPr>
        <w:t>qu'on peut restreindre les flux annuels, contrôler les catégories séle</w:t>
      </w:r>
      <w:r w:rsidRPr="00562808">
        <w:rPr>
          <w:szCs w:val="22"/>
        </w:rPr>
        <w:t>c</w:t>
      </w:r>
      <w:r w:rsidRPr="00562808">
        <w:rPr>
          <w:szCs w:val="22"/>
        </w:rPr>
        <w:t>tionnées de travailleurs en fonction des pénuries existantes, et recourir à des travailleurs temporaires, lesquels représentent une économie</w:t>
      </w:r>
      <w:r>
        <w:rPr>
          <w:szCs w:val="22"/>
        </w:rPr>
        <w:t xml:space="preserve"> </w:t>
      </w:r>
      <w:r>
        <w:t>[</w:t>
      </w:r>
      <w:r w:rsidRPr="00562808">
        <w:rPr>
          <w:rFonts w:cs="Arial"/>
          <w:szCs w:val="18"/>
        </w:rPr>
        <w:t>342</w:t>
      </w:r>
      <w:r>
        <w:rPr>
          <w:rFonts w:cs="Arial"/>
          <w:szCs w:val="18"/>
        </w:rPr>
        <w:t xml:space="preserve">] </w:t>
      </w:r>
      <w:r w:rsidRPr="00562808">
        <w:rPr>
          <w:szCs w:val="22"/>
        </w:rPr>
        <w:t>importante sur les coûts sociaux de la reproduction de la force de travail. Enfin, l'immigration représente une contribution démogr</w:t>
      </w:r>
      <w:r w:rsidRPr="00562808">
        <w:rPr>
          <w:szCs w:val="22"/>
        </w:rPr>
        <w:t>a</w:t>
      </w:r>
      <w:r w:rsidRPr="00562808">
        <w:rPr>
          <w:szCs w:val="22"/>
        </w:rPr>
        <w:t>phique qu'il s'agit de concilier avec les contextes économiques, s</w:t>
      </w:r>
      <w:r w:rsidRPr="00562808">
        <w:rPr>
          <w:szCs w:val="22"/>
        </w:rPr>
        <w:t>o</w:t>
      </w:r>
      <w:r w:rsidRPr="00562808">
        <w:rPr>
          <w:szCs w:val="22"/>
        </w:rPr>
        <w:t>ciaux et culturels en dépit des contradictions encourues. Tous ces a</w:t>
      </w:r>
      <w:r w:rsidRPr="00562808">
        <w:rPr>
          <w:szCs w:val="22"/>
        </w:rPr>
        <w:t>s</w:t>
      </w:r>
      <w:r w:rsidRPr="00562808">
        <w:rPr>
          <w:szCs w:val="22"/>
        </w:rPr>
        <w:t>pects e</w:t>
      </w:r>
      <w:r w:rsidRPr="00562808">
        <w:rPr>
          <w:szCs w:val="22"/>
        </w:rPr>
        <w:t>x</w:t>
      </w:r>
      <w:r w:rsidRPr="00562808">
        <w:rPr>
          <w:szCs w:val="22"/>
        </w:rPr>
        <w:t>pliquent le maintien de l'immigration internationale en période de crise et la diversification des stratégies auxquelles un régime pol</w:t>
      </w:r>
      <w:r w:rsidRPr="00562808">
        <w:rPr>
          <w:szCs w:val="22"/>
        </w:rPr>
        <w:t>i</w:t>
      </w:r>
      <w:r w:rsidRPr="00562808">
        <w:rPr>
          <w:szCs w:val="22"/>
        </w:rPr>
        <w:t>tique a finalement recours.</w:t>
      </w:r>
    </w:p>
    <w:p w:rsidR="00AD690E" w:rsidRDefault="00AD690E" w:rsidP="00AD690E">
      <w:pPr>
        <w:pStyle w:val="p"/>
      </w:pPr>
      <w:r w:rsidRPr="00562808">
        <w:br w:type="page"/>
      </w:r>
      <w:r>
        <w:t>[343]</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20" w:name="ere_Liberaux_pt3_texte_14"/>
      <w:r>
        <w:rPr>
          <w:b/>
          <w:color w:val="000080"/>
          <w:sz w:val="24"/>
        </w:rPr>
        <w:t>TROISIÈME</w:t>
      </w:r>
      <w:r w:rsidRPr="003634E0">
        <w:rPr>
          <w:b/>
          <w:color w:val="000080"/>
          <w:sz w:val="24"/>
        </w:rPr>
        <w:t xml:space="preserve"> PARTIE</w:t>
      </w:r>
      <w:r w:rsidRPr="003634E0">
        <w:rPr>
          <w:b/>
          <w:color w:val="000080"/>
          <w:sz w:val="24"/>
        </w:rPr>
        <w:br/>
        <w:t xml:space="preserve">QUESTIONS </w:t>
      </w:r>
      <w:r>
        <w:rPr>
          <w:b/>
          <w:color w:val="000080"/>
          <w:sz w:val="24"/>
        </w:rPr>
        <w:t>CULTURELLES ET SOCIALES</w:t>
      </w:r>
    </w:p>
    <w:p w:rsidR="00AD690E" w:rsidRPr="00E07116" w:rsidRDefault="00AD690E" w:rsidP="00AD690E">
      <w:pPr>
        <w:jc w:val="both"/>
        <w:rPr>
          <w:szCs w:val="36"/>
        </w:rPr>
      </w:pPr>
    </w:p>
    <w:p w:rsidR="00AD690E" w:rsidRPr="00E07116" w:rsidRDefault="00AD690E" w:rsidP="00AD690E">
      <w:pPr>
        <w:pStyle w:val="planchest"/>
      </w:pPr>
      <w:r>
        <w:t>“La politique urbaine :</w:t>
      </w:r>
      <w:r>
        <w:br/>
        <w:t>ruptures et constantes.”</w:t>
      </w:r>
    </w:p>
    <w:bookmarkEnd w:id="20"/>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Caroline ANDREW</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science politique</w:t>
      </w:r>
      <w:r w:rsidRPr="00957619">
        <w:rPr>
          <w:sz w:val="24"/>
          <w:szCs w:val="22"/>
        </w:rPr>
        <w:br/>
        <w:t>Un</w:t>
      </w:r>
      <w:r w:rsidRPr="00957619">
        <w:rPr>
          <w:sz w:val="24"/>
          <w:szCs w:val="22"/>
        </w:rPr>
        <w:t>i</w:t>
      </w:r>
      <w:r w:rsidRPr="00957619">
        <w:rPr>
          <w:sz w:val="24"/>
          <w:szCs w:val="22"/>
        </w:rPr>
        <w:t xml:space="preserve">versité </w:t>
      </w:r>
      <w:r>
        <w:rPr>
          <w:sz w:val="24"/>
          <w:szCs w:val="22"/>
        </w:rPr>
        <w:t>d’Ottawa</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562808" w:rsidRDefault="00AD690E" w:rsidP="00AD690E">
      <w:pPr>
        <w:spacing w:before="120" w:after="120"/>
        <w:jc w:val="both"/>
      </w:pPr>
      <w:r w:rsidRPr="00562808">
        <w:rPr>
          <w:szCs w:val="22"/>
        </w:rPr>
        <w:t>L'histoire de la politique urbaine du gouvernement fédéral au cours de la période 1963-1984 peut s'analyser de bien des façons. Selon ce</w:t>
      </w:r>
      <w:r w:rsidRPr="00562808">
        <w:rPr>
          <w:szCs w:val="22"/>
        </w:rPr>
        <w:t>r</w:t>
      </w:r>
      <w:r w:rsidRPr="00562808">
        <w:rPr>
          <w:szCs w:val="22"/>
        </w:rPr>
        <w:t>taines perspectives, l'aspect urbain ne ressort qu'accessoirement ; il s'éclipse devant l'interprétation des différentes tentatives de structurer la bureaucratie en vue d'établir un processus de prise de décision r</w:t>
      </w:r>
      <w:r w:rsidRPr="00562808">
        <w:rPr>
          <w:szCs w:val="22"/>
        </w:rPr>
        <w:t>a</w:t>
      </w:r>
      <w:r w:rsidRPr="00562808">
        <w:rPr>
          <w:szCs w:val="22"/>
        </w:rPr>
        <w:t>tionnelle, à moins qu'il soit réduit à un chapitre l'évolution du fédér</w:t>
      </w:r>
      <w:r w:rsidRPr="00562808">
        <w:rPr>
          <w:szCs w:val="22"/>
        </w:rPr>
        <w:t>a</w:t>
      </w:r>
      <w:r w:rsidRPr="00562808">
        <w:rPr>
          <w:szCs w:val="22"/>
        </w:rPr>
        <w:t>lisme canadien. Il faut même faire un effort d'analyse pour mettre ces politiques en rapport avec leurs objectifs urbains, c'est-à-dire les pe</w:t>
      </w:r>
      <w:r w:rsidRPr="00562808">
        <w:rPr>
          <w:szCs w:val="22"/>
        </w:rPr>
        <w:t>r</w:t>
      </w:r>
      <w:r w:rsidRPr="00562808">
        <w:rPr>
          <w:szCs w:val="22"/>
        </w:rPr>
        <w:t>cevoir comme étant la manifestation d'une volonté d'influencer la di</w:t>
      </w:r>
      <w:r w:rsidRPr="00562808">
        <w:rPr>
          <w:szCs w:val="22"/>
        </w:rPr>
        <w:t>s</w:t>
      </w:r>
      <w:r w:rsidRPr="00562808">
        <w:rPr>
          <w:szCs w:val="22"/>
        </w:rPr>
        <w:t>tribution de la population et des activités dans l'espace.</w:t>
      </w:r>
    </w:p>
    <w:p w:rsidR="00AD690E" w:rsidRPr="00562808" w:rsidRDefault="00AD690E" w:rsidP="00AD690E">
      <w:pPr>
        <w:spacing w:before="120" w:after="120"/>
        <w:jc w:val="both"/>
      </w:pPr>
      <w:r w:rsidRPr="00562808">
        <w:rPr>
          <w:szCs w:val="22"/>
        </w:rPr>
        <w:t>L'événement marquant de cette période est la création, en 1971, du ministère d'État aux Affaires urbaines (MEAU). Peu de temps après, en 1979, le ministère fut aboli. Cette création représente le point fort de la préoccupation du gouvernement fédéral face à l'enjeu urbain. En fait, la détermination fédérale de formuler des politiques explicitement orientées vers le développement urbain devait durer moins longtemps que le Ministère lui-même. La période où l'intérêt fédéral fut le plus continu s'étend de 1968 à 1975.</w:t>
      </w:r>
    </w:p>
    <w:p w:rsidR="00AD690E" w:rsidRPr="00562808" w:rsidRDefault="00AD690E" w:rsidP="00AD690E">
      <w:pPr>
        <w:spacing w:before="120" w:after="120"/>
        <w:jc w:val="both"/>
      </w:pPr>
      <w:r w:rsidRPr="00562808">
        <w:rPr>
          <w:szCs w:val="22"/>
        </w:rPr>
        <w:t>Cependant, il est évident que certaines politiques fédérales ont eu un impact sur le développement urbain bien avant la création du M</w:t>
      </w:r>
      <w:r w:rsidRPr="00562808">
        <w:rPr>
          <w:szCs w:val="22"/>
        </w:rPr>
        <w:t>i</w:t>
      </w:r>
      <w:r w:rsidRPr="00562808">
        <w:rPr>
          <w:szCs w:val="22"/>
        </w:rPr>
        <w:t>nistère et c'est toujours le cas depuis sa disparition. Par exemple, les politiques et programmes de la Société centrale d'hypothèques et de logement (SCHL)</w:t>
      </w:r>
      <w:r>
        <w:rPr>
          <w:szCs w:val="22"/>
        </w:rPr>
        <w:t> </w:t>
      </w:r>
      <w:r w:rsidRPr="00D23A0B">
        <w:rPr>
          <w:rStyle w:val="Appelnotedebasdep"/>
        </w:rPr>
        <w:footnoteReference w:id="581"/>
      </w:r>
      <w:r w:rsidRPr="00562808">
        <w:rPr>
          <w:szCs w:val="22"/>
        </w:rPr>
        <w:t>, créée en 1945, ont influé grandement sur la fo</w:t>
      </w:r>
      <w:r w:rsidRPr="00562808">
        <w:rPr>
          <w:szCs w:val="22"/>
        </w:rPr>
        <w:t>r</w:t>
      </w:r>
      <w:r w:rsidRPr="00562808">
        <w:rPr>
          <w:szCs w:val="22"/>
        </w:rPr>
        <w:t>me du développement urbain. Ses politiques de financement visant à favoriser l'achat des maisons unifamiliales ont accentué le</w:t>
      </w:r>
      <w:r>
        <w:rPr>
          <w:szCs w:val="22"/>
        </w:rPr>
        <w:t xml:space="preserve"> </w:t>
      </w:r>
      <w:r>
        <w:t>[</w:t>
      </w:r>
      <w:r w:rsidRPr="00562808">
        <w:rPr>
          <w:rFonts w:cs="Arial"/>
          <w:szCs w:val="18"/>
        </w:rPr>
        <w:t>344</w:t>
      </w:r>
      <w:r>
        <w:rPr>
          <w:rFonts w:cs="Arial"/>
          <w:szCs w:val="18"/>
        </w:rPr>
        <w:t xml:space="preserve">] </w:t>
      </w:r>
      <w:r w:rsidRPr="00562808">
        <w:rPr>
          <w:szCs w:val="22"/>
        </w:rPr>
        <w:t>mouvement de création des banlieues résidentielles à basse densité. Dès la fin des années 1940, la SCHL a commencé, très modestement, à subventionner la construction des logements publics. Ce rôle a pris une certaine expansion dans les années 1960. Par ailleurs d'autres exemples de l'influence fédérale découlent des politiques économ</w:t>
      </w:r>
      <w:r w:rsidRPr="00562808">
        <w:rPr>
          <w:szCs w:val="22"/>
        </w:rPr>
        <w:t>i</w:t>
      </w:r>
      <w:r w:rsidRPr="00562808">
        <w:rPr>
          <w:szCs w:val="22"/>
        </w:rPr>
        <w:t>ques adoptées ; ainsi, toute décision qui affecte la localisation indu</w:t>
      </w:r>
      <w:r w:rsidRPr="00562808">
        <w:rPr>
          <w:szCs w:val="22"/>
        </w:rPr>
        <w:t>s</w:t>
      </w:r>
      <w:r w:rsidRPr="00562808">
        <w:rPr>
          <w:szCs w:val="22"/>
        </w:rPr>
        <w:t>trielle a un impact indéniable sur l'espace urbain.</w:t>
      </w:r>
    </w:p>
    <w:p w:rsidR="00AD690E" w:rsidRPr="00562808" w:rsidRDefault="00AD690E" w:rsidP="00AD690E">
      <w:pPr>
        <w:spacing w:before="120" w:after="120"/>
        <w:jc w:val="both"/>
      </w:pPr>
      <w:r w:rsidRPr="00562808">
        <w:rPr>
          <w:szCs w:val="22"/>
        </w:rPr>
        <w:t>Il faut donc distinguer les politiques destinées à influencer le dév</w:t>
      </w:r>
      <w:r w:rsidRPr="00562808">
        <w:rPr>
          <w:szCs w:val="22"/>
        </w:rPr>
        <w:t>e</w:t>
      </w:r>
      <w:r w:rsidRPr="00562808">
        <w:rPr>
          <w:szCs w:val="22"/>
        </w:rPr>
        <w:t>loppement urbain des politiques qui, tout en ayant un impact sur le développement urbain, n'ont pas été explicitement conçues avec de tels objectifs. Notre intérêt principal dans la présente analyse concerne les politiques explicitement urbaines, quoique nous tenterons de ne pas perdre de vue l'influence des autres politiques.</w:t>
      </w:r>
    </w:p>
    <w:p w:rsidR="00AD690E" w:rsidRDefault="00AD690E" w:rsidP="00AD690E">
      <w:pPr>
        <w:spacing w:before="120" w:after="120"/>
        <w:jc w:val="both"/>
        <w:rPr>
          <w:szCs w:val="22"/>
        </w:rPr>
      </w:pPr>
    </w:p>
    <w:p w:rsidR="00AD690E" w:rsidRPr="00562808" w:rsidRDefault="00AD690E" w:rsidP="00AD690E">
      <w:pPr>
        <w:pStyle w:val="planche"/>
      </w:pPr>
      <w:r w:rsidRPr="00562808">
        <w:t>L'ÉMERGENCE DE L'URBAIN</w:t>
      </w:r>
      <w:r>
        <w:br/>
      </w:r>
      <w:r w:rsidRPr="00562808">
        <w:t>COMME SPH</w:t>
      </w:r>
      <w:r>
        <w:t>È</w:t>
      </w:r>
      <w:r w:rsidRPr="00562808">
        <w:t>RE DE PR</w:t>
      </w:r>
      <w:r>
        <w:t>É</w:t>
      </w:r>
      <w:r w:rsidRPr="00562808">
        <w:t>OCCUPATION</w:t>
      </w:r>
      <w:r>
        <w:br/>
      </w:r>
      <w:r w:rsidRPr="00562808">
        <w:t>AUTONOME DU GO</w:t>
      </w:r>
      <w:r w:rsidRPr="00562808">
        <w:t>U</w:t>
      </w:r>
      <w:r w:rsidRPr="00562808">
        <w:t>VERNEMENT FÉDÉRAL</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Retraçons l'émergence de la préoccupation urbaine du gouvern</w:t>
      </w:r>
      <w:r w:rsidRPr="00562808">
        <w:rPr>
          <w:szCs w:val="22"/>
        </w:rPr>
        <w:t>e</w:t>
      </w:r>
      <w:r w:rsidRPr="00562808">
        <w:rPr>
          <w:szCs w:val="22"/>
        </w:rPr>
        <w:t>ment fédéral pendant les années 1960, préoccupation qui atteint un point culminant avec la création du Ministère en 1971. Cet intérêt s'est développé grâce à l'action d'une multitude de facteurs qui étaient pr</w:t>
      </w:r>
      <w:r w:rsidRPr="00562808">
        <w:rPr>
          <w:szCs w:val="22"/>
        </w:rPr>
        <w:t>é</w:t>
      </w:r>
      <w:r w:rsidRPr="00562808">
        <w:rPr>
          <w:szCs w:val="22"/>
        </w:rPr>
        <w:t>sents et qui ont contribué à la création d'une volonté fédérale d'agir sur l'urbain.</w:t>
      </w:r>
    </w:p>
    <w:p w:rsidR="00AD690E" w:rsidRPr="00562808" w:rsidRDefault="00AD690E" w:rsidP="00AD690E">
      <w:pPr>
        <w:spacing w:before="120" w:after="120"/>
        <w:jc w:val="both"/>
      </w:pPr>
      <w:r w:rsidRPr="00562808">
        <w:rPr>
          <w:szCs w:val="22"/>
        </w:rPr>
        <w:t>Il faut d'abord se rappeler la croissance urbaine très rapide des a</w:t>
      </w:r>
      <w:r w:rsidRPr="00562808">
        <w:rPr>
          <w:szCs w:val="22"/>
        </w:rPr>
        <w:t>n</w:t>
      </w:r>
      <w:r w:rsidRPr="00562808">
        <w:rPr>
          <w:szCs w:val="22"/>
        </w:rPr>
        <w:t>nées 1950 et 1960 et son impact sur la société canadienne. Dans la décennie de 1951 à 1961, la population canadienne vivant dans les centres urbains a augmenté de 48%, passant de 8,6 millions à 12,7 millions</w:t>
      </w:r>
      <w:r>
        <w:rPr>
          <w:szCs w:val="22"/>
        </w:rPr>
        <w:t> </w:t>
      </w:r>
      <w:r w:rsidRPr="00D23A0B">
        <w:rPr>
          <w:rStyle w:val="Appelnotedebasdep"/>
        </w:rPr>
        <w:footnoteReference w:id="582"/>
      </w:r>
      <w:r w:rsidRPr="00562808">
        <w:rPr>
          <w:szCs w:val="22"/>
        </w:rPr>
        <w:t>. Les prévisions démographiques à l'époque prévoyaient une croissance continue des villes. Il semblait donc que les plus gra</w:t>
      </w:r>
      <w:r w:rsidRPr="00562808">
        <w:rPr>
          <w:szCs w:val="22"/>
        </w:rPr>
        <w:t>n</w:t>
      </w:r>
      <w:r w:rsidRPr="00562808">
        <w:rPr>
          <w:szCs w:val="22"/>
        </w:rPr>
        <w:t>des villes canadiennes comme Montréal, Toronto ou Vancouver a</w:t>
      </w:r>
      <w:r w:rsidRPr="00562808">
        <w:rPr>
          <w:szCs w:val="22"/>
        </w:rPr>
        <w:t>l</w:t>
      </w:r>
      <w:r w:rsidRPr="00562808">
        <w:rPr>
          <w:szCs w:val="22"/>
        </w:rPr>
        <w:t>laient absorber une part de plus en plus importante de la population canadienne. Tout le débat autour de la politique urbaine est indiss</w:t>
      </w:r>
      <w:r w:rsidRPr="00562808">
        <w:rPr>
          <w:szCs w:val="22"/>
        </w:rPr>
        <w:t>o</w:t>
      </w:r>
      <w:r w:rsidRPr="00562808">
        <w:rPr>
          <w:szCs w:val="22"/>
        </w:rPr>
        <w:t>ciable de ce contexte de croissance très rapide.</w:t>
      </w:r>
    </w:p>
    <w:p w:rsidR="00AD690E" w:rsidRPr="00562808" w:rsidRDefault="00AD690E" w:rsidP="00AD690E">
      <w:pPr>
        <w:spacing w:before="120" w:after="120"/>
        <w:jc w:val="both"/>
      </w:pPr>
      <w:r w:rsidRPr="00562808">
        <w:rPr>
          <w:szCs w:val="22"/>
        </w:rPr>
        <w:t>Cette croissance a eu des répercussions sur le système politique de plusieurs façons. L'urbanisation rapide a fait en sorte que la majorité de la population, et donc la majorité des électeurs, sont devenus u</w:t>
      </w:r>
      <w:r w:rsidRPr="00562808">
        <w:rPr>
          <w:szCs w:val="22"/>
        </w:rPr>
        <w:t>r</w:t>
      </w:r>
      <w:r w:rsidRPr="00562808">
        <w:rPr>
          <w:szCs w:val="22"/>
        </w:rPr>
        <w:t>bains et, par le fait même, plus sensibles aux enjeux de l'urbanité. À l'élection de 1968, par exemple, le Parti libéral a gagné la quasi-totalité des circonscriptions de Montréal, Toronto et Vancouver. Le gouvernement libéral a donc eu un électorat très urbain manifestement préoccupé par la question du développement de son habitat.</w:t>
      </w:r>
    </w:p>
    <w:p w:rsidR="00AD690E" w:rsidRPr="00562808" w:rsidRDefault="00AD690E" w:rsidP="00AD690E">
      <w:pPr>
        <w:spacing w:before="120" w:after="120"/>
        <w:jc w:val="both"/>
      </w:pPr>
      <w:r w:rsidRPr="00562808">
        <w:rPr>
          <w:szCs w:val="22"/>
        </w:rPr>
        <w:t>Cette traduction politique des changements démographiques s'est effectuée plus rapidement au palier fédéral qu'au niveau des gouve</w:t>
      </w:r>
      <w:r w:rsidRPr="00562808">
        <w:rPr>
          <w:szCs w:val="22"/>
        </w:rPr>
        <w:t>r</w:t>
      </w:r>
      <w:r w:rsidRPr="00562808">
        <w:rPr>
          <w:szCs w:val="22"/>
        </w:rPr>
        <w:t>nements provinciaux.</w:t>
      </w:r>
      <w:r>
        <w:rPr>
          <w:szCs w:val="22"/>
        </w:rPr>
        <w:t xml:space="preserve"> </w:t>
      </w:r>
      <w:r>
        <w:t xml:space="preserve">[345] </w:t>
      </w:r>
      <w:r w:rsidRPr="00562808">
        <w:rPr>
          <w:szCs w:val="22"/>
        </w:rPr>
        <w:t>En effet, la redistribution de la carte éle</w:t>
      </w:r>
      <w:r w:rsidRPr="00562808">
        <w:rPr>
          <w:szCs w:val="22"/>
        </w:rPr>
        <w:t>c</w:t>
      </w:r>
      <w:r w:rsidRPr="00562808">
        <w:rPr>
          <w:szCs w:val="22"/>
        </w:rPr>
        <w:t>torale et, par conséquent, la représentation des milieux urbains se fa</w:t>
      </w:r>
      <w:r w:rsidRPr="00562808">
        <w:rPr>
          <w:szCs w:val="22"/>
        </w:rPr>
        <w:t>i</w:t>
      </w:r>
      <w:r w:rsidRPr="00562808">
        <w:rPr>
          <w:szCs w:val="22"/>
        </w:rPr>
        <w:t>sant plus tôt au niveau fédéral, les groupes qui souhaitaient des polit</w:t>
      </w:r>
      <w:r w:rsidRPr="00562808">
        <w:rPr>
          <w:szCs w:val="22"/>
        </w:rPr>
        <w:t>i</w:t>
      </w:r>
      <w:r w:rsidRPr="00562808">
        <w:rPr>
          <w:szCs w:val="22"/>
        </w:rPr>
        <w:t>ques urbaines ont adressé leurs demandes à ce gouvernement. Peu soucieux des juridictions constitutionnelles, les groupes ont encouragé l'action du gouvernement qui semblait le plus prêt à agir. Pierre Tr</w:t>
      </w:r>
      <w:r w:rsidRPr="00562808">
        <w:rPr>
          <w:szCs w:val="22"/>
        </w:rPr>
        <w:t>u</w:t>
      </w:r>
      <w:r w:rsidRPr="00562808">
        <w:rPr>
          <w:szCs w:val="22"/>
        </w:rPr>
        <w:t>deau, qui devait sa vi</w:t>
      </w:r>
      <w:r w:rsidRPr="00562808">
        <w:rPr>
          <w:szCs w:val="22"/>
        </w:rPr>
        <w:t>c</w:t>
      </w:r>
      <w:r w:rsidRPr="00562808">
        <w:rPr>
          <w:szCs w:val="22"/>
        </w:rPr>
        <w:t>toire électorale à l'appui des milieux urbains, a eu plus de difficulté à résister à ces pressions comme premier ministre que comme intelle</w:t>
      </w:r>
      <w:r w:rsidRPr="00562808">
        <w:rPr>
          <w:szCs w:val="22"/>
        </w:rPr>
        <w:t>c</w:t>
      </w:r>
      <w:r w:rsidRPr="00562808">
        <w:rPr>
          <w:szCs w:val="22"/>
        </w:rPr>
        <w:t>tuel. Dans ses écrits antérieurs, il avait déclaré que la solution polit</w:t>
      </w:r>
      <w:r w:rsidRPr="00562808">
        <w:rPr>
          <w:szCs w:val="22"/>
        </w:rPr>
        <w:t>i</w:t>
      </w:r>
      <w:r w:rsidRPr="00562808">
        <w:rPr>
          <w:szCs w:val="22"/>
        </w:rPr>
        <w:t>que face à l'inactivité des autorités provinciales était d'élire de meilleurs gouvernements et non pas de chercher l'interve</w:t>
      </w:r>
      <w:r w:rsidRPr="00562808">
        <w:rPr>
          <w:szCs w:val="22"/>
        </w:rPr>
        <w:t>n</w:t>
      </w:r>
      <w:r w:rsidRPr="00562808">
        <w:rPr>
          <w:szCs w:val="22"/>
        </w:rPr>
        <w:t>tion du gouve</w:t>
      </w:r>
      <w:r w:rsidRPr="00562808">
        <w:rPr>
          <w:szCs w:val="22"/>
        </w:rPr>
        <w:t>r</w:t>
      </w:r>
      <w:r w:rsidRPr="00562808">
        <w:rPr>
          <w:szCs w:val="22"/>
        </w:rPr>
        <w:t>nement fédéral.</w:t>
      </w:r>
    </w:p>
    <w:p w:rsidR="00AD690E" w:rsidRPr="00562808" w:rsidRDefault="00AD690E" w:rsidP="00AD690E">
      <w:pPr>
        <w:spacing w:before="120" w:after="120"/>
        <w:jc w:val="both"/>
      </w:pPr>
      <w:r w:rsidRPr="00562808">
        <w:rPr>
          <w:szCs w:val="22"/>
        </w:rPr>
        <w:t>Les pressions sont venues de groupes très différents. La croissance urbaine rapide rendait plus urgents les besoins pour les services et les équipements. Les municipalités, soumises à des contraintes fiscales, demandèrent l'aide des gouvernements supérieurs et particulièrement celle du gouvernement fédéral. L'industrie de la construction souha</w:t>
      </w:r>
      <w:r w:rsidRPr="00562808">
        <w:rPr>
          <w:szCs w:val="22"/>
        </w:rPr>
        <w:t>i</w:t>
      </w:r>
      <w:r w:rsidRPr="00562808">
        <w:rPr>
          <w:szCs w:val="22"/>
        </w:rPr>
        <w:t>tait un développement résidentiel continu et, selon elle, les ressources limitées des municipalités ne fournissaient pas suffisamment de te</w:t>
      </w:r>
      <w:r w:rsidRPr="00562808">
        <w:rPr>
          <w:szCs w:val="22"/>
        </w:rPr>
        <w:t>r</w:t>
      </w:r>
      <w:r w:rsidRPr="00562808">
        <w:rPr>
          <w:szCs w:val="22"/>
        </w:rPr>
        <w:t>rains prêts à développer. Un rôle accru du gouvernement fédéral, su</w:t>
      </w:r>
      <w:r w:rsidRPr="00562808">
        <w:rPr>
          <w:szCs w:val="22"/>
        </w:rPr>
        <w:t>r</w:t>
      </w:r>
      <w:r w:rsidRPr="00562808">
        <w:rPr>
          <w:szCs w:val="22"/>
        </w:rPr>
        <w:t>tout au niveau du financement des infrastructures, pouvait donc re</w:t>
      </w:r>
      <w:r w:rsidRPr="00562808">
        <w:rPr>
          <w:szCs w:val="22"/>
        </w:rPr>
        <w:t>n</w:t>
      </w:r>
      <w:r w:rsidRPr="00562808">
        <w:rPr>
          <w:szCs w:val="22"/>
        </w:rPr>
        <w:t>contrer les intérêts de l'industrie de la construction et des milieux m</w:t>
      </w:r>
      <w:r w:rsidRPr="00562808">
        <w:rPr>
          <w:szCs w:val="22"/>
        </w:rPr>
        <w:t>u</w:t>
      </w:r>
      <w:r w:rsidRPr="00562808">
        <w:rPr>
          <w:szCs w:val="22"/>
        </w:rPr>
        <w:t>nicipaux.</w:t>
      </w:r>
    </w:p>
    <w:p w:rsidR="00AD690E" w:rsidRPr="00562808" w:rsidRDefault="00AD690E" w:rsidP="00AD690E">
      <w:pPr>
        <w:spacing w:before="120" w:after="120"/>
        <w:jc w:val="both"/>
      </w:pPr>
      <w:r w:rsidRPr="00562808">
        <w:rPr>
          <w:szCs w:val="22"/>
        </w:rPr>
        <w:t>L'urgence des questions urbaines s'explique aussi par l'influence américaine dans la création des enjeux politiques au Canada. Les a</w:t>
      </w:r>
      <w:r w:rsidRPr="00562808">
        <w:rPr>
          <w:szCs w:val="22"/>
        </w:rPr>
        <w:t>n</w:t>
      </w:r>
      <w:r w:rsidRPr="00562808">
        <w:rPr>
          <w:szCs w:val="22"/>
        </w:rPr>
        <w:t>nées 1960 ont été les années de la « crise urbaine » aux États-Unis et de nombreux livres, articles de revues, programmes de télévision ont décrit, analysé et commenté les problèmes de la vie urbaine. Bien que la situation américaine ait été, avec la ségrégation raciale, très diff</w:t>
      </w:r>
      <w:r w:rsidRPr="00562808">
        <w:rPr>
          <w:szCs w:val="22"/>
        </w:rPr>
        <w:t>é</w:t>
      </w:r>
      <w:r w:rsidRPr="00562808">
        <w:rPr>
          <w:szCs w:val="22"/>
        </w:rPr>
        <w:t>rente de celle du Canada, l'inquiétude américaine en ce qui concerne la viabilité des grandes villes a été importée au Canada et a ajouté au sentiment d'urgence qui a poussé le gouvernement fédéral à agir afin de prendre en main l'avenir urbain.</w:t>
      </w:r>
    </w:p>
    <w:p w:rsidR="00AD690E" w:rsidRPr="00562808" w:rsidRDefault="00AD690E" w:rsidP="00AD690E">
      <w:pPr>
        <w:spacing w:before="120" w:after="120"/>
        <w:jc w:val="both"/>
      </w:pPr>
      <w:r w:rsidRPr="00562808">
        <w:rPr>
          <w:szCs w:val="22"/>
        </w:rPr>
        <w:t>Cette prise de conscience fut renforcée par l'évolution de certains programmes gouvernementaux. L'expérience des années 1960 avec les programmes de développement régional a souligné l'importance des centres urbains comme moteurs de développement économique. L'idée des pôles de croissance était devenue populaire et cette notion a renforcé la signification économique de l'urbain et donc l'intérêt pour le gouvernement fédéral de formuler des politiques explicites.</w:t>
      </w:r>
    </w:p>
    <w:p w:rsidR="00AD690E" w:rsidRDefault="00AD690E" w:rsidP="00AD690E">
      <w:pPr>
        <w:spacing w:before="120" w:after="120"/>
        <w:jc w:val="both"/>
        <w:rPr>
          <w:szCs w:val="22"/>
        </w:rPr>
      </w:pPr>
      <w:r w:rsidRPr="00562808">
        <w:rPr>
          <w:szCs w:val="22"/>
        </w:rPr>
        <w:t>Le contexte général devint de plus en plus favorable à une action fédérale dans le domaine. Le facteur de base fut le changement socio-démographique mais, pour aboutir à l'action de l'État, ce facteur devait se traduire en termes politiques. Ce processus est complexe. Pour bien le comprendre, on doit tenir compte de l'influence américaine sur les préoccupations politiques de la population canadienne, de l'incapacité des municipalités à développer des terrains en quantité nécessaire et même de la victoire électorale de Pierre Trudeau en 1968.</w:t>
      </w:r>
    </w:p>
    <w:p w:rsidR="00AD690E" w:rsidRPr="00562808" w:rsidRDefault="00AD690E" w:rsidP="00AD690E">
      <w:pPr>
        <w:spacing w:before="120" w:after="120"/>
        <w:jc w:val="both"/>
      </w:pPr>
      <w:r>
        <w:t>[</w:t>
      </w:r>
      <w:r w:rsidRPr="00562808">
        <w:rPr>
          <w:szCs w:val="22"/>
        </w:rPr>
        <w:t>346</w:t>
      </w:r>
      <w:r>
        <w:rPr>
          <w:szCs w:val="22"/>
        </w:rPr>
        <w:t>]</w:t>
      </w:r>
    </w:p>
    <w:p w:rsidR="00AD690E" w:rsidRPr="00562808" w:rsidRDefault="00AD690E" w:rsidP="00AD690E">
      <w:pPr>
        <w:spacing w:before="120" w:after="120"/>
        <w:jc w:val="both"/>
      </w:pPr>
      <w:r w:rsidRPr="00562808">
        <w:rPr>
          <w:szCs w:val="22"/>
        </w:rPr>
        <w:t>Si l'on recherche les causes directes de la création du Ministère, on doit remonter à la décision, en août 1968, du ministre Paul Hellyer de mettre sur pied un groupe de travail afin d'étudier les problèmes gén</w:t>
      </w:r>
      <w:r w:rsidRPr="00562808">
        <w:rPr>
          <w:szCs w:val="22"/>
        </w:rPr>
        <w:t>é</w:t>
      </w:r>
      <w:r w:rsidRPr="00562808">
        <w:rPr>
          <w:szCs w:val="22"/>
        </w:rPr>
        <w:t>rés par les programmes de rénovation urbaine et de logement public. L'expansion de ces programmes après 1964 a provoqué de vives pr</w:t>
      </w:r>
      <w:r w:rsidRPr="00562808">
        <w:rPr>
          <w:szCs w:val="22"/>
        </w:rPr>
        <w:t>o</w:t>
      </w:r>
      <w:r w:rsidRPr="00562808">
        <w:rPr>
          <w:szCs w:val="22"/>
        </w:rPr>
        <w:t>testations de la part des groupes de résidents touchés par les projets de rénovation. Ces protestations allèrent en augmentant, d'ailleurs so</w:t>
      </w:r>
      <w:r w:rsidRPr="00562808">
        <w:rPr>
          <w:szCs w:val="22"/>
        </w:rPr>
        <w:t>u</w:t>
      </w:r>
      <w:r w:rsidRPr="00562808">
        <w:rPr>
          <w:szCs w:val="22"/>
        </w:rPr>
        <w:t>vent organisées par des personnes payées par le gouvernement fédéral, par le biais de la Compagnie des jeunes canadiens. Paul Hellyer prés</w:t>
      </w:r>
      <w:r w:rsidRPr="00562808">
        <w:rPr>
          <w:szCs w:val="22"/>
        </w:rPr>
        <w:t>i</w:t>
      </w:r>
      <w:r w:rsidRPr="00562808">
        <w:rPr>
          <w:szCs w:val="22"/>
        </w:rPr>
        <w:t>da lui-même le groupe de travail et, en 1969, le groupe fit rapport, préconisant une activité fédérale accrue dans le domaine urbain. D</w:t>
      </w:r>
      <w:r w:rsidRPr="00562808">
        <w:rPr>
          <w:szCs w:val="22"/>
        </w:rPr>
        <w:t>e</w:t>
      </w:r>
      <w:r w:rsidRPr="00562808">
        <w:rPr>
          <w:szCs w:val="22"/>
        </w:rPr>
        <w:t>vant le refus du gouvernement fédéral d'agir, Hellyer démissionna. Le nouveau responsable de ce dossier, le ministre Robert Andras, décida de demander à Harvey Lithwick, professeur des sciences économiques de l'Université Carleton, de réétudier cette question. La nouvelle ét</w:t>
      </w:r>
      <w:r w:rsidRPr="00562808">
        <w:rPr>
          <w:szCs w:val="22"/>
        </w:rPr>
        <w:t>u</w:t>
      </w:r>
      <w:r w:rsidRPr="00562808">
        <w:rPr>
          <w:szCs w:val="22"/>
        </w:rPr>
        <w:t xml:space="preserve">de, </w:t>
      </w:r>
      <w:r w:rsidRPr="00562808">
        <w:rPr>
          <w:i/>
          <w:iCs/>
          <w:szCs w:val="22"/>
        </w:rPr>
        <w:t xml:space="preserve">Le Canada urbain, </w:t>
      </w:r>
      <w:r w:rsidRPr="00562808">
        <w:rPr>
          <w:szCs w:val="22"/>
        </w:rPr>
        <w:t>concluait également que le gouvernement féd</w:t>
      </w:r>
      <w:r w:rsidRPr="00562808">
        <w:rPr>
          <w:szCs w:val="22"/>
        </w:rPr>
        <w:t>é</w:t>
      </w:r>
      <w:r w:rsidRPr="00562808">
        <w:rPr>
          <w:szCs w:val="22"/>
        </w:rPr>
        <w:t>ral avait un rôle important à jouer dans le domaine des politiques u</w:t>
      </w:r>
      <w:r w:rsidRPr="00562808">
        <w:rPr>
          <w:szCs w:val="22"/>
        </w:rPr>
        <w:t>r</w:t>
      </w:r>
      <w:r w:rsidRPr="00562808">
        <w:rPr>
          <w:szCs w:val="22"/>
        </w:rPr>
        <w:t>baines.</w:t>
      </w:r>
    </w:p>
    <w:p w:rsidR="00AD690E" w:rsidRPr="00562808" w:rsidRDefault="00AD690E" w:rsidP="00AD690E">
      <w:pPr>
        <w:spacing w:before="120" w:after="120"/>
        <w:jc w:val="both"/>
      </w:pPr>
      <w:r w:rsidRPr="00562808">
        <w:rPr>
          <w:szCs w:val="22"/>
        </w:rPr>
        <w:t>Malgré ces pressions et ces rapports, le gouvernement fédéral avait aussi ses raisons pour ne pas agir, notamment celle de la question constitutionnelle. Le domaine urbain étant traditionnellement consid</w:t>
      </w:r>
      <w:r w:rsidRPr="00562808">
        <w:rPr>
          <w:szCs w:val="22"/>
        </w:rPr>
        <w:t>é</w:t>
      </w:r>
      <w:r w:rsidRPr="00562808">
        <w:rPr>
          <w:szCs w:val="22"/>
        </w:rPr>
        <w:t>ré de juridiction provinciale, une action fédérale n'aurait pas manqué de soulever l'ire des gouvernements provinciaux. Comment s'opposer aux initiatives provinciales futures dans les domaines jugés par le gouvernement fédéral comme relevant de leurs compétences si ce dernier décidait d'intervenir directement dans des secteurs proprement provinciaux ?</w:t>
      </w:r>
    </w:p>
    <w:p w:rsidR="00AD690E" w:rsidRDefault="00AD690E" w:rsidP="00AD690E">
      <w:pPr>
        <w:spacing w:before="120" w:after="120"/>
        <w:jc w:val="both"/>
        <w:rPr>
          <w:szCs w:val="22"/>
        </w:rPr>
      </w:pPr>
      <w:r w:rsidRPr="00562808">
        <w:rPr>
          <w:szCs w:val="22"/>
        </w:rPr>
        <w:t>Une décision d'agir n'aurait probablement pas été prise si, dans la même période, le gouvernement fédéral n'avait déployé de nombreux efforts pour créer des structures de prises de décision plus rationne</w:t>
      </w:r>
      <w:r w:rsidRPr="00562808">
        <w:rPr>
          <w:szCs w:val="22"/>
        </w:rPr>
        <w:t>l</w:t>
      </w:r>
      <w:r w:rsidRPr="00562808">
        <w:rPr>
          <w:szCs w:val="22"/>
        </w:rPr>
        <w:t>les. Le gouvernement Trudeau cherchait à restructurer l'appareil b</w:t>
      </w:r>
      <w:r w:rsidRPr="00562808">
        <w:rPr>
          <w:szCs w:val="22"/>
        </w:rPr>
        <w:t>u</w:t>
      </w:r>
      <w:r w:rsidRPr="00562808">
        <w:rPr>
          <w:szCs w:val="22"/>
        </w:rPr>
        <w:t>reaucratique de façon à faciliter la formulation de politiques cohére</w:t>
      </w:r>
      <w:r w:rsidRPr="00562808">
        <w:rPr>
          <w:szCs w:val="22"/>
        </w:rPr>
        <w:t>n</w:t>
      </w:r>
      <w:r w:rsidRPr="00562808">
        <w:rPr>
          <w:szCs w:val="22"/>
        </w:rPr>
        <w:t>tes et rationnelles et il percevait la force des ministères sectoriels comme étant une des contraintes principales. Comment faire face aux nouveaux défis ? Comment faire bouger « la machine » ? Une des r</w:t>
      </w:r>
      <w:r w:rsidRPr="00562808">
        <w:rPr>
          <w:szCs w:val="22"/>
        </w:rPr>
        <w:t>é</w:t>
      </w:r>
      <w:r w:rsidRPr="00562808">
        <w:rPr>
          <w:szCs w:val="22"/>
        </w:rPr>
        <w:t>ponses fut de créer des structures de coordination sans responsabilités vis-à-vis de l'application des programmes, mais avec responsabilités face à la prise en compte des enjeux négligés par les ministères sect</w:t>
      </w:r>
      <w:r w:rsidRPr="00562808">
        <w:rPr>
          <w:szCs w:val="22"/>
        </w:rPr>
        <w:t>o</w:t>
      </w:r>
      <w:r w:rsidRPr="00562808">
        <w:rPr>
          <w:szCs w:val="22"/>
        </w:rPr>
        <w:t>riels. En instituant une distinction claire entre la formulation des pol</w:t>
      </w:r>
      <w:r w:rsidRPr="00562808">
        <w:rPr>
          <w:szCs w:val="22"/>
        </w:rPr>
        <w:t>i</w:t>
      </w:r>
      <w:r w:rsidRPr="00562808">
        <w:rPr>
          <w:szCs w:val="22"/>
        </w:rPr>
        <w:t>tiques et l'administration des programmes, le gouvernement espérait créer des politiques plus rationnelles, parce que moins influencées par les intérêts établis des programmes existants. La question urbaine semblait tout désignée puisque de nombreux programmes du gouve</w:t>
      </w:r>
      <w:r w:rsidRPr="00562808">
        <w:rPr>
          <w:szCs w:val="22"/>
        </w:rPr>
        <w:t>r</w:t>
      </w:r>
      <w:r w:rsidRPr="00562808">
        <w:rPr>
          <w:szCs w:val="22"/>
        </w:rPr>
        <w:t>nement fédéral avaient des incidences urbaines (plus de 100 pr</w:t>
      </w:r>
      <w:r w:rsidRPr="00562808">
        <w:rPr>
          <w:szCs w:val="22"/>
        </w:rPr>
        <w:t>o</w:t>
      </w:r>
      <w:r w:rsidRPr="00562808">
        <w:rPr>
          <w:szCs w:val="22"/>
        </w:rPr>
        <w:t>grammes, selon une étude effectuée à l'époque), mais il n'existait pas de coordination entre ces différents programmes et les implications urbaines n'étaient pas suffisamment claires aux yeux du ministère re</w:t>
      </w:r>
      <w:r w:rsidRPr="00562808">
        <w:rPr>
          <w:szCs w:val="22"/>
        </w:rPr>
        <w:t>s</w:t>
      </w:r>
      <w:r w:rsidRPr="00562808">
        <w:rPr>
          <w:szCs w:val="22"/>
        </w:rPr>
        <w:t>ponsable. De plus, une capacité d'intervention efficace dans l'organ</w:t>
      </w:r>
      <w:r w:rsidRPr="00562808">
        <w:rPr>
          <w:szCs w:val="22"/>
        </w:rPr>
        <w:t>i</w:t>
      </w:r>
      <w:r w:rsidRPr="00562808">
        <w:rPr>
          <w:szCs w:val="22"/>
        </w:rPr>
        <w:t>sation de l'espace urbain s'avérait importante pour un gouvernement qui se voulait rationnel, moderne et orienté vers l'avenir.</w:t>
      </w:r>
    </w:p>
    <w:p w:rsidR="00AD690E" w:rsidRDefault="00AD690E" w:rsidP="00AD690E">
      <w:pPr>
        <w:spacing w:before="120" w:after="120"/>
        <w:jc w:val="both"/>
      </w:pPr>
      <w:r>
        <w:t>[347]</w:t>
      </w:r>
    </w:p>
    <w:p w:rsidR="00AD690E" w:rsidRDefault="00AD690E" w:rsidP="00AD690E">
      <w:pPr>
        <w:spacing w:before="120" w:after="120"/>
        <w:jc w:val="both"/>
      </w:pPr>
    </w:p>
    <w:p w:rsidR="00AD690E" w:rsidRPr="00562808" w:rsidRDefault="00AD690E" w:rsidP="00AD690E">
      <w:pPr>
        <w:pStyle w:val="planche"/>
      </w:pPr>
      <w:r>
        <w:t>LA SOLUTION :</w:t>
      </w:r>
      <w:r>
        <w:br/>
      </w:r>
      <w:r w:rsidRPr="00562808">
        <w:t>LE MINIST</w:t>
      </w:r>
      <w:r>
        <w:t>È</w:t>
      </w:r>
      <w:r w:rsidRPr="00562808">
        <w:t>RE D'</w:t>
      </w:r>
      <w:r>
        <w:t>É</w:t>
      </w:r>
      <w:r w:rsidRPr="00562808">
        <w:t>TAT</w:t>
      </w:r>
      <w:r>
        <w:br/>
      </w:r>
      <w:r w:rsidRPr="00562808">
        <w:t>AUX AFFAIRES URBA</w:t>
      </w:r>
      <w:r w:rsidRPr="00562808">
        <w:t>I</w:t>
      </w:r>
      <w:r w:rsidRPr="00562808">
        <w:t>NES</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Dans le discours du Trône du 8 octobre 1970, le gouvernement a</w:t>
      </w:r>
      <w:r w:rsidRPr="00562808">
        <w:rPr>
          <w:szCs w:val="22"/>
        </w:rPr>
        <w:t>n</w:t>
      </w:r>
      <w:r w:rsidRPr="00562808">
        <w:rPr>
          <w:szCs w:val="22"/>
        </w:rPr>
        <w:t>nonça son intention de créer un ministère d'État aux affaires urbaines (MEAU). Le but n'était pas de créer un autre ministère sectoriel, mais bien une structure de coordination horizontale. Un autre ministère d'État fut créé en même temps — celui de Science et Technologie. Le gouvernement espérait ainsi pouvoir faire face à deux grands défis de la modernité — la science et l'urbanisation —, défis qui se posaient à l'ensemble de l'activité gouvernementale mais à aucun ministère en particulier.</w:t>
      </w:r>
    </w:p>
    <w:p w:rsidR="00AD690E" w:rsidRPr="00562808" w:rsidRDefault="00AD690E" w:rsidP="00AD690E">
      <w:pPr>
        <w:spacing w:before="120" w:after="120"/>
        <w:jc w:val="both"/>
      </w:pPr>
      <w:r w:rsidRPr="00562808">
        <w:rPr>
          <w:szCs w:val="22"/>
        </w:rPr>
        <w:t>Le gouvernement envisageait trois rôles pour le MEAU : la reche</w:t>
      </w:r>
      <w:r w:rsidRPr="00562808">
        <w:rPr>
          <w:szCs w:val="22"/>
        </w:rPr>
        <w:t>r</w:t>
      </w:r>
      <w:r w:rsidRPr="00562808">
        <w:rPr>
          <w:szCs w:val="22"/>
        </w:rPr>
        <w:t>che, la coordination des activités fédérales et la consultation avec les autres niveaux du gouvernement. L'importance de ces trois rôles et leurs interrelations démontrent la perception que le gouvernement avait des problèmes urbains. La recherche, fondamentale et appliquée, était vue comme un fondement essentiel pour l'établissement des pol</w:t>
      </w:r>
      <w:r w:rsidRPr="00562808">
        <w:rPr>
          <w:szCs w:val="22"/>
        </w:rPr>
        <w:t>i</w:t>
      </w:r>
      <w:r w:rsidRPr="00562808">
        <w:rPr>
          <w:szCs w:val="22"/>
        </w:rPr>
        <w:t xml:space="preserve">tiques urbaines. Cette perspective découlait du </w:t>
      </w:r>
      <w:r w:rsidRPr="00562808">
        <w:rPr>
          <w:i/>
          <w:iCs/>
          <w:szCs w:val="22"/>
        </w:rPr>
        <w:t xml:space="preserve">Rapport Lithwick </w:t>
      </w:r>
      <w:r w:rsidRPr="00562808">
        <w:rPr>
          <w:szCs w:val="22"/>
        </w:rPr>
        <w:t>et du rôle joué, dans la toute première période du Ministère, par le profe</w:t>
      </w:r>
      <w:r w:rsidRPr="00562808">
        <w:rPr>
          <w:szCs w:val="22"/>
        </w:rPr>
        <w:t>s</w:t>
      </w:r>
      <w:r w:rsidRPr="00562808">
        <w:rPr>
          <w:szCs w:val="22"/>
        </w:rPr>
        <w:t>seur Lithwick. Selon ce dernier, nos erreurs urbaines sont en partie la faute d'un manque de connaissance :</w:t>
      </w:r>
    </w:p>
    <w:p w:rsidR="00AD690E" w:rsidRDefault="00AD690E" w:rsidP="00AD690E">
      <w:pPr>
        <w:pStyle w:val="Grillecouleur-Accent1"/>
      </w:pPr>
    </w:p>
    <w:p w:rsidR="00AD690E" w:rsidRDefault="00AD690E" w:rsidP="00AD690E">
      <w:pPr>
        <w:pStyle w:val="Grillecouleur-Accent1"/>
      </w:pPr>
      <w:r w:rsidRPr="00516314">
        <w:t>Les racines du problème urbain plongent dans le processus même de l'urbanisation. À son tour, cet élément constitue la dimension essentielle du développement économique national. Résoudre le problème urbain exige avant tout une compréhension claire de cette relation. Toute tentat</w:t>
      </w:r>
      <w:r w:rsidRPr="00516314">
        <w:t>i</w:t>
      </w:r>
      <w:r w:rsidRPr="00516314">
        <w:t>ve pour éliminer seulement les symptômes a été et continuera d'être aussi efficace qu'un coup d'épée dans l'eau</w:t>
      </w:r>
      <w:r>
        <w:t> </w:t>
      </w:r>
      <w:r w:rsidRPr="00D23A0B">
        <w:rPr>
          <w:rStyle w:val="Appelnotedebasdep"/>
          <w:szCs w:val="18"/>
        </w:rPr>
        <w:footnoteReference w:id="583"/>
      </w:r>
      <w:r w:rsidRPr="00516314">
        <w:t>.</w:t>
      </w:r>
    </w:p>
    <w:p w:rsidR="00AD690E" w:rsidRPr="00516314" w:rsidRDefault="00AD690E" w:rsidP="00AD690E">
      <w:pPr>
        <w:pStyle w:val="Grillecouleur-Accent1"/>
        <w:rPr>
          <w:i/>
        </w:rPr>
      </w:pPr>
    </w:p>
    <w:p w:rsidR="00AD690E" w:rsidRPr="00562808" w:rsidRDefault="00AD690E" w:rsidP="00AD690E">
      <w:pPr>
        <w:spacing w:before="120" w:after="120"/>
        <w:jc w:val="both"/>
      </w:pPr>
      <w:r w:rsidRPr="00562808">
        <w:rPr>
          <w:szCs w:val="22"/>
        </w:rPr>
        <w:t>Le rapport soutenait implicitement du moins, l'idée que la reche</w:t>
      </w:r>
      <w:r w:rsidRPr="00562808">
        <w:rPr>
          <w:szCs w:val="22"/>
        </w:rPr>
        <w:t>r</w:t>
      </w:r>
      <w:r w:rsidRPr="00562808">
        <w:rPr>
          <w:szCs w:val="22"/>
        </w:rPr>
        <w:t>che pourrait faciliter, voire autoriser une coordination intragouvern</w:t>
      </w:r>
      <w:r w:rsidRPr="00562808">
        <w:rPr>
          <w:szCs w:val="22"/>
        </w:rPr>
        <w:t>e</w:t>
      </w:r>
      <w:r w:rsidRPr="00562808">
        <w:rPr>
          <w:szCs w:val="22"/>
        </w:rPr>
        <w:t>mentale et intergouvernementale en donnant la même base de connaissance à tous les acteurs. Dans la mesure où les conflits entre acteurs sont issus d'informations incomplètes ou d'objectifs non expl</w:t>
      </w:r>
      <w:r w:rsidRPr="00562808">
        <w:rPr>
          <w:szCs w:val="22"/>
        </w:rPr>
        <w:t>i</w:t>
      </w:r>
      <w:r w:rsidRPr="00562808">
        <w:rPr>
          <w:szCs w:val="22"/>
        </w:rPr>
        <w:t xml:space="preserve">cités (comme le </w:t>
      </w:r>
      <w:r w:rsidRPr="00562808">
        <w:rPr>
          <w:i/>
          <w:iCs/>
          <w:szCs w:val="22"/>
        </w:rPr>
        <w:t xml:space="preserve">Rapport Lithwick </w:t>
      </w:r>
      <w:r w:rsidRPr="00562808">
        <w:rPr>
          <w:szCs w:val="22"/>
        </w:rPr>
        <w:t>semblait le croire), un effort syst</w:t>
      </w:r>
      <w:r w:rsidRPr="00562808">
        <w:rPr>
          <w:szCs w:val="22"/>
        </w:rPr>
        <w:t>é</w:t>
      </w:r>
      <w:r w:rsidRPr="00562808">
        <w:rPr>
          <w:szCs w:val="22"/>
        </w:rPr>
        <w:t>matique en vue d'accroître les connaissances était susceptible de r</w:t>
      </w:r>
      <w:r w:rsidRPr="00562808">
        <w:rPr>
          <w:szCs w:val="22"/>
        </w:rPr>
        <w:t>é</w:t>
      </w:r>
      <w:r w:rsidRPr="00562808">
        <w:rPr>
          <w:szCs w:val="22"/>
        </w:rPr>
        <w:t>duire les possibilités de conflit. N'ayant pas de programmes ni de gros budgets, le pouvoir du ministère d'État aux Affaires urbaines ne d</w:t>
      </w:r>
      <w:r w:rsidRPr="00562808">
        <w:rPr>
          <w:szCs w:val="22"/>
        </w:rPr>
        <w:t>é</w:t>
      </w:r>
      <w:r w:rsidRPr="00562808">
        <w:rPr>
          <w:szCs w:val="22"/>
        </w:rPr>
        <w:t>pendait pas de sa force mais de son « intelligence ». La recherche d</w:t>
      </w:r>
      <w:r w:rsidRPr="00562808">
        <w:rPr>
          <w:szCs w:val="22"/>
        </w:rPr>
        <w:t>e</w:t>
      </w:r>
      <w:r w:rsidRPr="00562808">
        <w:rPr>
          <w:szCs w:val="22"/>
        </w:rPr>
        <w:t>vint donc un volet fondamental de la stratégie du MEAU.</w:t>
      </w:r>
    </w:p>
    <w:p w:rsidR="00AD690E" w:rsidRPr="00562808" w:rsidRDefault="00AD690E" w:rsidP="00AD690E">
      <w:pPr>
        <w:spacing w:before="120" w:after="120"/>
        <w:jc w:val="both"/>
      </w:pPr>
      <w:r w:rsidRPr="00562808">
        <w:rPr>
          <w:szCs w:val="22"/>
        </w:rPr>
        <w:t>La coordination des activités fédérales fut également un objectif central du ministère d'État. Comme nous l'avons déjà mentionné, une étude avait recensé une centaine de programmes du gouvernement fédéral ayant une incidence</w:t>
      </w:r>
      <w:r>
        <w:rPr>
          <w:szCs w:val="22"/>
        </w:rPr>
        <w:t xml:space="preserve"> </w:t>
      </w:r>
      <w:r>
        <w:t>[</w:t>
      </w:r>
      <w:r w:rsidRPr="00562808">
        <w:rPr>
          <w:szCs w:val="22"/>
        </w:rPr>
        <w:t>348</w:t>
      </w:r>
      <w:r>
        <w:rPr>
          <w:szCs w:val="22"/>
        </w:rPr>
        <w:t xml:space="preserve">] </w:t>
      </w:r>
      <w:r w:rsidRPr="00562808">
        <w:rPr>
          <w:szCs w:val="22"/>
        </w:rPr>
        <w:t>urbaine. En même temps, quelques organismes semblèrent plus aptes que d'autres à jouer un rôle d'impo</w:t>
      </w:r>
      <w:r w:rsidRPr="00562808">
        <w:rPr>
          <w:szCs w:val="22"/>
        </w:rPr>
        <w:t>r</w:t>
      </w:r>
      <w:r w:rsidRPr="00562808">
        <w:rPr>
          <w:szCs w:val="22"/>
        </w:rPr>
        <w:t>tance, notamment la Société centrale d'hypothèques et de logement (SCHL) et le ministère des Transports. La SCHL eut les responsabil</w:t>
      </w:r>
      <w:r w:rsidRPr="00562808">
        <w:rPr>
          <w:szCs w:val="22"/>
        </w:rPr>
        <w:t>i</w:t>
      </w:r>
      <w:r w:rsidRPr="00562808">
        <w:rPr>
          <w:szCs w:val="22"/>
        </w:rPr>
        <w:t>tés importantes relativement à ces programmes d'habitation, de rén</w:t>
      </w:r>
      <w:r w:rsidRPr="00562808">
        <w:rPr>
          <w:szCs w:val="22"/>
        </w:rPr>
        <w:t>o</w:t>
      </w:r>
      <w:r w:rsidRPr="00562808">
        <w:rPr>
          <w:szCs w:val="22"/>
        </w:rPr>
        <w:t>vation urbaine, des eaux-vannes, etc. Mais la coordination s'avérait difficile car la Société avait une tradition d'indépendance à l'égard du gouvernement et de la bureaucratie. Quant au ministère des Tran</w:t>
      </w:r>
      <w:r w:rsidRPr="00562808">
        <w:rPr>
          <w:szCs w:val="22"/>
        </w:rPr>
        <w:t>s</w:t>
      </w:r>
      <w:r w:rsidRPr="00562808">
        <w:rPr>
          <w:szCs w:val="22"/>
        </w:rPr>
        <w:t>ports, il était responsable du transport aérien, du transport maritime et des transports par chemins de fer, ce qui lui confiait un rôle important dans les décisions touchant la structuration des villes. Le MEAU avait désormais la responsabilité de la formulation des politiques dans le domaine urbain, mais l'administration des programmes demeurait e</w:t>
      </w:r>
      <w:r w:rsidRPr="00562808">
        <w:rPr>
          <w:szCs w:val="22"/>
        </w:rPr>
        <w:t>n</w:t>
      </w:r>
      <w:r w:rsidRPr="00562808">
        <w:rPr>
          <w:szCs w:val="22"/>
        </w:rPr>
        <w:t>tre les mains des ministères et organismes sectoriels. En plus de la formulation des programmes, le MEAU, grâce à sa capacité de r</w:t>
      </w:r>
      <w:r w:rsidRPr="00562808">
        <w:rPr>
          <w:szCs w:val="22"/>
        </w:rPr>
        <w:t>e</w:t>
      </w:r>
      <w:r w:rsidRPr="00562808">
        <w:rPr>
          <w:szCs w:val="22"/>
        </w:rPr>
        <w:t>cherche, devait assumer la coordin</w:t>
      </w:r>
      <w:r w:rsidRPr="00562808">
        <w:rPr>
          <w:szCs w:val="22"/>
        </w:rPr>
        <w:t>a</w:t>
      </w:r>
      <w:r w:rsidRPr="00562808">
        <w:rPr>
          <w:szCs w:val="22"/>
        </w:rPr>
        <w:t>tion des informations concernant le fonctionnement du système urbain et l'impact urbain des politiques publiques.</w:t>
      </w:r>
    </w:p>
    <w:p w:rsidR="00AD690E" w:rsidRPr="00562808" w:rsidRDefault="00AD690E" w:rsidP="00AD690E">
      <w:pPr>
        <w:spacing w:before="120" w:after="120"/>
        <w:jc w:val="both"/>
      </w:pPr>
      <w:r w:rsidRPr="00562808">
        <w:rPr>
          <w:szCs w:val="22"/>
        </w:rPr>
        <w:t>Le troisième rôle attribué au MEAU — soit la consultation avec les autres niveaux du gouvernement — était une tâche difficile et dél</w:t>
      </w:r>
      <w:r w:rsidRPr="00562808">
        <w:rPr>
          <w:szCs w:val="22"/>
        </w:rPr>
        <w:t>i</w:t>
      </w:r>
      <w:r w:rsidRPr="00562808">
        <w:rPr>
          <w:szCs w:val="22"/>
        </w:rPr>
        <w:t>cate. Les gouvernements provinciaux n'étaient pas heureux de l'initi</w:t>
      </w:r>
      <w:r w:rsidRPr="00562808">
        <w:rPr>
          <w:szCs w:val="22"/>
        </w:rPr>
        <w:t>a</w:t>
      </w:r>
      <w:r w:rsidRPr="00562808">
        <w:rPr>
          <w:szCs w:val="22"/>
        </w:rPr>
        <w:t>tive fédérale et désiraient préserver leurs prérogatives dans le domaine urbain. Mais, pour le gouvernement fédéral, il était essentiel de coo</w:t>
      </w:r>
      <w:r w:rsidRPr="00562808">
        <w:rPr>
          <w:szCs w:val="22"/>
        </w:rPr>
        <w:t>r</w:t>
      </w:r>
      <w:r w:rsidRPr="00562808">
        <w:rPr>
          <w:szCs w:val="22"/>
        </w:rPr>
        <w:t>donner, non pas seulement ses propres actions, mais celles de tous les intervenants en la matière. Les désavantages d'une absence de coord</w:t>
      </w:r>
      <w:r w:rsidRPr="00562808">
        <w:rPr>
          <w:szCs w:val="22"/>
        </w:rPr>
        <w:t>i</w:t>
      </w:r>
      <w:r w:rsidRPr="00562808">
        <w:rPr>
          <w:szCs w:val="22"/>
        </w:rPr>
        <w:t xml:space="preserve">nation avaient été soulignés dans le </w:t>
      </w:r>
      <w:r w:rsidRPr="00562808">
        <w:rPr>
          <w:i/>
          <w:iCs/>
          <w:szCs w:val="22"/>
        </w:rPr>
        <w:t>Rapport Lithwick :</w:t>
      </w:r>
    </w:p>
    <w:p w:rsidR="00AD690E" w:rsidRDefault="00AD690E" w:rsidP="00AD690E">
      <w:pPr>
        <w:pStyle w:val="Grillecouleur-Accent1"/>
      </w:pPr>
    </w:p>
    <w:p w:rsidR="00AD690E" w:rsidRDefault="00AD690E" w:rsidP="00AD690E">
      <w:pPr>
        <w:pStyle w:val="Grillecouleur-Accent1"/>
        <w:rPr>
          <w:i/>
        </w:rPr>
      </w:pPr>
      <w:r w:rsidRPr="008E0091">
        <w:t>On sait peu de chose de la structure et du potentiel du système urbain et il n'existe pratiquement aucun mécanisme permettant d'énoncer une s</w:t>
      </w:r>
      <w:r w:rsidRPr="008E0091">
        <w:t>é</w:t>
      </w:r>
      <w:r w:rsidRPr="008E0091">
        <w:t>rie de mesures urbaines rationnelles tout en ne niant pas qu'il y ait eu, dans le pa</w:t>
      </w:r>
      <w:r w:rsidRPr="008E0091">
        <w:t>s</w:t>
      </w:r>
      <w:r w:rsidRPr="008E0091">
        <w:t>sé, diverses politiques qui ont affecté le système. En fait, comme nous l'i</w:t>
      </w:r>
      <w:r w:rsidRPr="008E0091">
        <w:t>n</w:t>
      </w:r>
      <w:r w:rsidRPr="008E0091">
        <w:t>diquerons dans la troisième partie, une fraction importante de la politique exercée aux trois paliers de gouvernement au Canada, a eu un impact réel sur ce système, mais ses effets sont souvent dispersés, invis</w:t>
      </w:r>
      <w:r w:rsidRPr="008E0091">
        <w:t>i</w:t>
      </w:r>
      <w:r w:rsidRPr="008E0091">
        <w:t>bles, contradictoires et généralement désordonnés. Il est donc peu surpr</w:t>
      </w:r>
      <w:r w:rsidRPr="008E0091">
        <w:t>e</w:t>
      </w:r>
      <w:r w:rsidRPr="008E0091">
        <w:t>nant que le syst</w:t>
      </w:r>
      <w:r w:rsidRPr="008E0091">
        <w:t>è</w:t>
      </w:r>
      <w:r w:rsidRPr="008E0091">
        <w:t>me urbain soit en difficulté.</w:t>
      </w:r>
      <w:r w:rsidRPr="008E0091">
        <w:rPr>
          <w:i/>
        </w:rPr>
        <w:t xml:space="preserve"> </w:t>
      </w:r>
    </w:p>
    <w:p w:rsidR="00AD690E" w:rsidRDefault="00AD690E" w:rsidP="00AD690E">
      <w:pPr>
        <w:pStyle w:val="Grillecouleur-Accent1"/>
        <w:rPr>
          <w:szCs w:val="18"/>
        </w:rPr>
      </w:pPr>
      <w:r w:rsidRPr="008E0091">
        <w:t>Mais, si l'on peut dire que l'absence d'une politique nationale d'urbanis</w:t>
      </w:r>
      <w:r w:rsidRPr="008E0091">
        <w:t>a</w:t>
      </w:r>
      <w:r w:rsidRPr="008E0091">
        <w:t>tion est débilitante, la façon actuelle d'appliquer la politique urbaine, dans sa petite sphère, est totalement inadéquate. [...] Aucune ville ne se</w:t>
      </w:r>
      <w:r w:rsidRPr="008E0091">
        <w:t>m</w:t>
      </w:r>
      <w:r w:rsidRPr="008E0091">
        <w:t>ble avoir une série déterminée d'objectifs urbains ; la plupart vivent au jour le jour, essayant de venir à bout des problèmes particuliers lorsqu'ils deviennent intolérables [...] Au</w:t>
      </w:r>
      <w:r>
        <w:t xml:space="preserve"> [349] </w:t>
      </w:r>
      <w:r w:rsidRPr="008E0091">
        <w:rPr>
          <w:szCs w:val="18"/>
        </w:rPr>
        <w:t>niveau provincial, nous ne réussi</w:t>
      </w:r>
      <w:r w:rsidRPr="008E0091">
        <w:rPr>
          <w:szCs w:val="18"/>
        </w:rPr>
        <w:t>s</w:t>
      </w:r>
      <w:r w:rsidRPr="008E0091">
        <w:rPr>
          <w:szCs w:val="18"/>
        </w:rPr>
        <w:t>sons pas non plus à trouver une conception plus épanouie de la politique urbaine</w:t>
      </w:r>
      <w:r>
        <w:rPr>
          <w:szCs w:val="18"/>
        </w:rPr>
        <w:t> </w:t>
      </w:r>
      <w:r w:rsidRPr="00D23A0B">
        <w:rPr>
          <w:rStyle w:val="Appelnotedebasdep"/>
          <w:szCs w:val="18"/>
        </w:rPr>
        <w:footnoteReference w:id="584"/>
      </w:r>
      <w:r w:rsidRPr="008E0091">
        <w:rPr>
          <w:szCs w:val="18"/>
        </w:rPr>
        <w:t>.</w:t>
      </w:r>
    </w:p>
    <w:p w:rsidR="00AD690E" w:rsidRDefault="00AD690E" w:rsidP="00AD690E">
      <w:pPr>
        <w:pStyle w:val="Grillecouleur-Accent1"/>
        <w:rPr>
          <w:i/>
        </w:rPr>
      </w:pPr>
    </w:p>
    <w:p w:rsidR="00AD690E" w:rsidRPr="00562808" w:rsidRDefault="00AD690E" w:rsidP="00AD690E">
      <w:pPr>
        <w:spacing w:before="120" w:after="120"/>
        <w:jc w:val="both"/>
      </w:pPr>
      <w:r w:rsidRPr="00562808">
        <w:rPr>
          <w:szCs w:val="22"/>
        </w:rPr>
        <w:t>Les interrelations entre les trois principaux objectifs du gouvern</w:t>
      </w:r>
      <w:r w:rsidRPr="00562808">
        <w:rPr>
          <w:szCs w:val="22"/>
        </w:rPr>
        <w:t>e</w:t>
      </w:r>
      <w:r w:rsidRPr="00562808">
        <w:rPr>
          <w:szCs w:val="22"/>
        </w:rPr>
        <w:t>ment fédéral ressortent clairement de la citation. Il faut comprendre le fonctionnement du système urbain pour faciliter une concertation e</w:t>
      </w:r>
      <w:r w:rsidRPr="00562808">
        <w:rPr>
          <w:szCs w:val="22"/>
        </w:rPr>
        <w:t>n</w:t>
      </w:r>
      <w:r w:rsidRPr="00562808">
        <w:rPr>
          <w:szCs w:val="22"/>
        </w:rPr>
        <w:t>tre les différents gouvernements autour de programmes structurés en fonction de ces connaissances accrues. Selon le gouvernement fédéral, cette concertation intergouvernementale devait englober, non seul</w:t>
      </w:r>
      <w:r w:rsidRPr="00562808">
        <w:rPr>
          <w:szCs w:val="22"/>
        </w:rPr>
        <w:t>e</w:t>
      </w:r>
      <w:r w:rsidRPr="00562808">
        <w:rPr>
          <w:szCs w:val="22"/>
        </w:rPr>
        <w:t>ment les gouvernements provinciaux, mais également les municipal</w:t>
      </w:r>
      <w:r w:rsidRPr="00562808">
        <w:rPr>
          <w:szCs w:val="22"/>
        </w:rPr>
        <w:t>i</w:t>
      </w:r>
      <w:r w:rsidRPr="00562808">
        <w:rPr>
          <w:szCs w:val="22"/>
        </w:rPr>
        <w:t>tés, quoique sur cette question délicate, le gouvernement fédéral tenta de rassurer les gouvernements provinciaux en reconnaissant leur jur</w:t>
      </w:r>
      <w:r w:rsidRPr="00562808">
        <w:rPr>
          <w:szCs w:val="22"/>
        </w:rPr>
        <w:t>i</w:t>
      </w:r>
      <w:r w:rsidRPr="00562808">
        <w:rPr>
          <w:szCs w:val="22"/>
        </w:rPr>
        <w:t>diction sur les municipalités</w:t>
      </w:r>
      <w:r>
        <w:rPr>
          <w:szCs w:val="22"/>
        </w:rPr>
        <w:t> </w:t>
      </w:r>
      <w:r w:rsidRPr="00D23A0B">
        <w:rPr>
          <w:rStyle w:val="Appelnotedebasdep"/>
        </w:rPr>
        <w:footnoteReference w:id="585"/>
      </w:r>
      <w:r w:rsidRPr="00562808">
        <w:rPr>
          <w:szCs w:val="22"/>
        </w:rPr>
        <w:t>.</w:t>
      </w:r>
    </w:p>
    <w:p w:rsidR="00AD690E" w:rsidRPr="00562808" w:rsidRDefault="00AD690E" w:rsidP="00AD690E">
      <w:pPr>
        <w:spacing w:before="120" w:after="120"/>
        <w:jc w:val="both"/>
      </w:pPr>
      <w:r w:rsidRPr="00562808">
        <w:rPr>
          <w:szCs w:val="22"/>
        </w:rPr>
        <w:t>Les objectifs du gouvernement fédéral, en créant le MEAU, étaient donc ambitieux. On voulait que le Ministère comprenne le fonctio</w:t>
      </w:r>
      <w:r w:rsidRPr="00562808">
        <w:rPr>
          <w:szCs w:val="22"/>
        </w:rPr>
        <w:t>n</w:t>
      </w:r>
      <w:r w:rsidRPr="00562808">
        <w:rPr>
          <w:szCs w:val="22"/>
        </w:rPr>
        <w:t>nement du système urbain et l'impact des politiques publiques, qu'il rationalise les actions des différents ministères et organismes du go</w:t>
      </w:r>
      <w:r w:rsidRPr="00562808">
        <w:rPr>
          <w:szCs w:val="22"/>
        </w:rPr>
        <w:t>u</w:t>
      </w:r>
      <w:r w:rsidRPr="00562808">
        <w:rPr>
          <w:szCs w:val="22"/>
        </w:rPr>
        <w:t>vernement fédéral et, en plus, qu'il mène la concertation avec tous les paliers gouvernementaux en vue d'une intervention véritablement coordonnée et rationnelle dans le domaine.</w:t>
      </w:r>
    </w:p>
    <w:p w:rsidR="00AD690E" w:rsidRDefault="00AD690E" w:rsidP="00AD690E">
      <w:pPr>
        <w:spacing w:before="120" w:after="120"/>
        <w:jc w:val="both"/>
        <w:rPr>
          <w:szCs w:val="22"/>
        </w:rPr>
      </w:pPr>
    </w:p>
    <w:p w:rsidR="00AD690E" w:rsidRPr="00562808" w:rsidRDefault="00AD690E" w:rsidP="00AD690E">
      <w:pPr>
        <w:pStyle w:val="planche"/>
      </w:pPr>
      <w:r>
        <w:t>LA BRÈ</w:t>
      </w:r>
      <w:r w:rsidRPr="00562808">
        <w:t>VE HISTOIRE DU MEAU</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En juin 1971, le ministère d'État aux Affaires urbaines fut officie</w:t>
      </w:r>
      <w:r w:rsidRPr="00562808">
        <w:rPr>
          <w:szCs w:val="22"/>
        </w:rPr>
        <w:t>l</w:t>
      </w:r>
      <w:r w:rsidRPr="00562808">
        <w:rPr>
          <w:szCs w:val="22"/>
        </w:rPr>
        <w:t>lement créé. Mais à peine huit ans plus tard, en mars 1979, il fut aboli. Il est rare, dans l'histoire des bureaucraties modernes, de trouver un ministère avec une vie si courte. C'est probablement pour cette raison que la plupart des études faites sur le MEAU insistent sur les raisons ou facteurs expliquant cet échec</w:t>
      </w:r>
      <w:r>
        <w:rPr>
          <w:szCs w:val="22"/>
        </w:rPr>
        <w:t> </w:t>
      </w:r>
      <w:r w:rsidRPr="00D23A0B">
        <w:rPr>
          <w:rStyle w:val="Appelnotedebasdep"/>
        </w:rPr>
        <w:footnoteReference w:id="586"/>
      </w:r>
      <w:r w:rsidRPr="00562808">
        <w:rPr>
          <w:szCs w:val="22"/>
        </w:rPr>
        <w:t>. Nous allons résumer ces reche</w:t>
      </w:r>
      <w:r w:rsidRPr="00562808">
        <w:rPr>
          <w:szCs w:val="22"/>
        </w:rPr>
        <w:t>r</w:t>
      </w:r>
      <w:r w:rsidRPr="00562808">
        <w:rPr>
          <w:szCs w:val="22"/>
        </w:rPr>
        <w:t>ches en examinant l'expérience du Ministère face aux trois objectifs que le gouvernement avait définis.</w:t>
      </w:r>
    </w:p>
    <w:p w:rsidR="00AD690E" w:rsidRPr="00562808" w:rsidRDefault="00AD690E" w:rsidP="00AD690E">
      <w:pPr>
        <w:spacing w:before="120" w:after="120"/>
        <w:jc w:val="both"/>
      </w:pPr>
      <w:r w:rsidRPr="00562808">
        <w:rPr>
          <w:szCs w:val="22"/>
        </w:rPr>
        <w:t>L'importance du volet de la recherche fut évident au début du M</w:t>
      </w:r>
      <w:r w:rsidRPr="00562808">
        <w:rPr>
          <w:szCs w:val="22"/>
        </w:rPr>
        <w:t>i</w:t>
      </w:r>
      <w:r w:rsidRPr="00562808">
        <w:rPr>
          <w:szCs w:val="22"/>
        </w:rPr>
        <w:t>nistère. Après les premiers dix-huit mois de création du MEAU, la division de la recherche comptait 50 chercheurs, en plus d'un impo</w:t>
      </w:r>
      <w:r w:rsidRPr="00562808">
        <w:rPr>
          <w:szCs w:val="22"/>
        </w:rPr>
        <w:t>r</w:t>
      </w:r>
      <w:r w:rsidRPr="00562808">
        <w:rPr>
          <w:szCs w:val="22"/>
        </w:rPr>
        <w:t>tant programme de contrats de recherche externe. La recherche fut très variée mais le Ministère en vint à définir dix thèmes de recherche. E</w:t>
      </w:r>
      <w:r w:rsidRPr="00562808">
        <w:rPr>
          <w:szCs w:val="22"/>
        </w:rPr>
        <w:t>l</w:t>
      </w:r>
      <w:r w:rsidRPr="00562808">
        <w:rPr>
          <w:szCs w:val="22"/>
        </w:rPr>
        <w:t>le couvrit des projets de nature « appliquée » et également, et surtout peut-être, des projets de nature théorique. On étudia, par</w:t>
      </w:r>
      <w:r>
        <w:rPr>
          <w:szCs w:val="22"/>
        </w:rPr>
        <w:t xml:space="preserve"> </w:t>
      </w:r>
      <w:r>
        <w:rPr>
          <w:szCs w:val="18"/>
        </w:rPr>
        <w:t>[</w:t>
      </w:r>
      <w:r w:rsidRPr="00562808">
        <w:rPr>
          <w:rFonts w:cs="Arial"/>
          <w:szCs w:val="18"/>
        </w:rPr>
        <w:t>350</w:t>
      </w:r>
      <w:r>
        <w:rPr>
          <w:rFonts w:cs="Arial"/>
          <w:szCs w:val="18"/>
        </w:rPr>
        <w:t xml:space="preserve">] </w:t>
      </w:r>
      <w:r w:rsidRPr="00562808">
        <w:rPr>
          <w:szCs w:val="22"/>
        </w:rPr>
        <w:t>exe</w:t>
      </w:r>
      <w:r w:rsidRPr="00562808">
        <w:rPr>
          <w:szCs w:val="22"/>
        </w:rPr>
        <w:t>m</w:t>
      </w:r>
      <w:r w:rsidRPr="00562808">
        <w:rPr>
          <w:szCs w:val="22"/>
        </w:rPr>
        <w:t>ple, la perception des résidents de Montréal face à leurs qua</w:t>
      </w:r>
      <w:r w:rsidRPr="00562808">
        <w:rPr>
          <w:szCs w:val="22"/>
        </w:rPr>
        <w:t>r</w:t>
      </w:r>
      <w:r w:rsidRPr="00562808">
        <w:rPr>
          <w:szCs w:val="22"/>
        </w:rPr>
        <w:t>tiers, sans se préoccuper de savoir comment cette étude aboutirait à de meilleurs programmes gouvernementaux. Cette recherche, à cause de son cara</w:t>
      </w:r>
      <w:r w:rsidRPr="00562808">
        <w:rPr>
          <w:szCs w:val="22"/>
        </w:rPr>
        <w:t>c</w:t>
      </w:r>
      <w:r w:rsidRPr="00562808">
        <w:rPr>
          <w:szCs w:val="22"/>
        </w:rPr>
        <w:t>tère trop théorique et également à cause de la communication déf</w:t>
      </w:r>
      <w:r w:rsidRPr="00562808">
        <w:rPr>
          <w:szCs w:val="22"/>
        </w:rPr>
        <w:t>i</w:t>
      </w:r>
      <w:r w:rsidRPr="00562808">
        <w:rPr>
          <w:szCs w:val="22"/>
        </w:rPr>
        <w:t>ciente entre la division de la recherche et celle des politiques, fut l'o</w:t>
      </w:r>
      <w:r w:rsidRPr="00562808">
        <w:rPr>
          <w:szCs w:val="22"/>
        </w:rPr>
        <w:t>b</w:t>
      </w:r>
      <w:r w:rsidRPr="00562808">
        <w:rPr>
          <w:szCs w:val="22"/>
        </w:rPr>
        <w:t>jet de critiques. Andrey Doerr considère que la décision de séparer les fonctions de recherche et celles de la formulation des politiques a été une des erreurs principales du MEAU</w:t>
      </w:r>
      <w:r>
        <w:rPr>
          <w:szCs w:val="22"/>
        </w:rPr>
        <w:t> </w:t>
      </w:r>
      <w:r w:rsidRPr="00D23A0B">
        <w:rPr>
          <w:rStyle w:val="Appelnotedebasdep"/>
        </w:rPr>
        <w:footnoteReference w:id="587"/>
      </w:r>
      <w:r w:rsidRPr="00562808">
        <w:rPr>
          <w:szCs w:val="22"/>
        </w:rPr>
        <w:t>. En fait, cette indépe</w:t>
      </w:r>
      <w:r w:rsidRPr="00562808">
        <w:rPr>
          <w:szCs w:val="22"/>
        </w:rPr>
        <w:t>n</w:t>
      </w:r>
      <w:r w:rsidRPr="00562808">
        <w:rPr>
          <w:szCs w:val="22"/>
        </w:rPr>
        <w:t>dance de la recherche fut maintenue durant les premières années du Minist</w:t>
      </w:r>
      <w:r w:rsidRPr="00562808">
        <w:rPr>
          <w:szCs w:val="22"/>
        </w:rPr>
        <w:t>è</w:t>
      </w:r>
      <w:r w:rsidRPr="00562808">
        <w:rPr>
          <w:szCs w:val="22"/>
        </w:rPr>
        <w:t>re. Dès 1975, les divisions de la recherche et des politiques furent f</w:t>
      </w:r>
      <w:r w:rsidRPr="00562808">
        <w:rPr>
          <w:szCs w:val="22"/>
        </w:rPr>
        <w:t>u</w:t>
      </w:r>
      <w:r w:rsidRPr="00562808">
        <w:rPr>
          <w:szCs w:val="22"/>
        </w:rPr>
        <w:t>sionnées. À ce moment-là, le programme de recherche du Ministère devint moins important et, en même temps, plus orienté vers les contrats à l'extérieur.</w:t>
      </w:r>
    </w:p>
    <w:p w:rsidR="00AD690E" w:rsidRPr="00562808" w:rsidRDefault="00AD690E" w:rsidP="00AD690E">
      <w:pPr>
        <w:spacing w:before="120" w:after="120"/>
        <w:jc w:val="both"/>
      </w:pPr>
      <w:r w:rsidRPr="00562808">
        <w:rPr>
          <w:szCs w:val="22"/>
        </w:rPr>
        <w:t>Quant à la coordination des activités fédérales, le MEAU avait le désavantage de n'avoir ni argent, ni programmes autonomes pour permettre une coordination et souffrait en outre d'un très grand dés</w:t>
      </w:r>
      <w:r w:rsidRPr="00562808">
        <w:rPr>
          <w:szCs w:val="22"/>
        </w:rPr>
        <w:t>a</w:t>
      </w:r>
      <w:r w:rsidRPr="00562808">
        <w:rPr>
          <w:szCs w:val="22"/>
        </w:rPr>
        <w:t>vantage d'avoir à sa tête un ministre junior. Le premier responsable pour le MEAU fut Robert Andras (1969-1972) et ses successeurs f</w:t>
      </w:r>
      <w:r w:rsidRPr="00562808">
        <w:rPr>
          <w:szCs w:val="22"/>
        </w:rPr>
        <w:t>u</w:t>
      </w:r>
      <w:r w:rsidRPr="00562808">
        <w:rPr>
          <w:szCs w:val="22"/>
        </w:rPr>
        <w:t>rent Ron Basford (1972-1974), Barney Dawson (1974-1976) et André Ouellet (1976-1979). Si l'on compare cette situation avec la création du ministère de l'Expansion économique régionale, confié à Jean Ma</w:t>
      </w:r>
      <w:r w:rsidRPr="00562808">
        <w:rPr>
          <w:szCs w:val="22"/>
        </w:rPr>
        <w:t>r</w:t>
      </w:r>
      <w:r w:rsidRPr="00562808">
        <w:rPr>
          <w:szCs w:val="22"/>
        </w:rPr>
        <w:t>chand, lieutenant québécois et proche collaborateur du premier mini</w:t>
      </w:r>
      <w:r w:rsidRPr="00562808">
        <w:rPr>
          <w:szCs w:val="22"/>
        </w:rPr>
        <w:t>s</w:t>
      </w:r>
      <w:r w:rsidRPr="00562808">
        <w:rPr>
          <w:szCs w:val="22"/>
        </w:rPr>
        <w:t>tre, il est évident que les affaires urbaines ne jouissaient pas d'un bien grand poids politique.</w:t>
      </w:r>
    </w:p>
    <w:p w:rsidR="00AD690E" w:rsidRPr="00562808" w:rsidRDefault="00AD690E" w:rsidP="00AD690E">
      <w:pPr>
        <w:spacing w:before="120" w:after="120"/>
        <w:jc w:val="both"/>
      </w:pPr>
      <w:r w:rsidRPr="00562808">
        <w:rPr>
          <w:szCs w:val="22"/>
        </w:rPr>
        <w:t>De plus, le MEAU ne s'est fait d'alliés ni dans les ministères sect</w:t>
      </w:r>
      <w:r w:rsidRPr="00562808">
        <w:rPr>
          <w:szCs w:val="22"/>
        </w:rPr>
        <w:t>o</w:t>
      </w:r>
      <w:r w:rsidRPr="00562808">
        <w:rPr>
          <w:szCs w:val="22"/>
        </w:rPr>
        <w:t>riels ni dans les agences centrales. Plusieurs études font le bilan des conflits avec le ministère des Transports, la Société centrale d'hyp</w:t>
      </w:r>
      <w:r w:rsidRPr="00562808">
        <w:rPr>
          <w:szCs w:val="22"/>
        </w:rPr>
        <w:t>o</w:t>
      </w:r>
      <w:r w:rsidRPr="00562808">
        <w:rPr>
          <w:szCs w:val="22"/>
        </w:rPr>
        <w:t>thèques et de logement et le Conseil du trésor</w:t>
      </w:r>
      <w:r>
        <w:rPr>
          <w:szCs w:val="22"/>
        </w:rPr>
        <w:t> </w:t>
      </w:r>
      <w:r w:rsidRPr="00D23A0B">
        <w:rPr>
          <w:rStyle w:val="Appelnotedebasdep"/>
        </w:rPr>
        <w:footnoteReference w:id="588"/>
      </w:r>
      <w:r w:rsidRPr="00562808">
        <w:rPr>
          <w:szCs w:val="22"/>
        </w:rPr>
        <w:t>. La liste des succès dans la coordination fédérale semble bien courte et l'on cite toujours le cas où le MEAU a convaincu le ministère des Travaux publics de r</w:t>
      </w:r>
      <w:r w:rsidRPr="00562808">
        <w:rPr>
          <w:szCs w:val="22"/>
        </w:rPr>
        <w:t>é</w:t>
      </w:r>
      <w:r w:rsidRPr="00562808">
        <w:rPr>
          <w:szCs w:val="22"/>
        </w:rPr>
        <w:t>viser sa décision quant au site de son édifice à Halifax.</w:t>
      </w:r>
    </w:p>
    <w:p w:rsidR="00AD690E" w:rsidRPr="00562808" w:rsidRDefault="00AD690E" w:rsidP="00AD690E">
      <w:pPr>
        <w:spacing w:before="120" w:after="120"/>
        <w:jc w:val="both"/>
      </w:pPr>
      <w:r w:rsidRPr="00562808">
        <w:rPr>
          <w:szCs w:val="22"/>
        </w:rPr>
        <w:t>Le MÉAU a donc échoué par rapport à l'un de ses objectifs, soit celui de créer des procédures de coordination. En 1973, il avait tenté de mettre sur pied un comité interministériel au niveau des sous-ministres, mais après une première réunion, l'assistance ne s'est pas maintenue et le comité n'a pas pu fonctionner efficacement.</w:t>
      </w:r>
    </w:p>
    <w:p w:rsidR="00AD690E" w:rsidRPr="00562808" w:rsidRDefault="00AD690E" w:rsidP="00AD690E">
      <w:pPr>
        <w:spacing w:before="120" w:after="120"/>
        <w:jc w:val="both"/>
      </w:pPr>
      <w:r w:rsidRPr="00562808">
        <w:rPr>
          <w:szCs w:val="22"/>
        </w:rPr>
        <w:t>L'autre volet du travail du MEAU était la consultation avec les a</w:t>
      </w:r>
      <w:r w:rsidRPr="00562808">
        <w:rPr>
          <w:szCs w:val="22"/>
        </w:rPr>
        <w:t>u</w:t>
      </w:r>
      <w:r w:rsidRPr="00562808">
        <w:rPr>
          <w:szCs w:val="22"/>
        </w:rPr>
        <w:t>tres niveaux du gouvernement. Les gouvernements provinciaux a</w:t>
      </w:r>
      <w:r w:rsidRPr="00562808">
        <w:rPr>
          <w:szCs w:val="22"/>
        </w:rPr>
        <w:t>c</w:t>
      </w:r>
      <w:r w:rsidRPr="00562808">
        <w:rPr>
          <w:szCs w:val="22"/>
        </w:rPr>
        <w:t>cueillirent plutôt mal la décision fédérale de créer le MEAU mais, à l'exception du Québec, ils</w:t>
      </w:r>
      <w:r>
        <w:rPr>
          <w:szCs w:val="22"/>
        </w:rPr>
        <w:t xml:space="preserve"> </w:t>
      </w:r>
      <w:r>
        <w:t xml:space="preserve">[351] </w:t>
      </w:r>
      <w:r w:rsidRPr="00562808">
        <w:rPr>
          <w:szCs w:val="22"/>
        </w:rPr>
        <w:t>acceptèrent l'idée d'une consultation tripartite</w:t>
      </w:r>
      <w:r>
        <w:rPr>
          <w:szCs w:val="22"/>
        </w:rPr>
        <w:t> </w:t>
      </w:r>
      <w:r w:rsidRPr="00D23A0B">
        <w:rPr>
          <w:rStyle w:val="Appelnotedebasdep"/>
        </w:rPr>
        <w:footnoteReference w:id="589"/>
      </w:r>
      <w:r w:rsidRPr="00562808">
        <w:rPr>
          <w:szCs w:val="22"/>
        </w:rPr>
        <w:t>. La première conférence tripartite nationale lieu à Toronto en novembre 1972 et une deuxième eut lieu à Edmonton, en octobre 1973. Celle-ci fut la dernière. On tint également des conférences tr</w:t>
      </w:r>
      <w:r w:rsidRPr="00562808">
        <w:rPr>
          <w:szCs w:val="22"/>
        </w:rPr>
        <w:t>i</w:t>
      </w:r>
      <w:r w:rsidRPr="00562808">
        <w:rPr>
          <w:szCs w:val="22"/>
        </w:rPr>
        <w:t>partites au niveau régional et municipal. Ainsi, des conférences furent tenues à Halifax, Québec, Régina, Toronto, Winnipeg et Vanco</w:t>
      </w:r>
      <w:r w:rsidRPr="00562808">
        <w:rPr>
          <w:szCs w:val="22"/>
        </w:rPr>
        <w:t>u</w:t>
      </w:r>
      <w:r w:rsidRPr="00562808">
        <w:rPr>
          <w:szCs w:val="22"/>
        </w:rPr>
        <w:t>ver</w:t>
      </w:r>
      <w:r>
        <w:rPr>
          <w:szCs w:val="22"/>
        </w:rPr>
        <w:t> </w:t>
      </w:r>
      <w:r w:rsidRPr="00D23A0B">
        <w:rPr>
          <w:rStyle w:val="Appelnotedebasdep"/>
        </w:rPr>
        <w:footnoteReference w:id="590"/>
      </w:r>
      <w:r w:rsidRPr="00562808">
        <w:rPr>
          <w:szCs w:val="22"/>
        </w:rPr>
        <w:t>.</w:t>
      </w:r>
    </w:p>
    <w:p w:rsidR="00AD690E" w:rsidRPr="00562808" w:rsidRDefault="00AD690E" w:rsidP="00AD690E">
      <w:pPr>
        <w:spacing w:before="120" w:after="120"/>
        <w:jc w:val="both"/>
      </w:pPr>
      <w:r w:rsidRPr="00562808">
        <w:rPr>
          <w:szCs w:val="22"/>
        </w:rPr>
        <w:t>Le bilan des conférences tripartites est mince et seules celles des villes ont donné certains résultats. Les gouvernements provinciaux ont maintenu leur hostilité à l'égard des interventions fédérales et ils ont considéré avec inquiétude la possibilité que ces conférences perme</w:t>
      </w:r>
      <w:r w:rsidRPr="00562808">
        <w:rPr>
          <w:szCs w:val="22"/>
        </w:rPr>
        <w:t>t</w:t>
      </w:r>
      <w:r w:rsidRPr="00562808">
        <w:rPr>
          <w:szCs w:val="22"/>
        </w:rPr>
        <w:t>tent une alliance entre le gouvernement fédéral et les municipalités. Les municipalités, quant à elles, étaient divisées, et la position de leur organisation, la Fédération canadienne des maires et des municipalités (FCMM)</w:t>
      </w:r>
      <w:r>
        <w:rPr>
          <w:szCs w:val="22"/>
        </w:rPr>
        <w:t> </w:t>
      </w:r>
      <w:r w:rsidRPr="00D23A0B">
        <w:rPr>
          <w:rStyle w:val="Appelnotedebasdep"/>
        </w:rPr>
        <w:footnoteReference w:id="591"/>
      </w:r>
      <w:r w:rsidRPr="00562808">
        <w:rPr>
          <w:szCs w:val="22"/>
        </w:rPr>
        <w:t>, reflétait ces divisions. Au début de la consultation tripa</w:t>
      </w:r>
      <w:r w:rsidRPr="00562808">
        <w:rPr>
          <w:szCs w:val="22"/>
        </w:rPr>
        <w:t>r</w:t>
      </w:r>
      <w:r w:rsidRPr="00562808">
        <w:rPr>
          <w:szCs w:val="22"/>
        </w:rPr>
        <w:t>tite, la FCMM défendait une position ferme en faveur de cette consu</w:t>
      </w:r>
      <w:r w:rsidRPr="00562808">
        <w:rPr>
          <w:szCs w:val="22"/>
        </w:rPr>
        <w:t>l</w:t>
      </w:r>
      <w:r w:rsidRPr="00562808">
        <w:rPr>
          <w:szCs w:val="22"/>
        </w:rPr>
        <w:t>tation, mais cette unanimité et la FCMM joua un rôle plus effacé par la suite</w:t>
      </w:r>
      <w:r>
        <w:rPr>
          <w:szCs w:val="22"/>
        </w:rPr>
        <w:t> </w:t>
      </w:r>
      <w:r w:rsidRPr="00D23A0B">
        <w:rPr>
          <w:rStyle w:val="Appelnotedebasdep"/>
        </w:rPr>
        <w:footnoteReference w:id="592"/>
      </w:r>
      <w:r w:rsidRPr="00562808">
        <w:rPr>
          <w:szCs w:val="22"/>
        </w:rPr>
        <w:t>.</w:t>
      </w:r>
    </w:p>
    <w:p w:rsidR="00AD690E" w:rsidRPr="00562808" w:rsidRDefault="00AD690E" w:rsidP="00AD690E">
      <w:pPr>
        <w:spacing w:before="120" w:after="120"/>
        <w:jc w:val="both"/>
      </w:pPr>
      <w:r w:rsidRPr="00562808">
        <w:rPr>
          <w:szCs w:val="22"/>
        </w:rPr>
        <w:t>Le Ministère n'avait donc pas réalisé les objectifs définis lors de sa création. Son existence irritait les gouvernements provinciaux. En plus, la conjoncture politique favorable qui existait à l'origine du M</w:t>
      </w:r>
      <w:r w:rsidRPr="00562808">
        <w:rPr>
          <w:szCs w:val="22"/>
        </w:rPr>
        <w:t>i</w:t>
      </w:r>
      <w:r w:rsidRPr="00562808">
        <w:rPr>
          <w:szCs w:val="22"/>
        </w:rPr>
        <w:t>nistère disparut, surtout à cause des modifications intervenues dans les conditions économiques. Le gouvernement fédéral se préoccupait de plus en plus du déficit et il cherchait toutes les possibilités de réduire les dépenses gouvernementales. Avec la mauvaise conjoncture éc</w:t>
      </w:r>
      <w:r w:rsidRPr="00562808">
        <w:rPr>
          <w:szCs w:val="22"/>
        </w:rPr>
        <w:t>o</w:t>
      </w:r>
      <w:r w:rsidRPr="00562808">
        <w:rPr>
          <w:szCs w:val="22"/>
        </w:rPr>
        <w:t>nomique, le taux d'urbanisation ralentissait et les pressions politiques en faveur d'un contrôle de la croissance des plus grandes villes dim</w:t>
      </w:r>
      <w:r w:rsidRPr="00562808">
        <w:rPr>
          <w:szCs w:val="22"/>
        </w:rPr>
        <w:t>i</w:t>
      </w:r>
      <w:r w:rsidRPr="00562808">
        <w:rPr>
          <w:szCs w:val="22"/>
        </w:rPr>
        <w:t>nuaient. D'autres enjeux urbains, telle que la qualité de vie dans les grandes villes, perdaient leur caractère politique prioritaire devant des enjeux comme le chômage, le déficit et l'inflation. L'urgence d'une intervention publique pour canaliser et contrôler la croissance urbaine diminuait avec le ralentissement de cette croissance.</w:t>
      </w:r>
    </w:p>
    <w:p w:rsidR="00AD690E" w:rsidRPr="00562808" w:rsidRDefault="00AD690E" w:rsidP="00AD690E">
      <w:pPr>
        <w:spacing w:before="120" w:after="120"/>
        <w:jc w:val="both"/>
      </w:pPr>
      <w:r w:rsidRPr="00562808">
        <w:rPr>
          <w:szCs w:val="22"/>
        </w:rPr>
        <w:t>Dans la nouvelle conjoncture politique, l'enthousiasme pour la r</w:t>
      </w:r>
      <w:r w:rsidRPr="00562808">
        <w:rPr>
          <w:szCs w:val="22"/>
        </w:rPr>
        <w:t>a</w:t>
      </w:r>
      <w:r w:rsidRPr="00562808">
        <w:rPr>
          <w:szCs w:val="22"/>
        </w:rPr>
        <w:t>tionalité céda à un profond scepticisme. Les idées qui avaient présidé à la création du MEAU n'avaient plus le même poids. Pourquoi s'i</w:t>
      </w:r>
      <w:r w:rsidRPr="00562808">
        <w:rPr>
          <w:szCs w:val="22"/>
        </w:rPr>
        <w:t>n</w:t>
      </w:r>
      <w:r w:rsidRPr="00562808">
        <w:rPr>
          <w:szCs w:val="22"/>
        </w:rPr>
        <w:t>quiéter de la rationalité des structures si les exigences politiques lim</w:t>
      </w:r>
      <w:r w:rsidRPr="00562808">
        <w:rPr>
          <w:szCs w:val="22"/>
        </w:rPr>
        <w:t>i</w:t>
      </w:r>
      <w:r w:rsidRPr="00562808">
        <w:rPr>
          <w:szCs w:val="22"/>
        </w:rPr>
        <w:t>tent nécessairement l'étendue de la rationalité ? Vues d'une telle per</w:t>
      </w:r>
      <w:r w:rsidRPr="00562808">
        <w:rPr>
          <w:szCs w:val="22"/>
        </w:rPr>
        <w:t>s</w:t>
      </w:r>
      <w:r w:rsidRPr="00562808">
        <w:rPr>
          <w:szCs w:val="22"/>
        </w:rPr>
        <w:t>pective, les ambitions du MEAU paraissaient naïves :</w:t>
      </w:r>
    </w:p>
    <w:p w:rsidR="00AD690E" w:rsidRDefault="00AD690E" w:rsidP="00AD690E">
      <w:pPr>
        <w:pStyle w:val="Grillecouleur-Accent1"/>
      </w:pPr>
    </w:p>
    <w:p w:rsidR="00AD690E" w:rsidRDefault="00AD690E" w:rsidP="00AD690E">
      <w:pPr>
        <w:pStyle w:val="Grillecouleur-Accent1"/>
      </w:pPr>
      <w:r w:rsidRPr="00562808">
        <w:t>One hears from time to time the term « rational government » in a p</w:t>
      </w:r>
      <w:r w:rsidRPr="00562808">
        <w:t>é</w:t>
      </w:r>
      <w:r w:rsidRPr="00562808">
        <w:t>jorative, depreciating, rather condescending tone, applied to</w:t>
      </w:r>
      <w:r>
        <w:t xml:space="preserve"> [</w:t>
      </w:r>
      <w:r w:rsidRPr="00562808">
        <w:rPr>
          <w:rFonts w:cs="Arial"/>
        </w:rPr>
        <w:t>352</w:t>
      </w:r>
      <w:r>
        <w:rPr>
          <w:rFonts w:cs="Arial"/>
        </w:rPr>
        <w:t xml:space="preserve">] </w:t>
      </w:r>
      <w:r w:rsidRPr="00562808">
        <w:t>such r</w:t>
      </w:r>
      <w:r w:rsidRPr="00562808">
        <w:t>e</w:t>
      </w:r>
      <w:r w:rsidRPr="00562808">
        <w:t>forms of the '60s and '70s and '80s as the Mini</w:t>
      </w:r>
      <w:r w:rsidRPr="00562808">
        <w:t>s</w:t>
      </w:r>
      <w:r w:rsidRPr="00562808">
        <w:t>ter of State System.</w:t>
      </w:r>
      <w:r>
        <w:t> </w:t>
      </w:r>
      <w:r>
        <w:rPr>
          <w:rStyle w:val="Appelnotedebasdep"/>
          <w:iCs/>
          <w:szCs w:val="18"/>
        </w:rPr>
        <w:footnoteReference w:id="593"/>
      </w:r>
    </w:p>
    <w:p w:rsidR="00AD690E" w:rsidRDefault="00AD690E" w:rsidP="00AD690E">
      <w:pPr>
        <w:pStyle w:val="Grillecouleur-Accent1"/>
      </w:pPr>
    </w:p>
    <w:p w:rsidR="00AD690E" w:rsidRPr="00562808" w:rsidRDefault="00AD690E" w:rsidP="00AD690E">
      <w:pPr>
        <w:spacing w:before="120" w:after="120"/>
        <w:jc w:val="both"/>
      </w:pPr>
      <w:r w:rsidRPr="00562808">
        <w:rPr>
          <w:szCs w:val="22"/>
        </w:rPr>
        <w:t>Donc, quand le gouvernement fédéral annonça sa décision, en 1979, d'éliminer le MEAU, il y eut peu de réactions négatives. Les gouvernements provinciaux étaient contents, les agences centrales et les ministères sectoriels du gouvernement fédéral se débarrassèrent d'un interlocuteur gênant. Si quelques municipalités et quelques fon</w:t>
      </w:r>
      <w:r w:rsidRPr="00562808">
        <w:rPr>
          <w:szCs w:val="22"/>
        </w:rPr>
        <w:t>c</w:t>
      </w:r>
      <w:r w:rsidRPr="00562808">
        <w:rPr>
          <w:szCs w:val="22"/>
        </w:rPr>
        <w:t>tionnaires furent déçus, leurs voix ne portèrent pas loin.</w:t>
      </w:r>
    </w:p>
    <w:p w:rsidR="00AD690E" w:rsidRDefault="00AD690E" w:rsidP="00AD690E">
      <w:pPr>
        <w:spacing w:before="120" w:after="120"/>
        <w:jc w:val="both"/>
        <w:rPr>
          <w:szCs w:val="22"/>
        </w:rPr>
      </w:pPr>
      <w:r>
        <w:rPr>
          <w:szCs w:val="22"/>
        </w:rPr>
        <w:br w:type="page"/>
      </w:r>
    </w:p>
    <w:p w:rsidR="00AD690E" w:rsidRPr="00562808" w:rsidRDefault="00AD690E" w:rsidP="00AD690E">
      <w:pPr>
        <w:pStyle w:val="planche"/>
      </w:pPr>
      <w:r>
        <w:t>LE MINISTÈRE DISPARAÎT</w:t>
      </w:r>
      <w:r>
        <w:br/>
      </w:r>
      <w:r w:rsidRPr="00562808">
        <w:t>MAIS LA POLIT</w:t>
      </w:r>
      <w:r w:rsidRPr="00562808">
        <w:t>I</w:t>
      </w:r>
      <w:r w:rsidRPr="00562808">
        <w:t>QUE URBAINE</w:t>
      </w:r>
      <w:r>
        <w:br/>
      </w:r>
      <w:r w:rsidRPr="00562808">
        <w:t>DEMEURE</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La disparition du Ministère ne met pas un terme à la politique u</w:t>
      </w:r>
      <w:r w:rsidRPr="00562808">
        <w:rPr>
          <w:szCs w:val="22"/>
        </w:rPr>
        <w:t>r</w:t>
      </w:r>
      <w:r w:rsidRPr="00562808">
        <w:rPr>
          <w:szCs w:val="22"/>
        </w:rPr>
        <w:t>baine du gouvernement fédéral. Après l'abolition du MEAU, on assi</w:t>
      </w:r>
      <w:r w:rsidRPr="00562808">
        <w:rPr>
          <w:szCs w:val="22"/>
        </w:rPr>
        <w:t>s</w:t>
      </w:r>
      <w:r w:rsidRPr="00562808">
        <w:rPr>
          <w:szCs w:val="22"/>
        </w:rPr>
        <w:t>ta à l'apparition dans la plupart des grandes villes canadiennes de pr</w:t>
      </w:r>
      <w:r w:rsidRPr="00562808">
        <w:rPr>
          <w:szCs w:val="22"/>
        </w:rPr>
        <w:t>o</w:t>
      </w:r>
      <w:r w:rsidRPr="00562808">
        <w:rPr>
          <w:szCs w:val="22"/>
        </w:rPr>
        <w:t>jets d'envergure fortement influen</w:t>
      </w:r>
      <w:r>
        <w:rPr>
          <w:szCs w:val="22"/>
        </w:rPr>
        <w:t>cés par le gouvernement fédéral</w:t>
      </w:r>
      <w:r w:rsidRPr="00562808">
        <w:rPr>
          <w:szCs w:val="22"/>
        </w:rPr>
        <w:t xml:space="preserve">. Mentionnons, à titre d'exemple, le développement du port de Québec, celui d'Harbourfront à Toronto, le développement du port d'Halifax, le </w:t>
      </w:r>
      <w:r w:rsidRPr="00562808">
        <w:rPr>
          <w:i/>
          <w:iCs/>
          <w:szCs w:val="22"/>
        </w:rPr>
        <w:t xml:space="preserve">core area initiative </w:t>
      </w:r>
      <w:r w:rsidRPr="00562808">
        <w:rPr>
          <w:szCs w:val="22"/>
        </w:rPr>
        <w:t>à Winnipeg, le développement de « Granville Island » à Vancouver, la création du Centre Rideau à Ottawa et, à Montréal, la construction de la Place Guy Favreau. Certains de ces projets ont débuté pendant la période du MEAU et, pour certains, le gouvernement fédéral n'en est pas l'intervenant principal. Mais tous ces projets supposent un rôle substantiel de la part du gouvernement fédéral et tous se sont concrétisés pendant la période post-MEAU.</w:t>
      </w:r>
    </w:p>
    <w:p w:rsidR="00AD690E" w:rsidRDefault="00AD690E" w:rsidP="00AD690E">
      <w:pPr>
        <w:spacing w:before="120" w:after="120"/>
        <w:jc w:val="both"/>
        <w:rPr>
          <w:szCs w:val="22"/>
        </w:rPr>
      </w:pPr>
      <w:r w:rsidRPr="00562808">
        <w:rPr>
          <w:szCs w:val="22"/>
        </w:rPr>
        <w:t>On peut s'objecter à l'idée que ces projets constituent une politique urbaine, en insistant sur leur caractère très politique et sur le fait que chacun semble correspondre à des impératifs spécifiques. Le projet du vieux port à Québec visait à contrecarrer les péquistes... Celui de Winnipeg représentait la volonté de réélection de Lloyd Axworthy... Le développement portuaire de Toronto ainsi que le Centre Rideau à Ottawa faisaient partie des promesses électorales de 1972 visant à conserver le vote urbain au Parti libéral. La dimension politique de chacun de ces projets est une des caractéristiques qui nous permet de les envisager globalement comme étant une étape de la politique u</w:t>
      </w:r>
      <w:r w:rsidRPr="00562808">
        <w:rPr>
          <w:szCs w:val="22"/>
        </w:rPr>
        <w:t>r</w:t>
      </w:r>
      <w:r w:rsidRPr="00562808">
        <w:rPr>
          <w:szCs w:val="22"/>
        </w:rPr>
        <w:t>baine fédérale. Le gouvernement fédéral est devenu de plus en plus conscient, pendant les années 1970 et 1980, de l'importance de la vis</w:t>
      </w:r>
      <w:r w:rsidRPr="00562808">
        <w:rPr>
          <w:szCs w:val="22"/>
        </w:rPr>
        <w:t>i</w:t>
      </w:r>
      <w:r w:rsidRPr="00562808">
        <w:rPr>
          <w:szCs w:val="22"/>
        </w:rPr>
        <w:t>bilité en politique et des désavantages, à cet égard, d'un fédéralisme dominé par les activités conjointes. L'argent fédéral a servi à financer des travaux mais les projets pour lesquels l'argent était dépensé furent souvent perçus par la population comme étant des projets provi</w:t>
      </w:r>
      <w:r w:rsidRPr="00562808">
        <w:rPr>
          <w:szCs w:val="22"/>
        </w:rPr>
        <w:t>n</w:t>
      </w:r>
      <w:r w:rsidRPr="00562808">
        <w:rPr>
          <w:szCs w:val="22"/>
        </w:rPr>
        <w:t>ciaux.</w:t>
      </w:r>
    </w:p>
    <w:p w:rsidR="00AD690E" w:rsidRDefault="00AD690E" w:rsidP="00AD690E">
      <w:pPr>
        <w:spacing w:before="120" w:after="120"/>
        <w:jc w:val="both"/>
      </w:pPr>
      <w:r>
        <w:br w:type="page"/>
        <w:t>[353]</w:t>
      </w:r>
    </w:p>
    <w:p w:rsidR="00AD690E" w:rsidRPr="00562808" w:rsidRDefault="00AD690E" w:rsidP="00AD690E">
      <w:pPr>
        <w:spacing w:before="120" w:after="120"/>
        <w:jc w:val="both"/>
      </w:pPr>
      <w:r w:rsidRPr="00562808">
        <w:rPr>
          <w:szCs w:val="22"/>
        </w:rPr>
        <w:t>De ce point de vue, la raison d'être de la présence fédérale dans les centres-villes est très claire. Le gouvernement fédéral a voulu démo</w:t>
      </w:r>
      <w:r w:rsidRPr="00562808">
        <w:rPr>
          <w:szCs w:val="22"/>
        </w:rPr>
        <w:t>n</w:t>
      </w:r>
      <w:r w:rsidRPr="00562808">
        <w:rPr>
          <w:szCs w:val="22"/>
        </w:rPr>
        <w:t>trer qu'il est un acteur de premier niveau. Mais ces projets ont plus en commun que cette volonté de visibilité, ils représentent, en général, une volonté de ré-utilisation de terrains industriels et commerciaux à des fins tertiaires, qu'il s'agisse de bureaux, magasins, services, y compris les fonctions récréatives, culturelles et, parfois, résidentielles (surtout de luxe). Ces projets ont donc joué un rôle important dans la transformation sociale des centres-villes, dans leur « gentrification ». Regardons de plus près.</w:t>
      </w:r>
    </w:p>
    <w:p w:rsidR="00AD690E" w:rsidRPr="00562808" w:rsidRDefault="00AD690E" w:rsidP="00AD690E">
      <w:pPr>
        <w:spacing w:before="120" w:after="120"/>
        <w:jc w:val="both"/>
      </w:pPr>
      <w:r w:rsidRPr="00562808">
        <w:rPr>
          <w:szCs w:val="22"/>
        </w:rPr>
        <w:t>L'aménagement du vieux-port de Québec a transformé la basse vi</w:t>
      </w:r>
      <w:r w:rsidRPr="00562808">
        <w:rPr>
          <w:szCs w:val="22"/>
        </w:rPr>
        <w:t>l</w:t>
      </w:r>
      <w:r w:rsidRPr="00562808">
        <w:rPr>
          <w:szCs w:val="22"/>
        </w:rPr>
        <w:t>le de Québec, ouvrant le port à la population en y aménageant b</w:t>
      </w:r>
      <w:r w:rsidRPr="00562808">
        <w:rPr>
          <w:szCs w:val="22"/>
        </w:rPr>
        <w:t>u</w:t>
      </w:r>
      <w:r w:rsidRPr="00562808">
        <w:rPr>
          <w:szCs w:val="22"/>
        </w:rPr>
        <w:t>reaux, sites récréatifs, restaurants, etc. Ce projet fut entièrement réal</w:t>
      </w:r>
      <w:r w:rsidRPr="00562808">
        <w:rPr>
          <w:szCs w:val="22"/>
        </w:rPr>
        <w:t>i</w:t>
      </w:r>
      <w:r w:rsidRPr="00562808">
        <w:rPr>
          <w:szCs w:val="22"/>
        </w:rPr>
        <w:t>sé par le gouvernement fédéral et ses origines remontent à la période du MEAU. La division de la coordination s'intéressait aux install</w:t>
      </w:r>
      <w:r w:rsidRPr="00562808">
        <w:rPr>
          <w:szCs w:val="22"/>
        </w:rPr>
        <w:t>a</w:t>
      </w:r>
      <w:r w:rsidRPr="00562808">
        <w:rPr>
          <w:szCs w:val="22"/>
        </w:rPr>
        <w:t>tions portuaires, les considérant comme un élément clé dans une éve</w:t>
      </w:r>
      <w:r w:rsidRPr="00562808">
        <w:rPr>
          <w:szCs w:val="22"/>
        </w:rPr>
        <w:t>n</w:t>
      </w:r>
      <w:r w:rsidRPr="00562808">
        <w:rPr>
          <w:szCs w:val="22"/>
        </w:rPr>
        <w:t>tuelle coordination, non pas seulement intra</w:t>
      </w:r>
      <w:r>
        <w:rPr>
          <w:szCs w:val="22"/>
        </w:rPr>
        <w:t xml:space="preserve"> </w:t>
      </w:r>
      <w:r w:rsidRPr="00562808">
        <w:rPr>
          <w:szCs w:val="22"/>
        </w:rPr>
        <w:t>fédérale mais également intergouvernementale. Le MEAU avait commandité une grande étude sur la revitalisation des vieux ports à travers le pays et cette étude pr</w:t>
      </w:r>
      <w:r w:rsidRPr="00562808">
        <w:rPr>
          <w:szCs w:val="22"/>
        </w:rPr>
        <w:t>é</w:t>
      </w:r>
      <w:r w:rsidRPr="00562808">
        <w:rPr>
          <w:szCs w:val="22"/>
        </w:rPr>
        <w:t>conisait des utilisations multifonctionnelles. Par la suite, le Ministère a fait refaire une étude sur le port de Québec par un consultant local afin d'en arriver à un plan plus adapté aux conditions locales. Après la déchéance du MEAU, ses responsabilités ont été reprises par la SCHL, et plus tard par le ministère des Travaux publics. En 1982, le Cabinet créa une corporation de développement, la Société immobili</w:t>
      </w:r>
      <w:r w:rsidRPr="00562808">
        <w:rPr>
          <w:szCs w:val="22"/>
        </w:rPr>
        <w:t>è</w:t>
      </w:r>
      <w:r w:rsidRPr="00562808">
        <w:rPr>
          <w:szCs w:val="22"/>
        </w:rPr>
        <w:t>re du Canada (Vieux port de Québec) Inc., pour assurer la direction de la réalisation du projet du vieux port. Le conseil d'administration ne comprenait uniquement que des personnes nommées par le gouve</w:t>
      </w:r>
      <w:r w:rsidRPr="00562808">
        <w:rPr>
          <w:szCs w:val="22"/>
        </w:rPr>
        <w:t>r</w:t>
      </w:r>
      <w:r w:rsidRPr="00562808">
        <w:rPr>
          <w:szCs w:val="22"/>
        </w:rPr>
        <w:t>nement fédéral</w:t>
      </w:r>
      <w:r>
        <w:rPr>
          <w:szCs w:val="22"/>
        </w:rPr>
        <w:t> </w:t>
      </w:r>
      <w:r w:rsidRPr="00D23A0B">
        <w:rPr>
          <w:rStyle w:val="Appelnotedebasdep"/>
        </w:rPr>
        <w:footnoteReference w:id="594"/>
      </w:r>
      <w:r w:rsidRPr="00562808">
        <w:rPr>
          <w:szCs w:val="22"/>
        </w:rPr>
        <w:t>.</w:t>
      </w:r>
    </w:p>
    <w:p w:rsidR="00AD690E" w:rsidRPr="00562808" w:rsidRDefault="00AD690E" w:rsidP="00AD690E">
      <w:pPr>
        <w:spacing w:before="120" w:after="120"/>
        <w:jc w:val="both"/>
      </w:pPr>
      <w:r w:rsidRPr="00562808">
        <w:rPr>
          <w:szCs w:val="22"/>
        </w:rPr>
        <w:t>Ce projet fut complété rapidement, à cause du contexte des évén</w:t>
      </w:r>
      <w:r w:rsidRPr="00562808">
        <w:rPr>
          <w:szCs w:val="22"/>
        </w:rPr>
        <w:t>e</w:t>
      </w:r>
      <w:r w:rsidRPr="00562808">
        <w:rPr>
          <w:szCs w:val="22"/>
        </w:rPr>
        <w:t>ments prévus pour l'été 1984 (les grands voiliers). À Montréal on avait aussi décidé de redévelopper le vieux port mais les travaux ont été beaucoup plus lents.</w:t>
      </w:r>
    </w:p>
    <w:p w:rsidR="00AD690E" w:rsidRPr="00562808" w:rsidRDefault="00AD690E" w:rsidP="00AD690E">
      <w:pPr>
        <w:spacing w:before="120" w:after="120"/>
        <w:jc w:val="both"/>
      </w:pPr>
      <w:r w:rsidRPr="00562808">
        <w:rPr>
          <w:szCs w:val="22"/>
        </w:rPr>
        <w:t>À Halifax, on a également créé une corporation de développement mais cette fois-ci, le gouvernement provincial a joué un rôle des plus actifs et les deux gouvernements se sont partagé le pouvoir de nom</w:t>
      </w:r>
      <w:r w:rsidRPr="00562808">
        <w:rPr>
          <w:szCs w:val="22"/>
        </w:rPr>
        <w:t>i</w:t>
      </w:r>
      <w:r w:rsidRPr="00562808">
        <w:rPr>
          <w:szCs w:val="22"/>
        </w:rPr>
        <w:t xml:space="preserve">nation des membres du </w:t>
      </w:r>
      <w:r w:rsidRPr="00562808">
        <w:rPr>
          <w:i/>
          <w:iCs/>
          <w:szCs w:val="22"/>
        </w:rPr>
        <w:t xml:space="preserve">Waterfront Development Corporation. </w:t>
      </w:r>
      <w:r w:rsidRPr="00562808">
        <w:rPr>
          <w:szCs w:val="22"/>
        </w:rPr>
        <w:t>À Hal</w:t>
      </w:r>
      <w:r w:rsidRPr="00562808">
        <w:rPr>
          <w:szCs w:val="22"/>
        </w:rPr>
        <w:t>i</w:t>
      </w:r>
      <w:r w:rsidRPr="00562808">
        <w:rPr>
          <w:szCs w:val="22"/>
        </w:rPr>
        <w:t>fax, quoique le MEAU ait été actif, ce fut le ministère de l</w:t>
      </w:r>
      <w:r>
        <w:rPr>
          <w:szCs w:val="22"/>
        </w:rPr>
        <w:t>’</w:t>
      </w:r>
      <w:r w:rsidRPr="00562808">
        <w:rPr>
          <w:szCs w:val="22"/>
        </w:rPr>
        <w:t>Expansion économique régionale qui assura le leadership pour le gouvernement fédéral.</w:t>
      </w:r>
    </w:p>
    <w:p w:rsidR="00AD690E" w:rsidRPr="00562808" w:rsidRDefault="00AD690E" w:rsidP="00AD690E">
      <w:pPr>
        <w:spacing w:before="120" w:after="120"/>
        <w:jc w:val="both"/>
      </w:pPr>
      <w:r w:rsidRPr="00562808">
        <w:rPr>
          <w:szCs w:val="22"/>
        </w:rPr>
        <w:t>Enfin, dans le cas de Winnipeg, l'entente tripartie de 1980 entre le ministre fédéral de l'Emploi et de l'Immigration, le ministre manit</w:t>
      </w:r>
      <w:r w:rsidRPr="00562808">
        <w:rPr>
          <w:szCs w:val="22"/>
        </w:rPr>
        <w:t>o</w:t>
      </w:r>
      <w:r w:rsidRPr="00562808">
        <w:rPr>
          <w:szCs w:val="22"/>
        </w:rPr>
        <w:t>bain des Affaires urbaines et le maire de Winnipeg, prévoyait que les coûts seraient</w:t>
      </w:r>
      <w:r>
        <w:rPr>
          <w:szCs w:val="22"/>
        </w:rPr>
        <w:t xml:space="preserve"> </w:t>
      </w:r>
      <w:r>
        <w:t>[</w:t>
      </w:r>
      <w:r w:rsidRPr="00562808">
        <w:rPr>
          <w:rFonts w:cs="Arial"/>
          <w:szCs w:val="18"/>
        </w:rPr>
        <w:t>354</w:t>
      </w:r>
      <w:r>
        <w:rPr>
          <w:rFonts w:cs="Arial"/>
          <w:szCs w:val="18"/>
        </w:rPr>
        <w:t xml:space="preserve">] </w:t>
      </w:r>
      <w:r w:rsidRPr="00562808">
        <w:rPr>
          <w:szCs w:val="22"/>
        </w:rPr>
        <w:t>partagés entre les trois intervenants et que la re</w:t>
      </w:r>
      <w:r w:rsidRPr="00562808">
        <w:rPr>
          <w:szCs w:val="22"/>
        </w:rPr>
        <w:t>s</w:t>
      </w:r>
      <w:r w:rsidRPr="00562808">
        <w:rPr>
          <w:szCs w:val="22"/>
        </w:rPr>
        <w:t>ponsabilité fédérale reviendrait au ministère de l'Expansion économ</w:t>
      </w:r>
      <w:r w:rsidRPr="00562808">
        <w:rPr>
          <w:szCs w:val="22"/>
        </w:rPr>
        <w:t>i</w:t>
      </w:r>
      <w:r w:rsidRPr="00562808">
        <w:rPr>
          <w:szCs w:val="22"/>
        </w:rPr>
        <w:t>que régionale. La présence du ministre de l'Emploi et de l'Immigr</w:t>
      </w:r>
      <w:r w:rsidRPr="00562808">
        <w:rPr>
          <w:szCs w:val="22"/>
        </w:rPr>
        <w:t>a</w:t>
      </w:r>
      <w:r w:rsidRPr="00562808">
        <w:rPr>
          <w:szCs w:val="22"/>
        </w:rPr>
        <w:t>tion, Lloyd Axworthy, député de Winnipeg, fut déterminante et pe</w:t>
      </w:r>
      <w:r w:rsidRPr="00562808">
        <w:rPr>
          <w:szCs w:val="22"/>
        </w:rPr>
        <w:t>r</w:t>
      </w:r>
      <w:r w:rsidRPr="00562808">
        <w:rPr>
          <w:szCs w:val="22"/>
        </w:rPr>
        <w:t>met de comprendre la présence du gouvernement fédéral dans ce pr</w:t>
      </w:r>
      <w:r w:rsidRPr="00562808">
        <w:rPr>
          <w:szCs w:val="22"/>
        </w:rPr>
        <w:t>o</w:t>
      </w:r>
      <w:r w:rsidRPr="00562808">
        <w:rPr>
          <w:szCs w:val="22"/>
        </w:rPr>
        <w:t>jet de revitalisation du centre-ville. Cette implication de Lloyd A</w:t>
      </w:r>
      <w:r w:rsidRPr="00562808">
        <w:rPr>
          <w:szCs w:val="22"/>
        </w:rPr>
        <w:t>x</w:t>
      </w:r>
      <w:r w:rsidRPr="00562808">
        <w:rPr>
          <w:szCs w:val="22"/>
        </w:rPr>
        <w:t>worthy explique aussi le fait que ce projet ait accordé davantage d'i</w:t>
      </w:r>
      <w:r w:rsidRPr="00562808">
        <w:rPr>
          <w:szCs w:val="22"/>
        </w:rPr>
        <w:t>m</w:t>
      </w:r>
      <w:r w:rsidRPr="00562808">
        <w:rPr>
          <w:szCs w:val="22"/>
        </w:rPr>
        <w:t>portance à la création d'emplois, bien qu'on recherchait également une expansion des activités commerciales, culturelles, touristiques et inst</w:t>
      </w:r>
      <w:r w:rsidRPr="00562808">
        <w:rPr>
          <w:szCs w:val="22"/>
        </w:rPr>
        <w:t>i</w:t>
      </w:r>
      <w:r w:rsidRPr="00562808">
        <w:rPr>
          <w:szCs w:val="22"/>
        </w:rPr>
        <w:t>tutionnelles</w:t>
      </w:r>
      <w:r>
        <w:rPr>
          <w:szCs w:val="22"/>
        </w:rPr>
        <w:t> </w:t>
      </w:r>
      <w:r w:rsidRPr="00D23A0B">
        <w:rPr>
          <w:rStyle w:val="Appelnotedebasdep"/>
        </w:rPr>
        <w:footnoteReference w:id="595"/>
      </w:r>
      <w:r w:rsidRPr="00562808">
        <w:rPr>
          <w:szCs w:val="22"/>
        </w:rPr>
        <w:t>.</w:t>
      </w:r>
    </w:p>
    <w:p w:rsidR="00AD690E" w:rsidRPr="00562808" w:rsidRDefault="00AD690E" w:rsidP="00AD690E">
      <w:pPr>
        <w:pStyle w:val="c"/>
      </w:pPr>
      <w:r w:rsidRPr="00562808">
        <w:t xml:space="preserve">* </w:t>
      </w:r>
      <w:r>
        <w:t xml:space="preserve"> </w:t>
      </w:r>
      <w:r w:rsidRPr="00562808">
        <w:t>*</w:t>
      </w:r>
      <w:r>
        <w:t xml:space="preserve"> </w:t>
      </w:r>
      <w:r w:rsidRPr="00562808">
        <w:t xml:space="preserve"> *</w:t>
      </w:r>
    </w:p>
    <w:p w:rsidR="00AD690E" w:rsidRPr="00562808" w:rsidRDefault="00AD690E" w:rsidP="00AD690E">
      <w:pPr>
        <w:spacing w:before="120" w:after="120"/>
        <w:jc w:val="both"/>
      </w:pPr>
      <w:r w:rsidRPr="00562808">
        <w:rPr>
          <w:szCs w:val="22"/>
        </w:rPr>
        <w:t>Ces exemples démontrent que le gouvernement fédéral a influencé la structure urbaine au Canada. Les centres des grandes villes cont</w:t>
      </w:r>
      <w:r w:rsidRPr="00562808">
        <w:rPr>
          <w:szCs w:val="22"/>
        </w:rPr>
        <w:t>i</w:t>
      </w:r>
      <w:r w:rsidRPr="00562808">
        <w:rPr>
          <w:szCs w:val="22"/>
        </w:rPr>
        <w:t>nuent d'être marqués par l'activité fédérale, malgré la disparition du ministère d'État aux Affaires urbaines. Le gouvernement fédéral a joué un rôle important dans la restructuration des centres-villes, dans la transformation des centres industriels en des centres consacrés aux bureaux, commerces et autres fonctions récréatives. L'existence du Ministère a certainement augmenté et accéléré la présence fédérale dans le domaine. Mais en même temps, il est clair que l'impact urbain du gouvernement fédéral ne s'est pas limité aux activités du MEAU. Ceci ressort clairement de la description que nous venons de donner des grands projets urbains. Même durant l'existence du MEAU, d'a</w:t>
      </w:r>
      <w:r w:rsidRPr="00562808">
        <w:rPr>
          <w:szCs w:val="22"/>
        </w:rPr>
        <w:t>u</w:t>
      </w:r>
      <w:r w:rsidRPr="00562808">
        <w:rPr>
          <w:szCs w:val="22"/>
        </w:rPr>
        <w:t>tres ministères ont joué des rôles importants comme les ministères l'Expansion économique régionale, des Transports, de l'Emploi et de l'Immigration.</w:t>
      </w:r>
    </w:p>
    <w:p w:rsidR="00AD690E" w:rsidRPr="00562808" w:rsidRDefault="00AD690E" w:rsidP="00AD690E">
      <w:pPr>
        <w:spacing w:before="120" w:after="120"/>
        <w:jc w:val="both"/>
      </w:pPr>
      <w:r w:rsidRPr="00562808">
        <w:rPr>
          <w:szCs w:val="22"/>
        </w:rPr>
        <w:t>D'ailleurs, notre survol de la politique urbaine pour la période 1963-1984 ne serait pas complet si nous ne faisions pas mention de certains autres acteurs et décisions qui ont marqué le champ urbain. Le domaine du logement continue d'être dominé par les politiques de la SCHL, quoique les années 1970 et 1980 soient marquées par une activité accrue de la part des gouvernements provinciaux. Les grands objectifs des politiques fédérales de logement demeurent, comme G</w:t>
      </w:r>
      <w:r w:rsidRPr="00562808">
        <w:rPr>
          <w:szCs w:val="22"/>
        </w:rPr>
        <w:t>é</w:t>
      </w:r>
      <w:r w:rsidRPr="00562808">
        <w:rPr>
          <w:szCs w:val="22"/>
        </w:rPr>
        <w:t>rard Divay et Marcel Gaudreau l'ont décrit, « l'encadrement tutélaire du marché et la sauvegarde de l'accessibilité au logement »</w:t>
      </w:r>
      <w:r>
        <w:rPr>
          <w:szCs w:val="22"/>
        </w:rPr>
        <w:t> </w:t>
      </w:r>
      <w:r w:rsidRPr="00D23A0B">
        <w:rPr>
          <w:rStyle w:val="Appelnotedebasdep"/>
        </w:rPr>
        <w:footnoteReference w:id="596"/>
      </w:r>
      <w:r w:rsidRPr="00562808">
        <w:rPr>
          <w:szCs w:val="22"/>
        </w:rPr>
        <w:t>. Pe</w:t>
      </w:r>
      <w:r w:rsidRPr="00562808">
        <w:rPr>
          <w:szCs w:val="22"/>
        </w:rPr>
        <w:t>n</w:t>
      </w:r>
      <w:r w:rsidRPr="00562808">
        <w:rPr>
          <w:szCs w:val="22"/>
        </w:rPr>
        <w:t>dant les années 1970, à cause des conditions économiques et des pre</w:t>
      </w:r>
      <w:r w:rsidRPr="00562808">
        <w:rPr>
          <w:szCs w:val="22"/>
        </w:rPr>
        <w:t>s</w:t>
      </w:r>
      <w:r w:rsidRPr="00562808">
        <w:rPr>
          <w:szCs w:val="22"/>
        </w:rPr>
        <w:t>sions politiques, le gouvernement fédéral a augmenté ses programmes d'a</w:t>
      </w:r>
      <w:r w:rsidRPr="00562808">
        <w:rPr>
          <w:szCs w:val="22"/>
        </w:rPr>
        <w:t>i</w:t>
      </w:r>
      <w:r w:rsidRPr="00562808">
        <w:rPr>
          <w:szCs w:val="22"/>
        </w:rPr>
        <w:t>de aux logements locatifs destinés à des clientèles défavorisées. Les programmes de logements publics et de logements produits par des organismes sans but lucratif ou par des coopératives ont été mis sur pied, surtout en collaboration avec des organismes provinciaux.</w:t>
      </w:r>
      <w:r>
        <w:rPr>
          <w:szCs w:val="22"/>
        </w:rPr>
        <w:t xml:space="preserve"> </w:t>
      </w:r>
      <w:r>
        <w:rPr>
          <w:szCs w:val="18"/>
        </w:rPr>
        <w:t xml:space="preserve">[355] </w:t>
      </w:r>
      <w:r w:rsidRPr="00562808">
        <w:rPr>
          <w:szCs w:val="22"/>
        </w:rPr>
        <w:t>Pendant la même période, les politiques de rénovation urbaine ont été transformées pour être axées sur la réhabilitation des maisons et des quartiers.</w:t>
      </w:r>
    </w:p>
    <w:p w:rsidR="00AD690E" w:rsidRPr="00562808" w:rsidRDefault="00AD690E" w:rsidP="00AD690E">
      <w:pPr>
        <w:spacing w:before="120" w:after="120"/>
        <w:jc w:val="both"/>
      </w:pPr>
      <w:r w:rsidRPr="00562808">
        <w:rPr>
          <w:szCs w:val="22"/>
        </w:rPr>
        <w:t>Quoique l'orientation « sociale » des politiques de logement se soit accrue pendant la période 1963-1984, il faut souligner que l'option fondamentale des politiques fédérales du logement reste le marché et l'entreprise privée. La nouvelle construction des maisons unifamiliales en banlieue a marqué l'utilisation de l'espace urbain au Canada, mais d'autres utilisations comme les logements publics, les coopératives, et les appartements sont devenues plus fréquentes</w:t>
      </w:r>
      <w:r>
        <w:rPr>
          <w:szCs w:val="22"/>
        </w:rPr>
        <w:t> </w:t>
      </w:r>
      <w:r w:rsidRPr="00D23A0B">
        <w:rPr>
          <w:rStyle w:val="Appelnotedebasdep"/>
        </w:rPr>
        <w:footnoteReference w:id="597"/>
      </w:r>
      <w:r w:rsidRPr="00562808">
        <w:rPr>
          <w:szCs w:val="22"/>
        </w:rPr>
        <w:t>.</w:t>
      </w:r>
    </w:p>
    <w:p w:rsidR="00AD690E" w:rsidRPr="00562808" w:rsidRDefault="00AD690E" w:rsidP="00AD690E">
      <w:pPr>
        <w:spacing w:before="120" w:after="120"/>
        <w:jc w:val="both"/>
      </w:pPr>
      <w:r w:rsidRPr="00562808">
        <w:rPr>
          <w:szCs w:val="22"/>
        </w:rPr>
        <w:t>La Commission de la capitale nationale (CCN) a également mod</w:t>
      </w:r>
      <w:r w:rsidRPr="00562808">
        <w:rPr>
          <w:szCs w:val="22"/>
        </w:rPr>
        <w:t>i</w:t>
      </w:r>
      <w:r w:rsidRPr="00562808">
        <w:rPr>
          <w:szCs w:val="22"/>
        </w:rPr>
        <w:t>fié le visage urbain du Canada, quoiqu'à travers un mandat plus limité. La Commission, chargée des intérêts fédéraux dans l'aménagement de la région d'Ottawa-Hull, a connu une expansion considérable dans la période 1963-1984. La volonté du gouvernement fédéral d'accentuer sa présence dans la partie québécoise de la région est devenue plus significative à partir des années 1960, principalement en réaction contre la montée du nationalisme québécois</w:t>
      </w:r>
      <w:r>
        <w:rPr>
          <w:szCs w:val="22"/>
        </w:rPr>
        <w:t> </w:t>
      </w:r>
      <w:r w:rsidRPr="00D23A0B">
        <w:rPr>
          <w:rStyle w:val="Appelnotedebasdep"/>
        </w:rPr>
        <w:footnoteReference w:id="598"/>
      </w:r>
      <w:r w:rsidRPr="00562808">
        <w:rPr>
          <w:szCs w:val="22"/>
        </w:rPr>
        <w:t>. À la fin des années 1960, les premiers ministres, lors d'une conférence fédérale-provinciale, ont déclaré que la capitale du Canada était Ottawa-Hull, et non pas seulement Ottawa. Par la suite, le gouvernement fédéral s'est lancé dans la construction d'édifices fédéraux à Hull. La relocal</w:t>
      </w:r>
      <w:r w:rsidRPr="00562808">
        <w:rPr>
          <w:szCs w:val="22"/>
        </w:rPr>
        <w:t>i</w:t>
      </w:r>
      <w:r w:rsidRPr="00562808">
        <w:rPr>
          <w:szCs w:val="22"/>
        </w:rPr>
        <w:t>sation des musées démontre également cette volonté, avec le début de la construction du Musée de la civilisation dans le secteur québécois et une décision du Cabinet sur l'emplacement éventuel du Musée des sciences et de la technologie également au Québec. Les velléités d'une vocation industrielle de la partie québécoise de la région sont à peu près disparues avec la fin des années 1960, ce qui confirme la place du gouvernement fédéral, et plus précisément de la CCN, comme amén</w:t>
      </w:r>
      <w:r w:rsidRPr="00562808">
        <w:rPr>
          <w:szCs w:val="22"/>
        </w:rPr>
        <w:t>a</w:t>
      </w:r>
      <w:r w:rsidRPr="00562808">
        <w:rPr>
          <w:szCs w:val="22"/>
        </w:rPr>
        <w:t>geur principal de la région.</w:t>
      </w:r>
    </w:p>
    <w:p w:rsidR="00AD690E" w:rsidRDefault="00AD690E" w:rsidP="00AD690E">
      <w:pPr>
        <w:spacing w:before="120" w:after="120"/>
        <w:jc w:val="both"/>
        <w:rPr>
          <w:szCs w:val="22"/>
        </w:rPr>
      </w:pPr>
      <w:r w:rsidRPr="00562808">
        <w:rPr>
          <w:szCs w:val="22"/>
        </w:rPr>
        <w:t>Cette décision d'inscrire formellement la présence du fédéral dans la partie québécoise et son rattachement à la définition de la capitale démontre aussi l'importance croissante de la valeur symbolique de la capitale pour le gouvernement fédéral, et donc une préoccupation plus grande de la part de la CCN vis-à-vis de la dimension symbolique de ses activités. La Commission veut faire un aménagement urbain de première qualité et elle veut que cet aménagement parle à l'ensemble des Canadiens et non pas seulement aux seuls résidents d'Ottawa-Hull.</w:t>
      </w:r>
      <w:r>
        <w:rPr>
          <w:szCs w:val="22"/>
        </w:rPr>
        <w:t xml:space="preserve"> </w:t>
      </w:r>
    </w:p>
    <w:p w:rsidR="00AD690E" w:rsidRDefault="00AD690E" w:rsidP="00AD690E">
      <w:pPr>
        <w:spacing w:before="120" w:after="120"/>
        <w:jc w:val="both"/>
        <w:rPr>
          <w:szCs w:val="18"/>
        </w:rPr>
      </w:pPr>
      <w:r>
        <w:rPr>
          <w:szCs w:val="18"/>
        </w:rPr>
        <w:t>[</w:t>
      </w:r>
      <w:r w:rsidRPr="00562808">
        <w:rPr>
          <w:szCs w:val="18"/>
        </w:rPr>
        <w:t>356</w:t>
      </w:r>
      <w:r>
        <w:rPr>
          <w:szCs w:val="18"/>
        </w:rPr>
        <w:t>]</w:t>
      </w:r>
    </w:p>
    <w:p w:rsidR="00AD690E" w:rsidRPr="00562808" w:rsidRDefault="00AD690E" w:rsidP="00AD690E">
      <w:pPr>
        <w:spacing w:before="120" w:after="120"/>
        <w:jc w:val="both"/>
      </w:pPr>
      <w:r w:rsidRPr="00562808">
        <w:rPr>
          <w:szCs w:val="22"/>
        </w:rPr>
        <w:t>Le ministère des Transports figure également parmi les principaux acteurs urbains du gouvernement fédéral, les décisions concernant les aéroports de Montréal et de Toronto comptent parmi les plus impo</w:t>
      </w:r>
      <w:r w:rsidRPr="00562808">
        <w:rPr>
          <w:szCs w:val="22"/>
        </w:rPr>
        <w:t>r</w:t>
      </w:r>
      <w:r w:rsidRPr="00562808">
        <w:rPr>
          <w:szCs w:val="22"/>
        </w:rPr>
        <w:t>tantes de la période 1963-1984. On a beaucoup écrit sur la décision de construire un deuxième aéroport à Montréal et, finalement, de ne pas en construire un à Toronto</w:t>
      </w:r>
      <w:r>
        <w:rPr>
          <w:szCs w:val="22"/>
        </w:rPr>
        <w:t> </w:t>
      </w:r>
      <w:r w:rsidRPr="00D23A0B">
        <w:rPr>
          <w:rStyle w:val="Appelnotedebasdep"/>
        </w:rPr>
        <w:footnoteReference w:id="599"/>
      </w:r>
      <w:r w:rsidRPr="00562808">
        <w:rPr>
          <w:szCs w:val="22"/>
        </w:rPr>
        <w:t>. Quoique la ME AU et le MEER aient joué des rôles majeurs, c'est le ministre des Transports qui a eu la re</w:t>
      </w:r>
      <w:r w:rsidRPr="00562808">
        <w:rPr>
          <w:szCs w:val="22"/>
        </w:rPr>
        <w:t>s</w:t>
      </w:r>
      <w:r w:rsidRPr="00562808">
        <w:rPr>
          <w:szCs w:val="22"/>
        </w:rPr>
        <w:t>ponsabilité première dans le dossier</w:t>
      </w:r>
      <w:r>
        <w:rPr>
          <w:szCs w:val="22"/>
        </w:rPr>
        <w:t> </w:t>
      </w:r>
      <w:r w:rsidRPr="00D23A0B">
        <w:rPr>
          <w:rStyle w:val="Appelnotedebasdep"/>
        </w:rPr>
        <w:footnoteReference w:id="600"/>
      </w:r>
      <w:r w:rsidRPr="00562808">
        <w:rPr>
          <w:szCs w:val="22"/>
        </w:rPr>
        <w:t>. Les années 1960 ont été ma</w:t>
      </w:r>
      <w:r w:rsidRPr="00562808">
        <w:rPr>
          <w:szCs w:val="22"/>
        </w:rPr>
        <w:t>r</w:t>
      </w:r>
      <w:r w:rsidRPr="00562808">
        <w:rPr>
          <w:szCs w:val="22"/>
        </w:rPr>
        <w:t>quées par de nombreuses études avant qu'on en vienne au choix des sites : Sainte-Scholastique a été choisie en mars 1969 et Pickering en janvier 1972. Dans le cas québécois, le choix a été fait malgré l'opp</w:t>
      </w:r>
      <w:r w:rsidRPr="00562808">
        <w:rPr>
          <w:szCs w:val="22"/>
        </w:rPr>
        <w:t>o</w:t>
      </w:r>
      <w:r w:rsidRPr="00562808">
        <w:rPr>
          <w:szCs w:val="22"/>
        </w:rPr>
        <w:t>sition du gouvernement québécois tandis qu'en Ontario, c'était l'avis du gouvernement ontarien qui a fait pencher la balance en faveur de Pickering. Mais, dans le cas québécois, Mirabel a été construit tandis qu'en Ontario, à cause des protestations du public et aussi à cause d'un changement de position du gouvernement ontarien, le projet a été mis de côté. Les deux aéroports de Montréal apparaissant de plus en plus comme un facteur qui gêne le développement économique de la ville, un nombre croissant d'acteurs montréalais préconise la fermeture de Mirabel</w:t>
      </w:r>
      <w:r>
        <w:rPr>
          <w:szCs w:val="22"/>
        </w:rPr>
        <w:t> </w:t>
      </w:r>
      <w:r w:rsidRPr="00D23A0B">
        <w:rPr>
          <w:rStyle w:val="Appelnotedebasdep"/>
        </w:rPr>
        <w:footnoteReference w:id="601"/>
      </w:r>
      <w:r w:rsidRPr="00562808">
        <w:rPr>
          <w:szCs w:val="22"/>
        </w:rPr>
        <w:t>. Mais, jusqu'à maintenant le gouvernement fédéral a ref</w:t>
      </w:r>
      <w:r w:rsidRPr="00562808">
        <w:rPr>
          <w:szCs w:val="22"/>
        </w:rPr>
        <w:t>u</w:t>
      </w:r>
      <w:r w:rsidRPr="00562808">
        <w:rPr>
          <w:szCs w:val="22"/>
        </w:rPr>
        <w:t>sé d'envisager cette solution.</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La politique urbaine du gouvernement fédéral, de 1963 à 1984, se caractérise donc par le changement et la continuité. L'intérêt pour l'e</w:t>
      </w:r>
      <w:r w:rsidRPr="00562808">
        <w:rPr>
          <w:szCs w:val="22"/>
        </w:rPr>
        <w:t>n</w:t>
      </w:r>
      <w:r w:rsidRPr="00562808">
        <w:rPr>
          <w:szCs w:val="22"/>
        </w:rPr>
        <w:t>jeu urbain varie avec les époques, et les structures spécifiques d'inte</w:t>
      </w:r>
      <w:r w:rsidRPr="00562808">
        <w:rPr>
          <w:szCs w:val="22"/>
        </w:rPr>
        <w:t>r</w:t>
      </w:r>
      <w:r w:rsidRPr="00562808">
        <w:rPr>
          <w:szCs w:val="22"/>
        </w:rPr>
        <w:t>vention créées sont ensuite démantelées. Mais, malgré cela, les activ</w:t>
      </w:r>
      <w:r w:rsidRPr="00562808">
        <w:rPr>
          <w:szCs w:val="22"/>
        </w:rPr>
        <w:t>i</w:t>
      </w:r>
      <w:r w:rsidRPr="00562808">
        <w:rPr>
          <w:szCs w:val="22"/>
        </w:rPr>
        <w:t>tés du gouvernement fédéral continuent de « façonner » dans une ce</w:t>
      </w:r>
      <w:r w:rsidRPr="00562808">
        <w:rPr>
          <w:szCs w:val="22"/>
        </w:rPr>
        <w:t>r</w:t>
      </w:r>
      <w:r w:rsidRPr="00562808">
        <w:rPr>
          <w:szCs w:val="22"/>
        </w:rPr>
        <w:t>taine mesure, les villes canadiennes. Cependant, le fait que l'influence fédérale persiste n'implique pas que la disparition du Ministère ait été sans conséquence. L'échec du Ministère, ainsi que son élimination, démontrent l'incapacité du gouvernement fédéral de mettre en place de véritables politiques urbaines planifiées et cohérentes.</w:t>
      </w:r>
    </w:p>
    <w:p w:rsidR="00AD690E" w:rsidRPr="00562808" w:rsidRDefault="00AD690E" w:rsidP="00AD690E">
      <w:pPr>
        <w:spacing w:before="120" w:after="120"/>
        <w:jc w:val="both"/>
        <w:rPr>
          <w:szCs w:val="18"/>
        </w:rPr>
      </w:pPr>
    </w:p>
    <w:p w:rsidR="00AD690E" w:rsidRDefault="00AD690E" w:rsidP="00AD690E">
      <w:pPr>
        <w:pStyle w:val="p"/>
      </w:pPr>
      <w:r w:rsidRPr="00562808">
        <w:br w:type="page"/>
      </w:r>
      <w:r>
        <w:t>[357]</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21" w:name="ere_Liberaux_pt3_texte_15"/>
      <w:r>
        <w:rPr>
          <w:b/>
          <w:color w:val="000080"/>
          <w:sz w:val="24"/>
        </w:rPr>
        <w:t>TROISIÈME</w:t>
      </w:r>
      <w:r w:rsidRPr="003634E0">
        <w:rPr>
          <w:b/>
          <w:color w:val="000080"/>
          <w:sz w:val="24"/>
        </w:rPr>
        <w:t xml:space="preserve"> PARTIE</w:t>
      </w:r>
      <w:r w:rsidRPr="003634E0">
        <w:rPr>
          <w:b/>
          <w:color w:val="000080"/>
          <w:sz w:val="24"/>
        </w:rPr>
        <w:br/>
        <w:t xml:space="preserve">QUESTIONS </w:t>
      </w:r>
      <w:r>
        <w:rPr>
          <w:b/>
          <w:color w:val="000080"/>
          <w:sz w:val="24"/>
        </w:rPr>
        <w:t>CULTURELLES ET SOCIALES</w:t>
      </w:r>
    </w:p>
    <w:p w:rsidR="00AD690E" w:rsidRPr="00E07116" w:rsidRDefault="00AD690E" w:rsidP="00AD690E">
      <w:pPr>
        <w:jc w:val="both"/>
        <w:rPr>
          <w:szCs w:val="36"/>
        </w:rPr>
      </w:pPr>
    </w:p>
    <w:p w:rsidR="00AD690E" w:rsidRPr="00E07116" w:rsidRDefault="00AD690E" w:rsidP="00AD690E">
      <w:pPr>
        <w:pStyle w:val="planchest"/>
      </w:pPr>
      <w:r>
        <w:t>“Les femmes dans l’État.”</w:t>
      </w:r>
    </w:p>
    <w:bookmarkEnd w:id="21"/>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Carolle SIMARD</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science politique</w:t>
      </w:r>
      <w:r w:rsidRPr="00957619">
        <w:rPr>
          <w:sz w:val="24"/>
          <w:szCs w:val="22"/>
        </w:rPr>
        <w:br/>
        <w:t>Un</w:t>
      </w:r>
      <w:r w:rsidRPr="00957619">
        <w:rPr>
          <w:sz w:val="24"/>
          <w:szCs w:val="22"/>
        </w:rPr>
        <w:t>i</w:t>
      </w:r>
      <w:r w:rsidRPr="00957619">
        <w:rPr>
          <w:sz w:val="24"/>
          <w:szCs w:val="22"/>
        </w:rPr>
        <w:t>versité du Québec à Montréal</w:t>
      </w:r>
    </w:p>
    <w:p w:rsidR="00AD690E" w:rsidRDefault="00AD690E" w:rsidP="00AD690E">
      <w:pPr>
        <w:jc w:val="both"/>
      </w:pP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562808" w:rsidRDefault="00AD690E" w:rsidP="00AD690E">
      <w:pPr>
        <w:spacing w:before="120" w:after="120"/>
        <w:jc w:val="both"/>
      </w:pPr>
      <w:r w:rsidRPr="00562808">
        <w:rPr>
          <w:szCs w:val="22"/>
        </w:rPr>
        <w:t>Avant de faire un bilan, le plus exhaustif possible, des faits et des événements ayant caractérisé les vingt et un ans de pouvoir libéral à Ottawa en matière de féminisme</w:t>
      </w:r>
      <w:r>
        <w:rPr>
          <w:szCs w:val="22"/>
        </w:rPr>
        <w:t> </w:t>
      </w:r>
      <w:r w:rsidRPr="003C7E90">
        <w:rPr>
          <w:rStyle w:val="Appelnotedebasdep"/>
        </w:rPr>
        <w:footnoteReference w:id="602"/>
      </w:r>
      <w:r w:rsidRPr="00562808">
        <w:rPr>
          <w:szCs w:val="22"/>
        </w:rPr>
        <w:t>, une mise au point s'impose.</w:t>
      </w:r>
    </w:p>
    <w:p w:rsidR="00AD690E" w:rsidRPr="001937CC" w:rsidRDefault="00AD690E" w:rsidP="00AD690E">
      <w:pPr>
        <w:spacing w:before="120" w:after="120"/>
        <w:jc w:val="both"/>
        <w:rPr>
          <w:rFonts w:cs="Arial"/>
          <w:szCs w:val="18"/>
        </w:rPr>
      </w:pPr>
      <w:r w:rsidRPr="00562808">
        <w:rPr>
          <w:szCs w:val="22"/>
        </w:rPr>
        <w:t>D'un point de vue théorique d'abord, parce que discourir sur la problématique de l'État fédéral à propos des femmes, c'est regarder du côté des rapports que ces dernières entretiennent avec les institutions. Mais lorsque ces institutions sont de type étatique, il en résulte un domaine propre et spécifique lié à la fonction d'ordre que remplit l'État et qu'incarnent des institutions irréductibles à aucune autre. Est-il possible d'ignorer que la prise en compte, au plan politique, des d</w:t>
      </w:r>
      <w:r w:rsidRPr="00562808">
        <w:rPr>
          <w:szCs w:val="22"/>
        </w:rPr>
        <w:t>e</w:t>
      </w:r>
      <w:r w:rsidRPr="00562808">
        <w:rPr>
          <w:szCs w:val="22"/>
        </w:rPr>
        <w:t>mandes des femmes, de même que la mise en place et le développ</w:t>
      </w:r>
      <w:r w:rsidRPr="00562808">
        <w:rPr>
          <w:szCs w:val="22"/>
        </w:rPr>
        <w:t>e</w:t>
      </w:r>
      <w:r w:rsidRPr="00562808">
        <w:rPr>
          <w:szCs w:val="22"/>
        </w:rPr>
        <w:t>ment d'institutions féministes au sein de l</w:t>
      </w:r>
      <w:r>
        <w:rPr>
          <w:szCs w:val="22"/>
        </w:rPr>
        <w:t>’</w:t>
      </w:r>
      <w:r w:rsidRPr="00562808">
        <w:rPr>
          <w:szCs w:val="22"/>
        </w:rPr>
        <w:t>État, concourent à légitimer des valeurs, à consolider le régime déjà institué ? Ainsi en est-il, par exemple, de l'égalité des sexes et des mesures censées l'assurer. L'obligation de regarder du côté des mesures étatiques qui viennent définir, voire contraindre ce que sont les femmes, oriente, donc, l'an</w:t>
      </w:r>
      <w:r w:rsidRPr="00562808">
        <w:rPr>
          <w:szCs w:val="22"/>
        </w:rPr>
        <w:t>a</w:t>
      </w:r>
      <w:r w:rsidRPr="00562808">
        <w:rPr>
          <w:szCs w:val="22"/>
        </w:rPr>
        <w:t>lyse vers l'activité étatique et administrative, dès lors que c'est cette dernière activité qui confère aux femmes une partie de leur identité. Il se trouve, pourtant, que penser la question en ces termes nous expose à bien des tracas, d'autant plus que plusieurs écrits posent le fémini</w:t>
      </w:r>
      <w:r w:rsidRPr="00562808">
        <w:rPr>
          <w:szCs w:val="22"/>
        </w:rPr>
        <w:t>s</w:t>
      </w:r>
      <w:r w:rsidRPr="00562808">
        <w:rPr>
          <w:szCs w:val="22"/>
        </w:rPr>
        <w:t>me dans un « à part », c'est-à-dire dans un extérieur par rapport au champ socio-politique</w:t>
      </w:r>
      <w:r>
        <w:rPr>
          <w:szCs w:val="22"/>
        </w:rPr>
        <w:t xml:space="preserve"> </w:t>
      </w:r>
      <w:r>
        <w:t>[</w:t>
      </w:r>
      <w:r w:rsidRPr="00562808">
        <w:rPr>
          <w:rFonts w:cs="Arial"/>
          <w:szCs w:val="18"/>
        </w:rPr>
        <w:t>358</w:t>
      </w:r>
      <w:r>
        <w:rPr>
          <w:rFonts w:cs="Arial"/>
          <w:szCs w:val="18"/>
        </w:rPr>
        <w:t xml:space="preserve">] </w:t>
      </w:r>
      <w:r w:rsidRPr="00562808">
        <w:t>classique</w:t>
      </w:r>
      <w:r>
        <w:t> </w:t>
      </w:r>
      <w:r>
        <w:rPr>
          <w:rStyle w:val="Appelnotedebasdep"/>
        </w:rPr>
        <w:footnoteReference w:id="603"/>
      </w:r>
      <w:r w:rsidRPr="00562808">
        <w:t>. Certes, le féminisme a permis un relatif éclatement du politique et les crises qu'affrontent ce</w:t>
      </w:r>
      <w:r w:rsidRPr="00562808">
        <w:t>r</w:t>
      </w:r>
      <w:r w:rsidRPr="00562808">
        <w:t>taines problématiques</w:t>
      </w:r>
      <w:r>
        <w:t> </w:t>
      </w:r>
      <w:r w:rsidRPr="00D23A0B">
        <w:rPr>
          <w:rStyle w:val="Appelnotedebasdep"/>
        </w:rPr>
        <w:footnoteReference w:id="604"/>
      </w:r>
      <w:r w:rsidRPr="00562808">
        <w:t xml:space="preserve"> en témoignent. Partir de l'État pour saisir la nature du féminisme deme</w:t>
      </w:r>
      <w:r w:rsidRPr="00562808">
        <w:t>u</w:t>
      </w:r>
      <w:r w:rsidRPr="00562808">
        <w:t>re néanmoins un choix judicieux ; ainsi opéré, le dévoilement sera connaissance du féminisme en même temps que connaissance de l'État.</w:t>
      </w:r>
    </w:p>
    <w:p w:rsidR="00AD690E" w:rsidRPr="00562808" w:rsidRDefault="00AD690E" w:rsidP="00AD690E">
      <w:pPr>
        <w:spacing w:before="120" w:after="120"/>
        <w:jc w:val="both"/>
      </w:pPr>
      <w:r w:rsidRPr="00562808">
        <w:t>Au plan pratique ensuite, on a, d'une part, l'impression, fausse sans doute, que tout a été dit en ce qui concerne les femmes. De nombreux travaux sur l'oppression ont déjà été complétés ; ils ont fait surgir de l'ombre plusieurs des obstacles sociaux et institutionnels que les fe</w:t>
      </w:r>
      <w:r w:rsidRPr="00562808">
        <w:t>m</w:t>
      </w:r>
      <w:r w:rsidRPr="00562808">
        <w:t>mes doivent surmonter. Si la complexité du problème étudié ressort généralement de toutes ces parutions, il nous faut constater leur fo</w:t>
      </w:r>
      <w:r w:rsidRPr="00562808">
        <w:t>i</w:t>
      </w:r>
      <w:r w:rsidRPr="00562808">
        <w:t>sonnement relatif. D'autre part, et cela peut sembler contredire ce qui précède, l'idée de faire le point est par trop séduisante, d'autant plus qu'un regard sur le passé, somme toute assez proche, nous fait entr</w:t>
      </w:r>
      <w:r w:rsidRPr="00562808">
        <w:t>e</w:t>
      </w:r>
      <w:r w:rsidRPr="00562808">
        <w:t>voir l'immensité du chemin parcouru. Il est tentant, en effet, de se pencher sur le sens de tous ces faits, sur le sens de tous ces évén</w:t>
      </w:r>
      <w:r w:rsidRPr="00562808">
        <w:t>e</w:t>
      </w:r>
      <w:r w:rsidRPr="00562808">
        <w:t>ments.</w:t>
      </w:r>
    </w:p>
    <w:p w:rsidR="00AD690E" w:rsidRPr="00562808" w:rsidRDefault="00AD690E" w:rsidP="00AD690E">
      <w:pPr>
        <w:spacing w:before="120" w:after="120"/>
        <w:jc w:val="both"/>
      </w:pPr>
      <w:r w:rsidRPr="00562808">
        <w:t>Certes, la tentation n'est pas exempte d'appréhensions lorsqu'il s'agit de saisir en révélant, lorsqu'il est question d'opérer un retour sur des moments et des enthousiasmes. Il est difficile d'être à la fois partie prenante d'une situation et analyste de cette même situation. Faire pa</w:t>
      </w:r>
      <w:r w:rsidRPr="00562808">
        <w:t>r</w:t>
      </w:r>
      <w:r w:rsidRPr="00562808">
        <w:t>tie de ce dont on parle et, en même temps, avoir le désir de rendre l</w:t>
      </w:r>
      <w:r w:rsidRPr="00562808">
        <w:t>i</w:t>
      </w:r>
      <w:r w:rsidRPr="00562808">
        <w:t>sible ce qui ne l'a pas toujours été, permettra, souhaitons-le, le recul ponctuel, le contrepoint réflexif.</w:t>
      </w:r>
    </w:p>
    <w:p w:rsidR="00AD690E" w:rsidRDefault="00AD690E" w:rsidP="00AD690E">
      <w:pPr>
        <w:spacing w:before="120" w:after="120"/>
        <w:jc w:val="both"/>
      </w:pPr>
      <w:r w:rsidRPr="00562808">
        <w:t>Ce texte est partagé en trois parties. La première fait le point sur l'état de la situation à la fin des années 1950, à la veille de l'arrivée au pouvoir des libéraux. La seconde brosse le panorama des grands év</w:t>
      </w:r>
      <w:r w:rsidRPr="00562808">
        <w:t>é</w:t>
      </w:r>
      <w:r w:rsidRPr="00562808">
        <w:t>nements ayant marqué les années 1963-1984 ; on y analyse, aussi, les institutions politiques et administratives des femmes. La troisième partie tente un bilan des actions passées et questionne le sens des changements observés.</w:t>
      </w:r>
    </w:p>
    <w:p w:rsidR="00AD690E" w:rsidRDefault="00AD690E" w:rsidP="00AD690E">
      <w:pPr>
        <w:spacing w:before="120" w:after="120"/>
        <w:jc w:val="both"/>
      </w:pPr>
      <w:r>
        <w:t>[359]</w:t>
      </w:r>
    </w:p>
    <w:p w:rsidR="00AD690E" w:rsidRDefault="00AD690E" w:rsidP="00AD690E">
      <w:pPr>
        <w:spacing w:before="120" w:after="120"/>
        <w:jc w:val="both"/>
      </w:pPr>
    </w:p>
    <w:p w:rsidR="00AD690E" w:rsidRPr="00562808" w:rsidRDefault="00AD690E" w:rsidP="00AD690E">
      <w:pPr>
        <w:pStyle w:val="planche"/>
      </w:pPr>
      <w:r>
        <w:t>D'OÙ PARTONS-NOUS ?</w:t>
      </w:r>
      <w:r>
        <w:br/>
      </w:r>
      <w:r w:rsidRPr="00562808">
        <w:t>UNE RUPTURE IMP</w:t>
      </w:r>
      <w:r w:rsidRPr="00562808">
        <w:t>O</w:t>
      </w:r>
      <w:r w:rsidRPr="00562808">
        <w:t>SÉE</w:t>
      </w:r>
    </w:p>
    <w:p w:rsidR="00AD690E" w:rsidRDefault="00AD690E" w:rsidP="00AD690E">
      <w:pPr>
        <w:spacing w:before="120" w:after="120"/>
        <w:jc w:val="both"/>
      </w:pPr>
    </w:p>
    <w:p w:rsidR="00AD690E" w:rsidRPr="00562808" w:rsidRDefault="00AD690E" w:rsidP="00AD690E">
      <w:pPr>
        <w:spacing w:before="120" w:after="120"/>
        <w:jc w:val="both"/>
      </w:pPr>
      <w:r w:rsidRPr="00562808">
        <w:t>Les gouvernements qui se sont succédés au Canada n'ont pas a</w:t>
      </w:r>
      <w:r w:rsidRPr="00562808">
        <w:t>t</w:t>
      </w:r>
      <w:r w:rsidRPr="00562808">
        <w:t>tendu le mouvement de libération des femmes des années 1970 pour intervenir dans la vie des femmes. Bien au contraire. Pensons aux conditions par lesquelles l'État canadien a accordé le droit de vote aux femmes, ou encore aux mesures prises pendant les deux conflits mo</w:t>
      </w:r>
      <w:r w:rsidRPr="00562808">
        <w:t>n</w:t>
      </w:r>
      <w:r w:rsidRPr="00562808">
        <w:t>diaux et destinées à accroître la participation des femmes à la main-d'oeuvre dite active, ou encore aux actions censées faciliter leur re</w:t>
      </w:r>
      <w:r w:rsidRPr="00562808">
        <w:t>n</w:t>
      </w:r>
      <w:r w:rsidRPr="00562808">
        <w:t>trée en force au foyer, après le retour des combattants. Bref, l'État a toujours réglementé, dans le cadre de ses multiples politiques, la place des femmes épouses, celle des femmes mères, comme celle des fe</w:t>
      </w:r>
      <w:r w:rsidRPr="00562808">
        <w:t>m</w:t>
      </w:r>
      <w:r w:rsidRPr="00562808">
        <w:t>mes travailleuses. Loin de nous, pourtant, l'idée d'adopter un point de vue déterministe, lequel consiste à croire que les conditions d'existe</w:t>
      </w:r>
      <w:r w:rsidRPr="00562808">
        <w:t>n</w:t>
      </w:r>
      <w:r w:rsidRPr="00562808">
        <w:t>ce des femmes sont fixées absolument. On reconnaît, par ailleurs, que l'histoire des femmes canadiennes est faite de progrès et de reculs, lesquels ont varié dans le temps et dans l'espace, compte tenu des changements accomplis dans l'organisation économique, sociale et politique du pays. Ce qui revient à ceci : l'histoire des femmes, comme d'ailleurs l'histoire de la classe ouvrière, n'a rien de linéaire ; elle n'existe qu'investie par le pouvoir, elle n'existe que dans un rapport, contradictoire ou complémentaire, aux changements dans la société. Les modifications dans les conditions économiques, sociales et polit</w:t>
      </w:r>
      <w:r w:rsidRPr="00562808">
        <w:t>i</w:t>
      </w:r>
      <w:r w:rsidRPr="00562808">
        <w:t>ques des femmes, dépendent des époques et des sociétés. Ces modif</w:t>
      </w:r>
      <w:r w:rsidRPr="00562808">
        <w:t>i</w:t>
      </w:r>
      <w:r w:rsidRPr="00562808">
        <w:t>cations varient, bien sûr, selon les classes et les milieux. Ces modif</w:t>
      </w:r>
      <w:r w:rsidRPr="00562808">
        <w:t>i</w:t>
      </w:r>
      <w:r w:rsidRPr="00562808">
        <w:t>cations sont fonction, également, de la configuration sociale et du n</w:t>
      </w:r>
      <w:r w:rsidRPr="00562808">
        <w:t>i</w:t>
      </w:r>
      <w:r w:rsidRPr="00562808">
        <w:t>veau d'organisation des forces d'opposition.</w:t>
      </w:r>
    </w:p>
    <w:p w:rsidR="00AD690E" w:rsidRDefault="00AD690E" w:rsidP="00AD690E">
      <w:pPr>
        <w:spacing w:before="120" w:after="120"/>
        <w:jc w:val="both"/>
      </w:pPr>
      <w:r w:rsidRPr="00562808">
        <w:t>Il se trouve que partir du début des années 1960 pour traiter des conditions faites aux femmes par l'État canadien risque de diminuer la portée des considérations théoriques précédentes. Mais puisqu'une coupure s'impose dans le temps, dès lors que l'on considère 1963 comme l'année zéro pour les femmes canadiennes, un bref rappel de là manière dont les femmes vivent alors leurs rapports au pouvoir et à la société, atténuera la rupture. Il s'agit de rendre compte, brièvement, des conditions sociales, économiques et politiques de l'époque.</w:t>
      </w:r>
    </w:p>
    <w:p w:rsidR="00AD690E" w:rsidRDefault="00AD690E" w:rsidP="00AD690E">
      <w:pPr>
        <w:spacing w:before="120" w:after="120"/>
        <w:jc w:val="both"/>
        <w:rPr>
          <w:szCs w:val="18"/>
        </w:rPr>
      </w:pPr>
    </w:p>
    <w:p w:rsidR="00AD690E" w:rsidRPr="00914342" w:rsidRDefault="00AD690E" w:rsidP="00AD690E">
      <w:pPr>
        <w:pStyle w:val="a"/>
      </w:pPr>
      <w:r w:rsidRPr="00914342">
        <w:t>Quelques rappels</w:t>
      </w:r>
    </w:p>
    <w:p w:rsidR="00AD690E" w:rsidRDefault="00AD690E" w:rsidP="00AD690E">
      <w:pPr>
        <w:spacing w:before="120" w:after="120"/>
        <w:jc w:val="both"/>
      </w:pPr>
    </w:p>
    <w:p w:rsidR="00AD690E" w:rsidRPr="00562808" w:rsidRDefault="00AD690E" w:rsidP="00AD690E">
      <w:pPr>
        <w:spacing w:before="120" w:after="120"/>
        <w:jc w:val="both"/>
      </w:pPr>
      <w:r w:rsidRPr="00562808">
        <w:t>À la fin des années 1950, les femmes canadiennes ont acquis le droit de participer à la vie politique. Elles votent depuis fort lon</w:t>
      </w:r>
      <w:r w:rsidRPr="00562808">
        <w:t>g</w:t>
      </w:r>
      <w:r w:rsidRPr="00562808">
        <w:t>temps, puisque dès 1917, lors des élections nationales, les femmes des forces armées ainsi que certaines parentes de soldats et d'officiers ont pu voter. L'année suivante, plus précisément le 24 mai 1918, toutes les femmes furent autorisées à voter. Un an plus tard, le droit de siéger au Parlement leur fut octroyé. Au niveau provincial, toutes les provinces,</w:t>
      </w:r>
      <w:r>
        <w:t xml:space="preserve"> [</w:t>
      </w:r>
      <w:r w:rsidRPr="00562808">
        <w:rPr>
          <w:szCs w:val="18"/>
        </w:rPr>
        <w:t>360</w:t>
      </w:r>
      <w:r>
        <w:rPr>
          <w:szCs w:val="18"/>
        </w:rPr>
        <w:t xml:space="preserve">] </w:t>
      </w:r>
      <w:r w:rsidRPr="00562808">
        <w:rPr>
          <w:szCs w:val="22"/>
        </w:rPr>
        <w:t>sauf le Québec (et bien sûr Terre-Neuve qui ne fera partie de la Confédération canadienne qu'à partir de 1949), ont accordé aux fe</w:t>
      </w:r>
      <w:r w:rsidRPr="00562808">
        <w:rPr>
          <w:szCs w:val="22"/>
        </w:rPr>
        <w:t>m</w:t>
      </w:r>
      <w:r w:rsidRPr="00562808">
        <w:rPr>
          <w:szCs w:val="22"/>
        </w:rPr>
        <w:t>mes le droit de vote entre 1916 et 1922</w:t>
      </w:r>
      <w:r>
        <w:rPr>
          <w:szCs w:val="22"/>
        </w:rPr>
        <w:t> </w:t>
      </w:r>
      <w:r w:rsidRPr="00D23A0B">
        <w:rPr>
          <w:rStyle w:val="Appelnotedebasdep"/>
        </w:rPr>
        <w:footnoteReference w:id="605"/>
      </w:r>
      <w:r w:rsidRPr="00562808">
        <w:rPr>
          <w:szCs w:val="22"/>
        </w:rPr>
        <w:t>.</w:t>
      </w:r>
    </w:p>
    <w:p w:rsidR="00AD690E" w:rsidRPr="00562808" w:rsidRDefault="00AD690E" w:rsidP="00AD690E">
      <w:pPr>
        <w:spacing w:before="120" w:after="120"/>
        <w:jc w:val="both"/>
      </w:pPr>
      <w:r w:rsidRPr="00562808">
        <w:rPr>
          <w:szCs w:val="22"/>
        </w:rPr>
        <w:t>C'est aussi pendant cette décennie que les femmes obtiennent le droit d'être nommées au Sénat. Avant cela et au terme de la Constit</w:t>
      </w:r>
      <w:r w:rsidRPr="00562808">
        <w:rPr>
          <w:szCs w:val="22"/>
        </w:rPr>
        <w:t>u</w:t>
      </w:r>
      <w:r w:rsidRPr="00562808">
        <w:rPr>
          <w:szCs w:val="22"/>
        </w:rPr>
        <w:t>tion, elles étaient considérées incapables de prendre part à la vie p</w:t>
      </w:r>
      <w:r w:rsidRPr="00562808">
        <w:rPr>
          <w:szCs w:val="22"/>
        </w:rPr>
        <w:t>u</w:t>
      </w:r>
      <w:r w:rsidRPr="00562808">
        <w:rPr>
          <w:szCs w:val="22"/>
        </w:rPr>
        <w:t>blique. En 1929, le Conseil privé de Grande-Bretagne jugea que le mot « personne », à l'article 24 de l'AANB, désignait les hommes et les femmes</w:t>
      </w:r>
      <w:r>
        <w:rPr>
          <w:szCs w:val="22"/>
        </w:rPr>
        <w:t> </w:t>
      </w:r>
      <w:r w:rsidRPr="00D23A0B">
        <w:rPr>
          <w:rStyle w:val="Appelnotedebasdep"/>
        </w:rPr>
        <w:footnoteReference w:id="606"/>
      </w:r>
      <w:r w:rsidRPr="00562808">
        <w:rPr>
          <w:szCs w:val="22"/>
        </w:rPr>
        <w:t>.</w:t>
      </w:r>
    </w:p>
    <w:p w:rsidR="00AD690E" w:rsidRPr="00562808" w:rsidRDefault="00AD690E" w:rsidP="00AD690E">
      <w:pPr>
        <w:spacing w:before="120" w:after="120"/>
        <w:jc w:val="both"/>
      </w:pPr>
      <w:r w:rsidRPr="00562808">
        <w:rPr>
          <w:szCs w:val="22"/>
        </w:rPr>
        <w:t>Si la première femme députée au Parlement fédéral fut élue en 1921, il faut tout de même attendre 1957 avant qu'une femme soit nommée ministre dans le cabinet fédéral. Agnès Campbell Macphail, institutrice de l'Ontario, siégea à la Chambre des communes pendant dix-neuf ans. Quant à Ellcn Fairclough, également de l'Ontario, John Diefenbaker la nomma secrétaire d'État. Elle devint ministre de la C</w:t>
      </w:r>
      <w:r w:rsidRPr="00562808">
        <w:rPr>
          <w:szCs w:val="22"/>
        </w:rPr>
        <w:t>i</w:t>
      </w:r>
      <w:r w:rsidRPr="00562808">
        <w:rPr>
          <w:szCs w:val="22"/>
        </w:rPr>
        <w:t>toyenneté et de l'Immigration moins d'un an plus tard. En 1962, elle obtient le ministère des Postes</w:t>
      </w:r>
      <w:r>
        <w:rPr>
          <w:szCs w:val="22"/>
        </w:rPr>
        <w:t> </w:t>
      </w:r>
      <w:r w:rsidRPr="00D23A0B">
        <w:rPr>
          <w:rStyle w:val="Appelnotedebasdep"/>
        </w:rPr>
        <w:footnoteReference w:id="607"/>
      </w:r>
      <w:r w:rsidRPr="00562808">
        <w:rPr>
          <w:szCs w:val="22"/>
        </w:rPr>
        <w:t>. Enfin, c'est le premier ministre MacKenzie King qui nomma, en 1930, la première femme sénateur. Il s'agit de Canine Wilson. Le succès de ces femmes ne donna pas lieu, pourtant, à une insertion plus importante des femmes dans le système politique. Lors de l'arrivée au pouvoir des libéraux en 1963, les fe</w:t>
      </w:r>
      <w:r w:rsidRPr="00562808">
        <w:rPr>
          <w:szCs w:val="22"/>
        </w:rPr>
        <w:t>m</w:t>
      </w:r>
      <w:r w:rsidRPr="00562808">
        <w:rPr>
          <w:szCs w:val="22"/>
        </w:rPr>
        <w:t>mes en politique demeurent l'exception. De 1921 à 1963, un peu plus d'une dizaine d'entre elles furent élues au Parlement. Quant aux fe</w:t>
      </w:r>
      <w:r w:rsidRPr="00562808">
        <w:rPr>
          <w:szCs w:val="22"/>
        </w:rPr>
        <w:t>m</w:t>
      </w:r>
      <w:r w:rsidRPr="00562808">
        <w:rPr>
          <w:szCs w:val="22"/>
        </w:rPr>
        <w:t>mes sénateurs, on les compte sur les doigts d'une seule main. Aux A</w:t>
      </w:r>
      <w:r w:rsidRPr="00562808">
        <w:rPr>
          <w:szCs w:val="22"/>
        </w:rPr>
        <w:t>s</w:t>
      </w:r>
      <w:r w:rsidRPr="00562808">
        <w:rPr>
          <w:szCs w:val="22"/>
        </w:rPr>
        <w:t>semblées législatives provinciales, les femmes ne font guère mieux. Leur présence demeure toujours inférieure à 1%</w:t>
      </w:r>
      <w:r w:rsidRPr="00562808">
        <w:rPr>
          <w:i/>
          <w:iCs/>
          <w:szCs w:val="22"/>
        </w:rPr>
        <w:t>.</w:t>
      </w:r>
    </w:p>
    <w:p w:rsidR="00AD690E" w:rsidRPr="00562808" w:rsidRDefault="00AD690E" w:rsidP="00AD690E">
      <w:pPr>
        <w:spacing w:before="120" w:after="120"/>
        <w:jc w:val="both"/>
      </w:pPr>
      <w:r w:rsidRPr="00562808">
        <w:rPr>
          <w:szCs w:val="22"/>
        </w:rPr>
        <w:t>Ce qui se passe dans la sphère politique traduit, du moins partie</w:t>
      </w:r>
      <w:r w:rsidRPr="00562808">
        <w:rPr>
          <w:szCs w:val="22"/>
        </w:rPr>
        <w:t>l</w:t>
      </w:r>
      <w:r w:rsidRPr="00562808">
        <w:rPr>
          <w:szCs w:val="22"/>
        </w:rPr>
        <w:t>lement, ce qui existe ailleurs, au sein du monde du travail. Pourtant, depuis le début des années 1950, les femmes étaient de plus en plus nombreuses sur le marché du travail. En outre, leur participation à la main-d'</w:t>
      </w:r>
      <w:r>
        <w:rPr>
          <w:szCs w:val="22"/>
        </w:rPr>
        <w:t>œuvre</w:t>
      </w:r>
      <w:r w:rsidRPr="00562808">
        <w:rPr>
          <w:szCs w:val="22"/>
        </w:rPr>
        <w:t xml:space="preserve"> dite active n'a fait qu'augmenter. Au début des années 1960, une personne active sur quatre était une femme. Ces femmes salariées étaient souvent mariées (une sur trois) et leur importance a augmenté rapidement parmi les femmes qui travaillaient. Pour toutes ces femmes, la question d'argent l'emporte sur toutes les autres, n</w:t>
      </w:r>
      <w:r w:rsidRPr="00562808">
        <w:rPr>
          <w:szCs w:val="22"/>
        </w:rPr>
        <w:t>o</w:t>
      </w:r>
      <w:r w:rsidRPr="00562808">
        <w:rPr>
          <w:szCs w:val="22"/>
        </w:rPr>
        <w:t>tamment pour les femmes mariées. Les données de 1958, fournies par le</w:t>
      </w:r>
      <w:r>
        <w:rPr>
          <w:szCs w:val="22"/>
        </w:rPr>
        <w:t xml:space="preserve"> </w:t>
      </w:r>
      <w:r>
        <w:rPr>
          <w:szCs w:val="18"/>
        </w:rPr>
        <w:t xml:space="preserve">[361] </w:t>
      </w:r>
      <w:r w:rsidRPr="00562808">
        <w:rPr>
          <w:szCs w:val="22"/>
        </w:rPr>
        <w:t>Bureau de la main-d'</w:t>
      </w:r>
      <w:r>
        <w:rPr>
          <w:szCs w:val="22"/>
        </w:rPr>
        <w:t>œuvre</w:t>
      </w:r>
      <w:r w:rsidRPr="00562808">
        <w:rPr>
          <w:szCs w:val="22"/>
        </w:rPr>
        <w:t xml:space="preserve"> féminine du ministère fédéral du Travail, indiquent que dans 70%</w:t>
      </w:r>
      <w:r w:rsidRPr="00562808">
        <w:rPr>
          <w:i/>
          <w:iCs/>
          <w:szCs w:val="22"/>
        </w:rPr>
        <w:t xml:space="preserve"> </w:t>
      </w:r>
      <w:r w:rsidRPr="00562808">
        <w:rPr>
          <w:szCs w:val="22"/>
        </w:rPr>
        <w:t>des cas, les maris des femmes sal</w:t>
      </w:r>
      <w:r w:rsidRPr="00562808">
        <w:rPr>
          <w:szCs w:val="22"/>
        </w:rPr>
        <w:t>a</w:t>
      </w:r>
      <w:r w:rsidRPr="00562808">
        <w:rPr>
          <w:szCs w:val="22"/>
        </w:rPr>
        <w:t>riées recevaient un traitement annuel inférieur à 5</w:t>
      </w:r>
      <w:r>
        <w:rPr>
          <w:szCs w:val="22"/>
        </w:rPr>
        <w:t> </w:t>
      </w:r>
      <w:r w:rsidRPr="00562808">
        <w:rPr>
          <w:szCs w:val="22"/>
        </w:rPr>
        <w:t>000</w:t>
      </w:r>
      <w:r>
        <w:rPr>
          <w:szCs w:val="22"/>
        </w:rPr>
        <w:t> $</w:t>
      </w:r>
      <w:r w:rsidRPr="00562808">
        <w:rPr>
          <w:szCs w:val="22"/>
        </w:rPr>
        <w:t>.</w:t>
      </w:r>
    </w:p>
    <w:p w:rsidR="00AD690E" w:rsidRPr="00562808" w:rsidRDefault="00AD690E" w:rsidP="00AD690E">
      <w:pPr>
        <w:spacing w:before="120" w:after="120"/>
        <w:jc w:val="both"/>
      </w:pPr>
      <w:r w:rsidRPr="00562808">
        <w:rPr>
          <w:szCs w:val="22"/>
        </w:rPr>
        <w:t>En 1961, ce sont les catégories « services personnels » et « travail de bureau » qui constituaient les deux plus importants secteurs de tr</w:t>
      </w:r>
      <w:r w:rsidRPr="00562808">
        <w:rPr>
          <w:szCs w:val="22"/>
        </w:rPr>
        <w:t>a</w:t>
      </w:r>
      <w:r w:rsidRPr="00562808">
        <w:rPr>
          <w:szCs w:val="22"/>
        </w:rPr>
        <w:t>vail de la main-d'oeuvre féminine canadienne ; dans ces groupes de professions, le pourcentage des femmes par rapport à tous les travai</w:t>
      </w:r>
      <w:r w:rsidRPr="00562808">
        <w:rPr>
          <w:szCs w:val="22"/>
        </w:rPr>
        <w:t>l</w:t>
      </w:r>
      <w:r w:rsidRPr="00562808">
        <w:rPr>
          <w:szCs w:val="22"/>
        </w:rPr>
        <w:t>leurs était respectivement de 66,4% et de 61,5%</w:t>
      </w:r>
      <w:r>
        <w:rPr>
          <w:szCs w:val="22"/>
        </w:rPr>
        <w:t> </w:t>
      </w:r>
      <w:r w:rsidRPr="00D23A0B">
        <w:rPr>
          <w:rStyle w:val="Appelnotedebasdep"/>
        </w:rPr>
        <w:footnoteReference w:id="608"/>
      </w:r>
      <w:r w:rsidRPr="00562808">
        <w:rPr>
          <w:szCs w:val="22"/>
        </w:rPr>
        <w:t>. Quant aux tr</w:t>
      </w:r>
      <w:r w:rsidRPr="00562808">
        <w:rPr>
          <w:szCs w:val="22"/>
        </w:rPr>
        <w:t>a</w:t>
      </w:r>
      <w:r w:rsidRPr="00562808">
        <w:rPr>
          <w:szCs w:val="22"/>
        </w:rPr>
        <w:t>vailleuses intellectuelles, elles représentaient, pour cette même année, un pourcentage de 16%</w:t>
      </w:r>
      <w:r>
        <w:rPr>
          <w:szCs w:val="22"/>
        </w:rPr>
        <w:t> </w:t>
      </w:r>
      <w:r w:rsidRPr="00D23A0B">
        <w:rPr>
          <w:rStyle w:val="Appelnotedebasdep"/>
        </w:rPr>
        <w:footnoteReference w:id="609"/>
      </w:r>
      <w:r w:rsidRPr="00562808">
        <w:rPr>
          <w:szCs w:val="22"/>
        </w:rPr>
        <w:t>. Selon les spécialistes de l'époque, cette proportion est relativement faible, compte tenu de l'élévation cont</w:t>
      </w:r>
      <w:r w:rsidRPr="00562808">
        <w:rPr>
          <w:szCs w:val="22"/>
        </w:rPr>
        <w:t>i</w:t>
      </w:r>
      <w:r w:rsidRPr="00562808">
        <w:rPr>
          <w:szCs w:val="22"/>
        </w:rPr>
        <w:t>nuelle du niveau d'instruction des femmes, ou encore de l'augment</w:t>
      </w:r>
      <w:r w:rsidRPr="00562808">
        <w:rPr>
          <w:szCs w:val="22"/>
        </w:rPr>
        <w:t>a</w:t>
      </w:r>
      <w:r w:rsidRPr="00562808">
        <w:rPr>
          <w:szCs w:val="22"/>
        </w:rPr>
        <w:t>tion de la proportion de femmes ayant complété un premier cycle un</w:t>
      </w:r>
      <w:r w:rsidRPr="00562808">
        <w:rPr>
          <w:szCs w:val="22"/>
        </w:rPr>
        <w:t>i</w:t>
      </w:r>
      <w:r w:rsidRPr="00562808">
        <w:rPr>
          <w:szCs w:val="22"/>
        </w:rPr>
        <w:t>versitaire, particulièrement depuis la Deuxième Guerre mondiale. Bref, au cours de cette période, la proportion de femmes dans les e</w:t>
      </w:r>
      <w:r w:rsidRPr="00562808">
        <w:rPr>
          <w:szCs w:val="22"/>
        </w:rPr>
        <w:t>m</w:t>
      </w:r>
      <w:r w:rsidRPr="00562808">
        <w:rPr>
          <w:szCs w:val="22"/>
        </w:rPr>
        <w:t>plois de bureau ne cesse de croître ; il en va de même au sein de ce</w:t>
      </w:r>
      <w:r w:rsidRPr="00562808">
        <w:rPr>
          <w:szCs w:val="22"/>
        </w:rPr>
        <w:t>r</w:t>
      </w:r>
      <w:r w:rsidRPr="00562808">
        <w:rPr>
          <w:szCs w:val="22"/>
        </w:rPr>
        <w:t>taines professions traditionnellement féminines où les femmes const</w:t>
      </w:r>
      <w:r w:rsidRPr="00562808">
        <w:rPr>
          <w:szCs w:val="22"/>
        </w:rPr>
        <w:t>i</w:t>
      </w:r>
      <w:r w:rsidRPr="00562808">
        <w:rPr>
          <w:szCs w:val="22"/>
        </w:rPr>
        <w:t>tuent la presque totalité des effectifs (infirmières, enseignantes, par exemple). Quant aux professions libérales, elles demeurent relativ</w:t>
      </w:r>
      <w:r w:rsidRPr="00562808">
        <w:rPr>
          <w:szCs w:val="22"/>
        </w:rPr>
        <w:t>e</w:t>
      </w:r>
      <w:r w:rsidRPr="00562808">
        <w:rPr>
          <w:szCs w:val="22"/>
        </w:rPr>
        <w:t>ment fermées aux femmes, ce qu'indiquent les statistiques de 1961. Les données relatives aux trois principales professions libérales mo</w:t>
      </w:r>
      <w:r w:rsidRPr="00562808">
        <w:rPr>
          <w:szCs w:val="22"/>
        </w:rPr>
        <w:t>n</w:t>
      </w:r>
      <w:r w:rsidRPr="00562808">
        <w:rPr>
          <w:szCs w:val="22"/>
        </w:rPr>
        <w:t>trent que cette a</w:t>
      </w:r>
      <w:r w:rsidRPr="00562808">
        <w:rPr>
          <w:szCs w:val="22"/>
        </w:rPr>
        <w:t>n</w:t>
      </w:r>
      <w:r w:rsidRPr="00562808">
        <w:rPr>
          <w:szCs w:val="22"/>
        </w:rPr>
        <w:t>née-là, 7% des médecins et des chirurgiens étaient des femmes, tandis que chez les avocats, on comptait 3% de femmes. Enfin, il y avait 1% de femmes chez les ministres du culte. Parallèl</w:t>
      </w:r>
      <w:r w:rsidRPr="00562808">
        <w:rPr>
          <w:szCs w:val="22"/>
        </w:rPr>
        <w:t>e</w:t>
      </w:r>
      <w:r w:rsidRPr="00562808">
        <w:rPr>
          <w:szCs w:val="22"/>
        </w:rPr>
        <w:t>ment, on note que la capacité de gain relative de certains emplois a fléchi, notamment les emplois de bureau. Pourtant, celle des classes professionnelles s'est maintenue, tandis que la capacité relative de ce</w:t>
      </w:r>
      <w:r w:rsidRPr="00562808">
        <w:rPr>
          <w:szCs w:val="22"/>
        </w:rPr>
        <w:t>r</w:t>
      </w:r>
      <w:r w:rsidRPr="00562808">
        <w:rPr>
          <w:szCs w:val="22"/>
        </w:rPr>
        <w:t>tains groupes de la classe des « services », dominés par la main-d'oeuvre masculine, s'est élevée</w:t>
      </w:r>
      <w:r>
        <w:rPr>
          <w:szCs w:val="22"/>
        </w:rPr>
        <w:t> </w:t>
      </w:r>
      <w:r w:rsidRPr="00D23A0B">
        <w:rPr>
          <w:rStyle w:val="Appelnotedebasdep"/>
        </w:rPr>
        <w:footnoteReference w:id="610"/>
      </w:r>
      <w:r w:rsidRPr="00562808">
        <w:rPr>
          <w:szCs w:val="22"/>
        </w:rPr>
        <w:t>.</w:t>
      </w:r>
    </w:p>
    <w:p w:rsidR="00AD690E" w:rsidRPr="00562808" w:rsidRDefault="00AD690E" w:rsidP="00AD690E">
      <w:pPr>
        <w:spacing w:before="120" w:after="120"/>
        <w:jc w:val="both"/>
      </w:pPr>
      <w:r w:rsidRPr="00562808">
        <w:rPr>
          <w:szCs w:val="22"/>
        </w:rPr>
        <w:t>Au début des années 1960, donc, il existe au Canada une division sexuelle des tâches rémunérées. La plupart des femmes qui travaillent demeurent concentrées au sein d'emplois subalternes et peu spécial</w:t>
      </w:r>
      <w:r w:rsidRPr="00562808">
        <w:rPr>
          <w:szCs w:val="22"/>
        </w:rPr>
        <w:t>i</w:t>
      </w:r>
      <w:r w:rsidRPr="00562808">
        <w:rPr>
          <w:szCs w:val="22"/>
        </w:rPr>
        <w:t>sés.</w:t>
      </w:r>
    </w:p>
    <w:p w:rsidR="00AD690E" w:rsidRPr="00562808" w:rsidRDefault="00AD690E" w:rsidP="00AD690E">
      <w:pPr>
        <w:spacing w:before="120" w:after="120"/>
        <w:jc w:val="both"/>
      </w:pPr>
      <w:r w:rsidRPr="00562808">
        <w:rPr>
          <w:szCs w:val="22"/>
        </w:rPr>
        <w:t>Néanmoins, à la fin des années 1950, le Canada fait bonne figure parmi les démocraties occidentales quant à la question de l'égalité e</w:t>
      </w:r>
      <w:r w:rsidRPr="00562808">
        <w:rPr>
          <w:szCs w:val="22"/>
        </w:rPr>
        <w:t>n</w:t>
      </w:r>
      <w:r w:rsidRPr="00562808">
        <w:rPr>
          <w:szCs w:val="22"/>
        </w:rPr>
        <w:t>tre les hommes et les femmes et à propos de la lutte à la discrimin</w:t>
      </w:r>
      <w:r w:rsidRPr="00562808">
        <w:rPr>
          <w:szCs w:val="22"/>
        </w:rPr>
        <w:t>a</w:t>
      </w:r>
      <w:r w:rsidRPr="00562808">
        <w:rPr>
          <w:szCs w:val="22"/>
        </w:rPr>
        <w:t xml:space="preserve">tion. Le 10 décembre 1948, à l'Assemblée générale des Nations unies, le Canada a voté en faveur de la </w:t>
      </w:r>
      <w:r w:rsidRPr="00562808">
        <w:rPr>
          <w:i/>
          <w:iCs/>
          <w:szCs w:val="22"/>
        </w:rPr>
        <w:t xml:space="preserve">Déclaration universelle des droits de l'homme, </w:t>
      </w:r>
      <w:r w:rsidRPr="00562808">
        <w:rPr>
          <w:szCs w:val="22"/>
        </w:rPr>
        <w:t>dont les articles 2 et 7 notamment, interdisent la discrimin</w:t>
      </w:r>
      <w:r w:rsidRPr="00562808">
        <w:rPr>
          <w:szCs w:val="22"/>
        </w:rPr>
        <w:t>a</w:t>
      </w:r>
      <w:r w:rsidRPr="00562808">
        <w:rPr>
          <w:szCs w:val="22"/>
        </w:rPr>
        <w:t>tion basée sur le sexe. D'ailleurs, la loi canadienne sur les justes m</w:t>
      </w:r>
      <w:r w:rsidRPr="00562808">
        <w:rPr>
          <w:szCs w:val="22"/>
        </w:rPr>
        <w:t>é</w:t>
      </w:r>
      <w:r w:rsidRPr="00562808">
        <w:rPr>
          <w:szCs w:val="22"/>
        </w:rPr>
        <w:t>thodes d'emploi de 1953, comporte des clauses contre les mesures di</w:t>
      </w:r>
      <w:r w:rsidRPr="00562808">
        <w:rPr>
          <w:szCs w:val="22"/>
        </w:rPr>
        <w:t>s</w:t>
      </w:r>
      <w:r w:rsidRPr="00562808">
        <w:rPr>
          <w:szCs w:val="22"/>
        </w:rPr>
        <w:t>criminatoires dans l'emploi pour des raisons de race, de</w:t>
      </w:r>
      <w:r>
        <w:rPr>
          <w:szCs w:val="22"/>
        </w:rPr>
        <w:t xml:space="preserve"> </w:t>
      </w:r>
      <w:r>
        <w:rPr>
          <w:szCs w:val="18"/>
        </w:rPr>
        <w:t>[</w:t>
      </w:r>
      <w:r w:rsidRPr="00562808">
        <w:t>362</w:t>
      </w:r>
      <w:r>
        <w:t xml:space="preserve">] </w:t>
      </w:r>
      <w:r w:rsidRPr="00562808">
        <w:t>couleur, de religion ou d'origine ethnique. Mais la discrimination pour les ra</w:t>
      </w:r>
      <w:r w:rsidRPr="00562808">
        <w:t>i</w:t>
      </w:r>
      <w:r w:rsidRPr="00562808">
        <w:t xml:space="preserve">sons de sexe ne sera interdite qu'en 1960, à la suite de la promulgation de la </w:t>
      </w:r>
      <w:r w:rsidRPr="00562808">
        <w:rPr>
          <w:i/>
          <w:iCs/>
        </w:rPr>
        <w:t xml:space="preserve">Déclaration canadienne des droits. </w:t>
      </w:r>
      <w:r w:rsidRPr="00562808">
        <w:t>Dès 1956 pourtant, une loi fédérale sur la parité salariale entre les hommes et les femmes est édictée.</w:t>
      </w:r>
    </w:p>
    <w:p w:rsidR="00AD690E" w:rsidRDefault="00AD690E" w:rsidP="00AD690E">
      <w:pPr>
        <w:spacing w:before="120" w:after="120"/>
        <w:jc w:val="both"/>
      </w:pPr>
    </w:p>
    <w:p w:rsidR="00AD690E" w:rsidRPr="00487037" w:rsidRDefault="00AD690E" w:rsidP="00AD690E">
      <w:pPr>
        <w:pStyle w:val="a"/>
      </w:pPr>
      <w:r w:rsidRPr="00487037">
        <w:t>L'espace féministe</w:t>
      </w:r>
    </w:p>
    <w:p w:rsidR="00AD690E" w:rsidRDefault="00AD690E" w:rsidP="00AD690E">
      <w:pPr>
        <w:spacing w:before="120" w:after="120"/>
        <w:jc w:val="both"/>
      </w:pPr>
    </w:p>
    <w:p w:rsidR="00AD690E" w:rsidRPr="00562808" w:rsidRDefault="00AD690E" w:rsidP="00AD690E">
      <w:pPr>
        <w:spacing w:before="120" w:after="120"/>
        <w:jc w:val="both"/>
      </w:pPr>
      <w:r w:rsidRPr="00562808">
        <w:t>Pour les femmes canadiennes, la fin des années 1950 correspond à une période de consolidation. Elles ont acquis le droit de participer à la vie politique. Elles peuvent, aussi, exercer toutes les professions et s'acquitter des responsabilités publiques, quelles qu'elles soient</w:t>
      </w:r>
      <w:r>
        <w:t> </w:t>
      </w:r>
      <w:r w:rsidRPr="00D23A0B">
        <w:rPr>
          <w:rStyle w:val="Appelnotedebasdep"/>
        </w:rPr>
        <w:footnoteReference w:id="611"/>
      </w:r>
      <w:r w:rsidRPr="00562808">
        <w:t>. Toutefois, c'est généralement dans le cadre étroit de la famille et du mariage, ou encore des églises et des associations diverses que s'org</w:t>
      </w:r>
      <w:r w:rsidRPr="00562808">
        <w:t>a</w:t>
      </w:r>
      <w:r w:rsidRPr="00562808">
        <w:t>nise la participation des femmes. Certes, les femmes s'engagent, ou encore militent, ou encore travaillent à l'extérieur du foyer. Mais sauf exception, elles agissent dans la continuité de leur rôle domestique</w:t>
      </w:r>
      <w:r>
        <w:t> </w:t>
      </w:r>
      <w:r w:rsidRPr="00D23A0B">
        <w:rPr>
          <w:rStyle w:val="Appelnotedebasdep"/>
        </w:rPr>
        <w:footnoteReference w:id="612"/>
      </w:r>
      <w:r w:rsidRPr="00562808">
        <w:t>. La séparation public-privé n'est nullement mise en cause. Si les fe</w:t>
      </w:r>
      <w:r w:rsidRPr="00562808">
        <w:t>m</w:t>
      </w:r>
      <w:r w:rsidRPr="00562808">
        <w:t>mes commencent à être intégrées, elles ne le sont que partiellement, vers des lieux et à des niveaux circonscrits. Il se trouve qu'en droit, les femmes peuvent être partout et les transformations qui s'opèrent, alors, en témoignent. Pourtant, plusieurs des modèles institués au cours de cette période participent de la logique de la contrainte et de la reproduction sociale, plutôt que de celle de la libération. Ainsi en est-il, par exemple, de l'accès généralisé des filles aux collèges et aux universités, lorsque cet accès se traduit par la mise en place et le dév</w:t>
      </w:r>
      <w:r w:rsidRPr="00562808">
        <w:t>e</w:t>
      </w:r>
      <w:r w:rsidRPr="00562808">
        <w:t>loppement de filières parallèles : une pour les femmes, une autre pour les hommes. Celles-là optent généralement pour l'éducation, le service social, ou encore la puériculture, ceux-ci préfèrent les sciences et le commerce, le droit et la médecine. Au plan professionnel, on assiste à la création de ghettos féminins, caractérisés par des bas salaires, des possibilités de promotion réduites, des responsabilités amoindries.</w:t>
      </w:r>
    </w:p>
    <w:p w:rsidR="00AD690E" w:rsidRPr="00562808" w:rsidRDefault="00AD690E" w:rsidP="00AD690E">
      <w:pPr>
        <w:spacing w:before="120" w:after="120"/>
        <w:jc w:val="both"/>
      </w:pPr>
      <w:r w:rsidRPr="00562808">
        <w:t>La présence accrue des femmes au sein de la population active ne fera qu'accélérer le processus selon lequel les meilleures places seront toujours attribuées aux hommes. Pour l'heure, constatons simplement les conditions de la formation de ce dernier processus.</w:t>
      </w:r>
    </w:p>
    <w:p w:rsidR="00AD690E" w:rsidRPr="00562808" w:rsidRDefault="00AD690E" w:rsidP="00AD690E">
      <w:pPr>
        <w:spacing w:before="120" w:after="120"/>
        <w:jc w:val="both"/>
      </w:pPr>
      <w:r w:rsidRPr="00562808">
        <w:t>Au plan politique, on peut croire que le gouvernement n'intervient pas, ou si peu. C'est pourtant au cours de cette période que l'État can</w:t>
      </w:r>
      <w:r w:rsidRPr="00562808">
        <w:t>a</w:t>
      </w:r>
      <w:r w:rsidRPr="00562808">
        <w:t>dien devient</w:t>
      </w:r>
      <w:r>
        <w:t xml:space="preserve"> </w:t>
      </w:r>
      <w:r>
        <w:rPr>
          <w:szCs w:val="18"/>
        </w:rPr>
        <w:t xml:space="preserve">[363] </w:t>
      </w:r>
      <w:r w:rsidRPr="00562808">
        <w:t>l'interlocuteur privilégié des femmes : on lui récl</w:t>
      </w:r>
      <w:r w:rsidRPr="00562808">
        <w:t>a</w:t>
      </w:r>
      <w:r w:rsidRPr="00562808">
        <w:t>me des droits, on lui demande des ressources, on lui revendique des réformes. Ce faisant, c'est à une prise en charge croissante des dive</w:t>
      </w:r>
      <w:r w:rsidRPr="00562808">
        <w:t>r</w:t>
      </w:r>
      <w:r w:rsidRPr="00562808">
        <w:t>ses dimensions de la vie des femmes à laquelle on assiste. Les polit</w:t>
      </w:r>
      <w:r w:rsidRPr="00562808">
        <w:t>i</w:t>
      </w:r>
      <w:r w:rsidRPr="00562808">
        <w:t>ques, les législations, les programmes de toutes sortes, destinés aux femmes et à leurs e</w:t>
      </w:r>
      <w:r w:rsidRPr="00562808">
        <w:t>n</w:t>
      </w:r>
      <w:r w:rsidRPr="00562808">
        <w:t>fants, orientent la distribution des ressources vers un contrôle plus serré des agents femmes. Ce dernier contrôle s'a</w:t>
      </w:r>
      <w:r w:rsidRPr="00562808">
        <w:t>c</w:t>
      </w:r>
      <w:r w:rsidRPr="00562808">
        <w:t>compagne, toutefois, de la mise en place de principes qui serviront à orienter les luttes fémini</w:t>
      </w:r>
      <w:r w:rsidRPr="00562808">
        <w:t>s</w:t>
      </w:r>
      <w:r w:rsidRPr="00562808">
        <w:t>tes au cours des années subséquentes.</w:t>
      </w:r>
    </w:p>
    <w:p w:rsidR="00AD690E" w:rsidRPr="00562808" w:rsidRDefault="00AD690E" w:rsidP="00AD690E">
      <w:pPr>
        <w:spacing w:before="120" w:after="120"/>
        <w:jc w:val="both"/>
      </w:pPr>
      <w:r w:rsidRPr="00562808">
        <w:t>On peut avoir l'impression, enfin, que le militantisme des associ</w:t>
      </w:r>
      <w:r w:rsidRPr="00562808">
        <w:t>a</w:t>
      </w:r>
      <w:r w:rsidRPr="00562808">
        <w:t>tions féminines a décliné. Il est vrai que les luttes des années 1920 dans la « cause des personnes » avai</w:t>
      </w:r>
      <w:r>
        <w:t>en</w:t>
      </w:r>
      <w:r w:rsidRPr="00562808">
        <w:t>t mobilisé bien des énergies. De même, les batailles qu'ont dû mener les femmes lorsqu'elles ont voulu exercer leur profession dans des domaines traditionnellement réservés aux hommes, rendent compte des objectifs poursuivis, alors, par les femmes. N'oublions pas, non plus, les actions des femmes dans les syndicats et destinées à imposer l'idée selon laquelle elles sont des travailleuses comme les autres. Bref, s'il existe peu de groupes fém</w:t>
      </w:r>
      <w:r w:rsidRPr="00562808">
        <w:t>i</w:t>
      </w:r>
      <w:r w:rsidRPr="00562808">
        <w:t>nins, les femmes n'en continuent pas moins de poursuivre des obje</w:t>
      </w:r>
      <w:r w:rsidRPr="00562808">
        <w:t>c</w:t>
      </w:r>
      <w:r w:rsidRPr="00562808">
        <w:t>tifs précis, à travers des structures mixtes : associations, partis, synd</w:t>
      </w:r>
      <w:r w:rsidRPr="00562808">
        <w:t>i</w:t>
      </w:r>
      <w:r w:rsidRPr="00562808">
        <w:t xml:space="preserve">cats. Quant à la </w:t>
      </w:r>
      <w:r w:rsidRPr="00562808">
        <w:rPr>
          <w:i/>
          <w:iCs/>
        </w:rPr>
        <w:t xml:space="preserve">Voix des femmes, </w:t>
      </w:r>
      <w:r w:rsidRPr="00562808">
        <w:t>association pacifiste reliée à la ga</w:t>
      </w:r>
      <w:r w:rsidRPr="00562808">
        <w:t>u</w:t>
      </w:r>
      <w:r w:rsidRPr="00562808">
        <w:t>che canadienne, elle mobilise ses membres sur plusieurs fronts. Vér</w:t>
      </w:r>
      <w:r w:rsidRPr="00562808">
        <w:t>i</w:t>
      </w:r>
      <w:r w:rsidRPr="00562808">
        <w:t xml:space="preserve">table école d'action politique pour les femmes, la </w:t>
      </w:r>
      <w:r w:rsidRPr="00562808">
        <w:rPr>
          <w:i/>
          <w:iCs/>
        </w:rPr>
        <w:t xml:space="preserve">Voix des femmes </w:t>
      </w:r>
      <w:r w:rsidRPr="00562808">
        <w:t>inspirera les revendications féministes de la décennie suivante.</w:t>
      </w:r>
    </w:p>
    <w:p w:rsidR="00AD690E" w:rsidRDefault="00AD690E" w:rsidP="00AD690E">
      <w:pPr>
        <w:spacing w:before="120" w:after="120"/>
        <w:jc w:val="both"/>
      </w:pPr>
    </w:p>
    <w:p w:rsidR="00AD690E" w:rsidRPr="00562808" w:rsidRDefault="00AD690E" w:rsidP="00AD690E">
      <w:pPr>
        <w:pStyle w:val="planche"/>
      </w:pPr>
      <w:r w:rsidRPr="00562808">
        <w:t>VERS UNE « SOCI</w:t>
      </w:r>
      <w:r>
        <w:t>É</w:t>
      </w:r>
      <w:r w:rsidRPr="00562808">
        <w:t>T</w:t>
      </w:r>
      <w:r>
        <w:t>É</w:t>
      </w:r>
      <w:r w:rsidRPr="00562808">
        <w:t xml:space="preserve"> JUSTE »</w:t>
      </w:r>
      <w:r>
        <w:br/>
      </w:r>
      <w:r w:rsidRPr="00562808">
        <w:t>POUR LES FEMMES ?</w:t>
      </w:r>
    </w:p>
    <w:p w:rsidR="00AD690E" w:rsidRDefault="00AD690E" w:rsidP="00AD690E">
      <w:pPr>
        <w:spacing w:before="120" w:after="120"/>
        <w:jc w:val="both"/>
      </w:pPr>
    </w:p>
    <w:p w:rsidR="00AD690E" w:rsidRPr="00562808" w:rsidRDefault="00AD690E" w:rsidP="00AD690E">
      <w:pPr>
        <w:spacing w:before="120" w:after="120"/>
        <w:jc w:val="both"/>
      </w:pPr>
      <w:r w:rsidRPr="00562808">
        <w:t>Dans cette partie, nous étudierons les actions du gouvernement l</w:t>
      </w:r>
      <w:r w:rsidRPr="00562808">
        <w:t>i</w:t>
      </w:r>
      <w:r w:rsidRPr="00562808">
        <w:t>béral fédéral à l'endroit des femmes canadiennes entre 1963 et 1984. Différents aspects seront abordés, mais nous porterons une attention particulière aux enquêtes et aux rapports dont les femmes ont été l'o</w:t>
      </w:r>
      <w:r w:rsidRPr="00562808">
        <w:t>b</w:t>
      </w:r>
      <w:r w:rsidRPr="00562808">
        <w:t>jet ainsi qu'aux institutions créées par l'État canadien à l'intention des femmes.</w:t>
      </w:r>
    </w:p>
    <w:p w:rsidR="00AD690E" w:rsidRDefault="00AD690E" w:rsidP="00AD690E">
      <w:pPr>
        <w:spacing w:before="120" w:after="120"/>
        <w:jc w:val="both"/>
      </w:pPr>
      <w:r w:rsidRPr="00562808">
        <w:t>Notons toutefois que face au nombre quasi illimité d'enquêtes, de rapports, de programmes, ayant pris lieu et place dans l'appareil go</w:t>
      </w:r>
      <w:r w:rsidRPr="00562808">
        <w:t>u</w:t>
      </w:r>
      <w:r w:rsidRPr="00562808">
        <w:t>vernemental fédéral, il demeure extrêmement difficile de hiérarchiser le tout en un ensemble cohérent. Bien sûr, les nombreuses actions m</w:t>
      </w:r>
      <w:r w:rsidRPr="00562808">
        <w:t>e</w:t>
      </w:r>
      <w:r w:rsidRPr="00562808">
        <w:t>nées par les pouvoirs publics ne se situent pas toutes au même niveau d'importance. Mais lorsqu'il s'agit de rendre compte du rôle joué par le gouvernement fédéral, d'identifier les priorités du dit gouvernement, il importe de retenir l'essentiel plutôt que l'accessoire, le général plutôt que le particulier. En regardant du côté des choix effectués par le go</w:t>
      </w:r>
      <w:r w:rsidRPr="00562808">
        <w:t>u</w:t>
      </w:r>
      <w:r w:rsidRPr="00562808">
        <w:t>vernement libéral, d'une part au plan économique et social, d'autre part dans le domaine des droits fondamentaux, on révèle certaines f</w:t>
      </w:r>
      <w:r w:rsidRPr="00562808">
        <w:t>a</w:t>
      </w:r>
      <w:r w:rsidRPr="00562808">
        <w:t>cettes des multiples réalités des femmes canadiennes. On évalue, au</w:t>
      </w:r>
      <w:r w:rsidRPr="00562808">
        <w:t>s</w:t>
      </w:r>
      <w:r w:rsidRPr="00562808">
        <w:t>si, la portée des changements proposés.</w:t>
      </w:r>
    </w:p>
    <w:p w:rsidR="00AD690E" w:rsidRDefault="00AD690E" w:rsidP="00AD690E">
      <w:pPr>
        <w:spacing w:before="120" w:after="120"/>
        <w:jc w:val="both"/>
        <w:rPr>
          <w:szCs w:val="22"/>
        </w:rPr>
      </w:pPr>
      <w:r>
        <w:t>[</w:t>
      </w:r>
      <w:r w:rsidRPr="00562808">
        <w:rPr>
          <w:szCs w:val="22"/>
        </w:rPr>
        <w:t>364</w:t>
      </w:r>
      <w:r>
        <w:rPr>
          <w:szCs w:val="22"/>
        </w:rPr>
        <w:t>]</w:t>
      </w:r>
    </w:p>
    <w:p w:rsidR="00AD690E" w:rsidRPr="0064062B" w:rsidRDefault="00AD690E" w:rsidP="00AD690E">
      <w:pPr>
        <w:spacing w:before="120" w:after="120"/>
        <w:jc w:val="both"/>
        <w:rPr>
          <w:b/>
        </w:rPr>
      </w:pPr>
    </w:p>
    <w:p w:rsidR="00AD690E" w:rsidRPr="00562808" w:rsidRDefault="00AD690E" w:rsidP="00AD690E">
      <w:pPr>
        <w:pStyle w:val="a"/>
      </w:pPr>
      <w:r w:rsidRPr="0064062B">
        <w:t>Les interventions du gouvernement fédéral</w:t>
      </w:r>
      <w:r>
        <w:br/>
      </w:r>
      <w:r w:rsidRPr="0064062B">
        <w:t>à l'endroit des femmes canadiennes :</w:t>
      </w:r>
      <w:r>
        <w:br/>
      </w:r>
      <w:r w:rsidRPr="0064062B">
        <w:t>le domaine social et économ</w:t>
      </w:r>
      <w:r w:rsidRPr="0064062B">
        <w:t>i</w:t>
      </w:r>
      <w:r w:rsidRPr="0064062B">
        <w:t>que</w:t>
      </w:r>
    </w:p>
    <w:p w:rsidR="00AD690E" w:rsidRDefault="00AD690E" w:rsidP="00AD690E">
      <w:pPr>
        <w:spacing w:before="120" w:after="120"/>
        <w:jc w:val="both"/>
        <w:rPr>
          <w:szCs w:val="22"/>
        </w:rPr>
      </w:pPr>
    </w:p>
    <w:p w:rsidR="00AD690E" w:rsidRPr="00562808" w:rsidRDefault="00AD690E" w:rsidP="00AD690E">
      <w:pPr>
        <w:spacing w:before="120" w:after="120"/>
        <w:ind w:left="709" w:hanging="709"/>
        <w:jc w:val="both"/>
      </w:pPr>
      <w:r w:rsidRPr="00562808">
        <w:rPr>
          <w:szCs w:val="22"/>
        </w:rPr>
        <w:t>a)</w:t>
      </w:r>
      <w:r>
        <w:rPr>
          <w:szCs w:val="22"/>
        </w:rPr>
        <w:tab/>
      </w:r>
      <w:r w:rsidRPr="00562808">
        <w:rPr>
          <w:szCs w:val="22"/>
        </w:rPr>
        <w:t>La Commission royale d'enquête sur la situation de la femme au Canada : 1967-1970</w:t>
      </w:r>
    </w:p>
    <w:p w:rsidR="00AD690E" w:rsidRPr="00562808" w:rsidRDefault="00AD690E" w:rsidP="00AD690E">
      <w:pPr>
        <w:spacing w:before="120" w:after="120"/>
        <w:ind w:left="720"/>
        <w:jc w:val="both"/>
      </w:pPr>
      <w:r w:rsidRPr="00562808">
        <w:rPr>
          <w:szCs w:val="22"/>
        </w:rPr>
        <w:t xml:space="preserve">L'arrivée au pouvoir des libéraux fédéraux s'effectue au moment où les femmes canadiennes, à travers la </w:t>
      </w:r>
      <w:r w:rsidRPr="00562808">
        <w:rPr>
          <w:i/>
          <w:iCs/>
          <w:szCs w:val="22"/>
        </w:rPr>
        <w:t>Voix des fe</w:t>
      </w:r>
      <w:r w:rsidRPr="00562808">
        <w:rPr>
          <w:i/>
          <w:iCs/>
          <w:szCs w:val="22"/>
        </w:rPr>
        <w:t>m</w:t>
      </w:r>
      <w:r w:rsidRPr="00562808">
        <w:rPr>
          <w:i/>
          <w:iCs/>
          <w:szCs w:val="22"/>
        </w:rPr>
        <w:t xml:space="preserve">mes, </w:t>
      </w:r>
      <w:r w:rsidRPr="00562808">
        <w:rPr>
          <w:szCs w:val="22"/>
        </w:rPr>
        <w:t>accentuent leurs pressions en vue de faire modifier dive</w:t>
      </w:r>
      <w:r w:rsidRPr="00562808">
        <w:rPr>
          <w:szCs w:val="22"/>
        </w:rPr>
        <w:t>r</w:t>
      </w:r>
      <w:r w:rsidRPr="00562808">
        <w:rPr>
          <w:szCs w:val="22"/>
        </w:rPr>
        <w:t>ses lois. Leurs actions, notamment dans le domaine de la contraception, donnent lieu, en 1969, à une modification du Code criminel. Sont désormais exclues des infractions crimine</w:t>
      </w:r>
      <w:r w:rsidRPr="00562808">
        <w:rPr>
          <w:szCs w:val="22"/>
        </w:rPr>
        <w:t>l</w:t>
      </w:r>
      <w:r w:rsidRPr="00562808">
        <w:rPr>
          <w:szCs w:val="22"/>
        </w:rPr>
        <w:t>les, la diffusion d'informations sur le contrôle des naissances. On autorise, également, l'avortement thérapeutique. C'est enc</w:t>
      </w:r>
      <w:r w:rsidRPr="00562808">
        <w:rPr>
          <w:szCs w:val="22"/>
        </w:rPr>
        <w:t>o</w:t>
      </w:r>
      <w:r w:rsidRPr="00562808">
        <w:rPr>
          <w:szCs w:val="22"/>
        </w:rPr>
        <w:t xml:space="preserve">re la </w:t>
      </w:r>
      <w:r w:rsidRPr="00562808">
        <w:rPr>
          <w:i/>
          <w:iCs/>
          <w:szCs w:val="22"/>
        </w:rPr>
        <w:t xml:space="preserve">Voix des femmes, </w:t>
      </w:r>
      <w:r w:rsidRPr="00562808">
        <w:rPr>
          <w:szCs w:val="22"/>
        </w:rPr>
        <w:t>à laquelle se joint la Fédération can</w:t>
      </w:r>
      <w:r w:rsidRPr="00562808">
        <w:rPr>
          <w:szCs w:val="22"/>
        </w:rPr>
        <w:t>a</w:t>
      </w:r>
      <w:r w:rsidRPr="00562808">
        <w:rPr>
          <w:szCs w:val="22"/>
        </w:rPr>
        <w:t>dienne des Associations des femmes diplômées, qui poursuit l'idée de regrouper les femmes sous une même plate-forme pol</w:t>
      </w:r>
      <w:r w:rsidRPr="00562808">
        <w:rPr>
          <w:szCs w:val="22"/>
        </w:rPr>
        <w:t>i</w:t>
      </w:r>
      <w:r w:rsidRPr="00562808">
        <w:rPr>
          <w:szCs w:val="22"/>
        </w:rPr>
        <w:t xml:space="preserve">tique. Ce qui donnera naissance au </w:t>
      </w:r>
      <w:r w:rsidRPr="00562808">
        <w:rPr>
          <w:i/>
          <w:iCs/>
          <w:szCs w:val="22"/>
        </w:rPr>
        <w:t>Committee</w:t>
      </w:r>
      <w:r>
        <w:rPr>
          <w:i/>
          <w:iCs/>
          <w:szCs w:val="22"/>
        </w:rPr>
        <w:t xml:space="preserve"> </w:t>
      </w:r>
      <w:r w:rsidRPr="00562808">
        <w:rPr>
          <w:i/>
          <w:iCs/>
          <w:szCs w:val="22"/>
        </w:rPr>
        <w:t xml:space="preserve">for the Equality of Women in Canada. </w:t>
      </w:r>
      <w:r w:rsidRPr="00562808">
        <w:rPr>
          <w:szCs w:val="22"/>
        </w:rPr>
        <w:t xml:space="preserve">Avec l'aide de Judy Lamarsh, alors seule femme ministre à Ottawa, de Jeanne Sauvé et de nombreuses associations féminines, le </w:t>
      </w:r>
      <w:r w:rsidRPr="00562808">
        <w:rPr>
          <w:i/>
          <w:iCs/>
          <w:szCs w:val="22"/>
        </w:rPr>
        <w:t xml:space="preserve">Committee for the Equality of Women in Canada </w:t>
      </w:r>
      <w:r w:rsidRPr="00562808">
        <w:rPr>
          <w:szCs w:val="22"/>
        </w:rPr>
        <w:t>réclame et obtient, en 1967, la création d'une Co</w:t>
      </w:r>
      <w:r w:rsidRPr="00562808">
        <w:rPr>
          <w:szCs w:val="22"/>
        </w:rPr>
        <w:t>m</w:t>
      </w:r>
      <w:r w:rsidRPr="00562808">
        <w:rPr>
          <w:szCs w:val="22"/>
        </w:rPr>
        <w:t>mission royale d'enquête sur la situation de la femme au Can</w:t>
      </w:r>
      <w:r w:rsidRPr="00562808">
        <w:rPr>
          <w:szCs w:val="22"/>
        </w:rPr>
        <w:t>a</w:t>
      </w:r>
      <w:r w:rsidRPr="00562808">
        <w:rPr>
          <w:szCs w:val="22"/>
        </w:rPr>
        <w:t>da. D'ailleurs, à cette époque, d'autres pays, notamment les États-Unis, la France et le Royaume-Uni, ont déjà entrepris d'étudier la situation spécifique des femmes. Présidée par Fl</w:t>
      </w:r>
      <w:r w:rsidRPr="00562808">
        <w:rPr>
          <w:szCs w:val="22"/>
        </w:rPr>
        <w:t>o</w:t>
      </w:r>
      <w:r w:rsidRPr="00562808">
        <w:rPr>
          <w:szCs w:val="22"/>
        </w:rPr>
        <w:t>rence Bird, sénateur, la Commission royale d'enquête remet son rapport en 1970. Pas moins de 167 recommandations sont d</w:t>
      </w:r>
      <w:r w:rsidRPr="00562808">
        <w:rPr>
          <w:szCs w:val="22"/>
        </w:rPr>
        <w:t>é</w:t>
      </w:r>
      <w:r w:rsidRPr="00562808">
        <w:rPr>
          <w:szCs w:val="22"/>
        </w:rPr>
        <w:t>nombrées, lesquelles procèdent du mandat général confié aux commissaires, trois ans auparavant : « faire enquête et rapport sur le statut des femmes au Canada... afin d'assurer aux femmes des chances égales à celles des hommes dans toutes les sphères de la société canadienne »</w:t>
      </w:r>
      <w:r>
        <w:rPr>
          <w:szCs w:val="22"/>
        </w:rPr>
        <w:t> </w:t>
      </w:r>
      <w:r w:rsidRPr="00D23A0B">
        <w:rPr>
          <w:rStyle w:val="Appelnotedebasdep"/>
        </w:rPr>
        <w:footnoteReference w:id="613"/>
      </w:r>
      <w:r w:rsidRPr="00562808">
        <w:rPr>
          <w:szCs w:val="22"/>
        </w:rPr>
        <w:t>. Plus précisément, il s'agissait de « faire enquête et rapport sur les questions suivantes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Les lois et pratiques sous juridiction fédérale concernant les droits politiques des femmes.</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 rôle actuel et virtuel des femmes sur le marché de la main-d'</w:t>
      </w:r>
      <w:r>
        <w:rPr>
          <w:szCs w:val="22"/>
        </w:rPr>
        <w:t>œuvre</w:t>
      </w:r>
      <w:r w:rsidRPr="00562808">
        <w:rPr>
          <w:szCs w:val="22"/>
        </w:rPr>
        <w:t xml:space="preserve"> au Canada, y compris les problèmes spéciaux des femmes mariées au travail et les mesures qui pourraient être prises en vertu de la juridiction fédérale pour aider à les réso</w:t>
      </w:r>
      <w:r w:rsidRPr="00562808">
        <w:rPr>
          <w:szCs w:val="22"/>
        </w:rPr>
        <w:t>u</w:t>
      </w:r>
      <w:r w:rsidRPr="00562808">
        <w:rPr>
          <w:szCs w:val="22"/>
        </w:rPr>
        <w:t>dre.</w:t>
      </w:r>
      <w:r w:rsidRPr="0064062B">
        <w:rPr>
          <w:szCs w:val="22"/>
        </w:rPr>
        <w:t xml:space="preserve">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Les mesures pouvant être prises en vertu de la juridiction féd</w:t>
      </w:r>
      <w:r w:rsidRPr="00562808">
        <w:rPr>
          <w:szCs w:val="22"/>
        </w:rPr>
        <w:t>é</w:t>
      </w:r>
      <w:r w:rsidRPr="00562808">
        <w:rPr>
          <w:szCs w:val="22"/>
        </w:rPr>
        <w:t>rale en vue de permettre une meilleure utilisation des talents et de l'instruction des femmes, y compris les exigences spéciales concernant le recyclage des</w:t>
      </w:r>
      <w:r>
        <w:rPr>
          <w:szCs w:val="22"/>
        </w:rPr>
        <w:t xml:space="preserve"> [365] </w:t>
      </w:r>
      <w:r w:rsidRPr="00562808">
        <w:rPr>
          <w:szCs w:val="22"/>
        </w:rPr>
        <w:t>femmes mariées qui désiren</w:t>
      </w:r>
      <w:r>
        <w:rPr>
          <w:szCs w:val="22"/>
        </w:rPr>
        <w:t>t exe</w:t>
      </w:r>
      <w:r>
        <w:rPr>
          <w:szCs w:val="22"/>
        </w:rPr>
        <w:t>r</w:t>
      </w:r>
      <w:r>
        <w:rPr>
          <w:szCs w:val="22"/>
        </w:rPr>
        <w:t xml:space="preserve">cer à nouveau des emplois </w:t>
      </w:r>
      <w:r w:rsidRPr="00562808">
        <w:rPr>
          <w:szCs w:val="22"/>
        </w:rPr>
        <w:t>professionnels ou spécialisés.</w:t>
      </w:r>
      <w:r w:rsidRPr="0064062B">
        <w:rPr>
          <w:szCs w:val="22"/>
        </w:rPr>
        <w:t xml:space="preserve">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Les lois et règlements fédéraux concernant le travail dans la mesure où ils s'appliquent aux femmes.</w:t>
      </w:r>
      <w:r w:rsidRPr="0064062B">
        <w:rPr>
          <w:szCs w:val="22"/>
        </w:rPr>
        <w:t xml:space="preserve">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Les lois, pratiques et lignes de conduite concernant l'emploi et l'avancement des femmes au service civil fédéral et au sein des sociétés fédérales de la couronne et des organismes fédéraux.</w:t>
      </w:r>
      <w:r w:rsidRPr="0064062B">
        <w:rPr>
          <w:szCs w:val="22"/>
        </w:rPr>
        <w:t xml:space="preserve"> </w:t>
      </w:r>
    </w:p>
    <w:p w:rsidR="00AD690E" w:rsidRPr="00562808" w:rsidRDefault="00AD690E" w:rsidP="00AD690E">
      <w:pPr>
        <w:spacing w:before="120" w:after="120"/>
        <w:jc w:val="both"/>
        <w:rPr>
          <w:szCs w:val="22"/>
        </w:rPr>
      </w:pPr>
      <w:r>
        <w:rPr>
          <w:szCs w:val="22"/>
        </w:rPr>
        <w:t>-</w:t>
      </w:r>
      <w:r>
        <w:rPr>
          <w:szCs w:val="22"/>
        </w:rPr>
        <w:tab/>
      </w:r>
      <w:r w:rsidRPr="00562808">
        <w:rPr>
          <w:szCs w:val="22"/>
        </w:rPr>
        <w:t>Les impôts fédéraux par rapport aux femmes.</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 mariage et le divorce.</w:t>
      </w:r>
      <w:r w:rsidRPr="0064062B">
        <w:rPr>
          <w:szCs w:val="22"/>
        </w:rPr>
        <w:t xml:space="preserve">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La situation des femmes dans les cadres du Code criminel.</w:t>
      </w:r>
      <w:r w:rsidRPr="0064062B">
        <w:rPr>
          <w:szCs w:val="22"/>
        </w:rPr>
        <w:t xml:space="preserve">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Les lois, lignes de conduite et pratiques relatives à l'immigr</w:t>
      </w:r>
      <w:r w:rsidRPr="00562808">
        <w:rPr>
          <w:szCs w:val="22"/>
        </w:rPr>
        <w:t>a</w:t>
      </w:r>
      <w:r w:rsidRPr="00562808">
        <w:rPr>
          <w:szCs w:val="22"/>
        </w:rPr>
        <w:t>tion et à la citoyenneté en ce qui a trait aux femmes ;</w:t>
      </w:r>
      <w:r w:rsidRPr="0064062B">
        <w:rPr>
          <w:szCs w:val="22"/>
        </w:rPr>
        <w:t xml:space="preserve"> </w:t>
      </w:r>
    </w:p>
    <w:p w:rsidR="00AD690E" w:rsidRPr="00562808" w:rsidRDefault="00AD690E" w:rsidP="00AD690E">
      <w:pPr>
        <w:spacing w:before="120" w:after="120"/>
        <w:ind w:left="709" w:hanging="709"/>
        <w:jc w:val="both"/>
        <w:rPr>
          <w:szCs w:val="22"/>
        </w:rPr>
      </w:pPr>
      <w:r>
        <w:rPr>
          <w:szCs w:val="22"/>
        </w:rPr>
        <w:t>-</w:t>
      </w:r>
      <w:r>
        <w:rPr>
          <w:szCs w:val="22"/>
        </w:rPr>
        <w:tab/>
      </w:r>
      <w:r w:rsidRPr="00562808">
        <w:rPr>
          <w:szCs w:val="22"/>
        </w:rPr>
        <w:t>et toutes questions relatives au statut des femmes au Canada qui peuvent sembler pertinentes aux Commissaires </w:t>
      </w:r>
      <w:r>
        <w:rPr>
          <w:rStyle w:val="Appelnotedebasdep"/>
        </w:rPr>
        <w:footnoteReference w:id="614"/>
      </w:r>
      <w:r>
        <w:rPr>
          <w:szCs w:val="22"/>
        </w:rPr>
        <w:t> </w:t>
      </w:r>
      <w:r w:rsidRPr="00562808">
        <w:rPr>
          <w:szCs w:val="22"/>
        </w:rPr>
        <w:t>».</w:t>
      </w:r>
    </w:p>
    <w:p w:rsidR="00AD690E" w:rsidRDefault="00AD690E" w:rsidP="00AD690E">
      <w:pPr>
        <w:spacing w:before="120" w:after="120"/>
        <w:ind w:left="720" w:hanging="360"/>
        <w:jc w:val="both"/>
        <w:rPr>
          <w:szCs w:val="22"/>
        </w:rPr>
      </w:pPr>
    </w:p>
    <w:p w:rsidR="00AD690E" w:rsidRPr="00562808" w:rsidRDefault="00AD690E" w:rsidP="00AD690E">
      <w:pPr>
        <w:spacing w:before="120" w:after="120"/>
        <w:jc w:val="both"/>
      </w:pPr>
      <w:r w:rsidRPr="00562808">
        <w:rPr>
          <w:szCs w:val="22"/>
        </w:rPr>
        <w:t>Un des objectifs de cette commission d'enquête est la réalisation de l'égalité pour tous, dans les faits, bien sûr, mais aussi et peut-être su</w:t>
      </w:r>
      <w:r w:rsidRPr="00562808">
        <w:rPr>
          <w:szCs w:val="22"/>
        </w:rPr>
        <w:t>r</w:t>
      </w:r>
      <w:r w:rsidRPr="00562808">
        <w:rPr>
          <w:szCs w:val="22"/>
        </w:rPr>
        <w:t>tout au sein des institutions. Tous les domaines de la vie des femmes sont concernés. Le rapport soumis au Parlement, ainsi que les reco</w:t>
      </w:r>
      <w:r w:rsidRPr="00562808">
        <w:rPr>
          <w:szCs w:val="22"/>
        </w:rPr>
        <w:t>m</w:t>
      </w:r>
      <w:r w:rsidRPr="00562808">
        <w:rPr>
          <w:szCs w:val="22"/>
        </w:rPr>
        <w:t>mandations qui l'accompagnent, portent sur les femmes et l'économie canadienne, l'éducation, la femme et la famille, la fiscalité et les all</w:t>
      </w:r>
      <w:r w:rsidRPr="00562808">
        <w:rPr>
          <w:szCs w:val="22"/>
        </w:rPr>
        <w:t>o</w:t>
      </w:r>
      <w:r w:rsidRPr="00562808">
        <w:rPr>
          <w:szCs w:val="22"/>
        </w:rPr>
        <w:t>cations pour enfants à charge, les économiquement faibles, les fe</w:t>
      </w:r>
      <w:r w:rsidRPr="00562808">
        <w:rPr>
          <w:szCs w:val="22"/>
        </w:rPr>
        <w:t>m</w:t>
      </w:r>
      <w:r w:rsidRPr="00562808">
        <w:rPr>
          <w:szCs w:val="22"/>
        </w:rPr>
        <w:t>mes et la vie politique, l'immigration, la nationalité, le droit criminel et la délinquance féminine. On vise à atteindre, pour les femmes, l'a</w:t>
      </w:r>
      <w:r w:rsidRPr="00562808">
        <w:rPr>
          <w:szCs w:val="22"/>
        </w:rPr>
        <w:t>u</w:t>
      </w:r>
      <w:r w:rsidRPr="00562808">
        <w:rPr>
          <w:szCs w:val="22"/>
        </w:rPr>
        <w:t>tonomie financière. On cherche, également, à leur assurer un statut social et politique, équivalent à celui des hommes.</w:t>
      </w:r>
    </w:p>
    <w:p w:rsidR="00AD690E" w:rsidRDefault="00AD690E" w:rsidP="00AD690E">
      <w:pPr>
        <w:spacing w:before="120" w:after="120"/>
        <w:jc w:val="both"/>
        <w:rPr>
          <w:szCs w:val="22"/>
        </w:rPr>
      </w:pPr>
      <w:r w:rsidRPr="00562808">
        <w:rPr>
          <w:szCs w:val="22"/>
        </w:rPr>
        <w:t>La perspective égalitariste dont s'inspirent les commissaires n'est sans doute pas innocente ; en tout cas on peut le supposer. En rega</w:t>
      </w:r>
      <w:r w:rsidRPr="00562808">
        <w:rPr>
          <w:szCs w:val="22"/>
        </w:rPr>
        <w:t>r</w:t>
      </w:r>
      <w:r w:rsidRPr="00562808">
        <w:rPr>
          <w:szCs w:val="22"/>
        </w:rPr>
        <w:t>dant du côté de la quasi-totalité des actions subséquentes engagées à l'endroit des femmes, on constate que la plupart relèvent de cette de</w:t>
      </w:r>
      <w:r w:rsidRPr="00562808">
        <w:rPr>
          <w:szCs w:val="22"/>
        </w:rPr>
        <w:t>r</w:t>
      </w:r>
      <w:r w:rsidRPr="00562808">
        <w:rPr>
          <w:szCs w:val="22"/>
        </w:rPr>
        <w:t>nière perspective, comme en témoignent des mesures prévues à pr</w:t>
      </w:r>
      <w:r w:rsidRPr="00562808">
        <w:rPr>
          <w:szCs w:val="22"/>
        </w:rPr>
        <w:t>o</w:t>
      </w:r>
      <w:r w:rsidRPr="00562808">
        <w:rPr>
          <w:szCs w:val="22"/>
        </w:rPr>
        <w:t>pos des femmes fonctionnaires, ou encore de celles concernant les femmes pauvres ou encore des mesures adoptées pour les femmes s</w:t>
      </w:r>
      <w:r w:rsidRPr="00562808">
        <w:rPr>
          <w:szCs w:val="22"/>
        </w:rPr>
        <w:t>a</w:t>
      </w:r>
      <w:r w:rsidRPr="00562808">
        <w:rPr>
          <w:szCs w:val="22"/>
        </w:rPr>
        <w:t>lariées.</w:t>
      </w:r>
    </w:p>
    <w:p w:rsidR="00AD690E" w:rsidRPr="00562808" w:rsidRDefault="00AD690E" w:rsidP="00AD690E">
      <w:pPr>
        <w:spacing w:before="120" w:after="120"/>
        <w:jc w:val="both"/>
      </w:pPr>
    </w:p>
    <w:p w:rsidR="00AD690E" w:rsidRPr="00B97144" w:rsidRDefault="00AD690E" w:rsidP="00AD690E">
      <w:pPr>
        <w:pStyle w:val="a"/>
      </w:pPr>
      <w:r w:rsidRPr="00B97144">
        <w:t>Les Rapports Judek et Archibald : 1968 et 1969</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La Commission royale d'enquête sur l'organisation du gouvern</w:t>
      </w:r>
      <w:r w:rsidRPr="00562808">
        <w:rPr>
          <w:szCs w:val="22"/>
        </w:rPr>
        <w:t>e</w:t>
      </w:r>
      <w:r w:rsidRPr="00562808">
        <w:rPr>
          <w:szCs w:val="22"/>
        </w:rPr>
        <w:t>ment (Commission Glassco), dont le rapport a été déposé en 1962, s'est intéressée au statut des femmes fonctionnaires. Après avoir conclu que les femmes sont défavorisées par la manière dont s'effe</w:t>
      </w:r>
      <w:r w:rsidRPr="00562808">
        <w:rPr>
          <w:szCs w:val="22"/>
        </w:rPr>
        <w:t>c</w:t>
      </w:r>
      <w:r w:rsidRPr="00562808">
        <w:rPr>
          <w:szCs w:val="22"/>
        </w:rPr>
        <w:t>tue le processus de sélection des candidates admissibles au perfe</w:t>
      </w:r>
      <w:r w:rsidRPr="00562808">
        <w:rPr>
          <w:szCs w:val="22"/>
        </w:rPr>
        <w:t>c</w:t>
      </w:r>
      <w:r w:rsidRPr="00562808">
        <w:rPr>
          <w:szCs w:val="22"/>
        </w:rPr>
        <w:t>tionnement ou à un poste de direction, les commissaires</w:t>
      </w:r>
      <w:r>
        <w:rPr>
          <w:szCs w:val="22"/>
        </w:rPr>
        <w:t xml:space="preserve"> </w:t>
      </w:r>
      <w:r>
        <w:t>[</w:t>
      </w:r>
      <w:r w:rsidRPr="00562808">
        <w:rPr>
          <w:szCs w:val="18"/>
        </w:rPr>
        <w:t>366</w:t>
      </w:r>
      <w:r>
        <w:rPr>
          <w:szCs w:val="18"/>
        </w:rPr>
        <w:t xml:space="preserve">] </w:t>
      </w:r>
      <w:r w:rsidRPr="00562808">
        <w:rPr>
          <w:szCs w:val="22"/>
        </w:rPr>
        <w:t>r</w:t>
      </w:r>
      <w:r w:rsidRPr="00562808">
        <w:rPr>
          <w:szCs w:val="22"/>
        </w:rPr>
        <w:t>e</w:t>
      </w:r>
      <w:r w:rsidRPr="00562808">
        <w:rPr>
          <w:szCs w:val="22"/>
        </w:rPr>
        <w:t>commandent au gouvernement de l'époque d'innover à l'égard de la main-d'</w:t>
      </w:r>
      <w:r>
        <w:rPr>
          <w:szCs w:val="22"/>
        </w:rPr>
        <w:t>œuvre</w:t>
      </w:r>
      <w:r w:rsidRPr="00562808">
        <w:rPr>
          <w:szCs w:val="22"/>
        </w:rPr>
        <w:t xml:space="preserve"> féminine</w:t>
      </w:r>
      <w:r>
        <w:rPr>
          <w:szCs w:val="22"/>
        </w:rPr>
        <w:t> </w:t>
      </w:r>
      <w:r w:rsidRPr="00D23A0B">
        <w:rPr>
          <w:rStyle w:val="Appelnotedebasdep"/>
        </w:rPr>
        <w:footnoteReference w:id="615"/>
      </w:r>
      <w:r w:rsidRPr="00562808">
        <w:rPr>
          <w:szCs w:val="22"/>
        </w:rPr>
        <w:t>.</w:t>
      </w:r>
    </w:p>
    <w:p w:rsidR="00AD690E" w:rsidRPr="00562808" w:rsidRDefault="00AD690E" w:rsidP="00AD690E">
      <w:pPr>
        <w:spacing w:before="120" w:after="120"/>
        <w:jc w:val="both"/>
      </w:pPr>
      <w:r w:rsidRPr="00562808">
        <w:rPr>
          <w:szCs w:val="22"/>
        </w:rPr>
        <w:t>Quelques années plus tard, les constats ne sont guère plus encour</w:t>
      </w:r>
      <w:r w:rsidRPr="00562808">
        <w:rPr>
          <w:szCs w:val="22"/>
        </w:rPr>
        <w:t>a</w:t>
      </w:r>
      <w:r w:rsidRPr="00562808">
        <w:rPr>
          <w:szCs w:val="22"/>
        </w:rPr>
        <w:t>geants. D'une part, la garantie d'égalité et d'ouverture de tous les po</w:t>
      </w:r>
      <w:r w:rsidRPr="00562808">
        <w:rPr>
          <w:szCs w:val="22"/>
        </w:rPr>
        <w:t>s</w:t>
      </w:r>
      <w:r w:rsidRPr="00562808">
        <w:rPr>
          <w:szCs w:val="22"/>
        </w:rPr>
        <w:t>tes aux candidates féminines n'a guère modifié la condition générale des femmes fonctionnaires. D'autre part, la disparition du cadre jurid</w:t>
      </w:r>
      <w:r w:rsidRPr="00562808">
        <w:rPr>
          <w:szCs w:val="22"/>
        </w:rPr>
        <w:t>i</w:t>
      </w:r>
      <w:r w:rsidRPr="00562808">
        <w:rPr>
          <w:szCs w:val="22"/>
        </w:rPr>
        <w:t xml:space="preserve">que sexiste, lequel excluait les femmes d'un certain nombre de postes, vient contredire les nombreux signes de différenciation qui ressortent d'une structure de travail discriminatoire. À ce niveau, les </w:t>
      </w:r>
      <w:r w:rsidRPr="00562808">
        <w:rPr>
          <w:i/>
          <w:iCs/>
          <w:szCs w:val="22"/>
        </w:rPr>
        <w:t xml:space="preserve">Rapports Judek et Archibald </w:t>
      </w:r>
      <w:r w:rsidRPr="00562808">
        <w:rPr>
          <w:szCs w:val="22"/>
        </w:rPr>
        <w:t>dégageront tous deux les mêmes conclusions.</w:t>
      </w:r>
    </w:p>
    <w:p w:rsidR="00AD690E" w:rsidRPr="00562808" w:rsidRDefault="00AD690E" w:rsidP="00AD690E">
      <w:pPr>
        <w:spacing w:before="120" w:after="120"/>
        <w:jc w:val="both"/>
      </w:pPr>
      <w:r w:rsidRPr="00562808">
        <w:rPr>
          <w:szCs w:val="22"/>
        </w:rPr>
        <w:t>Utilisant un échantillon de fonctionnaires concentré dans la région Ottawa-Hull, Stanislas Judek cerne les principales caractéristiques de la main-d'oeuvre féminine au sein de la fonction publique fédérale. Il fait quatorze recommandations et conclut qu'en général, « le gouve</w:t>
      </w:r>
      <w:r w:rsidRPr="00562808">
        <w:rPr>
          <w:szCs w:val="22"/>
        </w:rPr>
        <w:t>r</w:t>
      </w:r>
      <w:r w:rsidRPr="00562808">
        <w:rPr>
          <w:szCs w:val="22"/>
        </w:rPr>
        <w:t>nement fédéral n'a pas mis à pleine contribution les talents et les apt</w:t>
      </w:r>
      <w:r w:rsidRPr="00562808">
        <w:rPr>
          <w:szCs w:val="22"/>
        </w:rPr>
        <w:t>i</w:t>
      </w:r>
      <w:r w:rsidRPr="00562808">
        <w:rPr>
          <w:szCs w:val="22"/>
        </w:rPr>
        <w:t>tudes des femmes, dans le domaine du recrutement et de la sélection d'employés pour le service de l'État »</w:t>
      </w:r>
      <w:r>
        <w:rPr>
          <w:szCs w:val="22"/>
        </w:rPr>
        <w:t> </w:t>
      </w:r>
      <w:r w:rsidRPr="00D23A0B">
        <w:rPr>
          <w:rStyle w:val="Appelnotedebasdep"/>
        </w:rPr>
        <w:footnoteReference w:id="616"/>
      </w:r>
      <w:r w:rsidRPr="00562808">
        <w:rPr>
          <w:szCs w:val="22"/>
        </w:rPr>
        <w:t>. Bref, l'auteur suggère de m</w:t>
      </w:r>
      <w:r w:rsidRPr="00562808">
        <w:rPr>
          <w:szCs w:val="22"/>
        </w:rPr>
        <w:t>o</w:t>
      </w:r>
      <w:r w:rsidRPr="00562808">
        <w:rPr>
          <w:szCs w:val="22"/>
        </w:rPr>
        <w:t>difier les politiques de personnel de manière à utiliser les capacités et les compétences des femmes.</w:t>
      </w:r>
    </w:p>
    <w:p w:rsidR="00AD690E" w:rsidRPr="00562808" w:rsidRDefault="00AD690E" w:rsidP="00AD690E">
      <w:pPr>
        <w:spacing w:before="120" w:after="120"/>
        <w:jc w:val="both"/>
      </w:pPr>
      <w:r w:rsidRPr="00562808">
        <w:rPr>
          <w:szCs w:val="22"/>
        </w:rPr>
        <w:t>Un an plus tard, Kathleen Archibald procède à l'étude des« questions qui ont trait au rôle de l'État en tant qu'employeur de femmes ». Elle utilise les données déjà publiées par les différentes autorités gouvernementales sur le sujet, ainsi que les résultats de l'e</w:t>
      </w:r>
      <w:r w:rsidRPr="00562808">
        <w:rPr>
          <w:szCs w:val="22"/>
        </w:rPr>
        <w:t>n</w:t>
      </w:r>
      <w:r w:rsidRPr="00562808">
        <w:rPr>
          <w:szCs w:val="22"/>
        </w:rPr>
        <w:t xml:space="preserve">quête effectuée auparavant par Stanislas Judek. Dans sa recherche, intitulée </w:t>
      </w:r>
      <w:r w:rsidRPr="00562808">
        <w:rPr>
          <w:i/>
          <w:iCs/>
          <w:szCs w:val="22"/>
        </w:rPr>
        <w:t xml:space="preserve">Les deux sexes dans la fonction publique, </w:t>
      </w:r>
      <w:r w:rsidRPr="00562808">
        <w:rPr>
          <w:szCs w:val="22"/>
        </w:rPr>
        <w:t>l'auteur expose également les résultats d'un essai simulé de méthode de sélection de candidats masculins et féminins, dans le but de voir si les hommes bénéficient d'un traitement plus favorable que les femmes, même lor</w:t>
      </w:r>
      <w:r w:rsidRPr="00562808">
        <w:rPr>
          <w:szCs w:val="22"/>
        </w:rPr>
        <w:t>s</w:t>
      </w:r>
      <w:r w:rsidRPr="00562808">
        <w:rPr>
          <w:szCs w:val="22"/>
        </w:rPr>
        <w:t>que ces dernières ont le même degré de compétence et d'expérience. Enfin, cette étude compare la situation professionnelle des fonctio</w:t>
      </w:r>
      <w:r w:rsidRPr="00562808">
        <w:rPr>
          <w:szCs w:val="22"/>
        </w:rPr>
        <w:t>n</w:t>
      </w:r>
      <w:r w:rsidRPr="00562808">
        <w:rPr>
          <w:szCs w:val="22"/>
        </w:rPr>
        <w:t>naires féminins à celle de leurs collègues masculins.</w:t>
      </w:r>
    </w:p>
    <w:p w:rsidR="00AD690E" w:rsidRPr="00562808" w:rsidRDefault="00AD690E" w:rsidP="00AD690E">
      <w:pPr>
        <w:spacing w:before="120" w:after="120"/>
        <w:jc w:val="both"/>
      </w:pPr>
      <w:r w:rsidRPr="00562808">
        <w:rPr>
          <w:szCs w:val="22"/>
        </w:rPr>
        <w:t>Calculant pour la première fois l'indice de ségrégation dans la fonction publique, Kathleen Archibald montre qu'il y a spécialisation par ministère en fonction du sexe, et que les occasions de carrières féminines dans la fonction publique sont limitées, parce que « plus les femmes ont d'expérience et plus leur degré d'instruction est élevé, plus leur traitement relatif est bas par rapport à celui des hommes »</w:t>
      </w:r>
      <w:r>
        <w:rPr>
          <w:szCs w:val="22"/>
        </w:rPr>
        <w:t> </w:t>
      </w:r>
      <w:r w:rsidRPr="00D23A0B">
        <w:rPr>
          <w:rStyle w:val="Appelnotedebasdep"/>
        </w:rPr>
        <w:footnoteReference w:id="617"/>
      </w:r>
      <w:r w:rsidRPr="00562808">
        <w:rPr>
          <w:szCs w:val="22"/>
        </w:rPr>
        <w:t>. L'auteur recommande la création d'un « Office de la</w:t>
      </w:r>
      <w:r>
        <w:rPr>
          <w:szCs w:val="22"/>
        </w:rPr>
        <w:t xml:space="preserve"> </w:t>
      </w:r>
      <w:r>
        <w:t xml:space="preserve">[367] </w:t>
      </w:r>
      <w:r w:rsidRPr="00562808">
        <w:rPr>
          <w:szCs w:val="22"/>
        </w:rPr>
        <w:t>femme », ainsi que la mise sur pied d'un programme d'égalité des chances pour les fonctionnaires ayant été injustement traités.</w:t>
      </w:r>
    </w:p>
    <w:p w:rsidR="00AD690E" w:rsidRPr="00562808" w:rsidRDefault="00AD690E" w:rsidP="00AD690E">
      <w:pPr>
        <w:spacing w:before="120" w:after="120"/>
        <w:jc w:val="both"/>
      </w:pPr>
      <w:r w:rsidRPr="00562808">
        <w:rPr>
          <w:szCs w:val="22"/>
        </w:rPr>
        <w:t xml:space="preserve">Quant au </w:t>
      </w:r>
      <w:r w:rsidRPr="00562808">
        <w:rPr>
          <w:i/>
          <w:iCs/>
          <w:szCs w:val="22"/>
        </w:rPr>
        <w:t xml:space="preserve">Rapport Bird, </w:t>
      </w:r>
      <w:r w:rsidRPr="00562808">
        <w:rPr>
          <w:szCs w:val="22"/>
        </w:rPr>
        <w:t xml:space="preserve">il souscrit aux mesures proposées. Pas moins de quatorze recommandations concernent le personnel féminin assujetti à la </w:t>
      </w:r>
      <w:r w:rsidRPr="00562808">
        <w:rPr>
          <w:i/>
          <w:iCs/>
          <w:szCs w:val="22"/>
        </w:rPr>
        <w:t xml:space="preserve">Loi sur l'emploi dans la fonction publique. </w:t>
      </w:r>
      <w:r w:rsidRPr="00562808">
        <w:rPr>
          <w:szCs w:val="22"/>
        </w:rPr>
        <w:t>Là encore, il importe, selon les commissaires, que la femme fonctionnaire puisse accéder à un statut professionnel égal à celui de l'homme fonctionna</w:t>
      </w:r>
      <w:r w:rsidRPr="00562808">
        <w:rPr>
          <w:szCs w:val="22"/>
        </w:rPr>
        <w:t>i</w:t>
      </w:r>
      <w:r w:rsidRPr="00562808">
        <w:rPr>
          <w:szCs w:val="22"/>
        </w:rPr>
        <w:t>re.</w:t>
      </w:r>
    </w:p>
    <w:p w:rsidR="00AD690E" w:rsidRDefault="00AD690E" w:rsidP="00AD690E">
      <w:pPr>
        <w:spacing w:before="120" w:after="120"/>
        <w:jc w:val="both"/>
        <w:rPr>
          <w:bCs/>
          <w:szCs w:val="22"/>
        </w:rPr>
      </w:pPr>
      <w:r>
        <w:rPr>
          <w:bCs/>
          <w:szCs w:val="22"/>
        </w:rPr>
        <w:br w:type="page"/>
      </w:r>
    </w:p>
    <w:p w:rsidR="00AD690E" w:rsidRPr="00E86A7C" w:rsidRDefault="00AD690E" w:rsidP="00AD690E">
      <w:pPr>
        <w:pStyle w:val="a"/>
      </w:pPr>
      <w:r>
        <w:t>Deux rapports sur la pauvreté :</w:t>
      </w:r>
      <w:r>
        <w:br/>
      </w:r>
      <w:r w:rsidRPr="00E86A7C">
        <w:t>1971 et 1979</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Le Comité spécial du Sénat sur la pauvreté a tenu des audiences publiques entre 1968 et 1970. Son rapport, publié un an plus tard</w:t>
      </w:r>
      <w:r>
        <w:rPr>
          <w:szCs w:val="22"/>
        </w:rPr>
        <w:t> </w:t>
      </w:r>
      <w:r>
        <w:rPr>
          <w:rStyle w:val="Appelnotedebasdep"/>
        </w:rPr>
        <w:footnoteReference w:id="618"/>
      </w:r>
      <w:r w:rsidRPr="00562808">
        <w:rPr>
          <w:szCs w:val="22"/>
        </w:rPr>
        <w:t>, ne fait qu'effleurer le problème de la pauvreté des femmes canadie</w:t>
      </w:r>
      <w:r w:rsidRPr="00562808">
        <w:rPr>
          <w:szCs w:val="22"/>
        </w:rPr>
        <w:t>n</w:t>
      </w:r>
      <w:r w:rsidRPr="00562808">
        <w:rPr>
          <w:szCs w:val="22"/>
        </w:rPr>
        <w:t>nes. En réalité, il semble que personne au Comité du Sénat n'ait pensé à établir un lien entre sexe et pauvreté au Canada. Pourtant, au même moment, les membres de la Commission Bird constataient que de nombreux mémoires soumis abordaient des questions de justice éc</w:t>
      </w:r>
      <w:r w:rsidRPr="00562808">
        <w:rPr>
          <w:szCs w:val="22"/>
        </w:rPr>
        <w:t>o</w:t>
      </w:r>
      <w:r w:rsidRPr="00562808">
        <w:rPr>
          <w:szCs w:val="22"/>
        </w:rPr>
        <w:t>nomique plutôt que de droits abstraits. La question de la pauvreté des femmes n'a pas été ignorée par les commissaires. Ils concluent :</w:t>
      </w:r>
    </w:p>
    <w:p w:rsidR="00AD690E" w:rsidRDefault="00AD690E" w:rsidP="00AD690E">
      <w:pPr>
        <w:pStyle w:val="Grillecouleur-Accent1"/>
      </w:pPr>
    </w:p>
    <w:p w:rsidR="00AD690E" w:rsidRDefault="00AD690E" w:rsidP="00AD690E">
      <w:pPr>
        <w:pStyle w:val="Grillecouleur-Accent1"/>
        <w:rPr>
          <w:i/>
        </w:rPr>
      </w:pPr>
      <w:r w:rsidRPr="002F2A2F">
        <w:t>Les femmes, au Canada, sont particulièrement vulnérables à la pauvr</w:t>
      </w:r>
      <w:r w:rsidRPr="002F2A2F">
        <w:t>e</w:t>
      </w:r>
      <w:r w:rsidRPr="002F2A2F">
        <w:t>té. L'étude des salaires moyens des femmes qui travaillent montre bien qu'il existe un rapport entre les femmes et la pauvreté, et ce rapport est e</w:t>
      </w:r>
      <w:r w:rsidRPr="002F2A2F">
        <w:t>n</w:t>
      </w:r>
      <w:r w:rsidRPr="002F2A2F">
        <w:t>core plus évident que dans le cas des femmes qui ne sont pas en mesure d'occ</w:t>
      </w:r>
      <w:r w:rsidRPr="002F2A2F">
        <w:t>u</w:t>
      </w:r>
      <w:r w:rsidRPr="002F2A2F">
        <w:t>per un emploi rémunéré</w:t>
      </w:r>
      <w:r>
        <w:t> </w:t>
      </w:r>
      <w:r w:rsidRPr="00D23A0B">
        <w:rPr>
          <w:rStyle w:val="Appelnotedebasdep"/>
          <w:szCs w:val="18"/>
        </w:rPr>
        <w:footnoteReference w:id="619"/>
      </w:r>
      <w:r w:rsidRPr="002F2A2F">
        <w:t>.</w:t>
      </w:r>
      <w:r w:rsidRPr="002F2A2F">
        <w:rPr>
          <w:i/>
        </w:rPr>
        <w:t xml:space="preserve"> </w:t>
      </w:r>
    </w:p>
    <w:p w:rsidR="00AD690E" w:rsidRDefault="00AD690E" w:rsidP="00AD690E">
      <w:pPr>
        <w:pStyle w:val="Grillecouleur-Accent1"/>
        <w:rPr>
          <w:szCs w:val="22"/>
        </w:rPr>
      </w:pPr>
      <w:r w:rsidRPr="00562808">
        <w:rPr>
          <w:szCs w:val="22"/>
        </w:rPr>
        <w:t>Ces conclusions ont été reprises par les membres du Conseil national du bien-être social</w:t>
      </w:r>
      <w:r>
        <w:rPr>
          <w:szCs w:val="22"/>
        </w:rPr>
        <w:t> </w:t>
      </w:r>
      <w:r w:rsidRPr="00D23A0B">
        <w:rPr>
          <w:rStyle w:val="Appelnotedebasdep"/>
        </w:rPr>
        <w:footnoteReference w:id="620"/>
      </w:r>
      <w:r w:rsidRPr="00562808">
        <w:rPr>
          <w:szCs w:val="22"/>
        </w:rPr>
        <w:t xml:space="preserve"> dans un rapport intitulé </w:t>
      </w:r>
      <w:r w:rsidRPr="00562808">
        <w:rPr>
          <w:i/>
          <w:iCs/>
          <w:szCs w:val="22"/>
        </w:rPr>
        <w:t xml:space="preserve">La femme et la pauvreté, </w:t>
      </w:r>
      <w:r w:rsidRPr="00562808">
        <w:rPr>
          <w:szCs w:val="22"/>
        </w:rPr>
        <w:t>déposé en octobre 1979. Après avoir répondu à ces questions : qui sont les femmes pauvres ? Pourquoi les fe</w:t>
      </w:r>
      <w:r w:rsidRPr="00562808">
        <w:rPr>
          <w:szCs w:val="22"/>
        </w:rPr>
        <w:t>m</w:t>
      </w:r>
      <w:r w:rsidRPr="00562808">
        <w:rPr>
          <w:szCs w:val="22"/>
        </w:rPr>
        <w:t>mes sont-elles pauvres ? Les membres du conseil résument ainsi la situation :</w:t>
      </w:r>
    </w:p>
    <w:p w:rsidR="00AD690E" w:rsidRDefault="00AD690E" w:rsidP="00AD690E">
      <w:pPr>
        <w:pStyle w:val="Grillecouleur-Accent1"/>
        <w:rPr>
          <w:i/>
        </w:rPr>
      </w:pPr>
      <w:r w:rsidRPr="002F2A2F">
        <w:t>La plupart des femmes se trouvent actuellement dans une impasse : ayant été formées à devenir des épouses et des mères « à charge », elles déco</w:t>
      </w:r>
      <w:r w:rsidRPr="002F2A2F">
        <w:t>u</w:t>
      </w:r>
      <w:r w:rsidRPr="002F2A2F">
        <w:t>vrent que c'est au prix d'un train de vie fort modeste et d'une grande vuln</w:t>
      </w:r>
      <w:r w:rsidRPr="002F2A2F">
        <w:t>é</w:t>
      </w:r>
      <w:r w:rsidRPr="002F2A2F">
        <w:t>rabilité financière qu'elles pourront le demeurer. Leur seule porte de sortie est de prendre un emploi sur le marché du travail « féminin », sans pour a</w:t>
      </w:r>
      <w:r w:rsidRPr="002F2A2F">
        <w:t>u</w:t>
      </w:r>
      <w:r w:rsidRPr="002F2A2F">
        <w:t>tant négliger leurs responsabilités familiales ; elles se retrouvent alors surchargées de</w:t>
      </w:r>
      <w:r>
        <w:t xml:space="preserve"> [</w:t>
      </w:r>
      <w:r w:rsidRPr="00562808">
        <w:rPr>
          <w:szCs w:val="22"/>
        </w:rPr>
        <w:t>368</w:t>
      </w:r>
      <w:r>
        <w:rPr>
          <w:szCs w:val="22"/>
        </w:rPr>
        <w:t xml:space="preserve">] </w:t>
      </w:r>
      <w:r w:rsidRPr="00562808">
        <w:t>travail et constatent qu'elles ne sont pas tell</w:t>
      </w:r>
      <w:r w:rsidRPr="00562808">
        <w:t>e</w:t>
      </w:r>
      <w:r w:rsidRPr="00562808">
        <w:t>ment plus ind</w:t>
      </w:r>
      <w:r w:rsidRPr="00562808">
        <w:t>é</w:t>
      </w:r>
      <w:r w:rsidRPr="00562808">
        <w:t>pendantes sur le plan financier</w:t>
      </w:r>
      <w:r>
        <w:t> </w:t>
      </w:r>
      <w:r w:rsidRPr="00D23A0B">
        <w:rPr>
          <w:rStyle w:val="Appelnotedebasdep"/>
          <w:szCs w:val="18"/>
        </w:rPr>
        <w:footnoteReference w:id="621"/>
      </w:r>
      <w:r w:rsidRPr="00562808">
        <w:t>.</w:t>
      </w:r>
      <w:r w:rsidRPr="002F2A2F">
        <w:t xml:space="preserve"> </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Les mesures suggérées par cet organe consultatif réfèrent, pour la plupart, à des perspectives égalitaristes : égalité dans l'apprentissage, égalité sur le marché du travail, égalité dans le mariage.</w:t>
      </w:r>
    </w:p>
    <w:p w:rsidR="00AD690E" w:rsidRDefault="00AD690E" w:rsidP="00AD690E">
      <w:pPr>
        <w:spacing w:before="120" w:after="120"/>
        <w:jc w:val="both"/>
      </w:pPr>
    </w:p>
    <w:p w:rsidR="00AD690E" w:rsidRPr="002F2A2F" w:rsidRDefault="00AD690E" w:rsidP="00AD690E">
      <w:pPr>
        <w:pStyle w:val="a"/>
      </w:pPr>
      <w:r w:rsidRPr="002F2A2F">
        <w:t xml:space="preserve">Les rapports sur </w:t>
      </w:r>
      <w:r>
        <w:t>l'égalité en matière d'emploi :</w:t>
      </w:r>
      <w:r>
        <w:br/>
      </w:r>
      <w:r w:rsidRPr="002F2A2F">
        <w:t>1980 et 1984</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Au cours des années 1970, les autorités politiques canadiennes se préoccupent de l'évolution du marché du travail. On s'inquiète, n</w:t>
      </w:r>
      <w:r w:rsidRPr="00562808">
        <w:rPr>
          <w:szCs w:val="22"/>
        </w:rPr>
        <w:t>o</w:t>
      </w:r>
      <w:r w:rsidRPr="00562808">
        <w:rPr>
          <w:szCs w:val="22"/>
        </w:rPr>
        <w:t>tamment, du taux de chômage élevé chez les femmes, étant donné la diminution prévue du taux de croissance des secteurs d'emploi où elles sont traditionnellement concentrées</w:t>
      </w:r>
      <w:r>
        <w:rPr>
          <w:szCs w:val="22"/>
        </w:rPr>
        <w:t> </w:t>
      </w:r>
      <w:r w:rsidRPr="00D23A0B">
        <w:rPr>
          <w:rStyle w:val="Appelnotedebasdep"/>
        </w:rPr>
        <w:footnoteReference w:id="622"/>
      </w:r>
      <w:r w:rsidRPr="00562808">
        <w:rPr>
          <w:szCs w:val="22"/>
        </w:rPr>
        <w:t>. Au nombre des solutions e</w:t>
      </w:r>
      <w:r w:rsidRPr="00562808">
        <w:rPr>
          <w:szCs w:val="22"/>
        </w:rPr>
        <w:t>n</w:t>
      </w:r>
      <w:r w:rsidRPr="00562808">
        <w:rPr>
          <w:szCs w:val="22"/>
        </w:rPr>
        <w:t>visagées, on retient la mise en place de programmes d'accès à l'égalité mieux structurés, accompagnés de mesures de contrôle plus appr</w:t>
      </w:r>
      <w:r w:rsidRPr="00562808">
        <w:rPr>
          <w:szCs w:val="22"/>
        </w:rPr>
        <w:t>o</w:t>
      </w:r>
      <w:r w:rsidRPr="00562808">
        <w:rPr>
          <w:szCs w:val="22"/>
        </w:rPr>
        <w:t>priées. Le Comité spécial sur les minorités visibles dans la société c</w:t>
      </w:r>
      <w:r w:rsidRPr="00562808">
        <w:rPr>
          <w:szCs w:val="22"/>
        </w:rPr>
        <w:t>a</w:t>
      </w:r>
      <w:r w:rsidRPr="00562808">
        <w:rPr>
          <w:szCs w:val="22"/>
        </w:rPr>
        <w:t xml:space="preserve">nadienne renforce cette dernière position. Dans son rapport intitulé </w:t>
      </w:r>
      <w:r>
        <w:rPr>
          <w:i/>
          <w:iCs/>
          <w:szCs w:val="22"/>
        </w:rPr>
        <w:t>L'égalité, ça presse</w:t>
      </w:r>
      <w:r>
        <w:rPr>
          <w:iCs/>
          <w:szCs w:val="22"/>
        </w:rPr>
        <w:t> </w:t>
      </w:r>
      <w:r w:rsidRPr="00D23A0B">
        <w:rPr>
          <w:rStyle w:val="Appelnotedebasdep"/>
          <w:iCs/>
        </w:rPr>
        <w:footnoteReference w:id="623"/>
      </w:r>
      <w:r w:rsidRPr="00562808">
        <w:rPr>
          <w:i/>
          <w:iCs/>
          <w:szCs w:val="22"/>
        </w:rPr>
        <w:t xml:space="preserve">, </w:t>
      </w:r>
      <w:r w:rsidRPr="00562808">
        <w:rPr>
          <w:szCs w:val="22"/>
        </w:rPr>
        <w:t>le Comité recommande de promouvoir les pr</w:t>
      </w:r>
      <w:r w:rsidRPr="00562808">
        <w:rPr>
          <w:szCs w:val="22"/>
        </w:rPr>
        <w:t>o</w:t>
      </w:r>
      <w:r w:rsidRPr="00562808">
        <w:rPr>
          <w:szCs w:val="22"/>
        </w:rPr>
        <w:t>grammes volontaires. On n'exclut pas la possibilité de les rendre obligatoires, si les résultats s'avèrent insuffisants. Quant à la Commi</w:t>
      </w:r>
      <w:r w:rsidRPr="00562808">
        <w:rPr>
          <w:szCs w:val="22"/>
        </w:rPr>
        <w:t>s</w:t>
      </w:r>
      <w:r w:rsidRPr="00562808">
        <w:rPr>
          <w:szCs w:val="22"/>
        </w:rPr>
        <w:t xml:space="preserve">sion Abella, créée en 1983, son mandat consiste à examiner les moyens à mettre en </w:t>
      </w:r>
      <w:r>
        <w:rPr>
          <w:szCs w:val="22"/>
        </w:rPr>
        <w:t>œuvre</w:t>
      </w:r>
      <w:r w:rsidRPr="00562808">
        <w:rPr>
          <w:szCs w:val="22"/>
        </w:rPr>
        <w:t xml:space="preserve"> pour que les femmes et les autres minorités visibles aient des chances égales d'emploi, au sein des sociétés de la Couro</w:t>
      </w:r>
      <w:r w:rsidRPr="00562808">
        <w:rPr>
          <w:szCs w:val="22"/>
        </w:rPr>
        <w:t>n</w:t>
      </w:r>
      <w:r w:rsidRPr="00562808">
        <w:rPr>
          <w:szCs w:val="22"/>
        </w:rPr>
        <w:t>ne, ou encore dans les agences appartenant au gouvernement fédéral. Après avoir examiné les méthodes d'emploi en vigueur dans ces e</w:t>
      </w:r>
      <w:r w:rsidRPr="00562808">
        <w:rPr>
          <w:szCs w:val="22"/>
        </w:rPr>
        <w:t>n</w:t>
      </w:r>
      <w:r w:rsidRPr="00562808">
        <w:rPr>
          <w:szCs w:val="22"/>
        </w:rPr>
        <w:t>treprises, la Commission a évalué les remèdes appropriés. Le rapport, publié à la fin de 1984, contient pas moins de 117 recomma</w:t>
      </w:r>
      <w:r w:rsidRPr="00562808">
        <w:rPr>
          <w:szCs w:val="22"/>
        </w:rPr>
        <w:t>n</w:t>
      </w:r>
      <w:r w:rsidRPr="00562808">
        <w:rPr>
          <w:szCs w:val="22"/>
        </w:rPr>
        <w:t>dations</w:t>
      </w:r>
      <w:r>
        <w:rPr>
          <w:szCs w:val="22"/>
        </w:rPr>
        <w:t> </w:t>
      </w:r>
      <w:r w:rsidRPr="00C37A43">
        <w:rPr>
          <w:rStyle w:val="Appelnotedebasdep"/>
        </w:rPr>
        <w:footnoteReference w:id="624"/>
      </w:r>
      <w:r w:rsidRPr="00562808">
        <w:rPr>
          <w:szCs w:val="22"/>
        </w:rPr>
        <w:t>. Il est notamment envisagé que tous les employeurs soient légalement tenus d'adopter des « programmes d'équité en matière d'e</w:t>
      </w:r>
      <w:r w:rsidRPr="00562808">
        <w:rPr>
          <w:szCs w:val="22"/>
        </w:rPr>
        <w:t>m</w:t>
      </w:r>
      <w:r w:rsidRPr="00562808">
        <w:rPr>
          <w:szCs w:val="22"/>
        </w:rPr>
        <w:t>ploi ». La notion d'équité est nouvelle : elle s'inscrit dans une perspe</w:t>
      </w:r>
      <w:r w:rsidRPr="00562808">
        <w:rPr>
          <w:szCs w:val="22"/>
        </w:rPr>
        <w:t>c</w:t>
      </w:r>
      <w:r w:rsidRPr="00562808">
        <w:rPr>
          <w:szCs w:val="22"/>
        </w:rPr>
        <w:t>tive différente de celle ayant eu cours au Canada, en matière d'égalité. Elle suppose une approche davantage axée sur des perspe</w:t>
      </w:r>
      <w:r w:rsidRPr="00562808">
        <w:rPr>
          <w:szCs w:val="22"/>
        </w:rPr>
        <w:t>c</w:t>
      </w:r>
      <w:r w:rsidRPr="00562808">
        <w:rPr>
          <w:szCs w:val="22"/>
        </w:rPr>
        <w:t>tives de justice distributive, puisque c'est à la discrimination systém</w:t>
      </w:r>
      <w:r w:rsidRPr="00562808">
        <w:rPr>
          <w:szCs w:val="22"/>
        </w:rPr>
        <w:t>i</w:t>
      </w:r>
      <w:r w:rsidRPr="00562808">
        <w:rPr>
          <w:szCs w:val="22"/>
        </w:rPr>
        <w:t>que qu'il faut remédier.</w:t>
      </w:r>
    </w:p>
    <w:p w:rsidR="00AD690E" w:rsidRPr="00562808" w:rsidRDefault="00AD690E" w:rsidP="00AD690E">
      <w:pPr>
        <w:spacing w:before="120" w:after="120"/>
        <w:jc w:val="both"/>
      </w:pPr>
      <w:r w:rsidRPr="00562808">
        <w:rPr>
          <w:szCs w:val="22"/>
        </w:rPr>
        <w:t>Le gouvernement fédéral a, au cours de ces années, posé la que</w:t>
      </w:r>
      <w:r w:rsidRPr="00562808">
        <w:rPr>
          <w:szCs w:val="22"/>
        </w:rPr>
        <w:t>s</w:t>
      </w:r>
      <w:r w:rsidRPr="00562808">
        <w:rPr>
          <w:szCs w:val="22"/>
        </w:rPr>
        <w:t>tion « sociale » de l'inégalité appliquée au monde du travail. Les do</w:t>
      </w:r>
      <w:r w:rsidRPr="00562808">
        <w:rPr>
          <w:szCs w:val="22"/>
        </w:rPr>
        <w:t>n</w:t>
      </w:r>
      <w:r w:rsidRPr="00562808">
        <w:rPr>
          <w:szCs w:val="22"/>
        </w:rPr>
        <w:t>nées relatives aux déséquilibres existant entre les femmes et les ho</w:t>
      </w:r>
      <w:r w:rsidRPr="00562808">
        <w:rPr>
          <w:szCs w:val="22"/>
        </w:rPr>
        <w:t>m</w:t>
      </w:r>
      <w:r w:rsidRPr="00562808">
        <w:rPr>
          <w:szCs w:val="22"/>
        </w:rPr>
        <w:t>mes ont maintes fois été</w:t>
      </w:r>
      <w:r>
        <w:rPr>
          <w:szCs w:val="22"/>
        </w:rPr>
        <w:t xml:space="preserve"> </w:t>
      </w:r>
      <w:r>
        <w:t xml:space="preserve">[369] </w:t>
      </w:r>
      <w:r w:rsidRPr="00562808">
        <w:rPr>
          <w:szCs w:val="22"/>
        </w:rPr>
        <w:t>complétées. Pourtant, hormis les péri</w:t>
      </w:r>
      <w:r w:rsidRPr="00562808">
        <w:rPr>
          <w:szCs w:val="22"/>
        </w:rPr>
        <w:t>o</w:t>
      </w:r>
      <w:r w:rsidRPr="00562808">
        <w:rPr>
          <w:szCs w:val="22"/>
        </w:rPr>
        <w:t>des électorales, le gouve</w:t>
      </w:r>
      <w:r w:rsidRPr="00562808">
        <w:rPr>
          <w:szCs w:val="22"/>
        </w:rPr>
        <w:t>r</w:t>
      </w:r>
      <w:r w:rsidRPr="00562808">
        <w:rPr>
          <w:szCs w:val="22"/>
        </w:rPr>
        <w:t>nement libéral est demeuré ambigu lorsqu'il s'est agi de doter le Can</w:t>
      </w:r>
      <w:r w:rsidRPr="00562808">
        <w:rPr>
          <w:szCs w:val="22"/>
        </w:rPr>
        <w:t>a</w:t>
      </w:r>
      <w:r w:rsidRPr="00562808">
        <w:rPr>
          <w:szCs w:val="22"/>
        </w:rPr>
        <w:t>da d'instruments efficaces dans la perspective de l'accès à l'égalité. La juge Abella n'affirme-t-elle pas que « ce qu'il nous faut pour atteindre l'égalité dans l'emploi, c'est une prise de pos</w:t>
      </w:r>
      <w:r w:rsidRPr="00562808">
        <w:rPr>
          <w:szCs w:val="22"/>
        </w:rPr>
        <w:t>i</w:t>
      </w:r>
      <w:r w:rsidRPr="00562808">
        <w:rPr>
          <w:szCs w:val="22"/>
        </w:rPr>
        <w:t>tion concrète au niveau politique pour contrer la discrimination sy</w:t>
      </w:r>
      <w:r w:rsidRPr="00562808">
        <w:rPr>
          <w:szCs w:val="22"/>
        </w:rPr>
        <w:t>s</w:t>
      </w:r>
      <w:r w:rsidRPr="00562808">
        <w:rPr>
          <w:szCs w:val="22"/>
        </w:rPr>
        <w:t>témique </w:t>
      </w:r>
      <w:r>
        <w:rPr>
          <w:rStyle w:val="Appelnotedebasdep"/>
        </w:rPr>
        <w:footnoteReference w:id="625"/>
      </w:r>
      <w:r>
        <w:rPr>
          <w:szCs w:val="22"/>
        </w:rPr>
        <w:t> </w:t>
      </w:r>
      <w:r w:rsidRPr="00562808">
        <w:rPr>
          <w:szCs w:val="22"/>
        </w:rPr>
        <w:t>? »</w:t>
      </w:r>
    </w:p>
    <w:p w:rsidR="00AD690E" w:rsidRDefault="00AD690E" w:rsidP="00AD690E">
      <w:pPr>
        <w:spacing w:before="120" w:after="120"/>
        <w:jc w:val="both"/>
      </w:pPr>
    </w:p>
    <w:p w:rsidR="00AD690E" w:rsidRPr="00DA0173" w:rsidRDefault="00AD690E" w:rsidP="00AD690E">
      <w:pPr>
        <w:pStyle w:val="a"/>
      </w:pPr>
      <w:r w:rsidRPr="00DA0173">
        <w:t>Les travaux sur la po</w:t>
      </w:r>
      <w:r>
        <w:t>rnographie et la prostitution :</w:t>
      </w:r>
      <w:r>
        <w:br/>
      </w:r>
      <w:r w:rsidRPr="00DA0173">
        <w:t>1983-1985</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Le Comité spécial d'étude sur la pornographie et la prostitution, créé en juin 1983, s'est vu confier un double mandat : faire enquête sur les problèmes liés à la pornographie et à la prostitution au Canada et s'il y avait lieu, de recommander des ré</w:t>
      </w:r>
      <w:r>
        <w:rPr>
          <w:szCs w:val="22"/>
        </w:rPr>
        <w:t xml:space="preserve">formes, notamment au plan socio- </w:t>
      </w:r>
      <w:r w:rsidRPr="00562808">
        <w:rPr>
          <w:szCs w:val="22"/>
        </w:rPr>
        <w:t>juridique.</w:t>
      </w:r>
    </w:p>
    <w:p w:rsidR="00AD690E" w:rsidRPr="00562808" w:rsidRDefault="00AD690E" w:rsidP="00AD690E">
      <w:pPr>
        <w:spacing w:before="120" w:after="120"/>
        <w:jc w:val="both"/>
      </w:pPr>
      <w:r w:rsidRPr="00562808">
        <w:rPr>
          <w:szCs w:val="22"/>
        </w:rPr>
        <w:t>Pendant deux ans, les commissaires ont sondé l'opinion publique quant à ces problèmes, en tenant des audiences publiques et en d</w:t>
      </w:r>
      <w:r w:rsidRPr="00562808">
        <w:rPr>
          <w:szCs w:val="22"/>
        </w:rPr>
        <w:t>e</w:t>
      </w:r>
      <w:r w:rsidRPr="00562808">
        <w:rPr>
          <w:szCs w:val="22"/>
        </w:rPr>
        <w:t>mandant aux associations et aux citoyens intéressés de leur soumettre des mémoires. En outre, les membres du comité d'étude ont analysé la manière dont certains pays étrangers, notamment les États-Unis, les pays membres de la Communauté économique européenne, l'Australie et la Nouvelle-Zélande, ont essayé de régler cette épineuse question.</w:t>
      </w:r>
    </w:p>
    <w:p w:rsidR="00AD690E" w:rsidRPr="00562808" w:rsidRDefault="00AD690E" w:rsidP="00AD690E">
      <w:pPr>
        <w:spacing w:before="120" w:after="120"/>
        <w:jc w:val="both"/>
      </w:pPr>
      <w:r w:rsidRPr="00562808">
        <w:rPr>
          <w:szCs w:val="22"/>
        </w:rPr>
        <w:t>Dans leur rapport</w:t>
      </w:r>
      <w:r>
        <w:rPr>
          <w:szCs w:val="22"/>
        </w:rPr>
        <w:t> </w:t>
      </w:r>
      <w:r>
        <w:rPr>
          <w:rStyle w:val="Appelnotedebasdep"/>
        </w:rPr>
        <w:footnoteReference w:id="626"/>
      </w:r>
      <w:r w:rsidRPr="00562808">
        <w:rPr>
          <w:szCs w:val="22"/>
        </w:rPr>
        <w:t>, les commissaires rappellent les principes ayant guidé leurs travaux. S'ils prônent la nécessité de l'égalité jurid</w:t>
      </w:r>
      <w:r w:rsidRPr="00562808">
        <w:rPr>
          <w:szCs w:val="22"/>
        </w:rPr>
        <w:t>i</w:t>
      </w:r>
      <w:r w:rsidRPr="00562808">
        <w:rPr>
          <w:szCs w:val="22"/>
        </w:rPr>
        <w:t>que, sociale et économique des hommes et des femmes, ils mettent également de l'avant ces règles : l'adulte doit assumer la responsabilité de ses actes puisque la loi lui reconnaît une certaine marge de liberté.</w:t>
      </w:r>
    </w:p>
    <w:p w:rsidR="00AD690E" w:rsidRPr="00562808" w:rsidRDefault="00AD690E" w:rsidP="00AD690E">
      <w:pPr>
        <w:spacing w:before="120" w:after="120"/>
        <w:jc w:val="both"/>
      </w:pPr>
      <w:r w:rsidRPr="00562808">
        <w:rPr>
          <w:szCs w:val="22"/>
        </w:rPr>
        <w:t>La pornographie et la prostitution se partagent les 108 recomma</w:t>
      </w:r>
      <w:r w:rsidRPr="00562808">
        <w:rPr>
          <w:szCs w:val="22"/>
        </w:rPr>
        <w:t>n</w:t>
      </w:r>
      <w:r w:rsidRPr="00562808">
        <w:rPr>
          <w:szCs w:val="22"/>
        </w:rPr>
        <w:t>dations du rapport. Au chapitre de la pornographie, on insiste sur le contrôle des productions pornographiques. Le but recherché est le re</w:t>
      </w:r>
      <w:r w:rsidRPr="00562808">
        <w:rPr>
          <w:szCs w:val="22"/>
        </w:rPr>
        <w:t>s</w:t>
      </w:r>
      <w:r w:rsidRPr="00562808">
        <w:rPr>
          <w:szCs w:val="22"/>
        </w:rPr>
        <w:t xml:space="preserve">pect du droit à l'égalité, tel qu'énoncé à l'article 15 de la </w:t>
      </w:r>
      <w:r w:rsidRPr="00562808">
        <w:rPr>
          <w:i/>
          <w:iCs/>
          <w:szCs w:val="22"/>
        </w:rPr>
        <w:t xml:space="preserve">Charte des droits et libertés. </w:t>
      </w:r>
      <w:r w:rsidRPr="00562808">
        <w:rPr>
          <w:szCs w:val="22"/>
        </w:rPr>
        <w:t>Quant à la prostitution, sa maîtrise passe par l'élim</w:t>
      </w:r>
      <w:r w:rsidRPr="00562808">
        <w:rPr>
          <w:szCs w:val="22"/>
        </w:rPr>
        <w:t>i</w:t>
      </w:r>
      <w:r w:rsidRPr="00562808">
        <w:rPr>
          <w:szCs w:val="22"/>
        </w:rPr>
        <w:t>nation du sexisme dans la société canadienne. Ce qui suppose le dév</w:t>
      </w:r>
      <w:r w:rsidRPr="00562808">
        <w:rPr>
          <w:szCs w:val="22"/>
        </w:rPr>
        <w:t>e</w:t>
      </w:r>
      <w:r w:rsidRPr="00562808">
        <w:rPr>
          <w:szCs w:val="22"/>
        </w:rPr>
        <w:t>loppement de la connaissance, encore incomplète, de la sexualité et des préférences sexuelles. Ce qui suppose, aussi, l'institution de pr</w:t>
      </w:r>
      <w:r w:rsidRPr="00562808">
        <w:rPr>
          <w:szCs w:val="22"/>
        </w:rPr>
        <w:t>o</w:t>
      </w:r>
      <w:r w:rsidRPr="00562808">
        <w:rPr>
          <w:szCs w:val="22"/>
        </w:rPr>
        <w:t>grammes sociaux et éducatifs pour aider les jeunes aux prises avec les problèmes du sexisme, de la sexualité et de l'identité sexuelle.</w:t>
      </w:r>
    </w:p>
    <w:p w:rsidR="00AD690E" w:rsidRPr="00562808" w:rsidRDefault="00AD690E" w:rsidP="00AD690E">
      <w:pPr>
        <w:spacing w:before="120" w:after="120"/>
        <w:jc w:val="both"/>
      </w:pPr>
      <w:r>
        <w:rPr>
          <w:szCs w:val="18"/>
        </w:rPr>
        <w:t>[</w:t>
      </w:r>
      <w:r w:rsidRPr="00562808">
        <w:rPr>
          <w:rFonts w:cs="Arial"/>
          <w:szCs w:val="18"/>
        </w:rPr>
        <w:t>370</w:t>
      </w:r>
      <w:r>
        <w:rPr>
          <w:rFonts w:cs="Arial"/>
          <w:szCs w:val="18"/>
        </w:rPr>
        <w:t>]</w:t>
      </w:r>
    </w:p>
    <w:p w:rsidR="00AD690E" w:rsidRDefault="00AD690E" w:rsidP="00AD690E">
      <w:pPr>
        <w:spacing w:before="120" w:after="120"/>
        <w:jc w:val="both"/>
        <w:rPr>
          <w:bCs/>
          <w:szCs w:val="22"/>
        </w:rPr>
      </w:pPr>
    </w:p>
    <w:p w:rsidR="00AD690E" w:rsidRPr="00DA0173" w:rsidRDefault="00AD690E" w:rsidP="00AD690E">
      <w:pPr>
        <w:pStyle w:val="a"/>
      </w:pPr>
      <w:r>
        <w:t>La Décennie pour les femmes :</w:t>
      </w:r>
      <w:r>
        <w:br/>
      </w:r>
      <w:r w:rsidRPr="00DA0173">
        <w:t>1976-1985</w:t>
      </w:r>
    </w:p>
    <w:p w:rsidR="00AD690E" w:rsidRPr="00DA0173" w:rsidRDefault="00AD690E" w:rsidP="00AD690E">
      <w:pPr>
        <w:spacing w:before="120" w:after="120"/>
        <w:jc w:val="both"/>
        <w:rPr>
          <w:b/>
          <w:szCs w:val="22"/>
        </w:rPr>
      </w:pPr>
    </w:p>
    <w:p w:rsidR="00AD690E" w:rsidRPr="00562808" w:rsidRDefault="00AD690E" w:rsidP="00AD690E">
      <w:pPr>
        <w:spacing w:before="120" w:after="120"/>
        <w:jc w:val="both"/>
      </w:pPr>
      <w:r w:rsidRPr="00562808">
        <w:rPr>
          <w:szCs w:val="22"/>
        </w:rPr>
        <w:t>On se rappelle que l'année 1975 a été proclamée par les Nations Unies « Année internationale de la femme », en guise de réponse à tous les rapports faisant état de la situation défavorable des femmes dans le monde. À la fin de l'année, un plan d'action mondial a été adopté dans lequel on recommandait aux Nations unies de proclamer la période 1976-1985, « Décennie pour les femmes ». Pour améliorer la condition féminine à travers le monde au cours de la Décennie, on a sélectionné certains thèmes dont l'égalité, le développement et la paix. Plus précisément, la Décennie voulait favoriser au sein des États membres de l'ONU l'adoption de mesures destinées à modifier le st</w:t>
      </w:r>
      <w:r w:rsidRPr="00562808">
        <w:rPr>
          <w:szCs w:val="22"/>
        </w:rPr>
        <w:t>a</w:t>
      </w:r>
      <w:r w:rsidRPr="00562808">
        <w:rPr>
          <w:szCs w:val="22"/>
        </w:rPr>
        <w:t>tut juridique, économique et social des femmes dans le monde entier.</w:t>
      </w:r>
    </w:p>
    <w:p w:rsidR="00AD690E" w:rsidRPr="00562808" w:rsidRDefault="00AD690E" w:rsidP="00AD690E">
      <w:pPr>
        <w:spacing w:before="120" w:after="120"/>
        <w:jc w:val="both"/>
      </w:pPr>
      <w:r w:rsidRPr="00562808">
        <w:rPr>
          <w:szCs w:val="22"/>
        </w:rPr>
        <w:t>La Conférence de Nairobi a été la dernière manifestation majeure de la Décennie</w:t>
      </w:r>
      <w:r>
        <w:rPr>
          <w:szCs w:val="22"/>
        </w:rPr>
        <w:t> </w:t>
      </w:r>
      <w:r w:rsidRPr="00C37A43">
        <w:rPr>
          <w:rStyle w:val="Appelnotedebasdep"/>
        </w:rPr>
        <w:footnoteReference w:id="627"/>
      </w:r>
      <w:r w:rsidRPr="00562808">
        <w:rPr>
          <w:szCs w:val="22"/>
        </w:rPr>
        <w:t>. On y a examiné et évalué les résultats de la D</w:t>
      </w:r>
      <w:r w:rsidRPr="00562808">
        <w:rPr>
          <w:szCs w:val="22"/>
        </w:rPr>
        <w:t>é</w:t>
      </w:r>
      <w:r w:rsidRPr="00562808">
        <w:rPr>
          <w:szCs w:val="22"/>
        </w:rPr>
        <w:t>cennie pour les femmes, en plus d'élaborer des stratégies pour la pou</w:t>
      </w:r>
      <w:r w:rsidRPr="00562808">
        <w:rPr>
          <w:szCs w:val="22"/>
        </w:rPr>
        <w:t>r</w:t>
      </w:r>
      <w:r w:rsidRPr="00562808">
        <w:rPr>
          <w:szCs w:val="22"/>
        </w:rPr>
        <w:t>suite des progrès en faveur des femmes, d'ici à la fin du siècle. En o</w:t>
      </w:r>
      <w:r w:rsidRPr="00562808">
        <w:rPr>
          <w:szCs w:val="22"/>
        </w:rPr>
        <w:t>u</w:t>
      </w:r>
      <w:r w:rsidRPr="00562808">
        <w:rPr>
          <w:szCs w:val="22"/>
        </w:rPr>
        <w:t>tre, une série de projets de stratégies (les Stratégies prospectives d'a</w:t>
      </w:r>
      <w:r w:rsidRPr="00562808">
        <w:rPr>
          <w:szCs w:val="22"/>
        </w:rPr>
        <w:t>c</w:t>
      </w:r>
      <w:r w:rsidRPr="00562808">
        <w:rPr>
          <w:szCs w:val="22"/>
        </w:rPr>
        <w:t>tion) (SPA) ont été adoptés, dans le but de surmonter les obstacles à l'avancement des femmes d'ici l'an 2000</w:t>
      </w:r>
      <w:r>
        <w:rPr>
          <w:szCs w:val="22"/>
        </w:rPr>
        <w:t> </w:t>
      </w:r>
      <w:r w:rsidRPr="00C37A43">
        <w:rPr>
          <w:rStyle w:val="Appelnotedebasdep"/>
        </w:rPr>
        <w:footnoteReference w:id="628"/>
      </w:r>
      <w:r w:rsidRPr="00562808">
        <w:rPr>
          <w:szCs w:val="22"/>
        </w:rPr>
        <w:t>. Ce document traite des domaines liés à la promotion des femmes, tant dans les pays industri</w:t>
      </w:r>
      <w:r w:rsidRPr="00562808">
        <w:rPr>
          <w:szCs w:val="22"/>
        </w:rPr>
        <w:t>a</w:t>
      </w:r>
      <w:r w:rsidRPr="00562808">
        <w:rPr>
          <w:szCs w:val="22"/>
        </w:rPr>
        <w:t>lisés que dans les pays en voie de développement. Il concerne de nombreux sujets dont l'égalité en droit ; l'enseignement et la form</w:t>
      </w:r>
      <w:r w:rsidRPr="00562808">
        <w:rPr>
          <w:szCs w:val="22"/>
        </w:rPr>
        <w:t>a</w:t>
      </w:r>
      <w:r w:rsidRPr="00562808">
        <w:rPr>
          <w:szCs w:val="22"/>
        </w:rPr>
        <w:t>tion ; l'emploi ; la santé ; la régulation des naissances ; l'aide au dév</w:t>
      </w:r>
      <w:r w:rsidRPr="00562808">
        <w:rPr>
          <w:szCs w:val="22"/>
        </w:rPr>
        <w:t>e</w:t>
      </w:r>
      <w:r w:rsidRPr="00562808">
        <w:rPr>
          <w:szCs w:val="22"/>
        </w:rPr>
        <w:t>loppement ; l'alimentation, l'eau et l'agriculture ; la coopération inte</w:t>
      </w:r>
      <w:r w:rsidRPr="00562808">
        <w:rPr>
          <w:szCs w:val="22"/>
        </w:rPr>
        <w:t>r</w:t>
      </w:r>
      <w:r w:rsidRPr="00562808">
        <w:rPr>
          <w:szCs w:val="22"/>
        </w:rPr>
        <w:t>nationale et la paix. Les gouvernements membres des Nations unies, en adoptant les SPA, s'engag</w:t>
      </w:r>
      <w:r>
        <w:rPr>
          <w:szCs w:val="22"/>
        </w:rPr>
        <w:t>e</w:t>
      </w:r>
      <w:r w:rsidRPr="00562808">
        <w:rPr>
          <w:szCs w:val="22"/>
        </w:rPr>
        <w:t>aient à mettre en vigueur un ensemble d'actions coo</w:t>
      </w:r>
      <w:r w:rsidRPr="00562808">
        <w:rPr>
          <w:szCs w:val="22"/>
        </w:rPr>
        <w:t>r</w:t>
      </w:r>
      <w:r w:rsidRPr="00562808">
        <w:rPr>
          <w:szCs w:val="22"/>
        </w:rPr>
        <w:t>données dans les buts :</w:t>
      </w:r>
    </w:p>
    <w:p w:rsidR="00AD690E" w:rsidRDefault="00AD690E" w:rsidP="00AD690E">
      <w:pPr>
        <w:spacing w:before="120" w:after="120"/>
        <w:jc w:val="both"/>
        <w:rPr>
          <w:szCs w:val="22"/>
        </w:rPr>
      </w:pP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lever les obstacles qui entravent la participation pleine et e</w:t>
      </w:r>
      <w:r w:rsidRPr="00562808">
        <w:rPr>
          <w:szCs w:val="22"/>
        </w:rPr>
        <w:t>n</w:t>
      </w:r>
      <w:r w:rsidRPr="00562808">
        <w:rPr>
          <w:szCs w:val="22"/>
        </w:rPr>
        <w:t>tière des femmes à tous les aspects de la vie de la société et à favoriser cette participation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d'évaluer l'impact des politiques et programmes sur les fe</w:t>
      </w:r>
      <w:r w:rsidRPr="00562808">
        <w:rPr>
          <w:szCs w:val="22"/>
        </w:rPr>
        <w:t>m</w:t>
      </w:r>
      <w:r w:rsidRPr="00562808">
        <w:rPr>
          <w:szCs w:val="22"/>
        </w:rPr>
        <w:t>mes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d'établir les mécanismes nationaux appropriés pour contrôler la situation des femmes et cerner les causes de l'inégalité, partic</w:t>
      </w:r>
      <w:r w:rsidRPr="00562808">
        <w:rPr>
          <w:szCs w:val="22"/>
        </w:rPr>
        <w:t>i</w:t>
      </w:r>
      <w:r w:rsidRPr="00562808">
        <w:rPr>
          <w:szCs w:val="22"/>
        </w:rPr>
        <w:t>per à l'élaboration de nouvelles politiques et de nouveaux pr</w:t>
      </w:r>
      <w:r w:rsidRPr="00562808">
        <w:rPr>
          <w:szCs w:val="22"/>
        </w:rPr>
        <w:t>o</w:t>
      </w:r>
      <w:r w:rsidRPr="00562808">
        <w:rPr>
          <w:szCs w:val="22"/>
        </w:rPr>
        <w:t>jets pour la promotion des femmes et veiller à la prise en com</w:t>
      </w:r>
      <w:r w:rsidRPr="00562808">
        <w:rPr>
          <w:szCs w:val="22"/>
        </w:rPr>
        <w:t>p</w:t>
      </w:r>
      <w:r w:rsidRPr="00562808">
        <w:rPr>
          <w:szCs w:val="22"/>
        </w:rPr>
        <w:t>te des femmes dans toutes les politiques et dans tous les pr</w:t>
      </w:r>
      <w:r w:rsidRPr="00562808">
        <w:rPr>
          <w:szCs w:val="22"/>
        </w:rPr>
        <w:t>o</w:t>
      </w:r>
      <w:r w:rsidRPr="00562808">
        <w:rPr>
          <w:szCs w:val="22"/>
        </w:rPr>
        <w:t>grammes ;</w:t>
      </w:r>
    </w:p>
    <w:p w:rsidR="00AD690E" w:rsidRDefault="00AD690E" w:rsidP="00AD690E">
      <w:pPr>
        <w:spacing w:before="120" w:after="120"/>
        <w:jc w:val="both"/>
      </w:pPr>
    </w:p>
    <w:p w:rsidR="00AD690E" w:rsidRDefault="00AD690E" w:rsidP="00AD690E">
      <w:pPr>
        <w:pStyle w:val="p"/>
      </w:pPr>
      <w:r>
        <w:t>[371]</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fournir des statistiques, notamment en ce qui concerne le travail des femmes, dans toutes les politiques et dans tous les programmes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fournir des statistiques, notamment en ce qui concerne le travail des femmes, tant rémunéré que gratuit, ainsi que l'activ</w:t>
      </w:r>
      <w:r w:rsidRPr="00562808">
        <w:rPr>
          <w:szCs w:val="22"/>
        </w:rPr>
        <w:t>i</w:t>
      </w:r>
      <w:r w:rsidRPr="00562808">
        <w:rPr>
          <w:szCs w:val="22"/>
        </w:rPr>
        <w:t>té féminine dans les secteurs économiques non structurés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contrôler et évaluer les mécanismes visant à promouvoir l'avancement des femmes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favoriser la pleine participation des femmes à la prise de d</w:t>
      </w:r>
      <w:r w:rsidRPr="00562808">
        <w:rPr>
          <w:szCs w:val="22"/>
        </w:rPr>
        <w:t>é</w:t>
      </w:r>
      <w:r w:rsidRPr="00562808">
        <w:rPr>
          <w:szCs w:val="22"/>
        </w:rPr>
        <w:t>cision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faire disparaître les stéréotypes et faire évoluer les mentalités et les valeurs par des programmes de sensibilisation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promouvoir les organisations féminines populaires et accro</w:t>
      </w:r>
      <w:r w:rsidRPr="00562808">
        <w:rPr>
          <w:szCs w:val="22"/>
        </w:rPr>
        <w:t>î</w:t>
      </w:r>
      <w:r w:rsidRPr="00562808">
        <w:rPr>
          <w:szCs w:val="22"/>
        </w:rPr>
        <w:t>tre l'autonomie des femmes ;</w:t>
      </w:r>
    </w:p>
    <w:p w:rsidR="00AD690E" w:rsidRPr="00562808" w:rsidRDefault="00AD690E" w:rsidP="00AD690E">
      <w:pPr>
        <w:spacing w:before="120" w:after="120"/>
        <w:ind w:left="720" w:hanging="360"/>
        <w:jc w:val="both"/>
        <w:rPr>
          <w:szCs w:val="22"/>
        </w:rPr>
      </w:pPr>
      <w:r>
        <w:rPr>
          <w:szCs w:val="22"/>
        </w:rPr>
        <w:t>-</w:t>
      </w:r>
      <w:r>
        <w:rPr>
          <w:szCs w:val="22"/>
        </w:rPr>
        <w:tab/>
      </w:r>
      <w:r w:rsidRPr="00562808">
        <w:rPr>
          <w:szCs w:val="22"/>
        </w:rPr>
        <w:t>de promouvoir le partage des responsabilités domestiques et p</w:t>
      </w:r>
      <w:r w:rsidRPr="00562808">
        <w:rPr>
          <w:szCs w:val="22"/>
        </w:rPr>
        <w:t>a</w:t>
      </w:r>
      <w:r w:rsidRPr="00562808">
        <w:rPr>
          <w:szCs w:val="22"/>
        </w:rPr>
        <w:t>rentales par tous les membres de la famille.</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Le Canada a joué un rôle important tout au cours de cette période. Membre de la Commission de la condition de la femme des Nations unies, il a participé à la discussion et à la révision de ces stratégies. Coordonnateur des pays de l'Ouest (regroupant les États-Unis, l'Eur</w:t>
      </w:r>
      <w:r w:rsidRPr="00562808">
        <w:rPr>
          <w:szCs w:val="22"/>
        </w:rPr>
        <w:t>o</w:t>
      </w:r>
      <w:r w:rsidRPr="00562808">
        <w:rPr>
          <w:szCs w:val="22"/>
        </w:rPr>
        <w:t>pe de l'Ouest, l'Australie, la Nouvelle-Zélande et le Japon), il a été au centre des négociations avec les pays de l</w:t>
      </w:r>
      <w:r>
        <w:rPr>
          <w:szCs w:val="22"/>
        </w:rPr>
        <w:t>’</w:t>
      </w:r>
      <w:r w:rsidRPr="00562808">
        <w:rPr>
          <w:szCs w:val="22"/>
        </w:rPr>
        <w:t>Europe de l'Est et ceux du tiers monde.</w:t>
      </w:r>
    </w:p>
    <w:p w:rsidR="00AD690E" w:rsidRPr="00562808" w:rsidRDefault="00AD690E" w:rsidP="00AD690E">
      <w:pPr>
        <w:spacing w:before="120" w:after="120"/>
        <w:jc w:val="both"/>
      </w:pPr>
      <w:r w:rsidRPr="00562808">
        <w:rPr>
          <w:szCs w:val="22"/>
        </w:rPr>
        <w:t>Au plan national, les autorités canadiennes ont entrepris l'élabor</w:t>
      </w:r>
      <w:r w:rsidRPr="00562808">
        <w:rPr>
          <w:szCs w:val="22"/>
        </w:rPr>
        <w:t>a</w:t>
      </w:r>
      <w:r w:rsidRPr="00562808">
        <w:rPr>
          <w:szCs w:val="22"/>
        </w:rPr>
        <w:t>tion d'un plan pour l'exécution des SPA. Les ministres fédéral, provi</w:t>
      </w:r>
      <w:r w:rsidRPr="00562808">
        <w:rPr>
          <w:szCs w:val="22"/>
        </w:rPr>
        <w:t>n</w:t>
      </w:r>
      <w:r w:rsidRPr="00562808">
        <w:rPr>
          <w:szCs w:val="22"/>
        </w:rPr>
        <w:t>ciaux et territoriaux responsables de la condition féminine, ont discuté à deux reprises des suites à donner à ce plan d'action. C'est d'abord dans le domaine de l'intégration économique des femmes que le C</w:t>
      </w:r>
      <w:r w:rsidRPr="00562808">
        <w:rPr>
          <w:szCs w:val="22"/>
        </w:rPr>
        <w:t>a</w:t>
      </w:r>
      <w:r w:rsidRPr="00562808">
        <w:rPr>
          <w:szCs w:val="22"/>
        </w:rPr>
        <w:t>nada se proposait d'agir, comme en témoignent la Conférence des premiers ministres sur l'économie, en février 1985, et celle des pr</w:t>
      </w:r>
      <w:r w:rsidRPr="00562808">
        <w:rPr>
          <w:szCs w:val="22"/>
        </w:rPr>
        <w:t>e</w:t>
      </w:r>
      <w:r w:rsidRPr="00562808">
        <w:rPr>
          <w:szCs w:val="22"/>
        </w:rPr>
        <w:t>miers ministres, en novembre 1985. Mais ce n'est qu'à l'examen des effets des mesures prises, sur la relative pauvreté des femmes can</w:t>
      </w:r>
      <w:r w:rsidRPr="00562808">
        <w:rPr>
          <w:szCs w:val="22"/>
        </w:rPr>
        <w:t>a</w:t>
      </w:r>
      <w:r w:rsidRPr="00562808">
        <w:rPr>
          <w:szCs w:val="22"/>
        </w:rPr>
        <w:t>diennes, qu'on saura si l'intégration économique des femmes est sur la bonne voie.</w:t>
      </w:r>
    </w:p>
    <w:p w:rsidR="00AD690E" w:rsidRDefault="00AD690E" w:rsidP="00AD690E">
      <w:pPr>
        <w:spacing w:before="120" w:after="120"/>
        <w:jc w:val="both"/>
        <w:rPr>
          <w:bCs/>
          <w:szCs w:val="22"/>
        </w:rPr>
      </w:pPr>
    </w:p>
    <w:p w:rsidR="00AD690E" w:rsidRPr="00EF1ADA" w:rsidRDefault="00AD690E" w:rsidP="00AD690E">
      <w:pPr>
        <w:pStyle w:val="a"/>
      </w:pPr>
      <w:r w:rsidRPr="00EF1ADA">
        <w:t xml:space="preserve">Les interventions du gouvernement fédéral </w:t>
      </w:r>
      <w:r>
        <w:br/>
      </w:r>
      <w:r w:rsidRPr="00EF1ADA">
        <w:t>à l'endroit des femmes canadiennes :</w:t>
      </w:r>
      <w:r>
        <w:br/>
      </w:r>
      <w:r w:rsidRPr="00EF1ADA">
        <w:t>les droits fondamentaux</w:t>
      </w:r>
    </w:p>
    <w:p w:rsidR="00AD690E" w:rsidRDefault="00AD690E" w:rsidP="00AD690E">
      <w:pPr>
        <w:spacing w:before="120" w:after="120"/>
        <w:jc w:val="both"/>
        <w:rPr>
          <w:szCs w:val="18"/>
        </w:rPr>
      </w:pPr>
    </w:p>
    <w:p w:rsidR="00AD690E" w:rsidRPr="00562808" w:rsidRDefault="00AD690E" w:rsidP="00AD690E">
      <w:pPr>
        <w:spacing w:before="120" w:after="120"/>
        <w:jc w:val="both"/>
      </w:pPr>
      <w:r w:rsidRPr="00562808">
        <w:rPr>
          <w:szCs w:val="22"/>
        </w:rPr>
        <w:t xml:space="preserve">Dans le domaine des droits fondamentaux, le régime libéral a agi dans le but de considérer les revendications des femmes comme des revendications d'égalité, comme en font foi la </w:t>
      </w:r>
      <w:r w:rsidRPr="00562808">
        <w:rPr>
          <w:i/>
          <w:iCs/>
          <w:szCs w:val="22"/>
        </w:rPr>
        <w:t xml:space="preserve">Loi canadienne des droits de la personne </w:t>
      </w:r>
      <w:r w:rsidRPr="00562808">
        <w:rPr>
          <w:szCs w:val="22"/>
        </w:rPr>
        <w:t xml:space="preserve">et la </w:t>
      </w:r>
      <w:r w:rsidRPr="00562808">
        <w:rPr>
          <w:i/>
          <w:iCs/>
          <w:szCs w:val="22"/>
        </w:rPr>
        <w:t>Loi constitutionnelle de 1982.</w:t>
      </w:r>
    </w:p>
    <w:p w:rsidR="00AD690E" w:rsidRPr="00562808" w:rsidRDefault="00AD690E" w:rsidP="00AD690E">
      <w:pPr>
        <w:spacing w:before="120" w:after="120"/>
        <w:jc w:val="both"/>
      </w:pPr>
      <w:r>
        <w:t>[</w:t>
      </w:r>
      <w:r w:rsidRPr="00562808">
        <w:rPr>
          <w:rFonts w:cs="Arial"/>
          <w:szCs w:val="18"/>
        </w:rPr>
        <w:t>372</w:t>
      </w:r>
      <w:r>
        <w:rPr>
          <w:rFonts w:cs="Arial"/>
          <w:szCs w:val="18"/>
        </w:rPr>
        <w:t>]</w:t>
      </w:r>
    </w:p>
    <w:p w:rsidR="00AD690E" w:rsidRDefault="00AD690E" w:rsidP="00AD690E">
      <w:pPr>
        <w:spacing w:before="120" w:after="120"/>
        <w:jc w:val="both"/>
        <w:rPr>
          <w:szCs w:val="22"/>
        </w:rPr>
      </w:pPr>
    </w:p>
    <w:p w:rsidR="00AD690E" w:rsidRPr="00EF1ADA" w:rsidRDefault="00AD690E" w:rsidP="00AD690E">
      <w:pPr>
        <w:pStyle w:val="a"/>
      </w:pPr>
      <w:r w:rsidRPr="00EF1ADA">
        <w:t>La Loi canadienne des droits de la personne</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 xml:space="preserve">Adoptée en 1977, la </w:t>
      </w:r>
      <w:r w:rsidRPr="00562808">
        <w:rPr>
          <w:i/>
          <w:iCs/>
          <w:szCs w:val="22"/>
        </w:rPr>
        <w:t xml:space="preserve">Loi canadienne des droits de la personne </w:t>
      </w:r>
      <w:r w:rsidRPr="00562808">
        <w:rPr>
          <w:szCs w:val="22"/>
        </w:rPr>
        <w:t>i</w:t>
      </w:r>
      <w:r w:rsidRPr="00562808">
        <w:rPr>
          <w:szCs w:val="22"/>
        </w:rPr>
        <w:t>n</w:t>
      </w:r>
      <w:r w:rsidRPr="00562808">
        <w:rPr>
          <w:szCs w:val="22"/>
        </w:rPr>
        <w:t>terdit toute discrimination sexuelle, en plus de garantir aux femmes une rémunération égale à celle des hommes, pour des fonctions équ</w:t>
      </w:r>
      <w:r w:rsidRPr="00562808">
        <w:rPr>
          <w:szCs w:val="22"/>
        </w:rPr>
        <w:t>i</w:t>
      </w:r>
      <w:r w:rsidRPr="00562808">
        <w:rPr>
          <w:szCs w:val="22"/>
        </w:rPr>
        <w:t>valentes. Cette dernière loi s'applique aux employés travaillant sous l'autorité du gouvernement fédéral, et notamment aux personnels des banques et des sociétés de la Couronne.</w:t>
      </w:r>
    </w:p>
    <w:p w:rsidR="00AD690E" w:rsidRPr="00562808" w:rsidRDefault="00AD690E" w:rsidP="00AD690E">
      <w:pPr>
        <w:spacing w:before="120" w:after="120"/>
        <w:jc w:val="both"/>
      </w:pPr>
      <w:r w:rsidRPr="00562808">
        <w:rPr>
          <w:szCs w:val="22"/>
        </w:rPr>
        <w:t xml:space="preserve">La </w:t>
      </w:r>
      <w:r w:rsidRPr="00562808">
        <w:rPr>
          <w:i/>
          <w:iCs/>
          <w:szCs w:val="22"/>
        </w:rPr>
        <w:t xml:space="preserve">Loi canadienne des droits de la personne </w:t>
      </w:r>
      <w:r w:rsidRPr="00562808">
        <w:rPr>
          <w:szCs w:val="22"/>
        </w:rPr>
        <w:t>est la législation ant</w:t>
      </w:r>
      <w:r w:rsidRPr="00562808">
        <w:rPr>
          <w:szCs w:val="22"/>
        </w:rPr>
        <w:t>i</w:t>
      </w:r>
      <w:r w:rsidRPr="00562808">
        <w:rPr>
          <w:szCs w:val="22"/>
        </w:rPr>
        <w:t>discriminatoire la plus progressiste au Canada. Des critères précis, énumérés dans la loi, permettent d'établir l'équivalence en emploi pour les employés d'un même établissement. Ce sont les qualifications r</w:t>
      </w:r>
      <w:r w:rsidRPr="00562808">
        <w:rPr>
          <w:szCs w:val="22"/>
        </w:rPr>
        <w:t>e</w:t>
      </w:r>
      <w:r w:rsidRPr="00562808">
        <w:rPr>
          <w:szCs w:val="22"/>
        </w:rPr>
        <w:t>quises, l'effort exigé, les responsabilités liées à l'exécution du travail, les conditions d'exécution du travail. Ces dispositions, relatives à l'évaluation du contenu réel des emplois, ont permis à l'Alliance can</w:t>
      </w:r>
      <w:r w:rsidRPr="00562808">
        <w:rPr>
          <w:szCs w:val="22"/>
        </w:rPr>
        <w:t>a</w:t>
      </w:r>
      <w:r w:rsidRPr="00562808">
        <w:rPr>
          <w:szCs w:val="22"/>
        </w:rPr>
        <w:t>dienne de la fonction publique de faire majorer le traitement annuel versé à certaines catégories de fonctionnaires.</w:t>
      </w:r>
    </w:p>
    <w:p w:rsidR="00AD690E" w:rsidRPr="00562808" w:rsidRDefault="00AD690E" w:rsidP="00AD690E">
      <w:pPr>
        <w:spacing w:before="120" w:after="120"/>
        <w:jc w:val="both"/>
      </w:pPr>
      <w:r w:rsidRPr="00562808">
        <w:rPr>
          <w:szCs w:val="22"/>
        </w:rPr>
        <w:t>La loi canadienne permet, en outre, l'implantation de programmes volontaires d'accès à l'égalité. À la suite d'une plainte portée, le trib</w:t>
      </w:r>
      <w:r w:rsidRPr="00562808">
        <w:rPr>
          <w:szCs w:val="22"/>
        </w:rPr>
        <w:t>u</w:t>
      </w:r>
      <w:r w:rsidRPr="00562808">
        <w:rPr>
          <w:szCs w:val="22"/>
        </w:rPr>
        <w:t>nal peut obliger une entreprise à imposer un programme d'accès à l'égalité, lorsqu'il est démontré que les méthodes de recrutement, de sélection et d'embauch</w:t>
      </w:r>
      <w:r>
        <w:rPr>
          <w:szCs w:val="22"/>
        </w:rPr>
        <w:t>e</w:t>
      </w:r>
      <w:r w:rsidRPr="00562808">
        <w:rPr>
          <w:szCs w:val="22"/>
        </w:rPr>
        <w:t>, exercent des effets discriminatoires sur les femmes. Suite à l'application de ce principe et à la poursuite d'Action travail des femmes, le Canadien National a été trouvé coupable de discrimination. Rappelons que le CN en a appelé de cette décision d</w:t>
      </w:r>
      <w:r w:rsidRPr="00562808">
        <w:rPr>
          <w:szCs w:val="22"/>
        </w:rPr>
        <w:t>e</w:t>
      </w:r>
      <w:r w:rsidRPr="00562808">
        <w:rPr>
          <w:szCs w:val="22"/>
        </w:rPr>
        <w:t>vant la Cour d'appel fédérale qui lui a donné raison, en juillet 1985. Mais la Cour suprême du Canada l'a débouté de sa demande, le 25 juin 1987.</w:t>
      </w:r>
    </w:p>
    <w:p w:rsidR="00AD690E" w:rsidRDefault="00AD690E" w:rsidP="00AD690E">
      <w:pPr>
        <w:spacing w:before="120" w:after="120"/>
        <w:jc w:val="both"/>
        <w:rPr>
          <w:szCs w:val="22"/>
        </w:rPr>
      </w:pPr>
    </w:p>
    <w:p w:rsidR="00AD690E" w:rsidRPr="00EF1ADA" w:rsidRDefault="00AD690E" w:rsidP="00AD690E">
      <w:pPr>
        <w:pStyle w:val="a"/>
      </w:pPr>
      <w:r w:rsidRPr="00EF1ADA">
        <w:t>La Loi constitutionnelle de 1982</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Au Canada, la Déclaration des droits de 1960 a établi un certain nombre de droits et de libertés fondamentales dont jouissent tous les Canadiens. Pour tout individu, quels que soient sa race, son origine nationale, sa couleur, sa religion ou son sexe, quatre types de revend</w:t>
      </w:r>
      <w:r w:rsidRPr="00562808">
        <w:rPr>
          <w:szCs w:val="22"/>
        </w:rPr>
        <w:t>i</w:t>
      </w:r>
      <w:r w:rsidRPr="00562808">
        <w:rPr>
          <w:szCs w:val="22"/>
        </w:rPr>
        <w:t xml:space="preserve">cations ont été prévus : les droits politiques, les droits légaux (droit à la vie, à la liberté), les droits égalitaires, les droits économiques et de propriété. Seules les sphères d'activité de compétence fédérale, aux termes de l'AANB, étaient concernées par la Charte. Pour les femmes notamment, il s'agissait d'un progrès important puisque l'Acte de </w:t>
      </w:r>
      <w:r>
        <w:rPr>
          <w:i/>
          <w:iCs/>
          <w:szCs w:val="22"/>
        </w:rPr>
        <w:t>l’</w:t>
      </w:r>
      <w:r w:rsidRPr="00562808">
        <w:rPr>
          <w:i/>
          <w:iCs/>
          <w:szCs w:val="22"/>
        </w:rPr>
        <w:t xml:space="preserve">Amérique du Nord britannique, </w:t>
      </w:r>
      <w:r w:rsidRPr="00562808">
        <w:rPr>
          <w:szCs w:val="22"/>
        </w:rPr>
        <w:t>adopté en 1867, excluait tout pr</w:t>
      </w:r>
      <w:r w:rsidRPr="00562808">
        <w:rPr>
          <w:szCs w:val="22"/>
        </w:rPr>
        <w:t>é</w:t>
      </w:r>
      <w:r w:rsidRPr="00562808">
        <w:rPr>
          <w:szCs w:val="22"/>
        </w:rPr>
        <w:t>ambule exposant les objectifs et les intérêts de tous. En outre, on n'y trouvait aucune déclaration des droits.</w:t>
      </w:r>
    </w:p>
    <w:p w:rsidR="00AD690E" w:rsidRPr="00562808" w:rsidRDefault="00AD690E" w:rsidP="00AD690E">
      <w:pPr>
        <w:spacing w:before="120" w:after="120"/>
        <w:jc w:val="both"/>
      </w:pPr>
      <w:r w:rsidRPr="00562808">
        <w:rPr>
          <w:szCs w:val="22"/>
        </w:rPr>
        <w:t xml:space="preserve">Le 17 avril 1982, la </w:t>
      </w:r>
      <w:r w:rsidRPr="00562808">
        <w:rPr>
          <w:i/>
          <w:iCs/>
          <w:szCs w:val="22"/>
        </w:rPr>
        <w:t xml:space="preserve">Loi constitutionnelle de 1982 </w:t>
      </w:r>
      <w:r w:rsidRPr="00562808">
        <w:rPr>
          <w:szCs w:val="22"/>
        </w:rPr>
        <w:t xml:space="preserve">dans laquelle est incluse une </w:t>
      </w:r>
      <w:r w:rsidRPr="00562808">
        <w:rPr>
          <w:i/>
          <w:iCs/>
          <w:szCs w:val="22"/>
        </w:rPr>
        <w:t xml:space="preserve">Charte canadienne des droits et libertés </w:t>
      </w:r>
      <w:r w:rsidRPr="00562808">
        <w:rPr>
          <w:szCs w:val="22"/>
        </w:rPr>
        <w:t>est proclamée. Cette dernière, en plus de garantir de nouveaux droits dans les doma</w:t>
      </w:r>
      <w:r w:rsidRPr="00562808">
        <w:rPr>
          <w:szCs w:val="22"/>
        </w:rPr>
        <w:t>i</w:t>
      </w:r>
      <w:r w:rsidRPr="00562808">
        <w:rPr>
          <w:szCs w:val="22"/>
        </w:rPr>
        <w:t>nes des libertés fondamentales, des droits démocratiques, de la liberté de circulation, des garanties juridiques, de la protection des langues officielles et des programmes d'accès à</w:t>
      </w:r>
      <w:r>
        <w:rPr>
          <w:szCs w:val="22"/>
        </w:rPr>
        <w:t xml:space="preserve"> </w:t>
      </w:r>
      <w:r>
        <w:t xml:space="preserve">[373] </w:t>
      </w:r>
      <w:r w:rsidRPr="00562808">
        <w:rPr>
          <w:szCs w:val="22"/>
        </w:rPr>
        <w:t>l'égalité, confirme l'ég</w:t>
      </w:r>
      <w:r w:rsidRPr="00562808">
        <w:rPr>
          <w:szCs w:val="22"/>
        </w:rPr>
        <w:t>a</w:t>
      </w:r>
      <w:r w:rsidRPr="00562808">
        <w:rPr>
          <w:szCs w:val="22"/>
        </w:rPr>
        <w:t>lité des hommes et des femmes, notamment par les articles 15 et 28. Elle ne s'applique qu'aux activités des gouvernements fédéral et pr</w:t>
      </w:r>
      <w:r w:rsidRPr="00562808">
        <w:rPr>
          <w:szCs w:val="22"/>
        </w:rPr>
        <w:t>o</w:t>
      </w:r>
      <w:r w:rsidRPr="00562808">
        <w:rPr>
          <w:szCs w:val="22"/>
        </w:rPr>
        <w:t>vinciaux.</w:t>
      </w:r>
    </w:p>
    <w:p w:rsidR="00AD690E" w:rsidRPr="00562808" w:rsidRDefault="00AD690E" w:rsidP="00AD690E">
      <w:pPr>
        <w:spacing w:before="120" w:after="120"/>
        <w:jc w:val="both"/>
      </w:pPr>
      <w:r w:rsidRPr="00562808">
        <w:rPr>
          <w:szCs w:val="22"/>
        </w:rPr>
        <w:t>La Charte fait désormais partie de la Constitution canadienne. C'est dire qu'en cas de conflit entre cette dernière et toute autre loi fédérale et provinciale, c'est la Charte qui prévaut. Certes, la Charte assure aux femmes la déclaration et la consolidation de leurs droits. Ce qui est loin d'être négligeable, quand on pense à l'histoire et à la tradition du droit coutumier canadien et britannique</w:t>
      </w:r>
      <w:r>
        <w:rPr>
          <w:szCs w:val="22"/>
        </w:rPr>
        <w:t> </w:t>
      </w:r>
      <w:r w:rsidRPr="00C37A43">
        <w:rPr>
          <w:rStyle w:val="Appelnotedebasdep"/>
        </w:rPr>
        <w:footnoteReference w:id="629"/>
      </w:r>
      <w:r w:rsidRPr="00562808">
        <w:rPr>
          <w:szCs w:val="22"/>
        </w:rPr>
        <w:t>. Pourtant, on a cru bon de reporter l'application du droit à l'égalité des sexes (comme d'ailleurs des races et des ethnies), de trois ans. En outre, la « clause nonob</w:t>
      </w:r>
      <w:r w:rsidRPr="00562808">
        <w:rPr>
          <w:szCs w:val="22"/>
        </w:rPr>
        <w:t>s</w:t>
      </w:r>
      <w:r w:rsidRPr="00562808">
        <w:rPr>
          <w:szCs w:val="22"/>
        </w:rPr>
        <w:t>tant » autorise d'autres délais d'application en ce qu'elle permet à un corps législatif, fédéral ou provincial, de voter une loi dont l'effet s</w:t>
      </w:r>
      <w:r w:rsidRPr="00562808">
        <w:rPr>
          <w:szCs w:val="22"/>
        </w:rPr>
        <w:t>e</w:t>
      </w:r>
      <w:r w:rsidRPr="00562808">
        <w:rPr>
          <w:szCs w:val="22"/>
        </w:rPr>
        <w:t>rait indépendant de certaines dispositions de la Charte, telles les libe</w:t>
      </w:r>
      <w:r w:rsidRPr="00562808">
        <w:rPr>
          <w:szCs w:val="22"/>
        </w:rPr>
        <w:t>r</w:t>
      </w:r>
      <w:r w:rsidRPr="00562808">
        <w:rPr>
          <w:szCs w:val="22"/>
        </w:rPr>
        <w:t>tés fondamentales, les garanties juridiques ou encore les droits à l'ég</w:t>
      </w:r>
      <w:r w:rsidRPr="00562808">
        <w:rPr>
          <w:szCs w:val="22"/>
        </w:rPr>
        <w:t>a</w:t>
      </w:r>
      <w:r w:rsidRPr="00562808">
        <w:rPr>
          <w:szCs w:val="22"/>
        </w:rPr>
        <w:t>lité. Ainsi, un gouvernement peut différer l'application de certaines parties de la Charte pour une période n'excédant pas cinq ans. Cette dernière période est renouvelable.</w:t>
      </w:r>
    </w:p>
    <w:p w:rsidR="00AD690E" w:rsidRPr="00562808" w:rsidRDefault="00AD690E" w:rsidP="00AD690E">
      <w:pPr>
        <w:spacing w:before="120" w:after="120"/>
        <w:jc w:val="both"/>
      </w:pPr>
      <w:r w:rsidRPr="00562808">
        <w:rPr>
          <w:szCs w:val="22"/>
        </w:rPr>
        <w:t>Ces limites posées, on peut croire que le débat constitutionnel a permis aux femmes de promouvoir leurs droits même si les actions menées par le gouvernement fédéral, depuis 1967, en matière de rév</w:t>
      </w:r>
      <w:r w:rsidRPr="00562808">
        <w:rPr>
          <w:szCs w:val="22"/>
        </w:rPr>
        <w:t>i</w:t>
      </w:r>
      <w:r w:rsidRPr="00562808">
        <w:rPr>
          <w:szCs w:val="22"/>
        </w:rPr>
        <w:t>sion constitutionnelle, ont été le fait de spécialistes très majoritair</w:t>
      </w:r>
      <w:r w:rsidRPr="00562808">
        <w:rPr>
          <w:szCs w:val="22"/>
        </w:rPr>
        <w:t>e</w:t>
      </w:r>
      <w:r w:rsidRPr="00562808">
        <w:rPr>
          <w:szCs w:val="22"/>
        </w:rPr>
        <w:t>ment masculins. Pour les femmes canadiennes, deux types de que</w:t>
      </w:r>
      <w:r w:rsidRPr="00562808">
        <w:rPr>
          <w:szCs w:val="22"/>
        </w:rPr>
        <w:t>s</w:t>
      </w:r>
      <w:r w:rsidRPr="00562808">
        <w:rPr>
          <w:szCs w:val="22"/>
        </w:rPr>
        <w:t>tions demeurent importants : 1) les droits fondamentaux, les instit</w:t>
      </w:r>
      <w:r w:rsidRPr="00562808">
        <w:rPr>
          <w:szCs w:val="22"/>
        </w:rPr>
        <w:t>u</w:t>
      </w:r>
      <w:r w:rsidRPr="00562808">
        <w:rPr>
          <w:szCs w:val="22"/>
        </w:rPr>
        <w:t>tions gouvernementales et le droit familial d'un côté ; 2) les questions économiques telles que les pensions, la parité salariale, les garderies et l'assurance-chômage de l'autre</w:t>
      </w:r>
      <w:r>
        <w:rPr>
          <w:szCs w:val="22"/>
        </w:rPr>
        <w:t> </w:t>
      </w:r>
      <w:r w:rsidRPr="00C37A43">
        <w:rPr>
          <w:rStyle w:val="Appelnotedebasdep"/>
        </w:rPr>
        <w:footnoteReference w:id="630"/>
      </w:r>
      <w:r w:rsidRPr="00562808">
        <w:rPr>
          <w:szCs w:val="22"/>
        </w:rPr>
        <w:t xml:space="preserve">. La </w:t>
      </w:r>
      <w:r w:rsidRPr="00562808">
        <w:rPr>
          <w:i/>
          <w:iCs/>
          <w:szCs w:val="22"/>
        </w:rPr>
        <w:t xml:space="preserve">Loi constitutionnelle de 1982 </w:t>
      </w:r>
      <w:r w:rsidRPr="00562808">
        <w:rPr>
          <w:szCs w:val="22"/>
        </w:rPr>
        <w:t>permet de croire que dans tous ces domaines, les femmes seront tra</w:t>
      </w:r>
      <w:r w:rsidRPr="00562808">
        <w:rPr>
          <w:szCs w:val="22"/>
        </w:rPr>
        <w:t>i</w:t>
      </w:r>
      <w:r w:rsidRPr="00562808">
        <w:rPr>
          <w:szCs w:val="22"/>
        </w:rPr>
        <w:t xml:space="preserve">tées comme des personnes. La Commission royale d'enquête sur la situation de la femme avait déjà énoncé le principe voulant qu'on considère les deux sexes selon une situation commune à tous, plutôt que de mettre l'accent sur des perspectives différentes. La </w:t>
      </w:r>
      <w:r w:rsidRPr="00562808">
        <w:rPr>
          <w:i/>
          <w:iCs/>
          <w:szCs w:val="22"/>
        </w:rPr>
        <w:t xml:space="preserve">Charte des droits et libertés traite, </w:t>
      </w:r>
      <w:r w:rsidRPr="00562808">
        <w:rPr>
          <w:szCs w:val="22"/>
        </w:rPr>
        <w:t>les revendications des femmes comme des r</w:t>
      </w:r>
      <w:r w:rsidRPr="00562808">
        <w:rPr>
          <w:szCs w:val="22"/>
        </w:rPr>
        <w:t>e</w:t>
      </w:r>
      <w:r w:rsidRPr="00562808">
        <w:rPr>
          <w:szCs w:val="22"/>
        </w:rPr>
        <w:t>vendications d'égalité, la notion d'égalité reposant sur des compara</w:t>
      </w:r>
      <w:r w:rsidRPr="00562808">
        <w:rPr>
          <w:szCs w:val="22"/>
        </w:rPr>
        <w:t>i</w:t>
      </w:r>
      <w:r w:rsidRPr="00562808">
        <w:rPr>
          <w:szCs w:val="22"/>
        </w:rPr>
        <w:t>sons entre les hommes et les femmes. Il appartient désormais aux tr</w:t>
      </w:r>
      <w:r w:rsidRPr="00562808">
        <w:rPr>
          <w:szCs w:val="22"/>
        </w:rPr>
        <w:t>i</w:t>
      </w:r>
      <w:r w:rsidRPr="00562808">
        <w:rPr>
          <w:szCs w:val="22"/>
        </w:rPr>
        <w:t>bunaux de consolider les droits des femmes. Les causes invoquant la Charte créeront certainement des précédents qui affecteront les lég</w:t>
      </w:r>
      <w:r w:rsidRPr="00562808">
        <w:rPr>
          <w:szCs w:val="22"/>
        </w:rPr>
        <w:t>i</w:t>
      </w:r>
      <w:r w:rsidRPr="00562808">
        <w:rPr>
          <w:szCs w:val="22"/>
        </w:rPr>
        <w:t>slations futures.</w:t>
      </w:r>
    </w:p>
    <w:p w:rsidR="00AD690E" w:rsidRPr="00562808" w:rsidRDefault="00AD690E" w:rsidP="00AD690E">
      <w:pPr>
        <w:spacing w:before="120" w:after="120"/>
        <w:jc w:val="both"/>
      </w:pPr>
      <w:r w:rsidRPr="00562808">
        <w:rPr>
          <w:szCs w:val="22"/>
        </w:rPr>
        <w:t>Tout laisse croire que c'est dans le domaine de la légalité des pr</w:t>
      </w:r>
      <w:r w:rsidRPr="00562808">
        <w:rPr>
          <w:szCs w:val="22"/>
        </w:rPr>
        <w:t>o</w:t>
      </w:r>
      <w:r w:rsidRPr="00562808">
        <w:rPr>
          <w:szCs w:val="22"/>
        </w:rPr>
        <w:t>grammes d'accès à l'égalité que les tribunaux seront principalement appelés à se prononcer. Certes, la Charte canadienne (notamment l'a</w:t>
      </w:r>
      <w:r w:rsidRPr="00562808">
        <w:rPr>
          <w:szCs w:val="22"/>
        </w:rPr>
        <w:t>r</w:t>
      </w:r>
      <w:r w:rsidRPr="00562808">
        <w:rPr>
          <w:szCs w:val="22"/>
        </w:rPr>
        <w:t>ticle 15.2) constitutionnalise ces mesures et permet d'avantager te</w:t>
      </w:r>
      <w:r w:rsidRPr="00562808">
        <w:rPr>
          <w:szCs w:val="22"/>
        </w:rPr>
        <w:t>m</w:t>
      </w:r>
      <w:r w:rsidRPr="00562808">
        <w:rPr>
          <w:szCs w:val="22"/>
        </w:rPr>
        <w:t>porairement des personnes ou des groupes. Le récent jugement de la Cour suprême du Canada est venu confirmer que de telles</w:t>
      </w:r>
      <w:r>
        <w:rPr>
          <w:szCs w:val="22"/>
        </w:rPr>
        <w:t xml:space="preserve"> </w:t>
      </w:r>
      <w:r>
        <w:rPr>
          <w:szCs w:val="18"/>
        </w:rPr>
        <w:t>[</w:t>
      </w:r>
      <w:r w:rsidRPr="00562808">
        <w:rPr>
          <w:rFonts w:cs="Arial"/>
          <w:szCs w:val="18"/>
        </w:rPr>
        <w:t>374</w:t>
      </w:r>
      <w:r>
        <w:rPr>
          <w:rFonts w:cs="Arial"/>
          <w:szCs w:val="18"/>
        </w:rPr>
        <w:t xml:space="preserve">] </w:t>
      </w:r>
      <w:r w:rsidRPr="00562808">
        <w:rPr>
          <w:szCs w:val="22"/>
        </w:rPr>
        <w:t>mes</w:t>
      </w:r>
      <w:r w:rsidRPr="00562808">
        <w:rPr>
          <w:szCs w:val="22"/>
        </w:rPr>
        <w:t>u</w:t>
      </w:r>
      <w:r w:rsidRPr="00562808">
        <w:rPr>
          <w:szCs w:val="22"/>
        </w:rPr>
        <w:t>res ne sont pas contraires aux clauses d'égalité des droits. D</w:t>
      </w:r>
      <w:r w:rsidRPr="00562808">
        <w:rPr>
          <w:szCs w:val="22"/>
        </w:rPr>
        <w:t>é</w:t>
      </w:r>
      <w:r w:rsidRPr="00562808">
        <w:rPr>
          <w:szCs w:val="22"/>
        </w:rPr>
        <w:t>sormais, au Canada, l'égalité des hommes et des femmes fait partie du droit politique de l'État</w:t>
      </w:r>
      <w:r>
        <w:rPr>
          <w:szCs w:val="22"/>
        </w:rPr>
        <w:t> </w:t>
      </w:r>
      <w:r w:rsidRPr="00C37A43">
        <w:rPr>
          <w:rStyle w:val="Appelnotedebasdep"/>
        </w:rPr>
        <w:footnoteReference w:id="631"/>
      </w:r>
      <w:r w:rsidRPr="00562808">
        <w:rPr>
          <w:szCs w:val="22"/>
        </w:rPr>
        <w:t>. Il relève maintenant du « gouvernement des j</w:t>
      </w:r>
      <w:r w:rsidRPr="00562808">
        <w:rPr>
          <w:szCs w:val="22"/>
        </w:rPr>
        <w:t>u</w:t>
      </w:r>
      <w:r w:rsidRPr="00562808">
        <w:rPr>
          <w:szCs w:val="22"/>
        </w:rPr>
        <w:t>ges », d'en interpréter la portée générale</w:t>
      </w:r>
      <w:r>
        <w:rPr>
          <w:szCs w:val="22"/>
        </w:rPr>
        <w:t> </w:t>
      </w:r>
      <w:r w:rsidRPr="00C37A43">
        <w:rPr>
          <w:rStyle w:val="Appelnotedebasdep"/>
        </w:rPr>
        <w:footnoteReference w:id="632"/>
      </w:r>
      <w:r w:rsidRPr="00562808">
        <w:rPr>
          <w:szCs w:val="22"/>
        </w:rPr>
        <w:t>.</w:t>
      </w:r>
    </w:p>
    <w:p w:rsidR="00AD690E" w:rsidRDefault="00AD690E" w:rsidP="00AD690E">
      <w:pPr>
        <w:spacing w:before="120" w:after="120"/>
        <w:jc w:val="both"/>
        <w:rPr>
          <w:bCs/>
          <w:szCs w:val="22"/>
        </w:rPr>
      </w:pPr>
    </w:p>
    <w:p w:rsidR="00AD690E" w:rsidRPr="00562808" w:rsidRDefault="00AD690E" w:rsidP="00AD690E">
      <w:pPr>
        <w:pStyle w:val="a"/>
      </w:pPr>
      <w:r w:rsidRPr="00562808">
        <w:t>L'appareil féministe</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Au cours de la période 1963-1984, les forces d'opposition au sein du mouvement féministe ont contribué, par leurs actions et leurs pr</w:t>
      </w:r>
      <w:r w:rsidRPr="00562808">
        <w:rPr>
          <w:szCs w:val="22"/>
        </w:rPr>
        <w:t>o</w:t>
      </w:r>
      <w:r w:rsidRPr="00562808">
        <w:rPr>
          <w:szCs w:val="22"/>
        </w:rPr>
        <w:t>testations, à promouvoir l'autonomie des femmes. Ici, elle réussissent à faire modifier des articles de lois, là, elle font pression pour que les intentions annoncées se transforment en réalisations. Tantôt, elles ut</w:t>
      </w:r>
      <w:r w:rsidRPr="00562808">
        <w:rPr>
          <w:szCs w:val="22"/>
        </w:rPr>
        <w:t>i</w:t>
      </w:r>
      <w:r w:rsidRPr="00562808">
        <w:rPr>
          <w:szCs w:val="22"/>
        </w:rPr>
        <w:t>lisent les rencontres officielles pour débattre des droits des femmes, tantôt elles se mobilisent pour combattre les injustices sociales les plus flagrantes. D'un certain point de vue, les réponses gouverneme</w:t>
      </w:r>
      <w:r w:rsidRPr="00562808">
        <w:rPr>
          <w:szCs w:val="22"/>
        </w:rPr>
        <w:t>n</w:t>
      </w:r>
      <w:r w:rsidRPr="00562808">
        <w:rPr>
          <w:szCs w:val="22"/>
        </w:rPr>
        <w:t>tales éclairent les demandes des femmes. On a vu qu'au plan social et économique, ou encore dans le domaine des droits fondamentaux, des commissions d'enquête, des rapports, des programmes et des législ</w:t>
      </w:r>
      <w:r w:rsidRPr="00562808">
        <w:rPr>
          <w:szCs w:val="22"/>
        </w:rPr>
        <w:t>a</w:t>
      </w:r>
      <w:r w:rsidRPr="00562808">
        <w:rPr>
          <w:szCs w:val="22"/>
        </w:rPr>
        <w:t>tions nouvelles ont pu être obtenues.</w:t>
      </w:r>
    </w:p>
    <w:p w:rsidR="00AD690E" w:rsidRPr="00562808" w:rsidRDefault="00AD690E" w:rsidP="00AD690E">
      <w:pPr>
        <w:spacing w:before="120" w:after="120"/>
        <w:jc w:val="both"/>
      </w:pPr>
      <w:r w:rsidRPr="00562808">
        <w:rPr>
          <w:szCs w:val="22"/>
        </w:rPr>
        <w:t>Parallèlement, de nombreuses institutions ont été créées et int</w:t>
      </w:r>
      <w:r w:rsidRPr="00562808">
        <w:rPr>
          <w:szCs w:val="22"/>
        </w:rPr>
        <w:t>é</w:t>
      </w:r>
      <w:r w:rsidRPr="00562808">
        <w:rPr>
          <w:szCs w:val="22"/>
        </w:rPr>
        <w:t xml:space="preserve">grées à l'appareil gouvernemental, notamment depuis le dépôt du </w:t>
      </w:r>
      <w:r w:rsidRPr="00562808">
        <w:rPr>
          <w:i/>
          <w:iCs/>
          <w:szCs w:val="22"/>
        </w:rPr>
        <w:t xml:space="preserve">Rapport Bird. </w:t>
      </w:r>
      <w:r w:rsidRPr="00562808">
        <w:rPr>
          <w:szCs w:val="22"/>
        </w:rPr>
        <w:t>On peut les regrouper sous deux catégories distinctes : les organismes coordonnateurs, les sections ministérielles.</w:t>
      </w:r>
    </w:p>
    <w:p w:rsidR="00AD690E" w:rsidRDefault="00AD690E" w:rsidP="00AD690E">
      <w:pPr>
        <w:spacing w:before="120" w:after="120"/>
        <w:jc w:val="both"/>
        <w:rPr>
          <w:szCs w:val="18"/>
        </w:rPr>
      </w:pPr>
      <w:r>
        <w:rPr>
          <w:szCs w:val="18"/>
        </w:rPr>
        <w:t>[375]</w:t>
      </w:r>
    </w:p>
    <w:p w:rsidR="00AD690E" w:rsidRDefault="00AD690E" w:rsidP="00AD690E">
      <w:pPr>
        <w:spacing w:before="120" w:after="120"/>
        <w:jc w:val="both"/>
        <w:rPr>
          <w:szCs w:val="18"/>
        </w:rPr>
      </w:pPr>
    </w:p>
    <w:p w:rsidR="00AD690E" w:rsidRPr="009D4E13" w:rsidRDefault="00AD690E" w:rsidP="00AD690E">
      <w:pPr>
        <w:pStyle w:val="a"/>
      </w:pPr>
      <w:r w:rsidRPr="009D4E13">
        <w:t>Les structures de coordination</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Au sein du Cabinet, il y a un ministre chargé des questions relat</w:t>
      </w:r>
      <w:r w:rsidRPr="00562808">
        <w:rPr>
          <w:szCs w:val="22"/>
        </w:rPr>
        <w:t>i</w:t>
      </w:r>
      <w:r w:rsidRPr="00562808">
        <w:rPr>
          <w:szCs w:val="22"/>
        </w:rPr>
        <w:t>ves au statut des femmes. En plus de proposer des politiques et des programmes destinés à éliminer la discrimination sous toutes ses fo</w:t>
      </w:r>
      <w:r w:rsidRPr="00562808">
        <w:rPr>
          <w:szCs w:val="22"/>
        </w:rPr>
        <w:t>r</w:t>
      </w:r>
      <w:r w:rsidRPr="00562808">
        <w:rPr>
          <w:szCs w:val="22"/>
        </w:rPr>
        <w:t>mes, il voit à ce que les principes gouvernementaux en matière d'ég</w:t>
      </w:r>
      <w:r w:rsidRPr="00562808">
        <w:rPr>
          <w:szCs w:val="22"/>
        </w:rPr>
        <w:t>a</w:t>
      </w:r>
      <w:r w:rsidRPr="00562808">
        <w:rPr>
          <w:szCs w:val="22"/>
        </w:rPr>
        <w:t>lité des hommes et des femmes soient appliqués dans tous les pr</w:t>
      </w:r>
      <w:r w:rsidRPr="00562808">
        <w:rPr>
          <w:szCs w:val="22"/>
        </w:rPr>
        <w:t>o</w:t>
      </w:r>
      <w:r w:rsidRPr="00562808">
        <w:rPr>
          <w:szCs w:val="22"/>
        </w:rPr>
        <w:t>grammes et les politiques.</w:t>
      </w:r>
    </w:p>
    <w:p w:rsidR="00AD690E" w:rsidRPr="00562808" w:rsidRDefault="00AD690E" w:rsidP="00AD690E">
      <w:pPr>
        <w:spacing w:before="120" w:after="120"/>
        <w:jc w:val="both"/>
      </w:pPr>
      <w:r w:rsidRPr="00562808">
        <w:rPr>
          <w:szCs w:val="22"/>
        </w:rPr>
        <w:t>Condition féminine Canada seconde le ministre dans la réalisation de ces derniers objectifs. Depuis 1976, on a élargi les attributions de ce service en créant un bureau distinct, lequel agit dans trois grands domaines : analyse et élaboration de politiques, relations avec les gouvernements et les groupes non gouvernementaux, information du public.</w:t>
      </w:r>
    </w:p>
    <w:p w:rsidR="00AD690E" w:rsidRPr="00562808" w:rsidRDefault="00AD690E" w:rsidP="00AD690E">
      <w:pPr>
        <w:spacing w:before="120" w:after="120"/>
        <w:jc w:val="both"/>
      </w:pPr>
      <w:r w:rsidRPr="00562808">
        <w:rPr>
          <w:szCs w:val="22"/>
        </w:rPr>
        <w:t>Pour sa part, le Conseil consultatif de la situation de la femme a pour fonction de veiller à l'amélioration de la situation des Canadie</w:t>
      </w:r>
      <w:r w:rsidRPr="00562808">
        <w:rPr>
          <w:szCs w:val="22"/>
        </w:rPr>
        <w:t>n</w:t>
      </w:r>
      <w:r w:rsidRPr="00562808">
        <w:rPr>
          <w:szCs w:val="22"/>
        </w:rPr>
        <w:t>nes. Organisme indépendant créé en 1973</w:t>
      </w:r>
      <w:r>
        <w:rPr>
          <w:szCs w:val="22"/>
        </w:rPr>
        <w:t> </w:t>
      </w:r>
      <w:r w:rsidRPr="00C37A43">
        <w:rPr>
          <w:rStyle w:val="Appelnotedebasdep"/>
        </w:rPr>
        <w:footnoteReference w:id="633"/>
      </w:r>
      <w:r w:rsidRPr="00562808">
        <w:rPr>
          <w:szCs w:val="22"/>
        </w:rPr>
        <w:t>, le CCCSF soumet des recommandations relatives aux lois et aux programmes et s'assure que leurs effets sur les femmes sont positifs. Cet organisme a déjà publié de nombreuses recherches et études à propos des grands dossiers concernant les femmes.</w:t>
      </w:r>
    </w:p>
    <w:p w:rsidR="00AD690E" w:rsidRPr="00562808" w:rsidRDefault="00AD690E" w:rsidP="00AD690E">
      <w:pPr>
        <w:spacing w:before="120" w:after="120"/>
        <w:jc w:val="both"/>
      </w:pPr>
      <w:r w:rsidRPr="00562808">
        <w:rPr>
          <w:szCs w:val="22"/>
        </w:rPr>
        <w:t xml:space="preserve">Enfin, la Commission canadienne des droits de la personne, établie en vertu de la </w:t>
      </w:r>
      <w:r w:rsidRPr="00562808">
        <w:rPr>
          <w:i/>
          <w:iCs/>
          <w:szCs w:val="22"/>
        </w:rPr>
        <w:t xml:space="preserve">Loi canadienne sur les droits de la personne </w:t>
      </w:r>
      <w:r w:rsidRPr="00562808">
        <w:rPr>
          <w:szCs w:val="22"/>
        </w:rPr>
        <w:t>(entrée en vigueur en mars 1978), poursuit un double objectif. Elle enquête sur les plaintes qui lui sont présentées quant à des motifs de distinction illicites en ce qui a trait à l'emploi et à la prestation de services, de biens et d'installations. Certains éléments constituent, au terme de la loi, des motifs de distinction illicites : la race, l'origine nationale ou ethnique, la couleur, la religion, l'âge, le sexe, la situation de famille, l'état de personne graciée, un handicap physique. Puis, elle encourage les employeurs à prendre des mesures préventives. Les plaintes, pour cause de disparité salariale, lorsque les fonctions sont équivalentes, sont évaluées par la Commission. À la suite d'une enquête, cette de</w:t>
      </w:r>
      <w:r w:rsidRPr="00562808">
        <w:rPr>
          <w:szCs w:val="22"/>
        </w:rPr>
        <w:t>r</w:t>
      </w:r>
      <w:r w:rsidRPr="00562808">
        <w:rPr>
          <w:szCs w:val="22"/>
        </w:rPr>
        <w:t>nière peut obliger un employeur, à l'égard de qui un jugement défav</w:t>
      </w:r>
      <w:r w:rsidRPr="00562808">
        <w:rPr>
          <w:szCs w:val="22"/>
        </w:rPr>
        <w:t>o</w:t>
      </w:r>
      <w:r w:rsidRPr="00562808">
        <w:rPr>
          <w:szCs w:val="22"/>
        </w:rPr>
        <w:t>rable a été rendu, à instituer un programme d'action positive.</w:t>
      </w:r>
    </w:p>
    <w:p w:rsidR="00AD690E" w:rsidRDefault="00AD690E" w:rsidP="00AD690E">
      <w:pPr>
        <w:spacing w:before="120" w:after="120"/>
        <w:jc w:val="both"/>
        <w:rPr>
          <w:bCs/>
          <w:szCs w:val="22"/>
        </w:rPr>
      </w:pPr>
    </w:p>
    <w:p w:rsidR="00AD690E" w:rsidRPr="00CF395E" w:rsidRDefault="00AD690E" w:rsidP="00AD690E">
      <w:pPr>
        <w:pStyle w:val="a"/>
      </w:pPr>
      <w:r w:rsidRPr="00CF395E">
        <w:t>Les appareils ministériels</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L'élaboration des politiques et des programmes relatifs aux pr</w:t>
      </w:r>
      <w:r w:rsidRPr="00562808">
        <w:rPr>
          <w:szCs w:val="22"/>
        </w:rPr>
        <w:t>o</w:t>
      </w:r>
      <w:r w:rsidRPr="00562808">
        <w:rPr>
          <w:szCs w:val="22"/>
        </w:rPr>
        <w:t>blèmes des femmes concerne l'ensemble des ministères fédéraux. Vo</w:t>
      </w:r>
      <w:r w:rsidRPr="00562808">
        <w:rPr>
          <w:szCs w:val="22"/>
        </w:rPr>
        <w:t>i</w:t>
      </w:r>
      <w:r w:rsidRPr="00562808">
        <w:rPr>
          <w:szCs w:val="22"/>
        </w:rPr>
        <w:t>là pourquoi on dénombre de nombreux programmes spéciaux dans les ministères. Ainsi au Secrétariat d'État, où il existe un programme de promotion de la femme. Ce dernier offre une aide technique et fina</w:t>
      </w:r>
      <w:r w:rsidRPr="00562808">
        <w:rPr>
          <w:szCs w:val="22"/>
        </w:rPr>
        <w:t>n</w:t>
      </w:r>
      <w:r w:rsidRPr="00562808">
        <w:rPr>
          <w:szCs w:val="22"/>
        </w:rPr>
        <w:t>cière aux groupes féminins et aux</w:t>
      </w:r>
      <w:r>
        <w:rPr>
          <w:szCs w:val="22"/>
        </w:rPr>
        <w:t xml:space="preserve"> </w:t>
      </w:r>
      <w:r>
        <w:t>[</w:t>
      </w:r>
      <w:r w:rsidRPr="00562808">
        <w:rPr>
          <w:szCs w:val="22"/>
        </w:rPr>
        <w:t>376</w:t>
      </w:r>
      <w:r>
        <w:rPr>
          <w:szCs w:val="22"/>
        </w:rPr>
        <w:t xml:space="preserve">] </w:t>
      </w:r>
      <w:r w:rsidRPr="00562808">
        <w:rPr>
          <w:szCs w:val="22"/>
        </w:rPr>
        <w:t>associations volontaires pr</w:t>
      </w:r>
      <w:r w:rsidRPr="00562808">
        <w:rPr>
          <w:szCs w:val="22"/>
        </w:rPr>
        <w:t>é</w:t>
      </w:r>
      <w:r w:rsidRPr="00562808">
        <w:rPr>
          <w:szCs w:val="22"/>
        </w:rPr>
        <w:t>occupés de l'égalité des femmes dans la société canadienne.</w:t>
      </w:r>
    </w:p>
    <w:p w:rsidR="00AD690E" w:rsidRPr="00562808" w:rsidRDefault="00AD690E" w:rsidP="00AD690E">
      <w:pPr>
        <w:spacing w:before="120" w:after="120"/>
        <w:jc w:val="both"/>
      </w:pPr>
      <w:r w:rsidRPr="00562808">
        <w:rPr>
          <w:szCs w:val="22"/>
        </w:rPr>
        <w:t>Quant au Bureau de la main-d'</w:t>
      </w:r>
      <w:r>
        <w:rPr>
          <w:szCs w:val="22"/>
        </w:rPr>
        <w:t>œuvre</w:t>
      </w:r>
      <w:r w:rsidRPr="00562808">
        <w:rPr>
          <w:szCs w:val="22"/>
        </w:rPr>
        <w:t xml:space="preserve"> féminine de Travail Canada, il vise l'égalité des femmes sur le marché du travail canadien. Pour ce faire, il réalise des recherches, surveille les lois, politiques et pr</w:t>
      </w:r>
      <w:r w:rsidRPr="00562808">
        <w:rPr>
          <w:szCs w:val="22"/>
        </w:rPr>
        <w:t>o</w:t>
      </w:r>
      <w:r w:rsidRPr="00562808">
        <w:rPr>
          <w:szCs w:val="22"/>
        </w:rPr>
        <w:t>grammes du gouvernement fédéral en matière de travail, effectue des recommandations.</w:t>
      </w:r>
    </w:p>
    <w:p w:rsidR="00AD690E" w:rsidRPr="00562808" w:rsidRDefault="00AD690E" w:rsidP="00AD690E">
      <w:pPr>
        <w:spacing w:before="120" w:after="120"/>
        <w:jc w:val="both"/>
      </w:pPr>
      <w:r w:rsidRPr="00562808">
        <w:rPr>
          <w:szCs w:val="22"/>
        </w:rPr>
        <w:t>À la Commission de l'emploi et de l'immigration du Canada, on a créé une Division de l'emploi des femmes. Cette dernière voit à ce que l'ensemble des programmes et services de la Commission soient conformes aux besoins des femmes en matière d'emploi. Pour sa part, la Direction de l'action positive fournit les services de conseillers aux employeurs du secteur privé, susceptibles de développer des pr</w:t>
      </w:r>
      <w:r w:rsidRPr="00562808">
        <w:rPr>
          <w:szCs w:val="22"/>
        </w:rPr>
        <w:t>o</w:t>
      </w:r>
      <w:r w:rsidRPr="00562808">
        <w:rPr>
          <w:szCs w:val="22"/>
        </w:rPr>
        <w:t>grammes d'action positive.</w:t>
      </w:r>
    </w:p>
    <w:p w:rsidR="00AD690E" w:rsidRPr="00562808" w:rsidRDefault="00AD690E" w:rsidP="00AD690E">
      <w:pPr>
        <w:spacing w:before="120" w:after="120"/>
        <w:jc w:val="both"/>
      </w:pPr>
      <w:r w:rsidRPr="00562808">
        <w:rPr>
          <w:szCs w:val="22"/>
        </w:rPr>
        <w:t>À Santé et Bien-être social Canada, on note la présence d'une conseillère principale responsable de la condition féminine. Elle est chargée de conseiller le Ministère sur les politiques et programmes concernant les femmes dans ces domaines : pensions, garde des e</w:t>
      </w:r>
      <w:r w:rsidRPr="00562808">
        <w:rPr>
          <w:szCs w:val="22"/>
        </w:rPr>
        <w:t>n</w:t>
      </w:r>
      <w:r w:rsidRPr="00562808">
        <w:rPr>
          <w:szCs w:val="22"/>
        </w:rPr>
        <w:t>fants, violence familiale et femmes maltraitées, santé des femmes et sécurité du revenu.</w:t>
      </w:r>
    </w:p>
    <w:p w:rsidR="00AD690E" w:rsidRPr="00562808" w:rsidRDefault="00AD690E" w:rsidP="00AD690E">
      <w:pPr>
        <w:spacing w:before="120" w:after="120"/>
        <w:jc w:val="both"/>
      </w:pPr>
      <w:r w:rsidRPr="00562808">
        <w:rPr>
          <w:szCs w:val="22"/>
        </w:rPr>
        <w:t>Enfin, au sein de la Commission de la fonction publique, respons</w:t>
      </w:r>
      <w:r w:rsidRPr="00562808">
        <w:rPr>
          <w:szCs w:val="22"/>
        </w:rPr>
        <w:t>a</w:t>
      </w:r>
      <w:r w:rsidRPr="00562808">
        <w:rPr>
          <w:szCs w:val="22"/>
        </w:rPr>
        <w:t xml:space="preserve">ble de l'application de la </w:t>
      </w:r>
      <w:r w:rsidRPr="00562808">
        <w:rPr>
          <w:i/>
          <w:iCs/>
          <w:szCs w:val="22"/>
        </w:rPr>
        <w:t xml:space="preserve">Loi sur l'emploi dans la fonction publique, </w:t>
      </w:r>
      <w:r w:rsidRPr="00562808">
        <w:rPr>
          <w:szCs w:val="22"/>
        </w:rPr>
        <w:t>deux organismes se préoccupent des intérêts des femmes fonctionna</w:t>
      </w:r>
      <w:r w:rsidRPr="00562808">
        <w:rPr>
          <w:szCs w:val="22"/>
        </w:rPr>
        <w:t>i</w:t>
      </w:r>
      <w:r w:rsidRPr="00562808">
        <w:rPr>
          <w:szCs w:val="22"/>
        </w:rPr>
        <w:t>res : la Direction antidiscrimination et l'Office de promotion de la femme. C'est à la Direction antidiscrimination qu'il revient d'enquêter sur les plaintes en matière de pratiques discriminatoires présumées. Quant à l'Office de la promotion de la femme (OPF), créé en 1971, il propose des mesures spéciales en vue d'accélérer la promotion des femmes au service du gouvernement fédéral. L'Office tient à jour le profil d'emploi des femmes fonctionnaires, par ministère, catégorie et niveau. De même, il effectue des études sur l'évolution de la main-d'</w:t>
      </w:r>
      <w:r>
        <w:rPr>
          <w:szCs w:val="22"/>
        </w:rPr>
        <w:t>œuvre</w:t>
      </w:r>
      <w:r w:rsidRPr="00562808">
        <w:rPr>
          <w:szCs w:val="22"/>
        </w:rPr>
        <w:t xml:space="preserve"> féminine canadienne.</w:t>
      </w:r>
    </w:p>
    <w:p w:rsidR="00AD690E" w:rsidRPr="00562808" w:rsidRDefault="00AD690E" w:rsidP="00AD690E">
      <w:pPr>
        <w:spacing w:before="120" w:after="120"/>
        <w:jc w:val="both"/>
      </w:pPr>
      <w:r w:rsidRPr="00562808">
        <w:rPr>
          <w:szCs w:val="22"/>
        </w:rPr>
        <w:t>Ces différents services sont responsables de programmes multiples et variés en plus de disposer de budgets et de personnels. Néanmoins, il demeure extrêmement difficile d'évaluer le nombre des programmes disponibles, de même que de chiffrer les sommes consacrées et de d</w:t>
      </w:r>
      <w:r w:rsidRPr="00562808">
        <w:rPr>
          <w:szCs w:val="22"/>
        </w:rPr>
        <w:t>é</w:t>
      </w:r>
      <w:r w:rsidRPr="00562808">
        <w:rPr>
          <w:szCs w:val="22"/>
        </w:rPr>
        <w:t>nombrer la totalité des effectifs. On sait, pourtant, que l'existence de ces nombreux services et programmes découle des politiques définies par l'État. À ce chapitre, il est certain que tous ces organismes ne jouissent pas de la même influence auprès des autorités politiques. Tandis que Condition féminine Canada travaille en étroite collabor</w:t>
      </w:r>
      <w:r w:rsidRPr="00562808">
        <w:rPr>
          <w:szCs w:val="22"/>
        </w:rPr>
        <w:t>a</w:t>
      </w:r>
      <w:r w:rsidRPr="00562808">
        <w:rPr>
          <w:szCs w:val="22"/>
        </w:rPr>
        <w:t>tion avec le ministre responsable au Cabinet, le CCCSF, pour sa part, joue plutôt un rôle de chien de garde. Il surveille et fait pression ; il mobilise et dénonce. Quant aux sections ministérielles, n'oublions pas qu'elles sont intégrées à la structure même des ministres. Là comme ailleurs, les fonctionnaires sont tenus de respecter les choix gouve</w:t>
      </w:r>
      <w:r w:rsidRPr="00562808">
        <w:rPr>
          <w:szCs w:val="22"/>
        </w:rPr>
        <w:t>r</w:t>
      </w:r>
      <w:r w:rsidRPr="00562808">
        <w:rPr>
          <w:szCs w:val="22"/>
        </w:rPr>
        <w:t>nementaux, d'épouser les temps et les rythmes du processus admini</w:t>
      </w:r>
      <w:r w:rsidRPr="00562808">
        <w:rPr>
          <w:szCs w:val="22"/>
        </w:rPr>
        <w:t>s</w:t>
      </w:r>
      <w:r w:rsidRPr="00562808">
        <w:rPr>
          <w:szCs w:val="22"/>
        </w:rPr>
        <w:t>tratif.</w:t>
      </w:r>
    </w:p>
    <w:p w:rsidR="00AD690E" w:rsidRDefault="00AD690E" w:rsidP="00AD690E">
      <w:pPr>
        <w:spacing w:before="120" w:after="120"/>
        <w:jc w:val="both"/>
      </w:pPr>
      <w:r>
        <w:t>[377]</w:t>
      </w:r>
    </w:p>
    <w:p w:rsidR="00AD690E" w:rsidRPr="00562808" w:rsidRDefault="00AD690E" w:rsidP="00AD690E">
      <w:pPr>
        <w:spacing w:before="120" w:after="120"/>
        <w:jc w:val="both"/>
      </w:pPr>
      <w:r w:rsidRPr="00562808">
        <w:rPr>
          <w:szCs w:val="22"/>
        </w:rPr>
        <w:t>Désormais, les femmes, à l'instar des jeunes et des vieillards, sont encadrées par des professionnels</w:t>
      </w:r>
      <w:r>
        <w:rPr>
          <w:szCs w:val="22"/>
        </w:rPr>
        <w:t xml:space="preserve"> </w:t>
      </w:r>
      <w:r>
        <w:rPr>
          <w:rStyle w:val="Appelnotedebasdep"/>
        </w:rPr>
        <w:footnoteReference w:id="634"/>
      </w:r>
      <w:r w:rsidRPr="00562808">
        <w:rPr>
          <w:szCs w:val="22"/>
        </w:rPr>
        <w:t>. Ces derniers remodèlent et tran</w:t>
      </w:r>
      <w:r w:rsidRPr="00562808">
        <w:rPr>
          <w:szCs w:val="22"/>
        </w:rPr>
        <w:t>s</w:t>
      </w:r>
      <w:r w:rsidRPr="00562808">
        <w:rPr>
          <w:szCs w:val="22"/>
        </w:rPr>
        <w:t xml:space="preserve">forment les inquiétudes des femmes, leurs questions, dans des plans d'action. Depuis le </w:t>
      </w:r>
      <w:r w:rsidRPr="00562808">
        <w:rPr>
          <w:i/>
          <w:iCs/>
          <w:szCs w:val="22"/>
        </w:rPr>
        <w:t xml:space="preserve">Rapport Bird </w:t>
      </w:r>
      <w:r w:rsidRPr="00562808">
        <w:rPr>
          <w:szCs w:val="22"/>
        </w:rPr>
        <w:t>notamment, on assiste à la différe</w:t>
      </w:r>
      <w:r w:rsidRPr="00562808">
        <w:rPr>
          <w:szCs w:val="22"/>
        </w:rPr>
        <w:t>n</w:t>
      </w:r>
      <w:r w:rsidRPr="00562808">
        <w:rPr>
          <w:szCs w:val="22"/>
        </w:rPr>
        <w:t>ciation et à l'identification des problèmes spécifiques aux femmes. Le quadrillage des clients « femmes » s'est progressivement instauré et le gonflement de l'appareil gouvernemental féministe n'est sans doute pas étranger à ce processus. Pourtant, on ne peut contester l'importa</w:t>
      </w:r>
      <w:r w:rsidRPr="00562808">
        <w:rPr>
          <w:szCs w:val="22"/>
        </w:rPr>
        <w:t>n</w:t>
      </w:r>
      <w:r w:rsidRPr="00562808">
        <w:rPr>
          <w:szCs w:val="22"/>
        </w:rPr>
        <w:t>ce des ressources distribuées et le nombre des réformes accomplies. De même, on ne peut ignorer les nouvelles directives, dans la connai</w:t>
      </w:r>
      <w:r w:rsidRPr="00562808">
        <w:rPr>
          <w:szCs w:val="22"/>
        </w:rPr>
        <w:t>s</w:t>
      </w:r>
      <w:r w:rsidRPr="00562808">
        <w:rPr>
          <w:szCs w:val="22"/>
        </w:rPr>
        <w:t>sance et dans l'action impulsées par l'État canadien au cours de toutes ces années. Certes, les actions de l'État ont permis de résoudre nombre de problèmes et de conflits, mais il importe de regarder ces dernières actions d'un œil critique et d'apprécier le progrès accompli.</w:t>
      </w:r>
    </w:p>
    <w:p w:rsidR="00AD690E" w:rsidRDefault="00AD690E" w:rsidP="00AD690E">
      <w:pPr>
        <w:spacing w:before="120" w:after="120"/>
        <w:jc w:val="both"/>
        <w:rPr>
          <w:szCs w:val="22"/>
        </w:rPr>
      </w:pPr>
    </w:p>
    <w:p w:rsidR="00AD690E" w:rsidRPr="00562808" w:rsidRDefault="00AD690E" w:rsidP="00AD690E">
      <w:pPr>
        <w:pStyle w:val="planche"/>
      </w:pPr>
      <w:r w:rsidRPr="00562808">
        <w:t>UN BILAN DIFFICILE</w:t>
      </w:r>
    </w:p>
    <w:p w:rsidR="00AD690E" w:rsidRDefault="00AD690E" w:rsidP="00AD690E">
      <w:pPr>
        <w:spacing w:before="120" w:after="120"/>
        <w:jc w:val="both"/>
        <w:rPr>
          <w:szCs w:val="22"/>
        </w:rPr>
      </w:pPr>
    </w:p>
    <w:p w:rsidR="00AD690E" w:rsidRPr="00562808" w:rsidRDefault="00AD690E" w:rsidP="00AD690E">
      <w:pPr>
        <w:spacing w:before="120" w:after="120"/>
        <w:jc w:val="both"/>
      </w:pPr>
      <w:r w:rsidRPr="00562808">
        <w:rPr>
          <w:szCs w:val="22"/>
        </w:rPr>
        <w:t>L'évaluation des changements n'est guère facile, tandis que la crit</w:t>
      </w:r>
      <w:r w:rsidRPr="00562808">
        <w:rPr>
          <w:szCs w:val="22"/>
        </w:rPr>
        <w:t>i</w:t>
      </w:r>
      <w:r w:rsidRPr="00562808">
        <w:rPr>
          <w:szCs w:val="22"/>
        </w:rPr>
        <w:t>que du rôle joué par l'État semble impossible. En effet, comment a</w:t>
      </w:r>
      <w:r w:rsidRPr="00562808">
        <w:rPr>
          <w:szCs w:val="22"/>
        </w:rPr>
        <w:t>p</w:t>
      </w:r>
      <w:r w:rsidRPr="00562808">
        <w:rPr>
          <w:szCs w:val="22"/>
        </w:rPr>
        <w:t>précier les actes de l'État en tant que gestionnaire des ressources, en tant qu'administrateur des lois ? Quels sont les indices susceptibles d'éclairer le sens et la portée des modifications observées ?</w:t>
      </w:r>
    </w:p>
    <w:p w:rsidR="00AD690E" w:rsidRPr="00562808" w:rsidRDefault="00AD690E" w:rsidP="00AD690E">
      <w:pPr>
        <w:spacing w:before="120" w:after="120"/>
        <w:jc w:val="both"/>
      </w:pPr>
      <w:r w:rsidRPr="00562808">
        <w:rPr>
          <w:szCs w:val="22"/>
        </w:rPr>
        <w:t>Dans cette troisième partie, nous nous interrogerons sur l'avenir des femmes canadiennes et sur les choix effectués par l'État fédéral pour accroître leur autonomie et leur indépendance.</w:t>
      </w:r>
    </w:p>
    <w:p w:rsidR="00AD690E" w:rsidRPr="00562808" w:rsidRDefault="00AD690E" w:rsidP="00AD690E">
      <w:pPr>
        <w:spacing w:before="120" w:after="120"/>
        <w:jc w:val="both"/>
      </w:pPr>
      <w:r w:rsidRPr="00562808">
        <w:rPr>
          <w:szCs w:val="22"/>
        </w:rPr>
        <w:t>Au cours des années étudiées, la situation des femmes canadiennes est devenue un problème réel. En d'autres termes, les inégalités de condition et de situation des femmes sont désormais perçues par l'État canadien, comme un problème qu'il importe de remédier. L'égalité des femmes, dans tous les domaines de la vie sociale et politique, est d</w:t>
      </w:r>
      <w:r w:rsidRPr="00562808">
        <w:rPr>
          <w:szCs w:val="22"/>
        </w:rPr>
        <w:t>e</w:t>
      </w:r>
      <w:r w:rsidRPr="00562808">
        <w:rPr>
          <w:szCs w:val="22"/>
        </w:rPr>
        <w:t xml:space="preserve">venue l'objectif à atteindre. Des lois ont été votées, des plans d'action adoptés, des structures créées et des organismes mis en place. La </w:t>
      </w:r>
      <w:r w:rsidRPr="00562808">
        <w:rPr>
          <w:i/>
          <w:iCs/>
          <w:szCs w:val="22"/>
        </w:rPr>
        <w:t xml:space="preserve">Loi constitutionnelle de 1982 </w:t>
      </w:r>
      <w:r w:rsidRPr="00562808">
        <w:rPr>
          <w:szCs w:val="22"/>
        </w:rPr>
        <w:t>oblige le législateur à promouvoir l'égalité pour tous. Pour ce faire, on a développé des structures chargées de surveiller les actes politiques et administratifs, de manière à éliminer les pratiques discriminatoires et à corriger les disproportions imput</w:t>
      </w:r>
      <w:r w:rsidRPr="00562808">
        <w:rPr>
          <w:szCs w:val="22"/>
        </w:rPr>
        <w:t>a</w:t>
      </w:r>
      <w:r w:rsidRPr="00562808">
        <w:rPr>
          <w:szCs w:val="22"/>
        </w:rPr>
        <w:t>bles à la discrimination</w:t>
      </w:r>
      <w:r>
        <w:rPr>
          <w:szCs w:val="22"/>
        </w:rPr>
        <w:t> </w:t>
      </w:r>
      <w:r w:rsidRPr="00183B0F">
        <w:rPr>
          <w:rStyle w:val="Appelnotedebasdep"/>
        </w:rPr>
        <w:footnoteReference w:id="635"/>
      </w:r>
      <w:r w:rsidRPr="00562808">
        <w:rPr>
          <w:szCs w:val="22"/>
        </w:rPr>
        <w:t>.</w:t>
      </w:r>
    </w:p>
    <w:p w:rsidR="00AD690E" w:rsidRPr="00562808" w:rsidRDefault="00AD690E" w:rsidP="00AD690E">
      <w:pPr>
        <w:spacing w:before="120" w:after="120"/>
        <w:jc w:val="both"/>
      </w:pPr>
      <w:r w:rsidRPr="00562808">
        <w:rPr>
          <w:szCs w:val="22"/>
        </w:rPr>
        <w:t xml:space="preserve">La réforme juridique de 1982 constitutionnalise la </w:t>
      </w:r>
      <w:r w:rsidRPr="00562808">
        <w:rPr>
          <w:i/>
          <w:iCs/>
          <w:szCs w:val="22"/>
        </w:rPr>
        <w:t xml:space="preserve">Charte des droits et libertés. </w:t>
      </w:r>
      <w:r w:rsidRPr="00562808">
        <w:rPr>
          <w:szCs w:val="22"/>
        </w:rPr>
        <w:t>Elle confirme la légalité et la légitimité des mesures d'accès à l'égalité.</w:t>
      </w:r>
      <w:r>
        <w:rPr>
          <w:szCs w:val="22"/>
        </w:rPr>
        <w:t xml:space="preserve"> </w:t>
      </w:r>
      <w:r>
        <w:rPr>
          <w:szCs w:val="18"/>
        </w:rPr>
        <w:t>[</w:t>
      </w:r>
      <w:r w:rsidRPr="00562808">
        <w:rPr>
          <w:szCs w:val="22"/>
        </w:rPr>
        <w:t>378</w:t>
      </w:r>
      <w:r>
        <w:rPr>
          <w:szCs w:val="22"/>
        </w:rPr>
        <w:t xml:space="preserve">] </w:t>
      </w:r>
      <w:r w:rsidRPr="00562808">
        <w:rPr>
          <w:szCs w:val="22"/>
        </w:rPr>
        <w:t>Certes, il ne suffit pas d'inscrire l'égalité dans les textes pour l'o</w:t>
      </w:r>
      <w:r w:rsidRPr="00562808">
        <w:rPr>
          <w:szCs w:val="22"/>
        </w:rPr>
        <w:t>b</w:t>
      </w:r>
      <w:r w:rsidRPr="00562808">
        <w:rPr>
          <w:szCs w:val="22"/>
        </w:rPr>
        <w:t>tenir. De même, on sait bien que les obstacles à l'égalité ne sont pas que juridiques. Pourtant, les nouvelles normes juridiques reflètent, du moins partiellement, les valeurs dont se récl</w:t>
      </w:r>
      <w:r w:rsidRPr="00562808">
        <w:rPr>
          <w:szCs w:val="22"/>
        </w:rPr>
        <w:t>a</w:t>
      </w:r>
      <w:r w:rsidRPr="00562808">
        <w:rPr>
          <w:szCs w:val="22"/>
        </w:rPr>
        <w:t>me l'État canadien. Elles expriment un rapport de forces différent et révèlent qu'au sein de la société canadienne l'idéologie égalitariste f</w:t>
      </w:r>
      <w:r w:rsidRPr="00562808">
        <w:rPr>
          <w:szCs w:val="22"/>
        </w:rPr>
        <w:t>i</w:t>
      </w:r>
      <w:r w:rsidRPr="00562808">
        <w:rPr>
          <w:szCs w:val="22"/>
        </w:rPr>
        <w:t>gure maintenant parmi les idéologies dominantes</w:t>
      </w:r>
      <w:r>
        <w:rPr>
          <w:szCs w:val="22"/>
        </w:rPr>
        <w:t> </w:t>
      </w:r>
      <w:r w:rsidRPr="00183B0F">
        <w:rPr>
          <w:rStyle w:val="Appelnotedebasdep"/>
        </w:rPr>
        <w:footnoteReference w:id="636"/>
      </w:r>
      <w:r w:rsidRPr="00562808">
        <w:rPr>
          <w:szCs w:val="22"/>
        </w:rPr>
        <w:t>.</w:t>
      </w:r>
    </w:p>
    <w:p w:rsidR="00AD690E" w:rsidRPr="00562808" w:rsidRDefault="00AD690E" w:rsidP="00AD690E">
      <w:pPr>
        <w:spacing w:before="120" w:after="120"/>
        <w:jc w:val="both"/>
      </w:pPr>
      <w:r w:rsidRPr="00562808">
        <w:rPr>
          <w:szCs w:val="22"/>
        </w:rPr>
        <w:t>Depuis les travaux de la Commission Bird, la philosophie égalit</w:t>
      </w:r>
      <w:r w:rsidRPr="00562808">
        <w:rPr>
          <w:szCs w:val="22"/>
        </w:rPr>
        <w:t>a</w:t>
      </w:r>
      <w:r w:rsidRPr="00562808">
        <w:rPr>
          <w:szCs w:val="22"/>
        </w:rPr>
        <w:t>riste a inspiré nombre de rapports, a alimenté nombre de réflexions. À la fin des années 1960, dominait une vision restrictive de l'égalité. D'une part les décisions des tribunaux</w:t>
      </w:r>
      <w:r>
        <w:rPr>
          <w:szCs w:val="22"/>
        </w:rPr>
        <w:t> </w:t>
      </w:r>
      <w:r w:rsidRPr="00183B0F">
        <w:rPr>
          <w:rStyle w:val="Appelnotedebasdep"/>
        </w:rPr>
        <w:footnoteReference w:id="637"/>
      </w:r>
      <w:r w:rsidRPr="00562808">
        <w:rPr>
          <w:szCs w:val="22"/>
        </w:rPr>
        <w:t>, d'autre part les travaux de la Commission Abella, ont élargi le sens de cette notion. L'absence d'égalité peut désormais résulter de pratiques neutres en apparence. Ainsi en est-il des règles d'embauché, de recrutement, de sélection, de promotion, etc. Pourtant, on sait bien que l'absence d'égalité constitue un problème global et systémique, découlant des différentes formes d'organisation sociale. La juge Abella, en se référant à la notion d'équité a épousé cette dernière perspective. D'ailleurs, ses propos</w:t>
      </w:r>
      <w:r w:rsidRPr="00562808">
        <w:rPr>
          <w:szCs w:val="22"/>
        </w:rPr>
        <w:t>i</w:t>
      </w:r>
      <w:r w:rsidRPr="00562808">
        <w:rPr>
          <w:szCs w:val="22"/>
        </w:rPr>
        <w:t>tions vont dans le sens d'une approche fondée sur la justice distribut</w:t>
      </w:r>
      <w:r w:rsidRPr="00562808">
        <w:rPr>
          <w:szCs w:val="22"/>
        </w:rPr>
        <w:t>i</w:t>
      </w:r>
      <w:r w:rsidRPr="00562808">
        <w:rPr>
          <w:szCs w:val="22"/>
        </w:rPr>
        <w:t>ve</w:t>
      </w:r>
      <w:r>
        <w:rPr>
          <w:szCs w:val="22"/>
        </w:rPr>
        <w:t> </w:t>
      </w:r>
      <w:r w:rsidRPr="00183B0F">
        <w:rPr>
          <w:rStyle w:val="Appelnotedebasdep"/>
        </w:rPr>
        <w:footnoteReference w:id="638"/>
      </w:r>
      <w:r w:rsidRPr="00562808">
        <w:rPr>
          <w:szCs w:val="22"/>
        </w:rPr>
        <w:t>.</w:t>
      </w:r>
    </w:p>
    <w:p w:rsidR="00AD690E" w:rsidRPr="00562808" w:rsidRDefault="00AD690E" w:rsidP="00AD690E">
      <w:pPr>
        <w:spacing w:before="120" w:after="120"/>
        <w:jc w:val="both"/>
      </w:pPr>
      <w:r w:rsidRPr="00562808">
        <w:rPr>
          <w:szCs w:val="22"/>
        </w:rPr>
        <w:t>Sous le régime libéral on a inscrit l'égalité des femmes canadiennes dans les lois ; on a changé les institutions en conséquence et on a m</w:t>
      </w:r>
      <w:r w:rsidRPr="00562808">
        <w:rPr>
          <w:szCs w:val="22"/>
        </w:rPr>
        <w:t>o</w:t>
      </w:r>
      <w:r w:rsidRPr="00562808">
        <w:rPr>
          <w:szCs w:val="22"/>
        </w:rPr>
        <w:t>bilisé les esprits autour de cette question. En un sens, la classe polit</w:t>
      </w:r>
      <w:r w:rsidRPr="00562808">
        <w:rPr>
          <w:szCs w:val="22"/>
        </w:rPr>
        <w:t>i</w:t>
      </w:r>
      <w:r w:rsidRPr="00562808">
        <w:rPr>
          <w:szCs w:val="22"/>
        </w:rPr>
        <w:t>que n'a guère ménagé le recours au terme d'égalité dans tous les d</w:t>
      </w:r>
      <w:r w:rsidRPr="00562808">
        <w:rPr>
          <w:szCs w:val="22"/>
        </w:rPr>
        <w:t>o</w:t>
      </w:r>
      <w:r w:rsidRPr="00562808">
        <w:rPr>
          <w:szCs w:val="22"/>
        </w:rPr>
        <w:t>maines où des injustices étaient commises à l'endroit des femmes. Mais l'égalité reste une notion au contenu divers et évolutif ; en outre, elle réfère à des perceptions « subjectives » quant à la situation qui est faite à un individu ou à un groupe d'individus. De nos jours, il existe une sensibilité de plus en plus exacerbée aux inégalités de tous o</w:t>
      </w:r>
      <w:r w:rsidRPr="00562808">
        <w:rPr>
          <w:szCs w:val="22"/>
        </w:rPr>
        <w:t>r</w:t>
      </w:r>
      <w:r w:rsidRPr="00562808">
        <w:rPr>
          <w:szCs w:val="22"/>
        </w:rPr>
        <w:t>dres</w:t>
      </w:r>
      <w:r>
        <w:rPr>
          <w:szCs w:val="22"/>
        </w:rPr>
        <w:t> </w:t>
      </w:r>
      <w:r w:rsidRPr="00183B0F">
        <w:rPr>
          <w:rStyle w:val="Appelnotedebasdep"/>
        </w:rPr>
        <w:footnoteReference w:id="639"/>
      </w:r>
      <w:r w:rsidRPr="00562808">
        <w:rPr>
          <w:szCs w:val="22"/>
        </w:rPr>
        <w:t>, et ceci affaiblit le projet égalitariste à l'endroit des femmes. En un sens, des doutes sérieux subsistent quant à la capacité des m</w:t>
      </w:r>
      <w:r w:rsidRPr="00562808">
        <w:rPr>
          <w:szCs w:val="22"/>
        </w:rPr>
        <w:t>e</w:t>
      </w:r>
      <w:r w:rsidRPr="00562808">
        <w:rPr>
          <w:szCs w:val="22"/>
        </w:rPr>
        <w:t>sures proposées de lever les obstacles à l'égalité. Des observations g</w:t>
      </w:r>
      <w:r w:rsidRPr="00562808">
        <w:rPr>
          <w:szCs w:val="22"/>
        </w:rPr>
        <w:t>é</w:t>
      </w:r>
      <w:r w:rsidRPr="00562808">
        <w:rPr>
          <w:szCs w:val="22"/>
        </w:rPr>
        <w:t>nérales dans le domaine politique, dans le domaine social et économ</w:t>
      </w:r>
      <w:r w:rsidRPr="00562808">
        <w:rPr>
          <w:szCs w:val="22"/>
        </w:rPr>
        <w:t>i</w:t>
      </w:r>
      <w:r w:rsidRPr="00562808">
        <w:rPr>
          <w:szCs w:val="22"/>
        </w:rPr>
        <w:t>que, autant que dans le domaine juridique, confirment cette impre</w:t>
      </w:r>
      <w:r w:rsidRPr="00562808">
        <w:rPr>
          <w:szCs w:val="22"/>
        </w:rPr>
        <w:t>s</w:t>
      </w:r>
      <w:r w:rsidRPr="00562808">
        <w:rPr>
          <w:szCs w:val="22"/>
        </w:rPr>
        <w:t>sion.</w:t>
      </w:r>
    </w:p>
    <w:p w:rsidR="00AD690E" w:rsidRPr="00562808" w:rsidRDefault="00AD690E" w:rsidP="00AD690E">
      <w:pPr>
        <w:spacing w:before="120" w:after="120"/>
        <w:jc w:val="both"/>
      </w:pPr>
      <w:r w:rsidRPr="00562808">
        <w:rPr>
          <w:szCs w:val="22"/>
        </w:rPr>
        <w:t>L'égalité des droits politiques est acquise depuis longtemps au C</w:t>
      </w:r>
      <w:r w:rsidRPr="00562808">
        <w:rPr>
          <w:szCs w:val="22"/>
        </w:rPr>
        <w:t>a</w:t>
      </w:r>
      <w:r w:rsidRPr="00562808">
        <w:rPr>
          <w:szCs w:val="22"/>
        </w:rPr>
        <w:t>nada. Pourtant, les inégalités face au pouvoir demeurent entières pui</w:t>
      </w:r>
      <w:r w:rsidRPr="00562808">
        <w:rPr>
          <w:szCs w:val="22"/>
        </w:rPr>
        <w:t>s</w:t>
      </w:r>
      <w:r w:rsidRPr="00562808">
        <w:rPr>
          <w:szCs w:val="22"/>
        </w:rPr>
        <w:t>que l'insertion des femmes dans le système politique reste partielle et incomplète. Les femmes ne participent guère au processus final de la décision politique. Elles sont</w:t>
      </w:r>
      <w:r>
        <w:rPr>
          <w:szCs w:val="22"/>
        </w:rPr>
        <w:t xml:space="preserve"> </w:t>
      </w:r>
      <w:r>
        <w:rPr>
          <w:szCs w:val="18"/>
        </w:rPr>
        <w:t xml:space="preserve">[379] </w:t>
      </w:r>
      <w:r w:rsidRPr="00562808">
        <w:rPr>
          <w:szCs w:val="22"/>
        </w:rPr>
        <w:t>majoritairement exclues de l'exe</w:t>
      </w:r>
      <w:r w:rsidRPr="00562808">
        <w:rPr>
          <w:szCs w:val="22"/>
        </w:rPr>
        <w:t>r</w:t>
      </w:r>
      <w:r w:rsidRPr="00562808">
        <w:rPr>
          <w:szCs w:val="22"/>
        </w:rPr>
        <w:t>cice du pouvoir politique, les e</w:t>
      </w:r>
      <w:r w:rsidRPr="00562808">
        <w:rPr>
          <w:szCs w:val="22"/>
        </w:rPr>
        <w:t>n</w:t>
      </w:r>
      <w:r w:rsidRPr="00562808">
        <w:rPr>
          <w:szCs w:val="22"/>
        </w:rPr>
        <w:t>jeux sociaux et économiques étant arrêtés en des lieux et à des n</w:t>
      </w:r>
      <w:r w:rsidRPr="00562808">
        <w:rPr>
          <w:szCs w:val="22"/>
        </w:rPr>
        <w:t>i</w:t>
      </w:r>
      <w:r w:rsidRPr="00562808">
        <w:rPr>
          <w:szCs w:val="22"/>
        </w:rPr>
        <w:t>veaux dont elles sont absentes. « Les sommets de l'État » canadien demeurent entre les mains d'une oliga</w:t>
      </w:r>
      <w:r w:rsidRPr="00562808">
        <w:rPr>
          <w:szCs w:val="22"/>
        </w:rPr>
        <w:t>r</w:t>
      </w:r>
      <w:r w:rsidRPr="00562808">
        <w:rPr>
          <w:szCs w:val="22"/>
        </w:rPr>
        <w:t>chie essentiellement mascul</w:t>
      </w:r>
      <w:r w:rsidRPr="00562808">
        <w:rPr>
          <w:szCs w:val="22"/>
        </w:rPr>
        <w:t>i</w:t>
      </w:r>
      <w:r w:rsidRPr="00562808">
        <w:rPr>
          <w:szCs w:val="22"/>
        </w:rPr>
        <w:t>ne</w:t>
      </w:r>
      <w:r>
        <w:rPr>
          <w:szCs w:val="22"/>
        </w:rPr>
        <w:t> </w:t>
      </w:r>
      <w:r w:rsidRPr="00183B0F">
        <w:rPr>
          <w:rStyle w:val="Appelnotedebasdep"/>
        </w:rPr>
        <w:footnoteReference w:id="640"/>
      </w:r>
      <w:r w:rsidRPr="00562808">
        <w:rPr>
          <w:szCs w:val="22"/>
        </w:rPr>
        <w:t>.</w:t>
      </w:r>
    </w:p>
    <w:p w:rsidR="00AD690E" w:rsidRPr="00562808" w:rsidRDefault="00AD690E" w:rsidP="00AD690E">
      <w:pPr>
        <w:spacing w:before="120" w:after="120"/>
        <w:jc w:val="both"/>
      </w:pPr>
      <w:r w:rsidRPr="00562808">
        <w:rPr>
          <w:szCs w:val="22"/>
        </w:rPr>
        <w:t>Certes, les femmes commencent à être nommées à des postes clés et leur avancée dans le champ institutionnel ne fait plus de doute. Les femmes élues députés, ou encore nommées ministres, demeurent pourtant, encore aujourd'hui, l'exception. Leur présence dans les in</w:t>
      </w:r>
      <w:r w:rsidRPr="00562808">
        <w:rPr>
          <w:szCs w:val="22"/>
        </w:rPr>
        <w:t>s</w:t>
      </w:r>
      <w:r w:rsidRPr="00562808">
        <w:rPr>
          <w:szCs w:val="22"/>
        </w:rPr>
        <w:t>tances politiques s'accompagne d'un refus de la prise en compte des difficultés liées à leur statut. Ne s'agit-il pas là d'une des caractérist</w:t>
      </w:r>
      <w:r w:rsidRPr="00562808">
        <w:rPr>
          <w:szCs w:val="22"/>
        </w:rPr>
        <w:t>i</w:t>
      </w:r>
      <w:r w:rsidRPr="00562808">
        <w:rPr>
          <w:szCs w:val="22"/>
        </w:rPr>
        <w:t>ques des institutions parlementaires modernes ? On peut le supposer, après avoir observé la manière dont on intègre les femmes dans le ce</w:t>
      </w:r>
      <w:r w:rsidRPr="00562808">
        <w:rPr>
          <w:szCs w:val="22"/>
        </w:rPr>
        <w:t>r</w:t>
      </w:r>
      <w:r w:rsidRPr="00562808">
        <w:rPr>
          <w:szCs w:val="22"/>
        </w:rPr>
        <w:t>cle gouvernemental. Soit qu'elles soient nommées dans des secteurs considérés par l'opinion courante comme spécifiquement féminins, soit qu'elles demeurent l'exception, la femme-alibi, confirmant ainsi la règle générale de l'exclusion des femmes du cercle gouvernemental.</w:t>
      </w:r>
    </w:p>
    <w:p w:rsidR="00AD690E" w:rsidRPr="00562808" w:rsidRDefault="00AD690E" w:rsidP="00AD690E">
      <w:pPr>
        <w:spacing w:before="120" w:after="120"/>
        <w:jc w:val="both"/>
      </w:pPr>
      <w:r w:rsidRPr="00562808">
        <w:rPr>
          <w:szCs w:val="22"/>
        </w:rPr>
        <w:t>Au Canada, l'intégration politique des femmes est donc loin d'être complétée. La concentration du pouvoir entre les mains des hommes apparaît, pourtant, de plus en plus contradictoire au regard de l'eng</w:t>
      </w:r>
      <w:r w:rsidRPr="00562808">
        <w:rPr>
          <w:szCs w:val="22"/>
        </w:rPr>
        <w:t>a</w:t>
      </w:r>
      <w:r w:rsidRPr="00562808">
        <w:rPr>
          <w:szCs w:val="22"/>
        </w:rPr>
        <w:t>gement politique d'un nombre accru de femmes, au regard d'une au</w:t>
      </w:r>
      <w:r w:rsidRPr="00562808">
        <w:rPr>
          <w:szCs w:val="22"/>
        </w:rPr>
        <w:t>g</w:t>
      </w:r>
      <w:r w:rsidRPr="00562808">
        <w:rPr>
          <w:szCs w:val="22"/>
        </w:rPr>
        <w:t>mentation non négligeable de leur participation électorale.</w:t>
      </w:r>
    </w:p>
    <w:p w:rsidR="00AD690E" w:rsidRPr="00562808" w:rsidRDefault="00AD690E" w:rsidP="00AD690E">
      <w:pPr>
        <w:spacing w:before="120" w:after="120"/>
        <w:jc w:val="both"/>
      </w:pPr>
      <w:r w:rsidRPr="00562808">
        <w:rPr>
          <w:szCs w:val="22"/>
        </w:rPr>
        <w:t>Au plan social, diverses mesures ont été adoptées sous les libéraux. Mais l'égalité sociale n'est guère plus facile à réaliser que l'égalité p</w:t>
      </w:r>
      <w:r w:rsidRPr="00562808">
        <w:rPr>
          <w:szCs w:val="22"/>
        </w:rPr>
        <w:t>o</w:t>
      </w:r>
      <w:r w:rsidRPr="00562808">
        <w:rPr>
          <w:szCs w:val="22"/>
        </w:rPr>
        <w:t>litique. Les nouvelles conditions de vie des femmes ont allongé la nomenclature des inégalités. Pourtant, on ne compte plus les législ</w:t>
      </w:r>
      <w:r w:rsidRPr="00562808">
        <w:rPr>
          <w:szCs w:val="22"/>
        </w:rPr>
        <w:t>a</w:t>
      </w:r>
      <w:r w:rsidRPr="00562808">
        <w:rPr>
          <w:szCs w:val="22"/>
        </w:rPr>
        <w:t>tions égalitaristes dans le domaine des conditions d'accès à l'emploi, ou de la rémunération. Mais ces dernières législations ne font que consacrer un égalitarisme de façade, que la réalité rend tout à fait ill</w:t>
      </w:r>
      <w:r w:rsidRPr="00562808">
        <w:rPr>
          <w:szCs w:val="22"/>
        </w:rPr>
        <w:t>u</w:t>
      </w:r>
      <w:r w:rsidRPr="00562808">
        <w:rPr>
          <w:szCs w:val="22"/>
        </w:rPr>
        <w:t>soire. Pour des tâches équivalentes, les femmes continuent de gagner environ 60% du salaire des hommes. Les lois antidiscriminatoires, de même que les programmes d'accès à l'égalité, restent insuffisants. La nature de certaines pratiques discriminatoires échappent aux plaintes formulées, à la réglementation et à la législation. Sans doute faut-il chercher dans les changements récemment observés, les nouveaux obstacles à la réalisation de l'égalité sociale des femmes. En cette m</w:t>
      </w:r>
      <w:r w:rsidRPr="00562808">
        <w:rPr>
          <w:szCs w:val="22"/>
        </w:rPr>
        <w:t>a</w:t>
      </w:r>
      <w:r w:rsidRPr="00562808">
        <w:rPr>
          <w:szCs w:val="22"/>
        </w:rPr>
        <w:t>tière, il semble qu'un nouvel engagement politique moins équivoque donne lieu à un nouvel examen des conditions faites aux femmes. Sans un tel engagement, on peut douter de l'efficacité du recours aux mesures déjà adoptées. Certes, par l'entremise des tribunaux on a pr</w:t>
      </w:r>
      <w:r w:rsidRPr="00562808">
        <w:rPr>
          <w:szCs w:val="22"/>
        </w:rPr>
        <w:t>o</w:t>
      </w:r>
      <w:r w:rsidRPr="00562808">
        <w:rPr>
          <w:szCs w:val="22"/>
        </w:rPr>
        <w:t>cédé à une reconnaissance normative des différences. Mais ce faisant, on a régularisé la part d'arbitraire qui fonde l'inégalité des conditions. Par ailleurs, la loi a été modifiée à de nombreuses reprises. Ce proce</w:t>
      </w:r>
      <w:r w:rsidRPr="00562808">
        <w:rPr>
          <w:szCs w:val="22"/>
        </w:rPr>
        <w:t>s</w:t>
      </w:r>
      <w:r w:rsidRPr="00562808">
        <w:rPr>
          <w:szCs w:val="22"/>
        </w:rPr>
        <w:t>sus, combiné</w:t>
      </w:r>
      <w:r>
        <w:rPr>
          <w:szCs w:val="22"/>
        </w:rPr>
        <w:t xml:space="preserve"> </w:t>
      </w:r>
      <w:r>
        <w:t>[</w:t>
      </w:r>
      <w:r w:rsidRPr="00562808">
        <w:t>380</w:t>
      </w:r>
      <w:r>
        <w:t xml:space="preserve">] </w:t>
      </w:r>
      <w:r w:rsidR="005E1315" w:rsidRPr="00562808">
        <w:rPr>
          <w:noProof/>
        </w:rPr>
        <mc:AlternateContent>
          <mc:Choice Requires="wps">
            <w:drawing>
              <wp:anchor distT="0" distB="0" distL="114300" distR="114300" simplePos="0" relativeHeight="251657216" behindDoc="0" locked="0" layoutInCell="0" allowOverlap="1">
                <wp:simplePos x="0" y="0"/>
                <wp:positionH relativeFrom="margin">
                  <wp:posOffset>4855210</wp:posOffset>
                </wp:positionH>
                <wp:positionV relativeFrom="paragraph">
                  <wp:posOffset>6132830</wp:posOffset>
                </wp:positionV>
                <wp:extent cx="0" cy="502920"/>
                <wp:effectExtent l="0" t="0" r="0" b="508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29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A966D"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2.3pt,482.9pt" to="382.3pt,5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" o:allowincell="f" strokeweight=".25pt">
                <o:lock v:ext="edit" shapetype="f"/>
                <w10:wrap anchorx="margin"/>
              </v:line>
            </w:pict>
          </mc:Fallback>
        </mc:AlternateContent>
      </w:r>
      <w:r w:rsidR="005E1315" w:rsidRPr="00562808">
        <w:rPr>
          <w:noProof/>
        </w:rPr>
        <mc:AlternateContent>
          <mc:Choice Requires="wps">
            <w:drawing>
              <wp:anchor distT="0" distB="0" distL="114300" distR="114300" simplePos="0" relativeHeight="251658240" behindDoc="0" locked="0" layoutInCell="0" allowOverlap="1">
                <wp:simplePos x="0" y="0"/>
                <wp:positionH relativeFrom="margin">
                  <wp:posOffset>4858385</wp:posOffset>
                </wp:positionH>
                <wp:positionV relativeFrom="paragraph">
                  <wp:posOffset>4316095</wp:posOffset>
                </wp:positionV>
                <wp:extent cx="0" cy="542290"/>
                <wp:effectExtent l="0" t="0" r="0" b="381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2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4D03C"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2.55pt,339.85pt" to="382.55pt,38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" o:allowincell="f" strokeweight=".25pt">
                <o:lock v:ext="edit" shapetype="f"/>
                <w10:wrap anchorx="margin"/>
              </v:line>
            </w:pict>
          </mc:Fallback>
        </mc:AlternateContent>
      </w:r>
      <w:r w:rsidRPr="00562808">
        <w:t>au fait que les professionnels de l'égalité ne ce</w:t>
      </w:r>
      <w:r w:rsidRPr="00562808">
        <w:t>s</w:t>
      </w:r>
      <w:r w:rsidRPr="00562808">
        <w:t>sent d'organiser sa mise en forme, a altéré la philosophie d'origine et les principes qui la sous-tendent.</w:t>
      </w:r>
    </w:p>
    <w:p w:rsidR="00AD690E" w:rsidRPr="00562808" w:rsidRDefault="00AD690E" w:rsidP="00AD690E">
      <w:pPr>
        <w:spacing w:before="120" w:after="120"/>
        <w:jc w:val="both"/>
      </w:pPr>
      <w:r w:rsidRPr="00562808">
        <w:t>On sait maintenant que les obstacles à l'égalité ne sont pas que j</w:t>
      </w:r>
      <w:r w:rsidRPr="00562808">
        <w:t>u</w:t>
      </w:r>
      <w:r w:rsidRPr="00562808">
        <w:t>ridiques, puisque l'obtention de certains droits ne constitue pas une condition suffisante pour pouvoir les exercer. Les obstacles à l'égalité sont plutôt de nature sociale et culturelle. Or, la société est toujours inégalitaire, bien que l'État canadien ait agi et que des changements aient eu lieu. Pourtant, certains indices suggèrent que tous ces cha</w:t>
      </w:r>
      <w:r w:rsidRPr="00562808">
        <w:t>n</w:t>
      </w:r>
      <w:r w:rsidRPr="00562808">
        <w:t>gements ne favorisent guère les femmes, que les solutions gouvern</w:t>
      </w:r>
      <w:r w:rsidRPr="00562808">
        <w:t>e</w:t>
      </w:r>
      <w:r w:rsidRPr="00562808">
        <w:t>mentales aux problèmes qu'elles vivent sont inadéquates.</w:t>
      </w:r>
    </w:p>
    <w:p w:rsidR="00AD690E" w:rsidRPr="00562808" w:rsidRDefault="00AD690E" w:rsidP="00AD690E">
      <w:pPr>
        <w:spacing w:before="120" w:after="120"/>
        <w:jc w:val="both"/>
      </w:pPr>
      <w:r w:rsidRPr="00562808">
        <w:t>Au plan administratif, l'essentiel du processus d'analyse et d'élab</w:t>
      </w:r>
      <w:r w:rsidRPr="00562808">
        <w:t>o</w:t>
      </w:r>
      <w:r w:rsidRPr="00562808">
        <w:t>ration des décisions s'effectue dans et par des institutions mises en place par l'État. Il s'agit d'organisations structurées par la règle qui organise, plus ou moins formellement, la mise en application des déc</w:t>
      </w:r>
      <w:r w:rsidRPr="00562808">
        <w:t>i</w:t>
      </w:r>
      <w:r w:rsidRPr="00562808">
        <w:t>sions et précise les conditions selon lesquelles les autorités admini</w:t>
      </w:r>
      <w:r w:rsidRPr="00562808">
        <w:t>s</w:t>
      </w:r>
      <w:r w:rsidRPr="00562808">
        <w:t>tratives doivent agir. L'appareil féministe n'échappe pas à un tel pr</w:t>
      </w:r>
      <w:r w:rsidRPr="00562808">
        <w:t>o</w:t>
      </w:r>
      <w:r w:rsidRPr="00562808">
        <w:t>cessus ; les institutions créées par l'État, au cours des quinze dernières années, sont en cela semblables aux autres mécanismes gouverneme</w:t>
      </w:r>
      <w:r w:rsidRPr="00562808">
        <w:t>n</w:t>
      </w:r>
      <w:r w:rsidRPr="00562808">
        <w:t>taux. Ces institutions se caractérisent notamment par leur stabilité. Les tâches y sont spécialisées et l'autorité hiérarchisée. Les femmes poss</w:t>
      </w:r>
      <w:r w:rsidRPr="00562808">
        <w:t>è</w:t>
      </w:r>
      <w:r w:rsidRPr="00562808">
        <w:t>dent désormais leurs professionnels attitrés et ces derniers gèrent une variété de programmes : ils enquêtent, étudient, proposent des sol</w:t>
      </w:r>
      <w:r w:rsidRPr="00562808">
        <w:t>u</w:t>
      </w:r>
      <w:r w:rsidRPr="00562808">
        <w:t>tions, et distribuent les subventions. Cette nouvelle classe professio</w:t>
      </w:r>
      <w:r w:rsidRPr="00562808">
        <w:t>n</w:t>
      </w:r>
      <w:r w:rsidRPr="00562808">
        <w:t>nelle a progressivement modifié les rangs du mouvement des femmes et précipité un déplacement des enjeux du débat.</w:t>
      </w:r>
    </w:p>
    <w:p w:rsidR="00AD690E" w:rsidRPr="00562808" w:rsidRDefault="00AD690E" w:rsidP="00AD690E">
      <w:pPr>
        <w:spacing w:before="120" w:after="120"/>
        <w:jc w:val="both"/>
      </w:pPr>
      <w:r w:rsidRPr="00562808">
        <w:t>Au niveau national, l'existence de ces divers conseils, bureaux et commissions, laisse croire en l'inscription de l'appareil féministe dans un cadre institutionnel et gouvernemental. Ce faisant, c'est toute la capacité de contrôle de ces institutions par l'État qui est mise au jour avec, d'un côté, l'État qui a accordé aux femmes la reconnaissance de certains droits et l'amélioration de leur statut, et de l'autre, l'existence d'une politique sectorielle féministe marquée par la spécialisation des tâches et la montée des professionnels. Ce modèle n'est pas exclusif au Canada, on le retrouve dans la plupart des pays où le mouvement f</w:t>
      </w:r>
      <w:r w:rsidRPr="00562808">
        <w:t>é</w:t>
      </w:r>
      <w:r w:rsidRPr="00562808">
        <w:t>ministe a su s'affirmer.</w:t>
      </w:r>
    </w:p>
    <w:p w:rsidR="00AD690E" w:rsidRPr="00562808" w:rsidRDefault="00AD690E" w:rsidP="00AD690E">
      <w:pPr>
        <w:spacing w:before="120" w:after="120"/>
        <w:jc w:val="both"/>
      </w:pPr>
      <w:r w:rsidRPr="00562808">
        <w:t>Le système gouvernemental canadien en matière de condition f</w:t>
      </w:r>
      <w:r w:rsidRPr="00562808">
        <w:t>é</w:t>
      </w:r>
      <w:r w:rsidRPr="00562808">
        <w:t>minine est parfaitement intégré. Aux organes de coordination (Cond</w:t>
      </w:r>
      <w:r w:rsidRPr="00562808">
        <w:t>i</w:t>
      </w:r>
      <w:r w:rsidRPr="00562808">
        <w:t>tion féminine Canada -</w:t>
      </w:r>
      <w:r>
        <w:t xml:space="preserve"> </w:t>
      </w:r>
      <w:r w:rsidRPr="00562808">
        <w:t>ministre chargé de la Condition féminine) et de consultation (CCCSF), viennent s'ajouter les institutions qui voient à la mise en œuvre des programmes. En outre, dans le cadre de ce qu'il est convenu d'appeler les « mécanismes d'intégration » désignés, il existe un processus d'élaboration des politiques et des programmes, dont la mission est d'intégrer les préoccupations féminines.</w:t>
      </w:r>
    </w:p>
    <w:p w:rsidR="00AD690E" w:rsidRPr="00562808" w:rsidRDefault="00AD690E" w:rsidP="00AD690E">
      <w:pPr>
        <w:spacing w:before="120" w:after="120"/>
        <w:jc w:val="both"/>
      </w:pPr>
      <w:r w:rsidRPr="00562808">
        <w:t>Si ces nouvelles réalités peuvent être interprétées comme des vi</w:t>
      </w:r>
      <w:r w:rsidRPr="00562808">
        <w:t>c</w:t>
      </w:r>
      <w:r w:rsidRPr="00562808">
        <w:t>toires des femmes, elles demeurent néanmoins ambiguës. D'abord, parce que la régulation des femmes et de leurs organisations s'effectue désormais dans et par ces institutions gouvernementales. Ensuite, pa</w:t>
      </w:r>
      <w:r w:rsidRPr="00562808">
        <w:t>r</w:t>
      </w:r>
      <w:r w:rsidRPr="00562808">
        <w:t>ce qu'il est difficile de croire que</w:t>
      </w:r>
      <w:r>
        <w:t xml:space="preserve"> [381] </w:t>
      </w:r>
      <w:r w:rsidRPr="00562808">
        <w:t>l'appareil féministe, dès lors qu'il est intégré à l'État, peut échapper aux rivalités de partis, aux contraintes gouvernementales et à la log</w:t>
      </w:r>
      <w:r w:rsidRPr="00562808">
        <w:t>i</w:t>
      </w:r>
      <w:r w:rsidRPr="00562808">
        <w:t>que bureaucratique.</w:t>
      </w:r>
    </w:p>
    <w:p w:rsidR="00AD690E" w:rsidRPr="00562808" w:rsidRDefault="00AD690E" w:rsidP="00AD690E">
      <w:pPr>
        <w:spacing w:before="120" w:after="120"/>
        <w:jc w:val="both"/>
      </w:pPr>
      <w:r w:rsidRPr="00562808">
        <w:t>L'étude de la place des femmes dans l'État a accru notre connai</w:t>
      </w:r>
      <w:r w:rsidRPr="00562808">
        <w:t>s</w:t>
      </w:r>
      <w:r w:rsidRPr="00562808">
        <w:t>sance de l'État canadien. Mieux qu'auparavant, on sait comment l'État fonctionne. On sait, aussi, comment il traite les problèmes que vivent les femmes canadiennes. Sans aller jusqu'à prétendre que la période des années 1960-1980 a constitué un moment de l'histoire favorable aux femmes, nous nous devons de relever le fait que la classe polit</w:t>
      </w:r>
      <w:r w:rsidRPr="00562808">
        <w:t>i</w:t>
      </w:r>
      <w:r w:rsidRPr="00562808">
        <w:t>que libérale a accordé une attention jusqu'alors inégalée aux probl</w:t>
      </w:r>
      <w:r w:rsidRPr="00562808">
        <w:t>è</w:t>
      </w:r>
      <w:r w:rsidRPr="00562808">
        <w:t>mes spécifiquement vécus par les femmes canadiennes. On a eu, de ce fait, bien des difficultés à mettre de l'ordre dans la multitude des act</w:t>
      </w:r>
      <w:r w:rsidRPr="00562808">
        <w:t>i</w:t>
      </w:r>
      <w:r w:rsidRPr="00562808">
        <w:t>vités législatives et administratives et bien des difficultés à hiérarch</w:t>
      </w:r>
      <w:r w:rsidRPr="00562808">
        <w:t>i</w:t>
      </w:r>
      <w:r w:rsidRPr="00562808">
        <w:t>ser les objectifs poursuivis, tant au plan social que politique.</w:t>
      </w:r>
    </w:p>
    <w:p w:rsidR="00AD690E" w:rsidRPr="00562808" w:rsidRDefault="00AD690E" w:rsidP="00AD690E">
      <w:pPr>
        <w:spacing w:before="120" w:after="120"/>
        <w:jc w:val="both"/>
      </w:pPr>
      <w:r w:rsidRPr="00562808">
        <w:t>Nous avons fait état des changements qui sont intervenus dans la structure gouvernementale. Ceci nous a permis de constater qu'au sein de l'État canadien, le féminisme est objet de planification, tant à tr</w:t>
      </w:r>
      <w:r w:rsidRPr="00562808">
        <w:t>a</w:t>
      </w:r>
      <w:r w:rsidRPr="00562808">
        <w:t>vers les lois qu'au sein des institutions. Mais l'analyse des interve</w:t>
      </w:r>
      <w:r w:rsidRPr="00562808">
        <w:t>n</w:t>
      </w:r>
      <w:r w:rsidRPr="00562808">
        <w:t>tions étatiques d'un côté, celle des pressions exercées en vue d'obtenir de nouvelles politiques à l'endroit des femmes de l'autre, soulèvent une dernière question : comment faire pour que l'institution gouve</w:t>
      </w:r>
      <w:r w:rsidRPr="00562808">
        <w:t>r</w:t>
      </w:r>
      <w:r w:rsidRPr="00562808">
        <w:t>nementale féministe n'affaiblisse pas la capacité revendicatrice des femmes grâce à laquelle des progrès notables ont pu être accomplis ?</w:t>
      </w:r>
    </w:p>
    <w:p w:rsidR="00AD690E" w:rsidRPr="00760614" w:rsidRDefault="00AD690E" w:rsidP="00AD690E">
      <w:pPr>
        <w:spacing w:before="120" w:after="120"/>
        <w:jc w:val="both"/>
      </w:pPr>
    </w:p>
    <w:p w:rsidR="00AD690E" w:rsidRPr="00760614" w:rsidRDefault="00AD690E" w:rsidP="00AD690E">
      <w:pPr>
        <w:pStyle w:val="p"/>
      </w:pPr>
      <w:r w:rsidRPr="00760614">
        <w:t>[382]</w:t>
      </w:r>
    </w:p>
    <w:p w:rsidR="00AD690E" w:rsidRPr="00EC43AA" w:rsidRDefault="00AD690E" w:rsidP="00AD690E">
      <w:pPr>
        <w:pStyle w:val="p"/>
      </w:pPr>
      <w:r>
        <w:br w:type="page"/>
        <w:t>[</w:t>
      </w:r>
      <w:r w:rsidRPr="00EC43AA">
        <w:t>383</w:t>
      </w:r>
      <w:r>
        <w:t>]</w:t>
      </w:r>
    </w:p>
    <w:p w:rsidR="00AD690E" w:rsidRDefault="00AD690E" w:rsidP="00AD690E">
      <w:pPr>
        <w:jc w:val="both"/>
      </w:pP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22" w:name="ere_Liberaux_pt3_texte_16"/>
      <w:r>
        <w:rPr>
          <w:b/>
          <w:color w:val="000080"/>
          <w:sz w:val="24"/>
        </w:rPr>
        <w:t>TROISIÈME</w:t>
      </w:r>
      <w:r w:rsidRPr="003634E0">
        <w:rPr>
          <w:b/>
          <w:color w:val="000080"/>
          <w:sz w:val="24"/>
        </w:rPr>
        <w:t xml:space="preserve"> PARTIE</w:t>
      </w:r>
      <w:r w:rsidRPr="003634E0">
        <w:rPr>
          <w:b/>
          <w:color w:val="000080"/>
          <w:sz w:val="24"/>
        </w:rPr>
        <w:br/>
        <w:t xml:space="preserve">QUESTIONS </w:t>
      </w:r>
      <w:r>
        <w:rPr>
          <w:b/>
          <w:color w:val="000080"/>
          <w:sz w:val="24"/>
        </w:rPr>
        <w:t>CULTURELLES ET SOCIALES</w:t>
      </w:r>
    </w:p>
    <w:p w:rsidR="00AD690E" w:rsidRPr="00E07116" w:rsidRDefault="00AD690E" w:rsidP="00AD690E">
      <w:pPr>
        <w:jc w:val="both"/>
        <w:rPr>
          <w:szCs w:val="36"/>
        </w:rPr>
      </w:pPr>
    </w:p>
    <w:p w:rsidR="00AD690E" w:rsidRPr="00E07116" w:rsidRDefault="00AD690E" w:rsidP="00AD690E">
      <w:pPr>
        <w:pStyle w:val="planchest"/>
      </w:pPr>
      <w:r>
        <w:t>“Les minorités :</w:t>
      </w:r>
      <w:r>
        <w:br/>
        <w:t>le multiculturalisme appliqué.”</w:t>
      </w:r>
    </w:p>
    <w:bookmarkEnd w:id="22"/>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Bruno RAMIREZ</w:t>
      </w:r>
    </w:p>
    <w:p w:rsidR="00AD690E" w:rsidRPr="00957619" w:rsidRDefault="00AD690E" w:rsidP="00AD690E">
      <w:pPr>
        <w:spacing w:before="120"/>
        <w:ind w:firstLine="0"/>
        <w:jc w:val="center"/>
        <w:rPr>
          <w:sz w:val="24"/>
        </w:rPr>
      </w:pPr>
      <w:r>
        <w:rPr>
          <w:sz w:val="24"/>
          <w:szCs w:val="22"/>
        </w:rPr>
        <w:t xml:space="preserve">Département d’histoire, </w:t>
      </w:r>
      <w:r w:rsidRPr="00957619">
        <w:rPr>
          <w:sz w:val="24"/>
          <w:szCs w:val="22"/>
        </w:rPr>
        <w:t>Un</w:t>
      </w:r>
      <w:r w:rsidRPr="00957619">
        <w:rPr>
          <w:sz w:val="24"/>
          <w:szCs w:val="22"/>
        </w:rPr>
        <w:t>i</w:t>
      </w:r>
      <w:r>
        <w:rPr>
          <w:sz w:val="24"/>
          <w:szCs w:val="22"/>
        </w:rPr>
        <w:t xml:space="preserve">versité de </w:t>
      </w:r>
      <w:r w:rsidRPr="00957619">
        <w:rPr>
          <w:sz w:val="24"/>
          <w:szCs w:val="22"/>
        </w:rPr>
        <w:t>Montréal</w:t>
      </w:r>
    </w:p>
    <w:p w:rsidR="00AD690E" w:rsidRDefault="00AD690E" w:rsidP="00AD690E">
      <w:pPr>
        <w:jc w:val="both"/>
      </w:pPr>
    </w:p>
    <w:p w:rsidR="00AD690E" w:rsidRPr="00E07116" w:rsidRDefault="00AD690E" w:rsidP="00AD690E">
      <w:pPr>
        <w:pStyle w:val="suite"/>
      </w:pPr>
      <w:r>
        <w:t>Sylvie TACHEREAU</w:t>
      </w:r>
    </w:p>
    <w:p w:rsidR="00AD690E" w:rsidRPr="00957619" w:rsidRDefault="00AD690E" w:rsidP="00AD690E">
      <w:pPr>
        <w:spacing w:before="120"/>
        <w:ind w:firstLine="0"/>
        <w:jc w:val="center"/>
        <w:rPr>
          <w:sz w:val="24"/>
        </w:rPr>
      </w:pPr>
      <w:r w:rsidRPr="00957619">
        <w:rPr>
          <w:sz w:val="24"/>
          <w:szCs w:val="22"/>
        </w:rPr>
        <w:t>Un</w:t>
      </w:r>
      <w:r w:rsidRPr="00957619">
        <w:rPr>
          <w:sz w:val="24"/>
          <w:szCs w:val="22"/>
        </w:rPr>
        <w:t>i</w:t>
      </w:r>
      <w:r w:rsidRPr="00957619">
        <w:rPr>
          <w:sz w:val="24"/>
          <w:szCs w:val="22"/>
        </w:rPr>
        <w:t>versité du Québec à Montréal</w:t>
      </w: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EC43AA" w:rsidRDefault="00AD690E" w:rsidP="00AD690E">
      <w:pPr>
        <w:spacing w:before="120" w:after="120"/>
        <w:jc w:val="both"/>
      </w:pPr>
      <w:r w:rsidRPr="00EC43AA">
        <w:rPr>
          <w:szCs w:val="22"/>
        </w:rPr>
        <w:t>À mesure qu'augmente l'importance des populations immigra</w:t>
      </w:r>
      <w:r w:rsidRPr="00EC43AA">
        <w:rPr>
          <w:szCs w:val="22"/>
        </w:rPr>
        <w:t>n</w:t>
      </w:r>
      <w:r w:rsidRPr="00EC43AA">
        <w:rPr>
          <w:szCs w:val="22"/>
        </w:rPr>
        <w:t>tes dans le paysage économique et social du Canada, l'</w:t>
      </w:r>
      <w:r>
        <w:rPr>
          <w:szCs w:val="22"/>
        </w:rPr>
        <w:t>État</w:t>
      </w:r>
      <w:r w:rsidRPr="00EC43AA">
        <w:rPr>
          <w:szCs w:val="22"/>
        </w:rPr>
        <w:t xml:space="preserve"> canadien s'e</w:t>
      </w:r>
      <w:r w:rsidRPr="00EC43AA">
        <w:rPr>
          <w:szCs w:val="22"/>
        </w:rPr>
        <w:t>f</w:t>
      </w:r>
      <w:r w:rsidRPr="00EC43AA">
        <w:rPr>
          <w:szCs w:val="22"/>
        </w:rPr>
        <w:t>force d'adapter cet apport aux exigences de développement économ</w:t>
      </w:r>
      <w:r w:rsidRPr="00EC43AA">
        <w:rPr>
          <w:szCs w:val="22"/>
        </w:rPr>
        <w:t>i</w:t>
      </w:r>
      <w:r w:rsidRPr="00EC43AA">
        <w:rPr>
          <w:szCs w:val="22"/>
        </w:rPr>
        <w:t>que et de gestion politique du pays. Cette dynamique est l'un des traits marquants de l'ère libérale, et c'est dans ce contexte qu'il faut co</w:t>
      </w:r>
      <w:r w:rsidRPr="00EC43AA">
        <w:rPr>
          <w:szCs w:val="22"/>
        </w:rPr>
        <w:t>m</w:t>
      </w:r>
      <w:r w:rsidRPr="00EC43AA">
        <w:rPr>
          <w:szCs w:val="22"/>
        </w:rPr>
        <w:t>prendre la politique du mult</w:t>
      </w:r>
      <w:r w:rsidRPr="00EC43AA">
        <w:rPr>
          <w:szCs w:val="22"/>
        </w:rPr>
        <w:t>i</w:t>
      </w:r>
      <w:r w:rsidRPr="00EC43AA">
        <w:rPr>
          <w:szCs w:val="22"/>
        </w:rPr>
        <w:t>culturalisme, comme l'un des instruments destinés à r</w:t>
      </w:r>
      <w:r w:rsidRPr="00EC43AA">
        <w:rPr>
          <w:szCs w:val="22"/>
        </w:rPr>
        <w:t>é</w:t>
      </w:r>
      <w:r w:rsidRPr="00EC43AA">
        <w:rPr>
          <w:szCs w:val="22"/>
        </w:rPr>
        <w:t>pondre aux exigences de l'État canadien dans ce domaine.</w:t>
      </w:r>
    </w:p>
    <w:p w:rsidR="00AD690E" w:rsidRDefault="00AD690E" w:rsidP="00AD690E">
      <w:pPr>
        <w:spacing w:before="120" w:after="120"/>
        <w:jc w:val="both"/>
        <w:rPr>
          <w:szCs w:val="22"/>
        </w:rPr>
      </w:pPr>
      <w:r w:rsidRPr="00EC43AA">
        <w:rPr>
          <w:szCs w:val="22"/>
        </w:rPr>
        <w:t>Analyser cette politique sur le plan strictement culturel équiva</w:t>
      </w:r>
      <w:r w:rsidRPr="00EC43AA">
        <w:rPr>
          <w:szCs w:val="22"/>
        </w:rPr>
        <w:t>u</w:t>
      </w:r>
      <w:r w:rsidRPr="00EC43AA">
        <w:rPr>
          <w:szCs w:val="22"/>
        </w:rPr>
        <w:t>drait à adopter le discours libéral et compa</w:t>
      </w:r>
      <w:r w:rsidRPr="00EC43AA">
        <w:rPr>
          <w:szCs w:val="22"/>
        </w:rPr>
        <w:t>r</w:t>
      </w:r>
      <w:r w:rsidRPr="00EC43AA">
        <w:rPr>
          <w:szCs w:val="22"/>
        </w:rPr>
        <w:t>timenter, comme il le fait, les différents aspects d'un seul et même pr</w:t>
      </w:r>
      <w:r w:rsidRPr="00EC43AA">
        <w:rPr>
          <w:szCs w:val="22"/>
        </w:rPr>
        <w:t>o</w:t>
      </w:r>
      <w:r w:rsidRPr="00EC43AA">
        <w:rPr>
          <w:szCs w:val="22"/>
        </w:rPr>
        <w:t>cessus : celui de l'entrée massive d'une nouvelle force de tr</w:t>
      </w:r>
      <w:r w:rsidRPr="00EC43AA">
        <w:rPr>
          <w:szCs w:val="22"/>
        </w:rPr>
        <w:t>a</w:t>
      </w:r>
      <w:r w:rsidRPr="00EC43AA">
        <w:rPr>
          <w:szCs w:val="22"/>
        </w:rPr>
        <w:t>vail et de nouvelles ethnocultures dans la société civile can</w:t>
      </w:r>
      <w:r w:rsidRPr="00EC43AA">
        <w:rPr>
          <w:szCs w:val="22"/>
        </w:rPr>
        <w:t>a</w:t>
      </w:r>
      <w:r w:rsidRPr="00EC43AA">
        <w:rPr>
          <w:szCs w:val="22"/>
        </w:rPr>
        <w:t>dienne. C'est la raison pour laquelle dans les pages qui suivent nous nous sommes efforcés de placer ce processus au centre de notre analyse, afin de mettre en relief le terrain économ</w:t>
      </w:r>
      <w:r w:rsidRPr="00EC43AA">
        <w:rPr>
          <w:szCs w:val="22"/>
        </w:rPr>
        <w:t>i</w:t>
      </w:r>
      <w:r w:rsidRPr="00EC43AA">
        <w:rPr>
          <w:szCs w:val="22"/>
        </w:rPr>
        <w:t>que, culturel et politique particulier sur lequel le multicult</w:t>
      </w:r>
      <w:r w:rsidRPr="00EC43AA">
        <w:rPr>
          <w:szCs w:val="22"/>
        </w:rPr>
        <w:t>u</w:t>
      </w:r>
      <w:r w:rsidRPr="00EC43AA">
        <w:rPr>
          <w:szCs w:val="22"/>
        </w:rPr>
        <w:t>ralisme a été appelé à intervenir, et peut-être fournir des éléments crit</w:t>
      </w:r>
      <w:r w:rsidRPr="00EC43AA">
        <w:rPr>
          <w:szCs w:val="22"/>
        </w:rPr>
        <w:t>i</w:t>
      </w:r>
      <w:r w:rsidRPr="00EC43AA">
        <w:rPr>
          <w:szCs w:val="22"/>
        </w:rPr>
        <w:t>ques avec le</w:t>
      </w:r>
      <w:r w:rsidRPr="00EC43AA">
        <w:rPr>
          <w:szCs w:val="22"/>
        </w:rPr>
        <w:t>s</w:t>
      </w:r>
      <w:r w:rsidRPr="00EC43AA">
        <w:rPr>
          <w:szCs w:val="22"/>
        </w:rPr>
        <w:t>quels évaluer son degré de succès ou d'échec.</w:t>
      </w:r>
    </w:p>
    <w:p w:rsidR="00AD690E" w:rsidRPr="00EC43AA" w:rsidRDefault="00AD690E" w:rsidP="00AD690E">
      <w:pPr>
        <w:spacing w:before="120" w:after="120"/>
        <w:jc w:val="both"/>
      </w:pPr>
      <w:r>
        <w:t>[</w:t>
      </w:r>
      <w:r w:rsidRPr="00EC43AA">
        <w:rPr>
          <w:szCs w:val="22"/>
        </w:rPr>
        <w:t>384</w:t>
      </w:r>
      <w:r>
        <w:rPr>
          <w:szCs w:val="22"/>
        </w:rPr>
        <w:t>]</w:t>
      </w:r>
    </w:p>
    <w:p w:rsidR="00AD690E" w:rsidRDefault="00AD690E" w:rsidP="00AD690E">
      <w:pPr>
        <w:spacing w:before="120" w:after="120"/>
        <w:jc w:val="both"/>
        <w:rPr>
          <w:szCs w:val="22"/>
        </w:rPr>
      </w:pPr>
    </w:p>
    <w:p w:rsidR="00AD690E" w:rsidRPr="00EC43AA" w:rsidRDefault="00AD690E" w:rsidP="00AD690E">
      <w:pPr>
        <w:pStyle w:val="planche"/>
      </w:pPr>
      <w:r>
        <w:t>LE CONTEXTE INTERNATIONAL </w:t>
      </w:r>
      <w:r>
        <w:rPr>
          <w:rStyle w:val="Appelnotedebasdep"/>
        </w:rPr>
        <w:footnoteReference w:id="641"/>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Au lendemain de la Seconde Guerre mondiale, les grands mouv</w:t>
      </w:r>
      <w:r w:rsidRPr="00EC43AA">
        <w:rPr>
          <w:szCs w:val="22"/>
        </w:rPr>
        <w:t>e</w:t>
      </w:r>
      <w:r w:rsidRPr="00EC43AA">
        <w:rPr>
          <w:szCs w:val="22"/>
        </w:rPr>
        <w:t>ments de population qui avaient marqué la première moitié de ce si</w:t>
      </w:r>
      <w:r w:rsidRPr="00EC43AA">
        <w:rPr>
          <w:szCs w:val="22"/>
        </w:rPr>
        <w:t>è</w:t>
      </w:r>
      <w:r w:rsidRPr="00EC43AA">
        <w:rPr>
          <w:szCs w:val="22"/>
        </w:rPr>
        <w:t>cle reprennent avec une vigueur nouvelle. La plupart de ces migr</w:t>
      </w:r>
      <w:r w:rsidRPr="00EC43AA">
        <w:rPr>
          <w:szCs w:val="22"/>
        </w:rPr>
        <w:t>a</w:t>
      </w:r>
      <w:r w:rsidRPr="00EC43AA">
        <w:rPr>
          <w:szCs w:val="22"/>
        </w:rPr>
        <w:t>tions impliquent des travailleurs en quête d'emploi, attirés par les deux grands pôles de développement que sont, d'une part, les pays d'Europe occidentale et, d'autre part, les États-Unis et le Canada. Ces mouv</w:t>
      </w:r>
      <w:r w:rsidRPr="00EC43AA">
        <w:rPr>
          <w:szCs w:val="22"/>
        </w:rPr>
        <w:t>e</w:t>
      </w:r>
      <w:r w:rsidRPr="00EC43AA">
        <w:rPr>
          <w:szCs w:val="22"/>
        </w:rPr>
        <w:t>ments répondent aux besoins des pays hôtes et de leurs employeurs autant qu'aux difficultés économiques qui poussent les migrants hors de leur terre natale. En Europe de l'Ouest, les travailleurs étrangers deviennent très tôt une composante essentielle de la force de travail — une composante qu'on ne veut c</w:t>
      </w:r>
      <w:r w:rsidRPr="00EC43AA">
        <w:rPr>
          <w:szCs w:val="22"/>
        </w:rPr>
        <w:t>e</w:t>
      </w:r>
      <w:r w:rsidRPr="00EC43AA">
        <w:rPr>
          <w:szCs w:val="22"/>
        </w:rPr>
        <w:t>pendant en aucun cas intégrer aux populations nationales. Aussi, les politiques d'immigration él</w:t>
      </w:r>
      <w:r w:rsidRPr="00EC43AA">
        <w:rPr>
          <w:szCs w:val="22"/>
        </w:rPr>
        <w:t>a</w:t>
      </w:r>
      <w:r w:rsidRPr="00EC43AA">
        <w:rPr>
          <w:szCs w:val="22"/>
        </w:rPr>
        <w:t>borées par ces pays depuis 1945 sont-elles autant d'efforts pour contrôler l'importance et la compos</w:t>
      </w:r>
      <w:r w:rsidRPr="00EC43AA">
        <w:rPr>
          <w:szCs w:val="22"/>
        </w:rPr>
        <w:t>i</w:t>
      </w:r>
      <w:r w:rsidRPr="00EC43AA">
        <w:rPr>
          <w:szCs w:val="22"/>
        </w:rPr>
        <w:t>tion du flux migratoire, ainsi que l'impact politique et s</w:t>
      </w:r>
      <w:r w:rsidRPr="00EC43AA">
        <w:rPr>
          <w:szCs w:val="22"/>
        </w:rPr>
        <w:t>o</w:t>
      </w:r>
      <w:r w:rsidRPr="00EC43AA">
        <w:rPr>
          <w:szCs w:val="22"/>
        </w:rPr>
        <w:t xml:space="preserve">cial de cette présence étrangère. Dans ce but, la plupart des pays hôtes ont très tôt, et de plus en plus, fait appel à une </w:t>
      </w:r>
      <w:r>
        <w:rPr>
          <w:szCs w:val="22"/>
        </w:rPr>
        <w:t>main-d’œuvre</w:t>
      </w:r>
      <w:r w:rsidRPr="00EC43AA">
        <w:rPr>
          <w:szCs w:val="22"/>
        </w:rPr>
        <w:t xml:space="preserve"> temporaire (on parle de travailleurs hôtes ou </w:t>
      </w:r>
      <w:r w:rsidRPr="00EC43AA">
        <w:rPr>
          <w:i/>
          <w:iCs/>
          <w:szCs w:val="22"/>
        </w:rPr>
        <w:t>« guest wo</w:t>
      </w:r>
      <w:r w:rsidRPr="00EC43AA">
        <w:rPr>
          <w:i/>
          <w:iCs/>
          <w:szCs w:val="22"/>
        </w:rPr>
        <w:t>r</w:t>
      </w:r>
      <w:r w:rsidRPr="00EC43AA">
        <w:rPr>
          <w:i/>
          <w:iCs/>
          <w:szCs w:val="22"/>
        </w:rPr>
        <w:t xml:space="preserve">kers »), </w:t>
      </w:r>
      <w:r w:rsidRPr="00EC43AA">
        <w:rPr>
          <w:szCs w:val="22"/>
        </w:rPr>
        <w:t>souvent liée par contrat à un type d'emploi spéc</w:t>
      </w:r>
      <w:r w:rsidRPr="00EC43AA">
        <w:rPr>
          <w:szCs w:val="22"/>
        </w:rPr>
        <w:t>i</w:t>
      </w:r>
      <w:r w:rsidRPr="00EC43AA">
        <w:rPr>
          <w:szCs w:val="22"/>
        </w:rPr>
        <w:t>fique et dont les droits sur le marché du travail, tout comme les droits civils, sont soigneus</w:t>
      </w:r>
      <w:r w:rsidRPr="00EC43AA">
        <w:rPr>
          <w:szCs w:val="22"/>
        </w:rPr>
        <w:t>e</w:t>
      </w:r>
      <w:r w:rsidRPr="00EC43AA">
        <w:rPr>
          <w:szCs w:val="22"/>
        </w:rPr>
        <w:t>ment restreints</w:t>
      </w:r>
      <w:r>
        <w:rPr>
          <w:szCs w:val="22"/>
          <w:vertAlign w:val="superscript"/>
        </w:rPr>
        <w:t> </w:t>
      </w:r>
      <w:r>
        <w:rPr>
          <w:rStyle w:val="Appelnotedebasdep"/>
        </w:rPr>
        <w:footnoteReference w:id="642"/>
      </w:r>
      <w:r w:rsidRPr="00EC43AA">
        <w:rPr>
          <w:szCs w:val="22"/>
        </w:rPr>
        <w:t>.</w:t>
      </w:r>
    </w:p>
    <w:p w:rsidR="00AD690E" w:rsidRPr="00EC43AA" w:rsidRDefault="00AD690E" w:rsidP="00AD690E">
      <w:pPr>
        <w:spacing w:before="120" w:after="120"/>
        <w:jc w:val="both"/>
      </w:pPr>
      <w:r w:rsidRPr="00EC43AA">
        <w:rPr>
          <w:szCs w:val="22"/>
        </w:rPr>
        <w:t>Si l'Europe choisit d'exclure les nouveaux immigrants de toute pa</w:t>
      </w:r>
      <w:r w:rsidRPr="00EC43AA">
        <w:rPr>
          <w:szCs w:val="22"/>
        </w:rPr>
        <w:t>r</w:t>
      </w:r>
      <w:r w:rsidRPr="00EC43AA">
        <w:rPr>
          <w:szCs w:val="22"/>
        </w:rPr>
        <w:t>ticipation à la vie civique, les États-Unis préfèrent, quant à eux, refo</w:t>
      </w:r>
      <w:r w:rsidRPr="00EC43AA">
        <w:rPr>
          <w:szCs w:val="22"/>
        </w:rPr>
        <w:t>u</w:t>
      </w:r>
      <w:r w:rsidRPr="00EC43AA">
        <w:rPr>
          <w:szCs w:val="22"/>
        </w:rPr>
        <w:t>ler à leurs frontières les éléments jugés non assimilables. Ils maintie</w:t>
      </w:r>
      <w:r w:rsidRPr="00EC43AA">
        <w:rPr>
          <w:szCs w:val="22"/>
        </w:rPr>
        <w:t>n</w:t>
      </w:r>
      <w:r w:rsidRPr="00EC43AA">
        <w:rPr>
          <w:szCs w:val="22"/>
        </w:rPr>
        <w:t>nent en effet une politique de porte étroite, appliquant la fameuse « loi des quotas » qui, depuis 1924, limite le nombre d'e</w:t>
      </w:r>
      <w:r w:rsidRPr="00EC43AA">
        <w:rPr>
          <w:szCs w:val="22"/>
        </w:rPr>
        <w:t>n</w:t>
      </w:r>
      <w:r w:rsidRPr="00EC43AA">
        <w:rPr>
          <w:szCs w:val="22"/>
        </w:rPr>
        <w:t>trées au pays à un niveau minimal et protège le statu quo de la composition ethnique de la popul</w:t>
      </w:r>
      <w:r w:rsidRPr="00EC43AA">
        <w:rPr>
          <w:szCs w:val="22"/>
        </w:rPr>
        <w:t>a</w:t>
      </w:r>
      <w:r w:rsidRPr="00EC43AA">
        <w:rPr>
          <w:szCs w:val="22"/>
        </w:rPr>
        <w:t>tion américaine. Cette politique sera quelque peu assouplie par la réforme de 1965, au moment où le Congrès américain abando</w:t>
      </w:r>
      <w:r w:rsidRPr="00EC43AA">
        <w:rPr>
          <w:szCs w:val="22"/>
        </w:rPr>
        <w:t>n</w:t>
      </w:r>
      <w:r w:rsidRPr="00EC43AA">
        <w:rPr>
          <w:szCs w:val="22"/>
        </w:rPr>
        <w:t>ne l'idéal d'assimilation culturelle qui ju</w:t>
      </w:r>
      <w:r w:rsidRPr="00EC43AA">
        <w:rPr>
          <w:szCs w:val="22"/>
        </w:rPr>
        <w:t>s</w:t>
      </w:r>
      <w:r w:rsidRPr="00EC43AA">
        <w:rPr>
          <w:szCs w:val="22"/>
        </w:rPr>
        <w:t>que-là est le sien.</w:t>
      </w:r>
    </w:p>
    <w:p w:rsidR="00AD690E" w:rsidRPr="00EC43AA" w:rsidRDefault="00AD690E" w:rsidP="00AD690E">
      <w:pPr>
        <w:spacing w:before="120" w:after="120"/>
        <w:jc w:val="both"/>
      </w:pPr>
      <w:r w:rsidRPr="00EC43AA">
        <w:rPr>
          <w:szCs w:val="22"/>
        </w:rPr>
        <w:t>Pendant que les migrations internationales prennent de l'ampleur aux rythmes des développements européens et nord-américains, des phénomènes d'une autre nature retiennent de plus en plus l'attention des gouvernements occidentaux. À pa</w:t>
      </w:r>
      <w:r w:rsidRPr="00EC43AA">
        <w:rPr>
          <w:szCs w:val="22"/>
        </w:rPr>
        <w:t>r</w:t>
      </w:r>
      <w:r w:rsidRPr="00EC43AA">
        <w:rPr>
          <w:szCs w:val="22"/>
        </w:rPr>
        <w:t>tir des années 60, en même temps que se poursuit le pr</w:t>
      </w:r>
      <w:r w:rsidRPr="00EC43AA">
        <w:rPr>
          <w:szCs w:val="22"/>
        </w:rPr>
        <w:t>o</w:t>
      </w:r>
      <w:r w:rsidRPr="00EC43AA">
        <w:rPr>
          <w:szCs w:val="22"/>
        </w:rPr>
        <w:t>cessus de décolonisation en Afrique et en Asie, des région</w:t>
      </w:r>
      <w:r w:rsidRPr="00EC43AA">
        <w:rPr>
          <w:szCs w:val="22"/>
        </w:rPr>
        <w:t>a</w:t>
      </w:r>
      <w:r w:rsidRPr="00EC43AA">
        <w:rPr>
          <w:szCs w:val="22"/>
        </w:rPr>
        <w:t>lismes et des nationalismes renaissent ou s'affirment, en Europe, cette fois : basque, corse, breton, gallois, écossais ou occ</w:t>
      </w:r>
      <w:r w:rsidRPr="00EC43AA">
        <w:rPr>
          <w:szCs w:val="22"/>
        </w:rPr>
        <w:t>i</w:t>
      </w:r>
      <w:r w:rsidRPr="00EC43AA">
        <w:rPr>
          <w:szCs w:val="22"/>
        </w:rPr>
        <w:t>tan, mouvements de nature et d'importance diverses, mais qui tous révèlent des failles dans l'unité des États où ils se m</w:t>
      </w:r>
      <w:r w:rsidRPr="00EC43AA">
        <w:rPr>
          <w:szCs w:val="22"/>
        </w:rPr>
        <w:t>a</w:t>
      </w:r>
      <w:r w:rsidRPr="00EC43AA">
        <w:rPr>
          <w:szCs w:val="22"/>
        </w:rPr>
        <w:t>nifestent, en dépit du long travail de centralisation et d'un</w:t>
      </w:r>
      <w:r w:rsidRPr="00EC43AA">
        <w:rPr>
          <w:szCs w:val="22"/>
        </w:rPr>
        <w:t>i</w:t>
      </w:r>
      <w:r w:rsidRPr="00EC43AA">
        <w:rPr>
          <w:szCs w:val="22"/>
        </w:rPr>
        <w:t>formisation que ces derniers ont pu acco</w:t>
      </w:r>
      <w:r w:rsidRPr="00EC43AA">
        <w:rPr>
          <w:szCs w:val="22"/>
        </w:rPr>
        <w:t>m</w:t>
      </w:r>
      <w:r w:rsidRPr="00EC43AA">
        <w:rPr>
          <w:szCs w:val="22"/>
        </w:rPr>
        <w:t>plir.</w:t>
      </w:r>
    </w:p>
    <w:p w:rsidR="00AD690E" w:rsidRDefault="00AD690E" w:rsidP="00AD690E">
      <w:pPr>
        <w:spacing w:before="120" w:after="120"/>
        <w:jc w:val="both"/>
      </w:pPr>
      <w:r>
        <w:t>[385]</w:t>
      </w:r>
    </w:p>
    <w:p w:rsidR="00AD690E" w:rsidRPr="00EC43AA" w:rsidRDefault="00AD690E" w:rsidP="00AD690E">
      <w:pPr>
        <w:spacing w:before="120" w:after="120"/>
        <w:jc w:val="both"/>
      </w:pPr>
      <w:r w:rsidRPr="00EC43AA">
        <w:rPr>
          <w:szCs w:val="22"/>
        </w:rPr>
        <w:t>L'Amérique du Nord paraît, elle au</w:t>
      </w:r>
      <w:r>
        <w:rPr>
          <w:szCs w:val="22"/>
        </w:rPr>
        <w:t>s</w:t>
      </w:r>
      <w:r w:rsidRPr="00EC43AA">
        <w:rPr>
          <w:szCs w:val="22"/>
        </w:rPr>
        <w:t>si, profondément tro</w:t>
      </w:r>
      <w:r w:rsidRPr="00EC43AA">
        <w:rPr>
          <w:szCs w:val="22"/>
        </w:rPr>
        <w:t>u</w:t>
      </w:r>
      <w:r w:rsidRPr="00EC43AA">
        <w:rPr>
          <w:szCs w:val="22"/>
        </w:rPr>
        <w:t>blée et parle de plus en plus de quête ou de crise d'identité</w:t>
      </w:r>
      <w:r>
        <w:rPr>
          <w:szCs w:val="22"/>
          <w:vertAlign w:val="superscript"/>
        </w:rPr>
        <w:t> </w:t>
      </w:r>
      <w:r>
        <w:rPr>
          <w:rStyle w:val="Appelnotedebasdep"/>
        </w:rPr>
        <w:footnoteReference w:id="643"/>
      </w:r>
      <w:r w:rsidRPr="00EC43AA">
        <w:rPr>
          <w:szCs w:val="22"/>
        </w:rPr>
        <w:t>. Aux États-Unis, c'est le « melting pot » qui est remis en cause : bien que les grandes migrations aient pris fin depuis près de quarante ans, les an</w:t>
      </w:r>
      <w:r w:rsidRPr="00EC43AA">
        <w:rPr>
          <w:szCs w:val="22"/>
        </w:rPr>
        <w:t>a</w:t>
      </w:r>
      <w:r w:rsidRPr="00EC43AA">
        <w:rPr>
          <w:szCs w:val="22"/>
        </w:rPr>
        <w:t>lystes de la société américaine doivent reconnaître qu'aucune des thé</w:t>
      </w:r>
      <w:r w:rsidRPr="00EC43AA">
        <w:rPr>
          <w:szCs w:val="22"/>
        </w:rPr>
        <w:t>o</w:t>
      </w:r>
      <w:r w:rsidRPr="00EC43AA">
        <w:rPr>
          <w:szCs w:val="22"/>
        </w:rPr>
        <w:t>ries élaborées pour e</w:t>
      </w:r>
      <w:r w:rsidRPr="00EC43AA">
        <w:rPr>
          <w:szCs w:val="22"/>
        </w:rPr>
        <w:t>x</w:t>
      </w:r>
      <w:r w:rsidRPr="00EC43AA">
        <w:rPr>
          <w:szCs w:val="22"/>
        </w:rPr>
        <w:t>pliquer l'assimilation des immigrants, que ce soit celle du fameux creuset ou celle, plus ancienne, de la conformité au m</w:t>
      </w:r>
      <w:r w:rsidRPr="00EC43AA">
        <w:rPr>
          <w:szCs w:val="22"/>
        </w:rPr>
        <w:t>o</w:t>
      </w:r>
      <w:r w:rsidRPr="00EC43AA">
        <w:rPr>
          <w:szCs w:val="22"/>
        </w:rPr>
        <w:t xml:space="preserve">dèle anglo-saxon </w:t>
      </w:r>
      <w:r w:rsidRPr="00EC43AA">
        <w:rPr>
          <w:i/>
          <w:iCs/>
          <w:szCs w:val="22"/>
        </w:rPr>
        <w:t xml:space="preserve">(anglo-conformity), </w:t>
      </w:r>
      <w:r w:rsidRPr="00EC43AA">
        <w:rPr>
          <w:szCs w:val="22"/>
        </w:rPr>
        <w:t>ne s'est avérée juste. Comme le démontrent Daniel Moynihan et Nathan Glazer, les Américains re</w:t>
      </w:r>
      <w:r w:rsidRPr="00EC43AA">
        <w:rPr>
          <w:szCs w:val="22"/>
        </w:rPr>
        <w:t>s</w:t>
      </w:r>
      <w:r w:rsidRPr="00EC43AA">
        <w:rPr>
          <w:szCs w:val="22"/>
        </w:rPr>
        <w:t>tent plutôt divisés suivant des lignes raciales, ethn</w:t>
      </w:r>
      <w:r w:rsidRPr="00EC43AA">
        <w:rPr>
          <w:szCs w:val="22"/>
        </w:rPr>
        <w:t>i</w:t>
      </w:r>
      <w:r w:rsidRPr="00EC43AA">
        <w:rPr>
          <w:szCs w:val="22"/>
        </w:rPr>
        <w:t>ques et religieuses qui ne semblent pas appelées à disparaître de sitôt</w:t>
      </w:r>
      <w:r>
        <w:rPr>
          <w:szCs w:val="22"/>
          <w:vertAlign w:val="superscript"/>
        </w:rPr>
        <w:t> </w:t>
      </w:r>
      <w:r>
        <w:rPr>
          <w:rStyle w:val="Appelnotedebasdep"/>
        </w:rPr>
        <w:footnoteReference w:id="644"/>
      </w:r>
      <w:r w:rsidRPr="00EC43AA">
        <w:rPr>
          <w:szCs w:val="22"/>
        </w:rPr>
        <w:t xml:space="preserve"> Mieux, ces m</w:t>
      </w:r>
      <w:r w:rsidRPr="00EC43AA">
        <w:rPr>
          <w:szCs w:val="22"/>
        </w:rPr>
        <w:t>i</w:t>
      </w:r>
      <w:r w:rsidRPr="00EC43AA">
        <w:rPr>
          <w:szCs w:val="22"/>
        </w:rPr>
        <w:t>norités, qui forment pourtant une proportion considérable de la pop</w:t>
      </w:r>
      <w:r w:rsidRPr="00EC43AA">
        <w:rPr>
          <w:szCs w:val="22"/>
        </w:rPr>
        <w:t>u</w:t>
      </w:r>
      <w:r w:rsidRPr="00EC43AA">
        <w:rPr>
          <w:szCs w:val="22"/>
        </w:rPr>
        <w:t>lation américaine, réclament voix au chapitre et revendiquent déso</w:t>
      </w:r>
      <w:r w:rsidRPr="00EC43AA">
        <w:rPr>
          <w:szCs w:val="22"/>
        </w:rPr>
        <w:t>r</w:t>
      </w:r>
      <w:r w:rsidRPr="00EC43AA">
        <w:rPr>
          <w:szCs w:val="22"/>
        </w:rPr>
        <w:t>mais leur diff</w:t>
      </w:r>
      <w:r w:rsidRPr="00EC43AA">
        <w:rPr>
          <w:szCs w:val="22"/>
        </w:rPr>
        <w:t>é</w:t>
      </w:r>
      <w:r w:rsidRPr="00EC43AA">
        <w:rPr>
          <w:szCs w:val="22"/>
        </w:rPr>
        <w:t xml:space="preserve">rence. La lutte des Noirs américains pour leurs droits civils </w:t>
      </w:r>
      <w:r w:rsidRPr="00EC43AA">
        <w:rPr>
          <w:i/>
          <w:iCs/>
          <w:szCs w:val="22"/>
        </w:rPr>
        <w:t xml:space="preserve">(Civil Rights Movement) </w:t>
      </w:r>
      <w:r w:rsidRPr="00EC43AA">
        <w:rPr>
          <w:szCs w:val="22"/>
        </w:rPr>
        <w:t>et le mouvement n</w:t>
      </w:r>
      <w:r w:rsidRPr="00EC43AA">
        <w:rPr>
          <w:szCs w:val="22"/>
        </w:rPr>
        <w:t>a</w:t>
      </w:r>
      <w:r w:rsidRPr="00EC43AA">
        <w:rPr>
          <w:szCs w:val="22"/>
        </w:rPr>
        <w:t xml:space="preserve">tionaliste noir </w:t>
      </w:r>
      <w:r w:rsidRPr="00EC43AA">
        <w:rPr>
          <w:i/>
          <w:iCs/>
          <w:szCs w:val="22"/>
        </w:rPr>
        <w:t xml:space="preserve">(Black Power) </w:t>
      </w:r>
      <w:r w:rsidRPr="00EC43AA">
        <w:rPr>
          <w:szCs w:val="22"/>
        </w:rPr>
        <w:t>ont souvent été vus comme d'importants catalyseurs de ce phénomène que l'on appelle « éveil » ou « r</w:t>
      </w:r>
      <w:r w:rsidRPr="00EC43AA">
        <w:rPr>
          <w:szCs w:val="22"/>
        </w:rPr>
        <w:t>é</w:t>
      </w:r>
      <w:r w:rsidRPr="00EC43AA">
        <w:rPr>
          <w:szCs w:val="22"/>
        </w:rPr>
        <w:t>veil » de l'ethnicité. De fait, à leur suite, plusieurs groupes n</w:t>
      </w:r>
      <w:r w:rsidRPr="00EC43AA">
        <w:rPr>
          <w:szCs w:val="22"/>
        </w:rPr>
        <w:t>a</w:t>
      </w:r>
      <w:r w:rsidRPr="00EC43AA">
        <w:rPr>
          <w:szCs w:val="22"/>
        </w:rPr>
        <w:t>tionaux ou religieux prennent conscience de leur rôle et de leur sort en tant que collectivités dites minoritaires, de même que du statut socio-économique lié aux partic</w:t>
      </w:r>
      <w:r w:rsidRPr="00EC43AA">
        <w:rPr>
          <w:szCs w:val="22"/>
        </w:rPr>
        <w:t>u</w:t>
      </w:r>
      <w:r w:rsidRPr="00EC43AA">
        <w:rPr>
          <w:szCs w:val="22"/>
        </w:rPr>
        <w:t>larités de co</w:t>
      </w:r>
      <w:r w:rsidRPr="00EC43AA">
        <w:rPr>
          <w:szCs w:val="22"/>
        </w:rPr>
        <w:t>u</w:t>
      </w:r>
      <w:r w:rsidRPr="00EC43AA">
        <w:rPr>
          <w:szCs w:val="22"/>
        </w:rPr>
        <w:t xml:space="preserve">leur ou de culte qui les distinguent du groupe </w:t>
      </w:r>
      <w:r w:rsidRPr="00EC43AA">
        <w:rPr>
          <w:i/>
          <w:iCs/>
          <w:szCs w:val="22"/>
        </w:rPr>
        <w:t>WASP (White Ang</w:t>
      </w:r>
      <w:r>
        <w:rPr>
          <w:i/>
          <w:iCs/>
          <w:szCs w:val="22"/>
        </w:rPr>
        <w:t>l</w:t>
      </w:r>
      <w:r w:rsidRPr="00EC43AA">
        <w:rPr>
          <w:i/>
          <w:iCs/>
          <w:szCs w:val="22"/>
        </w:rPr>
        <w:t xml:space="preserve">o-Saxon Protestant) </w:t>
      </w:r>
      <w:r w:rsidRPr="00EC43AA">
        <w:rPr>
          <w:szCs w:val="22"/>
        </w:rPr>
        <w:t xml:space="preserve">dominant. C'est ainsi que naissent, par exemple, la </w:t>
      </w:r>
      <w:r w:rsidRPr="00EC43AA">
        <w:rPr>
          <w:i/>
          <w:iCs/>
          <w:szCs w:val="22"/>
        </w:rPr>
        <w:t>Jewish D</w:t>
      </w:r>
      <w:r>
        <w:rPr>
          <w:i/>
          <w:iCs/>
          <w:szCs w:val="22"/>
        </w:rPr>
        <w:t>e</w:t>
      </w:r>
      <w:r w:rsidRPr="00EC43AA">
        <w:rPr>
          <w:i/>
          <w:iCs/>
          <w:szCs w:val="22"/>
        </w:rPr>
        <w:t xml:space="preserve">fense League </w:t>
      </w:r>
      <w:r w:rsidRPr="00EC43AA">
        <w:rPr>
          <w:szCs w:val="22"/>
        </w:rPr>
        <w:t xml:space="preserve">ou </w:t>
      </w:r>
      <w:r>
        <w:rPr>
          <w:i/>
          <w:iCs/>
          <w:szCs w:val="22"/>
        </w:rPr>
        <w:t>I</w:t>
      </w:r>
      <w:r w:rsidRPr="00EC43AA">
        <w:rPr>
          <w:i/>
          <w:iCs/>
          <w:szCs w:val="22"/>
        </w:rPr>
        <w:t xml:space="preserve">ltalian American Civil Rights League, </w:t>
      </w:r>
      <w:r w:rsidRPr="00EC43AA">
        <w:rPr>
          <w:szCs w:val="22"/>
        </w:rPr>
        <w:t>dest</w:t>
      </w:r>
      <w:r w:rsidRPr="00EC43AA">
        <w:rPr>
          <w:szCs w:val="22"/>
        </w:rPr>
        <w:t>i</w:t>
      </w:r>
      <w:r w:rsidRPr="00EC43AA">
        <w:rPr>
          <w:szCs w:val="22"/>
        </w:rPr>
        <w:t>nées à protéger leurs membres contre toute forme de discrimination et à renforcer la solidarité et le sentiment d'appart</w:t>
      </w:r>
      <w:r w:rsidRPr="00EC43AA">
        <w:rPr>
          <w:szCs w:val="22"/>
        </w:rPr>
        <w:t>e</w:t>
      </w:r>
      <w:r w:rsidRPr="00EC43AA">
        <w:rPr>
          <w:szCs w:val="22"/>
        </w:rPr>
        <w:t>nance ethnique. Des organismes semblables sont également formés chez les communautés plus récentes, celles des Chicanos et des Pot</w:t>
      </w:r>
      <w:r w:rsidRPr="00EC43AA">
        <w:rPr>
          <w:szCs w:val="22"/>
        </w:rPr>
        <w:t>o</w:t>
      </w:r>
      <w:r w:rsidRPr="00EC43AA">
        <w:rPr>
          <w:szCs w:val="22"/>
        </w:rPr>
        <w:t>ricains, notamment. Bientôt, cet éveil de l'ethnicité est stimulé par une immigration modérée mais suffisante pour donner un nouveau visage à la pluralité américaine, redéfini</w:t>
      </w:r>
      <w:r w:rsidRPr="00EC43AA">
        <w:rPr>
          <w:szCs w:val="22"/>
        </w:rPr>
        <w:t>s</w:t>
      </w:r>
      <w:r w:rsidRPr="00EC43AA">
        <w:rPr>
          <w:szCs w:val="22"/>
        </w:rPr>
        <w:t>sant une géographie où, encore une fois, lignes de classe et divisions ethniques sont inextricabl</w:t>
      </w:r>
      <w:r w:rsidRPr="00EC43AA">
        <w:rPr>
          <w:szCs w:val="22"/>
        </w:rPr>
        <w:t>e</w:t>
      </w:r>
      <w:r w:rsidRPr="00EC43AA">
        <w:rPr>
          <w:szCs w:val="22"/>
        </w:rPr>
        <w:t>ment liées.</w:t>
      </w:r>
    </w:p>
    <w:p w:rsidR="00AD690E" w:rsidRDefault="00AD690E" w:rsidP="00AD690E">
      <w:pPr>
        <w:spacing w:before="120" w:after="120"/>
        <w:jc w:val="both"/>
        <w:rPr>
          <w:szCs w:val="22"/>
        </w:rPr>
      </w:pPr>
    </w:p>
    <w:p w:rsidR="00AD690E" w:rsidRPr="00EC43AA" w:rsidRDefault="00AD690E" w:rsidP="00AD690E">
      <w:pPr>
        <w:pStyle w:val="planche"/>
      </w:pPr>
      <w:r w:rsidRPr="00EC43AA">
        <w:t xml:space="preserve">LE </w:t>
      </w:r>
      <w:r>
        <w:t>Canada</w:t>
      </w:r>
      <w:r>
        <w:br/>
      </w:r>
      <w:r w:rsidRPr="00EC43AA">
        <w:t>VERS LE MULTICULTURALISME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Plusieurs facteurs vont amener la société canadienne à prendre conscience elle aussi de sa diversité ethnoculturelle. Sans do</w:t>
      </w:r>
      <w:r w:rsidRPr="00EC43AA">
        <w:rPr>
          <w:szCs w:val="22"/>
        </w:rPr>
        <w:t>u</w:t>
      </w:r>
      <w:r w:rsidRPr="00EC43AA">
        <w:rPr>
          <w:szCs w:val="22"/>
        </w:rPr>
        <w:t>te, les activités des minorités ethniques américaines ont-elles, outre-frontière, un effet d'entra</w:t>
      </w:r>
      <w:r w:rsidRPr="00EC43AA">
        <w:rPr>
          <w:szCs w:val="22"/>
        </w:rPr>
        <w:t>î</w:t>
      </w:r>
      <w:r w:rsidRPr="00EC43AA">
        <w:rPr>
          <w:szCs w:val="22"/>
        </w:rPr>
        <w:t>nement ; on ne</w:t>
      </w:r>
      <w:r>
        <w:rPr>
          <w:szCs w:val="22"/>
        </w:rPr>
        <w:t xml:space="preserve"> </w:t>
      </w:r>
      <w:r>
        <w:rPr>
          <w:szCs w:val="18"/>
        </w:rPr>
        <w:t>[</w:t>
      </w:r>
      <w:r w:rsidRPr="00EC43AA">
        <w:rPr>
          <w:szCs w:val="18"/>
        </w:rPr>
        <w:t>386</w:t>
      </w:r>
      <w:r>
        <w:rPr>
          <w:szCs w:val="18"/>
        </w:rPr>
        <w:t xml:space="preserve">] </w:t>
      </w:r>
      <w:r w:rsidRPr="00EC43AA">
        <w:rPr>
          <w:szCs w:val="22"/>
        </w:rPr>
        <w:t xml:space="preserve">retrouve toutefois pas du côté canadien l'équivalent des </w:t>
      </w:r>
      <w:r w:rsidRPr="00EC43AA">
        <w:rPr>
          <w:i/>
          <w:iCs/>
          <w:szCs w:val="22"/>
        </w:rPr>
        <w:t>d</w:t>
      </w:r>
      <w:r>
        <w:rPr>
          <w:i/>
          <w:iCs/>
          <w:szCs w:val="22"/>
        </w:rPr>
        <w:t>e</w:t>
      </w:r>
      <w:r w:rsidRPr="00EC43AA">
        <w:rPr>
          <w:i/>
          <w:iCs/>
          <w:szCs w:val="22"/>
        </w:rPr>
        <w:t xml:space="preserve">fense leagues </w:t>
      </w:r>
      <w:r w:rsidRPr="00EC43AA">
        <w:rPr>
          <w:szCs w:val="22"/>
        </w:rPr>
        <w:t>— quoique, pour sa part, la communauté juive se soit rapidement dotée d'organismes de</w:t>
      </w:r>
      <w:r w:rsidRPr="00EC43AA">
        <w:rPr>
          <w:szCs w:val="22"/>
        </w:rPr>
        <w:t>s</w:t>
      </w:r>
      <w:r w:rsidRPr="00EC43AA">
        <w:rPr>
          <w:szCs w:val="22"/>
        </w:rPr>
        <w:t>tinés à protéger les droits de ses corel</w:t>
      </w:r>
      <w:r w:rsidRPr="00EC43AA">
        <w:rPr>
          <w:szCs w:val="22"/>
        </w:rPr>
        <w:t>i</w:t>
      </w:r>
      <w:r w:rsidRPr="00EC43AA">
        <w:rPr>
          <w:szCs w:val="22"/>
        </w:rPr>
        <w:t>gionnaires au Canada et à l'étranger et ce, bien avant les années 60. Il n'existe pas non plus d'o</w:t>
      </w:r>
      <w:r w:rsidRPr="00EC43AA">
        <w:rPr>
          <w:szCs w:val="22"/>
        </w:rPr>
        <w:t>r</w:t>
      </w:r>
      <w:r w:rsidRPr="00EC43AA">
        <w:rPr>
          <w:szCs w:val="22"/>
        </w:rPr>
        <w:t>ganisation qui intègre à la fois les revendications de classe et les r</w:t>
      </w:r>
      <w:r w:rsidRPr="00EC43AA">
        <w:rPr>
          <w:szCs w:val="22"/>
        </w:rPr>
        <w:t>e</w:t>
      </w:r>
      <w:r w:rsidRPr="00EC43AA">
        <w:rPr>
          <w:szCs w:val="22"/>
        </w:rPr>
        <w:t>vendications ethniques ou r</w:t>
      </w:r>
      <w:r w:rsidRPr="00EC43AA">
        <w:rPr>
          <w:szCs w:val="22"/>
        </w:rPr>
        <w:t>a</w:t>
      </w:r>
      <w:r w:rsidRPr="00EC43AA">
        <w:rPr>
          <w:szCs w:val="22"/>
        </w:rPr>
        <w:t>ciales d'un même groupe, de la façon dont le font celles du mo</w:t>
      </w:r>
      <w:r w:rsidRPr="00EC43AA">
        <w:rPr>
          <w:szCs w:val="22"/>
        </w:rPr>
        <w:t>u</w:t>
      </w:r>
      <w:r w:rsidRPr="00EC43AA">
        <w:rPr>
          <w:szCs w:val="22"/>
        </w:rPr>
        <w:t>vement noir américain. Cela n'empêche pas que plusieurs des manifestations immigrantes qui ont lieu au Canada s'in</w:t>
      </w:r>
      <w:r w:rsidRPr="00EC43AA">
        <w:rPr>
          <w:szCs w:val="22"/>
        </w:rPr>
        <w:t>s</w:t>
      </w:r>
      <w:r w:rsidRPr="00EC43AA">
        <w:rPr>
          <w:szCs w:val="22"/>
        </w:rPr>
        <w:t>pirent fort</w:t>
      </w:r>
      <w:r w:rsidRPr="00EC43AA">
        <w:rPr>
          <w:szCs w:val="22"/>
        </w:rPr>
        <w:t>e</w:t>
      </w:r>
      <w:r w:rsidRPr="00EC43AA">
        <w:rPr>
          <w:szCs w:val="22"/>
        </w:rPr>
        <w:t>ment de ce mouvement. On assiste bel et bien, cependant, à partir des années 60, à une multiplication des ass</w:t>
      </w:r>
      <w:r w:rsidRPr="00EC43AA">
        <w:rPr>
          <w:szCs w:val="22"/>
        </w:rPr>
        <w:t>o</w:t>
      </w:r>
      <w:r w:rsidRPr="00EC43AA">
        <w:rPr>
          <w:szCs w:val="22"/>
        </w:rPr>
        <w:t>ciations ethniques, dont certaines sont créées sur la base d'intérêts communautaires, alors que d'autres répondent d'abord à des intérêts de classe. En fait, l'e</w:t>
      </w:r>
      <w:r w:rsidRPr="00EC43AA">
        <w:rPr>
          <w:szCs w:val="22"/>
        </w:rPr>
        <w:t>x</w:t>
      </w:r>
      <w:r w:rsidRPr="00EC43AA">
        <w:rPr>
          <w:szCs w:val="22"/>
        </w:rPr>
        <w:t>pression de la « nouvelle ethnicité » prend des fo</w:t>
      </w:r>
      <w:r w:rsidRPr="00EC43AA">
        <w:rPr>
          <w:szCs w:val="22"/>
        </w:rPr>
        <w:t>r</w:t>
      </w:r>
      <w:r w:rsidRPr="00EC43AA">
        <w:rPr>
          <w:szCs w:val="22"/>
        </w:rPr>
        <w:t>mes très variées : elle est plus diffuse, peut-être, moins organisée au Canada qu'elle ne l'est aux États-Unis et mêle souvent, de façon plus ou moins conscie</w:t>
      </w:r>
      <w:r w:rsidRPr="00EC43AA">
        <w:rPr>
          <w:szCs w:val="22"/>
        </w:rPr>
        <w:t>n</w:t>
      </w:r>
      <w:r w:rsidRPr="00EC43AA">
        <w:rPr>
          <w:szCs w:val="22"/>
        </w:rPr>
        <w:t>te, ces deux types de revendication. Nous revie</w:t>
      </w:r>
      <w:r w:rsidRPr="00EC43AA">
        <w:rPr>
          <w:szCs w:val="22"/>
        </w:rPr>
        <w:t>n</w:t>
      </w:r>
      <w:r w:rsidRPr="00EC43AA">
        <w:rPr>
          <w:szCs w:val="22"/>
        </w:rPr>
        <w:t>drons plus loin sur cet aspect particulier du phénomène. Par ailleurs, ce dernier est, dès le départ, largement stimulé par l'immigr</w:t>
      </w:r>
      <w:r w:rsidRPr="00EC43AA">
        <w:rPr>
          <w:szCs w:val="22"/>
        </w:rPr>
        <w:t>a</w:t>
      </w:r>
      <w:r w:rsidRPr="00EC43AA">
        <w:rPr>
          <w:szCs w:val="22"/>
        </w:rPr>
        <w:t>tion qui reprend avec force au lendemain de la Deuxième Guerre mondiale. Non seulement cette immigration ranime-t-elle les anciens courants migratoires et les communautés qui s'étaient formées avant la Dépression, mais elle a</w:t>
      </w:r>
      <w:r w:rsidRPr="00EC43AA">
        <w:rPr>
          <w:szCs w:val="22"/>
        </w:rPr>
        <w:t>c</w:t>
      </w:r>
      <w:r w:rsidRPr="00EC43AA">
        <w:rPr>
          <w:szCs w:val="22"/>
        </w:rPr>
        <w:t>centue la pluralité canadienne et crée une diversité nouvelle, plus év</w:t>
      </w:r>
      <w:r w:rsidRPr="00EC43AA">
        <w:rPr>
          <w:szCs w:val="22"/>
        </w:rPr>
        <w:t>i</w:t>
      </w:r>
      <w:r w:rsidRPr="00EC43AA">
        <w:rPr>
          <w:szCs w:val="22"/>
        </w:rPr>
        <w:t>dente. D'une part, en effet, une proportion croissante de ces nouveaux immigrants sont des Noirs et des Asiatiques ; d'autre part, comme to</w:t>
      </w:r>
      <w:r w:rsidRPr="00EC43AA">
        <w:rPr>
          <w:szCs w:val="22"/>
        </w:rPr>
        <w:t>u</w:t>
      </w:r>
      <w:r w:rsidRPr="00EC43AA">
        <w:rPr>
          <w:szCs w:val="22"/>
        </w:rPr>
        <w:t>te immigration qui se fait dans les pays développés, ce courant se dir</w:t>
      </w:r>
      <w:r w:rsidRPr="00EC43AA">
        <w:rPr>
          <w:szCs w:val="22"/>
        </w:rPr>
        <w:t>i</w:t>
      </w:r>
      <w:r w:rsidRPr="00EC43AA">
        <w:rPr>
          <w:szCs w:val="22"/>
        </w:rPr>
        <w:t>ge principalement vers les grands ce</w:t>
      </w:r>
      <w:r w:rsidRPr="00EC43AA">
        <w:rPr>
          <w:szCs w:val="22"/>
        </w:rPr>
        <w:t>n</w:t>
      </w:r>
      <w:r w:rsidRPr="00EC43AA">
        <w:rPr>
          <w:szCs w:val="22"/>
        </w:rPr>
        <w:t>tres urbains, où est concentrée la majorité des emplois industriels : des villes comme Montréal, Va</w:t>
      </w:r>
      <w:r w:rsidRPr="00EC43AA">
        <w:rPr>
          <w:szCs w:val="22"/>
        </w:rPr>
        <w:t>n</w:t>
      </w:r>
      <w:r w:rsidRPr="00EC43AA">
        <w:rPr>
          <w:szCs w:val="22"/>
        </w:rPr>
        <w:t>couver et surtout Toronto, capitale de la plus industrialisée des pr</w:t>
      </w:r>
      <w:r w:rsidRPr="00EC43AA">
        <w:rPr>
          <w:szCs w:val="22"/>
        </w:rPr>
        <w:t>o</w:t>
      </w:r>
      <w:r w:rsidRPr="00EC43AA">
        <w:rPr>
          <w:szCs w:val="22"/>
        </w:rPr>
        <w:t>vinces canadiennes, voient ainsi se modifier sensiblement la compos</w:t>
      </w:r>
      <w:r w:rsidRPr="00EC43AA">
        <w:rPr>
          <w:szCs w:val="22"/>
        </w:rPr>
        <w:t>i</w:t>
      </w:r>
      <w:r w:rsidRPr="00EC43AA">
        <w:rPr>
          <w:szCs w:val="22"/>
        </w:rPr>
        <w:t>tion ethnique de leur pop</w:t>
      </w:r>
      <w:r w:rsidRPr="00EC43AA">
        <w:rPr>
          <w:szCs w:val="22"/>
        </w:rPr>
        <w:t>u</w:t>
      </w:r>
      <w:r w:rsidRPr="00EC43AA">
        <w:rPr>
          <w:szCs w:val="22"/>
        </w:rPr>
        <w:t>lation.</w:t>
      </w:r>
    </w:p>
    <w:p w:rsidR="00AD690E" w:rsidRPr="00EC43AA" w:rsidRDefault="00AD690E" w:rsidP="00AD690E">
      <w:pPr>
        <w:spacing w:before="120" w:after="120"/>
        <w:jc w:val="both"/>
      </w:pPr>
      <w:r w:rsidRPr="00EC43AA">
        <w:rPr>
          <w:szCs w:val="22"/>
        </w:rPr>
        <w:t>De plus en plus, les travailleurs qui immigrent au Canada ont un niveau de qualification et d'éducation beaucoup plus él</w:t>
      </w:r>
      <w:r w:rsidRPr="00EC43AA">
        <w:rPr>
          <w:szCs w:val="22"/>
        </w:rPr>
        <w:t>e</w:t>
      </w:r>
      <w:r w:rsidRPr="00EC43AA">
        <w:rPr>
          <w:szCs w:val="22"/>
        </w:rPr>
        <w:t>vé que dans le passé. Cela tient en partie à la spécificité de ce</w:t>
      </w:r>
      <w:r w:rsidRPr="00EC43AA">
        <w:rPr>
          <w:szCs w:val="22"/>
        </w:rPr>
        <w:t>r</w:t>
      </w:r>
      <w:r w:rsidRPr="00EC43AA">
        <w:rPr>
          <w:szCs w:val="22"/>
        </w:rPr>
        <w:t>taines des composantes du mouvement migratoire : ainsi, au cours des années 50 et 60, pl</w:t>
      </w:r>
      <w:r w:rsidRPr="00EC43AA">
        <w:rPr>
          <w:szCs w:val="22"/>
        </w:rPr>
        <w:t>u</w:t>
      </w:r>
      <w:r w:rsidRPr="00EC43AA">
        <w:rPr>
          <w:szCs w:val="22"/>
        </w:rPr>
        <w:t>sieurs groupes de réfugiés polit</w:t>
      </w:r>
      <w:r w:rsidRPr="00EC43AA">
        <w:rPr>
          <w:szCs w:val="22"/>
        </w:rPr>
        <w:t>i</w:t>
      </w:r>
      <w:r w:rsidRPr="00EC43AA">
        <w:rPr>
          <w:szCs w:val="22"/>
        </w:rPr>
        <w:t>ques, venus essentiellement d'Europe de l'Est et du Centre, s'établissent dans ce pays, parmi lesquels les pr</w:t>
      </w:r>
      <w:r w:rsidRPr="00EC43AA">
        <w:rPr>
          <w:szCs w:val="22"/>
        </w:rPr>
        <w:t>o</w:t>
      </w:r>
      <w:r w:rsidRPr="00EC43AA">
        <w:rPr>
          <w:szCs w:val="22"/>
        </w:rPr>
        <w:t>fessionnels sont nombreux ; mais, nous le verrons, cela est bien d</w:t>
      </w:r>
      <w:r w:rsidRPr="00EC43AA">
        <w:rPr>
          <w:szCs w:val="22"/>
        </w:rPr>
        <w:t>a</w:t>
      </w:r>
      <w:r w:rsidRPr="00EC43AA">
        <w:rPr>
          <w:szCs w:val="22"/>
        </w:rPr>
        <w:t>vantage le résultat de la politique canadienne d'immigration, à un moment (à partir de la seconde moitié des années 60) où l'on cherche à restructurer le marché du travail en favorisant l'entr</w:t>
      </w:r>
      <w:r>
        <w:rPr>
          <w:szCs w:val="22"/>
        </w:rPr>
        <w:t>ée d'o</w:t>
      </w:r>
      <w:r>
        <w:rPr>
          <w:szCs w:val="22"/>
        </w:rPr>
        <w:t>u</w:t>
      </w:r>
      <w:r>
        <w:rPr>
          <w:szCs w:val="22"/>
        </w:rPr>
        <w:t xml:space="preserve">vriers qualifiés et semi </w:t>
      </w:r>
      <w:r w:rsidRPr="00EC43AA">
        <w:rPr>
          <w:szCs w:val="22"/>
        </w:rPr>
        <w:t>qualifiés venant d'Europe du Sud et des Antilles br</w:t>
      </w:r>
      <w:r w:rsidRPr="00EC43AA">
        <w:rPr>
          <w:szCs w:val="22"/>
        </w:rPr>
        <w:t>i</w:t>
      </w:r>
      <w:r w:rsidRPr="00EC43AA">
        <w:rPr>
          <w:szCs w:val="22"/>
        </w:rPr>
        <w:t>tanniques. Quoi qu'il en soit, ces caract</w:t>
      </w:r>
      <w:r w:rsidRPr="00EC43AA">
        <w:rPr>
          <w:szCs w:val="22"/>
        </w:rPr>
        <w:t>é</w:t>
      </w:r>
      <w:r w:rsidRPr="00EC43AA">
        <w:rPr>
          <w:szCs w:val="22"/>
        </w:rPr>
        <w:t>ristiques d'ensemble font des nouveaux venus des él</w:t>
      </w:r>
      <w:r w:rsidRPr="00EC43AA">
        <w:rPr>
          <w:szCs w:val="22"/>
        </w:rPr>
        <w:t>é</w:t>
      </w:r>
      <w:r w:rsidRPr="00EC43AA">
        <w:rPr>
          <w:szCs w:val="22"/>
        </w:rPr>
        <w:t>ments rapidement intégrés aux couches les plus dyn</w:t>
      </w:r>
      <w:r w:rsidRPr="00EC43AA">
        <w:rPr>
          <w:szCs w:val="22"/>
        </w:rPr>
        <w:t>a</w:t>
      </w:r>
      <w:r w:rsidRPr="00EC43AA">
        <w:rPr>
          <w:szCs w:val="22"/>
        </w:rPr>
        <w:t>miques de la société canadienne. Dans les communautés qu'ils forment, ou auxquelles ils se joignent, ces immigrants partic</w:t>
      </w:r>
      <w:r w:rsidRPr="00EC43AA">
        <w:rPr>
          <w:szCs w:val="22"/>
        </w:rPr>
        <w:t>i</w:t>
      </w:r>
      <w:r w:rsidRPr="00EC43AA">
        <w:rPr>
          <w:szCs w:val="22"/>
        </w:rPr>
        <w:t>pent à un leadership plus articulé et plus prompt, sans doute, à form</w:t>
      </w:r>
      <w:r w:rsidRPr="00EC43AA">
        <w:rPr>
          <w:szCs w:val="22"/>
        </w:rPr>
        <w:t>u</w:t>
      </w:r>
      <w:r w:rsidRPr="00EC43AA">
        <w:rPr>
          <w:szCs w:val="22"/>
        </w:rPr>
        <w:t>ler des revendications. Leur venue n'est d'ailleurs pas sans créer que</w:t>
      </w:r>
      <w:r w:rsidRPr="00EC43AA">
        <w:rPr>
          <w:szCs w:val="22"/>
        </w:rPr>
        <w:t>l</w:t>
      </w:r>
      <w:r w:rsidRPr="00EC43AA">
        <w:rPr>
          <w:szCs w:val="22"/>
        </w:rPr>
        <w:t>ques frictions au</w:t>
      </w:r>
      <w:r>
        <w:rPr>
          <w:szCs w:val="22"/>
        </w:rPr>
        <w:t xml:space="preserve"> </w:t>
      </w:r>
      <w:r>
        <w:t xml:space="preserve">[387] </w:t>
      </w:r>
      <w:r w:rsidRPr="00EC43AA">
        <w:rPr>
          <w:szCs w:val="22"/>
        </w:rPr>
        <w:t>sein des communautés formées par des vagues d'immigration su</w:t>
      </w:r>
      <w:r w:rsidRPr="00EC43AA">
        <w:rPr>
          <w:szCs w:val="22"/>
        </w:rPr>
        <w:t>c</w:t>
      </w:r>
      <w:r w:rsidRPr="00EC43AA">
        <w:rPr>
          <w:szCs w:val="22"/>
        </w:rPr>
        <w:t>cessives</w:t>
      </w:r>
      <w:r>
        <w:rPr>
          <w:szCs w:val="22"/>
          <w:vertAlign w:val="superscript"/>
        </w:rPr>
        <w:t> </w:t>
      </w:r>
      <w:r>
        <w:rPr>
          <w:rStyle w:val="Appelnotedebasdep"/>
        </w:rPr>
        <w:footnoteReference w:id="645"/>
      </w:r>
      <w:r w:rsidRPr="00EC43AA">
        <w:rPr>
          <w:szCs w:val="22"/>
        </w:rPr>
        <w:t>. L'émergence de ces nouvelles élites correspond également à la montée, chez les communautés de form</w:t>
      </w:r>
      <w:r w:rsidRPr="00EC43AA">
        <w:rPr>
          <w:szCs w:val="22"/>
        </w:rPr>
        <w:t>a</w:t>
      </w:r>
      <w:r w:rsidRPr="00EC43AA">
        <w:rPr>
          <w:szCs w:val="22"/>
        </w:rPr>
        <w:t>tion plus ancienne, d'une génération de Canadiens d'origine étrangère, elle aussi plus éduquée. Les deux phénomènes convergent et contr</w:t>
      </w:r>
      <w:r w:rsidRPr="00EC43AA">
        <w:rPr>
          <w:szCs w:val="22"/>
        </w:rPr>
        <w:t>i</w:t>
      </w:r>
      <w:r w:rsidRPr="00EC43AA">
        <w:rPr>
          <w:szCs w:val="22"/>
        </w:rPr>
        <w:t>buent à modifier l'image souvent peu flatteuse que l'on entretient de l'immigrant, ou de ceux que l'on appelle éternellement les « Néo-Canadiens ». D'autant qu'un peu pa</w:t>
      </w:r>
      <w:r w:rsidRPr="00EC43AA">
        <w:rPr>
          <w:szCs w:val="22"/>
        </w:rPr>
        <w:t>r</w:t>
      </w:r>
      <w:r w:rsidRPr="00EC43AA">
        <w:rPr>
          <w:szCs w:val="22"/>
        </w:rPr>
        <w:t>tout au pays, et d'abord dans l'Ouest, où la proportion des groupes d'origine autre que française ou britannique est très fo</w:t>
      </w:r>
      <w:r w:rsidRPr="00EC43AA">
        <w:rPr>
          <w:szCs w:val="22"/>
        </w:rPr>
        <w:t>r</w:t>
      </w:r>
      <w:r w:rsidRPr="00EC43AA">
        <w:rPr>
          <w:szCs w:val="22"/>
        </w:rPr>
        <w:t>te</w:t>
      </w:r>
      <w:r>
        <w:rPr>
          <w:szCs w:val="22"/>
        </w:rPr>
        <w:t> </w:t>
      </w:r>
      <w:r>
        <w:rPr>
          <w:rStyle w:val="Appelnotedebasdep"/>
        </w:rPr>
        <w:footnoteReference w:id="646"/>
      </w:r>
      <w:r w:rsidRPr="00EC43AA">
        <w:rPr>
          <w:szCs w:val="22"/>
        </w:rPr>
        <w:t>, les membres de ces groupes s'affirment progressiv</w:t>
      </w:r>
      <w:r w:rsidRPr="00EC43AA">
        <w:rPr>
          <w:szCs w:val="22"/>
        </w:rPr>
        <w:t>e</w:t>
      </w:r>
      <w:r w:rsidRPr="00EC43AA">
        <w:rPr>
          <w:szCs w:val="22"/>
        </w:rPr>
        <w:t>ment dans la sphère publique, participent de plus en plus à la vie politique et parviennent à faire élire leurs représentants en no</w:t>
      </w:r>
      <w:r w:rsidRPr="00EC43AA">
        <w:rPr>
          <w:szCs w:val="22"/>
        </w:rPr>
        <w:t>m</w:t>
      </w:r>
      <w:r w:rsidRPr="00EC43AA">
        <w:rPr>
          <w:szCs w:val="22"/>
        </w:rPr>
        <w:t>bre croissant. Tout</w:t>
      </w:r>
      <w:r w:rsidRPr="00EC43AA">
        <w:rPr>
          <w:szCs w:val="22"/>
        </w:rPr>
        <w:t>e</w:t>
      </w:r>
      <w:r w:rsidRPr="00EC43AA">
        <w:rPr>
          <w:szCs w:val="22"/>
        </w:rPr>
        <w:t>fois, si l'image de l'« autre » évolue doucement — et cette prise de conscience des Canadiens des groupes major</w:t>
      </w:r>
      <w:r w:rsidRPr="00EC43AA">
        <w:rPr>
          <w:szCs w:val="22"/>
        </w:rPr>
        <w:t>i</w:t>
      </w:r>
      <w:r w:rsidRPr="00EC43AA">
        <w:rPr>
          <w:szCs w:val="22"/>
        </w:rPr>
        <w:t>taires et dominants est un aspect important de l'éveil de l'ethnicité —, les pr</w:t>
      </w:r>
      <w:r w:rsidRPr="00EC43AA">
        <w:rPr>
          <w:szCs w:val="22"/>
        </w:rPr>
        <w:t>é</w:t>
      </w:r>
      <w:r w:rsidRPr="00EC43AA">
        <w:rPr>
          <w:szCs w:val="22"/>
        </w:rPr>
        <w:t>jugés et l'hostil</w:t>
      </w:r>
      <w:r w:rsidRPr="00EC43AA">
        <w:rPr>
          <w:szCs w:val="22"/>
        </w:rPr>
        <w:t>i</w:t>
      </w:r>
      <w:r w:rsidRPr="00EC43AA">
        <w:rPr>
          <w:szCs w:val="22"/>
        </w:rPr>
        <w:t>té de ceux-ci n'ont pas disparu : en fait, comme dans le passé, c'est parfois justement la mil</w:t>
      </w:r>
      <w:r w:rsidRPr="00EC43AA">
        <w:rPr>
          <w:szCs w:val="22"/>
        </w:rPr>
        <w:t>i</w:t>
      </w:r>
      <w:r w:rsidRPr="00EC43AA">
        <w:rPr>
          <w:szCs w:val="22"/>
        </w:rPr>
        <w:t>tance immigrante que l'on craint. Pour leur part, les Asiatiques et les Noirs, qui viennent de plus en plus nombreux, sont vite confrontés au problème du r</w:t>
      </w:r>
      <w:r w:rsidRPr="00EC43AA">
        <w:rPr>
          <w:szCs w:val="22"/>
        </w:rPr>
        <w:t>a</w:t>
      </w:r>
      <w:r w:rsidRPr="00EC43AA">
        <w:rPr>
          <w:szCs w:val="22"/>
        </w:rPr>
        <w:t>cisme.</w:t>
      </w:r>
    </w:p>
    <w:p w:rsidR="00AD690E" w:rsidRPr="00EC43AA" w:rsidRDefault="00AD690E" w:rsidP="00AD690E">
      <w:pPr>
        <w:spacing w:before="120" w:after="120"/>
        <w:jc w:val="both"/>
      </w:pPr>
      <w:r w:rsidRPr="00EC43AA">
        <w:rPr>
          <w:szCs w:val="22"/>
        </w:rPr>
        <w:t>Les groupes ethniques minoritaires ne sont pas seuls à r</w:t>
      </w:r>
      <w:r w:rsidRPr="00EC43AA">
        <w:rPr>
          <w:szCs w:val="22"/>
        </w:rPr>
        <w:t>e</w:t>
      </w:r>
      <w:r w:rsidRPr="00EC43AA">
        <w:rPr>
          <w:szCs w:val="22"/>
        </w:rPr>
        <w:t>vendiquer leur identité et leurs droits : dans les années 60-70, c'est l'unité can</w:t>
      </w:r>
      <w:r w:rsidRPr="00EC43AA">
        <w:rPr>
          <w:szCs w:val="22"/>
        </w:rPr>
        <w:t>a</w:t>
      </w:r>
      <w:r w:rsidRPr="00EC43AA">
        <w:rPr>
          <w:szCs w:val="22"/>
        </w:rPr>
        <w:t>dienne elle-même qui est remise en cause.</w:t>
      </w:r>
    </w:p>
    <w:p w:rsidR="00AD690E" w:rsidRPr="00EC43AA" w:rsidRDefault="00AD690E" w:rsidP="00AD690E">
      <w:pPr>
        <w:spacing w:before="120" w:after="120"/>
        <w:jc w:val="both"/>
      </w:pPr>
      <w:r w:rsidRPr="00EC43AA">
        <w:rPr>
          <w:szCs w:val="22"/>
        </w:rPr>
        <w:t>L'après-guerre inaugure une longue période d'expansion, qui n'est sérieusement troublée que par la récession des années 1957-1961. Pour les provinces, qui s'étaient effacées devant le pouvoir central à la fin des années 30 et durant le conflit mondial, cette reprise de l'expa</w:t>
      </w:r>
      <w:r w:rsidRPr="00EC43AA">
        <w:rPr>
          <w:szCs w:val="22"/>
        </w:rPr>
        <w:t>n</w:t>
      </w:r>
      <w:r w:rsidRPr="00EC43AA">
        <w:rPr>
          <w:szCs w:val="22"/>
        </w:rPr>
        <w:t>sion économique marque un r</w:t>
      </w:r>
      <w:r w:rsidRPr="00EC43AA">
        <w:rPr>
          <w:szCs w:val="22"/>
        </w:rPr>
        <w:t>e</w:t>
      </w:r>
      <w:r w:rsidRPr="00EC43AA">
        <w:rPr>
          <w:szCs w:val="22"/>
        </w:rPr>
        <w:t>tour à une plus grande autonomie : lors des négociations entre gouvernements fédéral et provinciaux, les te</w:t>
      </w:r>
      <w:r w:rsidRPr="00EC43AA">
        <w:rPr>
          <w:szCs w:val="22"/>
        </w:rPr>
        <w:t>n</w:t>
      </w:r>
      <w:r w:rsidRPr="00EC43AA">
        <w:rPr>
          <w:szCs w:val="22"/>
        </w:rPr>
        <w:t>sions se font sentir à l'ouest comme à l'est du pays. La Colombie-Britannique man</w:t>
      </w:r>
      <w:r w:rsidRPr="00EC43AA">
        <w:rPr>
          <w:szCs w:val="22"/>
        </w:rPr>
        <w:t>i</w:t>
      </w:r>
      <w:r w:rsidRPr="00EC43AA">
        <w:rPr>
          <w:szCs w:val="22"/>
        </w:rPr>
        <w:t>feste notamment un fort régionalisme, qui s'exprime en particulier dans sa pol</w:t>
      </w:r>
      <w:r w:rsidRPr="00EC43AA">
        <w:rPr>
          <w:szCs w:val="22"/>
        </w:rPr>
        <w:t>i</w:t>
      </w:r>
      <w:r w:rsidRPr="00EC43AA">
        <w:rPr>
          <w:szCs w:val="22"/>
        </w:rPr>
        <w:t>tique de développement économique. Mais c'est le Québec surtout qui a</w:t>
      </w:r>
      <w:r w:rsidRPr="00EC43AA">
        <w:rPr>
          <w:szCs w:val="22"/>
        </w:rPr>
        <w:t>t</w:t>
      </w:r>
      <w:r w:rsidRPr="00EC43AA">
        <w:rPr>
          <w:szCs w:val="22"/>
        </w:rPr>
        <w:t>tire l'attention et inquiète. Souvent à la tête des revendications des provinces, il se fait de plus en plus ex</w:t>
      </w:r>
      <w:r w:rsidRPr="00EC43AA">
        <w:rPr>
          <w:szCs w:val="22"/>
        </w:rPr>
        <w:t>i</w:t>
      </w:r>
      <w:r w:rsidRPr="00EC43AA">
        <w:rPr>
          <w:szCs w:val="22"/>
        </w:rPr>
        <w:t>geant, que ce soit à propos de ses pouvoirs fiscaux, des politiques s</w:t>
      </w:r>
      <w:r w:rsidRPr="00EC43AA">
        <w:rPr>
          <w:szCs w:val="22"/>
        </w:rPr>
        <w:t>o</w:t>
      </w:r>
      <w:r w:rsidRPr="00EC43AA">
        <w:rPr>
          <w:szCs w:val="22"/>
        </w:rPr>
        <w:t>ciales ou économiques. L'autonomisme conservateur de Maurice D</w:t>
      </w:r>
      <w:r w:rsidRPr="00EC43AA">
        <w:rPr>
          <w:szCs w:val="22"/>
        </w:rPr>
        <w:t>u</w:t>
      </w:r>
      <w:r w:rsidRPr="00EC43AA">
        <w:rPr>
          <w:szCs w:val="22"/>
        </w:rPr>
        <w:t>plessis fait place, avec les gouvernements libéral ou unionistes de Jean Lesage, Daniel Johnson et Jean-Jacques Be</w:t>
      </w:r>
      <w:r w:rsidRPr="00EC43AA">
        <w:rPr>
          <w:szCs w:val="22"/>
        </w:rPr>
        <w:t>r</w:t>
      </w:r>
      <w:r w:rsidRPr="00EC43AA">
        <w:rPr>
          <w:szCs w:val="22"/>
        </w:rPr>
        <w:t>trand, à une attitude plus revendicatrice. D'autant que le mouv</w:t>
      </w:r>
      <w:r w:rsidRPr="00EC43AA">
        <w:rPr>
          <w:szCs w:val="22"/>
        </w:rPr>
        <w:t>e</w:t>
      </w:r>
      <w:r w:rsidRPr="00EC43AA">
        <w:rPr>
          <w:szCs w:val="22"/>
        </w:rPr>
        <w:t>ment</w:t>
      </w:r>
      <w:r>
        <w:rPr>
          <w:szCs w:val="22"/>
        </w:rPr>
        <w:t xml:space="preserve"> </w:t>
      </w:r>
      <w:r>
        <w:rPr>
          <w:szCs w:val="18"/>
        </w:rPr>
        <w:t>[</w:t>
      </w:r>
      <w:r w:rsidRPr="00EC43AA">
        <w:rPr>
          <w:szCs w:val="18"/>
        </w:rPr>
        <w:t>388</w:t>
      </w:r>
      <w:r>
        <w:rPr>
          <w:szCs w:val="18"/>
        </w:rPr>
        <w:t xml:space="preserve">] </w:t>
      </w:r>
      <w:r w:rsidRPr="00EC43AA">
        <w:rPr>
          <w:szCs w:val="22"/>
        </w:rPr>
        <w:t>indépendantiste qui s'organise au cours de ces années prend de l'ampleur et ne cesse de faire pression sur les représentants du Québec. Déjà, en 1966, les i</w:t>
      </w:r>
      <w:r w:rsidRPr="00EC43AA">
        <w:rPr>
          <w:szCs w:val="22"/>
        </w:rPr>
        <w:t>n</w:t>
      </w:r>
      <w:r w:rsidRPr="00EC43AA">
        <w:rPr>
          <w:szCs w:val="22"/>
        </w:rPr>
        <w:t>dépendantistes parvenaient à ra</w:t>
      </w:r>
      <w:r w:rsidRPr="00EC43AA">
        <w:rPr>
          <w:szCs w:val="22"/>
        </w:rPr>
        <w:t>l</w:t>
      </w:r>
      <w:r w:rsidRPr="00EC43AA">
        <w:rPr>
          <w:szCs w:val="22"/>
        </w:rPr>
        <w:t>lier près de 10</w:t>
      </w:r>
      <w:r>
        <w:rPr>
          <w:szCs w:val="22"/>
        </w:rPr>
        <w:t>%</w:t>
      </w:r>
      <w:r w:rsidRPr="00EC43AA">
        <w:rPr>
          <w:szCs w:val="22"/>
        </w:rPr>
        <w:t xml:space="preserve"> du vote québécois. À peine établi au pouvoir, Daniel Johnson parle d'« égalité ou indépe</w:t>
      </w:r>
      <w:r w:rsidRPr="00EC43AA">
        <w:rPr>
          <w:szCs w:val="22"/>
        </w:rPr>
        <w:t>n</w:t>
      </w:r>
      <w:r w:rsidRPr="00EC43AA">
        <w:rPr>
          <w:szCs w:val="22"/>
        </w:rPr>
        <w:t>dance » et so</w:t>
      </w:r>
      <w:r w:rsidRPr="00EC43AA">
        <w:rPr>
          <w:szCs w:val="22"/>
        </w:rPr>
        <w:t>u</w:t>
      </w:r>
      <w:r w:rsidRPr="00EC43AA">
        <w:rPr>
          <w:szCs w:val="22"/>
        </w:rPr>
        <w:t>ligne la nécessité de créer une nouvelle constitution qui co</w:t>
      </w:r>
      <w:r w:rsidRPr="00EC43AA">
        <w:rPr>
          <w:szCs w:val="22"/>
        </w:rPr>
        <w:t>n</w:t>
      </w:r>
      <w:r w:rsidRPr="00EC43AA">
        <w:rPr>
          <w:szCs w:val="22"/>
        </w:rPr>
        <w:t>sacrerait un Canada binational. Quelques années plus tard, la Crise d'octobre portera à son paroxysme la crainte qu'inspire l'indépenda</w:t>
      </w:r>
      <w:r w:rsidRPr="00EC43AA">
        <w:rPr>
          <w:szCs w:val="22"/>
        </w:rPr>
        <w:t>n</w:t>
      </w:r>
      <w:r w:rsidRPr="00EC43AA">
        <w:rPr>
          <w:szCs w:val="22"/>
        </w:rPr>
        <w:t>tisme québécois — comme en témoigne la v</w:t>
      </w:r>
      <w:r w:rsidRPr="00EC43AA">
        <w:rPr>
          <w:szCs w:val="22"/>
        </w:rPr>
        <w:t>i</w:t>
      </w:r>
      <w:r w:rsidRPr="00EC43AA">
        <w:rPr>
          <w:szCs w:val="22"/>
        </w:rPr>
        <w:t>gueur de sa répression.</w:t>
      </w:r>
    </w:p>
    <w:p w:rsidR="00AD690E" w:rsidRPr="00EC43AA" w:rsidRDefault="00AD690E" w:rsidP="00AD690E">
      <w:pPr>
        <w:spacing w:before="120" w:after="120"/>
        <w:jc w:val="both"/>
      </w:pPr>
      <w:r w:rsidRPr="00EC43AA">
        <w:rPr>
          <w:szCs w:val="22"/>
        </w:rPr>
        <w:t>C'est dans ce climat de tension, et pour affirmer sa légitim</w:t>
      </w:r>
      <w:r w:rsidRPr="00EC43AA">
        <w:rPr>
          <w:szCs w:val="22"/>
        </w:rPr>
        <w:t>i</w:t>
      </w:r>
      <w:r w:rsidRPr="00EC43AA">
        <w:rPr>
          <w:szCs w:val="22"/>
        </w:rPr>
        <w:t>té mise en doute par le Québec francophone, que le gouvern</w:t>
      </w:r>
      <w:r w:rsidRPr="00EC43AA">
        <w:rPr>
          <w:szCs w:val="22"/>
        </w:rPr>
        <w:t>e</w:t>
      </w:r>
      <w:r w:rsidRPr="00EC43AA">
        <w:rPr>
          <w:szCs w:val="22"/>
        </w:rPr>
        <w:t>ment fédéral crée, en 1963, la Commission royale d'e</w:t>
      </w:r>
      <w:r w:rsidRPr="00EC43AA">
        <w:rPr>
          <w:szCs w:val="22"/>
        </w:rPr>
        <w:t>n</w:t>
      </w:r>
      <w:r w:rsidRPr="00EC43AA">
        <w:rPr>
          <w:szCs w:val="22"/>
        </w:rPr>
        <w:t>quête sur le bilinguisme et le biculturalisme, dirigée par André La</w:t>
      </w:r>
      <w:r w:rsidRPr="00EC43AA">
        <w:rPr>
          <w:szCs w:val="22"/>
        </w:rPr>
        <w:t>u</w:t>
      </w:r>
      <w:r w:rsidRPr="00EC43AA">
        <w:rPr>
          <w:szCs w:val="22"/>
        </w:rPr>
        <w:t>rendeau et Davidson Dunton. Le mandat de cette commi</w:t>
      </w:r>
      <w:r w:rsidRPr="00EC43AA">
        <w:rPr>
          <w:szCs w:val="22"/>
        </w:rPr>
        <w:t>s</w:t>
      </w:r>
      <w:r w:rsidRPr="00EC43AA">
        <w:rPr>
          <w:szCs w:val="22"/>
        </w:rPr>
        <w:t>sion consiste, entre autres, à « recommander les mesures à prendre pour que la Confédération canadienne se dév</w:t>
      </w:r>
      <w:r w:rsidRPr="00EC43AA">
        <w:rPr>
          <w:szCs w:val="22"/>
        </w:rPr>
        <w:t>e</w:t>
      </w:r>
      <w:r w:rsidRPr="00EC43AA">
        <w:rPr>
          <w:szCs w:val="22"/>
        </w:rPr>
        <w:t>loppe d'après le principe de l'égalité entre les deux peuples qui l'ont fondée, compte tenu de l'apport des autres groupes ethniques à l'enr</w:t>
      </w:r>
      <w:r w:rsidRPr="00EC43AA">
        <w:rPr>
          <w:szCs w:val="22"/>
        </w:rPr>
        <w:t>i</w:t>
      </w:r>
      <w:r w:rsidRPr="00EC43AA">
        <w:rPr>
          <w:szCs w:val="22"/>
        </w:rPr>
        <w:t>chissement culturel du Can</w:t>
      </w:r>
      <w:r w:rsidRPr="00EC43AA">
        <w:rPr>
          <w:szCs w:val="22"/>
        </w:rPr>
        <w:t>a</w:t>
      </w:r>
      <w:r w:rsidRPr="00EC43AA">
        <w:rPr>
          <w:szCs w:val="22"/>
        </w:rPr>
        <w:t>da »</w:t>
      </w:r>
      <w:r>
        <w:rPr>
          <w:szCs w:val="22"/>
          <w:vertAlign w:val="superscript"/>
        </w:rPr>
        <w:t> </w:t>
      </w:r>
      <w:r>
        <w:rPr>
          <w:rStyle w:val="Appelnotedebasdep"/>
        </w:rPr>
        <w:footnoteReference w:id="647"/>
      </w:r>
      <w:r w:rsidRPr="00EC43AA">
        <w:rPr>
          <w:szCs w:val="22"/>
        </w:rPr>
        <w:t>. Plus précisément, elle doit faire rapport « en vue de favoriser le bilinguisme, de mei</w:t>
      </w:r>
      <w:r w:rsidRPr="00EC43AA">
        <w:rPr>
          <w:szCs w:val="22"/>
        </w:rPr>
        <w:t>l</w:t>
      </w:r>
      <w:r w:rsidRPr="00EC43AA">
        <w:rPr>
          <w:szCs w:val="22"/>
        </w:rPr>
        <w:t>leures relations culturelles, ainsi qu'une compréhension plus répandue du caractère fondamentalement b</w:t>
      </w:r>
      <w:r w:rsidRPr="00EC43AA">
        <w:rPr>
          <w:szCs w:val="22"/>
        </w:rPr>
        <w:t>i</w:t>
      </w:r>
      <w:r w:rsidRPr="00EC43AA">
        <w:rPr>
          <w:szCs w:val="22"/>
        </w:rPr>
        <w:t>culturel de notre pays et de l'apport subséquent des autres cu</w:t>
      </w:r>
      <w:r w:rsidRPr="00EC43AA">
        <w:rPr>
          <w:szCs w:val="22"/>
        </w:rPr>
        <w:t>l</w:t>
      </w:r>
      <w:r w:rsidRPr="00EC43AA">
        <w:rPr>
          <w:szCs w:val="22"/>
        </w:rPr>
        <w:t>tures »</w:t>
      </w:r>
      <w:r>
        <w:rPr>
          <w:szCs w:val="22"/>
          <w:vertAlign w:val="superscript"/>
        </w:rPr>
        <w:t> </w:t>
      </w:r>
      <w:r>
        <w:rPr>
          <w:rStyle w:val="Appelnotedebasdep"/>
        </w:rPr>
        <w:footnoteReference w:id="648"/>
      </w:r>
      <w:r w:rsidRPr="00EC43AA">
        <w:rPr>
          <w:szCs w:val="22"/>
        </w:rPr>
        <w:t>. En fait, ces « autres » cultures ne doivent pas, au départ, faire l'objet d'un rapport particulier. La seule co</w:t>
      </w:r>
      <w:r w:rsidRPr="00EC43AA">
        <w:rPr>
          <w:szCs w:val="22"/>
        </w:rPr>
        <w:t>n</w:t>
      </w:r>
      <w:r w:rsidRPr="00EC43AA">
        <w:rPr>
          <w:szCs w:val="22"/>
        </w:rPr>
        <w:t>cession importante que l'on semble avoir fait aux minorités et</w:t>
      </w:r>
      <w:r w:rsidRPr="00EC43AA">
        <w:rPr>
          <w:szCs w:val="22"/>
        </w:rPr>
        <w:t>h</w:t>
      </w:r>
      <w:r w:rsidRPr="00EC43AA">
        <w:rPr>
          <w:szCs w:val="22"/>
        </w:rPr>
        <w:t>niques consiste en la présence, parmi les dix membres du comité, de deux Can</w:t>
      </w:r>
      <w:r w:rsidRPr="00EC43AA">
        <w:rPr>
          <w:szCs w:val="22"/>
        </w:rPr>
        <w:t>a</w:t>
      </w:r>
      <w:r w:rsidRPr="00EC43AA">
        <w:rPr>
          <w:szCs w:val="22"/>
        </w:rPr>
        <w:t>diens d'origine ukrainienne. Cependant, lors des audiences publiques et pr</w:t>
      </w:r>
      <w:r w:rsidRPr="00EC43AA">
        <w:rPr>
          <w:szCs w:val="22"/>
        </w:rPr>
        <w:t>i</w:t>
      </w:r>
      <w:r w:rsidRPr="00EC43AA">
        <w:rPr>
          <w:szCs w:val="22"/>
        </w:rPr>
        <w:t>vées, les représentants de certaines de ces minor</w:t>
      </w:r>
      <w:r w:rsidRPr="00EC43AA">
        <w:rPr>
          <w:szCs w:val="22"/>
        </w:rPr>
        <w:t>i</w:t>
      </w:r>
      <w:r w:rsidRPr="00EC43AA">
        <w:rPr>
          <w:szCs w:val="22"/>
        </w:rPr>
        <w:t>tés ne tardent pas à réagir à la formulation du mandat, où il est que</w:t>
      </w:r>
      <w:r w:rsidRPr="00EC43AA">
        <w:rPr>
          <w:szCs w:val="22"/>
        </w:rPr>
        <w:t>s</w:t>
      </w:r>
      <w:r w:rsidRPr="00EC43AA">
        <w:rPr>
          <w:szCs w:val="22"/>
        </w:rPr>
        <w:t xml:space="preserve">tion des deux « peuples fondateurs ». Ces réactions, de même que le débat provoqué par la parution du livre de John Porter, </w:t>
      </w:r>
      <w:r w:rsidRPr="00EC43AA">
        <w:rPr>
          <w:i/>
          <w:iCs/>
          <w:szCs w:val="22"/>
        </w:rPr>
        <w:t xml:space="preserve">The Vertical Mosaic </w:t>
      </w:r>
      <w:r w:rsidRPr="00EC43AA">
        <w:rPr>
          <w:szCs w:val="22"/>
        </w:rPr>
        <w:t>(1965), forcent la Commi</w:t>
      </w:r>
      <w:r w:rsidRPr="00EC43AA">
        <w:rPr>
          <w:szCs w:val="22"/>
        </w:rPr>
        <w:t>s</w:t>
      </w:r>
      <w:r w:rsidRPr="00EC43AA">
        <w:rPr>
          <w:szCs w:val="22"/>
        </w:rPr>
        <w:t>sion à considérer de façon plus sérieuse le rôle des groupes ethniques minoritaires dans la société can</w:t>
      </w:r>
      <w:r w:rsidRPr="00EC43AA">
        <w:rPr>
          <w:szCs w:val="22"/>
        </w:rPr>
        <w:t>a</w:t>
      </w:r>
      <w:r w:rsidRPr="00EC43AA">
        <w:rPr>
          <w:szCs w:val="22"/>
        </w:rPr>
        <w:t>dienne</w:t>
      </w:r>
      <w:r>
        <w:rPr>
          <w:szCs w:val="22"/>
        </w:rPr>
        <w:t> </w:t>
      </w:r>
      <w:r>
        <w:rPr>
          <w:rStyle w:val="Appelnotedebasdep"/>
        </w:rPr>
        <w:footnoteReference w:id="649"/>
      </w:r>
      <w:r w:rsidRPr="00EC43AA">
        <w:rPr>
          <w:szCs w:val="22"/>
        </w:rPr>
        <w:t>.</w:t>
      </w:r>
    </w:p>
    <w:p w:rsidR="00AD690E" w:rsidRPr="00EC43AA" w:rsidRDefault="00AD690E" w:rsidP="00AD690E">
      <w:pPr>
        <w:spacing w:before="120" w:after="120"/>
        <w:jc w:val="both"/>
      </w:pPr>
      <w:r w:rsidRPr="00EC43AA">
        <w:rPr>
          <w:szCs w:val="22"/>
        </w:rPr>
        <w:t>En 1969, un quatrième livre s'ajoute au rapport final</w:t>
      </w:r>
      <w:r>
        <w:rPr>
          <w:szCs w:val="22"/>
          <w:vertAlign w:val="superscript"/>
        </w:rPr>
        <w:t> </w:t>
      </w:r>
      <w:r>
        <w:rPr>
          <w:rStyle w:val="Appelnotedebasdep"/>
        </w:rPr>
        <w:footnoteReference w:id="650"/>
      </w:r>
      <w:r w:rsidRPr="00EC43AA">
        <w:rPr>
          <w:szCs w:val="22"/>
        </w:rPr>
        <w:t>. Ce doc</w:t>
      </w:r>
      <w:r w:rsidRPr="00EC43AA">
        <w:rPr>
          <w:szCs w:val="22"/>
        </w:rPr>
        <w:t>u</w:t>
      </w:r>
      <w:r w:rsidRPr="00EC43AA">
        <w:rPr>
          <w:szCs w:val="22"/>
        </w:rPr>
        <w:t>ment reconnaît formellement la contribution économique, sociale et culturelle des groupes et</w:t>
      </w:r>
      <w:r>
        <w:rPr>
          <w:szCs w:val="22"/>
        </w:rPr>
        <w:t>h</w:t>
      </w:r>
      <w:r w:rsidRPr="00EC43AA">
        <w:rPr>
          <w:szCs w:val="22"/>
        </w:rPr>
        <w:t>niques d'origine autre que française et br</w:t>
      </w:r>
      <w:r w:rsidRPr="00EC43AA">
        <w:rPr>
          <w:szCs w:val="22"/>
        </w:rPr>
        <w:t>i</w:t>
      </w:r>
      <w:r w:rsidRPr="00EC43AA">
        <w:rPr>
          <w:szCs w:val="22"/>
        </w:rPr>
        <w:t>tannique à la société canadienne. De même, il admet l'attachement des membres de ces groupes à leur culture d'origine et leur besoin de pr</w:t>
      </w:r>
      <w:r w:rsidRPr="00EC43AA">
        <w:rPr>
          <w:szCs w:val="22"/>
        </w:rPr>
        <w:t>é</w:t>
      </w:r>
      <w:r w:rsidRPr="00EC43AA">
        <w:rPr>
          <w:szCs w:val="22"/>
        </w:rPr>
        <w:t>server cette culture et leur ident</w:t>
      </w:r>
      <w:r w:rsidRPr="00EC43AA">
        <w:rPr>
          <w:szCs w:val="22"/>
        </w:rPr>
        <w:t>i</w:t>
      </w:r>
      <w:r w:rsidRPr="00EC43AA">
        <w:rPr>
          <w:szCs w:val="22"/>
        </w:rPr>
        <w:t>té, tout en s'intégrant à l'une ou l'autre des sociétés canadienne-française ou canadienne-anglaise. Ses r</w:t>
      </w:r>
      <w:r w:rsidRPr="00EC43AA">
        <w:rPr>
          <w:szCs w:val="22"/>
        </w:rPr>
        <w:t>e</w:t>
      </w:r>
      <w:r w:rsidRPr="00EC43AA">
        <w:rPr>
          <w:szCs w:val="22"/>
        </w:rPr>
        <w:t>commandations comprennent la promulgation de lois interdisant la discrimination, « pour raison de race, de couleur, de religion, de n</w:t>
      </w:r>
      <w:r w:rsidRPr="00EC43AA">
        <w:rPr>
          <w:szCs w:val="22"/>
        </w:rPr>
        <w:t>a</w:t>
      </w:r>
      <w:r w:rsidRPr="00EC43AA">
        <w:rPr>
          <w:szCs w:val="22"/>
        </w:rPr>
        <w:t>tion</w:t>
      </w:r>
      <w:r w:rsidRPr="00EC43AA">
        <w:rPr>
          <w:szCs w:val="22"/>
        </w:rPr>
        <w:t>a</w:t>
      </w:r>
      <w:r w:rsidRPr="00EC43AA">
        <w:rPr>
          <w:szCs w:val="22"/>
        </w:rPr>
        <w:t>lité,</w:t>
      </w:r>
      <w:r>
        <w:rPr>
          <w:szCs w:val="22"/>
        </w:rPr>
        <w:t xml:space="preserve"> </w:t>
      </w:r>
      <w:r>
        <w:t xml:space="preserve">[389] </w:t>
      </w:r>
      <w:r w:rsidRPr="00EC43AA">
        <w:rPr>
          <w:szCs w:val="22"/>
        </w:rPr>
        <w:t>d'ascendance ou de lieu d'origine », tant en matière de droits civils qu'en ce qui a trait à l'emploi et au logement</w:t>
      </w:r>
      <w:r>
        <w:rPr>
          <w:szCs w:val="22"/>
          <w:vertAlign w:val="superscript"/>
        </w:rPr>
        <w:t> </w:t>
      </w:r>
      <w:r>
        <w:rPr>
          <w:rStyle w:val="Appelnotedebasdep"/>
        </w:rPr>
        <w:footnoteReference w:id="651"/>
      </w:r>
      <w:r w:rsidRPr="00EC43AA">
        <w:rPr>
          <w:szCs w:val="22"/>
        </w:rPr>
        <w:t>. On y e</w:t>
      </w:r>
      <w:r w:rsidRPr="00EC43AA">
        <w:rPr>
          <w:szCs w:val="22"/>
        </w:rPr>
        <w:t>n</w:t>
      </w:r>
      <w:r w:rsidRPr="00EC43AA">
        <w:rPr>
          <w:szCs w:val="22"/>
        </w:rPr>
        <w:t>courage ég</w:t>
      </w:r>
      <w:r w:rsidRPr="00EC43AA">
        <w:rPr>
          <w:szCs w:val="22"/>
        </w:rPr>
        <w:t>a</w:t>
      </w:r>
      <w:r w:rsidRPr="00EC43AA">
        <w:rPr>
          <w:szCs w:val="22"/>
        </w:rPr>
        <w:t>lement la promotion de la connaissance des langues et cultures d'or</w:t>
      </w:r>
      <w:r w:rsidRPr="00EC43AA">
        <w:rPr>
          <w:szCs w:val="22"/>
        </w:rPr>
        <w:t>i</w:t>
      </w:r>
      <w:r w:rsidRPr="00EC43AA">
        <w:rPr>
          <w:szCs w:val="22"/>
        </w:rPr>
        <w:t>gine, ainsi que la diffusion, dans l'ensemble de la société c</w:t>
      </w:r>
      <w:r w:rsidRPr="00EC43AA">
        <w:rPr>
          <w:szCs w:val="22"/>
        </w:rPr>
        <w:t>a</w:t>
      </w:r>
      <w:r w:rsidRPr="00EC43AA">
        <w:rPr>
          <w:szCs w:val="22"/>
        </w:rPr>
        <w:t>nadienne et sous diverses formes, d'une information concernant ces communa</w:t>
      </w:r>
      <w:r w:rsidRPr="00EC43AA">
        <w:rPr>
          <w:szCs w:val="22"/>
        </w:rPr>
        <w:t>u</w:t>
      </w:r>
      <w:r w:rsidRPr="00EC43AA">
        <w:rPr>
          <w:szCs w:val="22"/>
        </w:rPr>
        <w:t>tés.</w:t>
      </w:r>
    </w:p>
    <w:p w:rsidR="00AD690E" w:rsidRDefault="00AD690E" w:rsidP="00AD690E">
      <w:pPr>
        <w:spacing w:before="120" w:after="120"/>
        <w:jc w:val="both"/>
        <w:rPr>
          <w:szCs w:val="22"/>
        </w:rPr>
      </w:pPr>
    </w:p>
    <w:p w:rsidR="00AD690E" w:rsidRPr="00EC43AA" w:rsidRDefault="00AD690E" w:rsidP="00AD690E">
      <w:pPr>
        <w:pStyle w:val="planche"/>
      </w:pPr>
      <w:r>
        <w:t xml:space="preserve">L'ÈRE TRUDEAU </w:t>
      </w:r>
      <w:r w:rsidRPr="00EC43AA">
        <w:t>ET LA POLITIQUE</w:t>
      </w:r>
      <w:r>
        <w:br/>
      </w:r>
      <w:r w:rsidRPr="00EC43AA">
        <w:t xml:space="preserve">DU </w:t>
      </w:r>
      <w:r>
        <w:t>MULT</w:t>
      </w:r>
      <w:r w:rsidRPr="00EC43AA">
        <w:t>ICULTUR</w:t>
      </w:r>
      <w:r w:rsidRPr="00EC43AA">
        <w:t>A</w:t>
      </w:r>
      <w:r w:rsidRPr="00EC43AA">
        <w:t>LISME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Tandis que la Commission achève ses travaux, Pierre Elliott Tr</w:t>
      </w:r>
      <w:r w:rsidRPr="00EC43AA">
        <w:rPr>
          <w:szCs w:val="22"/>
        </w:rPr>
        <w:t>u</w:t>
      </w:r>
      <w:r w:rsidRPr="00EC43AA">
        <w:rPr>
          <w:szCs w:val="22"/>
        </w:rPr>
        <w:t>deau est élu premier ministre du Canada à la tête d'un go</w:t>
      </w:r>
      <w:r w:rsidRPr="00EC43AA">
        <w:rPr>
          <w:szCs w:val="22"/>
        </w:rPr>
        <w:t>u</w:t>
      </w:r>
      <w:r w:rsidRPr="00EC43AA">
        <w:rPr>
          <w:szCs w:val="22"/>
        </w:rPr>
        <w:t>vernement libéral majoritaire. Trudeau, en qui beaucoup de Canadiens anglais voient le meilleur défenseur de l'unité can</w:t>
      </w:r>
      <w:r w:rsidRPr="00EC43AA">
        <w:rPr>
          <w:szCs w:val="22"/>
        </w:rPr>
        <w:t>a</w:t>
      </w:r>
      <w:r w:rsidRPr="00EC43AA">
        <w:rPr>
          <w:szCs w:val="22"/>
        </w:rPr>
        <w:t>dienne et dont on espère, par ailleurs, qu'il ralliera les nationalistes québécois, fera du bili</w:t>
      </w:r>
      <w:r w:rsidRPr="00EC43AA">
        <w:rPr>
          <w:szCs w:val="22"/>
        </w:rPr>
        <w:t>n</w:t>
      </w:r>
      <w:r w:rsidRPr="00EC43AA">
        <w:rPr>
          <w:szCs w:val="22"/>
        </w:rPr>
        <w:t xml:space="preserve">guisme, on le sait, l'un de ses chevaux de bataille. La </w:t>
      </w:r>
      <w:r w:rsidRPr="00EC43AA">
        <w:rPr>
          <w:i/>
          <w:iCs/>
          <w:szCs w:val="22"/>
        </w:rPr>
        <w:t>Loi sur les la</w:t>
      </w:r>
      <w:r w:rsidRPr="00EC43AA">
        <w:rPr>
          <w:i/>
          <w:iCs/>
          <w:szCs w:val="22"/>
        </w:rPr>
        <w:t>n</w:t>
      </w:r>
      <w:r w:rsidRPr="00EC43AA">
        <w:rPr>
          <w:i/>
          <w:iCs/>
          <w:szCs w:val="22"/>
        </w:rPr>
        <w:t xml:space="preserve">gues officielles </w:t>
      </w:r>
      <w:r w:rsidRPr="00EC43AA">
        <w:rPr>
          <w:szCs w:val="22"/>
        </w:rPr>
        <w:t>v</w:t>
      </w:r>
      <w:r w:rsidRPr="00EC43AA">
        <w:rPr>
          <w:szCs w:val="22"/>
        </w:rPr>
        <w:t>o</w:t>
      </w:r>
      <w:r w:rsidRPr="00EC43AA">
        <w:rPr>
          <w:szCs w:val="22"/>
        </w:rPr>
        <w:t>tée par son gouvernement en 1969 va d'ailleurs dans le sens des r</w:t>
      </w:r>
      <w:r w:rsidRPr="00EC43AA">
        <w:rPr>
          <w:szCs w:val="22"/>
        </w:rPr>
        <w:t>e</w:t>
      </w:r>
      <w:r w:rsidRPr="00EC43AA">
        <w:rPr>
          <w:szCs w:val="22"/>
        </w:rPr>
        <w:t>commandations de la Commission Laurendeau-Dunton. Cependant, Trudeau rejette totalement la thèse des deux n</w:t>
      </w:r>
      <w:r w:rsidRPr="00EC43AA">
        <w:rPr>
          <w:szCs w:val="22"/>
        </w:rPr>
        <w:t>a</w:t>
      </w:r>
      <w:r w:rsidRPr="00EC43AA">
        <w:rPr>
          <w:szCs w:val="22"/>
        </w:rPr>
        <w:t>tions qui est l'une des prémisses du mandat de la Commi</w:t>
      </w:r>
      <w:r w:rsidRPr="00EC43AA">
        <w:rPr>
          <w:szCs w:val="22"/>
        </w:rPr>
        <w:t>s</w:t>
      </w:r>
      <w:r w:rsidRPr="00EC43AA">
        <w:rPr>
          <w:szCs w:val="22"/>
        </w:rPr>
        <w:t>sion. Cette position apparaît clairement dans l'énoncé de la pol</w:t>
      </w:r>
      <w:r w:rsidRPr="00EC43AA">
        <w:rPr>
          <w:szCs w:val="22"/>
        </w:rPr>
        <w:t>i</w:t>
      </w:r>
      <w:r w:rsidRPr="00EC43AA">
        <w:rPr>
          <w:szCs w:val="22"/>
        </w:rPr>
        <w:t>tique qu'il présente à la Chambre des communes en 1971, en réponse au livre IV de ce rapport dont, dit-il, le gouvernement non seulement approuve mais désire d</w:t>
      </w:r>
      <w:r w:rsidRPr="00EC43AA">
        <w:rPr>
          <w:szCs w:val="22"/>
        </w:rPr>
        <w:t>é</w:t>
      </w:r>
      <w:r w:rsidRPr="00EC43AA">
        <w:rPr>
          <w:szCs w:val="22"/>
        </w:rPr>
        <w:t>passer les recommandations. La vision du Canada comme pays b</w:t>
      </w:r>
      <w:r w:rsidRPr="00EC43AA">
        <w:rPr>
          <w:szCs w:val="22"/>
        </w:rPr>
        <w:t>i</w:t>
      </w:r>
      <w:r w:rsidRPr="00EC43AA">
        <w:rPr>
          <w:szCs w:val="22"/>
        </w:rPr>
        <w:t>culturel est inadéquate, y explique-t-on : il convient désormais de pa</w:t>
      </w:r>
      <w:r w:rsidRPr="00EC43AA">
        <w:rPr>
          <w:szCs w:val="22"/>
        </w:rPr>
        <w:t>r</w:t>
      </w:r>
      <w:r w:rsidRPr="00EC43AA">
        <w:rPr>
          <w:szCs w:val="22"/>
        </w:rPr>
        <w:t>ler de multicultur</w:t>
      </w:r>
      <w:r w:rsidRPr="00EC43AA">
        <w:rPr>
          <w:szCs w:val="22"/>
        </w:rPr>
        <w:t>a</w:t>
      </w:r>
      <w:r w:rsidRPr="00EC43AA">
        <w:rPr>
          <w:szCs w:val="22"/>
        </w:rPr>
        <w:t>lisme, le pluralisme culturel étant « l'essence même de la société canadienne »</w:t>
      </w:r>
      <w:r>
        <w:rPr>
          <w:szCs w:val="22"/>
          <w:vertAlign w:val="superscript"/>
        </w:rPr>
        <w:t> </w:t>
      </w:r>
      <w:r>
        <w:rPr>
          <w:rStyle w:val="Appelnotedebasdep"/>
        </w:rPr>
        <w:footnoteReference w:id="652"/>
      </w:r>
      <w:r w:rsidRPr="00EC43AA">
        <w:rPr>
          <w:szCs w:val="22"/>
        </w:rPr>
        <w:t>. Une partie du malaise social contemp</w:t>
      </w:r>
      <w:r w:rsidRPr="00EC43AA">
        <w:rPr>
          <w:szCs w:val="22"/>
        </w:rPr>
        <w:t>o</w:t>
      </w:r>
      <w:r w:rsidRPr="00EC43AA">
        <w:rPr>
          <w:szCs w:val="22"/>
        </w:rPr>
        <w:t>rain, rappelle-t-on plus tôt, vient de ce que le sentiment d'appart</w:t>
      </w:r>
      <w:r w:rsidRPr="00EC43AA">
        <w:rPr>
          <w:szCs w:val="22"/>
        </w:rPr>
        <w:t>e</w:t>
      </w:r>
      <w:r w:rsidRPr="00EC43AA">
        <w:rPr>
          <w:szCs w:val="22"/>
        </w:rPr>
        <w:t>nance — besoin fondamental de tout individu — n'est pas s</w:t>
      </w:r>
      <w:r w:rsidRPr="00EC43AA">
        <w:rPr>
          <w:szCs w:val="22"/>
        </w:rPr>
        <w:t>a</w:t>
      </w:r>
      <w:r w:rsidRPr="00EC43AA">
        <w:rPr>
          <w:szCs w:val="22"/>
        </w:rPr>
        <w:t>tisfait. Dans ce sens, « le pluralisme et</w:t>
      </w:r>
      <w:r w:rsidRPr="00EC43AA">
        <w:rPr>
          <w:szCs w:val="22"/>
        </w:rPr>
        <w:t>h</w:t>
      </w:r>
      <w:r w:rsidRPr="00EC43AA">
        <w:rPr>
          <w:szCs w:val="22"/>
        </w:rPr>
        <w:t>nique peut nous aider à vaincre ou à éviter l'homogénéisation et la dépersonnalisation de la société de ma</w:t>
      </w:r>
      <w:r w:rsidRPr="00EC43AA">
        <w:rPr>
          <w:szCs w:val="22"/>
        </w:rPr>
        <w:t>s</w:t>
      </w:r>
      <w:r w:rsidRPr="00EC43AA">
        <w:rPr>
          <w:szCs w:val="22"/>
        </w:rPr>
        <w:t>se »</w:t>
      </w:r>
      <w:r>
        <w:rPr>
          <w:szCs w:val="22"/>
        </w:rPr>
        <w:t> </w:t>
      </w:r>
      <w:r>
        <w:rPr>
          <w:rStyle w:val="Appelnotedebasdep"/>
        </w:rPr>
        <w:footnoteReference w:id="653"/>
      </w:r>
      <w:r w:rsidRPr="00EC43AA">
        <w:rPr>
          <w:szCs w:val="22"/>
        </w:rPr>
        <w:t>. De plus, souligne-t-on, le sentiment d'appartenance ethnique pe</w:t>
      </w:r>
      <w:r w:rsidRPr="00EC43AA">
        <w:rPr>
          <w:szCs w:val="22"/>
        </w:rPr>
        <w:t>r</w:t>
      </w:r>
      <w:r w:rsidRPr="00EC43AA">
        <w:rPr>
          <w:szCs w:val="22"/>
        </w:rPr>
        <w:t>met aux individus de faire face au reste de la société mieux qu'ils ne pourraient le faire isolément — et sans pour autant amoindrir leur fidélité envers la collectivité plus large et le pays. Le gouvernement entend donc co</w:t>
      </w:r>
      <w:r w:rsidRPr="00EC43AA">
        <w:rPr>
          <w:szCs w:val="22"/>
        </w:rPr>
        <w:t>m</w:t>
      </w:r>
      <w:r w:rsidRPr="00EC43AA">
        <w:rPr>
          <w:szCs w:val="22"/>
        </w:rPr>
        <w:t>bler ce besoin d'appartenance ethnique et promouvoir la diversité cult</w:t>
      </w:r>
      <w:r w:rsidRPr="00EC43AA">
        <w:rPr>
          <w:szCs w:val="22"/>
        </w:rPr>
        <w:t>u</w:t>
      </w:r>
      <w:r w:rsidRPr="00EC43AA">
        <w:rPr>
          <w:szCs w:val="22"/>
        </w:rPr>
        <w:t>relle dans un cadre bilingue. Pour ce faire, il annonce un éventail de programmes : subventions aux organismes multicult</w:t>
      </w:r>
      <w:r w:rsidRPr="00EC43AA">
        <w:rPr>
          <w:szCs w:val="22"/>
        </w:rPr>
        <w:t>u</w:t>
      </w:r>
      <w:r w:rsidRPr="00EC43AA">
        <w:rPr>
          <w:szCs w:val="22"/>
        </w:rPr>
        <w:t>rels ; développement culturel des communautés ethniques (en partic</w:t>
      </w:r>
      <w:r w:rsidRPr="00EC43AA">
        <w:rPr>
          <w:szCs w:val="22"/>
        </w:rPr>
        <w:t>u</w:t>
      </w:r>
      <w:r w:rsidRPr="00EC43AA">
        <w:rPr>
          <w:szCs w:val="22"/>
        </w:rPr>
        <w:t>lier, aide financière à l'apprentissage des langues d'origine) ; prom</w:t>
      </w:r>
      <w:r w:rsidRPr="00EC43AA">
        <w:rPr>
          <w:szCs w:val="22"/>
        </w:rPr>
        <w:t>o</w:t>
      </w:r>
      <w:r w:rsidRPr="00EC43AA">
        <w:rPr>
          <w:szCs w:val="22"/>
        </w:rPr>
        <w:t>tion des études ethniques canadiennes ; enseignement des langues o</w:t>
      </w:r>
      <w:r w:rsidRPr="00EC43AA">
        <w:rPr>
          <w:szCs w:val="22"/>
        </w:rPr>
        <w:t>f</w:t>
      </w:r>
      <w:r w:rsidRPr="00EC43AA">
        <w:rPr>
          <w:szCs w:val="22"/>
        </w:rPr>
        <w:t>ficielles, etc. « Dire que nous avons deux langues officielles, précise-t-on tout</w:t>
      </w:r>
      <w:r w:rsidRPr="00EC43AA">
        <w:rPr>
          <w:szCs w:val="22"/>
        </w:rPr>
        <w:t>e</w:t>
      </w:r>
      <w:r w:rsidRPr="00EC43AA">
        <w:rPr>
          <w:szCs w:val="22"/>
        </w:rPr>
        <w:t>fois, ce n'est pas dire</w:t>
      </w:r>
      <w:r>
        <w:rPr>
          <w:szCs w:val="22"/>
        </w:rPr>
        <w:t xml:space="preserve"> </w:t>
      </w:r>
      <w:r>
        <w:rPr>
          <w:szCs w:val="18"/>
        </w:rPr>
        <w:t>[</w:t>
      </w:r>
      <w:r w:rsidRPr="00EC43AA">
        <w:rPr>
          <w:szCs w:val="22"/>
        </w:rPr>
        <w:t>390</w:t>
      </w:r>
      <w:r>
        <w:rPr>
          <w:szCs w:val="22"/>
        </w:rPr>
        <w:t xml:space="preserve">] </w:t>
      </w:r>
      <w:r w:rsidRPr="00EC43AA">
        <w:rPr>
          <w:szCs w:val="22"/>
        </w:rPr>
        <w:t xml:space="preserve">que nous avons deux cultures officielles, et aucune culture n'est en soi plus </w:t>
      </w:r>
      <w:r w:rsidRPr="00EC43AA">
        <w:rPr>
          <w:i/>
          <w:iCs/>
          <w:szCs w:val="22"/>
        </w:rPr>
        <w:t xml:space="preserve">officielle </w:t>
      </w:r>
      <w:r w:rsidRPr="00EC43AA">
        <w:rPr>
          <w:szCs w:val="22"/>
        </w:rPr>
        <w:t>qu'une a</w:t>
      </w:r>
      <w:r w:rsidRPr="00EC43AA">
        <w:rPr>
          <w:szCs w:val="22"/>
        </w:rPr>
        <w:t>u</w:t>
      </w:r>
      <w:r w:rsidRPr="00EC43AA">
        <w:rPr>
          <w:szCs w:val="22"/>
        </w:rPr>
        <w:t>tre »</w:t>
      </w:r>
      <w:r>
        <w:rPr>
          <w:szCs w:val="22"/>
        </w:rPr>
        <w:t> </w:t>
      </w:r>
      <w:r>
        <w:rPr>
          <w:rStyle w:val="Appelnotedebasdep"/>
        </w:rPr>
        <w:footnoteReference w:id="654"/>
      </w:r>
      <w:r w:rsidRPr="00EC43AA">
        <w:rPr>
          <w:szCs w:val="22"/>
        </w:rPr>
        <w:t>.</w:t>
      </w:r>
    </w:p>
    <w:p w:rsidR="00AD690E" w:rsidRPr="00EC43AA" w:rsidRDefault="00AD690E" w:rsidP="00AD690E">
      <w:pPr>
        <w:spacing w:before="120" w:after="120"/>
        <w:jc w:val="both"/>
      </w:pPr>
      <w:r w:rsidRPr="00EC43AA">
        <w:rPr>
          <w:szCs w:val="22"/>
        </w:rPr>
        <w:t>Ce discours est reçu avec bienveillance, voire entho</w:t>
      </w:r>
      <w:r w:rsidRPr="00EC43AA">
        <w:rPr>
          <w:szCs w:val="22"/>
        </w:rPr>
        <w:t>u</w:t>
      </w:r>
      <w:r w:rsidRPr="00EC43AA">
        <w:rPr>
          <w:szCs w:val="22"/>
        </w:rPr>
        <w:t>siasme, par les représentants de tous les partis fédéraux ; il semble de plus être en parfait accord avec le climat internati</w:t>
      </w:r>
      <w:r w:rsidRPr="00EC43AA">
        <w:rPr>
          <w:szCs w:val="22"/>
        </w:rPr>
        <w:t>o</w:t>
      </w:r>
      <w:r w:rsidRPr="00EC43AA">
        <w:rPr>
          <w:szCs w:val="22"/>
        </w:rPr>
        <w:t>nal décrit plus tôt, marqué par l'évolution des idéologies et des rapports int</w:t>
      </w:r>
      <w:r w:rsidRPr="00EC43AA">
        <w:rPr>
          <w:szCs w:val="22"/>
        </w:rPr>
        <w:t>e</w:t>
      </w:r>
      <w:r w:rsidRPr="00EC43AA">
        <w:rPr>
          <w:szCs w:val="22"/>
        </w:rPr>
        <w:t>rethniques. Par contre, le climat québécois paraît alors peu propice à l'accueil d'une telle polit</w:t>
      </w:r>
      <w:r w:rsidRPr="00EC43AA">
        <w:rPr>
          <w:szCs w:val="22"/>
        </w:rPr>
        <w:t>i</w:t>
      </w:r>
      <w:r w:rsidRPr="00EC43AA">
        <w:rPr>
          <w:szCs w:val="22"/>
        </w:rPr>
        <w:t>que. Les Québécois franc</w:t>
      </w:r>
      <w:r w:rsidRPr="00EC43AA">
        <w:rPr>
          <w:szCs w:val="22"/>
        </w:rPr>
        <w:t>o</w:t>
      </w:r>
      <w:r w:rsidRPr="00EC43AA">
        <w:rPr>
          <w:szCs w:val="22"/>
        </w:rPr>
        <w:t>phones sont eux-mêmes de plus en plus conscients de leur situ</w:t>
      </w:r>
      <w:r w:rsidRPr="00EC43AA">
        <w:rPr>
          <w:szCs w:val="22"/>
        </w:rPr>
        <w:t>a</w:t>
      </w:r>
      <w:r w:rsidRPr="00EC43AA">
        <w:rPr>
          <w:szCs w:val="22"/>
        </w:rPr>
        <w:t>tion de minorité dans l'ensemble canadien et de leur statut à l'intérieur même du Québec : de fait, un des ra</w:t>
      </w:r>
      <w:r w:rsidRPr="00EC43AA">
        <w:rPr>
          <w:szCs w:val="22"/>
        </w:rPr>
        <w:t>p</w:t>
      </w:r>
      <w:r w:rsidRPr="00EC43AA">
        <w:rPr>
          <w:szCs w:val="22"/>
        </w:rPr>
        <w:t>ports de la Commission B-B fait état des inégalités qui y exi</w:t>
      </w:r>
      <w:r w:rsidRPr="00EC43AA">
        <w:rPr>
          <w:szCs w:val="22"/>
        </w:rPr>
        <w:t>s</w:t>
      </w:r>
      <w:r w:rsidRPr="00EC43AA">
        <w:rPr>
          <w:szCs w:val="22"/>
        </w:rPr>
        <w:t>tent, en termes de niveau d'éducation et de revenu, entre angl</w:t>
      </w:r>
      <w:r w:rsidRPr="00EC43AA">
        <w:rPr>
          <w:szCs w:val="22"/>
        </w:rPr>
        <w:t>o</w:t>
      </w:r>
      <w:r w:rsidRPr="00EC43AA">
        <w:rPr>
          <w:szCs w:val="22"/>
        </w:rPr>
        <w:t>phones, allophones et francophones, ces derniers étant chaque fois surreprésentés au bas de l'échelle sociale. Les Franco-Québécois se mo</w:t>
      </w:r>
      <w:r w:rsidRPr="00EC43AA">
        <w:rPr>
          <w:szCs w:val="22"/>
        </w:rPr>
        <w:t>n</w:t>
      </w:r>
      <w:r w:rsidRPr="00EC43AA">
        <w:rPr>
          <w:szCs w:val="22"/>
        </w:rPr>
        <w:t>trent également plus inquiets du sort de leur langue : c'est ainsi que les gouvernements de cette province sont amenés à promulguer des lois de plus en plus v</w:t>
      </w:r>
      <w:r w:rsidRPr="00EC43AA">
        <w:rPr>
          <w:szCs w:val="22"/>
        </w:rPr>
        <w:t>i</w:t>
      </w:r>
      <w:r w:rsidRPr="00EC43AA">
        <w:rPr>
          <w:szCs w:val="22"/>
        </w:rPr>
        <w:t>goureuses pour protéger le français et assurer la francisation des pop</w:t>
      </w:r>
      <w:r w:rsidRPr="00EC43AA">
        <w:rPr>
          <w:szCs w:val="22"/>
        </w:rPr>
        <w:t>u</w:t>
      </w:r>
      <w:r w:rsidRPr="00EC43AA">
        <w:rPr>
          <w:szCs w:val="22"/>
        </w:rPr>
        <w:t>lations nouvelles. Le di</w:t>
      </w:r>
      <w:r w:rsidRPr="00EC43AA">
        <w:rPr>
          <w:szCs w:val="22"/>
        </w:rPr>
        <w:t>s</w:t>
      </w:r>
      <w:r w:rsidRPr="00EC43AA">
        <w:rPr>
          <w:szCs w:val="22"/>
        </w:rPr>
        <w:t>cours multiculturaliste heurte aussi de plein front ceux qui, parmi les nationalistes québécois, so</w:t>
      </w:r>
      <w:r w:rsidRPr="00EC43AA">
        <w:rPr>
          <w:szCs w:val="22"/>
        </w:rPr>
        <w:t>u</w:t>
      </w:r>
      <w:r w:rsidRPr="00EC43AA">
        <w:rPr>
          <w:szCs w:val="22"/>
        </w:rPr>
        <w:t>tiennent la thèse d'un Canada binational et espèrent la reco</w:t>
      </w:r>
      <w:r w:rsidRPr="00EC43AA">
        <w:rPr>
          <w:szCs w:val="22"/>
        </w:rPr>
        <w:t>n</w:t>
      </w:r>
      <w:r w:rsidRPr="00EC43AA">
        <w:rPr>
          <w:szCs w:val="22"/>
        </w:rPr>
        <w:t>naissance de l'égalité, non seulement linguistique mais de statut, entre Canadiens français et C</w:t>
      </w:r>
      <w:r w:rsidRPr="00EC43AA">
        <w:rPr>
          <w:szCs w:val="22"/>
        </w:rPr>
        <w:t>a</w:t>
      </w:r>
      <w:r w:rsidRPr="00EC43AA">
        <w:rPr>
          <w:szCs w:val="22"/>
        </w:rPr>
        <w:t>nadiens anglais. C'est la position que défend Claude Ryan, alors dire</w:t>
      </w:r>
      <w:r w:rsidRPr="00EC43AA">
        <w:rPr>
          <w:szCs w:val="22"/>
        </w:rPr>
        <w:t>c</w:t>
      </w:r>
      <w:r w:rsidRPr="00EC43AA">
        <w:rPr>
          <w:szCs w:val="22"/>
        </w:rPr>
        <w:t xml:space="preserve">teur et rédacteur en chef du </w:t>
      </w:r>
      <w:r w:rsidRPr="00EC43AA">
        <w:rPr>
          <w:i/>
          <w:iCs/>
          <w:szCs w:val="22"/>
        </w:rPr>
        <w:t xml:space="preserve">Devoir, </w:t>
      </w:r>
      <w:r w:rsidRPr="00EC43AA">
        <w:rPr>
          <w:szCs w:val="22"/>
        </w:rPr>
        <w:t>pour qui « le réalisme le plus él</w:t>
      </w:r>
      <w:r w:rsidRPr="00EC43AA">
        <w:rPr>
          <w:szCs w:val="22"/>
        </w:rPr>
        <w:t>é</w:t>
      </w:r>
      <w:r w:rsidRPr="00EC43AA">
        <w:rPr>
          <w:szCs w:val="22"/>
        </w:rPr>
        <w:t>mentaire, et aussi une saine justice, exigent que les citoyens de dive</w:t>
      </w:r>
      <w:r w:rsidRPr="00EC43AA">
        <w:rPr>
          <w:szCs w:val="22"/>
        </w:rPr>
        <w:t>r</w:t>
      </w:r>
      <w:r w:rsidRPr="00EC43AA">
        <w:rPr>
          <w:szCs w:val="22"/>
        </w:rPr>
        <w:t>ses origines acceptent, [...] sans renier leur héritage culturel, de s'int</w:t>
      </w:r>
      <w:r w:rsidRPr="00EC43AA">
        <w:rPr>
          <w:szCs w:val="22"/>
        </w:rPr>
        <w:t>é</w:t>
      </w:r>
      <w:r w:rsidRPr="00EC43AA">
        <w:rPr>
          <w:szCs w:val="22"/>
        </w:rPr>
        <w:t xml:space="preserve">grer à l'une ou à l'autre des sociétés qui forment le </w:t>
      </w:r>
      <w:r>
        <w:rPr>
          <w:szCs w:val="22"/>
        </w:rPr>
        <w:t>Canada</w:t>
      </w:r>
      <w:r>
        <w:rPr>
          <w:szCs w:val="22"/>
          <w:vertAlign w:val="superscript"/>
        </w:rPr>
        <w:t> </w:t>
      </w:r>
      <w:r>
        <w:rPr>
          <w:rStyle w:val="Appelnotedebasdep"/>
        </w:rPr>
        <w:footnoteReference w:id="655"/>
      </w:r>
      <w:r w:rsidRPr="00EC43AA">
        <w:rPr>
          <w:szCs w:val="22"/>
        </w:rPr>
        <w:t> ». Selon le sociologue Guy Rocher, le multiculturalisme r</w:t>
      </w:r>
      <w:r w:rsidRPr="00EC43AA">
        <w:rPr>
          <w:szCs w:val="22"/>
        </w:rPr>
        <w:t>a</w:t>
      </w:r>
      <w:r w:rsidRPr="00EC43AA">
        <w:rPr>
          <w:szCs w:val="22"/>
        </w:rPr>
        <w:t>mène les Canadiens français au même rang que les autres groupes ethniques, tandis que les Anglo-Saxons gardent le st</w:t>
      </w:r>
      <w:r w:rsidRPr="00EC43AA">
        <w:rPr>
          <w:szCs w:val="22"/>
        </w:rPr>
        <w:t>a</w:t>
      </w:r>
      <w:r w:rsidRPr="00EC43AA">
        <w:rPr>
          <w:szCs w:val="22"/>
        </w:rPr>
        <w:t xml:space="preserve">tut privilégié dont ils jouissent </w:t>
      </w:r>
      <w:r w:rsidRPr="00EC43AA">
        <w:rPr>
          <w:i/>
          <w:iCs/>
          <w:szCs w:val="22"/>
        </w:rPr>
        <w:t xml:space="preserve">de facto. </w:t>
      </w:r>
      <w:r w:rsidRPr="00EC43AA">
        <w:rPr>
          <w:szCs w:val="22"/>
        </w:rPr>
        <w:t>Dans un Québec où les populations allophones s'anglicisent rapid</w:t>
      </w:r>
      <w:r w:rsidRPr="00EC43AA">
        <w:rPr>
          <w:szCs w:val="22"/>
        </w:rPr>
        <w:t>e</w:t>
      </w:r>
      <w:r w:rsidRPr="00EC43AA">
        <w:rPr>
          <w:szCs w:val="22"/>
        </w:rPr>
        <w:t>ment, le soutien des langues d'origine autres que le français ou l'a</w:t>
      </w:r>
      <w:r w:rsidRPr="00EC43AA">
        <w:rPr>
          <w:szCs w:val="22"/>
        </w:rPr>
        <w:t>n</w:t>
      </w:r>
      <w:r w:rsidRPr="00EC43AA">
        <w:rPr>
          <w:szCs w:val="22"/>
        </w:rPr>
        <w:t>glais encourage à ses yeux un bilinguisme anglais-langue immigra</w:t>
      </w:r>
      <w:r w:rsidRPr="00EC43AA">
        <w:rPr>
          <w:szCs w:val="22"/>
        </w:rPr>
        <w:t>n</w:t>
      </w:r>
      <w:r w:rsidRPr="00EC43AA">
        <w:rPr>
          <w:szCs w:val="22"/>
        </w:rPr>
        <w:t>te</w:t>
      </w:r>
      <w:r>
        <w:rPr>
          <w:szCs w:val="22"/>
        </w:rPr>
        <w:t> </w:t>
      </w:r>
      <w:r>
        <w:rPr>
          <w:rStyle w:val="Appelnotedebasdep"/>
        </w:rPr>
        <w:footnoteReference w:id="656"/>
      </w:r>
      <w:r w:rsidRPr="00EC43AA">
        <w:rPr>
          <w:szCs w:val="22"/>
        </w:rPr>
        <w:t>. Ailleurs — c'est la position de John Porter, mais elle trouve aussi un écho au Québec — on dénonce dans cette politique le mai</w:t>
      </w:r>
      <w:r w:rsidRPr="00EC43AA">
        <w:rPr>
          <w:szCs w:val="22"/>
        </w:rPr>
        <w:t>n</w:t>
      </w:r>
      <w:r w:rsidRPr="00EC43AA">
        <w:rPr>
          <w:szCs w:val="22"/>
        </w:rPr>
        <w:t>tien d'une ethnicité où l'on ne voit que le vestige de cultures perdues et surtout la perpétuation des ghettos, de la stratification ethnique et s</w:t>
      </w:r>
      <w:r w:rsidRPr="00EC43AA">
        <w:rPr>
          <w:szCs w:val="22"/>
        </w:rPr>
        <w:t>o</w:t>
      </w:r>
      <w:r w:rsidRPr="00EC43AA">
        <w:rPr>
          <w:szCs w:val="22"/>
        </w:rPr>
        <w:t xml:space="preserve">ciale mise en lumière dans </w:t>
      </w:r>
      <w:r w:rsidRPr="00EC43AA">
        <w:rPr>
          <w:i/>
          <w:iCs/>
          <w:szCs w:val="22"/>
        </w:rPr>
        <w:t>The Vertical Mosaic.</w:t>
      </w:r>
    </w:p>
    <w:p w:rsidR="00AD690E" w:rsidRPr="00EC43AA" w:rsidRDefault="00AD690E" w:rsidP="00AD690E">
      <w:pPr>
        <w:spacing w:before="120" w:after="120"/>
        <w:jc w:val="both"/>
      </w:pPr>
      <w:r w:rsidRPr="00EC43AA">
        <w:rPr>
          <w:szCs w:val="22"/>
        </w:rPr>
        <w:t>Tous les commentaires faits sur l'énoncé de cette politique cultur</w:t>
      </w:r>
      <w:r>
        <w:rPr>
          <w:szCs w:val="22"/>
        </w:rPr>
        <w:t>e</w:t>
      </w:r>
      <w:r>
        <w:rPr>
          <w:szCs w:val="22"/>
        </w:rPr>
        <w:t>l</w:t>
      </w:r>
      <w:r>
        <w:rPr>
          <w:szCs w:val="22"/>
        </w:rPr>
        <w:t>le en ont souligné les ambiguï</w:t>
      </w:r>
      <w:r w:rsidRPr="00EC43AA">
        <w:rPr>
          <w:szCs w:val="22"/>
        </w:rPr>
        <w:t>tés et les contradictions, en particulier en ce qui concerne le lien existant entre langue et culture. C'est ce qui fera dire à Jean Burnet, plusieurs a</w:t>
      </w:r>
      <w:r w:rsidRPr="00EC43AA">
        <w:rPr>
          <w:szCs w:val="22"/>
        </w:rPr>
        <w:t>n</w:t>
      </w:r>
      <w:r w:rsidRPr="00EC43AA">
        <w:rPr>
          <w:szCs w:val="22"/>
        </w:rPr>
        <w:t>nées plus tard, que là où l'on avait préféré parler de</w:t>
      </w:r>
      <w:r>
        <w:rPr>
          <w:szCs w:val="22"/>
        </w:rPr>
        <w:t xml:space="preserve"> </w:t>
      </w:r>
      <w:r>
        <w:rPr>
          <w:szCs w:val="18"/>
        </w:rPr>
        <w:t xml:space="preserve">[391] </w:t>
      </w:r>
      <w:r w:rsidRPr="00EC43AA">
        <w:rPr>
          <w:szCs w:val="22"/>
        </w:rPr>
        <w:t>multiculturalisme, on parlait en réalité de « pluriethnicité »</w:t>
      </w:r>
      <w:r>
        <w:rPr>
          <w:szCs w:val="22"/>
          <w:vertAlign w:val="superscript"/>
        </w:rPr>
        <w:t> </w:t>
      </w:r>
      <w:r>
        <w:rPr>
          <w:rStyle w:val="Appelnotedebasdep"/>
        </w:rPr>
        <w:footnoteReference w:id="657"/>
      </w:r>
      <w:r w:rsidRPr="00EC43AA">
        <w:rPr>
          <w:szCs w:val="22"/>
        </w:rPr>
        <w:t>. Pour sa part, au milieu du débat, Serge Losique conclut un article intitulé « Le mythe dangereux du multiculturali</w:t>
      </w:r>
      <w:r w:rsidRPr="00EC43AA">
        <w:rPr>
          <w:szCs w:val="22"/>
        </w:rPr>
        <w:t>s</w:t>
      </w:r>
      <w:r w:rsidRPr="00EC43AA">
        <w:rPr>
          <w:szCs w:val="22"/>
        </w:rPr>
        <w:t xml:space="preserve">me », par un </w:t>
      </w:r>
      <w:r w:rsidRPr="00EC43AA">
        <w:rPr>
          <w:i/>
          <w:iCs/>
          <w:szCs w:val="22"/>
        </w:rPr>
        <w:t xml:space="preserve">nota bene </w:t>
      </w:r>
      <w:r w:rsidRPr="00EC43AA">
        <w:rPr>
          <w:szCs w:val="22"/>
        </w:rPr>
        <w:t>qui fait peut-être preuve d'intuition : « Si, dans l'esprit du premier m</w:t>
      </w:r>
      <w:r w:rsidRPr="00EC43AA">
        <w:rPr>
          <w:szCs w:val="22"/>
        </w:rPr>
        <w:t>i</w:t>
      </w:r>
      <w:r w:rsidRPr="00EC43AA">
        <w:rPr>
          <w:szCs w:val="22"/>
        </w:rPr>
        <w:t xml:space="preserve">nistre, la culture signifie le folklore, alors il n'y </w:t>
      </w:r>
      <w:r>
        <w:rPr>
          <w:szCs w:val="22"/>
        </w:rPr>
        <w:t>a pas de quoi foue</w:t>
      </w:r>
      <w:r>
        <w:rPr>
          <w:szCs w:val="22"/>
        </w:rPr>
        <w:t>t</w:t>
      </w:r>
      <w:r>
        <w:rPr>
          <w:szCs w:val="22"/>
        </w:rPr>
        <w:t>ter un chat !</w:t>
      </w:r>
      <w:r>
        <w:rPr>
          <w:szCs w:val="22"/>
          <w:vertAlign w:val="superscript"/>
        </w:rPr>
        <w:t> </w:t>
      </w:r>
      <w:r>
        <w:rPr>
          <w:rStyle w:val="Appelnotedebasdep"/>
        </w:rPr>
        <w:footnoteReference w:id="658"/>
      </w:r>
      <w:r w:rsidRPr="00183B0F">
        <w:rPr>
          <w:szCs w:val="22"/>
        </w:rPr>
        <w:t> </w:t>
      </w:r>
      <w:r w:rsidRPr="00EC43AA">
        <w:rPr>
          <w:szCs w:val="22"/>
        </w:rPr>
        <w:t>»</w:t>
      </w:r>
    </w:p>
    <w:p w:rsidR="00AD690E" w:rsidRPr="00EC43AA" w:rsidRDefault="00AD690E" w:rsidP="00AD690E">
      <w:pPr>
        <w:spacing w:before="120" w:after="120"/>
        <w:jc w:val="both"/>
      </w:pPr>
      <w:r w:rsidRPr="00EC43AA">
        <w:rPr>
          <w:szCs w:val="22"/>
        </w:rPr>
        <w:t>L'Alberta, le Manitoba et l'Ontario sont les premières pr</w:t>
      </w:r>
      <w:r w:rsidRPr="00EC43AA">
        <w:rPr>
          <w:szCs w:val="22"/>
        </w:rPr>
        <w:t>o</w:t>
      </w:r>
      <w:r w:rsidRPr="00EC43AA">
        <w:rPr>
          <w:szCs w:val="22"/>
        </w:rPr>
        <w:t>vinces à emboîter le pas au gouvernement fédéral et annoncer peu après lui une politique de multiculturalisme. À la fin de la décennie, le Québec lui-même élaborera sa version de cette politique</w:t>
      </w:r>
      <w:r>
        <w:rPr>
          <w:szCs w:val="22"/>
          <w:vertAlign w:val="superscript"/>
        </w:rPr>
        <w:t> </w:t>
      </w:r>
      <w:r>
        <w:rPr>
          <w:rStyle w:val="Appelnotedebasdep"/>
        </w:rPr>
        <w:footnoteReference w:id="659"/>
      </w:r>
      <w:r w:rsidRPr="00EC43AA">
        <w:rPr>
          <w:szCs w:val="22"/>
        </w:rPr>
        <w:t>. Certes, cette déma</w:t>
      </w:r>
      <w:r w:rsidRPr="00EC43AA">
        <w:rPr>
          <w:szCs w:val="22"/>
        </w:rPr>
        <w:t>r</w:t>
      </w:r>
      <w:r w:rsidRPr="00EC43AA">
        <w:rPr>
          <w:szCs w:val="22"/>
        </w:rPr>
        <w:t>che ne contredit pas les efforts des gouvernements québécois pour o</w:t>
      </w:r>
      <w:r w:rsidRPr="00EC43AA">
        <w:rPr>
          <w:szCs w:val="22"/>
        </w:rPr>
        <w:t>b</w:t>
      </w:r>
      <w:r w:rsidRPr="00EC43AA">
        <w:rPr>
          <w:szCs w:val="22"/>
        </w:rPr>
        <w:t>tenir un meilleur contrôle de la composition et de la pratique linguist</w:t>
      </w:r>
      <w:r w:rsidRPr="00EC43AA">
        <w:rPr>
          <w:szCs w:val="22"/>
        </w:rPr>
        <w:t>i</w:t>
      </w:r>
      <w:r w:rsidRPr="00EC43AA">
        <w:rPr>
          <w:szCs w:val="22"/>
        </w:rPr>
        <w:t>ques de la population de la province. C'est d'abord à ce besoin que r</w:t>
      </w:r>
      <w:r w:rsidRPr="00EC43AA">
        <w:rPr>
          <w:szCs w:val="22"/>
        </w:rPr>
        <w:t>é</w:t>
      </w:r>
      <w:r w:rsidRPr="00EC43AA">
        <w:rPr>
          <w:szCs w:val="22"/>
        </w:rPr>
        <w:t>pond la création, en 1968, d'un ministère québécois de l'I</w:t>
      </w:r>
      <w:r w:rsidRPr="00EC43AA">
        <w:rPr>
          <w:szCs w:val="22"/>
        </w:rPr>
        <w:t>m</w:t>
      </w:r>
      <w:r w:rsidRPr="00EC43AA">
        <w:rPr>
          <w:szCs w:val="22"/>
        </w:rPr>
        <w:t>migration qui, en 1981, devient également celui des « communautés culture</w:t>
      </w:r>
      <w:r w:rsidRPr="00EC43AA">
        <w:rPr>
          <w:szCs w:val="22"/>
        </w:rPr>
        <w:t>l</w:t>
      </w:r>
      <w:r w:rsidRPr="00EC43AA">
        <w:rPr>
          <w:szCs w:val="22"/>
        </w:rPr>
        <w:t>les ». C'est également ce qui pousse le Qu</w:t>
      </w:r>
      <w:r w:rsidRPr="00EC43AA">
        <w:rPr>
          <w:szCs w:val="22"/>
        </w:rPr>
        <w:t>é</w:t>
      </w:r>
      <w:r w:rsidRPr="00EC43AA">
        <w:rPr>
          <w:szCs w:val="22"/>
        </w:rPr>
        <w:t>bec à obtenir un droit de regard sur la sélection des immigrants qui s'y dirigent. Mais par ai</w:t>
      </w:r>
      <w:r w:rsidRPr="00EC43AA">
        <w:rPr>
          <w:szCs w:val="22"/>
        </w:rPr>
        <w:t>l</w:t>
      </w:r>
      <w:r w:rsidRPr="00EC43AA">
        <w:rPr>
          <w:szCs w:val="22"/>
        </w:rPr>
        <w:t>leurs le fait qu'un gouvernement péquiste ait été amené à adopter, vo</w:t>
      </w:r>
      <w:r w:rsidRPr="00EC43AA">
        <w:rPr>
          <w:szCs w:val="22"/>
        </w:rPr>
        <w:t>i</w:t>
      </w:r>
      <w:r w:rsidRPr="00EC43AA">
        <w:rPr>
          <w:szCs w:val="22"/>
        </w:rPr>
        <w:t>re renforcer un programme dont l'énoncé avait causé tant d'émoi pa</w:t>
      </w:r>
      <w:r w:rsidRPr="00EC43AA">
        <w:rPr>
          <w:szCs w:val="22"/>
        </w:rPr>
        <w:t>r</w:t>
      </w:r>
      <w:r w:rsidRPr="00EC43AA">
        <w:rPr>
          <w:szCs w:val="22"/>
        </w:rPr>
        <w:t>mi les francophones est sans doute la meilleure indication de ce que les véritables enjeux du multiculturalisme, qu'il soit fédéral ou provi</w:t>
      </w:r>
      <w:r w:rsidRPr="00EC43AA">
        <w:rPr>
          <w:szCs w:val="22"/>
        </w:rPr>
        <w:t>n</w:t>
      </w:r>
      <w:r w:rsidRPr="00EC43AA">
        <w:rPr>
          <w:szCs w:val="22"/>
        </w:rPr>
        <w:t>cial, se situent au-delà des débats linguistique et const</w:t>
      </w:r>
      <w:r w:rsidRPr="00EC43AA">
        <w:rPr>
          <w:szCs w:val="22"/>
        </w:rPr>
        <w:t>i</w:t>
      </w:r>
      <w:r w:rsidRPr="00EC43AA">
        <w:rPr>
          <w:szCs w:val="22"/>
        </w:rPr>
        <w:t>tutionnel.</w:t>
      </w:r>
    </w:p>
    <w:p w:rsidR="00AD690E" w:rsidRDefault="00AD690E" w:rsidP="00AD690E">
      <w:pPr>
        <w:spacing w:before="120" w:after="120"/>
        <w:jc w:val="both"/>
        <w:rPr>
          <w:szCs w:val="22"/>
        </w:rPr>
      </w:pPr>
      <w:r>
        <w:rPr>
          <w:szCs w:val="22"/>
        </w:rPr>
        <w:br w:type="page"/>
      </w:r>
    </w:p>
    <w:p w:rsidR="00AD690E" w:rsidRDefault="00AD690E" w:rsidP="00AD690E">
      <w:pPr>
        <w:pStyle w:val="planche"/>
        <w:rPr>
          <w:vertAlign w:val="superscript"/>
        </w:rPr>
      </w:pPr>
      <w:r>
        <w:t>LE MULTICULTURALISME</w:t>
      </w:r>
      <w:r>
        <w:br/>
      </w:r>
      <w:r w:rsidRPr="00EC43AA">
        <w:t>ET LES DYNAMI</w:t>
      </w:r>
      <w:r w:rsidRPr="00EC43AA">
        <w:t>S</w:t>
      </w:r>
      <w:r w:rsidRPr="00EC43AA">
        <w:t>MES DE CLASSE</w:t>
      </w:r>
      <w:r>
        <w:rPr>
          <w:vertAlign w:val="superscript"/>
        </w:rPr>
        <w:t> </w:t>
      </w:r>
      <w:r>
        <w:rPr>
          <w:rStyle w:val="Appelnotedebasdep"/>
        </w:rPr>
        <w:footnoteReference w:id="660"/>
      </w:r>
    </w:p>
    <w:p w:rsidR="00AD690E" w:rsidRDefault="00AD690E" w:rsidP="00AD690E">
      <w:pPr>
        <w:spacing w:before="120" w:after="120"/>
        <w:jc w:val="both"/>
        <w:rPr>
          <w:szCs w:val="22"/>
          <w:vertAlign w:val="superscript"/>
        </w:rPr>
      </w:pPr>
    </w:p>
    <w:p w:rsidR="00AD690E" w:rsidRPr="00EC43AA" w:rsidRDefault="00AD690E" w:rsidP="00AD690E">
      <w:pPr>
        <w:spacing w:before="120" w:after="120"/>
        <w:jc w:val="both"/>
      </w:pPr>
      <w:r w:rsidRPr="00EC43AA">
        <w:rPr>
          <w:szCs w:val="22"/>
        </w:rPr>
        <w:t>Il serait naïf et superficiel de ne voir dans le multiculturalisme qu'une politique destinée à répondre aux besoins d'identité des minor</w:t>
      </w:r>
      <w:r w:rsidRPr="00EC43AA">
        <w:rPr>
          <w:szCs w:val="22"/>
        </w:rPr>
        <w:t>i</w:t>
      </w:r>
      <w:r w:rsidRPr="00EC43AA">
        <w:rPr>
          <w:szCs w:val="22"/>
        </w:rPr>
        <w:t>tés ethnoculturelles du pays. En réalité, son élaboration est étroitement liée à l'évolution particulière qu'a suivie le mouvement migratoire au Canada, surtout à partir des années 60. Or, nous le verrons, cette év</w:t>
      </w:r>
      <w:r w:rsidRPr="00EC43AA">
        <w:rPr>
          <w:szCs w:val="22"/>
        </w:rPr>
        <w:t>o</w:t>
      </w:r>
      <w:r w:rsidRPr="00EC43AA">
        <w:rPr>
          <w:szCs w:val="22"/>
        </w:rPr>
        <w:t>lution répond avant tout aux nouveaux besoins de l'accumulation cap</w:t>
      </w:r>
      <w:r w:rsidRPr="00EC43AA">
        <w:rPr>
          <w:szCs w:val="22"/>
        </w:rPr>
        <w:t>i</w:t>
      </w:r>
      <w:r w:rsidRPr="00EC43AA">
        <w:rPr>
          <w:szCs w:val="22"/>
        </w:rPr>
        <w:t>taliste : pour combler ces derniers, l'</w:t>
      </w:r>
      <w:r>
        <w:rPr>
          <w:szCs w:val="22"/>
        </w:rPr>
        <w:t>État</w:t>
      </w:r>
      <w:r w:rsidRPr="00EC43AA">
        <w:rPr>
          <w:szCs w:val="22"/>
        </w:rPr>
        <w:t xml:space="preserve"> libéral canadien est amené à intervenir sur le terrain de l'offre internationale de la main-d'</w:t>
      </w:r>
      <w:r>
        <w:rPr>
          <w:szCs w:val="22"/>
        </w:rPr>
        <w:t>œuvre</w:t>
      </w:r>
      <w:r w:rsidRPr="00EC43AA">
        <w:rPr>
          <w:szCs w:val="22"/>
        </w:rPr>
        <w:t xml:space="preserve"> et de modifier ses c</w:t>
      </w:r>
      <w:r w:rsidRPr="00EC43AA">
        <w:rPr>
          <w:szCs w:val="22"/>
        </w:rPr>
        <w:t>a</w:t>
      </w:r>
      <w:r w:rsidRPr="00EC43AA">
        <w:rPr>
          <w:szCs w:val="22"/>
        </w:rPr>
        <w:t>ractéristiques socio-économiques. Ce faisant, il s'ouvre à des dynamiques de classe qui ne tarderont pas à se manife</w:t>
      </w:r>
      <w:r w:rsidRPr="00EC43AA">
        <w:rPr>
          <w:szCs w:val="22"/>
        </w:rPr>
        <w:t>s</w:t>
      </w:r>
      <w:r w:rsidRPr="00EC43AA">
        <w:rPr>
          <w:szCs w:val="22"/>
        </w:rPr>
        <w:t>ter à travers le pays. Aussi, bien qu'il soit présenté comme une expre</w:t>
      </w:r>
      <w:r w:rsidRPr="00EC43AA">
        <w:rPr>
          <w:szCs w:val="22"/>
        </w:rPr>
        <w:t>s</w:t>
      </w:r>
      <w:r w:rsidRPr="00EC43AA">
        <w:rPr>
          <w:szCs w:val="22"/>
        </w:rPr>
        <w:t>sion du pl</w:t>
      </w:r>
      <w:r w:rsidRPr="00EC43AA">
        <w:rPr>
          <w:szCs w:val="22"/>
        </w:rPr>
        <w:t>u</w:t>
      </w:r>
      <w:r w:rsidRPr="00EC43AA">
        <w:rPr>
          <w:szCs w:val="22"/>
        </w:rPr>
        <w:t>ralisme</w:t>
      </w:r>
      <w:r>
        <w:rPr>
          <w:szCs w:val="22"/>
        </w:rPr>
        <w:t xml:space="preserve"> </w:t>
      </w:r>
      <w:r>
        <w:rPr>
          <w:szCs w:val="18"/>
        </w:rPr>
        <w:t>[</w:t>
      </w:r>
      <w:r w:rsidRPr="00EC43AA">
        <w:rPr>
          <w:szCs w:val="22"/>
        </w:rPr>
        <w:t>392</w:t>
      </w:r>
      <w:r>
        <w:rPr>
          <w:szCs w:val="22"/>
        </w:rPr>
        <w:t xml:space="preserve">] </w:t>
      </w:r>
      <w:r w:rsidRPr="00EC43AA">
        <w:rPr>
          <w:szCs w:val="22"/>
        </w:rPr>
        <w:t>ethnoculturel et donc comme une politique culturelle, le discours multiculturaliste cache en fait une certaine i</w:t>
      </w:r>
      <w:r w:rsidRPr="00EC43AA">
        <w:rPr>
          <w:szCs w:val="22"/>
        </w:rPr>
        <w:t>n</w:t>
      </w:r>
      <w:r w:rsidRPr="00EC43AA">
        <w:rPr>
          <w:szCs w:val="22"/>
        </w:rPr>
        <w:t>quiétude face à des dynamiques de classes propres au phénomène m</w:t>
      </w:r>
      <w:r w:rsidRPr="00EC43AA">
        <w:rPr>
          <w:szCs w:val="22"/>
        </w:rPr>
        <w:t>i</w:t>
      </w:r>
      <w:r w:rsidRPr="00EC43AA">
        <w:rPr>
          <w:szCs w:val="22"/>
        </w:rPr>
        <w:t>gratoire et au contexte inte</w:t>
      </w:r>
      <w:r w:rsidRPr="00EC43AA">
        <w:rPr>
          <w:szCs w:val="22"/>
        </w:rPr>
        <w:t>r</w:t>
      </w:r>
      <w:r w:rsidRPr="00EC43AA">
        <w:rPr>
          <w:szCs w:val="22"/>
        </w:rPr>
        <w:t>national des années 60 et 70.</w:t>
      </w:r>
    </w:p>
    <w:p w:rsidR="00AD690E" w:rsidRPr="00EC43AA" w:rsidRDefault="00AD690E" w:rsidP="00AD690E">
      <w:pPr>
        <w:spacing w:before="120" w:after="120"/>
        <w:jc w:val="both"/>
      </w:pPr>
      <w:r w:rsidRPr="00EC43AA">
        <w:rPr>
          <w:szCs w:val="22"/>
        </w:rPr>
        <w:t>Dans la perspective keynésienne d'une croissance équil</w:t>
      </w:r>
      <w:r w:rsidRPr="00EC43AA">
        <w:rPr>
          <w:szCs w:val="22"/>
        </w:rPr>
        <w:t>i</w:t>
      </w:r>
      <w:r w:rsidRPr="00EC43AA">
        <w:rPr>
          <w:szCs w:val="22"/>
        </w:rPr>
        <w:t>brée que défendent les technocrates libéraux des années 60, le marché du tr</w:t>
      </w:r>
      <w:r w:rsidRPr="00EC43AA">
        <w:rPr>
          <w:szCs w:val="22"/>
        </w:rPr>
        <w:t>a</w:t>
      </w:r>
      <w:r w:rsidRPr="00EC43AA">
        <w:rPr>
          <w:szCs w:val="22"/>
        </w:rPr>
        <w:t>vail apparaît de moins en moins comme le produit de forces économ</w:t>
      </w:r>
      <w:r w:rsidRPr="00EC43AA">
        <w:rPr>
          <w:szCs w:val="22"/>
        </w:rPr>
        <w:t>i</w:t>
      </w:r>
      <w:r w:rsidRPr="00EC43AA">
        <w:rPr>
          <w:szCs w:val="22"/>
        </w:rPr>
        <w:t>ques et de plus en plus comme le lieu privilégié de l'intervention go</w:t>
      </w:r>
      <w:r w:rsidRPr="00EC43AA">
        <w:rPr>
          <w:szCs w:val="22"/>
        </w:rPr>
        <w:t>u</w:t>
      </w:r>
      <w:r w:rsidRPr="00EC43AA">
        <w:rPr>
          <w:szCs w:val="22"/>
        </w:rPr>
        <w:t>vernementale directe. Dans ce contexte de révision, on conclut d'e</w:t>
      </w:r>
      <w:r w:rsidRPr="00EC43AA">
        <w:rPr>
          <w:szCs w:val="22"/>
        </w:rPr>
        <w:t>m</w:t>
      </w:r>
      <w:r w:rsidRPr="00EC43AA">
        <w:rPr>
          <w:szCs w:val="22"/>
        </w:rPr>
        <w:t>blée à une baisse des besoins de tr</w:t>
      </w:r>
      <w:r w:rsidRPr="00EC43AA">
        <w:rPr>
          <w:szCs w:val="22"/>
        </w:rPr>
        <w:t>a</w:t>
      </w:r>
      <w:r w:rsidRPr="00EC43AA">
        <w:rPr>
          <w:szCs w:val="22"/>
        </w:rPr>
        <w:t>vailleurs immigrants non qualifiés. On estime, en d'autres mots, que les conditions sont réunies pour un approvisionn</w:t>
      </w:r>
      <w:r w:rsidRPr="00EC43AA">
        <w:rPr>
          <w:szCs w:val="22"/>
        </w:rPr>
        <w:t>e</w:t>
      </w:r>
      <w:r w:rsidRPr="00EC43AA">
        <w:rPr>
          <w:szCs w:val="22"/>
        </w:rPr>
        <w:t>ment adéquat en main-d'</w:t>
      </w:r>
      <w:r>
        <w:rPr>
          <w:szCs w:val="22"/>
        </w:rPr>
        <w:t>œuvre</w:t>
      </w:r>
      <w:r w:rsidRPr="00EC43AA">
        <w:rPr>
          <w:szCs w:val="22"/>
        </w:rPr>
        <w:t xml:space="preserve"> non qualifiée à même la population canadienne. D'où la nécessité de mesures propres à re</w:t>
      </w:r>
      <w:r w:rsidRPr="00EC43AA">
        <w:rPr>
          <w:szCs w:val="22"/>
        </w:rPr>
        <w:t>s</w:t>
      </w:r>
      <w:r w:rsidRPr="00EC43AA">
        <w:rPr>
          <w:szCs w:val="22"/>
        </w:rPr>
        <w:t>treindre l'afflux de tr</w:t>
      </w:r>
      <w:r w:rsidRPr="00EC43AA">
        <w:rPr>
          <w:szCs w:val="22"/>
        </w:rPr>
        <w:t>a</w:t>
      </w:r>
      <w:r w:rsidRPr="00EC43AA">
        <w:rPr>
          <w:szCs w:val="22"/>
        </w:rPr>
        <w:t>vailleurs immigrants non qualifiés, un afflux qu'on avait provoqué en grande partie grâce au système de pa</w:t>
      </w:r>
      <w:r w:rsidRPr="00EC43AA">
        <w:rPr>
          <w:szCs w:val="22"/>
        </w:rPr>
        <w:t>r</w:t>
      </w:r>
      <w:r w:rsidRPr="00EC43AA">
        <w:rPr>
          <w:szCs w:val="22"/>
        </w:rPr>
        <w:t>rainage.</w:t>
      </w:r>
    </w:p>
    <w:p w:rsidR="00AD690E" w:rsidRPr="00EC43AA" w:rsidRDefault="00AD690E" w:rsidP="00AD690E">
      <w:pPr>
        <w:spacing w:before="120" w:after="120"/>
        <w:jc w:val="both"/>
      </w:pPr>
      <w:r w:rsidRPr="00EC43AA">
        <w:rPr>
          <w:szCs w:val="22"/>
        </w:rPr>
        <w:t>Cette nouvelle orientation, en gestation dès l'accession au pouvoir du gouvernement libéral de Pearson, se précise à m</w:t>
      </w:r>
      <w:r w:rsidRPr="00EC43AA">
        <w:rPr>
          <w:szCs w:val="22"/>
        </w:rPr>
        <w:t>e</w:t>
      </w:r>
      <w:r w:rsidRPr="00EC43AA">
        <w:rPr>
          <w:szCs w:val="22"/>
        </w:rPr>
        <w:t>sure que se fait sentir le besoin de mieux articuler le marché du travail aux demandes d'une économie en plein essor. Elle se co</w:t>
      </w:r>
      <w:r w:rsidRPr="00EC43AA">
        <w:rPr>
          <w:szCs w:val="22"/>
        </w:rPr>
        <w:t>n</w:t>
      </w:r>
      <w:r w:rsidRPr="00EC43AA">
        <w:rPr>
          <w:szCs w:val="22"/>
        </w:rPr>
        <w:t xml:space="preserve">crétise et se traduit en 1967 par les politiques inscrites dans le </w:t>
      </w:r>
      <w:r w:rsidRPr="00EC43AA">
        <w:rPr>
          <w:i/>
          <w:iCs/>
          <w:szCs w:val="22"/>
        </w:rPr>
        <w:t xml:space="preserve">Livre blanc sur l'immigration. </w:t>
      </w:r>
      <w:r w:rsidRPr="00EC43AA">
        <w:rPr>
          <w:szCs w:val="22"/>
        </w:rPr>
        <w:t>On confie alors à un nouveau ministère fédéral, celui de la Main-d'</w:t>
      </w:r>
      <w:r>
        <w:rPr>
          <w:szCs w:val="22"/>
        </w:rPr>
        <w:t>œuvre</w:t>
      </w:r>
      <w:r w:rsidRPr="00EC43AA">
        <w:rPr>
          <w:szCs w:val="22"/>
        </w:rPr>
        <w:t xml:space="preserve"> et de l'Immigration, la tâche de coordo</w:t>
      </w:r>
      <w:r w:rsidRPr="00EC43AA">
        <w:rPr>
          <w:szCs w:val="22"/>
        </w:rPr>
        <w:t>n</w:t>
      </w:r>
      <w:r w:rsidRPr="00EC43AA">
        <w:rPr>
          <w:szCs w:val="22"/>
        </w:rPr>
        <w:t>ner les besoins du pays en main-d'</w:t>
      </w:r>
      <w:r>
        <w:rPr>
          <w:szCs w:val="22"/>
        </w:rPr>
        <w:t>œuvre</w:t>
      </w:r>
      <w:r w:rsidRPr="00EC43AA">
        <w:rPr>
          <w:szCs w:val="22"/>
        </w:rPr>
        <w:t xml:space="preserve"> avec le recrutement de travailleurs immigrants. Simu</w:t>
      </w:r>
      <w:r w:rsidRPr="00EC43AA">
        <w:rPr>
          <w:szCs w:val="22"/>
        </w:rPr>
        <w:t>l</w:t>
      </w:r>
      <w:r w:rsidRPr="00EC43AA">
        <w:rPr>
          <w:szCs w:val="22"/>
        </w:rPr>
        <w:t>tanément, le gouvernement lance un programme nati</w:t>
      </w:r>
      <w:r w:rsidRPr="00EC43AA">
        <w:rPr>
          <w:szCs w:val="22"/>
        </w:rPr>
        <w:t>o</w:t>
      </w:r>
      <w:r w:rsidRPr="00EC43AA">
        <w:rPr>
          <w:szCs w:val="22"/>
        </w:rPr>
        <w:t>nal d'expansion des centres de recyclage pour les adultes et des instituts de technol</w:t>
      </w:r>
      <w:r w:rsidRPr="00EC43AA">
        <w:rPr>
          <w:szCs w:val="22"/>
        </w:rPr>
        <w:t>o</w:t>
      </w:r>
      <w:r w:rsidRPr="00EC43AA">
        <w:rPr>
          <w:szCs w:val="22"/>
        </w:rPr>
        <w:t>gie. En outre le gouvernement a</w:t>
      </w:r>
      <w:r w:rsidRPr="00EC43AA">
        <w:rPr>
          <w:szCs w:val="22"/>
        </w:rPr>
        <w:t>p</w:t>
      </w:r>
      <w:r w:rsidRPr="00EC43AA">
        <w:rPr>
          <w:szCs w:val="22"/>
        </w:rPr>
        <w:t>plique à l'immigration le principe de l'universalité (l'admission sans égard à la nationalité, la race, la co</w:t>
      </w:r>
      <w:r w:rsidRPr="00EC43AA">
        <w:rPr>
          <w:szCs w:val="22"/>
        </w:rPr>
        <w:t>u</w:t>
      </w:r>
      <w:r w:rsidRPr="00EC43AA">
        <w:rPr>
          <w:szCs w:val="22"/>
        </w:rPr>
        <w:t>leur ou la religion), sanctionné en 1962, mais demeuré jusque-là un geste symbolique. C</w:t>
      </w:r>
      <w:r w:rsidRPr="00EC43AA">
        <w:rPr>
          <w:szCs w:val="22"/>
        </w:rPr>
        <w:t>e</w:t>
      </w:r>
      <w:r w:rsidRPr="00EC43AA">
        <w:rPr>
          <w:szCs w:val="22"/>
        </w:rPr>
        <w:t>la constitue, tout compte fait, une libéralisation des politiques d'immigration. Le Canada essaie ainsi de co</w:t>
      </w:r>
      <w:r w:rsidRPr="00EC43AA">
        <w:rPr>
          <w:szCs w:val="22"/>
        </w:rPr>
        <w:t>n</w:t>
      </w:r>
      <w:r w:rsidRPr="00EC43AA">
        <w:rPr>
          <w:szCs w:val="22"/>
        </w:rPr>
        <w:t>quérir une position plus avantageuse sur le marché international de la main-d'</w:t>
      </w:r>
      <w:r>
        <w:rPr>
          <w:szCs w:val="22"/>
        </w:rPr>
        <w:t>œuvre</w:t>
      </w:r>
      <w:r w:rsidRPr="00EC43AA">
        <w:rPr>
          <w:szCs w:val="22"/>
        </w:rPr>
        <w:t>, en partie pour pallier au déclin des arrivées en provenance des sources trad</w:t>
      </w:r>
      <w:r w:rsidRPr="00EC43AA">
        <w:rPr>
          <w:szCs w:val="22"/>
        </w:rPr>
        <w:t>i</w:t>
      </w:r>
      <w:r w:rsidRPr="00EC43AA">
        <w:rPr>
          <w:szCs w:val="22"/>
        </w:rPr>
        <w:t>tionnelles d'immigration. Il y parvient à la fois en élargissant l'aire d'approvisionnement en travailleurs immigrants et en améliorant les qualifications des no</w:t>
      </w:r>
      <w:r w:rsidRPr="00EC43AA">
        <w:rPr>
          <w:szCs w:val="22"/>
        </w:rPr>
        <w:t>u</w:t>
      </w:r>
      <w:r w:rsidRPr="00EC43AA">
        <w:rPr>
          <w:szCs w:val="22"/>
        </w:rPr>
        <w:t>velles recrues.</w:t>
      </w:r>
    </w:p>
    <w:p w:rsidR="00AD690E" w:rsidRPr="00EC43AA" w:rsidRDefault="00AD690E" w:rsidP="00AD690E">
      <w:pPr>
        <w:spacing w:before="120" w:after="120"/>
        <w:jc w:val="both"/>
      </w:pPr>
      <w:r w:rsidRPr="00EC43AA">
        <w:rPr>
          <w:szCs w:val="22"/>
        </w:rPr>
        <w:t>Aussi l'effet le plus direct des nouvelles politiques est-il la forte contraction du « mouvement de parrainage ». On met la hache dans le mouvement par crainte qu'il ne contienne un « potentiel de croissance explosive », que « les travailleurs non qualifiés ne constituent une part accrue de la vague migr</w:t>
      </w:r>
      <w:r w:rsidRPr="00EC43AA">
        <w:rPr>
          <w:szCs w:val="22"/>
        </w:rPr>
        <w:t>a</w:t>
      </w:r>
      <w:r w:rsidRPr="00EC43AA">
        <w:rPr>
          <w:szCs w:val="22"/>
        </w:rPr>
        <w:t>toire » et devant l'évidence d'un « déclin de la proportion d'emplois exigeant peu d'instruction ou de qualification ». D</w:t>
      </w:r>
      <w:r w:rsidRPr="00EC43AA">
        <w:rPr>
          <w:szCs w:val="22"/>
        </w:rPr>
        <w:t>é</w:t>
      </w:r>
      <w:r w:rsidRPr="00EC43AA">
        <w:rPr>
          <w:szCs w:val="22"/>
        </w:rPr>
        <w:t>sormais, seuls les membres de la famille immédiate peuvent entrer au pays en qualité d'immigrants parrainés, pour des motifs dits hum</w:t>
      </w:r>
      <w:r w:rsidRPr="00EC43AA">
        <w:rPr>
          <w:szCs w:val="22"/>
        </w:rPr>
        <w:t>a</w:t>
      </w:r>
      <w:r w:rsidRPr="00EC43AA">
        <w:rPr>
          <w:szCs w:val="22"/>
        </w:rPr>
        <w:t>nitaires, — c'est-à-dire, afin de préserver le pri</w:t>
      </w:r>
      <w:r w:rsidRPr="00EC43AA">
        <w:rPr>
          <w:szCs w:val="22"/>
        </w:rPr>
        <w:t>n</w:t>
      </w:r>
      <w:r w:rsidRPr="00EC43AA">
        <w:rPr>
          <w:szCs w:val="22"/>
        </w:rPr>
        <w:t>cipe de la réunion des familles. En même temps, en vue de s</w:t>
      </w:r>
      <w:r w:rsidRPr="00EC43AA">
        <w:rPr>
          <w:szCs w:val="22"/>
        </w:rPr>
        <w:t>a</w:t>
      </w:r>
      <w:r w:rsidRPr="00EC43AA">
        <w:rPr>
          <w:szCs w:val="22"/>
        </w:rPr>
        <w:t>tisfaire les besoins courants</w:t>
      </w:r>
      <w:r>
        <w:rPr>
          <w:szCs w:val="22"/>
        </w:rPr>
        <w:t xml:space="preserve"> </w:t>
      </w:r>
      <w:r>
        <w:t xml:space="preserve">[393] </w:t>
      </w:r>
      <w:r w:rsidRPr="00EC43AA">
        <w:rPr>
          <w:szCs w:val="22"/>
        </w:rPr>
        <w:t>et futurs en travailleurs mieux qualifiés et « recyclables », on crée une nouvelle catégorie d'immigrants : les « parents dés</w:t>
      </w:r>
      <w:r w:rsidRPr="00EC43AA">
        <w:rPr>
          <w:szCs w:val="22"/>
        </w:rPr>
        <w:t>i</w:t>
      </w:r>
      <w:r w:rsidRPr="00EC43AA">
        <w:rPr>
          <w:szCs w:val="22"/>
        </w:rPr>
        <w:t>gnés »</w:t>
      </w:r>
      <w:r>
        <w:rPr>
          <w:szCs w:val="22"/>
          <w:vertAlign w:val="superscript"/>
        </w:rPr>
        <w:t> </w:t>
      </w:r>
      <w:r>
        <w:rPr>
          <w:rStyle w:val="Appelnotedebasdep"/>
        </w:rPr>
        <w:footnoteReference w:id="661"/>
      </w:r>
      <w:r w:rsidRPr="00EC43AA">
        <w:rPr>
          <w:szCs w:val="22"/>
        </w:rPr>
        <w:t>.</w:t>
      </w:r>
    </w:p>
    <w:p w:rsidR="00AD690E" w:rsidRPr="00EC43AA" w:rsidRDefault="00AD690E" w:rsidP="00AD690E">
      <w:pPr>
        <w:spacing w:before="120" w:after="120"/>
        <w:jc w:val="both"/>
      </w:pPr>
      <w:r w:rsidRPr="00EC43AA">
        <w:rPr>
          <w:szCs w:val="22"/>
        </w:rPr>
        <w:t>Les critères de sélection et d'admission des parents désignés rep</w:t>
      </w:r>
      <w:r w:rsidRPr="00EC43AA">
        <w:rPr>
          <w:szCs w:val="22"/>
        </w:rPr>
        <w:t>o</w:t>
      </w:r>
      <w:r w:rsidRPr="00EC43AA">
        <w:rPr>
          <w:szCs w:val="22"/>
        </w:rPr>
        <w:t>sent en tout premier lieu sur une évaluation des tendances à long te</w:t>
      </w:r>
      <w:r w:rsidRPr="00EC43AA">
        <w:rPr>
          <w:szCs w:val="22"/>
        </w:rPr>
        <w:t>r</w:t>
      </w:r>
      <w:r w:rsidRPr="00EC43AA">
        <w:rPr>
          <w:szCs w:val="22"/>
        </w:rPr>
        <w:t>me du marché du travail au Canada. Voilà pourquoi, sur un total de 100 points, 70 concernent des fa</w:t>
      </w:r>
      <w:r w:rsidRPr="00EC43AA">
        <w:rPr>
          <w:szCs w:val="22"/>
        </w:rPr>
        <w:t>c</w:t>
      </w:r>
      <w:r w:rsidRPr="00EC43AA">
        <w:rPr>
          <w:szCs w:val="22"/>
        </w:rPr>
        <w:t>teurs tels que « l'instruction et la formation, les offres d'emploi dans la profession, la compétence pr</w:t>
      </w:r>
      <w:r w:rsidRPr="00EC43AA">
        <w:rPr>
          <w:szCs w:val="22"/>
        </w:rPr>
        <w:t>o</w:t>
      </w:r>
      <w:r w:rsidRPr="00EC43AA">
        <w:rPr>
          <w:szCs w:val="22"/>
        </w:rPr>
        <w:t>fessionnelle, la personnalité et l'âge » ; les 30 autres points du système d'appréciation ont trait aux dispositions relatives à l'ét</w:t>
      </w:r>
      <w:r w:rsidRPr="00EC43AA">
        <w:rPr>
          <w:szCs w:val="22"/>
        </w:rPr>
        <w:t>a</w:t>
      </w:r>
      <w:r w:rsidRPr="00EC43AA">
        <w:rPr>
          <w:szCs w:val="22"/>
        </w:rPr>
        <w:t>blissement.</w:t>
      </w:r>
    </w:p>
    <w:p w:rsidR="00AD690E" w:rsidRPr="00EC43AA" w:rsidRDefault="00AD690E" w:rsidP="00AD690E">
      <w:pPr>
        <w:spacing w:before="120" w:after="120"/>
        <w:jc w:val="both"/>
      </w:pPr>
      <w:r w:rsidRPr="00EC43AA">
        <w:rPr>
          <w:szCs w:val="22"/>
        </w:rPr>
        <w:t>Entre 1968 et 1973, la réduction marquée dans l'afflux des imm</w:t>
      </w:r>
      <w:r w:rsidRPr="00EC43AA">
        <w:rPr>
          <w:szCs w:val="22"/>
        </w:rPr>
        <w:t>i</w:t>
      </w:r>
      <w:r w:rsidRPr="00EC43AA">
        <w:rPr>
          <w:szCs w:val="22"/>
        </w:rPr>
        <w:t>grants parrainés se trouve plus que compensée par les a</w:t>
      </w:r>
      <w:r w:rsidRPr="00EC43AA">
        <w:rPr>
          <w:szCs w:val="22"/>
        </w:rPr>
        <w:t>r</w:t>
      </w:r>
      <w:r w:rsidRPr="00EC43AA">
        <w:rPr>
          <w:szCs w:val="22"/>
        </w:rPr>
        <w:t>rivées de la nouvelle catégorie. Quant à « l'immigrant indépendant » — une cat</w:t>
      </w:r>
      <w:r w:rsidRPr="00EC43AA">
        <w:rPr>
          <w:szCs w:val="22"/>
        </w:rPr>
        <w:t>é</w:t>
      </w:r>
      <w:r w:rsidRPr="00EC43AA">
        <w:rPr>
          <w:szCs w:val="22"/>
        </w:rPr>
        <w:t>gorie qui avait toujours existé — son afflux conserve son cours relat</w:t>
      </w:r>
      <w:r w:rsidRPr="00EC43AA">
        <w:rPr>
          <w:szCs w:val="22"/>
        </w:rPr>
        <w:t>i</w:t>
      </w:r>
      <w:r w:rsidRPr="00EC43AA">
        <w:rPr>
          <w:szCs w:val="22"/>
        </w:rPr>
        <w:t>vement autonome, car la sélection et l'admission dépendent entièr</w:t>
      </w:r>
      <w:r w:rsidRPr="00EC43AA">
        <w:rPr>
          <w:szCs w:val="22"/>
        </w:rPr>
        <w:t>e</w:t>
      </w:r>
      <w:r w:rsidRPr="00EC43AA">
        <w:rPr>
          <w:szCs w:val="22"/>
        </w:rPr>
        <w:t>ment de l'état du marché</w:t>
      </w:r>
      <w:r>
        <w:rPr>
          <w:szCs w:val="22"/>
          <w:vertAlign w:val="superscript"/>
        </w:rPr>
        <w:t> </w:t>
      </w:r>
      <w:r>
        <w:rPr>
          <w:rStyle w:val="Appelnotedebasdep"/>
        </w:rPr>
        <w:footnoteReference w:id="662"/>
      </w:r>
      <w:r w:rsidRPr="00EC43AA">
        <w:rPr>
          <w:szCs w:val="22"/>
        </w:rPr>
        <w:t>.</w:t>
      </w:r>
    </w:p>
    <w:p w:rsidR="00AD690E" w:rsidRPr="00EC43AA" w:rsidRDefault="00AD690E" w:rsidP="00AD690E">
      <w:pPr>
        <w:spacing w:before="120" w:after="120"/>
        <w:jc w:val="both"/>
      </w:pPr>
      <w:r w:rsidRPr="00EC43AA">
        <w:rPr>
          <w:szCs w:val="22"/>
        </w:rPr>
        <w:t>La nouvelle catégorie des « désignés » a souvent été prése</w:t>
      </w:r>
      <w:r w:rsidRPr="00EC43AA">
        <w:rPr>
          <w:szCs w:val="22"/>
        </w:rPr>
        <w:t>n</w:t>
      </w:r>
      <w:r w:rsidRPr="00EC43AA">
        <w:rPr>
          <w:szCs w:val="22"/>
        </w:rPr>
        <w:t>tée par les responsables de la politique comme une sorte de compromis entre ceux qui voulaient conserver intact le sy</w:t>
      </w:r>
      <w:r w:rsidRPr="00EC43AA">
        <w:rPr>
          <w:szCs w:val="22"/>
        </w:rPr>
        <w:t>s</w:t>
      </w:r>
      <w:r w:rsidRPr="00EC43AA">
        <w:rPr>
          <w:szCs w:val="22"/>
        </w:rPr>
        <w:t>tème de parrainage et ceux qui voulaient le supprimer complètement. En effet, l'immigrant dés</w:t>
      </w:r>
      <w:r w:rsidRPr="00EC43AA">
        <w:rPr>
          <w:szCs w:val="22"/>
        </w:rPr>
        <w:t>i</w:t>
      </w:r>
      <w:r w:rsidRPr="00EC43AA">
        <w:rPr>
          <w:szCs w:val="22"/>
        </w:rPr>
        <w:t>gné représente un élément social très important dans l'évolution de la stratégie du capital face au ma</w:t>
      </w:r>
      <w:r w:rsidRPr="00EC43AA">
        <w:rPr>
          <w:szCs w:val="22"/>
        </w:rPr>
        <w:t>r</w:t>
      </w:r>
      <w:r w:rsidRPr="00EC43AA">
        <w:rPr>
          <w:szCs w:val="22"/>
        </w:rPr>
        <w:t xml:space="preserve">ché du travail. Il concrétise le transfert (du point de vue des sources de </w:t>
      </w:r>
      <w:r>
        <w:rPr>
          <w:szCs w:val="22"/>
        </w:rPr>
        <w:t>main-d’œuvre</w:t>
      </w:r>
      <w:r w:rsidRPr="00EC43AA">
        <w:rPr>
          <w:szCs w:val="22"/>
        </w:rPr>
        <w:t xml:space="preserve"> immigrante) des tr</w:t>
      </w:r>
      <w:r w:rsidRPr="00EC43AA">
        <w:rPr>
          <w:szCs w:val="22"/>
        </w:rPr>
        <w:t>a</w:t>
      </w:r>
      <w:r w:rsidRPr="00EC43AA">
        <w:rPr>
          <w:szCs w:val="22"/>
        </w:rPr>
        <w:t>vailleurs non qualifiés aux travailleurs spécialisés. Dans le nouveau contexte d'une économie en expansion et de plus en plus divers</w:t>
      </w:r>
      <w:r w:rsidRPr="00EC43AA">
        <w:rPr>
          <w:szCs w:val="22"/>
        </w:rPr>
        <w:t>i</w:t>
      </w:r>
      <w:r w:rsidRPr="00EC43AA">
        <w:rPr>
          <w:szCs w:val="22"/>
        </w:rPr>
        <w:t>fiée, ce type de main-d'</w:t>
      </w:r>
      <w:r>
        <w:rPr>
          <w:szCs w:val="22"/>
        </w:rPr>
        <w:t>œuvre</w:t>
      </w:r>
      <w:r w:rsidRPr="00EC43AA">
        <w:rPr>
          <w:szCs w:val="22"/>
        </w:rPr>
        <w:t xml:space="preserve"> semble devoir jouer un rôle cap</w:t>
      </w:r>
      <w:r w:rsidRPr="00EC43AA">
        <w:rPr>
          <w:szCs w:val="22"/>
        </w:rPr>
        <w:t>i</w:t>
      </w:r>
      <w:r w:rsidRPr="00EC43AA">
        <w:rPr>
          <w:szCs w:val="22"/>
        </w:rPr>
        <w:t>tal dans la dynamique du marché du travail : sa disponibilité et sa grande versat</w:t>
      </w:r>
      <w:r w:rsidRPr="00EC43AA">
        <w:rPr>
          <w:szCs w:val="22"/>
        </w:rPr>
        <w:t>i</w:t>
      </w:r>
      <w:r w:rsidRPr="00EC43AA">
        <w:rPr>
          <w:szCs w:val="22"/>
        </w:rPr>
        <w:t>lité, combinées à la dépendance économique vis-à-vis les parents h</w:t>
      </w:r>
      <w:r w:rsidRPr="00EC43AA">
        <w:rPr>
          <w:szCs w:val="22"/>
        </w:rPr>
        <w:t>ô</w:t>
      </w:r>
      <w:r w:rsidRPr="00EC43AA">
        <w:rPr>
          <w:szCs w:val="22"/>
        </w:rPr>
        <w:t>tes, devraient lui assurer la fluidité indispensable. Dans ce climat d'o</w:t>
      </w:r>
      <w:r w:rsidRPr="00EC43AA">
        <w:rPr>
          <w:szCs w:val="22"/>
        </w:rPr>
        <w:t>p</w:t>
      </w:r>
      <w:r w:rsidRPr="00EC43AA">
        <w:rPr>
          <w:szCs w:val="22"/>
        </w:rPr>
        <w:t>timisme technocr</w:t>
      </w:r>
      <w:r w:rsidRPr="00EC43AA">
        <w:rPr>
          <w:szCs w:val="22"/>
        </w:rPr>
        <w:t>a</w:t>
      </w:r>
      <w:r w:rsidRPr="00EC43AA">
        <w:rPr>
          <w:szCs w:val="22"/>
        </w:rPr>
        <w:t>tique, qui pouvait deviner que neuf ans plus tard l'immigrant désigné d</w:t>
      </w:r>
      <w:r w:rsidRPr="00EC43AA">
        <w:rPr>
          <w:szCs w:val="22"/>
        </w:rPr>
        <w:t>e</w:t>
      </w:r>
      <w:r w:rsidRPr="00EC43AA">
        <w:rPr>
          <w:szCs w:val="22"/>
        </w:rPr>
        <w:t>viendrait la principale cible d'une nouvelle loi d'imm</w:t>
      </w:r>
      <w:r w:rsidRPr="00EC43AA">
        <w:rPr>
          <w:szCs w:val="22"/>
        </w:rPr>
        <w:t>i</w:t>
      </w:r>
      <w:r w:rsidRPr="00EC43AA">
        <w:rPr>
          <w:szCs w:val="22"/>
        </w:rPr>
        <w:t>gration ?</w:t>
      </w:r>
    </w:p>
    <w:p w:rsidR="00AD690E" w:rsidRPr="00EC43AA" w:rsidRDefault="00AD690E" w:rsidP="00AD690E">
      <w:pPr>
        <w:spacing w:before="120" w:after="120"/>
        <w:jc w:val="both"/>
      </w:pPr>
      <w:r w:rsidRPr="00EC43AA">
        <w:rPr>
          <w:szCs w:val="22"/>
        </w:rPr>
        <w:t>Le capital peut marchander ; il peut planifier la quantité, la qualité et l'affectation de main-d'</w:t>
      </w:r>
      <w:r>
        <w:rPr>
          <w:szCs w:val="22"/>
        </w:rPr>
        <w:t>œuvre</w:t>
      </w:r>
      <w:r w:rsidRPr="00EC43AA">
        <w:rPr>
          <w:szCs w:val="22"/>
        </w:rPr>
        <w:t xml:space="preserve"> immigrante, mais il ne peut planifier, ni assurer que le comportement de celle-ci rest</w:t>
      </w:r>
      <w:r w:rsidRPr="00EC43AA">
        <w:rPr>
          <w:szCs w:val="22"/>
        </w:rPr>
        <w:t>e</w:t>
      </w:r>
      <w:r w:rsidRPr="00EC43AA">
        <w:rPr>
          <w:szCs w:val="22"/>
        </w:rPr>
        <w:t>ra passif, bienveillant, conforme aux nécessités du capital. Le capital ne peut prédire avec précision si et quand cette classe commencera à formuler de nouveaux besoins et se montrera disposée à se battre pour eux. C'est ce qui se passe de fait entre l'adoption des mesures de 1967 et la publication du livre vert, en 1975, qui aboutit à l'implantation de la no</w:t>
      </w:r>
      <w:r w:rsidRPr="00EC43AA">
        <w:rPr>
          <w:szCs w:val="22"/>
        </w:rPr>
        <w:t>u</w:t>
      </w:r>
      <w:r w:rsidRPr="00EC43AA">
        <w:rPr>
          <w:szCs w:val="22"/>
        </w:rPr>
        <w:t>velle politique d'immigration, en 1978.</w:t>
      </w:r>
    </w:p>
    <w:p w:rsidR="00AD690E" w:rsidRDefault="00AD690E" w:rsidP="00AD690E">
      <w:pPr>
        <w:spacing w:before="120" w:after="120"/>
        <w:jc w:val="both"/>
        <w:rPr>
          <w:szCs w:val="18"/>
        </w:rPr>
      </w:pPr>
    </w:p>
    <w:p w:rsidR="00AD690E" w:rsidRDefault="00AD690E" w:rsidP="00AD690E">
      <w:pPr>
        <w:spacing w:before="120" w:after="120"/>
        <w:jc w:val="both"/>
        <w:rPr>
          <w:szCs w:val="18"/>
        </w:rPr>
      </w:pPr>
      <w:r w:rsidRPr="00EC43AA">
        <w:rPr>
          <w:szCs w:val="18"/>
        </w:rPr>
        <w:br w:type="page"/>
      </w:r>
      <w:r>
        <w:rPr>
          <w:szCs w:val="18"/>
        </w:rPr>
        <w:t>[</w:t>
      </w:r>
      <w:r w:rsidRPr="00EC43AA">
        <w:rPr>
          <w:szCs w:val="18"/>
        </w:rPr>
        <w:t>394</w:t>
      </w:r>
      <w:r>
        <w:rPr>
          <w:szCs w:val="18"/>
        </w:rPr>
        <w:t>]</w:t>
      </w:r>
    </w:p>
    <w:p w:rsidR="00AD690E" w:rsidRPr="00EC43AA" w:rsidRDefault="00AD690E" w:rsidP="00AD690E">
      <w:pPr>
        <w:spacing w:before="120" w:after="120"/>
        <w:jc w:val="both"/>
      </w:pPr>
      <w:r w:rsidRPr="00EC43AA">
        <w:rPr>
          <w:szCs w:val="22"/>
        </w:rPr>
        <w:t>Ce processus a échappé à la plupart des observateurs. Dans le mei</w:t>
      </w:r>
      <w:r w:rsidRPr="00EC43AA">
        <w:rPr>
          <w:szCs w:val="22"/>
        </w:rPr>
        <w:t>l</w:t>
      </w:r>
      <w:r w:rsidRPr="00EC43AA">
        <w:rPr>
          <w:szCs w:val="22"/>
        </w:rPr>
        <w:t>leur des cas, il est apparu comme une série d'évén</w:t>
      </w:r>
      <w:r w:rsidRPr="00EC43AA">
        <w:rPr>
          <w:szCs w:val="22"/>
        </w:rPr>
        <w:t>e</w:t>
      </w:r>
      <w:r w:rsidRPr="00EC43AA">
        <w:rPr>
          <w:szCs w:val="22"/>
        </w:rPr>
        <w:t>ments discontinus, d'éruptions, qui fournirent l'occasion de dénoncer le chauvinisme nai</w:t>
      </w:r>
      <w:r w:rsidRPr="00EC43AA">
        <w:rPr>
          <w:szCs w:val="22"/>
        </w:rPr>
        <w:t>s</w:t>
      </w:r>
      <w:r w:rsidRPr="00EC43AA">
        <w:rPr>
          <w:szCs w:val="22"/>
        </w:rPr>
        <w:t>sant des Canadiens et le traitement sévère, discriminatoire du gouve</w:t>
      </w:r>
      <w:r w:rsidRPr="00EC43AA">
        <w:rPr>
          <w:szCs w:val="22"/>
        </w:rPr>
        <w:t>r</w:t>
      </w:r>
      <w:r w:rsidRPr="00EC43AA">
        <w:rPr>
          <w:szCs w:val="22"/>
        </w:rPr>
        <w:t>nement envers les immigrants, légaux comme illégaux. Rarement, s</w:t>
      </w:r>
      <w:r w:rsidRPr="00EC43AA">
        <w:rPr>
          <w:szCs w:val="22"/>
        </w:rPr>
        <w:t>i</w:t>
      </w:r>
      <w:r w:rsidRPr="00EC43AA">
        <w:rPr>
          <w:szCs w:val="22"/>
        </w:rPr>
        <w:t>non jamais, ce processus a-t-il été perçu comme une composante i</w:t>
      </w:r>
      <w:r w:rsidRPr="00EC43AA">
        <w:rPr>
          <w:szCs w:val="22"/>
        </w:rPr>
        <w:t>m</w:t>
      </w:r>
      <w:r w:rsidRPr="00EC43AA">
        <w:rPr>
          <w:szCs w:val="22"/>
        </w:rPr>
        <w:t>portante de la dynamique de classe. Il est vrai que des questions n</w:t>
      </w:r>
      <w:r w:rsidRPr="00EC43AA">
        <w:rPr>
          <w:szCs w:val="22"/>
        </w:rPr>
        <w:t>a</w:t>
      </w:r>
      <w:r w:rsidRPr="00EC43AA">
        <w:rPr>
          <w:szCs w:val="22"/>
        </w:rPr>
        <w:t>tionales cruciales ont dominé la vie politique et économique du Can</w:t>
      </w:r>
      <w:r w:rsidRPr="00EC43AA">
        <w:rPr>
          <w:szCs w:val="22"/>
        </w:rPr>
        <w:t>a</w:t>
      </w:r>
      <w:r w:rsidRPr="00EC43AA">
        <w:rPr>
          <w:szCs w:val="22"/>
        </w:rPr>
        <w:t>da au cours de ces dernières années : le conflit, évoqué plus tôt, entre le nationalisme québécois et les forces pro</w:t>
      </w:r>
      <w:r>
        <w:rPr>
          <w:szCs w:val="22"/>
        </w:rPr>
        <w:t xml:space="preserve"> </w:t>
      </w:r>
      <w:r w:rsidRPr="00EC43AA">
        <w:rPr>
          <w:szCs w:val="22"/>
        </w:rPr>
        <w:t>féd</w:t>
      </w:r>
      <w:r w:rsidRPr="00EC43AA">
        <w:rPr>
          <w:szCs w:val="22"/>
        </w:rPr>
        <w:t>é</w:t>
      </w:r>
      <w:r w:rsidRPr="00EC43AA">
        <w:rPr>
          <w:szCs w:val="22"/>
        </w:rPr>
        <w:t>ralistes mais aussi les tensions sociales exacerbées par la détérioration de l'économie can</w:t>
      </w:r>
      <w:r w:rsidRPr="00EC43AA">
        <w:rPr>
          <w:szCs w:val="22"/>
        </w:rPr>
        <w:t>a</w:t>
      </w:r>
      <w:r w:rsidRPr="00EC43AA">
        <w:rPr>
          <w:szCs w:val="22"/>
        </w:rPr>
        <w:t>dienne, surtout depuis 1973. II n'empêche qu'à travers les événements isolés et discontinus qui ont caractérisé la « question de l'immigr</w:t>
      </w:r>
      <w:r w:rsidRPr="00EC43AA">
        <w:rPr>
          <w:szCs w:val="22"/>
        </w:rPr>
        <w:t>a</w:t>
      </w:r>
      <w:r w:rsidRPr="00EC43AA">
        <w:rPr>
          <w:szCs w:val="22"/>
        </w:rPr>
        <w:t>tion », une con</w:t>
      </w:r>
      <w:r w:rsidRPr="00EC43AA">
        <w:rPr>
          <w:szCs w:val="22"/>
        </w:rPr>
        <w:t>s</w:t>
      </w:r>
      <w:r w:rsidRPr="00EC43AA">
        <w:rPr>
          <w:szCs w:val="22"/>
        </w:rPr>
        <w:t>tante s'est imposée, fondamentale pour la reproduction pol</w:t>
      </w:r>
      <w:r w:rsidRPr="00EC43AA">
        <w:rPr>
          <w:szCs w:val="22"/>
        </w:rPr>
        <w:t>i</w:t>
      </w:r>
      <w:r w:rsidRPr="00EC43AA">
        <w:rPr>
          <w:szCs w:val="22"/>
        </w:rPr>
        <w:t>tique de la classe ouvrière au Canada. Même si ce processus ne peut être reconstitué ici dans tous ses détails, certains de ses traits les plus fondamentaux sont suffisamment visibles pour nous permettre quelques concl</w:t>
      </w:r>
      <w:r w:rsidRPr="00EC43AA">
        <w:rPr>
          <w:szCs w:val="22"/>
        </w:rPr>
        <w:t>u</w:t>
      </w:r>
      <w:r w:rsidRPr="00EC43AA">
        <w:rPr>
          <w:szCs w:val="22"/>
        </w:rPr>
        <w:t>sions.</w:t>
      </w:r>
    </w:p>
    <w:p w:rsidR="00AD690E" w:rsidRDefault="00AD690E" w:rsidP="00AD690E">
      <w:pPr>
        <w:spacing w:before="120" w:after="120"/>
        <w:jc w:val="both"/>
        <w:rPr>
          <w:szCs w:val="22"/>
        </w:rPr>
      </w:pPr>
    </w:p>
    <w:p w:rsidR="00AD690E" w:rsidRPr="006832BC" w:rsidRDefault="00AD690E" w:rsidP="00AD690E">
      <w:pPr>
        <w:pStyle w:val="a"/>
      </w:pPr>
      <w:r w:rsidRPr="006832BC">
        <w:t>Circulation internationale des luttes</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Une conséquence importante de la révision de la politique d'imm</w:t>
      </w:r>
      <w:r w:rsidRPr="00EC43AA">
        <w:rPr>
          <w:szCs w:val="22"/>
        </w:rPr>
        <w:t>i</w:t>
      </w:r>
      <w:r w:rsidRPr="00EC43AA">
        <w:rPr>
          <w:szCs w:val="22"/>
        </w:rPr>
        <w:t>gration en 1967 a été d'exposer davantage le Canada à la ci</w:t>
      </w:r>
      <w:r w:rsidRPr="00EC43AA">
        <w:rPr>
          <w:szCs w:val="22"/>
        </w:rPr>
        <w:t>r</w:t>
      </w:r>
      <w:r w:rsidRPr="00EC43AA">
        <w:rPr>
          <w:szCs w:val="22"/>
        </w:rPr>
        <w:t>culation internationale des luttes de classes. D'abord, afin d'améliorer sa pos</w:t>
      </w:r>
      <w:r w:rsidRPr="00EC43AA">
        <w:rPr>
          <w:szCs w:val="22"/>
        </w:rPr>
        <w:t>i</w:t>
      </w:r>
      <w:r w:rsidRPr="00EC43AA">
        <w:rPr>
          <w:szCs w:val="22"/>
        </w:rPr>
        <w:t>tion concurrentielle sur le marché intern</w:t>
      </w:r>
      <w:r w:rsidRPr="00EC43AA">
        <w:rPr>
          <w:szCs w:val="22"/>
        </w:rPr>
        <w:t>a</w:t>
      </w:r>
      <w:r w:rsidRPr="00EC43AA">
        <w:rPr>
          <w:szCs w:val="22"/>
        </w:rPr>
        <w:t>tional de la main-d'</w:t>
      </w:r>
      <w:r>
        <w:rPr>
          <w:szCs w:val="22"/>
        </w:rPr>
        <w:t>œuvre</w:t>
      </w:r>
      <w:r w:rsidRPr="00EC43AA">
        <w:rPr>
          <w:szCs w:val="22"/>
        </w:rPr>
        <w:t>, surtout spécialisée et qualifiée, le Canada a dû abandonner ses quotas à base raciale et ainsi o</w:t>
      </w:r>
      <w:r w:rsidRPr="00EC43AA">
        <w:rPr>
          <w:szCs w:val="22"/>
        </w:rPr>
        <w:t>u</w:t>
      </w:r>
      <w:r w:rsidRPr="00EC43AA">
        <w:rPr>
          <w:szCs w:val="22"/>
        </w:rPr>
        <w:t xml:space="preserve">vrir ses portes aux ressortissants du Tiers-Monde. Ensuite, en ce qui concerne les sources </w:t>
      </w:r>
      <w:r>
        <w:rPr>
          <w:szCs w:val="22"/>
        </w:rPr>
        <w:t>traditionnelles de main-d'œuvre</w:t>
      </w:r>
      <w:r w:rsidRPr="00EC43AA">
        <w:rPr>
          <w:szCs w:val="22"/>
        </w:rPr>
        <w:t xml:space="preserve"> non qualifiée, le passage des immigrants parrainés aux immigrants désignés signifie que parmi les candidats à la désign</w:t>
      </w:r>
      <w:r w:rsidRPr="00EC43AA">
        <w:rPr>
          <w:szCs w:val="22"/>
        </w:rPr>
        <w:t>a</w:t>
      </w:r>
      <w:r w:rsidRPr="00EC43AA">
        <w:rPr>
          <w:szCs w:val="22"/>
        </w:rPr>
        <w:t>tion, un nombre croissant de travailleurs possèdent une expérience profe</w:t>
      </w:r>
      <w:r w:rsidRPr="00EC43AA">
        <w:rPr>
          <w:szCs w:val="22"/>
        </w:rPr>
        <w:t>s</w:t>
      </w:r>
      <w:r w:rsidRPr="00EC43AA">
        <w:rPr>
          <w:szCs w:val="22"/>
        </w:rPr>
        <w:t>sio</w:t>
      </w:r>
      <w:r w:rsidRPr="00EC43AA">
        <w:rPr>
          <w:szCs w:val="22"/>
        </w:rPr>
        <w:t>n</w:t>
      </w:r>
      <w:r w:rsidRPr="00EC43AA">
        <w:rPr>
          <w:szCs w:val="22"/>
        </w:rPr>
        <w:t>nelle, acquise dans la plupart des cas dans les centres industriels d'Europe occidentale, ou une formation technique obtenue dans un milieu sc</w:t>
      </w:r>
      <w:r w:rsidRPr="00EC43AA">
        <w:rPr>
          <w:szCs w:val="22"/>
        </w:rPr>
        <w:t>o</w:t>
      </w:r>
      <w:r w:rsidRPr="00EC43AA">
        <w:rPr>
          <w:szCs w:val="22"/>
        </w:rPr>
        <w:t>laire très politisé.</w:t>
      </w:r>
    </w:p>
    <w:p w:rsidR="00AD690E" w:rsidRPr="00EC43AA" w:rsidRDefault="00AD690E" w:rsidP="00AD690E">
      <w:pPr>
        <w:spacing w:before="120" w:after="120"/>
        <w:jc w:val="both"/>
      </w:pPr>
      <w:r w:rsidRPr="00EC43AA">
        <w:rPr>
          <w:szCs w:val="22"/>
        </w:rPr>
        <w:t>L'immigration italienne au Canada fournit un bel exemple de ce phénomène de circulation des luttes de classes. L'explosion du mo</w:t>
      </w:r>
      <w:r w:rsidRPr="00EC43AA">
        <w:rPr>
          <w:szCs w:val="22"/>
        </w:rPr>
        <w:t>u</w:t>
      </w:r>
      <w:r w:rsidRPr="00EC43AA">
        <w:rPr>
          <w:szCs w:val="22"/>
        </w:rPr>
        <w:t>vement étudiant en Italie à partir de 1967 et le cycle des luttes ouvri</w:t>
      </w:r>
      <w:r w:rsidRPr="00EC43AA">
        <w:rPr>
          <w:szCs w:val="22"/>
        </w:rPr>
        <w:t>è</w:t>
      </w:r>
      <w:r w:rsidRPr="00EC43AA">
        <w:rPr>
          <w:szCs w:val="22"/>
        </w:rPr>
        <w:t>res à partir de 1968 affectent les communautés it</w:t>
      </w:r>
      <w:r w:rsidRPr="00EC43AA">
        <w:rPr>
          <w:szCs w:val="22"/>
        </w:rPr>
        <w:t>a</w:t>
      </w:r>
      <w:r w:rsidRPr="00EC43AA">
        <w:rPr>
          <w:szCs w:val="22"/>
        </w:rPr>
        <w:t>liennes du Canada en leur imprimant un nouvel élan de milita</w:t>
      </w:r>
      <w:r w:rsidRPr="00EC43AA">
        <w:rPr>
          <w:szCs w:val="22"/>
        </w:rPr>
        <w:t>n</w:t>
      </w:r>
      <w:r w:rsidRPr="00EC43AA">
        <w:rPr>
          <w:szCs w:val="22"/>
        </w:rPr>
        <w:t>tisme. Dans certains cas, des étudiants ou des ouvriers indu</w:t>
      </w:r>
      <w:r w:rsidRPr="00EC43AA">
        <w:rPr>
          <w:szCs w:val="22"/>
        </w:rPr>
        <w:t>s</w:t>
      </w:r>
      <w:r w:rsidRPr="00EC43AA">
        <w:rPr>
          <w:szCs w:val="22"/>
        </w:rPr>
        <w:t>triels nouvellement arrivés, ainsi que de vieux immigrants éveillés aux transfo</w:t>
      </w:r>
      <w:r w:rsidRPr="00EC43AA">
        <w:rPr>
          <w:szCs w:val="22"/>
        </w:rPr>
        <w:t>r</w:t>
      </w:r>
      <w:r w:rsidRPr="00EC43AA">
        <w:rPr>
          <w:szCs w:val="22"/>
        </w:rPr>
        <w:t>mations politiques en Italie, se joignent en un amalgame appelé à jouer un rôle de premier plan dans les expériences de regroupement alors en cours pa</w:t>
      </w:r>
      <w:r w:rsidRPr="00EC43AA">
        <w:rPr>
          <w:szCs w:val="22"/>
        </w:rPr>
        <w:t>r</w:t>
      </w:r>
      <w:r w:rsidRPr="00EC43AA">
        <w:rPr>
          <w:szCs w:val="22"/>
        </w:rPr>
        <w:t>mi les immigrants italiens au Canada. Dans les deux principales concentr</w:t>
      </w:r>
      <w:r w:rsidRPr="00EC43AA">
        <w:rPr>
          <w:szCs w:val="22"/>
        </w:rPr>
        <w:t>a</w:t>
      </w:r>
      <w:r w:rsidRPr="00EC43AA">
        <w:rPr>
          <w:szCs w:val="22"/>
        </w:rPr>
        <w:t>tions d'immigrants italiens — Montréal et Toronto — ce nouvel ama</w:t>
      </w:r>
      <w:r w:rsidRPr="00EC43AA">
        <w:rPr>
          <w:szCs w:val="22"/>
        </w:rPr>
        <w:t>l</w:t>
      </w:r>
      <w:r w:rsidRPr="00EC43AA">
        <w:rPr>
          <w:szCs w:val="22"/>
        </w:rPr>
        <w:t>game social et politique agit comme un cat</w:t>
      </w:r>
      <w:r w:rsidRPr="00EC43AA">
        <w:rPr>
          <w:szCs w:val="22"/>
        </w:rPr>
        <w:t>a</w:t>
      </w:r>
      <w:r w:rsidRPr="00EC43AA">
        <w:rPr>
          <w:szCs w:val="22"/>
        </w:rPr>
        <w:t>lyseur dans les luttes qui engagent de larges secteurs de la communauté imm</w:t>
      </w:r>
      <w:r w:rsidRPr="00EC43AA">
        <w:rPr>
          <w:szCs w:val="22"/>
        </w:rPr>
        <w:t>i</w:t>
      </w:r>
      <w:r w:rsidRPr="00EC43AA">
        <w:rPr>
          <w:szCs w:val="22"/>
        </w:rPr>
        <w:t>grante.</w:t>
      </w:r>
    </w:p>
    <w:p w:rsidR="00AD690E" w:rsidRDefault="00AD690E" w:rsidP="00AD690E">
      <w:pPr>
        <w:spacing w:before="120" w:after="120"/>
        <w:jc w:val="both"/>
      </w:pPr>
      <w:r>
        <w:t>[395]</w:t>
      </w:r>
    </w:p>
    <w:p w:rsidR="00AD690E" w:rsidRPr="00EC43AA" w:rsidRDefault="00AD690E" w:rsidP="00AD690E">
      <w:pPr>
        <w:spacing w:before="120" w:after="120"/>
        <w:jc w:val="both"/>
      </w:pPr>
      <w:r w:rsidRPr="00EC43AA">
        <w:rPr>
          <w:szCs w:val="22"/>
        </w:rPr>
        <w:t>Mais c'est peut-être avec l'immigration des Antilles brita</w:t>
      </w:r>
      <w:r w:rsidRPr="00EC43AA">
        <w:rPr>
          <w:szCs w:val="22"/>
        </w:rPr>
        <w:t>n</w:t>
      </w:r>
      <w:r w:rsidRPr="00EC43AA">
        <w:rPr>
          <w:szCs w:val="22"/>
        </w:rPr>
        <w:t>niques que cet aspect de la circulation des luttes s'est manife</w:t>
      </w:r>
      <w:r w:rsidRPr="00EC43AA">
        <w:rPr>
          <w:szCs w:val="22"/>
        </w:rPr>
        <w:t>s</w:t>
      </w:r>
      <w:r w:rsidRPr="00EC43AA">
        <w:rPr>
          <w:szCs w:val="22"/>
        </w:rPr>
        <w:t>té avec le plus d'éclat. L'ouverture du Canada aux immigrants des Indes occidentales a permis l'entrée d'une force de travail bien adaptée aux nouveaux cr</w:t>
      </w:r>
      <w:r w:rsidRPr="00EC43AA">
        <w:rPr>
          <w:szCs w:val="22"/>
        </w:rPr>
        <w:t>i</w:t>
      </w:r>
      <w:r w:rsidRPr="00EC43AA">
        <w:rPr>
          <w:szCs w:val="22"/>
        </w:rPr>
        <w:t>tères de sélection, ayant un niveau d'instruction supérieur à la moye</w:t>
      </w:r>
      <w:r w:rsidRPr="00EC43AA">
        <w:rPr>
          <w:szCs w:val="22"/>
        </w:rPr>
        <w:t>n</w:t>
      </w:r>
      <w:r w:rsidRPr="00EC43AA">
        <w:rPr>
          <w:szCs w:val="22"/>
        </w:rPr>
        <w:t>ne et une bonne maîtrise de l'anglais — autant d'éléments pe</w:t>
      </w:r>
      <w:r w:rsidRPr="00EC43AA">
        <w:rPr>
          <w:szCs w:val="22"/>
        </w:rPr>
        <w:t>r</w:t>
      </w:r>
      <w:r w:rsidRPr="00EC43AA">
        <w:rPr>
          <w:szCs w:val="22"/>
        </w:rPr>
        <w:t>mettant une rapide adaptation au marché du travail. Cette force de travail, qu'elle provienne directement des Indes occidentales ou de Grande-Bretagne, vient aussi d'un milieu fort politisé. À cela s'ajoute l'atmo</w:t>
      </w:r>
      <w:r w:rsidRPr="00EC43AA">
        <w:rPr>
          <w:szCs w:val="22"/>
        </w:rPr>
        <w:t>s</w:t>
      </w:r>
      <w:r w:rsidRPr="00EC43AA">
        <w:rPr>
          <w:szCs w:val="22"/>
        </w:rPr>
        <w:t>phère de militantisme qui règne dans l'Amérique noire des a</w:t>
      </w:r>
      <w:r w:rsidRPr="00EC43AA">
        <w:rPr>
          <w:szCs w:val="22"/>
        </w:rPr>
        <w:t>n</w:t>
      </w:r>
      <w:r w:rsidRPr="00EC43AA">
        <w:rPr>
          <w:szCs w:val="22"/>
        </w:rPr>
        <w:t>nées 60 : elle ne manque pas d'influencer les Antillais inscrits aux universités canadiennes. L'incident qui se produit à l'Université Sir Georges Wi</w:t>
      </w:r>
      <w:r w:rsidRPr="00EC43AA">
        <w:rPr>
          <w:szCs w:val="22"/>
        </w:rPr>
        <w:t>l</w:t>
      </w:r>
      <w:r w:rsidRPr="00EC43AA">
        <w:rPr>
          <w:szCs w:val="22"/>
        </w:rPr>
        <w:t>liams en 1969, où des ét</w:t>
      </w:r>
      <w:r w:rsidRPr="00EC43AA">
        <w:rPr>
          <w:szCs w:val="22"/>
        </w:rPr>
        <w:t>u</w:t>
      </w:r>
      <w:r w:rsidRPr="00EC43AA">
        <w:rPr>
          <w:szCs w:val="22"/>
        </w:rPr>
        <w:t>diants antillais occupent, puis saccagent le centre de calcul, pourrait se co</w:t>
      </w:r>
      <w:r w:rsidRPr="00EC43AA">
        <w:rPr>
          <w:szCs w:val="22"/>
        </w:rPr>
        <w:t>n</w:t>
      </w:r>
      <w:r w:rsidRPr="00EC43AA">
        <w:rPr>
          <w:szCs w:val="22"/>
        </w:rPr>
        <w:t>fondre avec quantité d'autres incidents survenus dans les universités américaines où des étudiants nous co</w:t>
      </w:r>
      <w:r w:rsidRPr="00EC43AA">
        <w:rPr>
          <w:szCs w:val="22"/>
        </w:rPr>
        <w:t>m</w:t>
      </w:r>
      <w:r w:rsidRPr="00EC43AA">
        <w:rPr>
          <w:szCs w:val="22"/>
        </w:rPr>
        <w:t>battent la di</w:t>
      </w:r>
      <w:r w:rsidRPr="00EC43AA">
        <w:rPr>
          <w:szCs w:val="22"/>
        </w:rPr>
        <w:t>s</w:t>
      </w:r>
      <w:r w:rsidRPr="00EC43AA">
        <w:rPr>
          <w:szCs w:val="22"/>
        </w:rPr>
        <w:t>crimination raciale dans l'enseignement. Cependant l'événement prend immédiatement une dimension internati</w:t>
      </w:r>
      <w:r w:rsidRPr="00EC43AA">
        <w:rPr>
          <w:szCs w:val="22"/>
        </w:rPr>
        <w:t>o</w:t>
      </w:r>
      <w:r w:rsidRPr="00EC43AA">
        <w:rPr>
          <w:szCs w:val="22"/>
        </w:rPr>
        <w:t>nale en se transportant carrément sur le nouveau terrain balisé par l'i</w:t>
      </w:r>
      <w:r w:rsidRPr="00EC43AA">
        <w:rPr>
          <w:szCs w:val="22"/>
        </w:rPr>
        <w:t>m</w:t>
      </w:r>
      <w:r w:rsidRPr="00EC43AA">
        <w:rPr>
          <w:szCs w:val="22"/>
        </w:rPr>
        <w:t>migration. Quelques jours après que les étudiants aient été a</w:t>
      </w:r>
      <w:r w:rsidRPr="00EC43AA">
        <w:rPr>
          <w:szCs w:val="22"/>
        </w:rPr>
        <w:t>c</w:t>
      </w:r>
      <w:r w:rsidRPr="00EC43AA">
        <w:rPr>
          <w:szCs w:val="22"/>
        </w:rPr>
        <w:t>cusés de « crimes » punissables d'emprisonnement et de dépo</w:t>
      </w:r>
      <w:r w:rsidRPr="00EC43AA">
        <w:rPr>
          <w:szCs w:val="22"/>
        </w:rPr>
        <w:t>r</w:t>
      </w:r>
      <w:r w:rsidRPr="00EC43AA">
        <w:rPr>
          <w:szCs w:val="22"/>
        </w:rPr>
        <w:t>tation, des manifestations de masse se produisent à Trinidad contre des institutions financières c</w:t>
      </w:r>
      <w:r w:rsidRPr="00EC43AA">
        <w:rPr>
          <w:szCs w:val="22"/>
        </w:rPr>
        <w:t>a</w:t>
      </w:r>
      <w:r w:rsidRPr="00EC43AA">
        <w:rPr>
          <w:szCs w:val="22"/>
        </w:rPr>
        <w:t>nadiennes. Cette vague de protestation et les problèmes qui l'ont susc</w:t>
      </w:r>
      <w:r w:rsidRPr="00EC43AA">
        <w:rPr>
          <w:szCs w:val="22"/>
        </w:rPr>
        <w:t>i</w:t>
      </w:r>
      <w:r w:rsidRPr="00EC43AA">
        <w:rPr>
          <w:szCs w:val="22"/>
        </w:rPr>
        <w:t>tée agissent bientôt comme des catalyseurs, déclenchant un vaste pr</w:t>
      </w:r>
      <w:r w:rsidRPr="00EC43AA">
        <w:rPr>
          <w:szCs w:val="22"/>
        </w:rPr>
        <w:t>o</w:t>
      </w:r>
      <w:r w:rsidRPr="00EC43AA">
        <w:rPr>
          <w:szCs w:val="22"/>
        </w:rPr>
        <w:t>cessus d'a</w:t>
      </w:r>
      <w:r w:rsidRPr="00EC43AA">
        <w:rPr>
          <w:szCs w:val="22"/>
        </w:rPr>
        <w:t>f</w:t>
      </w:r>
      <w:r w:rsidRPr="00EC43AA">
        <w:rPr>
          <w:szCs w:val="22"/>
        </w:rPr>
        <w:t>frontement politique contre l'État de Trinidad et son rôle spécifique dans le contrôle international de la classe ouvrière : le r</w:t>
      </w:r>
      <w:r w:rsidRPr="00EC43AA">
        <w:rPr>
          <w:szCs w:val="22"/>
        </w:rPr>
        <w:t>é</w:t>
      </w:r>
      <w:r w:rsidRPr="00EC43AA">
        <w:rPr>
          <w:szCs w:val="22"/>
        </w:rPr>
        <w:t>gime d'Eric Williams faillit être renversé en mars 1970</w:t>
      </w:r>
      <w:r>
        <w:rPr>
          <w:szCs w:val="22"/>
          <w:vertAlign w:val="superscript"/>
        </w:rPr>
        <w:t> </w:t>
      </w:r>
      <w:r>
        <w:rPr>
          <w:rStyle w:val="Appelnotedebasdep"/>
        </w:rPr>
        <w:footnoteReference w:id="663"/>
      </w:r>
      <w:r w:rsidRPr="00EC43AA">
        <w:rPr>
          <w:szCs w:val="22"/>
        </w:rPr>
        <w:t>. Les crises politiques qui s'e</w:t>
      </w:r>
      <w:r w:rsidRPr="00EC43AA">
        <w:rPr>
          <w:szCs w:val="22"/>
        </w:rPr>
        <w:t>n</w:t>
      </w:r>
      <w:r w:rsidRPr="00EC43AA">
        <w:rPr>
          <w:szCs w:val="22"/>
        </w:rPr>
        <w:t>suivent dans plusieurs autres îles des Antilles ne peuvent donc pas être séparées des liens matériels tissés par l'imm</w:t>
      </w:r>
      <w:r w:rsidRPr="00EC43AA">
        <w:rPr>
          <w:szCs w:val="22"/>
        </w:rPr>
        <w:t>i</w:t>
      </w:r>
      <w:r w:rsidRPr="00EC43AA">
        <w:rPr>
          <w:szCs w:val="22"/>
        </w:rPr>
        <w:t>gration. De fait, les vagues successives d'immigrants antillais au C</w:t>
      </w:r>
      <w:r w:rsidRPr="00EC43AA">
        <w:rPr>
          <w:szCs w:val="22"/>
        </w:rPr>
        <w:t>a</w:t>
      </w:r>
      <w:r w:rsidRPr="00EC43AA">
        <w:rPr>
          <w:szCs w:val="22"/>
        </w:rPr>
        <w:t>nada dévelo</w:t>
      </w:r>
      <w:r w:rsidRPr="00EC43AA">
        <w:rPr>
          <w:szCs w:val="22"/>
        </w:rPr>
        <w:t>p</w:t>
      </w:r>
      <w:r w:rsidRPr="00EC43AA">
        <w:rPr>
          <w:szCs w:val="22"/>
        </w:rPr>
        <w:t>pent une conscience plus vive du cadre international à l'intérieur duquel, en tant que travailleurs imm</w:t>
      </w:r>
      <w:r w:rsidRPr="00EC43AA">
        <w:rPr>
          <w:szCs w:val="22"/>
        </w:rPr>
        <w:t>i</w:t>
      </w:r>
      <w:r w:rsidRPr="00EC43AA">
        <w:rPr>
          <w:szCs w:val="22"/>
        </w:rPr>
        <w:t>grants, ils se déplacent pour vendre leur force de travail.</w:t>
      </w:r>
    </w:p>
    <w:p w:rsidR="00AD690E" w:rsidRPr="00EC43AA" w:rsidRDefault="00AD690E" w:rsidP="00AD690E">
      <w:pPr>
        <w:spacing w:before="120" w:after="120"/>
        <w:jc w:val="both"/>
      </w:pPr>
      <w:r w:rsidRPr="00EC43AA">
        <w:rPr>
          <w:szCs w:val="22"/>
        </w:rPr>
        <w:t>C'est dans ce contexte qu'il faut envisager la poussée de r</w:t>
      </w:r>
      <w:r w:rsidRPr="00EC43AA">
        <w:rPr>
          <w:szCs w:val="22"/>
        </w:rPr>
        <w:t>a</w:t>
      </w:r>
      <w:r w:rsidRPr="00EC43AA">
        <w:rPr>
          <w:szCs w:val="22"/>
        </w:rPr>
        <w:t>cisme qui, en 1973-1974, est particulièrement sensible dans la région toro</w:t>
      </w:r>
      <w:r w:rsidRPr="00EC43AA">
        <w:rPr>
          <w:szCs w:val="22"/>
        </w:rPr>
        <w:t>n</w:t>
      </w:r>
      <w:r w:rsidRPr="00EC43AA">
        <w:rPr>
          <w:szCs w:val="22"/>
        </w:rPr>
        <w:t>toise</w:t>
      </w:r>
      <w:r>
        <w:rPr>
          <w:szCs w:val="22"/>
          <w:vertAlign w:val="superscript"/>
        </w:rPr>
        <w:t> </w:t>
      </w:r>
      <w:r>
        <w:rPr>
          <w:rStyle w:val="Appelnotedebasdep"/>
        </w:rPr>
        <w:footnoteReference w:id="664"/>
      </w:r>
      <w:r w:rsidRPr="00EC43AA">
        <w:rPr>
          <w:szCs w:val="22"/>
        </w:rPr>
        <w:t>. Ce qu'il importe de souligner, ce n'est pas tant la campagne de harcèlement physique contre les Noirs menée par une petite organ</w:t>
      </w:r>
      <w:r w:rsidRPr="00EC43AA">
        <w:rPr>
          <w:szCs w:val="22"/>
        </w:rPr>
        <w:t>i</w:t>
      </w:r>
      <w:r w:rsidRPr="00EC43AA">
        <w:rPr>
          <w:szCs w:val="22"/>
        </w:rPr>
        <w:t>sation néo-nazie que la façon dont les médias canadiens se sont emp</w:t>
      </w:r>
      <w:r w:rsidRPr="00EC43AA">
        <w:rPr>
          <w:szCs w:val="22"/>
        </w:rPr>
        <w:t>a</w:t>
      </w:r>
      <w:r w:rsidRPr="00EC43AA">
        <w:rPr>
          <w:szCs w:val="22"/>
        </w:rPr>
        <w:t>rés des événements et ont fait une cause pour dénoncer le racisme nati</w:t>
      </w:r>
      <w:r w:rsidRPr="00EC43AA">
        <w:rPr>
          <w:szCs w:val="22"/>
        </w:rPr>
        <w:t>o</w:t>
      </w:r>
      <w:r w:rsidRPr="00EC43AA">
        <w:rPr>
          <w:szCs w:val="22"/>
        </w:rPr>
        <w:t>nal.</w:t>
      </w:r>
    </w:p>
    <w:p w:rsidR="00AD690E" w:rsidRPr="00EC43AA" w:rsidRDefault="00AD690E" w:rsidP="00AD690E">
      <w:pPr>
        <w:spacing w:before="120" w:after="120"/>
        <w:jc w:val="both"/>
      </w:pPr>
      <w:r w:rsidRPr="00EC43AA">
        <w:rPr>
          <w:szCs w:val="22"/>
        </w:rPr>
        <w:t>Toutefois, derrière l'écran de folklore politique et culturel qui a</w:t>
      </w:r>
      <w:r w:rsidRPr="00EC43AA">
        <w:rPr>
          <w:szCs w:val="22"/>
        </w:rPr>
        <w:t>c</w:t>
      </w:r>
      <w:r w:rsidRPr="00EC43AA">
        <w:rPr>
          <w:szCs w:val="22"/>
        </w:rPr>
        <w:t>compagne ce phénomène, il y a une réalité : celle d'une classe ouvri</w:t>
      </w:r>
      <w:r w:rsidRPr="00EC43AA">
        <w:rPr>
          <w:szCs w:val="22"/>
        </w:rPr>
        <w:t>è</w:t>
      </w:r>
      <w:r w:rsidRPr="00EC43AA">
        <w:rPr>
          <w:szCs w:val="22"/>
        </w:rPr>
        <w:t>re noire des Antilles débarquant au Canada avec en tête des expérie</w:t>
      </w:r>
      <w:r w:rsidRPr="00EC43AA">
        <w:rPr>
          <w:szCs w:val="22"/>
        </w:rPr>
        <w:t>n</w:t>
      </w:r>
      <w:r w:rsidRPr="00EC43AA">
        <w:rPr>
          <w:szCs w:val="22"/>
        </w:rPr>
        <w:t>ces récentes de mobilisation,</w:t>
      </w:r>
      <w:r>
        <w:rPr>
          <w:szCs w:val="22"/>
        </w:rPr>
        <w:t xml:space="preserve"> </w:t>
      </w:r>
      <w:r>
        <w:rPr>
          <w:szCs w:val="18"/>
        </w:rPr>
        <w:t>[</w:t>
      </w:r>
      <w:r w:rsidRPr="00EC43AA">
        <w:rPr>
          <w:szCs w:val="22"/>
        </w:rPr>
        <w:t>396</w:t>
      </w:r>
      <w:r>
        <w:rPr>
          <w:szCs w:val="22"/>
        </w:rPr>
        <w:t xml:space="preserve">] </w:t>
      </w:r>
      <w:r w:rsidRPr="00EC43AA">
        <w:rPr>
          <w:szCs w:val="22"/>
        </w:rPr>
        <w:t>réfractaire à un traitement discr</w:t>
      </w:r>
      <w:r w:rsidRPr="00EC43AA">
        <w:rPr>
          <w:szCs w:val="22"/>
        </w:rPr>
        <w:t>i</w:t>
      </w:r>
      <w:r w:rsidRPr="00EC43AA">
        <w:rPr>
          <w:szCs w:val="22"/>
        </w:rPr>
        <w:t>minatoire et qui ne perd pas de temps pour réclamer les mêmes droits et considérations dont jouissent les travailleurs canadiens et à accéder pratiquement à tous les niveaux d'emploi. Ce secteur de la classe o</w:t>
      </w:r>
      <w:r w:rsidRPr="00EC43AA">
        <w:rPr>
          <w:szCs w:val="22"/>
        </w:rPr>
        <w:t>u</w:t>
      </w:r>
      <w:r w:rsidRPr="00EC43AA">
        <w:rPr>
          <w:szCs w:val="22"/>
        </w:rPr>
        <w:t>vrière immigrante dont on atte</w:t>
      </w:r>
      <w:r w:rsidRPr="00EC43AA">
        <w:rPr>
          <w:szCs w:val="22"/>
        </w:rPr>
        <w:t>n</w:t>
      </w:r>
      <w:r w:rsidRPr="00EC43AA">
        <w:rPr>
          <w:szCs w:val="22"/>
        </w:rPr>
        <w:t>dait qu'il occupe le dernier échelon de la hi</w:t>
      </w:r>
      <w:r w:rsidRPr="00EC43AA">
        <w:rPr>
          <w:szCs w:val="22"/>
        </w:rPr>
        <w:t>é</w:t>
      </w:r>
      <w:r w:rsidRPr="00EC43AA">
        <w:rPr>
          <w:szCs w:val="22"/>
        </w:rPr>
        <w:t>rarchie socio-économique au Canada a réussi à contester l'un des postulats fondamentaux concernant le modèle d'établissement et d'i</w:t>
      </w:r>
      <w:r w:rsidRPr="00EC43AA">
        <w:rPr>
          <w:szCs w:val="22"/>
        </w:rPr>
        <w:t>n</w:t>
      </w:r>
      <w:r w:rsidRPr="00EC43AA">
        <w:rPr>
          <w:szCs w:val="22"/>
        </w:rPr>
        <w:t>tégration des immigrants</w:t>
      </w:r>
      <w:r>
        <w:rPr>
          <w:szCs w:val="22"/>
        </w:rPr>
        <w:t> </w:t>
      </w:r>
      <w:r>
        <w:rPr>
          <w:rStyle w:val="Appelnotedebasdep"/>
        </w:rPr>
        <w:footnoteReference w:id="665"/>
      </w:r>
      <w:r w:rsidRPr="00EC43AA">
        <w:rPr>
          <w:szCs w:val="22"/>
        </w:rPr>
        <w:t>. Ce fa</w:t>
      </w:r>
      <w:r w:rsidRPr="00EC43AA">
        <w:rPr>
          <w:szCs w:val="22"/>
        </w:rPr>
        <w:t>i</w:t>
      </w:r>
      <w:r w:rsidRPr="00EC43AA">
        <w:rPr>
          <w:szCs w:val="22"/>
        </w:rPr>
        <w:t>sant, il joue un rôle d'avant-garde, d'autant que cette riposte vient à l'heure où la mobilisation de divers secteurs de la classe ouvrière i</w:t>
      </w:r>
      <w:r w:rsidRPr="00EC43AA">
        <w:rPr>
          <w:szCs w:val="22"/>
        </w:rPr>
        <w:t>m</w:t>
      </w:r>
      <w:r w:rsidRPr="00EC43AA">
        <w:rPr>
          <w:szCs w:val="22"/>
        </w:rPr>
        <w:t>migrante se fait plus visible.</w:t>
      </w:r>
    </w:p>
    <w:p w:rsidR="00AD690E" w:rsidRPr="00EC43AA" w:rsidRDefault="00AD690E" w:rsidP="00AD690E">
      <w:pPr>
        <w:spacing w:before="120" w:after="120"/>
        <w:jc w:val="both"/>
      </w:pPr>
      <w:r w:rsidRPr="00EC43AA">
        <w:rPr>
          <w:szCs w:val="22"/>
        </w:rPr>
        <w:t>Dans d'autres cas, cette dimension internationale prend des formes différentes — peut-être plus indirectes — de politis</w:t>
      </w:r>
      <w:r w:rsidRPr="00EC43AA">
        <w:rPr>
          <w:szCs w:val="22"/>
        </w:rPr>
        <w:t>a</w:t>
      </w:r>
      <w:r w:rsidRPr="00EC43AA">
        <w:rPr>
          <w:szCs w:val="22"/>
        </w:rPr>
        <w:t>tion : après le coup d'État de 1967, les immigrants grecs créent des o</w:t>
      </w:r>
      <w:r w:rsidRPr="00EC43AA">
        <w:rPr>
          <w:szCs w:val="22"/>
        </w:rPr>
        <w:t>r</w:t>
      </w:r>
      <w:r w:rsidRPr="00EC43AA">
        <w:rPr>
          <w:szCs w:val="22"/>
        </w:rPr>
        <w:t>ganisations d'opposition au régime des colonels ; il en va de même des Haïtiens, puis des Chiliens. Toutes ces mobilisations évoluent en une dénonci</w:t>
      </w:r>
      <w:r w:rsidRPr="00EC43AA">
        <w:rPr>
          <w:szCs w:val="22"/>
        </w:rPr>
        <w:t>a</w:t>
      </w:r>
      <w:r w:rsidRPr="00EC43AA">
        <w:rPr>
          <w:szCs w:val="22"/>
        </w:rPr>
        <w:t>tion répétée du gouvern</w:t>
      </w:r>
      <w:r w:rsidRPr="00EC43AA">
        <w:rPr>
          <w:szCs w:val="22"/>
        </w:rPr>
        <w:t>e</w:t>
      </w:r>
      <w:r w:rsidRPr="00EC43AA">
        <w:rPr>
          <w:szCs w:val="22"/>
        </w:rPr>
        <w:t>ment canadien pour son appui aux régimes militaires, mais du même souffle elles font naître des organisations communautaires préoccupées du sort de leurs compatriotes imm</w:t>
      </w:r>
      <w:r w:rsidRPr="00EC43AA">
        <w:rPr>
          <w:szCs w:val="22"/>
        </w:rPr>
        <w:t>i</w:t>
      </w:r>
      <w:r w:rsidRPr="00EC43AA">
        <w:rPr>
          <w:szCs w:val="22"/>
        </w:rPr>
        <w:t>grants au Canada. La communauté grecque de Montréal en fournit un exemple remarquable : dans le sillage d'une mobilisation de masse contre la junte militaire, une organisation militante d'imm</w:t>
      </w:r>
      <w:r w:rsidRPr="00EC43AA">
        <w:rPr>
          <w:szCs w:val="22"/>
        </w:rPr>
        <w:t>i</w:t>
      </w:r>
      <w:r w:rsidRPr="00EC43AA">
        <w:rPr>
          <w:szCs w:val="22"/>
        </w:rPr>
        <w:t>grants y voit le jour — l'Association des travailleurs grecs — devenue depuis le principal point de référence pour l'organisation des imm</w:t>
      </w:r>
      <w:r w:rsidRPr="00EC43AA">
        <w:rPr>
          <w:szCs w:val="22"/>
        </w:rPr>
        <w:t>i</w:t>
      </w:r>
      <w:r w:rsidRPr="00EC43AA">
        <w:rPr>
          <w:szCs w:val="22"/>
        </w:rPr>
        <w:t>grants grecs à Montréal</w:t>
      </w:r>
      <w:r>
        <w:rPr>
          <w:szCs w:val="22"/>
          <w:vertAlign w:val="superscript"/>
        </w:rPr>
        <w:t> </w:t>
      </w:r>
      <w:r>
        <w:rPr>
          <w:rStyle w:val="Appelnotedebasdep"/>
        </w:rPr>
        <w:footnoteReference w:id="666"/>
      </w:r>
      <w:r w:rsidRPr="00EC43AA">
        <w:rPr>
          <w:szCs w:val="22"/>
        </w:rPr>
        <w:t>.</w:t>
      </w:r>
    </w:p>
    <w:p w:rsidR="00AD690E" w:rsidRPr="00EC43AA" w:rsidRDefault="00AD690E" w:rsidP="00AD690E">
      <w:pPr>
        <w:spacing w:before="120" w:after="120"/>
        <w:jc w:val="both"/>
      </w:pPr>
      <w:r w:rsidRPr="00EC43AA">
        <w:rPr>
          <w:szCs w:val="22"/>
        </w:rPr>
        <w:t>De toute évidence, il y a d'importantes différences dans l'histoire et la composition de chacune de ces communautés d'imm</w:t>
      </w:r>
      <w:r w:rsidRPr="00EC43AA">
        <w:rPr>
          <w:szCs w:val="22"/>
        </w:rPr>
        <w:t>i</w:t>
      </w:r>
      <w:r w:rsidRPr="00EC43AA">
        <w:rPr>
          <w:szCs w:val="22"/>
        </w:rPr>
        <w:t>grants ; elles ne peuvent être analysées ici. Toutefois leur activisme est l'expression d'un nouveau climat international alime</w:t>
      </w:r>
      <w:r w:rsidRPr="00EC43AA">
        <w:rPr>
          <w:szCs w:val="22"/>
        </w:rPr>
        <w:t>n</w:t>
      </w:r>
      <w:r w:rsidRPr="00EC43AA">
        <w:rPr>
          <w:szCs w:val="22"/>
        </w:rPr>
        <w:t>té par le nouveau réseau d'immigration. De même la vague de militantisme chez les immigrants et leurs expériences organisatio</w:t>
      </w:r>
      <w:r w:rsidRPr="00EC43AA">
        <w:rPr>
          <w:szCs w:val="22"/>
        </w:rPr>
        <w:t>n</w:t>
      </w:r>
      <w:r w:rsidRPr="00EC43AA">
        <w:rPr>
          <w:szCs w:val="22"/>
        </w:rPr>
        <w:t>nelles au Canada à la fin des années 60 et dans la décennie su</w:t>
      </w:r>
      <w:r w:rsidRPr="00EC43AA">
        <w:rPr>
          <w:szCs w:val="22"/>
        </w:rPr>
        <w:t>i</w:t>
      </w:r>
      <w:r w:rsidRPr="00EC43AA">
        <w:rPr>
          <w:szCs w:val="22"/>
        </w:rPr>
        <w:t>vante représentent une dimension capitale de la circulation inte</w:t>
      </w:r>
      <w:r w:rsidRPr="00EC43AA">
        <w:rPr>
          <w:szCs w:val="22"/>
        </w:rPr>
        <w:t>r</w:t>
      </w:r>
      <w:r w:rsidRPr="00EC43AA">
        <w:rPr>
          <w:szCs w:val="22"/>
        </w:rPr>
        <w:t>nationale des luttes de classes.</w:t>
      </w:r>
    </w:p>
    <w:p w:rsidR="00AD690E" w:rsidRDefault="00AD690E" w:rsidP="00AD690E">
      <w:pPr>
        <w:spacing w:before="120" w:after="120"/>
        <w:jc w:val="both"/>
        <w:rPr>
          <w:szCs w:val="22"/>
        </w:rPr>
      </w:pPr>
    </w:p>
    <w:p w:rsidR="00AD690E" w:rsidRPr="006B3B2B" w:rsidRDefault="00AD690E" w:rsidP="00AD690E">
      <w:pPr>
        <w:pStyle w:val="a"/>
      </w:pPr>
      <w:r w:rsidRPr="006B3B2B">
        <w:t>Recomposition politique de la classe ouvrière</w:t>
      </w:r>
    </w:p>
    <w:p w:rsidR="00AD690E" w:rsidRPr="00EC43AA" w:rsidRDefault="00AD690E" w:rsidP="00AD690E">
      <w:pPr>
        <w:spacing w:before="120" w:after="120"/>
        <w:jc w:val="both"/>
      </w:pPr>
    </w:p>
    <w:p w:rsidR="00AD690E" w:rsidRPr="00EC43AA" w:rsidRDefault="00AD690E" w:rsidP="00AD690E">
      <w:pPr>
        <w:spacing w:before="120" w:after="120"/>
        <w:jc w:val="both"/>
      </w:pPr>
      <w:r w:rsidRPr="00EC43AA">
        <w:rPr>
          <w:szCs w:val="22"/>
        </w:rPr>
        <w:t>Un effet direct de ce nouveau climat — à moins que ce n'en soit un des principaux éléments — a été la mobilisation de plus en plus vis</w:t>
      </w:r>
      <w:r w:rsidRPr="00EC43AA">
        <w:rPr>
          <w:szCs w:val="22"/>
        </w:rPr>
        <w:t>i</w:t>
      </w:r>
      <w:r w:rsidRPr="00EC43AA">
        <w:rPr>
          <w:szCs w:val="22"/>
        </w:rPr>
        <w:t>ble des immigrants à propos de revendications et de questions relat</w:t>
      </w:r>
      <w:r w:rsidRPr="00EC43AA">
        <w:rPr>
          <w:szCs w:val="22"/>
        </w:rPr>
        <w:t>i</w:t>
      </w:r>
      <w:r w:rsidRPr="00EC43AA">
        <w:rPr>
          <w:szCs w:val="22"/>
        </w:rPr>
        <w:t>ves au travail et en faveur d'un mei</w:t>
      </w:r>
      <w:r w:rsidRPr="00EC43AA">
        <w:rPr>
          <w:szCs w:val="22"/>
        </w:rPr>
        <w:t>l</w:t>
      </w:r>
      <w:r w:rsidRPr="00EC43AA">
        <w:rPr>
          <w:szCs w:val="22"/>
        </w:rPr>
        <w:t>leur accès à la gamme des serv</w:t>
      </w:r>
      <w:r>
        <w:rPr>
          <w:szCs w:val="22"/>
        </w:rPr>
        <w:t>ices sociaux dispensés par l’État.</w:t>
      </w:r>
    </w:p>
    <w:p w:rsidR="00AD690E" w:rsidRDefault="00AD690E" w:rsidP="00AD690E">
      <w:pPr>
        <w:spacing w:before="120" w:after="120"/>
        <w:jc w:val="both"/>
      </w:pPr>
      <w:r>
        <w:br w:type="page"/>
        <w:t>[397]</w:t>
      </w:r>
    </w:p>
    <w:p w:rsidR="00AD690E" w:rsidRPr="00EC43AA" w:rsidRDefault="00AD690E" w:rsidP="00AD690E">
      <w:pPr>
        <w:spacing w:before="120" w:after="120"/>
        <w:jc w:val="both"/>
      </w:pPr>
      <w:r w:rsidRPr="00EC43AA">
        <w:rPr>
          <w:szCs w:val="22"/>
        </w:rPr>
        <w:t>En évaluant la portée politique de ce combat, il faut éviter d'ado</w:t>
      </w:r>
      <w:r w:rsidRPr="00EC43AA">
        <w:rPr>
          <w:szCs w:val="22"/>
        </w:rPr>
        <w:t>p</w:t>
      </w:r>
      <w:r w:rsidRPr="00EC43AA">
        <w:rPr>
          <w:szCs w:val="22"/>
        </w:rPr>
        <w:t>ter sans discernement les critères et la codification trad</w:t>
      </w:r>
      <w:r w:rsidRPr="00EC43AA">
        <w:rPr>
          <w:szCs w:val="22"/>
        </w:rPr>
        <w:t>i</w:t>
      </w:r>
      <w:r w:rsidRPr="00EC43AA">
        <w:rPr>
          <w:szCs w:val="22"/>
        </w:rPr>
        <w:t>tionnellement employés pour analyser les « luttes o</w:t>
      </w:r>
      <w:r w:rsidRPr="00EC43AA">
        <w:rPr>
          <w:szCs w:val="22"/>
        </w:rPr>
        <w:t>u</w:t>
      </w:r>
      <w:r w:rsidRPr="00EC43AA">
        <w:rPr>
          <w:szCs w:val="22"/>
        </w:rPr>
        <w:t>vrières » et mesurer le niveau de « conscience de classe ». Ce n'est pas seulement qu'au-delà de l'év</w:t>
      </w:r>
      <w:r w:rsidRPr="00EC43AA">
        <w:rPr>
          <w:szCs w:val="22"/>
        </w:rPr>
        <w:t>é</w:t>
      </w:r>
      <w:r>
        <w:rPr>
          <w:szCs w:val="22"/>
        </w:rPr>
        <w:t>nement codifié (</w:t>
      </w:r>
      <w:r>
        <w:rPr>
          <w:i/>
          <w:szCs w:val="22"/>
        </w:rPr>
        <w:t>i</w:t>
      </w:r>
      <w:r w:rsidRPr="00EC43AA">
        <w:rPr>
          <w:szCs w:val="22"/>
        </w:rPr>
        <w:t>.</w:t>
      </w:r>
      <w:r w:rsidRPr="00EC43AA">
        <w:rPr>
          <w:i/>
          <w:iCs/>
          <w:szCs w:val="22"/>
        </w:rPr>
        <w:t xml:space="preserve">e. </w:t>
      </w:r>
      <w:r w:rsidRPr="00EC43AA">
        <w:rPr>
          <w:szCs w:val="22"/>
        </w:rPr>
        <w:t>la grève ou la manifestation de masse) il puisse y avoir un réseau de compo</w:t>
      </w:r>
      <w:r w:rsidRPr="00EC43AA">
        <w:rPr>
          <w:szCs w:val="22"/>
        </w:rPr>
        <w:t>r</w:t>
      </w:r>
      <w:r w:rsidRPr="00EC43AA">
        <w:rPr>
          <w:szCs w:val="22"/>
        </w:rPr>
        <w:t>tement socialisé (souvent organisé) tout aussi pr</w:t>
      </w:r>
      <w:r w:rsidRPr="00EC43AA">
        <w:rPr>
          <w:szCs w:val="22"/>
        </w:rPr>
        <w:t>o</w:t>
      </w:r>
      <w:r w:rsidRPr="00EC43AA">
        <w:rPr>
          <w:szCs w:val="22"/>
        </w:rPr>
        <w:t>vocant. C'est aussi que la situation de travail qui caractérise la plupart des ouvriers immigrants est extrêmement répressive, avec son co</w:t>
      </w:r>
      <w:r w:rsidRPr="00EC43AA">
        <w:rPr>
          <w:szCs w:val="22"/>
        </w:rPr>
        <w:t>r</w:t>
      </w:r>
      <w:r w:rsidRPr="00EC43AA">
        <w:rPr>
          <w:szCs w:val="22"/>
        </w:rPr>
        <w:t>tège typique de bas salaires, de travail à la pièce, de petites usines soumises à une forte concurrence, et prat</w:t>
      </w:r>
      <w:r w:rsidRPr="00EC43AA">
        <w:rPr>
          <w:szCs w:val="22"/>
        </w:rPr>
        <w:t>i</w:t>
      </w:r>
      <w:r w:rsidRPr="00EC43AA">
        <w:rPr>
          <w:szCs w:val="22"/>
        </w:rPr>
        <w:t>quant la sous-traitance, d'où un faible niveau de syndicalisation et la réticence des syndicats traditionnels à s'aventurer dans cet espace risqué, potentie</w:t>
      </w:r>
      <w:r w:rsidRPr="00EC43AA">
        <w:rPr>
          <w:szCs w:val="22"/>
        </w:rPr>
        <w:t>l</w:t>
      </w:r>
      <w:r w:rsidRPr="00EC43AA">
        <w:rPr>
          <w:szCs w:val="22"/>
        </w:rPr>
        <w:t>lement explosif et coûteux à sy</w:t>
      </w:r>
      <w:r w:rsidRPr="00EC43AA">
        <w:rPr>
          <w:szCs w:val="22"/>
        </w:rPr>
        <w:t>n</w:t>
      </w:r>
      <w:r w:rsidRPr="00EC43AA">
        <w:rPr>
          <w:szCs w:val="22"/>
        </w:rPr>
        <w:t>diquer.</w:t>
      </w:r>
    </w:p>
    <w:p w:rsidR="00AD690E" w:rsidRPr="00EC43AA" w:rsidRDefault="00AD690E" w:rsidP="00AD690E">
      <w:pPr>
        <w:spacing w:before="120" w:after="120"/>
        <w:jc w:val="both"/>
      </w:pPr>
      <w:r w:rsidRPr="00EC43AA">
        <w:rPr>
          <w:szCs w:val="22"/>
        </w:rPr>
        <w:t>Voilà pourquoi les grèves ont été moins nombreuses sur les lieux de travail où prédominaient les immigrants. Mais leur portée et leur impact politiques l'emportent sur leur fr</w:t>
      </w:r>
      <w:r w:rsidRPr="00EC43AA">
        <w:rPr>
          <w:szCs w:val="22"/>
        </w:rPr>
        <w:t>é</w:t>
      </w:r>
      <w:r w:rsidRPr="00EC43AA">
        <w:rPr>
          <w:szCs w:val="22"/>
        </w:rPr>
        <w:t xml:space="preserve">quence. Comme elles se sont souvent produites au </w:t>
      </w:r>
      <w:r>
        <w:rPr>
          <w:szCs w:val="22"/>
        </w:rPr>
        <w:t>cœur</w:t>
      </w:r>
      <w:r w:rsidRPr="00EC43AA">
        <w:rPr>
          <w:szCs w:val="22"/>
        </w:rPr>
        <w:t xml:space="preserve"> de la métr</w:t>
      </w:r>
      <w:r w:rsidRPr="00EC43AA">
        <w:rPr>
          <w:szCs w:val="22"/>
        </w:rPr>
        <w:t>o</w:t>
      </w:r>
      <w:r w:rsidRPr="00EC43AA">
        <w:rPr>
          <w:szCs w:val="22"/>
        </w:rPr>
        <w:t>pole canadienne, elles ont attiré l'attention générale, rendant plus visible politiquement et socialement la lutte des travai</w:t>
      </w:r>
      <w:r w:rsidRPr="00EC43AA">
        <w:rPr>
          <w:szCs w:val="22"/>
        </w:rPr>
        <w:t>l</w:t>
      </w:r>
      <w:r w:rsidRPr="00EC43AA">
        <w:rPr>
          <w:szCs w:val="22"/>
        </w:rPr>
        <w:t>leurs immigrants. La grève à la compagnie Artistic Woodwork de Toronto durant l'hiver 1973-1974 en fournit une des mei</w:t>
      </w:r>
      <w:r w:rsidRPr="00EC43AA">
        <w:rPr>
          <w:szCs w:val="22"/>
        </w:rPr>
        <w:t>l</w:t>
      </w:r>
      <w:r w:rsidRPr="00EC43AA">
        <w:rPr>
          <w:szCs w:val="22"/>
        </w:rPr>
        <w:t>leures illustrations. Les travailleurs immigrants de cette moyenne compagnie de meubles se sont heurtés, dans leur effort de syndicalis</w:t>
      </w:r>
      <w:r w:rsidRPr="00EC43AA">
        <w:rPr>
          <w:szCs w:val="22"/>
        </w:rPr>
        <w:t>a</w:t>
      </w:r>
      <w:r w:rsidRPr="00EC43AA">
        <w:rPr>
          <w:szCs w:val="22"/>
        </w:rPr>
        <w:t>tion, à toute la gamme des tactiques hab</w:t>
      </w:r>
      <w:r w:rsidRPr="00EC43AA">
        <w:rPr>
          <w:szCs w:val="22"/>
        </w:rPr>
        <w:t>i</w:t>
      </w:r>
      <w:r w:rsidRPr="00EC43AA">
        <w:rPr>
          <w:szCs w:val="22"/>
        </w:rPr>
        <w:t>tuelles du patronat. Leur lutte attire un large appui auprès d'autres groupes d'immigrants et de sy</w:t>
      </w:r>
      <w:r w:rsidRPr="00EC43AA">
        <w:rPr>
          <w:szCs w:val="22"/>
        </w:rPr>
        <w:t>m</w:t>
      </w:r>
      <w:r w:rsidRPr="00EC43AA">
        <w:rPr>
          <w:szCs w:val="22"/>
        </w:rPr>
        <w:t>path</w:t>
      </w:r>
      <w:r w:rsidRPr="00EC43AA">
        <w:rPr>
          <w:szCs w:val="22"/>
        </w:rPr>
        <w:t>i</w:t>
      </w:r>
      <w:r w:rsidRPr="00EC43AA">
        <w:rPr>
          <w:szCs w:val="22"/>
        </w:rPr>
        <w:t xml:space="preserve">sants. Pendant près de trois mois, des affrontements quotidiens ont lieu sur les lignes de piquetage pour bloquer l'accès de l'usine aux </w:t>
      </w:r>
      <w:r w:rsidRPr="00EC43AA">
        <w:rPr>
          <w:i/>
          <w:iCs/>
          <w:szCs w:val="22"/>
        </w:rPr>
        <w:t xml:space="preserve">scabs : </w:t>
      </w:r>
      <w:r w:rsidRPr="00EC43AA">
        <w:rPr>
          <w:szCs w:val="22"/>
        </w:rPr>
        <w:t>ils entraînent plus de 200 arrestations et font les ma</w:t>
      </w:r>
      <w:r w:rsidRPr="00EC43AA">
        <w:rPr>
          <w:szCs w:val="22"/>
        </w:rPr>
        <w:t>n</w:t>
      </w:r>
      <w:r w:rsidRPr="00EC43AA">
        <w:rPr>
          <w:szCs w:val="22"/>
        </w:rPr>
        <w:t>chettes à Toronto. Cette grève met en lumière l'a</w:t>
      </w:r>
      <w:r w:rsidRPr="00EC43AA">
        <w:rPr>
          <w:szCs w:val="22"/>
        </w:rPr>
        <w:t>l</w:t>
      </w:r>
      <w:r w:rsidRPr="00EC43AA">
        <w:rPr>
          <w:szCs w:val="22"/>
        </w:rPr>
        <w:t>liance étroite existant entre la compagnie, la police et les tribunaux ainsi que le recours à des imm</w:t>
      </w:r>
      <w:r w:rsidRPr="00EC43AA">
        <w:rPr>
          <w:szCs w:val="22"/>
        </w:rPr>
        <w:t>i</w:t>
      </w:r>
      <w:r w:rsidRPr="00EC43AA">
        <w:rPr>
          <w:szCs w:val="22"/>
        </w:rPr>
        <w:t>grants de fraîche date pour combattre les travailleurs immigrants rés</w:t>
      </w:r>
      <w:r w:rsidRPr="00EC43AA">
        <w:rPr>
          <w:szCs w:val="22"/>
        </w:rPr>
        <w:t>i</w:t>
      </w:r>
      <w:r w:rsidRPr="00EC43AA">
        <w:rPr>
          <w:szCs w:val="22"/>
        </w:rPr>
        <w:t>dents</w:t>
      </w:r>
      <w:r>
        <w:rPr>
          <w:szCs w:val="22"/>
          <w:vertAlign w:val="superscript"/>
        </w:rPr>
        <w:t> </w:t>
      </w:r>
      <w:r>
        <w:rPr>
          <w:rStyle w:val="Appelnotedebasdep"/>
        </w:rPr>
        <w:footnoteReference w:id="667"/>
      </w:r>
      <w:r w:rsidRPr="00EC43AA">
        <w:rPr>
          <w:szCs w:val="22"/>
        </w:rPr>
        <w:t>.</w:t>
      </w:r>
    </w:p>
    <w:p w:rsidR="00AD690E" w:rsidRPr="00EC43AA" w:rsidRDefault="00AD690E" w:rsidP="00AD690E">
      <w:pPr>
        <w:spacing w:before="120" w:after="120"/>
        <w:jc w:val="both"/>
      </w:pPr>
      <w:r w:rsidRPr="00EC43AA">
        <w:rPr>
          <w:szCs w:val="22"/>
        </w:rPr>
        <w:t>La grève à l'Université McGill de Montréal (1973) où des travai</w:t>
      </w:r>
      <w:r w:rsidRPr="00EC43AA">
        <w:rPr>
          <w:szCs w:val="22"/>
        </w:rPr>
        <w:t>l</w:t>
      </w:r>
      <w:r w:rsidRPr="00EC43AA">
        <w:rPr>
          <w:szCs w:val="22"/>
        </w:rPr>
        <w:t>leurs d'entretien, la plupart portugais ou italiens, forcent l'administr</w:t>
      </w:r>
      <w:r w:rsidRPr="00EC43AA">
        <w:rPr>
          <w:szCs w:val="22"/>
        </w:rPr>
        <w:t>a</w:t>
      </w:r>
      <w:r w:rsidRPr="00EC43AA">
        <w:rPr>
          <w:szCs w:val="22"/>
        </w:rPr>
        <w:t>tion à leur concéder de meilleurs salaires et conditions de tr</w:t>
      </w:r>
      <w:r w:rsidRPr="00EC43AA">
        <w:rPr>
          <w:szCs w:val="22"/>
        </w:rPr>
        <w:t>a</w:t>
      </w:r>
      <w:r w:rsidRPr="00EC43AA">
        <w:rPr>
          <w:szCs w:val="22"/>
        </w:rPr>
        <w:t>vail en est une autre illustration. La grève paralyse totalement l'université durant plusieurs jours en raison de l'appui presque unanime offert par les a</w:t>
      </w:r>
      <w:r w:rsidRPr="00EC43AA">
        <w:rPr>
          <w:szCs w:val="22"/>
        </w:rPr>
        <w:t>u</w:t>
      </w:r>
      <w:r w:rsidRPr="00EC43AA">
        <w:rPr>
          <w:szCs w:val="22"/>
        </w:rPr>
        <w:t>tres employés et le pe</w:t>
      </w:r>
      <w:r w:rsidRPr="00EC43AA">
        <w:rPr>
          <w:szCs w:val="22"/>
        </w:rPr>
        <w:t>r</w:t>
      </w:r>
      <w:r w:rsidRPr="00EC43AA">
        <w:rPr>
          <w:szCs w:val="22"/>
        </w:rPr>
        <w:t>sonnel enseignant, mais surtout en raison de l'assistance fou</w:t>
      </w:r>
      <w:r w:rsidRPr="00EC43AA">
        <w:rPr>
          <w:szCs w:val="22"/>
        </w:rPr>
        <w:t>r</w:t>
      </w:r>
      <w:r w:rsidRPr="00EC43AA">
        <w:rPr>
          <w:szCs w:val="22"/>
        </w:rPr>
        <w:t>nie par les étudiants immigrants de McGill. Il s'agit de la première grève de l'histoire de l'Université McGill, une instit</w:t>
      </w:r>
      <w:r w:rsidRPr="00EC43AA">
        <w:rPr>
          <w:szCs w:val="22"/>
        </w:rPr>
        <w:t>u</w:t>
      </w:r>
      <w:r w:rsidRPr="00EC43AA">
        <w:rPr>
          <w:szCs w:val="22"/>
        </w:rPr>
        <w:t>tion qui a toujours été l'un des principaux symboles de la domination a</w:t>
      </w:r>
      <w:r w:rsidRPr="00EC43AA">
        <w:rPr>
          <w:szCs w:val="22"/>
        </w:rPr>
        <w:t>n</w:t>
      </w:r>
      <w:r w:rsidRPr="00EC43AA">
        <w:rPr>
          <w:szCs w:val="22"/>
        </w:rPr>
        <w:t>glo-canadienne du Québec ; cela explique la sol</w:t>
      </w:r>
      <w:r w:rsidRPr="00EC43AA">
        <w:rPr>
          <w:szCs w:val="22"/>
        </w:rPr>
        <w:t>i</w:t>
      </w:r>
      <w:r w:rsidRPr="00EC43AA">
        <w:rPr>
          <w:szCs w:val="22"/>
        </w:rPr>
        <w:t>darité de classe que</w:t>
      </w:r>
      <w:r>
        <w:rPr>
          <w:szCs w:val="22"/>
        </w:rPr>
        <w:t xml:space="preserve"> </w:t>
      </w:r>
      <w:r>
        <w:t>[</w:t>
      </w:r>
      <w:r w:rsidRPr="00EC43AA">
        <w:rPr>
          <w:szCs w:val="22"/>
        </w:rPr>
        <w:t>398</w:t>
      </w:r>
      <w:r>
        <w:rPr>
          <w:szCs w:val="22"/>
        </w:rPr>
        <w:t xml:space="preserve">] </w:t>
      </w:r>
      <w:r w:rsidRPr="00EC43AA">
        <w:rPr>
          <w:szCs w:val="22"/>
        </w:rPr>
        <w:t>manifestent quantité de travailleurs québécois à l'appui de tr</w:t>
      </w:r>
      <w:r w:rsidRPr="00EC43AA">
        <w:rPr>
          <w:szCs w:val="22"/>
        </w:rPr>
        <w:t>a</w:t>
      </w:r>
      <w:r w:rsidRPr="00EC43AA">
        <w:rPr>
          <w:szCs w:val="22"/>
        </w:rPr>
        <w:t>vai</w:t>
      </w:r>
      <w:r w:rsidRPr="00EC43AA">
        <w:rPr>
          <w:szCs w:val="22"/>
        </w:rPr>
        <w:t>l</w:t>
      </w:r>
      <w:r w:rsidRPr="00EC43AA">
        <w:rPr>
          <w:szCs w:val="22"/>
        </w:rPr>
        <w:t>leurs immigrants en grève</w:t>
      </w:r>
      <w:r>
        <w:rPr>
          <w:szCs w:val="22"/>
          <w:vertAlign w:val="superscript"/>
        </w:rPr>
        <w:t> </w:t>
      </w:r>
      <w:r>
        <w:rPr>
          <w:rStyle w:val="Appelnotedebasdep"/>
        </w:rPr>
        <w:footnoteReference w:id="668"/>
      </w:r>
      <w:r w:rsidRPr="00EC43AA">
        <w:rPr>
          <w:szCs w:val="22"/>
        </w:rPr>
        <w:t>.</w:t>
      </w:r>
    </w:p>
    <w:p w:rsidR="00AD690E" w:rsidRPr="00EC43AA" w:rsidRDefault="00AD690E" w:rsidP="00AD690E">
      <w:pPr>
        <w:spacing w:before="120" w:after="120"/>
        <w:jc w:val="both"/>
      </w:pPr>
      <w:r w:rsidRPr="00EC43AA">
        <w:rPr>
          <w:szCs w:val="22"/>
        </w:rPr>
        <w:t>Cette évolution de la conscientisation de la part de larges groupes de la classe ouvrière immigrante ne peut être que partiellement dédu</w:t>
      </w:r>
      <w:r w:rsidRPr="00EC43AA">
        <w:rPr>
          <w:szCs w:val="22"/>
        </w:rPr>
        <w:t>i</w:t>
      </w:r>
      <w:r w:rsidRPr="00EC43AA">
        <w:rPr>
          <w:szCs w:val="22"/>
        </w:rPr>
        <w:t>te à partir de leur comportement dans des situations relatives au tr</w:t>
      </w:r>
      <w:r w:rsidRPr="00EC43AA">
        <w:rPr>
          <w:szCs w:val="22"/>
        </w:rPr>
        <w:t>a</w:t>
      </w:r>
      <w:r w:rsidRPr="00EC43AA">
        <w:rPr>
          <w:szCs w:val="22"/>
        </w:rPr>
        <w:t>vail. Il faut plutôt étudier le chang</w:t>
      </w:r>
      <w:r w:rsidRPr="00EC43AA">
        <w:rPr>
          <w:szCs w:val="22"/>
        </w:rPr>
        <w:t>e</w:t>
      </w:r>
      <w:r w:rsidRPr="00EC43AA">
        <w:rPr>
          <w:szCs w:val="22"/>
        </w:rPr>
        <w:t>ment dans leurs attitudes vis-à-vis les services sociaux et leur con</w:t>
      </w:r>
      <w:r w:rsidRPr="00EC43AA">
        <w:rPr>
          <w:szCs w:val="22"/>
        </w:rPr>
        <w:t>s</w:t>
      </w:r>
      <w:r w:rsidRPr="00EC43AA">
        <w:rPr>
          <w:szCs w:val="22"/>
        </w:rPr>
        <w:t>cience du rôle de l'État en tant que planificateur de leur repr</w:t>
      </w:r>
      <w:r w:rsidRPr="00EC43AA">
        <w:rPr>
          <w:szCs w:val="22"/>
        </w:rPr>
        <w:t>o</w:t>
      </w:r>
      <w:r w:rsidRPr="00EC43AA">
        <w:rPr>
          <w:szCs w:val="22"/>
        </w:rPr>
        <w:t xml:space="preserve">duction quotidienne. Car, dans le </w:t>
      </w:r>
      <w:r w:rsidRPr="00EC43AA">
        <w:rPr>
          <w:i/>
          <w:iCs/>
          <w:szCs w:val="22"/>
        </w:rPr>
        <w:t xml:space="preserve">boom </w:t>
      </w:r>
      <w:r w:rsidRPr="00EC43AA">
        <w:rPr>
          <w:szCs w:val="22"/>
        </w:rPr>
        <w:t>de l'immigration d'après-guerre, la hiérarchie s</w:t>
      </w:r>
      <w:r w:rsidRPr="00EC43AA">
        <w:rPr>
          <w:szCs w:val="22"/>
        </w:rPr>
        <w:t>o</w:t>
      </w:r>
      <w:r w:rsidRPr="00EC43AA">
        <w:rPr>
          <w:szCs w:val="22"/>
        </w:rPr>
        <w:t>ciale dont il est fait état ci-dessus ne se constitue pas seulement sur le marché du travail, mais aussi dans l'ensemble du processus de reproduction s</w:t>
      </w:r>
      <w:r w:rsidRPr="00EC43AA">
        <w:rPr>
          <w:szCs w:val="22"/>
        </w:rPr>
        <w:t>o</w:t>
      </w:r>
      <w:r w:rsidRPr="00EC43AA">
        <w:rPr>
          <w:szCs w:val="22"/>
        </w:rPr>
        <w:t>ciale.</w:t>
      </w:r>
    </w:p>
    <w:p w:rsidR="00AD690E" w:rsidRPr="00EC43AA" w:rsidRDefault="00AD690E" w:rsidP="00AD690E">
      <w:pPr>
        <w:spacing w:before="120" w:after="120"/>
        <w:jc w:val="both"/>
      </w:pPr>
      <w:r w:rsidRPr="00EC43AA">
        <w:rPr>
          <w:szCs w:val="22"/>
        </w:rPr>
        <w:t>L'éducation est l'un des domaines où ce processus paraît le plus évident. Alors que l'État canadien y amorce une expansion sans pr</w:t>
      </w:r>
      <w:r w:rsidRPr="00EC43AA">
        <w:rPr>
          <w:szCs w:val="22"/>
        </w:rPr>
        <w:t>é</w:t>
      </w:r>
      <w:r w:rsidRPr="00EC43AA">
        <w:rPr>
          <w:szCs w:val="22"/>
        </w:rPr>
        <w:t>cédent, qu'il accompagne d'une campagne idé</w:t>
      </w:r>
      <w:r w:rsidRPr="00EC43AA">
        <w:rPr>
          <w:szCs w:val="22"/>
        </w:rPr>
        <w:t>o</w:t>
      </w:r>
      <w:r w:rsidRPr="00EC43AA">
        <w:rPr>
          <w:szCs w:val="22"/>
        </w:rPr>
        <w:t>logique mettant l'accent sur « l'égalité des chances » et les bienfaits qu'elle engendre pour la société canadienne, les enfants d'immigrants sont très souvent canal</w:t>
      </w:r>
      <w:r w:rsidRPr="00EC43AA">
        <w:rPr>
          <w:szCs w:val="22"/>
        </w:rPr>
        <w:t>i</w:t>
      </w:r>
      <w:r w:rsidRPr="00EC43AA">
        <w:rPr>
          <w:szCs w:val="22"/>
        </w:rPr>
        <w:t>sés vers des écoles et des programmes qui lim</w:t>
      </w:r>
      <w:r w:rsidRPr="00EC43AA">
        <w:rPr>
          <w:szCs w:val="22"/>
        </w:rPr>
        <w:t>i</w:t>
      </w:r>
      <w:r w:rsidRPr="00EC43AA">
        <w:rPr>
          <w:szCs w:val="22"/>
        </w:rPr>
        <w:t>tent leur accession au marché du travail ou les cantonne dans des emplois peu rémunérés. Les écoles dites « professionnelles » sont l'une des créations instit</w:t>
      </w:r>
      <w:r w:rsidRPr="00EC43AA">
        <w:rPr>
          <w:szCs w:val="22"/>
        </w:rPr>
        <w:t>u</w:t>
      </w:r>
      <w:r w:rsidRPr="00EC43AA">
        <w:rPr>
          <w:szCs w:val="22"/>
        </w:rPr>
        <w:t>tionnelles utilisées à cette fin : on s'y « occupe » des enfants - ce sont surtout des immigrants et des Canadiens issus des quartiers o</w:t>
      </w:r>
      <w:r w:rsidRPr="00EC43AA">
        <w:rPr>
          <w:szCs w:val="22"/>
        </w:rPr>
        <w:t>u</w:t>
      </w:r>
      <w:r w:rsidRPr="00EC43AA">
        <w:rPr>
          <w:szCs w:val="22"/>
        </w:rPr>
        <w:t>vriers pauvres - qui y ont été orientés après que des tests aient « d</w:t>
      </w:r>
      <w:r w:rsidRPr="00EC43AA">
        <w:rPr>
          <w:szCs w:val="22"/>
        </w:rPr>
        <w:t>é</w:t>
      </w:r>
      <w:r w:rsidRPr="00EC43AA">
        <w:rPr>
          <w:szCs w:val="22"/>
        </w:rPr>
        <w:t>montré » leurs insuffisantes intellectuelles ou leur manque d'aptitudes à pou</w:t>
      </w:r>
      <w:r w:rsidRPr="00EC43AA">
        <w:rPr>
          <w:szCs w:val="22"/>
        </w:rPr>
        <w:t>r</w:t>
      </w:r>
      <w:r w:rsidRPr="00EC43AA">
        <w:rPr>
          <w:szCs w:val="22"/>
        </w:rPr>
        <w:t>suivre des étude no</w:t>
      </w:r>
      <w:r w:rsidRPr="00EC43AA">
        <w:rPr>
          <w:szCs w:val="22"/>
        </w:rPr>
        <w:t>r</w:t>
      </w:r>
      <w:r w:rsidRPr="00EC43AA">
        <w:rPr>
          <w:szCs w:val="22"/>
        </w:rPr>
        <w:t>males</w:t>
      </w:r>
      <w:r>
        <w:rPr>
          <w:szCs w:val="22"/>
        </w:rPr>
        <w:t>. </w:t>
      </w:r>
      <w:r>
        <w:rPr>
          <w:rStyle w:val="Appelnotedebasdep"/>
        </w:rPr>
        <w:footnoteReference w:id="669"/>
      </w:r>
    </w:p>
    <w:p w:rsidR="00AD690E" w:rsidRPr="00EC43AA" w:rsidRDefault="00AD690E" w:rsidP="00AD690E">
      <w:pPr>
        <w:spacing w:before="120" w:after="120"/>
        <w:jc w:val="both"/>
      </w:pPr>
      <w:r w:rsidRPr="00EC43AA">
        <w:rPr>
          <w:szCs w:val="22"/>
        </w:rPr>
        <w:t>Ces écoles - l'un des nombreux symboles de la prospérité et du modernisme dans les années soixante - sont de fait en passe de devenir une nouvelle forme de ghetto, reproduisant au sein du système scola</w:t>
      </w:r>
      <w:r w:rsidRPr="00EC43AA">
        <w:rPr>
          <w:szCs w:val="22"/>
        </w:rPr>
        <w:t>i</w:t>
      </w:r>
      <w:r w:rsidRPr="00EC43AA">
        <w:rPr>
          <w:szCs w:val="22"/>
        </w:rPr>
        <w:t>re les divisions et la hiérarchie exi</w:t>
      </w:r>
      <w:r w:rsidRPr="00EC43AA">
        <w:rPr>
          <w:szCs w:val="22"/>
        </w:rPr>
        <w:t>s</w:t>
      </w:r>
      <w:r w:rsidRPr="00EC43AA">
        <w:rPr>
          <w:szCs w:val="22"/>
        </w:rPr>
        <w:t>tant déjà dans la société. En 1970, de nombreux groupes e</w:t>
      </w:r>
      <w:r w:rsidRPr="00EC43AA">
        <w:rPr>
          <w:szCs w:val="22"/>
        </w:rPr>
        <w:t>n</w:t>
      </w:r>
      <w:r w:rsidRPr="00EC43AA">
        <w:rPr>
          <w:szCs w:val="22"/>
        </w:rPr>
        <w:t>treprennent de lutter contre cet état de chose. À Toronto notamment, la situation devient des plus explosive, rév</w:t>
      </w:r>
      <w:r w:rsidRPr="00EC43AA">
        <w:rPr>
          <w:szCs w:val="22"/>
        </w:rPr>
        <w:t>é</w:t>
      </w:r>
      <w:r w:rsidRPr="00EC43AA">
        <w:rPr>
          <w:szCs w:val="22"/>
        </w:rPr>
        <w:t>lant non seulement la frustration qui s'acc</w:t>
      </w:r>
      <w:r w:rsidRPr="00EC43AA">
        <w:rPr>
          <w:szCs w:val="22"/>
        </w:rPr>
        <w:t>u</w:t>
      </w:r>
      <w:r w:rsidRPr="00EC43AA">
        <w:rPr>
          <w:szCs w:val="22"/>
        </w:rPr>
        <w:t>mule chez les enfants néo-canadiens alors qu'on leur impose un traitement « démocratique » et « scientifique » qui débouche sur un avenir au rabais, mais aussi le refus des parents de voir leurs enfants soumis à un traitement sembl</w:t>
      </w:r>
      <w:r w:rsidRPr="00EC43AA">
        <w:rPr>
          <w:szCs w:val="22"/>
        </w:rPr>
        <w:t>a</w:t>
      </w:r>
      <w:r w:rsidRPr="00EC43AA">
        <w:rPr>
          <w:szCs w:val="22"/>
        </w:rPr>
        <w:t>ble à celui qu'ils avaient dû suppo</w:t>
      </w:r>
      <w:r w:rsidRPr="00EC43AA">
        <w:rPr>
          <w:szCs w:val="22"/>
        </w:rPr>
        <w:t>r</w:t>
      </w:r>
      <w:r w:rsidRPr="00EC43AA">
        <w:rPr>
          <w:szCs w:val="22"/>
        </w:rPr>
        <w:t>ter quelques années auparavant. À Montréal, la révolte des parents italiens de Saint-Léonard exprime ce</w:t>
      </w:r>
      <w:r w:rsidRPr="00EC43AA">
        <w:rPr>
          <w:szCs w:val="22"/>
        </w:rPr>
        <w:t>t</w:t>
      </w:r>
      <w:r w:rsidRPr="00EC43AA">
        <w:rPr>
          <w:szCs w:val="22"/>
        </w:rPr>
        <w:t>te frustration, de façon plus aiguë qu'elle n'apparaît à Toronto, et dans un contexte socio-politique bea</w:t>
      </w:r>
      <w:r w:rsidRPr="00EC43AA">
        <w:rPr>
          <w:szCs w:val="22"/>
        </w:rPr>
        <w:t>u</w:t>
      </w:r>
      <w:r w:rsidRPr="00EC43AA">
        <w:rPr>
          <w:szCs w:val="22"/>
        </w:rPr>
        <w:t>coup plus complexe</w:t>
      </w:r>
      <w:r>
        <w:rPr>
          <w:szCs w:val="22"/>
        </w:rPr>
        <w:t> </w:t>
      </w:r>
      <w:r>
        <w:rPr>
          <w:rStyle w:val="Appelnotedebasdep"/>
        </w:rPr>
        <w:footnoteReference w:id="670"/>
      </w:r>
      <w:r w:rsidRPr="00EC43AA">
        <w:rPr>
          <w:szCs w:val="22"/>
        </w:rPr>
        <w:t>. Leur refus de se plier à l'obligation d'e</w:t>
      </w:r>
      <w:r w:rsidRPr="00EC43AA">
        <w:rPr>
          <w:szCs w:val="22"/>
        </w:rPr>
        <w:t>n</w:t>
      </w:r>
      <w:r w:rsidRPr="00EC43AA">
        <w:rPr>
          <w:szCs w:val="22"/>
        </w:rPr>
        <w:t>voyer leurs</w:t>
      </w:r>
      <w:r>
        <w:rPr>
          <w:szCs w:val="22"/>
        </w:rPr>
        <w:t xml:space="preserve"> </w:t>
      </w:r>
      <w:r>
        <w:rPr>
          <w:szCs w:val="18"/>
        </w:rPr>
        <w:t xml:space="preserve">[399] </w:t>
      </w:r>
      <w:r w:rsidRPr="00EC43AA">
        <w:rPr>
          <w:szCs w:val="22"/>
        </w:rPr>
        <w:t>enfants dans les écoles de langue française — soulevant une que</w:t>
      </w:r>
      <w:r w:rsidRPr="00EC43AA">
        <w:rPr>
          <w:szCs w:val="22"/>
        </w:rPr>
        <w:t>s</w:t>
      </w:r>
      <w:r w:rsidRPr="00EC43AA">
        <w:rPr>
          <w:szCs w:val="22"/>
        </w:rPr>
        <w:t>tion qui continuera d'être un casse-tête à la fois pour le gouvern</w:t>
      </w:r>
      <w:r w:rsidRPr="00EC43AA">
        <w:rPr>
          <w:szCs w:val="22"/>
        </w:rPr>
        <w:t>e</w:t>
      </w:r>
      <w:r w:rsidRPr="00EC43AA">
        <w:rPr>
          <w:szCs w:val="22"/>
        </w:rPr>
        <w:t>ment libéral et pour celui du parti québécois — a été perçu par plusieurs observateurs de gauche comme « réactionnaire » parce que contraire aux aspirations nationales des fra</w:t>
      </w:r>
      <w:r w:rsidRPr="00EC43AA">
        <w:rPr>
          <w:szCs w:val="22"/>
        </w:rPr>
        <w:t>n</w:t>
      </w:r>
      <w:r w:rsidRPr="00EC43AA">
        <w:rPr>
          <w:szCs w:val="22"/>
        </w:rPr>
        <w:t>cophones du Québec. Ce refus a cependant une signification de classe à la fois plus directe et plus i</w:t>
      </w:r>
      <w:r w:rsidRPr="00EC43AA">
        <w:rPr>
          <w:szCs w:val="22"/>
        </w:rPr>
        <w:t>m</w:t>
      </w:r>
      <w:r w:rsidRPr="00EC43AA">
        <w:rPr>
          <w:szCs w:val="22"/>
        </w:rPr>
        <w:t>portante, démontrant d'abord et avant tout que ces personnes n'acce</w:t>
      </w:r>
      <w:r w:rsidRPr="00EC43AA">
        <w:rPr>
          <w:szCs w:val="22"/>
        </w:rPr>
        <w:t>p</w:t>
      </w:r>
      <w:r w:rsidRPr="00EC43AA">
        <w:rPr>
          <w:szCs w:val="22"/>
        </w:rPr>
        <w:t>tent pas d'être les cibles passives, à cause de leurs origines immigrantes, de pol</w:t>
      </w:r>
      <w:r w:rsidRPr="00EC43AA">
        <w:rPr>
          <w:szCs w:val="22"/>
        </w:rPr>
        <w:t>i</w:t>
      </w:r>
      <w:r w:rsidRPr="00EC43AA">
        <w:rPr>
          <w:szCs w:val="22"/>
        </w:rPr>
        <w:t>tiques restreignant à leurs yeux leur accès au marché du travail ou prédéterminant leur avenir dans ce d</w:t>
      </w:r>
      <w:r w:rsidRPr="00EC43AA">
        <w:rPr>
          <w:szCs w:val="22"/>
        </w:rPr>
        <w:t>o</w:t>
      </w:r>
      <w:r w:rsidRPr="00EC43AA">
        <w:rPr>
          <w:szCs w:val="22"/>
        </w:rPr>
        <w:t>maine.</w:t>
      </w:r>
    </w:p>
    <w:p w:rsidR="00AD690E" w:rsidRPr="00EC43AA" w:rsidRDefault="00AD690E" w:rsidP="00AD690E">
      <w:pPr>
        <w:spacing w:before="120" w:after="120"/>
        <w:jc w:val="both"/>
      </w:pPr>
      <w:r w:rsidRPr="00EC43AA">
        <w:rPr>
          <w:szCs w:val="22"/>
        </w:rPr>
        <w:t>Les compensations ouvrières sont un autre secteur où les imm</w:t>
      </w:r>
      <w:r w:rsidRPr="00EC43AA">
        <w:rPr>
          <w:szCs w:val="22"/>
        </w:rPr>
        <w:t>i</w:t>
      </w:r>
      <w:r w:rsidRPr="00EC43AA">
        <w:rPr>
          <w:szCs w:val="22"/>
        </w:rPr>
        <w:t>grants ont refusé d'être victimes de la discrimination à cause de leur prétendue passivité ou de leur ignorance des procédures administrat</w:t>
      </w:r>
      <w:r w:rsidRPr="00EC43AA">
        <w:rPr>
          <w:szCs w:val="22"/>
        </w:rPr>
        <w:t>i</w:t>
      </w:r>
      <w:r w:rsidRPr="00EC43AA">
        <w:rPr>
          <w:szCs w:val="22"/>
        </w:rPr>
        <w:t>ves. La meilleure preuve de cette att</w:t>
      </w:r>
      <w:r w:rsidRPr="00EC43AA">
        <w:rPr>
          <w:szCs w:val="22"/>
        </w:rPr>
        <w:t>i</w:t>
      </w:r>
      <w:r w:rsidRPr="00EC43AA">
        <w:rPr>
          <w:szCs w:val="22"/>
        </w:rPr>
        <w:t>tude est la création, au début des années 70, de l'Union des ouvriers acc</w:t>
      </w:r>
      <w:r w:rsidRPr="00EC43AA">
        <w:rPr>
          <w:szCs w:val="22"/>
        </w:rPr>
        <w:t>i</w:t>
      </w:r>
      <w:r w:rsidRPr="00EC43AA">
        <w:rPr>
          <w:szCs w:val="22"/>
        </w:rPr>
        <w:t>dentés, qui regroupe surtout des immigrants de la région torontoise. Cette association est le résultat d'une enquête exhaustive faite par des o</w:t>
      </w:r>
      <w:r w:rsidRPr="00EC43AA">
        <w:rPr>
          <w:szCs w:val="22"/>
        </w:rPr>
        <w:t>r</w:t>
      </w:r>
      <w:r w:rsidRPr="00EC43AA">
        <w:rPr>
          <w:szCs w:val="22"/>
        </w:rPr>
        <w:t>ganisateurs de communautés ethniques et qui a démontré la fréquence déplorable avec laquelle la Commission des accidents du travail avait disqualifié ou ignoré les réclamations des immigrants et des Néo-Canadiens, ou e</w:t>
      </w:r>
      <w:r w:rsidRPr="00EC43AA">
        <w:rPr>
          <w:szCs w:val="22"/>
        </w:rPr>
        <w:t>n</w:t>
      </w:r>
      <w:r w:rsidRPr="00EC43AA">
        <w:rPr>
          <w:szCs w:val="22"/>
        </w:rPr>
        <w:t>core alloué des compensations moindres à ces travailleurs. La mobilisation et les nombreuses manifest</w:t>
      </w:r>
      <w:r w:rsidRPr="00EC43AA">
        <w:rPr>
          <w:szCs w:val="22"/>
        </w:rPr>
        <w:t>a</w:t>
      </w:r>
      <w:r w:rsidRPr="00EC43AA">
        <w:rPr>
          <w:szCs w:val="22"/>
        </w:rPr>
        <w:t>tions organisées par cette association auprès des instances p</w:t>
      </w:r>
      <w:r w:rsidRPr="00EC43AA">
        <w:rPr>
          <w:szCs w:val="22"/>
        </w:rPr>
        <w:t>o</w:t>
      </w:r>
      <w:r w:rsidRPr="00EC43AA">
        <w:rPr>
          <w:szCs w:val="22"/>
        </w:rPr>
        <w:t>litiques ontariennes ont finalement conduit à une révision globale des proc</w:t>
      </w:r>
      <w:r w:rsidRPr="00EC43AA">
        <w:rPr>
          <w:szCs w:val="22"/>
        </w:rPr>
        <w:t>é</w:t>
      </w:r>
      <w:r w:rsidRPr="00EC43AA">
        <w:rPr>
          <w:szCs w:val="22"/>
        </w:rPr>
        <w:t>dures d'indemnisation</w:t>
      </w:r>
      <w:r>
        <w:rPr>
          <w:szCs w:val="22"/>
          <w:vertAlign w:val="superscript"/>
        </w:rPr>
        <w:t> </w:t>
      </w:r>
      <w:r>
        <w:rPr>
          <w:rStyle w:val="Appelnotedebasdep"/>
        </w:rPr>
        <w:footnoteReference w:id="671"/>
      </w:r>
      <w:r w:rsidRPr="00EC43AA">
        <w:rPr>
          <w:szCs w:val="22"/>
        </w:rPr>
        <w:t>.</w:t>
      </w:r>
    </w:p>
    <w:p w:rsidR="00AD690E" w:rsidRPr="00EC43AA" w:rsidRDefault="00AD690E" w:rsidP="00AD690E">
      <w:pPr>
        <w:spacing w:before="120" w:after="120"/>
        <w:jc w:val="both"/>
      </w:pPr>
      <w:r w:rsidRPr="00EC43AA">
        <w:rPr>
          <w:szCs w:val="22"/>
        </w:rPr>
        <w:t>On aurait tort de considérer ces incidents comme un exemple banal du phénomène plus large de l'activité des groupes de pre</w:t>
      </w:r>
      <w:r w:rsidRPr="00EC43AA">
        <w:rPr>
          <w:szCs w:val="22"/>
        </w:rPr>
        <w:t>s</w:t>
      </w:r>
      <w:r w:rsidRPr="00EC43AA">
        <w:rPr>
          <w:szCs w:val="22"/>
        </w:rPr>
        <w:t>sion. Car lorsqu'ils sont confrontés aux autres exigences qu'ont exprimées les immigrants au cours de ces a</w:t>
      </w:r>
      <w:r w:rsidRPr="00EC43AA">
        <w:rPr>
          <w:szCs w:val="22"/>
        </w:rPr>
        <w:t>n</w:t>
      </w:r>
      <w:r w:rsidRPr="00EC43AA">
        <w:rPr>
          <w:szCs w:val="22"/>
        </w:rPr>
        <w:t>nées, l'ensemble reflète un changement qualitatif dans la perception que les i</w:t>
      </w:r>
      <w:r w:rsidRPr="00EC43AA">
        <w:rPr>
          <w:szCs w:val="22"/>
        </w:rPr>
        <w:t>m</w:t>
      </w:r>
      <w:r w:rsidRPr="00EC43AA">
        <w:rPr>
          <w:szCs w:val="22"/>
        </w:rPr>
        <w:t>migrants ont, d'une part, de leur rôle et de leur valeur en tant que force de travail dans un contexte s</w:t>
      </w:r>
      <w:r w:rsidRPr="00EC43AA">
        <w:rPr>
          <w:szCs w:val="22"/>
        </w:rPr>
        <w:t>o</w:t>
      </w:r>
      <w:r w:rsidRPr="00EC43AA">
        <w:rPr>
          <w:szCs w:val="22"/>
        </w:rPr>
        <w:t>cial élargi et, d'autre part, de l'État en tant que planificateur et organ</w:t>
      </w:r>
      <w:r w:rsidRPr="00EC43AA">
        <w:rPr>
          <w:szCs w:val="22"/>
        </w:rPr>
        <w:t>i</w:t>
      </w:r>
      <w:r w:rsidRPr="00EC43AA">
        <w:rPr>
          <w:szCs w:val="22"/>
        </w:rPr>
        <w:t>sateur de leur vie quot</w:t>
      </w:r>
      <w:r w:rsidRPr="00EC43AA">
        <w:rPr>
          <w:szCs w:val="22"/>
        </w:rPr>
        <w:t>i</w:t>
      </w:r>
      <w:r w:rsidRPr="00EC43AA">
        <w:rPr>
          <w:szCs w:val="22"/>
        </w:rPr>
        <w:t>dienne.</w:t>
      </w:r>
    </w:p>
    <w:p w:rsidR="00AD690E" w:rsidRDefault="00AD690E" w:rsidP="00AD690E">
      <w:pPr>
        <w:spacing w:before="120" w:after="120"/>
        <w:jc w:val="both"/>
        <w:rPr>
          <w:szCs w:val="22"/>
        </w:rPr>
      </w:pPr>
    </w:p>
    <w:p w:rsidR="00AD690E" w:rsidRPr="00EC43AA" w:rsidRDefault="00AD690E" w:rsidP="00AD690E">
      <w:pPr>
        <w:pStyle w:val="planche"/>
      </w:pPr>
      <w:r w:rsidRPr="00EC43AA">
        <w:t>PLURALISME CULTUREL</w:t>
      </w:r>
      <w:r>
        <w:br/>
      </w:r>
      <w:r w:rsidRPr="00EC43AA">
        <w:t>OU GESTION POL</w:t>
      </w:r>
      <w:r w:rsidRPr="00EC43AA">
        <w:t>I</w:t>
      </w:r>
      <w:r w:rsidRPr="00EC43AA">
        <w:t>TIQUE ?</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Qu'il s'agisse de comportements de classe ou de comport</w:t>
      </w:r>
      <w:r w:rsidRPr="00EC43AA">
        <w:rPr>
          <w:szCs w:val="22"/>
        </w:rPr>
        <w:t>e</w:t>
      </w:r>
      <w:r w:rsidRPr="00EC43AA">
        <w:rPr>
          <w:szCs w:val="22"/>
        </w:rPr>
        <w:t>ments inspirés par des mouvements internationaux d'opposition à des rég</w:t>
      </w:r>
      <w:r w:rsidRPr="00EC43AA">
        <w:rPr>
          <w:szCs w:val="22"/>
        </w:rPr>
        <w:t>i</w:t>
      </w:r>
      <w:r w:rsidRPr="00EC43AA">
        <w:rPr>
          <w:szCs w:val="22"/>
        </w:rPr>
        <w:t>mes oppressifs, les luttes auxquelles ont participé les co</w:t>
      </w:r>
      <w:r w:rsidRPr="00EC43AA">
        <w:rPr>
          <w:szCs w:val="22"/>
        </w:rPr>
        <w:t>m</w:t>
      </w:r>
      <w:r w:rsidRPr="00EC43AA">
        <w:rPr>
          <w:szCs w:val="22"/>
        </w:rPr>
        <w:t>munautés immigrantes du Canada, en particulier durant les a</w:t>
      </w:r>
      <w:r w:rsidRPr="00EC43AA">
        <w:rPr>
          <w:szCs w:val="22"/>
        </w:rPr>
        <w:t>n</w:t>
      </w:r>
      <w:r w:rsidRPr="00EC43AA">
        <w:rPr>
          <w:szCs w:val="22"/>
        </w:rPr>
        <w:t>nées 60 et 70, ont prouvé leur potentiel explosif tant sur le terrain des relations de travail que sur celui de la reproduction s</w:t>
      </w:r>
      <w:r w:rsidRPr="00EC43AA">
        <w:rPr>
          <w:szCs w:val="22"/>
        </w:rPr>
        <w:t>o</w:t>
      </w:r>
      <w:r w:rsidRPr="00EC43AA">
        <w:rPr>
          <w:szCs w:val="22"/>
        </w:rPr>
        <w:t>ciale.</w:t>
      </w:r>
    </w:p>
    <w:p w:rsidR="00AD690E" w:rsidRPr="00EC43AA" w:rsidRDefault="00AD690E" w:rsidP="00AD690E">
      <w:pPr>
        <w:spacing w:before="120" w:after="120"/>
        <w:jc w:val="both"/>
      </w:pPr>
      <w:r w:rsidRPr="00EC43AA">
        <w:rPr>
          <w:szCs w:val="22"/>
        </w:rPr>
        <w:t>Aucune analyse théorique n'est encore parvenue à distinguer pa</w:t>
      </w:r>
      <w:r w:rsidRPr="00EC43AA">
        <w:rPr>
          <w:szCs w:val="22"/>
        </w:rPr>
        <w:t>r</w:t>
      </w:r>
      <w:r w:rsidRPr="00EC43AA">
        <w:rPr>
          <w:szCs w:val="22"/>
        </w:rPr>
        <w:t>faitement les comportements de populations immigrantes qui répo</w:t>
      </w:r>
      <w:r w:rsidRPr="00EC43AA">
        <w:rPr>
          <w:szCs w:val="22"/>
        </w:rPr>
        <w:t>n</w:t>
      </w:r>
      <w:r w:rsidRPr="00EC43AA">
        <w:rPr>
          <w:szCs w:val="22"/>
        </w:rPr>
        <w:t>dent à des besoins de classe et ceux qui répondent à des ex</w:t>
      </w:r>
      <w:r w:rsidRPr="00EC43AA">
        <w:rPr>
          <w:szCs w:val="22"/>
        </w:rPr>
        <w:t>i</w:t>
      </w:r>
      <w:r w:rsidRPr="00EC43AA">
        <w:rPr>
          <w:szCs w:val="22"/>
        </w:rPr>
        <w:t>gences d'identité ethnique. La difficulté</w:t>
      </w:r>
      <w:r>
        <w:rPr>
          <w:szCs w:val="22"/>
        </w:rPr>
        <w:t xml:space="preserve"> </w:t>
      </w:r>
      <w:r>
        <w:t>[</w:t>
      </w:r>
      <w:r w:rsidRPr="00EC43AA">
        <w:rPr>
          <w:szCs w:val="18"/>
        </w:rPr>
        <w:t>400</w:t>
      </w:r>
      <w:r>
        <w:rPr>
          <w:szCs w:val="18"/>
        </w:rPr>
        <w:t xml:space="preserve">] </w:t>
      </w:r>
      <w:r w:rsidRPr="00EC43AA">
        <w:rPr>
          <w:szCs w:val="22"/>
        </w:rPr>
        <w:t>réside dans le fait que très so</w:t>
      </w:r>
      <w:r w:rsidRPr="00EC43AA">
        <w:rPr>
          <w:szCs w:val="22"/>
        </w:rPr>
        <w:t>u</w:t>
      </w:r>
      <w:r w:rsidRPr="00EC43AA">
        <w:rPr>
          <w:szCs w:val="22"/>
        </w:rPr>
        <w:t>vent les matrices de ces comport</w:t>
      </w:r>
      <w:r w:rsidRPr="00EC43AA">
        <w:rPr>
          <w:szCs w:val="22"/>
        </w:rPr>
        <w:t>e</w:t>
      </w:r>
      <w:r w:rsidRPr="00EC43AA">
        <w:rPr>
          <w:szCs w:val="22"/>
        </w:rPr>
        <w:t>ments conflictuels non seulement coexistent, mais sont int</w:t>
      </w:r>
      <w:r w:rsidRPr="00EC43AA">
        <w:rPr>
          <w:szCs w:val="22"/>
        </w:rPr>
        <w:t>i</w:t>
      </w:r>
      <w:r w:rsidRPr="00EC43AA">
        <w:rPr>
          <w:szCs w:val="22"/>
        </w:rPr>
        <w:t>mement liées. Dans ce contexte, le discours et la pratique mu</w:t>
      </w:r>
      <w:r w:rsidRPr="00EC43AA">
        <w:rPr>
          <w:szCs w:val="22"/>
        </w:rPr>
        <w:t>l</w:t>
      </w:r>
      <w:r w:rsidRPr="00EC43AA">
        <w:rPr>
          <w:szCs w:val="22"/>
        </w:rPr>
        <w:t>ticulturalistes sont appelés à assumer une fonction extrêm</w:t>
      </w:r>
      <w:r w:rsidRPr="00EC43AA">
        <w:rPr>
          <w:szCs w:val="22"/>
        </w:rPr>
        <w:t>e</w:t>
      </w:r>
      <w:r w:rsidRPr="00EC43AA">
        <w:rPr>
          <w:szCs w:val="22"/>
        </w:rPr>
        <w:t>ment importante. L'image du pluralisme culturel doit en effet déplacer des problèmes fondame</w:t>
      </w:r>
      <w:r w:rsidRPr="00EC43AA">
        <w:rPr>
          <w:szCs w:val="22"/>
        </w:rPr>
        <w:t>n</w:t>
      </w:r>
      <w:r w:rsidRPr="00EC43AA">
        <w:rPr>
          <w:szCs w:val="22"/>
        </w:rPr>
        <w:t>taux comme celui de l'égalité ou de la pleine participation à la société civile, du domaine des rapports de classe à celui des rapports interethniques. En cela, le multiculturali</w:t>
      </w:r>
      <w:r w:rsidRPr="00EC43AA">
        <w:rPr>
          <w:szCs w:val="22"/>
        </w:rPr>
        <w:t>s</w:t>
      </w:r>
      <w:r w:rsidRPr="00EC43AA">
        <w:rPr>
          <w:szCs w:val="22"/>
        </w:rPr>
        <w:t>me porte dans la sphère de la réalité socio-culturelle les limites inh</w:t>
      </w:r>
      <w:r w:rsidRPr="00EC43AA">
        <w:rPr>
          <w:szCs w:val="22"/>
        </w:rPr>
        <w:t>é</w:t>
      </w:r>
      <w:r w:rsidRPr="00EC43AA">
        <w:rPr>
          <w:szCs w:val="22"/>
        </w:rPr>
        <w:t>rentes au pluralisme tel que conçu par la pensée libérale. Alors qu'imm</w:t>
      </w:r>
      <w:r w:rsidRPr="00EC43AA">
        <w:rPr>
          <w:szCs w:val="22"/>
        </w:rPr>
        <w:t>i</w:t>
      </w:r>
      <w:r w:rsidRPr="00EC43AA">
        <w:rPr>
          <w:szCs w:val="22"/>
        </w:rPr>
        <w:t>grants et néo-Canadiens sont confrontés à une réalité faite de chances inégales, de mécanismes d'exclusion et de hiérarchisation s</w:t>
      </w:r>
      <w:r w:rsidRPr="00EC43AA">
        <w:rPr>
          <w:szCs w:val="22"/>
        </w:rPr>
        <w:t>o</w:t>
      </w:r>
      <w:r w:rsidRPr="00EC43AA">
        <w:rPr>
          <w:szCs w:val="22"/>
        </w:rPr>
        <w:t>ciale, ce discours se transforme inévitablement en une idéologie d'État. La mét</w:t>
      </w:r>
      <w:r w:rsidRPr="00EC43AA">
        <w:rPr>
          <w:szCs w:val="22"/>
        </w:rPr>
        <w:t>a</w:t>
      </w:r>
      <w:r w:rsidRPr="00EC43AA">
        <w:rPr>
          <w:szCs w:val="22"/>
        </w:rPr>
        <w:t>phore de la mosaïque culturelle souvent utilisée pour représe</w:t>
      </w:r>
      <w:r w:rsidRPr="00EC43AA">
        <w:rPr>
          <w:szCs w:val="22"/>
        </w:rPr>
        <w:t>n</w:t>
      </w:r>
      <w:r w:rsidRPr="00EC43AA">
        <w:rPr>
          <w:szCs w:val="22"/>
        </w:rPr>
        <w:t>ter la vision multiculturaliste, sert (tout comme les images développées dans le « Plan d'action » qu</w:t>
      </w:r>
      <w:r w:rsidRPr="00EC43AA">
        <w:rPr>
          <w:szCs w:val="22"/>
        </w:rPr>
        <w:t>é</w:t>
      </w:r>
      <w:r w:rsidRPr="00EC43AA">
        <w:rPr>
          <w:szCs w:val="22"/>
        </w:rPr>
        <w:t>bécois) à transmettre l'idée que nous sommes tous Canadiens (ou Québécois) indépendamment de nos origines ethnocult</w:t>
      </w:r>
      <w:r w:rsidRPr="00EC43AA">
        <w:rPr>
          <w:szCs w:val="22"/>
        </w:rPr>
        <w:t>u</w:t>
      </w:r>
      <w:r w:rsidRPr="00EC43AA">
        <w:rPr>
          <w:szCs w:val="22"/>
        </w:rPr>
        <w:t>relles, et donc tous sur un pied d'égalité dans la société dont nous faisons partie. En même temps, comme ensemble de politiques et de programmes concrets, le multiculturalisme a pour e</w:t>
      </w:r>
      <w:r w:rsidRPr="00EC43AA">
        <w:rPr>
          <w:szCs w:val="22"/>
        </w:rPr>
        <w:t>f</w:t>
      </w:r>
      <w:r w:rsidRPr="00EC43AA">
        <w:rPr>
          <w:szCs w:val="22"/>
        </w:rPr>
        <w:t>fet de favoriser chez les co</w:t>
      </w:r>
      <w:r w:rsidRPr="00EC43AA">
        <w:rPr>
          <w:szCs w:val="22"/>
        </w:rPr>
        <w:t>m</w:t>
      </w:r>
      <w:r w:rsidRPr="00EC43AA">
        <w:rPr>
          <w:szCs w:val="22"/>
        </w:rPr>
        <w:t>munautés immigrantes un certain type de manifestation de conscience ethnique, qui se traduit nécessairement par des a</w:t>
      </w:r>
      <w:r w:rsidRPr="00EC43AA">
        <w:rPr>
          <w:szCs w:val="22"/>
        </w:rPr>
        <w:t>c</w:t>
      </w:r>
      <w:r w:rsidRPr="00EC43AA">
        <w:rPr>
          <w:szCs w:val="22"/>
        </w:rPr>
        <w:t>tivités et des formes d'association regroupant des individus de classes sociales diff</w:t>
      </w:r>
      <w:r w:rsidRPr="00EC43AA">
        <w:rPr>
          <w:szCs w:val="22"/>
        </w:rPr>
        <w:t>é</w:t>
      </w:r>
      <w:r w:rsidRPr="00EC43AA">
        <w:rPr>
          <w:szCs w:val="22"/>
        </w:rPr>
        <w:t>rentes. Les axes principaux de la politique multiculturaliste - tels les activités de « développement cult</w:t>
      </w:r>
      <w:r w:rsidRPr="00EC43AA">
        <w:rPr>
          <w:szCs w:val="22"/>
        </w:rPr>
        <w:t>u</w:t>
      </w:r>
      <w:r w:rsidRPr="00EC43AA">
        <w:rPr>
          <w:szCs w:val="22"/>
        </w:rPr>
        <w:t>rel », la promotion de l'enseignement des langues d'origine, ou le soutien a</w:t>
      </w:r>
      <w:r w:rsidRPr="00EC43AA">
        <w:rPr>
          <w:szCs w:val="22"/>
        </w:rPr>
        <w:t>p</w:t>
      </w:r>
      <w:r w:rsidRPr="00EC43AA">
        <w:rPr>
          <w:szCs w:val="22"/>
        </w:rPr>
        <w:t>porté aux associations ethniques ~ ont pour but de valoriser les orig</w:t>
      </w:r>
      <w:r w:rsidRPr="00EC43AA">
        <w:rPr>
          <w:szCs w:val="22"/>
        </w:rPr>
        <w:t>i</w:t>
      </w:r>
      <w:r w:rsidRPr="00EC43AA">
        <w:rPr>
          <w:szCs w:val="22"/>
        </w:rPr>
        <w:t>nes et les traditions des différents groupes. Mais inévitablement, ces politiques trouvent leurs interlocuteurs privilégiés parmi les élites et</w:t>
      </w:r>
      <w:r w:rsidRPr="00EC43AA">
        <w:rPr>
          <w:szCs w:val="22"/>
        </w:rPr>
        <w:t>h</w:t>
      </w:r>
      <w:r w:rsidRPr="00EC43AA">
        <w:rPr>
          <w:szCs w:val="22"/>
        </w:rPr>
        <w:t>niques, lesquelles ont général</w:t>
      </w:r>
      <w:r w:rsidRPr="00EC43AA">
        <w:rPr>
          <w:szCs w:val="22"/>
        </w:rPr>
        <w:t>e</w:t>
      </w:r>
      <w:r w:rsidRPr="00EC43AA">
        <w:rPr>
          <w:szCs w:val="22"/>
        </w:rPr>
        <w:t>ment tout intérêt à maintenir leurs communautés culturellement isolées. Cette d</w:t>
      </w:r>
      <w:r w:rsidRPr="00EC43AA">
        <w:rPr>
          <w:szCs w:val="22"/>
        </w:rPr>
        <w:t>y</w:t>
      </w:r>
      <w:r w:rsidRPr="00EC43AA">
        <w:rPr>
          <w:szCs w:val="22"/>
        </w:rPr>
        <w:t>namique a donc très souvent entraîné le resserrement du contrôle des notables locaux sur les comm</w:t>
      </w:r>
      <w:r w:rsidRPr="00EC43AA">
        <w:rPr>
          <w:szCs w:val="22"/>
        </w:rPr>
        <w:t>u</w:t>
      </w:r>
      <w:r w:rsidRPr="00EC43AA">
        <w:rPr>
          <w:szCs w:val="22"/>
        </w:rPr>
        <w:t>nautés par le renforcement des associations qu'ils dirigent et leur prise en charge de la médiation entre le « ghetto » et</w:t>
      </w:r>
      <w:r w:rsidRPr="00EC43AA">
        <w:rPr>
          <w:szCs w:val="22"/>
        </w:rPr>
        <w:t>h</w:t>
      </w:r>
      <w:r w:rsidRPr="00EC43AA">
        <w:rPr>
          <w:szCs w:val="22"/>
        </w:rPr>
        <w:t>nique et le marché du travail. Ce mécanisme de « dom</w:t>
      </w:r>
      <w:r w:rsidRPr="00EC43AA">
        <w:rPr>
          <w:szCs w:val="22"/>
        </w:rPr>
        <w:t>i</w:t>
      </w:r>
      <w:r w:rsidRPr="00EC43AA">
        <w:rPr>
          <w:szCs w:val="22"/>
        </w:rPr>
        <w:t>nation indirecte » a été particulièrement efficace dans les communautés italiennes, à la fois parce que celles-ci sont fortement concentrées en milieu urbain et pa</w:t>
      </w:r>
      <w:r w:rsidRPr="00EC43AA">
        <w:rPr>
          <w:szCs w:val="22"/>
        </w:rPr>
        <w:t>r</w:t>
      </w:r>
      <w:r w:rsidRPr="00EC43AA">
        <w:rPr>
          <w:szCs w:val="22"/>
        </w:rPr>
        <w:t>ce que les antécédents sociaux des immigrants italiens les rendaient plus dépendants des services fou</w:t>
      </w:r>
      <w:r w:rsidRPr="00EC43AA">
        <w:rPr>
          <w:szCs w:val="22"/>
        </w:rPr>
        <w:t>r</w:t>
      </w:r>
      <w:r w:rsidRPr="00EC43AA">
        <w:rPr>
          <w:szCs w:val="22"/>
        </w:rPr>
        <w:t>nis dans le « ghetto »</w:t>
      </w:r>
      <w:r>
        <w:rPr>
          <w:szCs w:val="22"/>
        </w:rPr>
        <w:t> </w:t>
      </w:r>
      <w:r>
        <w:rPr>
          <w:rStyle w:val="Appelnotedebasdep"/>
        </w:rPr>
        <w:footnoteReference w:id="672"/>
      </w:r>
      <w:r w:rsidRPr="00EC43AA">
        <w:rPr>
          <w:szCs w:val="22"/>
        </w:rPr>
        <w:t>.</w:t>
      </w:r>
    </w:p>
    <w:p w:rsidR="00AD690E" w:rsidRPr="00EC43AA" w:rsidRDefault="00AD690E" w:rsidP="00AD690E">
      <w:pPr>
        <w:spacing w:before="120" w:after="120"/>
        <w:jc w:val="both"/>
      </w:pPr>
      <w:r w:rsidRPr="00EC43AA">
        <w:rPr>
          <w:szCs w:val="22"/>
        </w:rPr>
        <w:t>On ne peut s'étonner de ce que l'une des principales cons</w:t>
      </w:r>
      <w:r w:rsidRPr="00EC43AA">
        <w:rPr>
          <w:szCs w:val="22"/>
        </w:rPr>
        <w:t>é</w:t>
      </w:r>
      <w:r w:rsidRPr="00EC43AA">
        <w:rPr>
          <w:szCs w:val="22"/>
        </w:rPr>
        <w:t>quences de cette approche ait été de promouvoir le dévelo</w:t>
      </w:r>
      <w:r w:rsidRPr="00EC43AA">
        <w:rPr>
          <w:szCs w:val="22"/>
        </w:rPr>
        <w:t>p</w:t>
      </w:r>
      <w:r w:rsidRPr="00EC43AA">
        <w:rPr>
          <w:szCs w:val="22"/>
        </w:rPr>
        <w:t>pement de rapports « clientélaires » entre les instances gouvernementales et les élites et</w:t>
      </w:r>
      <w:r w:rsidRPr="00EC43AA">
        <w:rPr>
          <w:szCs w:val="22"/>
        </w:rPr>
        <w:t>h</w:t>
      </w:r>
      <w:r w:rsidRPr="00EC43AA">
        <w:rPr>
          <w:szCs w:val="22"/>
        </w:rPr>
        <w:t>niques. Ces relations ont favorisé une canalisation des ressources go</w:t>
      </w:r>
      <w:r w:rsidRPr="00EC43AA">
        <w:rPr>
          <w:szCs w:val="22"/>
        </w:rPr>
        <w:t>u</w:t>
      </w:r>
      <w:r w:rsidRPr="00EC43AA">
        <w:rPr>
          <w:szCs w:val="22"/>
        </w:rPr>
        <w:t>vernementales (surtout financières) et ont souvent contribué à perp</w:t>
      </w:r>
      <w:r w:rsidRPr="00EC43AA">
        <w:rPr>
          <w:szCs w:val="22"/>
        </w:rPr>
        <w:t>é</w:t>
      </w:r>
      <w:r w:rsidRPr="00EC43AA">
        <w:rPr>
          <w:szCs w:val="22"/>
        </w:rPr>
        <w:t>tuer un certain rapport de pouvoir à l'intérieur des communautés co</w:t>
      </w:r>
      <w:r w:rsidRPr="00EC43AA">
        <w:rPr>
          <w:szCs w:val="22"/>
        </w:rPr>
        <w:t>n</w:t>
      </w:r>
      <w:r w:rsidRPr="00EC43AA">
        <w:rPr>
          <w:szCs w:val="22"/>
        </w:rPr>
        <w:t>cernées. Cela s'est fait au détriment du potentiel créatif qui</w:t>
      </w:r>
      <w:r>
        <w:rPr>
          <w:szCs w:val="22"/>
        </w:rPr>
        <w:t xml:space="preserve"> </w:t>
      </w:r>
      <w:r>
        <w:t xml:space="preserve">[401] </w:t>
      </w:r>
      <w:r w:rsidRPr="00EC43AA">
        <w:rPr>
          <w:szCs w:val="22"/>
        </w:rPr>
        <w:t>pouvait exister dans les secteurs de ces communautés exclus des r</w:t>
      </w:r>
      <w:r w:rsidRPr="00EC43AA">
        <w:rPr>
          <w:szCs w:val="22"/>
        </w:rPr>
        <w:t>é</w:t>
      </w:r>
      <w:r w:rsidRPr="00EC43AA">
        <w:rPr>
          <w:szCs w:val="22"/>
        </w:rPr>
        <w:t>seaux « clientélaires » mentionnés plus haut. Si donc le multicultur</w:t>
      </w:r>
      <w:r w:rsidRPr="00EC43AA">
        <w:rPr>
          <w:szCs w:val="22"/>
        </w:rPr>
        <w:t>a</w:t>
      </w:r>
      <w:r w:rsidRPr="00EC43AA">
        <w:rPr>
          <w:szCs w:val="22"/>
        </w:rPr>
        <w:t>lisme a influencé le développement et les activités des associations de beaucoup de communautés ethniques, ainsi que les dynamiques pol</w:t>
      </w:r>
      <w:r w:rsidRPr="00EC43AA">
        <w:rPr>
          <w:szCs w:val="22"/>
        </w:rPr>
        <w:t>i</w:t>
      </w:r>
      <w:r w:rsidRPr="00EC43AA">
        <w:rPr>
          <w:szCs w:val="22"/>
        </w:rPr>
        <w:t>tiques à l'intérieur de celles-ci, son succès en tant que stratégie de d</w:t>
      </w:r>
      <w:r w:rsidRPr="00EC43AA">
        <w:rPr>
          <w:szCs w:val="22"/>
        </w:rPr>
        <w:t>o</w:t>
      </w:r>
      <w:r w:rsidRPr="00EC43AA">
        <w:rPr>
          <w:szCs w:val="22"/>
        </w:rPr>
        <w:t>mination indirecte a pourtant été éph</w:t>
      </w:r>
      <w:r w:rsidRPr="00EC43AA">
        <w:rPr>
          <w:szCs w:val="22"/>
        </w:rPr>
        <w:t>é</w:t>
      </w:r>
      <w:r w:rsidRPr="00EC43AA">
        <w:rPr>
          <w:szCs w:val="22"/>
        </w:rPr>
        <w:t>mère. Contrairement à ce qu'en pensaient les stratèges du multiculturalisme, les communautés ethn</w:t>
      </w:r>
      <w:r w:rsidRPr="00EC43AA">
        <w:rPr>
          <w:szCs w:val="22"/>
        </w:rPr>
        <w:t>i</w:t>
      </w:r>
      <w:r w:rsidRPr="00EC43AA">
        <w:rPr>
          <w:szCs w:val="22"/>
        </w:rPr>
        <w:t>ques sont loin d'être des entités socialement et culturellement hom</w:t>
      </w:r>
      <w:r w:rsidRPr="00EC43AA">
        <w:rPr>
          <w:szCs w:val="22"/>
        </w:rPr>
        <w:t>o</w:t>
      </w:r>
      <w:r w:rsidRPr="00EC43AA">
        <w:rPr>
          <w:szCs w:val="22"/>
        </w:rPr>
        <w:t>gènes. Aussi imperce</w:t>
      </w:r>
      <w:r w:rsidRPr="00EC43AA">
        <w:rPr>
          <w:szCs w:val="22"/>
        </w:rPr>
        <w:t>p</w:t>
      </w:r>
      <w:r w:rsidRPr="00EC43AA">
        <w:rPr>
          <w:szCs w:val="22"/>
        </w:rPr>
        <w:t>tibles ou insignifiantes puissent-elles être aux yeux des fon</w:t>
      </w:r>
      <w:r w:rsidRPr="00EC43AA">
        <w:rPr>
          <w:szCs w:val="22"/>
        </w:rPr>
        <w:t>c</w:t>
      </w:r>
      <w:r w:rsidRPr="00EC43AA">
        <w:rPr>
          <w:szCs w:val="22"/>
        </w:rPr>
        <w:t>tionnaires fédéraux, des différences de classes, de degré d'intégration, d'éducation et de culture politique caractérisent la pl</w:t>
      </w:r>
      <w:r w:rsidRPr="00EC43AA">
        <w:rPr>
          <w:szCs w:val="22"/>
        </w:rPr>
        <w:t>u</w:t>
      </w:r>
      <w:r w:rsidRPr="00EC43AA">
        <w:rPr>
          <w:szCs w:val="22"/>
        </w:rPr>
        <w:t>part d'entre elles. Tant que le le</w:t>
      </w:r>
      <w:r w:rsidRPr="00EC43AA">
        <w:rPr>
          <w:szCs w:val="22"/>
        </w:rPr>
        <w:t>a</w:t>
      </w:r>
      <w:r w:rsidRPr="00EC43AA">
        <w:rPr>
          <w:szCs w:val="22"/>
        </w:rPr>
        <w:t>dership des notables locaux était exercé dans un contexte communautaire d'isolement culturel et de nostalgie du « pays perdu », les él</w:t>
      </w:r>
      <w:r w:rsidRPr="00EC43AA">
        <w:rPr>
          <w:szCs w:val="22"/>
        </w:rPr>
        <w:t>é</w:t>
      </w:r>
      <w:r w:rsidRPr="00EC43AA">
        <w:rPr>
          <w:szCs w:val="22"/>
        </w:rPr>
        <w:t>ments les plus jeunes ou les plus dynamiques de ces comm</w:t>
      </w:r>
      <w:r w:rsidRPr="00EC43AA">
        <w:rPr>
          <w:szCs w:val="22"/>
        </w:rPr>
        <w:t>u</w:t>
      </w:r>
      <w:r w:rsidRPr="00EC43AA">
        <w:rPr>
          <w:szCs w:val="22"/>
        </w:rPr>
        <w:t>nautés pouvaient parfaitement ignorer ce leadership qu'ils co</w:t>
      </w:r>
      <w:r w:rsidRPr="00EC43AA">
        <w:rPr>
          <w:szCs w:val="22"/>
        </w:rPr>
        <w:t>n</w:t>
      </w:r>
      <w:r w:rsidRPr="00EC43AA">
        <w:rPr>
          <w:szCs w:val="22"/>
        </w:rPr>
        <w:t>sidéraient dépassé, ou dans lequel ils ne voyaient qu'un ph</w:t>
      </w:r>
      <w:r w:rsidRPr="00EC43AA">
        <w:rPr>
          <w:szCs w:val="22"/>
        </w:rPr>
        <w:t>é</w:t>
      </w:r>
      <w:r w:rsidRPr="00EC43AA">
        <w:rPr>
          <w:szCs w:val="22"/>
        </w:rPr>
        <w:t>nomène en voie de disparition. Mais lorsque, dans le cadre d'un vaste projet national de redéfinition des relations interet</w:t>
      </w:r>
      <w:r w:rsidRPr="00EC43AA">
        <w:rPr>
          <w:szCs w:val="22"/>
        </w:rPr>
        <w:t>h</w:t>
      </w:r>
      <w:r w:rsidRPr="00EC43AA">
        <w:rPr>
          <w:szCs w:val="22"/>
        </w:rPr>
        <w:t>niques, des sommes considérables ont commencé à être inje</w:t>
      </w:r>
      <w:r w:rsidRPr="00EC43AA">
        <w:rPr>
          <w:szCs w:val="22"/>
        </w:rPr>
        <w:t>c</w:t>
      </w:r>
      <w:r w:rsidRPr="00EC43AA">
        <w:rPr>
          <w:szCs w:val="22"/>
        </w:rPr>
        <w:t>tées dans ces communa</w:t>
      </w:r>
      <w:r w:rsidRPr="00EC43AA">
        <w:rPr>
          <w:szCs w:val="22"/>
        </w:rPr>
        <w:t>u</w:t>
      </w:r>
      <w:r w:rsidRPr="00EC43AA">
        <w:rPr>
          <w:szCs w:val="22"/>
        </w:rPr>
        <w:t>tés et lorsque leurs notables en ont été présentés comme les représentants officiels et les porte-parole, l'indifférence s'est muée en rivalité et en conflit. C'est pourquoi en pareils cas le leadership des notables locaux a été rapid</w:t>
      </w:r>
      <w:r w:rsidRPr="00EC43AA">
        <w:rPr>
          <w:szCs w:val="22"/>
        </w:rPr>
        <w:t>e</w:t>
      </w:r>
      <w:r w:rsidRPr="00EC43AA">
        <w:rPr>
          <w:szCs w:val="22"/>
        </w:rPr>
        <w:t>ment remis en question à l'intérieur même des communautés, ou de plus en plus contourné par les imm</w:t>
      </w:r>
      <w:r w:rsidRPr="00EC43AA">
        <w:rPr>
          <w:szCs w:val="22"/>
        </w:rPr>
        <w:t>i</w:t>
      </w:r>
      <w:r w:rsidRPr="00EC43AA">
        <w:rPr>
          <w:szCs w:val="22"/>
        </w:rPr>
        <w:t>grants qui ont appris à faire affaire directement, ou par l'entremise d'organ</w:t>
      </w:r>
      <w:r w:rsidRPr="00EC43AA">
        <w:rPr>
          <w:szCs w:val="22"/>
        </w:rPr>
        <w:t>i</w:t>
      </w:r>
      <w:r w:rsidRPr="00EC43AA">
        <w:rPr>
          <w:szCs w:val="22"/>
        </w:rPr>
        <w:t>sations communautaires militantes, avec l'appareil gouve</w:t>
      </w:r>
      <w:r w:rsidRPr="00EC43AA">
        <w:rPr>
          <w:szCs w:val="22"/>
        </w:rPr>
        <w:t>r</w:t>
      </w:r>
      <w:r w:rsidRPr="00EC43AA">
        <w:rPr>
          <w:szCs w:val="22"/>
        </w:rPr>
        <w:t>nemental.</w:t>
      </w:r>
    </w:p>
    <w:p w:rsidR="00AD690E" w:rsidRPr="00EC43AA" w:rsidRDefault="00AD690E" w:rsidP="00AD690E">
      <w:pPr>
        <w:spacing w:before="120" w:after="120"/>
        <w:jc w:val="both"/>
      </w:pPr>
      <w:r w:rsidRPr="00EC43AA">
        <w:rPr>
          <w:szCs w:val="22"/>
        </w:rPr>
        <w:t>Pour les communautés de formation récente, le multicult</w:t>
      </w:r>
      <w:r w:rsidRPr="00EC43AA">
        <w:rPr>
          <w:szCs w:val="22"/>
        </w:rPr>
        <w:t>u</w:t>
      </w:r>
      <w:r w:rsidRPr="00EC43AA">
        <w:rPr>
          <w:szCs w:val="22"/>
        </w:rPr>
        <w:t>ralisme n'a jamais rempli qu'une fonction idéologique, soit parce que leur le</w:t>
      </w:r>
      <w:r w:rsidRPr="00EC43AA">
        <w:rPr>
          <w:szCs w:val="22"/>
        </w:rPr>
        <w:t>a</w:t>
      </w:r>
      <w:r w:rsidRPr="00EC43AA">
        <w:rPr>
          <w:szCs w:val="22"/>
        </w:rPr>
        <w:t>dership est divisé entre des organisations rivales (comme cela a su</w:t>
      </w:r>
      <w:r w:rsidRPr="00EC43AA">
        <w:rPr>
          <w:szCs w:val="22"/>
        </w:rPr>
        <w:t>r</w:t>
      </w:r>
      <w:r w:rsidRPr="00EC43AA">
        <w:rPr>
          <w:szCs w:val="22"/>
        </w:rPr>
        <w:t>tout été le cas de la communauté anti</w:t>
      </w:r>
      <w:r w:rsidRPr="00EC43AA">
        <w:rPr>
          <w:szCs w:val="22"/>
        </w:rPr>
        <w:t>l</w:t>
      </w:r>
      <w:r w:rsidRPr="00EC43AA">
        <w:rPr>
          <w:szCs w:val="22"/>
        </w:rPr>
        <w:t>laise de Toronto), soit parce que les associations locales dominantes sont dès le départ des organis</w:t>
      </w:r>
      <w:r w:rsidRPr="00EC43AA">
        <w:rPr>
          <w:szCs w:val="22"/>
        </w:rPr>
        <w:t>a</w:t>
      </w:r>
      <w:r w:rsidRPr="00EC43AA">
        <w:rPr>
          <w:szCs w:val="22"/>
        </w:rPr>
        <w:t>tions militantes qui se situent dans le courant de la circulation intern</w:t>
      </w:r>
      <w:r w:rsidRPr="00EC43AA">
        <w:rPr>
          <w:szCs w:val="22"/>
        </w:rPr>
        <w:t>a</w:t>
      </w:r>
      <w:r w:rsidRPr="00EC43AA">
        <w:rPr>
          <w:szCs w:val="22"/>
        </w:rPr>
        <w:t>tionale des luttes déjà mentionné et qui se sont mobilisées contre les m</w:t>
      </w:r>
      <w:r w:rsidRPr="00EC43AA">
        <w:rPr>
          <w:szCs w:val="22"/>
        </w:rPr>
        <w:t>e</w:t>
      </w:r>
      <w:r w:rsidRPr="00EC43AA">
        <w:rPr>
          <w:szCs w:val="22"/>
        </w:rPr>
        <w:t>sures répressives du gouvernement canadien ou contre la vague de racisme dont très souvent elles sont la cible. La communa</w:t>
      </w:r>
      <w:r w:rsidRPr="00EC43AA">
        <w:rPr>
          <w:szCs w:val="22"/>
        </w:rPr>
        <w:t>u</w:t>
      </w:r>
      <w:r w:rsidRPr="00EC43AA">
        <w:rPr>
          <w:szCs w:val="22"/>
        </w:rPr>
        <w:t>té haïti</w:t>
      </w:r>
      <w:r>
        <w:rPr>
          <w:szCs w:val="22"/>
        </w:rPr>
        <w:t>enne de Montréal et les commu</w:t>
      </w:r>
      <w:r w:rsidRPr="00EC43AA">
        <w:rPr>
          <w:szCs w:val="22"/>
        </w:rPr>
        <w:t>nautés pakistanaises de Toronto et de Va</w:t>
      </w:r>
      <w:r w:rsidRPr="00EC43AA">
        <w:rPr>
          <w:szCs w:val="22"/>
        </w:rPr>
        <w:t>n</w:t>
      </w:r>
      <w:r w:rsidRPr="00EC43AA">
        <w:rPr>
          <w:szCs w:val="22"/>
        </w:rPr>
        <w:t>couver en sont les meilleures illustr</w:t>
      </w:r>
      <w:r w:rsidRPr="00EC43AA">
        <w:rPr>
          <w:szCs w:val="22"/>
        </w:rPr>
        <w:t>a</w:t>
      </w:r>
      <w:r w:rsidRPr="00EC43AA">
        <w:rPr>
          <w:szCs w:val="22"/>
        </w:rPr>
        <w:t>tions.</w:t>
      </w:r>
    </w:p>
    <w:p w:rsidR="00AD690E" w:rsidRPr="00EC43AA" w:rsidRDefault="00AD690E" w:rsidP="00AD690E">
      <w:pPr>
        <w:spacing w:before="120" w:after="120"/>
        <w:jc w:val="both"/>
      </w:pPr>
      <w:r w:rsidRPr="00EC43AA">
        <w:rPr>
          <w:szCs w:val="22"/>
        </w:rPr>
        <w:t>Jusqu'à présent, aucune étude n'a pu analyser de façon sat</w:t>
      </w:r>
      <w:r>
        <w:rPr>
          <w:szCs w:val="22"/>
        </w:rPr>
        <w:t>i</w:t>
      </w:r>
      <w:r>
        <w:rPr>
          <w:szCs w:val="22"/>
        </w:rPr>
        <w:t>s</w:t>
      </w:r>
      <w:r>
        <w:rPr>
          <w:szCs w:val="22"/>
        </w:rPr>
        <w:t>faisante les phénomènes socio</w:t>
      </w:r>
      <w:r w:rsidRPr="00EC43AA">
        <w:rPr>
          <w:szCs w:val="22"/>
        </w:rPr>
        <w:t>culturels et politiques co</w:t>
      </w:r>
      <w:r w:rsidRPr="00EC43AA">
        <w:rPr>
          <w:szCs w:val="22"/>
        </w:rPr>
        <w:t>m</w:t>
      </w:r>
      <w:r w:rsidRPr="00EC43AA">
        <w:rPr>
          <w:szCs w:val="22"/>
        </w:rPr>
        <w:t>plexes dont il est question ici ; du moins pouvons-nous affirmer que ce n'est pas le mu</w:t>
      </w:r>
      <w:r w:rsidRPr="00EC43AA">
        <w:rPr>
          <w:szCs w:val="22"/>
        </w:rPr>
        <w:t>l</w:t>
      </w:r>
      <w:r w:rsidRPr="00EC43AA">
        <w:rPr>
          <w:szCs w:val="22"/>
        </w:rPr>
        <w:t>ticulturalisme qui a freiné les comportements confli</w:t>
      </w:r>
      <w:r w:rsidRPr="00EC43AA">
        <w:rPr>
          <w:szCs w:val="22"/>
        </w:rPr>
        <w:t>c</w:t>
      </w:r>
      <w:r w:rsidRPr="00EC43AA">
        <w:rPr>
          <w:szCs w:val="22"/>
        </w:rPr>
        <w:t>tuels de classe dont nous avons parlé plus haut, ou qui a endigué au Canada l'effet de la circulation i</w:t>
      </w:r>
      <w:r w:rsidRPr="00EC43AA">
        <w:rPr>
          <w:szCs w:val="22"/>
        </w:rPr>
        <w:t>n</w:t>
      </w:r>
      <w:r w:rsidRPr="00EC43AA">
        <w:rPr>
          <w:szCs w:val="22"/>
        </w:rPr>
        <w:t>ternationale des luttes. Pour atteindre ces objectifs, l'État</w:t>
      </w:r>
      <w:r>
        <w:rPr>
          <w:szCs w:val="22"/>
        </w:rPr>
        <w:t xml:space="preserve"> libéral canadien a dû intervenir</w:t>
      </w:r>
      <w:r w:rsidRPr="00EC43AA">
        <w:rPr>
          <w:szCs w:val="22"/>
        </w:rPr>
        <w:t xml:space="preserve"> à nouveau par le biais de sa pol</w:t>
      </w:r>
      <w:r w:rsidRPr="00EC43AA">
        <w:rPr>
          <w:szCs w:val="22"/>
        </w:rPr>
        <w:t>i</w:t>
      </w:r>
      <w:r w:rsidRPr="00EC43AA">
        <w:rPr>
          <w:szCs w:val="22"/>
        </w:rPr>
        <w:t>tique d'immigration.</w:t>
      </w:r>
    </w:p>
    <w:p w:rsidR="00AD690E" w:rsidRPr="00EC43AA" w:rsidRDefault="00AD690E" w:rsidP="00AD690E">
      <w:pPr>
        <w:spacing w:before="120" w:after="120"/>
        <w:jc w:val="both"/>
      </w:pPr>
      <w:r w:rsidRPr="00EC43AA">
        <w:rPr>
          <w:szCs w:val="22"/>
        </w:rPr>
        <w:t>En dépit des critiques faites au nouveau projet de loi et de l'oppos</w:t>
      </w:r>
      <w:r w:rsidRPr="00EC43AA">
        <w:rPr>
          <w:szCs w:val="22"/>
        </w:rPr>
        <w:t>i</w:t>
      </w:r>
      <w:r w:rsidRPr="00EC43AA">
        <w:rPr>
          <w:szCs w:val="22"/>
        </w:rPr>
        <w:t>tion qui lui a été exprimée dans divers secteurs de la société canadie</w:t>
      </w:r>
      <w:r w:rsidRPr="00EC43AA">
        <w:rPr>
          <w:szCs w:val="22"/>
        </w:rPr>
        <w:t>n</w:t>
      </w:r>
      <w:r w:rsidRPr="00EC43AA">
        <w:rPr>
          <w:szCs w:val="22"/>
        </w:rPr>
        <w:t>ne, le gouvernement libéral a eu beau jeu : d</w:t>
      </w:r>
      <w:r w:rsidRPr="00EC43AA">
        <w:rPr>
          <w:szCs w:val="22"/>
        </w:rPr>
        <w:t>u</w:t>
      </w:r>
      <w:r w:rsidRPr="00EC43AA">
        <w:rPr>
          <w:szCs w:val="22"/>
        </w:rPr>
        <w:t>rant le long débat qui a précédé la mise en vigueur de</w:t>
      </w:r>
      <w:r>
        <w:rPr>
          <w:szCs w:val="22"/>
        </w:rPr>
        <w:t xml:space="preserve"> </w:t>
      </w:r>
      <w:r>
        <w:t>[</w:t>
      </w:r>
      <w:r w:rsidRPr="00EC43AA">
        <w:rPr>
          <w:szCs w:val="18"/>
        </w:rPr>
        <w:t>402</w:t>
      </w:r>
      <w:r>
        <w:rPr>
          <w:szCs w:val="18"/>
        </w:rPr>
        <w:t xml:space="preserve">] </w:t>
      </w:r>
      <w:r w:rsidRPr="00EC43AA">
        <w:rPr>
          <w:szCs w:val="22"/>
        </w:rPr>
        <w:t>cette loi, il a en effet réussi à faire valoir des considérations tec</w:t>
      </w:r>
      <w:r w:rsidRPr="00EC43AA">
        <w:rPr>
          <w:szCs w:val="22"/>
        </w:rPr>
        <w:t>h</w:t>
      </w:r>
      <w:r w:rsidRPr="00EC43AA">
        <w:rPr>
          <w:szCs w:val="22"/>
        </w:rPr>
        <w:t>nocratiques basées sur des exigences démographiques et écon</w:t>
      </w:r>
      <w:r w:rsidRPr="00EC43AA">
        <w:rPr>
          <w:szCs w:val="22"/>
        </w:rPr>
        <w:t>o</w:t>
      </w:r>
      <w:r w:rsidRPr="00EC43AA">
        <w:rPr>
          <w:szCs w:val="22"/>
        </w:rPr>
        <w:t>miques futures du Canada. Surtout, le débat s'est déroulé dans un contexte caractérisé par la crise économique, un chômage croissant et un climat d'opinion particulièrement pertu</w:t>
      </w:r>
      <w:r w:rsidRPr="00EC43AA">
        <w:rPr>
          <w:szCs w:val="22"/>
        </w:rPr>
        <w:t>r</w:t>
      </w:r>
      <w:r w:rsidRPr="00EC43AA">
        <w:rPr>
          <w:szCs w:val="22"/>
        </w:rPr>
        <w:t>bé par le problème des immigrants illégaux et par celui du terrorisme intern</w:t>
      </w:r>
      <w:r w:rsidRPr="00EC43AA">
        <w:rPr>
          <w:szCs w:val="22"/>
        </w:rPr>
        <w:t>a</w:t>
      </w:r>
      <w:r w:rsidRPr="00EC43AA">
        <w:rPr>
          <w:szCs w:val="22"/>
        </w:rPr>
        <w:t>tional. La loi de 1978 répond à plusieurs des exigences du gouvern</w:t>
      </w:r>
      <w:r w:rsidRPr="00EC43AA">
        <w:rPr>
          <w:szCs w:val="22"/>
        </w:rPr>
        <w:t>e</w:t>
      </w:r>
      <w:r w:rsidRPr="00EC43AA">
        <w:rPr>
          <w:szCs w:val="22"/>
        </w:rPr>
        <w:t>ment en établissant des critères d'admission beaucoup plus restrictifs : ainsi, les catégories précédentes qui, nous l'avons vu, étaient en gra</w:t>
      </w:r>
      <w:r w:rsidRPr="00EC43AA">
        <w:rPr>
          <w:szCs w:val="22"/>
        </w:rPr>
        <w:t>n</w:t>
      </w:r>
      <w:r w:rsidRPr="00EC43AA">
        <w:rPr>
          <w:szCs w:val="22"/>
        </w:rPr>
        <w:t>de partie basées sur une év</w:t>
      </w:r>
      <w:r w:rsidRPr="00EC43AA">
        <w:rPr>
          <w:szCs w:val="22"/>
        </w:rPr>
        <w:t>a</w:t>
      </w:r>
      <w:r w:rsidRPr="00EC43AA">
        <w:rPr>
          <w:szCs w:val="22"/>
        </w:rPr>
        <w:t>luation des besoins du marché du travail, ont été re</w:t>
      </w:r>
      <w:r w:rsidRPr="00EC43AA">
        <w:rPr>
          <w:szCs w:val="22"/>
        </w:rPr>
        <w:t>m</w:t>
      </w:r>
      <w:r w:rsidRPr="00EC43AA">
        <w:rPr>
          <w:szCs w:val="22"/>
        </w:rPr>
        <w:t>placées par des catégories plus larges, mais qui par ailleurs permettent aux autorités d'effectuer une sélection politique plus stricte des nouveaux immigrants. En outre, au moyen de cette loi, l'État lib</w:t>
      </w:r>
      <w:r w:rsidRPr="00EC43AA">
        <w:rPr>
          <w:szCs w:val="22"/>
        </w:rPr>
        <w:t>é</w:t>
      </w:r>
      <w:r w:rsidRPr="00EC43AA">
        <w:rPr>
          <w:szCs w:val="22"/>
        </w:rPr>
        <w:t>ral peut exercer un contrôle beaucoup plus sévère sur le compo</w:t>
      </w:r>
      <w:r w:rsidRPr="00EC43AA">
        <w:rPr>
          <w:szCs w:val="22"/>
        </w:rPr>
        <w:t>r</w:t>
      </w:r>
      <w:r w:rsidRPr="00EC43AA">
        <w:rPr>
          <w:szCs w:val="22"/>
        </w:rPr>
        <w:t>tement de ces derniers, tant sur le marché du travail que dans la société civ</w:t>
      </w:r>
      <w:r w:rsidRPr="00EC43AA">
        <w:rPr>
          <w:szCs w:val="22"/>
        </w:rPr>
        <w:t>i</w:t>
      </w:r>
      <w:r w:rsidRPr="00EC43AA">
        <w:rPr>
          <w:szCs w:val="22"/>
        </w:rPr>
        <w:t>le</w:t>
      </w:r>
      <w:r>
        <w:rPr>
          <w:szCs w:val="22"/>
          <w:vertAlign w:val="superscript"/>
        </w:rPr>
        <w:t> </w:t>
      </w:r>
      <w:r>
        <w:rPr>
          <w:rStyle w:val="Appelnotedebasdep"/>
        </w:rPr>
        <w:footnoteReference w:id="673"/>
      </w:r>
      <w:r w:rsidRPr="00EC43AA">
        <w:rPr>
          <w:szCs w:val="22"/>
        </w:rPr>
        <w:t>.</w:t>
      </w:r>
    </w:p>
    <w:p w:rsidR="00AD690E" w:rsidRPr="00EC43AA" w:rsidRDefault="00AD690E" w:rsidP="00AD690E">
      <w:pPr>
        <w:spacing w:before="120" w:after="120"/>
        <w:jc w:val="both"/>
      </w:pPr>
      <w:r w:rsidRPr="00EC43AA">
        <w:rPr>
          <w:szCs w:val="22"/>
        </w:rPr>
        <w:t>Les buts éminemment politiques de cette loi, ainsi que son caract</w:t>
      </w:r>
      <w:r w:rsidRPr="00EC43AA">
        <w:rPr>
          <w:szCs w:val="22"/>
        </w:rPr>
        <w:t>è</w:t>
      </w:r>
      <w:r w:rsidRPr="00EC43AA">
        <w:rPr>
          <w:szCs w:val="22"/>
        </w:rPr>
        <w:t>re répressif, ont été en grande partie occultés par les changements su</w:t>
      </w:r>
      <w:r w:rsidRPr="00EC43AA">
        <w:rPr>
          <w:szCs w:val="22"/>
        </w:rPr>
        <w:t>r</w:t>
      </w:r>
      <w:r w:rsidRPr="00EC43AA">
        <w:rPr>
          <w:szCs w:val="22"/>
        </w:rPr>
        <w:t>venus dans la composition du mouvement migratoire au Canada d</w:t>
      </w:r>
      <w:r w:rsidRPr="00EC43AA">
        <w:rPr>
          <w:szCs w:val="22"/>
        </w:rPr>
        <w:t>u</w:t>
      </w:r>
      <w:r w:rsidRPr="00EC43AA">
        <w:rPr>
          <w:szCs w:val="22"/>
        </w:rPr>
        <w:t>rant les années qui ont suivi son e</w:t>
      </w:r>
      <w:r w:rsidRPr="00EC43AA">
        <w:rPr>
          <w:szCs w:val="22"/>
        </w:rPr>
        <w:t>n</w:t>
      </w:r>
      <w:r w:rsidRPr="00EC43AA">
        <w:rPr>
          <w:szCs w:val="22"/>
        </w:rPr>
        <w:t>trée en vigueur. En effet, deux composantes particulières de cette immigration ont augmenté de f</w:t>
      </w:r>
      <w:r w:rsidRPr="00EC43AA">
        <w:rPr>
          <w:szCs w:val="22"/>
        </w:rPr>
        <w:t>a</w:t>
      </w:r>
      <w:r w:rsidRPr="00EC43AA">
        <w:rPr>
          <w:szCs w:val="22"/>
        </w:rPr>
        <w:t>çon marquée : d'une part, celle des travail</w:t>
      </w:r>
      <w:r>
        <w:rPr>
          <w:szCs w:val="22"/>
        </w:rPr>
        <w:t>l</w:t>
      </w:r>
      <w:r w:rsidRPr="00EC43AA">
        <w:rPr>
          <w:szCs w:val="22"/>
        </w:rPr>
        <w:t>eurs et travailleuses admis avec des permis temp</w:t>
      </w:r>
      <w:r w:rsidRPr="00EC43AA">
        <w:rPr>
          <w:szCs w:val="22"/>
        </w:rPr>
        <w:t>o</w:t>
      </w:r>
      <w:r w:rsidRPr="00EC43AA">
        <w:rPr>
          <w:szCs w:val="22"/>
        </w:rPr>
        <w:t>raires et, d'autre part, celle des réfugiés politiques — ces derniers v</w:t>
      </w:r>
      <w:r w:rsidRPr="00EC43AA">
        <w:rPr>
          <w:szCs w:val="22"/>
        </w:rPr>
        <w:t>e</w:t>
      </w:r>
      <w:r w:rsidRPr="00EC43AA">
        <w:rPr>
          <w:szCs w:val="22"/>
        </w:rPr>
        <w:t>nant surtout des pays du Sud-Est asiatique. En ce qui concerne le premier groupe, dont le statut au Canada demeure souvent précaire, il ne peut être question de pluralisme ethn</w:t>
      </w:r>
      <w:r w:rsidRPr="00EC43AA">
        <w:rPr>
          <w:szCs w:val="22"/>
        </w:rPr>
        <w:t>o</w:t>
      </w:r>
      <w:r w:rsidRPr="00EC43AA">
        <w:rPr>
          <w:szCs w:val="22"/>
        </w:rPr>
        <w:t>culturel ou de multiculturalisme. Ce n'est en effet qu'en tant que force de travail que ces individus participent à la vie can</w:t>
      </w:r>
      <w:r w:rsidRPr="00EC43AA">
        <w:rPr>
          <w:szCs w:val="22"/>
        </w:rPr>
        <w:t>a</w:t>
      </w:r>
      <w:r w:rsidRPr="00EC43AA">
        <w:rPr>
          <w:szCs w:val="22"/>
        </w:rPr>
        <w:t>dienne, qu'ils entrent et sortent du pays : leur existence cult</w:t>
      </w:r>
      <w:r w:rsidRPr="00EC43AA">
        <w:rPr>
          <w:szCs w:val="22"/>
        </w:rPr>
        <w:t>u</w:t>
      </w:r>
      <w:r w:rsidRPr="00EC43AA">
        <w:rPr>
          <w:szCs w:val="22"/>
        </w:rPr>
        <w:t>relle est complètement en dehors des considér</w:t>
      </w:r>
      <w:r w:rsidRPr="00EC43AA">
        <w:rPr>
          <w:szCs w:val="22"/>
        </w:rPr>
        <w:t>a</w:t>
      </w:r>
      <w:r w:rsidRPr="00EC43AA">
        <w:rPr>
          <w:szCs w:val="22"/>
        </w:rPr>
        <w:t>tions politiques des autorités gouvernementales. En ce qui concerne les réf</w:t>
      </w:r>
      <w:r w:rsidRPr="00EC43AA">
        <w:rPr>
          <w:szCs w:val="22"/>
        </w:rPr>
        <w:t>u</w:t>
      </w:r>
      <w:r w:rsidRPr="00EC43AA">
        <w:rPr>
          <w:szCs w:val="22"/>
        </w:rPr>
        <w:t>giés politiques, nous savons bien — en partie grâce aux critiques soul</w:t>
      </w:r>
      <w:r w:rsidRPr="00EC43AA">
        <w:rPr>
          <w:szCs w:val="22"/>
        </w:rPr>
        <w:t>e</w:t>
      </w:r>
      <w:r w:rsidRPr="00EC43AA">
        <w:rPr>
          <w:szCs w:val="22"/>
        </w:rPr>
        <w:t xml:space="preserve">vées par des groupes comme la </w:t>
      </w:r>
      <w:r w:rsidRPr="00EC43AA">
        <w:rPr>
          <w:i/>
          <w:iCs/>
          <w:szCs w:val="22"/>
        </w:rPr>
        <w:t xml:space="preserve">Ligue des droits et libertés </w:t>
      </w:r>
      <w:r w:rsidRPr="00EC43AA">
        <w:rPr>
          <w:szCs w:val="22"/>
        </w:rPr>
        <w:t>— à quel point leur sélection répond à la fois à des considér</w:t>
      </w:r>
      <w:r w:rsidRPr="00EC43AA">
        <w:rPr>
          <w:szCs w:val="22"/>
        </w:rPr>
        <w:t>a</w:t>
      </w:r>
      <w:r w:rsidRPr="00EC43AA">
        <w:rPr>
          <w:szCs w:val="22"/>
        </w:rPr>
        <w:t>tions économiques et à des considérations de sécurité nationale qui tendent à privilégier certains pays d'origine plutôt que d'autres. En o</w:t>
      </w:r>
      <w:r w:rsidRPr="00EC43AA">
        <w:rPr>
          <w:szCs w:val="22"/>
        </w:rPr>
        <w:t>u</w:t>
      </w:r>
      <w:r w:rsidRPr="00EC43AA">
        <w:rPr>
          <w:szCs w:val="22"/>
        </w:rPr>
        <w:t>tre, la tutelle gouvernementale imposée à ces populations durant la période initiale de leur résidence au Canada limite considérabl</w:t>
      </w:r>
      <w:r w:rsidRPr="00EC43AA">
        <w:rPr>
          <w:szCs w:val="22"/>
        </w:rPr>
        <w:t>e</w:t>
      </w:r>
      <w:r w:rsidRPr="00EC43AA">
        <w:rPr>
          <w:szCs w:val="22"/>
        </w:rPr>
        <w:t>ment les risques de comportements disruptifs, à la fois sur le marché du tr</w:t>
      </w:r>
      <w:r w:rsidRPr="00EC43AA">
        <w:rPr>
          <w:szCs w:val="22"/>
        </w:rPr>
        <w:t>a</w:t>
      </w:r>
      <w:r w:rsidRPr="00EC43AA">
        <w:rPr>
          <w:szCs w:val="22"/>
        </w:rPr>
        <w:t>vail et dans le domaine des services sociaux</w:t>
      </w:r>
      <w:r>
        <w:rPr>
          <w:szCs w:val="22"/>
          <w:vertAlign w:val="superscript"/>
        </w:rPr>
        <w:t> </w:t>
      </w:r>
      <w:r>
        <w:rPr>
          <w:rStyle w:val="Appelnotedebasdep"/>
        </w:rPr>
        <w:footnoteReference w:id="674"/>
      </w:r>
      <w:r w:rsidRPr="00EC43AA">
        <w:rPr>
          <w:szCs w:val="22"/>
        </w:rPr>
        <w:t>.</w:t>
      </w:r>
    </w:p>
    <w:p w:rsidR="00AD690E" w:rsidRPr="00EC43AA" w:rsidRDefault="00AD690E" w:rsidP="00AD690E">
      <w:pPr>
        <w:spacing w:before="120" w:after="120"/>
        <w:jc w:val="both"/>
      </w:pPr>
      <w:r w:rsidRPr="00EC43AA">
        <w:rPr>
          <w:szCs w:val="22"/>
        </w:rPr>
        <w:t>Vers la fin de l'ère libérale, le multiculturalisme avait donc épuisé ses possibilités en tant qu'instrument de domination i</w:t>
      </w:r>
      <w:r w:rsidRPr="00EC43AA">
        <w:rPr>
          <w:szCs w:val="22"/>
        </w:rPr>
        <w:t>n</w:t>
      </w:r>
      <w:r w:rsidRPr="00EC43AA">
        <w:rPr>
          <w:szCs w:val="22"/>
        </w:rPr>
        <w:t>directe : soit qu'il ait été démasqué par les conflits survenus à l'intérieur des co</w:t>
      </w:r>
      <w:r w:rsidRPr="00EC43AA">
        <w:rPr>
          <w:szCs w:val="22"/>
        </w:rPr>
        <w:t>m</w:t>
      </w:r>
      <w:r w:rsidRPr="00EC43AA">
        <w:rPr>
          <w:szCs w:val="22"/>
        </w:rPr>
        <w:t>munautés</w:t>
      </w:r>
      <w:r>
        <w:rPr>
          <w:szCs w:val="22"/>
        </w:rPr>
        <w:t xml:space="preserve"> </w:t>
      </w:r>
      <w:r>
        <w:t xml:space="preserve">[403] </w:t>
      </w:r>
      <w:r w:rsidRPr="00EC43AA">
        <w:rPr>
          <w:szCs w:val="22"/>
        </w:rPr>
        <w:t>ethnoculturelles ; soit parce que le gouvernement s'était assuré un contrôle direct des populations nouvelles par le biais de la nouvelle politique d'immigration ; soit enfin en raison des impo</w:t>
      </w:r>
      <w:r w:rsidRPr="00EC43AA">
        <w:rPr>
          <w:szCs w:val="22"/>
        </w:rPr>
        <w:t>r</w:t>
      </w:r>
      <w:r w:rsidRPr="00EC43AA">
        <w:rPr>
          <w:szCs w:val="22"/>
        </w:rPr>
        <w:t>tantes transform</w:t>
      </w:r>
      <w:r w:rsidRPr="00EC43AA">
        <w:rPr>
          <w:szCs w:val="22"/>
        </w:rPr>
        <w:t>a</w:t>
      </w:r>
      <w:r w:rsidRPr="00EC43AA">
        <w:rPr>
          <w:szCs w:val="22"/>
        </w:rPr>
        <w:t>tions démographiques et culturelles qui ont eu lieu au cours des quinze dernières années dans la pl</w:t>
      </w:r>
      <w:r w:rsidRPr="00EC43AA">
        <w:rPr>
          <w:szCs w:val="22"/>
        </w:rPr>
        <w:t>u</w:t>
      </w:r>
      <w:r w:rsidRPr="00EC43AA">
        <w:rPr>
          <w:szCs w:val="22"/>
        </w:rPr>
        <w:t>part des communautés ethniques. Il est vrai que les principes du multiculturalisme ont été par la suite intégrés à la Constitution canadienne, permettant ainsi au go</w:t>
      </w:r>
      <w:r w:rsidRPr="00EC43AA">
        <w:rPr>
          <w:szCs w:val="22"/>
        </w:rPr>
        <w:t>u</w:t>
      </w:r>
      <w:r w:rsidRPr="00EC43AA">
        <w:rPr>
          <w:szCs w:val="22"/>
        </w:rPr>
        <w:t>vernement libéral de léguer à la postérité une vision sociale et cult</w:t>
      </w:r>
      <w:r w:rsidRPr="00EC43AA">
        <w:rPr>
          <w:szCs w:val="22"/>
        </w:rPr>
        <w:t>u</w:t>
      </w:r>
      <w:r w:rsidRPr="00EC43AA">
        <w:rPr>
          <w:szCs w:val="22"/>
        </w:rPr>
        <w:t>relle pluraliste du Canada. Mais un tel geste, en apparence solennel, n'a aucune implication concrète ; tout au plus met-il davantage en r</w:t>
      </w:r>
      <w:r w:rsidRPr="00EC43AA">
        <w:rPr>
          <w:szCs w:val="22"/>
        </w:rPr>
        <w:t>e</w:t>
      </w:r>
      <w:r w:rsidRPr="00EC43AA">
        <w:rPr>
          <w:szCs w:val="22"/>
        </w:rPr>
        <w:t>lief la vocation idéologique de cette politique. L'inclusion de ces pri</w:t>
      </w:r>
      <w:r w:rsidRPr="00EC43AA">
        <w:rPr>
          <w:szCs w:val="22"/>
        </w:rPr>
        <w:t>n</w:t>
      </w:r>
      <w:r w:rsidRPr="00EC43AA">
        <w:rPr>
          <w:szCs w:val="22"/>
        </w:rPr>
        <w:t>cipes dans la charte constitutionnelle est loin d'avoir transformé le multiculturalisme en un ensemble de droits et de responsabilités g</w:t>
      </w:r>
      <w:r w:rsidRPr="00EC43AA">
        <w:rPr>
          <w:szCs w:val="22"/>
        </w:rPr>
        <w:t>a</w:t>
      </w:r>
      <w:r w:rsidRPr="00EC43AA">
        <w:rPr>
          <w:szCs w:val="22"/>
        </w:rPr>
        <w:t xml:space="preserve">rantis par des lois appropriées — telle, par exemple, </w:t>
      </w:r>
      <w:r w:rsidRPr="0021773A">
        <w:rPr>
          <w:iCs/>
          <w:szCs w:val="22"/>
        </w:rPr>
        <w:t>l</w:t>
      </w:r>
      <w:r w:rsidRPr="00EC43AA">
        <w:rPr>
          <w:i/>
          <w:iCs/>
          <w:szCs w:val="22"/>
        </w:rPr>
        <w:t xml:space="preserve">'« affirmative action » </w:t>
      </w:r>
      <w:r w:rsidRPr="00EC43AA">
        <w:rPr>
          <w:szCs w:val="22"/>
        </w:rPr>
        <w:t>utilisée aux États-Unis pour protéger les communautés no</w:t>
      </w:r>
      <w:r w:rsidRPr="00EC43AA">
        <w:rPr>
          <w:szCs w:val="22"/>
        </w:rPr>
        <w:t>i</w:t>
      </w:r>
      <w:r w:rsidRPr="00EC43AA">
        <w:rPr>
          <w:szCs w:val="22"/>
        </w:rPr>
        <w:t>res. Le multiculturali</w:t>
      </w:r>
      <w:r w:rsidRPr="00EC43AA">
        <w:rPr>
          <w:szCs w:val="22"/>
        </w:rPr>
        <w:t>s</w:t>
      </w:r>
      <w:r w:rsidRPr="00EC43AA">
        <w:rPr>
          <w:szCs w:val="22"/>
        </w:rPr>
        <w:t>me demeure un instrument à l'entière discrétion des autorités gouve</w:t>
      </w:r>
      <w:r w:rsidRPr="00EC43AA">
        <w:rPr>
          <w:szCs w:val="22"/>
        </w:rPr>
        <w:t>r</w:t>
      </w:r>
      <w:r w:rsidRPr="00EC43AA">
        <w:rPr>
          <w:szCs w:val="22"/>
        </w:rPr>
        <w:t>nementales, par lequel elles tentent de gérer la diversité cu</w:t>
      </w:r>
      <w:r w:rsidRPr="00EC43AA">
        <w:rPr>
          <w:szCs w:val="22"/>
        </w:rPr>
        <w:t>l</w:t>
      </w:r>
      <w:r w:rsidRPr="00EC43AA">
        <w:rPr>
          <w:szCs w:val="22"/>
        </w:rPr>
        <w:t>turelle qui caractérise la société canadienne et de s'assurer que cette société devienne et demeure conforme à leurs exigences p</w:t>
      </w:r>
      <w:r w:rsidRPr="00EC43AA">
        <w:rPr>
          <w:szCs w:val="22"/>
        </w:rPr>
        <w:t>o</w:t>
      </w:r>
      <w:r w:rsidRPr="00EC43AA">
        <w:rPr>
          <w:szCs w:val="22"/>
        </w:rPr>
        <w:t>litiques. Cela est encore vrai dans les années 80, alors que la conjon</w:t>
      </w:r>
      <w:r w:rsidRPr="00EC43AA">
        <w:rPr>
          <w:szCs w:val="22"/>
        </w:rPr>
        <w:t>c</w:t>
      </w:r>
      <w:r w:rsidRPr="00EC43AA">
        <w:rPr>
          <w:szCs w:val="22"/>
        </w:rPr>
        <w:t>ture internationale et les critères d'admission adoptés par Ottawa ont énormément acce</w:t>
      </w:r>
      <w:r w:rsidRPr="00EC43AA">
        <w:rPr>
          <w:szCs w:val="22"/>
        </w:rPr>
        <w:t>n</w:t>
      </w:r>
      <w:r w:rsidRPr="00EC43AA">
        <w:rPr>
          <w:szCs w:val="22"/>
        </w:rPr>
        <w:t>tué la diversité politique et de statut socio-économique existant parmi les populations i</w:t>
      </w:r>
      <w:r w:rsidRPr="00EC43AA">
        <w:rPr>
          <w:szCs w:val="22"/>
        </w:rPr>
        <w:t>m</w:t>
      </w:r>
      <w:r w:rsidRPr="00EC43AA">
        <w:rPr>
          <w:szCs w:val="22"/>
        </w:rPr>
        <w:t>migrantes.</w:t>
      </w:r>
    </w:p>
    <w:p w:rsidR="00AD690E" w:rsidRPr="00EC43AA" w:rsidRDefault="00AD690E" w:rsidP="00AD690E">
      <w:pPr>
        <w:spacing w:before="120" w:after="120"/>
        <w:jc w:val="both"/>
      </w:pPr>
      <w:r w:rsidRPr="00EC43AA">
        <w:rPr>
          <w:szCs w:val="22"/>
        </w:rPr>
        <w:t>Un des objectifs visés par le gouvernement libéral a été de dév</w:t>
      </w:r>
      <w:r w:rsidRPr="00EC43AA">
        <w:rPr>
          <w:szCs w:val="22"/>
        </w:rPr>
        <w:t>e</w:t>
      </w:r>
      <w:r w:rsidRPr="00EC43AA">
        <w:rPr>
          <w:szCs w:val="22"/>
        </w:rPr>
        <w:t>lopper une meilleure connaissance du fait ethnique au Canada. C</w:t>
      </w:r>
      <w:r w:rsidRPr="00EC43AA">
        <w:rPr>
          <w:szCs w:val="22"/>
        </w:rPr>
        <w:t>e</w:t>
      </w:r>
      <w:r w:rsidRPr="00EC43AA">
        <w:rPr>
          <w:szCs w:val="22"/>
        </w:rPr>
        <w:t>pendant, malgré les louables efforts des autorités pour promouvoir le secteur des études ethniques, la politique du multiculturalisme cont</w:t>
      </w:r>
      <w:r w:rsidRPr="00EC43AA">
        <w:rPr>
          <w:szCs w:val="22"/>
        </w:rPr>
        <w:t>i</w:t>
      </w:r>
      <w:r w:rsidRPr="00EC43AA">
        <w:rPr>
          <w:szCs w:val="22"/>
        </w:rPr>
        <w:t>nue</w:t>
      </w:r>
      <w:r>
        <w:rPr>
          <w:szCs w:val="22"/>
        </w:rPr>
        <w:t>nt</w:t>
      </w:r>
      <w:r w:rsidRPr="00EC43AA">
        <w:rPr>
          <w:szCs w:val="22"/>
        </w:rPr>
        <w:t xml:space="preserve"> à s'appuyer sur une connaissance inadéquate du phénomène m</w:t>
      </w:r>
      <w:r w:rsidRPr="00EC43AA">
        <w:rPr>
          <w:szCs w:val="22"/>
        </w:rPr>
        <w:t>i</w:t>
      </w:r>
      <w:r w:rsidRPr="00EC43AA">
        <w:rPr>
          <w:szCs w:val="22"/>
        </w:rPr>
        <w:t>gratoire et des dynamiques inte</w:t>
      </w:r>
      <w:r w:rsidRPr="00EC43AA">
        <w:rPr>
          <w:szCs w:val="22"/>
        </w:rPr>
        <w:t>r</w:t>
      </w:r>
      <w:r w:rsidRPr="00EC43AA">
        <w:rPr>
          <w:szCs w:val="22"/>
        </w:rPr>
        <w:t>culturelles qui caractérisent la société canadienne. Dans l'o</w:t>
      </w:r>
      <w:r w:rsidRPr="00EC43AA">
        <w:rPr>
          <w:szCs w:val="22"/>
        </w:rPr>
        <w:t>p</w:t>
      </w:r>
      <w:r w:rsidRPr="00EC43AA">
        <w:rPr>
          <w:szCs w:val="22"/>
        </w:rPr>
        <w:t xml:space="preserve">tique technocratique des fonctionnaires libéraux, les études ethniques auraient dû fournir les instruments théoriques permettant à la politique du multiculturalisme d'imposer </w:t>
      </w:r>
      <w:r w:rsidRPr="00EC43AA">
        <w:rPr>
          <w:i/>
          <w:iCs/>
          <w:szCs w:val="22"/>
        </w:rPr>
        <w:t>par le so</w:t>
      </w:r>
      <w:r w:rsidRPr="00EC43AA">
        <w:rPr>
          <w:i/>
          <w:iCs/>
          <w:szCs w:val="22"/>
        </w:rPr>
        <w:t>m</w:t>
      </w:r>
      <w:r w:rsidRPr="00EC43AA">
        <w:rPr>
          <w:i/>
          <w:iCs/>
          <w:szCs w:val="22"/>
        </w:rPr>
        <w:t xml:space="preserve">met </w:t>
      </w:r>
      <w:r w:rsidRPr="00EC43AA">
        <w:rPr>
          <w:szCs w:val="22"/>
        </w:rPr>
        <w:t>un pluralisme ethnoculturel à la société c</w:t>
      </w:r>
      <w:r w:rsidRPr="00EC43AA">
        <w:rPr>
          <w:szCs w:val="22"/>
        </w:rPr>
        <w:t>a</w:t>
      </w:r>
      <w:r w:rsidRPr="00EC43AA">
        <w:rPr>
          <w:szCs w:val="22"/>
        </w:rPr>
        <w:t>nadienne. En réalité, dans le discours et dans la pratique multiculturaliste, l'ethnicité a to</w:t>
      </w:r>
      <w:r w:rsidRPr="00EC43AA">
        <w:rPr>
          <w:szCs w:val="22"/>
        </w:rPr>
        <w:t>u</w:t>
      </w:r>
      <w:r w:rsidRPr="00EC43AA">
        <w:rPr>
          <w:szCs w:val="22"/>
        </w:rPr>
        <w:t xml:space="preserve">jours été un </w:t>
      </w:r>
      <w:r w:rsidRPr="00EC43AA">
        <w:rPr>
          <w:i/>
          <w:iCs/>
          <w:szCs w:val="22"/>
        </w:rPr>
        <w:t xml:space="preserve">a priori : </w:t>
      </w:r>
      <w:r w:rsidRPr="00EC43AA">
        <w:rPr>
          <w:szCs w:val="22"/>
        </w:rPr>
        <w:t>on en a supposé l'exi</w:t>
      </w:r>
      <w:r w:rsidRPr="00EC43AA">
        <w:rPr>
          <w:szCs w:val="22"/>
        </w:rPr>
        <w:t>s</w:t>
      </w:r>
      <w:r w:rsidRPr="00EC43AA">
        <w:rPr>
          <w:szCs w:val="22"/>
        </w:rPr>
        <w:t>tence à partir du moment où une population immigrante do</w:t>
      </w:r>
      <w:r w:rsidRPr="00EC43AA">
        <w:rPr>
          <w:szCs w:val="22"/>
        </w:rPr>
        <w:t>n</w:t>
      </w:r>
      <w:r w:rsidRPr="00EC43AA">
        <w:rPr>
          <w:szCs w:val="22"/>
        </w:rPr>
        <w:t>née se manifestait collectivement et statistiquement dans l'e</w:t>
      </w:r>
      <w:r w:rsidRPr="00EC43AA">
        <w:rPr>
          <w:szCs w:val="22"/>
        </w:rPr>
        <w:t>s</w:t>
      </w:r>
      <w:r w:rsidRPr="00EC43AA">
        <w:rPr>
          <w:szCs w:val="22"/>
        </w:rPr>
        <w:t>pace social canadien. Ce qui fait défaut ici, c'est d'une part un effort de compréhension des itinéraires historiques qui ont conduit au développement particulier de chacune des comm</w:t>
      </w:r>
      <w:r w:rsidRPr="00EC43AA">
        <w:rPr>
          <w:szCs w:val="22"/>
        </w:rPr>
        <w:t>u</w:t>
      </w:r>
      <w:r w:rsidRPr="00EC43AA">
        <w:rPr>
          <w:szCs w:val="22"/>
        </w:rPr>
        <w:t>nautés et</w:t>
      </w:r>
      <w:r w:rsidRPr="00EC43AA">
        <w:rPr>
          <w:szCs w:val="22"/>
        </w:rPr>
        <w:t>h</w:t>
      </w:r>
      <w:r w:rsidRPr="00EC43AA">
        <w:rPr>
          <w:szCs w:val="22"/>
        </w:rPr>
        <w:t>niques et, d'autre part, une vision du devenir de cet univers pluriculturel et de son impact sur les mutations de l'e</w:t>
      </w:r>
      <w:r w:rsidRPr="00EC43AA">
        <w:rPr>
          <w:szCs w:val="22"/>
        </w:rPr>
        <w:t>n</w:t>
      </w:r>
      <w:r w:rsidRPr="00EC43AA">
        <w:rPr>
          <w:szCs w:val="22"/>
        </w:rPr>
        <w:t>semble de la société canadienne. Le pr</w:t>
      </w:r>
      <w:r w:rsidRPr="00EC43AA">
        <w:rPr>
          <w:szCs w:val="22"/>
        </w:rPr>
        <w:t>o</w:t>
      </w:r>
      <w:r w:rsidRPr="00EC43AA">
        <w:rPr>
          <w:szCs w:val="22"/>
        </w:rPr>
        <w:t>blème du devenir est laissé, en dernière analyse, au fonctionnement des forces assimilatrices qui, d'une mani</w:t>
      </w:r>
      <w:r w:rsidRPr="00EC43AA">
        <w:rPr>
          <w:szCs w:val="22"/>
        </w:rPr>
        <w:t>è</w:t>
      </w:r>
      <w:r w:rsidRPr="00EC43AA">
        <w:rPr>
          <w:szCs w:val="22"/>
        </w:rPr>
        <w:t>re ou d'une autre,</w:t>
      </w:r>
      <w:r>
        <w:rPr>
          <w:szCs w:val="22"/>
        </w:rPr>
        <w:t xml:space="preserve"> </w:t>
      </w:r>
      <w:r>
        <w:rPr>
          <w:szCs w:val="18"/>
        </w:rPr>
        <w:t>[</w:t>
      </w:r>
      <w:r w:rsidRPr="00EC43AA">
        <w:rPr>
          <w:szCs w:val="18"/>
        </w:rPr>
        <w:t>404</w:t>
      </w:r>
      <w:r>
        <w:rPr>
          <w:szCs w:val="18"/>
        </w:rPr>
        <w:t xml:space="preserve">] </w:t>
      </w:r>
      <w:r w:rsidRPr="00EC43AA">
        <w:rPr>
          <w:szCs w:val="22"/>
        </w:rPr>
        <w:t>devraient agir sur la société et la façonner à l'intérieur du cadre in</w:t>
      </w:r>
      <w:r w:rsidRPr="00EC43AA">
        <w:rPr>
          <w:szCs w:val="22"/>
        </w:rPr>
        <w:t>s</w:t>
      </w:r>
      <w:r w:rsidRPr="00EC43AA">
        <w:rPr>
          <w:szCs w:val="22"/>
        </w:rPr>
        <w:t>titutionnel canadien</w:t>
      </w:r>
      <w:r>
        <w:rPr>
          <w:szCs w:val="22"/>
        </w:rPr>
        <w:t> </w:t>
      </w:r>
      <w:r>
        <w:rPr>
          <w:rStyle w:val="Appelnotedebasdep"/>
        </w:rPr>
        <w:footnoteReference w:id="675"/>
      </w:r>
      <w:r w:rsidRPr="00EC43AA">
        <w:rPr>
          <w:szCs w:val="22"/>
        </w:rPr>
        <w:t>.</w:t>
      </w:r>
    </w:p>
    <w:p w:rsidR="00AD690E" w:rsidRPr="00EC43AA" w:rsidRDefault="00AD690E" w:rsidP="00AD690E">
      <w:pPr>
        <w:spacing w:before="120" w:after="120"/>
        <w:jc w:val="both"/>
      </w:pPr>
      <w:r>
        <w:rPr>
          <w:szCs w:val="22"/>
        </w:rPr>
        <w:br w:type="page"/>
      </w:r>
      <w:r w:rsidRPr="00EC43AA">
        <w:rPr>
          <w:szCs w:val="22"/>
        </w:rPr>
        <w:t>Après quinze ans de politiques multiculturalistes, il nous paraît clair que dans les espaces sociaux restreints où les formes de plur</w:t>
      </w:r>
      <w:r w:rsidRPr="00EC43AA">
        <w:rPr>
          <w:szCs w:val="22"/>
        </w:rPr>
        <w:t>a</w:t>
      </w:r>
      <w:r w:rsidRPr="00EC43AA">
        <w:rPr>
          <w:szCs w:val="22"/>
        </w:rPr>
        <w:t>lisme ethnoculturel sont apparentes, elles s'in</w:t>
      </w:r>
      <w:r w:rsidRPr="00EC43AA">
        <w:rPr>
          <w:szCs w:val="22"/>
        </w:rPr>
        <w:t>s</w:t>
      </w:r>
      <w:r w:rsidRPr="00EC43AA">
        <w:rPr>
          <w:szCs w:val="22"/>
        </w:rPr>
        <w:t>crivent bien davantage dans des pratiques quotidiennes aut</w:t>
      </w:r>
      <w:r w:rsidRPr="00EC43AA">
        <w:rPr>
          <w:szCs w:val="22"/>
        </w:rPr>
        <w:t>o</w:t>
      </w:r>
      <w:r w:rsidRPr="00EC43AA">
        <w:rPr>
          <w:szCs w:val="22"/>
        </w:rPr>
        <w:t>nomes que dans une idéologie culturelle, et sont soutenues par un ethos culturel plus que par des a</w:t>
      </w:r>
      <w:r w:rsidRPr="00EC43AA">
        <w:rPr>
          <w:szCs w:val="22"/>
        </w:rPr>
        <w:t>p</w:t>
      </w:r>
      <w:r w:rsidRPr="00EC43AA">
        <w:rPr>
          <w:szCs w:val="22"/>
        </w:rPr>
        <w:t>pareils institutionnels créés à cet effet.</w:t>
      </w:r>
    </w:p>
    <w:p w:rsidR="00AD690E" w:rsidRDefault="00AD690E" w:rsidP="00AD690E">
      <w:pPr>
        <w:pStyle w:val="p"/>
      </w:pPr>
      <w:r>
        <w:br w:type="page"/>
        <w:t>[405]</w:t>
      </w:r>
    </w:p>
    <w:p w:rsidR="00AD690E" w:rsidRDefault="00AD690E" w:rsidP="00AD690E">
      <w:pPr>
        <w:jc w:val="both"/>
      </w:pPr>
    </w:p>
    <w:p w:rsidR="00AD690E" w:rsidRPr="00E07116" w:rsidRDefault="00AD690E" w:rsidP="00AD690E">
      <w:pPr>
        <w:jc w:val="both"/>
      </w:pPr>
    </w:p>
    <w:p w:rsidR="00AD690E" w:rsidRPr="003634E0" w:rsidRDefault="00AD690E" w:rsidP="00AD690E">
      <w:pPr>
        <w:ind w:firstLine="0"/>
        <w:jc w:val="center"/>
        <w:rPr>
          <w:b/>
          <w:color w:val="000080"/>
          <w:sz w:val="24"/>
        </w:rPr>
      </w:pPr>
      <w:bookmarkStart w:id="23" w:name="ere_Liberaux_pt3_texte_17"/>
      <w:r>
        <w:rPr>
          <w:b/>
          <w:color w:val="000080"/>
          <w:sz w:val="24"/>
        </w:rPr>
        <w:t>TROISIÈME</w:t>
      </w:r>
      <w:r w:rsidRPr="003634E0">
        <w:rPr>
          <w:b/>
          <w:color w:val="000080"/>
          <w:sz w:val="24"/>
        </w:rPr>
        <w:t xml:space="preserve"> PARTIE</w:t>
      </w:r>
      <w:r w:rsidRPr="003634E0">
        <w:rPr>
          <w:b/>
          <w:color w:val="000080"/>
          <w:sz w:val="24"/>
        </w:rPr>
        <w:br/>
        <w:t xml:space="preserve">QUESTIONS </w:t>
      </w:r>
      <w:r>
        <w:rPr>
          <w:b/>
          <w:color w:val="000080"/>
          <w:sz w:val="24"/>
        </w:rPr>
        <w:t>CULTURELLES ET SOCIALES</w:t>
      </w:r>
    </w:p>
    <w:p w:rsidR="00AD690E" w:rsidRPr="00E07116" w:rsidRDefault="00AD690E" w:rsidP="00AD690E">
      <w:pPr>
        <w:jc w:val="both"/>
        <w:rPr>
          <w:szCs w:val="36"/>
        </w:rPr>
      </w:pPr>
    </w:p>
    <w:p w:rsidR="00AD690E" w:rsidRPr="00E07116" w:rsidRDefault="00AD690E" w:rsidP="00AD690E">
      <w:pPr>
        <w:pStyle w:val="planchest"/>
      </w:pPr>
      <w:r>
        <w:t>“Les Libéraux et la culture :</w:t>
      </w:r>
      <w:r>
        <w:br/>
        <w:t>de l’unité nationale</w:t>
      </w:r>
      <w:r>
        <w:br/>
        <w:t>à la marchandisation de la culture</w:t>
      </w:r>
      <w:r>
        <w:br/>
        <w:t>(1963-1984).”</w:t>
      </w:r>
    </w:p>
    <w:bookmarkEnd w:id="23"/>
    <w:p w:rsidR="00AD690E" w:rsidRPr="00E07116" w:rsidRDefault="00AD690E" w:rsidP="00AD690E">
      <w:pPr>
        <w:ind w:firstLine="0"/>
        <w:jc w:val="center"/>
      </w:pPr>
    </w:p>
    <w:p w:rsidR="00AD690E" w:rsidRDefault="00AD690E" w:rsidP="00AD690E">
      <w:pPr>
        <w:ind w:firstLine="0"/>
        <w:jc w:val="center"/>
      </w:pPr>
      <w:r>
        <w:t>par</w:t>
      </w:r>
    </w:p>
    <w:p w:rsidR="00AD690E" w:rsidRPr="00E07116" w:rsidRDefault="00AD690E" w:rsidP="00AD690E">
      <w:pPr>
        <w:pStyle w:val="suite"/>
      </w:pPr>
      <w:r>
        <w:t>Jean-Guy LACROIX</w:t>
      </w:r>
      <w:r>
        <w:br/>
        <w:t>Benoît LÉVESQUE</w:t>
      </w:r>
    </w:p>
    <w:p w:rsidR="00AD690E" w:rsidRPr="00957619" w:rsidRDefault="00AD690E" w:rsidP="00AD690E">
      <w:pPr>
        <w:spacing w:before="120"/>
        <w:ind w:firstLine="0"/>
        <w:jc w:val="center"/>
        <w:rPr>
          <w:sz w:val="24"/>
        </w:rPr>
      </w:pPr>
      <w:r w:rsidRPr="00957619">
        <w:rPr>
          <w:sz w:val="24"/>
          <w:szCs w:val="22"/>
        </w:rPr>
        <w:t xml:space="preserve">Département de </w:t>
      </w:r>
      <w:r>
        <w:rPr>
          <w:sz w:val="24"/>
          <w:szCs w:val="22"/>
        </w:rPr>
        <w:t>sociologie</w:t>
      </w:r>
      <w:r w:rsidRPr="00957619">
        <w:rPr>
          <w:sz w:val="24"/>
          <w:szCs w:val="22"/>
        </w:rPr>
        <w:br/>
        <w:t>Un</w:t>
      </w:r>
      <w:r w:rsidRPr="00957619">
        <w:rPr>
          <w:sz w:val="24"/>
          <w:szCs w:val="22"/>
        </w:rPr>
        <w:t>i</w:t>
      </w:r>
      <w:r w:rsidRPr="00957619">
        <w:rPr>
          <w:sz w:val="24"/>
          <w:szCs w:val="22"/>
        </w:rPr>
        <w:t>versité du Québec à Montréal</w:t>
      </w:r>
    </w:p>
    <w:p w:rsidR="00AD690E" w:rsidRDefault="00AD690E" w:rsidP="00AD690E">
      <w:pPr>
        <w:jc w:val="both"/>
      </w:pPr>
    </w:p>
    <w:p w:rsidR="00AD690E" w:rsidRPr="00E07116" w:rsidRDefault="00AD690E" w:rsidP="00AD690E">
      <w:pPr>
        <w:jc w:val="both"/>
      </w:pPr>
    </w:p>
    <w:p w:rsidR="00AD690E" w:rsidRPr="00E07116" w:rsidRDefault="00AD690E" w:rsidP="00AD690E">
      <w:pPr>
        <w:jc w:val="both"/>
      </w:pPr>
    </w:p>
    <w:p w:rsidR="00AD690E" w:rsidRPr="00384B20" w:rsidRDefault="00AD690E" w:rsidP="00AD690E">
      <w:pPr>
        <w:ind w:right="90" w:firstLine="0"/>
        <w:jc w:val="both"/>
        <w:rPr>
          <w:sz w:val="20"/>
        </w:rPr>
      </w:pPr>
      <w:hyperlink w:anchor="tdm" w:history="1">
        <w:r w:rsidRPr="00384B20">
          <w:rPr>
            <w:rStyle w:val="Lienhypertexte"/>
            <w:sz w:val="20"/>
          </w:rPr>
          <w:t>Retour à la table des matières</w:t>
        </w:r>
      </w:hyperlink>
    </w:p>
    <w:p w:rsidR="00AD690E" w:rsidRPr="00EC43AA" w:rsidRDefault="00AD690E" w:rsidP="00AD690E">
      <w:pPr>
        <w:spacing w:before="120" w:after="120"/>
        <w:jc w:val="both"/>
      </w:pPr>
      <w:r w:rsidRPr="00EC43AA">
        <w:rPr>
          <w:szCs w:val="22"/>
        </w:rPr>
        <w:t xml:space="preserve">Pour l'essentiel, la politique culturelle canadienne est l'œuvre des libéraux. Si le </w:t>
      </w:r>
      <w:r w:rsidRPr="00EC43AA">
        <w:rPr>
          <w:i/>
          <w:iCs/>
          <w:szCs w:val="22"/>
        </w:rPr>
        <w:t>Rapport Massey</w:t>
      </w:r>
      <w:r>
        <w:rPr>
          <w:iCs/>
          <w:szCs w:val="22"/>
          <w:vertAlign w:val="superscript"/>
        </w:rPr>
        <w:t xml:space="preserve"> </w:t>
      </w:r>
      <w:r w:rsidRPr="003D6795">
        <w:rPr>
          <w:rStyle w:val="Appelnotedebasdep"/>
          <w:iCs/>
        </w:rPr>
        <w:footnoteReference w:id="676"/>
      </w:r>
      <w:r w:rsidRPr="00EC43AA">
        <w:rPr>
          <w:i/>
          <w:iCs/>
          <w:szCs w:val="22"/>
        </w:rPr>
        <w:t xml:space="preserve"> </w:t>
      </w:r>
      <w:r w:rsidRPr="00EC43AA">
        <w:rPr>
          <w:szCs w:val="22"/>
        </w:rPr>
        <w:t>en constitue la première esquisse, il faut attendre le début des années 60 pour que le gouvernement fédéral adopte une « approche nouvelle » et relativ</w:t>
      </w:r>
      <w:r w:rsidRPr="00EC43AA">
        <w:rPr>
          <w:szCs w:val="22"/>
        </w:rPr>
        <w:t>e</w:t>
      </w:r>
      <w:r w:rsidRPr="00EC43AA">
        <w:rPr>
          <w:szCs w:val="22"/>
        </w:rPr>
        <w:t>ment systématique</w:t>
      </w:r>
      <w:r>
        <w:rPr>
          <w:szCs w:val="22"/>
        </w:rPr>
        <w:t> </w:t>
      </w:r>
      <w:r>
        <w:rPr>
          <w:rStyle w:val="Appelnotedebasdep"/>
        </w:rPr>
        <w:footnoteReference w:id="677"/>
      </w:r>
      <w:r w:rsidRPr="00EC43AA">
        <w:rPr>
          <w:szCs w:val="22"/>
        </w:rPr>
        <w:t>. Cette politique en fut d'abord une de compromis. Elle répondait à des exigences de régul</w:t>
      </w:r>
      <w:r w:rsidRPr="00EC43AA">
        <w:rPr>
          <w:szCs w:val="22"/>
        </w:rPr>
        <w:t>a</w:t>
      </w:r>
      <w:r w:rsidRPr="00EC43AA">
        <w:rPr>
          <w:szCs w:val="22"/>
        </w:rPr>
        <w:t>tion aussi bien économique que socio-politique : compromis entre démocratisation (accès) et centralisation, entre can</w:t>
      </w:r>
      <w:r w:rsidRPr="00EC43AA">
        <w:rPr>
          <w:szCs w:val="22"/>
        </w:rPr>
        <w:t>a</w:t>
      </w:r>
      <w:r w:rsidRPr="00EC43AA">
        <w:rPr>
          <w:szCs w:val="22"/>
        </w:rPr>
        <w:t>dianisation et continentalisation, entre unité nationale et industries culturelles. Dans une conjoncture politique « passabl</w:t>
      </w:r>
      <w:r w:rsidRPr="00EC43AA">
        <w:rPr>
          <w:szCs w:val="22"/>
        </w:rPr>
        <w:t>e</w:t>
      </w:r>
      <w:r w:rsidRPr="00EC43AA">
        <w:rPr>
          <w:szCs w:val="22"/>
        </w:rPr>
        <w:t>ment instable et volatile</w:t>
      </w:r>
      <w:r>
        <w:rPr>
          <w:szCs w:val="22"/>
          <w:vertAlign w:val="superscript"/>
        </w:rPr>
        <w:t> </w:t>
      </w:r>
      <w:r>
        <w:rPr>
          <w:rStyle w:val="Appelnotedebasdep"/>
        </w:rPr>
        <w:footnoteReference w:id="678"/>
      </w:r>
      <w:r w:rsidRPr="00EC43AA">
        <w:rPr>
          <w:szCs w:val="22"/>
        </w:rPr>
        <w:t> », le Parti libéral, qui a été au cours des dernières déce</w:t>
      </w:r>
      <w:r w:rsidRPr="00EC43AA">
        <w:rPr>
          <w:szCs w:val="22"/>
        </w:rPr>
        <w:t>n</w:t>
      </w:r>
      <w:r w:rsidRPr="00EC43AA">
        <w:rPr>
          <w:szCs w:val="22"/>
        </w:rPr>
        <w:t>nies au centre de l'échiquier politique, a été un « instrument de coh</w:t>
      </w:r>
      <w:r w:rsidRPr="00EC43AA">
        <w:rPr>
          <w:szCs w:val="22"/>
        </w:rPr>
        <w:t>é</w:t>
      </w:r>
      <w:r w:rsidRPr="00EC43AA">
        <w:rPr>
          <w:szCs w:val="22"/>
        </w:rPr>
        <w:t>sion sociale »</w:t>
      </w:r>
      <w:r>
        <w:rPr>
          <w:szCs w:val="22"/>
        </w:rPr>
        <w:t> </w:t>
      </w:r>
      <w:r>
        <w:rPr>
          <w:rStyle w:val="Appelnotedebasdep"/>
        </w:rPr>
        <w:footnoteReference w:id="679"/>
      </w:r>
      <w:r>
        <w:rPr>
          <w:szCs w:val="22"/>
          <w:vertAlign w:val="superscript"/>
        </w:rPr>
        <w:t xml:space="preserve"> </w:t>
      </w:r>
      <w:r w:rsidRPr="00EC43AA">
        <w:rPr>
          <w:szCs w:val="22"/>
        </w:rPr>
        <w:t xml:space="preserve"> pour la société canadienne. En ce qui concerne la culture et les communic</w:t>
      </w:r>
      <w:r w:rsidRPr="00EC43AA">
        <w:rPr>
          <w:szCs w:val="22"/>
        </w:rPr>
        <w:t>a</w:t>
      </w:r>
      <w:r w:rsidRPr="00EC43AA">
        <w:rPr>
          <w:szCs w:val="22"/>
        </w:rPr>
        <w:t>tions, l'ère libérale peut être divisée en deux périodes : une première (1963-1975) où les v</w:t>
      </w:r>
      <w:r w:rsidRPr="00EC43AA">
        <w:rPr>
          <w:szCs w:val="22"/>
        </w:rPr>
        <w:t>o</w:t>
      </w:r>
      <w:r w:rsidRPr="00EC43AA">
        <w:rPr>
          <w:szCs w:val="22"/>
        </w:rPr>
        <w:t>lets socio-</w:t>
      </w:r>
      <w:r w:rsidRPr="00EC43AA">
        <w:t>politique</w:t>
      </w:r>
      <w:r>
        <w:rPr>
          <w:szCs w:val="18"/>
        </w:rPr>
        <w:t xml:space="preserve"> [</w:t>
      </w:r>
      <w:r w:rsidRPr="00EC43AA">
        <w:t>406</w:t>
      </w:r>
      <w:r>
        <w:t>]</w:t>
      </w:r>
      <w:r w:rsidRPr="00EC43AA">
        <w:t xml:space="preserve"> et économique de la politique culturelle sont en ha</w:t>
      </w:r>
      <w:r w:rsidRPr="00EC43AA">
        <w:t>r</w:t>
      </w:r>
      <w:r w:rsidRPr="00EC43AA">
        <w:t>monie et une seconde (1976-1984) où ils ne le sont plus.</w:t>
      </w:r>
    </w:p>
    <w:p w:rsidR="00AD690E" w:rsidRPr="00EC43AA" w:rsidRDefault="00AD690E" w:rsidP="00AD690E">
      <w:pPr>
        <w:spacing w:before="120" w:after="120"/>
        <w:jc w:val="both"/>
      </w:pPr>
      <w:r w:rsidRPr="00EC43AA">
        <w:t>Le début de l'ère libérale correspond à une période de forte croi</w:t>
      </w:r>
      <w:r w:rsidRPr="00EC43AA">
        <w:t>s</w:t>
      </w:r>
      <w:r w:rsidRPr="00EC43AA">
        <w:t>sance économique</w:t>
      </w:r>
      <w:r>
        <w:rPr>
          <w:vertAlign w:val="superscript"/>
        </w:rPr>
        <w:t> </w:t>
      </w:r>
      <w:r>
        <w:rPr>
          <w:rStyle w:val="Appelnotedebasdep"/>
        </w:rPr>
        <w:footnoteReference w:id="680"/>
      </w:r>
      <w:r w:rsidRPr="00EC43AA">
        <w:t xml:space="preserve"> où « toutes les conditions sont ré</w:t>
      </w:r>
      <w:r w:rsidRPr="00EC43AA">
        <w:t>u</w:t>
      </w:r>
      <w:r w:rsidRPr="00EC43AA">
        <w:t>nies [...] pour que le développement de la culture de conso</w:t>
      </w:r>
      <w:r w:rsidRPr="00EC43AA">
        <w:t>m</w:t>
      </w:r>
      <w:r w:rsidRPr="00EC43AA">
        <w:t>mation [...] connaisse une accélération sans précédent »</w:t>
      </w:r>
      <w:r>
        <w:rPr>
          <w:vertAlign w:val="superscript"/>
        </w:rPr>
        <w:t> </w:t>
      </w:r>
      <w:r>
        <w:rPr>
          <w:rStyle w:val="Appelnotedebasdep"/>
        </w:rPr>
        <w:footnoteReference w:id="681"/>
      </w:r>
      <w:r w:rsidRPr="00EC43AA">
        <w:t>. Dans cette conjoncture, l'inte</w:t>
      </w:r>
      <w:r w:rsidRPr="00EC43AA">
        <w:t>r</w:t>
      </w:r>
      <w:r w:rsidRPr="00EC43AA">
        <w:t>vention grandissante de l'État dans la culture s'est faite sans grande résistance et souvent en réponse à des d</w:t>
      </w:r>
      <w:r w:rsidRPr="00EC43AA">
        <w:t>e</w:t>
      </w:r>
      <w:r w:rsidRPr="00EC43AA">
        <w:t>mandes relativement diverses (ces demandes ont généralement été satisfaites dans le cadre de co</w:t>
      </w:r>
      <w:r w:rsidRPr="00EC43AA">
        <w:t>m</w:t>
      </w:r>
      <w:r w:rsidRPr="00EC43AA">
        <w:t>promis sociaux allant dans le sens du renforcement du pouvoir et d'un élargissement de la marchandisation). Ainsi, la « société de conso</w:t>
      </w:r>
      <w:r w:rsidRPr="00EC43AA">
        <w:t>m</w:t>
      </w:r>
      <w:r w:rsidRPr="00EC43AA">
        <w:t>mation de masse » corre</w:t>
      </w:r>
      <w:r w:rsidRPr="00EC43AA">
        <w:t>s</w:t>
      </w:r>
      <w:r w:rsidRPr="00EC43AA">
        <w:t>pondait à une demande de démocratisation de la culture définie par les consommateurs en terme d'accès à des équipements colle</w:t>
      </w:r>
      <w:r w:rsidRPr="00EC43AA">
        <w:t>c</w:t>
      </w:r>
      <w:r w:rsidRPr="00EC43AA">
        <w:t>tifs et à de nouveaux produits. L'intervention de l'État dans la culture répondait également aux demandes de travai</w:t>
      </w:r>
      <w:r w:rsidRPr="00EC43AA">
        <w:t>l</w:t>
      </w:r>
      <w:r w:rsidRPr="00EC43AA">
        <w:t>leurs culturels (créateurs, artistes, etc.) qui trouvaient dans les app</w:t>
      </w:r>
      <w:r w:rsidRPr="00EC43AA">
        <w:t>a</w:t>
      </w:r>
      <w:r w:rsidRPr="00EC43AA">
        <w:t>reils culturels d'État un emploi et parfois un lieu pour s'exprimer. E</w:t>
      </w:r>
      <w:r w:rsidRPr="00EC43AA">
        <w:t>n</w:t>
      </w:r>
      <w:r w:rsidRPr="00EC43AA">
        <w:t>fin, le « protectionnisme mou »</w:t>
      </w:r>
      <w:r>
        <w:rPr>
          <w:vertAlign w:val="superscript"/>
        </w:rPr>
        <w:t> </w:t>
      </w:r>
      <w:r>
        <w:rPr>
          <w:rStyle w:val="Appelnotedebasdep"/>
        </w:rPr>
        <w:footnoteReference w:id="682"/>
      </w:r>
      <w:r w:rsidRPr="00EC43AA">
        <w:t xml:space="preserve"> (les quotas d'émissions canadie</w:t>
      </w:r>
      <w:r w:rsidRPr="00EC43AA">
        <w:t>n</w:t>
      </w:r>
      <w:r w:rsidRPr="00EC43AA">
        <w:t>nes à la télévision) et les avantages fiscaux (entre autres dans le cin</w:t>
      </w:r>
      <w:r w:rsidRPr="00EC43AA">
        <w:t>é</w:t>
      </w:r>
      <w:r w:rsidRPr="00EC43AA">
        <w:t>ma), mis de l'avant par le gouvernement fédéral, ont assez bien répo</w:t>
      </w:r>
      <w:r w:rsidRPr="00EC43AA">
        <w:t>n</w:t>
      </w:r>
      <w:r w:rsidRPr="00EC43AA">
        <w:t>du aux demandes des capitalistes intéressés aux industries cu</w:t>
      </w:r>
      <w:r w:rsidRPr="00EC43AA">
        <w:t>l</w:t>
      </w:r>
      <w:r w:rsidRPr="00EC43AA">
        <w:t>turelles.</w:t>
      </w:r>
    </w:p>
    <w:p w:rsidR="00AD690E" w:rsidRPr="00EC43AA" w:rsidRDefault="00AD690E" w:rsidP="00AD690E">
      <w:pPr>
        <w:spacing w:before="120" w:after="120"/>
        <w:jc w:val="both"/>
      </w:pPr>
      <w:r w:rsidRPr="00EC43AA">
        <w:t>Au milieu des années 1960, les programmes fédéraux dans le d</w:t>
      </w:r>
      <w:r w:rsidRPr="00EC43AA">
        <w:t>o</w:t>
      </w:r>
      <w:r w:rsidRPr="00EC43AA">
        <w:t>maine culturel ont été suffisamment bien reçus pour que le Secrétariat d'État prenne l'initiative de susciter une « oppos</w:t>
      </w:r>
      <w:r w:rsidRPr="00EC43AA">
        <w:t>i</w:t>
      </w:r>
      <w:r w:rsidRPr="00EC43AA">
        <w:t>tion loyale »</w:t>
      </w:r>
      <w:r>
        <w:rPr>
          <w:vertAlign w:val="superscript"/>
        </w:rPr>
        <w:t> </w:t>
      </w:r>
      <w:r>
        <w:rPr>
          <w:rStyle w:val="Appelnotedebasdep"/>
        </w:rPr>
        <w:footnoteReference w:id="683"/>
      </w:r>
      <w:r w:rsidRPr="00EC43AA">
        <w:t>. Les demandes adressées au gouvernement f</w:t>
      </w:r>
      <w:r w:rsidRPr="00EC43AA">
        <w:t>é</w:t>
      </w:r>
      <w:r w:rsidRPr="00EC43AA">
        <w:t>déral ont été aussi adressées aux gouvernements provi</w:t>
      </w:r>
      <w:r w:rsidRPr="00EC43AA">
        <w:t>n</w:t>
      </w:r>
      <w:r w:rsidRPr="00EC43AA">
        <w:t>ciaux et aux municipalités. La culture et les communications devie</w:t>
      </w:r>
      <w:r w:rsidRPr="00EC43AA">
        <w:t>n</w:t>
      </w:r>
      <w:r w:rsidRPr="00EC43AA">
        <w:t>nent alors un enjeu vital à la fois pour la « souveraineté culturelle » du Québec et pour l'unité nationale can</w:t>
      </w:r>
      <w:r w:rsidRPr="00EC43AA">
        <w:t>a</w:t>
      </w:r>
      <w:r w:rsidRPr="00EC43AA">
        <w:t>dienne. Avant même que les péquistes ne prennent le pouvoir, les i</w:t>
      </w:r>
      <w:r w:rsidRPr="00EC43AA">
        <w:t>n</w:t>
      </w:r>
      <w:r w:rsidRPr="00EC43AA">
        <w:t>terventions du gouve</w:t>
      </w:r>
      <w:r w:rsidRPr="00EC43AA">
        <w:t>r</w:t>
      </w:r>
      <w:r w:rsidRPr="00EC43AA">
        <w:t>nement fédéral entraient en conflit avec celles des provinces et, plus directement encore, avec celles du Qu</w:t>
      </w:r>
      <w:r w:rsidRPr="00EC43AA">
        <w:t>é</w:t>
      </w:r>
      <w:r w:rsidRPr="00EC43AA">
        <w:t>bec</w:t>
      </w:r>
      <w:r>
        <w:rPr>
          <w:vertAlign w:val="superscript"/>
        </w:rPr>
        <w:t> </w:t>
      </w:r>
      <w:r>
        <w:rPr>
          <w:rStyle w:val="Appelnotedebasdep"/>
        </w:rPr>
        <w:footnoteReference w:id="684"/>
      </w:r>
      <w:r w:rsidRPr="00EC43AA">
        <w:t>.</w:t>
      </w:r>
    </w:p>
    <w:p w:rsidR="00AD690E" w:rsidRDefault="00AD690E" w:rsidP="00AD690E">
      <w:pPr>
        <w:spacing w:before="120" w:after="120"/>
        <w:jc w:val="both"/>
        <w:rPr>
          <w:szCs w:val="18"/>
        </w:rPr>
      </w:pPr>
      <w:r>
        <w:rPr>
          <w:szCs w:val="18"/>
        </w:rPr>
        <w:t>[407]</w:t>
      </w:r>
    </w:p>
    <w:p w:rsidR="00AD690E" w:rsidRPr="00EC43AA" w:rsidRDefault="00AD690E" w:rsidP="00AD690E">
      <w:pPr>
        <w:spacing w:before="120" w:after="120"/>
        <w:jc w:val="both"/>
      </w:pPr>
      <w:r w:rsidRPr="00EC43AA">
        <w:t>Dans la deuxième phase (1976-1984), la crise de l'unité n</w:t>
      </w:r>
      <w:r w:rsidRPr="00EC43AA">
        <w:t>a</w:t>
      </w:r>
      <w:r w:rsidRPr="00EC43AA">
        <w:t>tionale atteint son paroxysme avec l'arrivée du Parti québécois au pouvoir alors que la crise économique pousse le gouvernement canadien à r</w:t>
      </w:r>
      <w:r w:rsidRPr="00EC43AA">
        <w:t>e</w:t>
      </w:r>
      <w:r w:rsidRPr="00EC43AA">
        <w:t>noncer au keynésianisme. Plus largement, les compromis sociopolit</w:t>
      </w:r>
      <w:r w:rsidRPr="00EC43AA">
        <w:t>i</w:t>
      </w:r>
      <w:r w:rsidRPr="00EC43AA">
        <w:t>ques qui prévalaient jusque-là éclatent. D'une part, le caractère centr</w:t>
      </w:r>
      <w:r w:rsidRPr="00EC43AA">
        <w:t>a</w:t>
      </w:r>
      <w:r w:rsidRPr="00EC43AA">
        <w:t>lisateur et interventionniste de la politique culturelle suscite des rési</w:t>
      </w:r>
      <w:r w:rsidRPr="00EC43AA">
        <w:t>s</w:t>
      </w:r>
      <w:r w:rsidRPr="00EC43AA">
        <w:t>tances aussi bien des « consommateurs avertis » que des travailleurs cult</w:t>
      </w:r>
      <w:r w:rsidRPr="00EC43AA">
        <w:t>u</w:t>
      </w:r>
      <w:r w:rsidRPr="00EC43AA">
        <w:t>rels eux-mêmes.</w:t>
      </w:r>
    </w:p>
    <w:p w:rsidR="00AD690E" w:rsidRPr="00EC43AA" w:rsidRDefault="00AD690E" w:rsidP="00AD690E">
      <w:pPr>
        <w:spacing w:before="120" w:after="120"/>
        <w:jc w:val="both"/>
      </w:pPr>
      <w:r w:rsidRPr="00EC43AA">
        <w:t>D'autre part, la politique d'inspiration néo-libérale qui va dans le sens de la privatisation et de la continentalisation des industries cult</w:t>
      </w:r>
      <w:r w:rsidRPr="00EC43AA">
        <w:t>u</w:t>
      </w:r>
      <w:r w:rsidRPr="00EC43AA">
        <w:t>relles suscite des inquiétudes tant dans le grand public que chez les travailleurs culturels. Ces derniers sont d'ailleurs fort</w:t>
      </w:r>
      <w:r w:rsidRPr="00EC43AA">
        <w:t>e</w:t>
      </w:r>
      <w:r w:rsidRPr="00EC43AA">
        <w:t>ment touchés par les coupures budgétaires alors que le secteur privé ne semble gu</w:t>
      </w:r>
      <w:r w:rsidRPr="00EC43AA">
        <w:t>è</w:t>
      </w:r>
      <w:r w:rsidRPr="00EC43AA">
        <w:t>re en mesure de prendre la relève. Enfin, si le volet économique de cette politique culturelle apparaît aujourd'hui encore problém</w:t>
      </w:r>
      <w:r w:rsidRPr="00EC43AA">
        <w:t>a</w:t>
      </w:r>
      <w:r w:rsidRPr="00EC43AA">
        <w:t>tique, il faut bien voir qu'avec la « sortie » de la crise de l'unité nationale le volet socio-politique demeure encore plutôt problématique et déph</w:t>
      </w:r>
      <w:r w:rsidRPr="00EC43AA">
        <w:t>a</w:t>
      </w:r>
      <w:r w:rsidRPr="00EC43AA">
        <w:t>sé.</w:t>
      </w:r>
    </w:p>
    <w:p w:rsidR="00AD690E" w:rsidRPr="00EC43AA" w:rsidRDefault="00AD690E" w:rsidP="00AD690E">
      <w:pPr>
        <w:spacing w:before="120" w:after="120"/>
        <w:jc w:val="both"/>
      </w:pPr>
      <w:r w:rsidRPr="00EC43AA">
        <w:t>Nous avons divisé cet article en deux grandes parties qui corre</w:t>
      </w:r>
      <w:r w:rsidRPr="00EC43AA">
        <w:t>s</w:t>
      </w:r>
      <w:r w:rsidRPr="00EC43AA">
        <w:t>pondent pour l'une au gouvernement Pearson (1963-1968) et pour l'a</w:t>
      </w:r>
      <w:r w:rsidRPr="00EC43AA">
        <w:t>u</w:t>
      </w:r>
      <w:r w:rsidRPr="00EC43AA">
        <w:t>tre au gouvernement Trudeau (1968-1984). Même si la politique culturelle sous Trudeau change radicalement d'orient</w:t>
      </w:r>
      <w:r w:rsidRPr="00EC43AA">
        <w:t>a</w:t>
      </w:r>
      <w:r w:rsidRPr="00EC43AA">
        <w:t>tion en 1975, il n'en demeure pas moins que l'ère Trudeau forme par ailleurs un e</w:t>
      </w:r>
      <w:r w:rsidRPr="00EC43AA">
        <w:t>n</w:t>
      </w:r>
      <w:r w:rsidRPr="00EC43AA">
        <w:t>semble cohérent, celui du « fédéralisme fon</w:t>
      </w:r>
      <w:r w:rsidRPr="00EC43AA">
        <w:t>c</w:t>
      </w:r>
      <w:r w:rsidRPr="00EC43AA">
        <w:t>tionnel », alors que la période Pearson, avec son « fédéralisme coopératif », apparaît au plan de la culture comme une période de trans</w:t>
      </w:r>
      <w:r w:rsidRPr="00EC43AA">
        <w:t>i</w:t>
      </w:r>
      <w:r w:rsidRPr="00EC43AA">
        <w:t>tion.</w:t>
      </w:r>
    </w:p>
    <w:p w:rsidR="00AD690E" w:rsidRDefault="00AD690E" w:rsidP="00AD690E">
      <w:pPr>
        <w:spacing w:before="120" w:after="120"/>
        <w:jc w:val="both"/>
      </w:pPr>
    </w:p>
    <w:p w:rsidR="00AD690E" w:rsidRPr="00EC43AA" w:rsidRDefault="00AD690E" w:rsidP="00AD690E">
      <w:pPr>
        <w:pStyle w:val="planche"/>
      </w:pPr>
      <w:r>
        <w:t xml:space="preserve">1. </w:t>
      </w:r>
      <w:r w:rsidRPr="00EC43AA">
        <w:t>LA P</w:t>
      </w:r>
      <w:r>
        <w:t>É</w:t>
      </w:r>
      <w:r w:rsidRPr="00EC43AA">
        <w:t>RIODE PEARSON</w:t>
      </w:r>
      <w:r>
        <w:br/>
      </w:r>
      <w:r w:rsidRPr="00EC43AA">
        <w:t>(1963-1968)</w:t>
      </w:r>
    </w:p>
    <w:p w:rsidR="00AD690E" w:rsidRDefault="00AD690E" w:rsidP="00AD690E">
      <w:pPr>
        <w:spacing w:before="120" w:after="120"/>
        <w:jc w:val="both"/>
      </w:pPr>
    </w:p>
    <w:p w:rsidR="00AD690E" w:rsidRPr="003872D5" w:rsidRDefault="00AD690E" w:rsidP="00AD690E">
      <w:pPr>
        <w:spacing w:before="120" w:after="120"/>
        <w:jc w:val="both"/>
        <w:rPr>
          <w:szCs w:val="22"/>
        </w:rPr>
      </w:pPr>
      <w:r w:rsidRPr="00EC43AA">
        <w:t>La période Pearson constitue un tournant quant à l'interve</w:t>
      </w:r>
      <w:r w:rsidRPr="00EC43AA">
        <w:t>n</w:t>
      </w:r>
      <w:r w:rsidRPr="00EC43AA">
        <w:t>tion de l</w:t>
      </w:r>
      <w:r>
        <w:t>’</w:t>
      </w:r>
      <w:r w:rsidRPr="00EC43AA">
        <w:t>État dans la culture surtout à partir de 1964-1965, alors que Maurice Lamontagne succède à J. W. Pickersgill au Secrétariat d'État. La pol</w:t>
      </w:r>
      <w:r w:rsidRPr="00EC43AA">
        <w:t>i</w:t>
      </w:r>
      <w:r w:rsidRPr="00EC43AA">
        <w:t>tique culturelle mise de l'avant demeurait c</w:t>
      </w:r>
      <w:r w:rsidRPr="00EC43AA">
        <w:t>e</w:t>
      </w:r>
      <w:r w:rsidRPr="00EC43AA">
        <w:t>pendant hésitante comme le révèle le dossier des communic</w:t>
      </w:r>
      <w:r w:rsidRPr="00EC43AA">
        <w:t>a</w:t>
      </w:r>
      <w:r w:rsidRPr="00EC43AA">
        <w:t>tions. Elle répondait davantage aux exigences des événements qu'à une vision bien arrêtée. Au départ, c'est moins la culture que la langue qui constituait l'enjeu le plus sign</w:t>
      </w:r>
      <w:r w:rsidRPr="00EC43AA">
        <w:t>i</w:t>
      </w:r>
      <w:r w:rsidRPr="00EC43AA">
        <w:t>fic</w:t>
      </w:r>
      <w:r w:rsidRPr="00EC43AA">
        <w:t>a</w:t>
      </w:r>
      <w:r w:rsidRPr="00EC43AA">
        <w:t>tif, comme en témoigne la mise sur pied de la Commission royale d'enquête sur le bilinguisme et le biculturalisme</w:t>
      </w:r>
      <w:r>
        <w:rPr>
          <w:vertAlign w:val="superscript"/>
        </w:rPr>
        <w:t> </w:t>
      </w:r>
      <w:r>
        <w:rPr>
          <w:rStyle w:val="Appelnotedebasdep"/>
        </w:rPr>
        <w:footnoteReference w:id="685"/>
      </w:r>
      <w:r w:rsidRPr="00EC43AA">
        <w:t>. Mais rapidement, la transformation du Conseil des Arts et l'élargissement des juridi</w:t>
      </w:r>
      <w:r w:rsidRPr="00EC43AA">
        <w:t>c</w:t>
      </w:r>
      <w:r w:rsidRPr="00EC43AA">
        <w:t>tions du Secrétariat d'État révélaient une a</w:t>
      </w:r>
      <w:r w:rsidRPr="00EC43AA">
        <w:t>t</w:t>
      </w:r>
      <w:r w:rsidRPr="00EC43AA">
        <w:t>tention nouvelle pour la culture. Les fêtes du Centenaire de la Confédération confirmèrent l'importance des activités cult</w:t>
      </w:r>
      <w:r w:rsidRPr="00EC43AA">
        <w:t>u</w:t>
      </w:r>
      <w:r w:rsidRPr="00EC43AA">
        <w:t>relles</w:t>
      </w:r>
      <w:r>
        <w:t xml:space="preserve"> [</w:t>
      </w:r>
      <w:r w:rsidRPr="00EC43AA">
        <w:rPr>
          <w:szCs w:val="22"/>
        </w:rPr>
        <w:t>408</w:t>
      </w:r>
      <w:r>
        <w:rPr>
          <w:szCs w:val="22"/>
        </w:rPr>
        <w:t xml:space="preserve">] </w:t>
      </w:r>
      <w:r w:rsidRPr="00EC43AA">
        <w:rPr>
          <w:szCs w:val="22"/>
        </w:rPr>
        <w:t>pour le renforcement de l'unité nationale. Le secteur des commun</w:t>
      </w:r>
      <w:r w:rsidRPr="00EC43AA">
        <w:rPr>
          <w:szCs w:val="22"/>
        </w:rPr>
        <w:t>i</w:t>
      </w:r>
      <w:r w:rsidRPr="00EC43AA">
        <w:rPr>
          <w:szCs w:val="22"/>
        </w:rPr>
        <w:t>cations, qui relevait alors du Secrétariat d'État, fut aussi l'objet d'e</w:t>
      </w:r>
      <w:r w:rsidRPr="00EC43AA">
        <w:rPr>
          <w:szCs w:val="22"/>
        </w:rPr>
        <w:t>n</w:t>
      </w:r>
      <w:r w:rsidRPr="00EC43AA">
        <w:rPr>
          <w:szCs w:val="22"/>
        </w:rPr>
        <w:t>quêtes et de redéfinitions.</w:t>
      </w:r>
    </w:p>
    <w:p w:rsidR="00AD690E" w:rsidRDefault="00AD690E" w:rsidP="00AD690E">
      <w:pPr>
        <w:spacing w:before="120" w:after="120"/>
        <w:jc w:val="both"/>
        <w:rPr>
          <w:szCs w:val="22"/>
        </w:rPr>
      </w:pPr>
      <w:r>
        <w:rPr>
          <w:szCs w:val="22"/>
        </w:rPr>
        <w:br w:type="page"/>
      </w:r>
    </w:p>
    <w:p w:rsidR="00AD690E" w:rsidRPr="003872D5" w:rsidRDefault="00AD690E" w:rsidP="00AD690E">
      <w:pPr>
        <w:pStyle w:val="a"/>
      </w:pPr>
      <w:r>
        <w:t>a) La Commission B-B,</w:t>
      </w:r>
      <w:r>
        <w:br/>
      </w:r>
      <w:r w:rsidRPr="003872D5">
        <w:t>du bilinguisme au multicultur</w:t>
      </w:r>
      <w:r w:rsidRPr="003872D5">
        <w:t>a</w:t>
      </w:r>
      <w:r w:rsidRPr="003872D5">
        <w:t>lisme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Au début des années 1960, la « culture n'est guère perçue comme un enjeu significatif</w:t>
      </w:r>
      <w:r>
        <w:rPr>
          <w:szCs w:val="22"/>
          <w:vertAlign w:val="superscript"/>
        </w:rPr>
        <w:t> </w:t>
      </w:r>
      <w:r>
        <w:rPr>
          <w:rStyle w:val="Appelnotedebasdep"/>
        </w:rPr>
        <w:footnoteReference w:id="686"/>
      </w:r>
      <w:r w:rsidRPr="00EC43AA">
        <w:rPr>
          <w:szCs w:val="22"/>
        </w:rPr>
        <w:t xml:space="preserve"> alors que la langue semble bien l'être comme le révèle l'affaire Gordon en novembre 1962 »</w:t>
      </w:r>
      <w:r>
        <w:rPr>
          <w:szCs w:val="22"/>
          <w:vertAlign w:val="superscript"/>
        </w:rPr>
        <w:t> </w:t>
      </w:r>
      <w:r>
        <w:rPr>
          <w:rStyle w:val="Appelnotedebasdep"/>
        </w:rPr>
        <w:footnoteReference w:id="687"/>
      </w:r>
      <w:r w:rsidRPr="00EC43AA">
        <w:rPr>
          <w:szCs w:val="22"/>
        </w:rPr>
        <w:t>. Cette nouvelle se</w:t>
      </w:r>
      <w:r w:rsidRPr="00EC43AA">
        <w:rPr>
          <w:szCs w:val="22"/>
        </w:rPr>
        <w:t>n</w:t>
      </w:r>
      <w:r w:rsidRPr="00EC43AA">
        <w:rPr>
          <w:szCs w:val="22"/>
        </w:rPr>
        <w:t>sibilité s'appuie moins sur la situation des minorités de langue frança</w:t>
      </w:r>
      <w:r w:rsidRPr="00EC43AA">
        <w:rPr>
          <w:szCs w:val="22"/>
        </w:rPr>
        <w:t>i</w:t>
      </w:r>
      <w:r w:rsidRPr="00EC43AA">
        <w:rPr>
          <w:szCs w:val="22"/>
        </w:rPr>
        <w:t>se au Canada que sur le constat de la « baisse du français parlé au Québec »</w:t>
      </w:r>
      <w:r>
        <w:rPr>
          <w:szCs w:val="22"/>
        </w:rPr>
        <w:t> </w:t>
      </w:r>
      <w:r>
        <w:rPr>
          <w:rStyle w:val="Appelnotedebasdep"/>
        </w:rPr>
        <w:footnoteReference w:id="688"/>
      </w:r>
      <w:r w:rsidRPr="00EC43AA">
        <w:rPr>
          <w:szCs w:val="22"/>
        </w:rPr>
        <w:t xml:space="preserve"> et, finalement, sur la place de cette province dans l'e</w:t>
      </w:r>
      <w:r w:rsidRPr="00EC43AA">
        <w:rPr>
          <w:szCs w:val="22"/>
        </w:rPr>
        <w:t>n</w:t>
      </w:r>
      <w:r w:rsidRPr="00EC43AA">
        <w:rPr>
          <w:szCs w:val="22"/>
        </w:rPr>
        <w:t>semble canadien.</w:t>
      </w:r>
    </w:p>
    <w:p w:rsidR="00AD690E" w:rsidRPr="00EC43AA" w:rsidRDefault="00AD690E" w:rsidP="00AD690E">
      <w:pPr>
        <w:spacing w:before="120" w:after="120"/>
        <w:jc w:val="both"/>
      </w:pPr>
      <w:r w:rsidRPr="00EC43AA">
        <w:rPr>
          <w:szCs w:val="22"/>
        </w:rPr>
        <w:t xml:space="preserve">L'attention que le </w:t>
      </w:r>
      <w:r w:rsidRPr="00EC43AA">
        <w:rPr>
          <w:i/>
          <w:iCs/>
          <w:szCs w:val="22"/>
        </w:rPr>
        <w:t xml:space="preserve">Manifeste </w:t>
      </w:r>
      <w:r w:rsidRPr="00EC43AA">
        <w:rPr>
          <w:szCs w:val="22"/>
        </w:rPr>
        <w:t>libéral de 1962 accorde à la culture n'est pas nouvelle. S'il est question de l'égalité des deux cultures, les propositions ne dépassent pas le « bilinguisme de façade ou de tradu</w:t>
      </w:r>
      <w:r w:rsidRPr="00EC43AA">
        <w:rPr>
          <w:szCs w:val="22"/>
        </w:rPr>
        <w:t>c</w:t>
      </w:r>
      <w:r w:rsidRPr="00EC43AA">
        <w:rPr>
          <w:szCs w:val="22"/>
        </w:rPr>
        <w:t>tion »</w:t>
      </w:r>
      <w:r>
        <w:rPr>
          <w:szCs w:val="22"/>
          <w:vertAlign w:val="superscript"/>
        </w:rPr>
        <w:t> </w:t>
      </w:r>
      <w:r>
        <w:rPr>
          <w:rStyle w:val="Appelnotedebasdep"/>
        </w:rPr>
        <w:footnoteReference w:id="689"/>
      </w:r>
      <w:r w:rsidRPr="00EC43AA">
        <w:rPr>
          <w:szCs w:val="22"/>
        </w:rPr>
        <w:t xml:space="preserve"> et le symbolisme pr</w:t>
      </w:r>
      <w:r w:rsidRPr="00EC43AA">
        <w:rPr>
          <w:szCs w:val="22"/>
        </w:rPr>
        <w:t>i</w:t>
      </w:r>
      <w:r w:rsidRPr="00EC43AA">
        <w:rPr>
          <w:szCs w:val="22"/>
        </w:rPr>
        <w:t>maire comme en témoigne l'adoption de l'unifolié en 1965. Le programme de la Fédération libérale fédérale présenté au d</w:t>
      </w:r>
      <w:r w:rsidRPr="00EC43AA">
        <w:rPr>
          <w:szCs w:val="22"/>
        </w:rPr>
        <w:t>é</w:t>
      </w:r>
      <w:r w:rsidRPr="00EC43AA">
        <w:rPr>
          <w:szCs w:val="22"/>
        </w:rPr>
        <w:t>but de 1963 va beaucoup plus loin en proposant une enquête sur le bili</w:t>
      </w:r>
      <w:r w:rsidRPr="00EC43AA">
        <w:rPr>
          <w:szCs w:val="22"/>
        </w:rPr>
        <w:t>n</w:t>
      </w:r>
      <w:r w:rsidRPr="00EC43AA">
        <w:rPr>
          <w:szCs w:val="22"/>
        </w:rPr>
        <w:t>guisme et le biculturalisme et, surtout, en affirmant que, pour « sauver la co</w:t>
      </w:r>
      <w:r w:rsidRPr="00EC43AA">
        <w:rPr>
          <w:szCs w:val="22"/>
        </w:rPr>
        <w:t>n</w:t>
      </w:r>
      <w:r w:rsidRPr="00EC43AA">
        <w:rPr>
          <w:szCs w:val="22"/>
        </w:rPr>
        <w:t>fédération », il faut restaurer l'esprit du pacte confédératif et chercher un « nouvel équilibre entre les deux cult</w:t>
      </w:r>
      <w:r w:rsidRPr="00EC43AA">
        <w:rPr>
          <w:szCs w:val="22"/>
        </w:rPr>
        <w:t>u</w:t>
      </w:r>
      <w:r w:rsidRPr="00EC43AA">
        <w:rPr>
          <w:szCs w:val="22"/>
        </w:rPr>
        <w:t>res »</w:t>
      </w:r>
      <w:r>
        <w:rPr>
          <w:szCs w:val="22"/>
        </w:rPr>
        <w:t> </w:t>
      </w:r>
      <w:r>
        <w:rPr>
          <w:rStyle w:val="Appelnotedebasdep"/>
        </w:rPr>
        <w:footnoteReference w:id="690"/>
      </w:r>
      <w:r w:rsidRPr="00EC43AA">
        <w:rPr>
          <w:szCs w:val="22"/>
        </w:rPr>
        <w:t>. À partir d'une analyse des programmes des partis politiques fédéraux sur le problème des deux cu</w:t>
      </w:r>
      <w:r w:rsidRPr="00EC43AA">
        <w:rPr>
          <w:szCs w:val="22"/>
        </w:rPr>
        <w:t>l</w:t>
      </w:r>
      <w:r w:rsidRPr="00EC43AA">
        <w:rPr>
          <w:szCs w:val="22"/>
        </w:rPr>
        <w:t>tures, André Laurendeau écrit alors que les l</w:t>
      </w:r>
      <w:r w:rsidRPr="00EC43AA">
        <w:rPr>
          <w:szCs w:val="22"/>
        </w:rPr>
        <w:t>i</w:t>
      </w:r>
      <w:r w:rsidRPr="00EC43AA">
        <w:rPr>
          <w:szCs w:val="22"/>
        </w:rPr>
        <w:t>béraux et le NPD « ont infléchi sérieusement » pour proposer de nouvelles pistes</w:t>
      </w:r>
      <w:r>
        <w:rPr>
          <w:szCs w:val="22"/>
        </w:rPr>
        <w:t> </w:t>
      </w:r>
      <w:r>
        <w:rPr>
          <w:rStyle w:val="Appelnotedebasdep"/>
        </w:rPr>
        <w:footnoteReference w:id="691"/>
      </w:r>
      <w:r w:rsidRPr="00EC43AA">
        <w:rPr>
          <w:szCs w:val="22"/>
        </w:rPr>
        <w:t>.</w:t>
      </w:r>
    </w:p>
    <w:p w:rsidR="00AD690E" w:rsidRPr="00EC43AA" w:rsidRDefault="00AD690E" w:rsidP="00AD690E">
      <w:pPr>
        <w:spacing w:before="120" w:after="120"/>
        <w:jc w:val="both"/>
      </w:pPr>
      <w:r w:rsidRPr="00EC43AA">
        <w:rPr>
          <w:szCs w:val="22"/>
        </w:rPr>
        <w:t>La Commission coprésidée par André Laurendeau et D</w:t>
      </w:r>
      <w:r w:rsidRPr="00EC43AA">
        <w:rPr>
          <w:szCs w:val="22"/>
        </w:rPr>
        <w:t>a</w:t>
      </w:r>
      <w:r w:rsidRPr="00EC43AA">
        <w:rPr>
          <w:szCs w:val="22"/>
        </w:rPr>
        <w:t>vidson Dunton est apparue à plusieurs comme une « tentative de la onzième heure pour corriger presque un siècle d'évol</w:t>
      </w:r>
      <w:r w:rsidRPr="00EC43AA">
        <w:rPr>
          <w:szCs w:val="22"/>
        </w:rPr>
        <w:t>u</w:t>
      </w:r>
      <w:r w:rsidRPr="00EC43AA">
        <w:rPr>
          <w:szCs w:val="22"/>
        </w:rPr>
        <w:t>tion culturelle ». Alors qu'il avait laissé aux provinces la question des m</w:t>
      </w:r>
      <w:r w:rsidRPr="00EC43AA">
        <w:rPr>
          <w:szCs w:val="22"/>
        </w:rPr>
        <w:t>i</w:t>
      </w:r>
      <w:r w:rsidRPr="00EC43AA">
        <w:rPr>
          <w:szCs w:val="22"/>
        </w:rPr>
        <w:t>norités canadiennes-françaises, le gouvernement fédéral tentait alors d'intervenir de mani</w:t>
      </w:r>
      <w:r w:rsidRPr="00EC43AA">
        <w:rPr>
          <w:szCs w:val="22"/>
        </w:rPr>
        <w:t>è</w:t>
      </w:r>
      <w:r w:rsidRPr="00EC43AA">
        <w:rPr>
          <w:szCs w:val="22"/>
        </w:rPr>
        <w:t>re à « recréer l'ident</w:t>
      </w:r>
      <w:r w:rsidRPr="00EC43AA">
        <w:rPr>
          <w:szCs w:val="22"/>
        </w:rPr>
        <w:t>i</w:t>
      </w:r>
      <w:r w:rsidRPr="00EC43AA">
        <w:rPr>
          <w:szCs w:val="22"/>
        </w:rPr>
        <w:t>té entre les Québécois et les minorités de langue française ». L'initiative de Pearson apparut donc comme « une tentat</w:t>
      </w:r>
      <w:r w:rsidRPr="00EC43AA">
        <w:rPr>
          <w:szCs w:val="22"/>
        </w:rPr>
        <w:t>i</w:t>
      </w:r>
      <w:r w:rsidRPr="00EC43AA">
        <w:rPr>
          <w:szCs w:val="22"/>
        </w:rPr>
        <w:t>ve de composer avec le néo-nationalisme qu</w:t>
      </w:r>
      <w:r w:rsidRPr="00EC43AA">
        <w:rPr>
          <w:szCs w:val="22"/>
        </w:rPr>
        <w:t>é</w:t>
      </w:r>
      <w:r w:rsidRPr="00EC43AA">
        <w:rPr>
          <w:szCs w:val="22"/>
        </w:rPr>
        <w:t>bécois »</w:t>
      </w:r>
      <w:r>
        <w:rPr>
          <w:szCs w:val="22"/>
        </w:rPr>
        <w:t> </w:t>
      </w:r>
      <w:r>
        <w:rPr>
          <w:rStyle w:val="Appelnotedebasdep"/>
        </w:rPr>
        <w:footnoteReference w:id="692"/>
      </w:r>
      <w:r w:rsidRPr="00EC43AA">
        <w:rPr>
          <w:szCs w:val="22"/>
        </w:rPr>
        <w:t>.</w:t>
      </w:r>
    </w:p>
    <w:p w:rsidR="00AD690E" w:rsidRPr="00EC43AA" w:rsidRDefault="00AD690E" w:rsidP="00AD690E">
      <w:pPr>
        <w:spacing w:before="120" w:after="120"/>
        <w:jc w:val="both"/>
      </w:pPr>
      <w:r w:rsidRPr="00EC43AA">
        <w:rPr>
          <w:szCs w:val="22"/>
        </w:rPr>
        <w:t xml:space="preserve">Au moment où Ottawa proposa de </w:t>
      </w:r>
      <w:r w:rsidRPr="00EC43AA">
        <w:rPr>
          <w:i/>
          <w:iCs/>
          <w:szCs w:val="22"/>
        </w:rPr>
        <w:t xml:space="preserve">bilinguiser </w:t>
      </w:r>
      <w:r w:rsidRPr="00EC43AA">
        <w:rPr>
          <w:szCs w:val="22"/>
        </w:rPr>
        <w:t>le Canada, le go</w:t>
      </w:r>
      <w:r w:rsidRPr="00EC43AA">
        <w:rPr>
          <w:szCs w:val="22"/>
        </w:rPr>
        <w:t>u</w:t>
      </w:r>
      <w:r w:rsidRPr="00EC43AA">
        <w:rPr>
          <w:szCs w:val="22"/>
        </w:rPr>
        <w:t>vernement du Québec travaillait depuis quelque temps à franciser le Québec. À l'occasion de la création du ministère des Affaires culture</w:t>
      </w:r>
      <w:r w:rsidRPr="00EC43AA">
        <w:rPr>
          <w:szCs w:val="22"/>
        </w:rPr>
        <w:t>l</w:t>
      </w:r>
      <w:r w:rsidRPr="00EC43AA">
        <w:rPr>
          <w:szCs w:val="22"/>
        </w:rPr>
        <w:t>les en 1961, Jean</w:t>
      </w:r>
      <w:r>
        <w:rPr>
          <w:szCs w:val="22"/>
        </w:rPr>
        <w:t xml:space="preserve"> </w:t>
      </w:r>
      <w:r>
        <w:rPr>
          <w:szCs w:val="18"/>
        </w:rPr>
        <w:t xml:space="preserve">[409] </w:t>
      </w:r>
      <w:r w:rsidRPr="00EC43AA">
        <w:rPr>
          <w:szCs w:val="22"/>
        </w:rPr>
        <w:t>Lesage déclare que son parti « a voulu donner priorité aux problèmes culturels et aux questions qui touchent l'éduc</w:t>
      </w:r>
      <w:r w:rsidRPr="00EC43AA">
        <w:rPr>
          <w:szCs w:val="22"/>
        </w:rPr>
        <w:t>a</w:t>
      </w:r>
      <w:r w:rsidRPr="00EC43AA">
        <w:rPr>
          <w:szCs w:val="22"/>
        </w:rPr>
        <w:t>tion »</w:t>
      </w:r>
      <w:r>
        <w:rPr>
          <w:szCs w:val="22"/>
          <w:vertAlign w:val="superscript"/>
        </w:rPr>
        <w:t> </w:t>
      </w:r>
      <w:r>
        <w:rPr>
          <w:rStyle w:val="Appelnotedebasdep"/>
        </w:rPr>
        <w:footnoteReference w:id="693"/>
      </w:r>
      <w:r w:rsidRPr="00EC43AA">
        <w:rPr>
          <w:szCs w:val="22"/>
        </w:rPr>
        <w:t>. En vertu de la loi le créant, le MAC a sous sa juridiction la Commission des monument</w:t>
      </w:r>
      <w:r>
        <w:rPr>
          <w:szCs w:val="22"/>
        </w:rPr>
        <w:t xml:space="preserve"> des monument</w:t>
      </w:r>
      <w:r w:rsidRPr="00EC43AA">
        <w:rPr>
          <w:szCs w:val="22"/>
        </w:rPr>
        <w:t>s historiques et les trois nouveaux organismes suivants : l'Office de la langue française, le D</w:t>
      </w:r>
      <w:r w:rsidRPr="00EC43AA">
        <w:rPr>
          <w:szCs w:val="22"/>
        </w:rPr>
        <w:t>é</w:t>
      </w:r>
      <w:r w:rsidRPr="00EC43AA">
        <w:rPr>
          <w:szCs w:val="22"/>
        </w:rPr>
        <w:t>partement du Canada français d'outre-frontière et le Conseil pr</w:t>
      </w:r>
      <w:r w:rsidRPr="00EC43AA">
        <w:rPr>
          <w:szCs w:val="22"/>
        </w:rPr>
        <w:t>o</w:t>
      </w:r>
      <w:r w:rsidRPr="00EC43AA">
        <w:rPr>
          <w:szCs w:val="22"/>
        </w:rPr>
        <w:t>vincial des Arts. Comme le nouveau ministère ne réussissait pas à se libérer de la tutelle du Conseil du trésor, ses interventions furent ce</w:t>
      </w:r>
      <w:r w:rsidRPr="00EC43AA">
        <w:rPr>
          <w:szCs w:val="22"/>
        </w:rPr>
        <w:t>n</w:t>
      </w:r>
      <w:r w:rsidRPr="00EC43AA">
        <w:rPr>
          <w:szCs w:val="22"/>
        </w:rPr>
        <w:t>trées sur la langue et le patrimoine.</w:t>
      </w:r>
    </w:p>
    <w:p w:rsidR="00AD690E" w:rsidRPr="00EC43AA" w:rsidRDefault="00AD690E" w:rsidP="00AD690E">
      <w:pPr>
        <w:spacing w:before="120" w:after="120"/>
        <w:jc w:val="both"/>
      </w:pPr>
      <w:r w:rsidRPr="00EC43AA">
        <w:rPr>
          <w:szCs w:val="22"/>
        </w:rPr>
        <w:t>La Commission B-B, comme on l'appelle familièrement, peut être considérée, selon Bernard Ostry, comme « la plus importante enquête fédérale sur la culture depuis la Commission Massey »</w:t>
      </w:r>
      <w:r>
        <w:rPr>
          <w:szCs w:val="22"/>
          <w:vertAlign w:val="superscript"/>
        </w:rPr>
        <w:t> </w:t>
      </w:r>
      <w:r>
        <w:rPr>
          <w:rStyle w:val="Appelnotedebasdep"/>
        </w:rPr>
        <w:footnoteReference w:id="694"/>
      </w:r>
      <w:r w:rsidRPr="00EC43AA">
        <w:rPr>
          <w:szCs w:val="22"/>
        </w:rPr>
        <w:t>. Les aud</w:t>
      </w:r>
      <w:r w:rsidRPr="00EC43AA">
        <w:rPr>
          <w:szCs w:val="22"/>
        </w:rPr>
        <w:t>i</w:t>
      </w:r>
      <w:r w:rsidRPr="00EC43AA">
        <w:rPr>
          <w:szCs w:val="22"/>
        </w:rPr>
        <w:t>tions à travers le pays, le rapport pr</w:t>
      </w:r>
      <w:r w:rsidRPr="00EC43AA">
        <w:rPr>
          <w:szCs w:val="22"/>
        </w:rPr>
        <w:t>é</w:t>
      </w:r>
      <w:r w:rsidRPr="00EC43AA">
        <w:rPr>
          <w:szCs w:val="22"/>
        </w:rPr>
        <w:t>liminaire, les nombreux volumes du rapport et les recommandations finales ont e</w:t>
      </w:r>
      <w:r w:rsidRPr="00EC43AA">
        <w:rPr>
          <w:szCs w:val="22"/>
        </w:rPr>
        <w:t>f</w:t>
      </w:r>
      <w:r w:rsidRPr="00EC43AA">
        <w:rPr>
          <w:szCs w:val="22"/>
        </w:rPr>
        <w:t>fectivement mobilisé des ressources du fédéral sur cette question comme jamais auparavant. Nous a</w:t>
      </w:r>
      <w:r w:rsidRPr="00EC43AA">
        <w:rPr>
          <w:szCs w:val="22"/>
        </w:rPr>
        <w:t>p</w:t>
      </w:r>
      <w:r w:rsidRPr="00EC43AA">
        <w:rPr>
          <w:szCs w:val="22"/>
        </w:rPr>
        <w:t>prenons ainsi, dès le dépôt du rapport préliminaire, que le « Canada, sans en être pleinement conscient, traverse la plus grave crise de son histoire ». Il faut cependant attendre l'éle</w:t>
      </w:r>
      <w:r w:rsidRPr="00EC43AA">
        <w:rPr>
          <w:szCs w:val="22"/>
        </w:rPr>
        <w:t>c</w:t>
      </w:r>
      <w:r w:rsidRPr="00EC43AA">
        <w:rPr>
          <w:szCs w:val="22"/>
        </w:rPr>
        <w:t>tion du Parti québécois pour que l'ensemble du Canada en soit convaincu. Le mu</w:t>
      </w:r>
      <w:r w:rsidRPr="00EC43AA">
        <w:rPr>
          <w:szCs w:val="22"/>
        </w:rPr>
        <w:t>l</w:t>
      </w:r>
      <w:r w:rsidRPr="00EC43AA">
        <w:rPr>
          <w:szCs w:val="22"/>
        </w:rPr>
        <w:t>ticulturalisme mis en lumière par la Co</w:t>
      </w:r>
      <w:r w:rsidRPr="00EC43AA">
        <w:rPr>
          <w:szCs w:val="22"/>
        </w:rPr>
        <w:t>m</w:t>
      </w:r>
      <w:r w:rsidRPr="00EC43AA">
        <w:rPr>
          <w:szCs w:val="22"/>
        </w:rPr>
        <w:t>mission fournit aux libéraux fédéraux la voie à adopter pour éviter le problème que posait le nati</w:t>
      </w:r>
      <w:r w:rsidRPr="00EC43AA">
        <w:rPr>
          <w:szCs w:val="22"/>
        </w:rPr>
        <w:t>o</w:t>
      </w:r>
      <w:r w:rsidRPr="00EC43AA">
        <w:rPr>
          <w:szCs w:val="22"/>
        </w:rPr>
        <w:t>nalisme québécois</w:t>
      </w:r>
      <w:r>
        <w:rPr>
          <w:szCs w:val="22"/>
          <w:vertAlign w:val="superscript"/>
        </w:rPr>
        <w:t> </w:t>
      </w:r>
      <w:r>
        <w:rPr>
          <w:rStyle w:val="Appelnotedebasdep"/>
        </w:rPr>
        <w:footnoteReference w:id="695"/>
      </w:r>
      <w:r w:rsidRPr="00EC43AA">
        <w:rPr>
          <w:szCs w:val="22"/>
        </w:rPr>
        <w:t>. Si la culture était d'une importance stratégique pour l'unité canadienne, les solutions proposées se limitèrent à la fon</w:t>
      </w:r>
      <w:r w:rsidRPr="00EC43AA">
        <w:rPr>
          <w:szCs w:val="22"/>
        </w:rPr>
        <w:t>c</w:t>
      </w:r>
      <w:r w:rsidRPr="00EC43AA">
        <w:rPr>
          <w:szCs w:val="22"/>
        </w:rPr>
        <w:t>tion de la langue et à inviter les « anglais » à apprendre le fra</w:t>
      </w:r>
      <w:r w:rsidRPr="00EC43AA">
        <w:rPr>
          <w:szCs w:val="22"/>
        </w:rPr>
        <w:t>n</w:t>
      </w:r>
      <w:r w:rsidRPr="00EC43AA">
        <w:rPr>
          <w:szCs w:val="22"/>
        </w:rPr>
        <w:t>çais.</w:t>
      </w:r>
    </w:p>
    <w:p w:rsidR="00AD690E" w:rsidRDefault="00AD690E" w:rsidP="00AD690E">
      <w:pPr>
        <w:spacing w:before="120" w:after="120"/>
        <w:jc w:val="both"/>
        <w:rPr>
          <w:szCs w:val="22"/>
        </w:rPr>
      </w:pPr>
    </w:p>
    <w:p w:rsidR="00AD690E" w:rsidRPr="0033116F" w:rsidRDefault="00AD690E" w:rsidP="00AD690E">
      <w:pPr>
        <w:pStyle w:val="a"/>
      </w:pPr>
      <w:r>
        <w:t xml:space="preserve">b) </w:t>
      </w:r>
      <w:r w:rsidRPr="0033116F">
        <w:t xml:space="preserve">Le Conseil des Arts : </w:t>
      </w:r>
      <w:r>
        <w:br/>
      </w:r>
      <w:r w:rsidRPr="0033116F">
        <w:t>d'une fondation privée à une agence gouvern</w:t>
      </w:r>
      <w:r w:rsidRPr="0033116F">
        <w:t>e</w:t>
      </w:r>
      <w:r w:rsidRPr="0033116F">
        <w:t>mentale</w:t>
      </w:r>
    </w:p>
    <w:p w:rsidR="00AD690E" w:rsidRDefault="00AD690E" w:rsidP="00AD690E">
      <w:pPr>
        <w:spacing w:before="120" w:after="120"/>
        <w:jc w:val="both"/>
        <w:rPr>
          <w:szCs w:val="22"/>
        </w:rPr>
      </w:pPr>
    </w:p>
    <w:p w:rsidR="00AD690E" w:rsidRPr="00EC43AA" w:rsidRDefault="00AD690E" w:rsidP="00AD690E">
      <w:pPr>
        <w:spacing w:before="120" w:after="120"/>
        <w:ind w:firstLine="567"/>
        <w:jc w:val="both"/>
      </w:pPr>
      <w:r w:rsidRPr="00EC43AA">
        <w:rPr>
          <w:szCs w:val="22"/>
        </w:rPr>
        <w:t>À sa création en 1957, le Conseil des Arts du Canada constituait une « formule hybride » qui participait à la fois de la fondation amér</w:t>
      </w:r>
      <w:r w:rsidRPr="00EC43AA">
        <w:rPr>
          <w:szCs w:val="22"/>
        </w:rPr>
        <w:t>i</w:t>
      </w:r>
      <w:r w:rsidRPr="00EC43AA">
        <w:rPr>
          <w:szCs w:val="22"/>
        </w:rPr>
        <w:t>caine et de l'agence publique de type brita</w:t>
      </w:r>
      <w:r w:rsidRPr="00EC43AA">
        <w:rPr>
          <w:szCs w:val="22"/>
        </w:rPr>
        <w:t>n</w:t>
      </w:r>
      <w:r w:rsidRPr="00EC43AA">
        <w:rPr>
          <w:szCs w:val="22"/>
        </w:rPr>
        <w:t xml:space="preserve">nique (par exemple le </w:t>
      </w:r>
      <w:r>
        <w:rPr>
          <w:i/>
          <w:iCs/>
          <w:szCs w:val="22"/>
        </w:rPr>
        <w:t>Art</w:t>
      </w:r>
      <w:r w:rsidRPr="00EC43AA">
        <w:rPr>
          <w:i/>
          <w:iCs/>
          <w:szCs w:val="22"/>
        </w:rPr>
        <w:t>s Council of</w:t>
      </w:r>
      <w:r>
        <w:rPr>
          <w:i/>
          <w:iCs/>
          <w:szCs w:val="22"/>
        </w:rPr>
        <w:t xml:space="preserve"> Great Britain</w:t>
      </w:r>
      <w:r w:rsidRPr="008315E2">
        <w:rPr>
          <w:iCs/>
          <w:szCs w:val="22"/>
        </w:rPr>
        <w:t>)</w:t>
      </w:r>
      <w:r>
        <w:rPr>
          <w:iCs/>
          <w:szCs w:val="22"/>
        </w:rPr>
        <w:t> </w:t>
      </w:r>
      <w:r w:rsidRPr="0033116F">
        <w:rPr>
          <w:rStyle w:val="Appelnotedebasdep"/>
          <w:iCs/>
        </w:rPr>
        <w:footnoteReference w:id="696"/>
      </w:r>
      <w:r w:rsidRPr="00EC43AA">
        <w:rPr>
          <w:i/>
          <w:iCs/>
          <w:szCs w:val="22"/>
        </w:rPr>
        <w:t xml:space="preserve">. </w:t>
      </w:r>
      <w:r w:rsidRPr="00EC43AA">
        <w:rPr>
          <w:szCs w:val="22"/>
        </w:rPr>
        <w:t>Le</w:t>
      </w:r>
      <w:r>
        <w:rPr>
          <w:szCs w:val="22"/>
        </w:rPr>
        <w:t xml:space="preserve"> </w:t>
      </w:r>
      <w:r>
        <w:rPr>
          <w:szCs w:val="18"/>
        </w:rPr>
        <w:t>[</w:t>
      </w:r>
      <w:r w:rsidRPr="00EC43AA">
        <w:rPr>
          <w:szCs w:val="18"/>
        </w:rPr>
        <w:t>410</w:t>
      </w:r>
      <w:r>
        <w:rPr>
          <w:szCs w:val="18"/>
        </w:rPr>
        <w:t xml:space="preserve">] </w:t>
      </w:r>
      <w:r w:rsidRPr="00EC43AA">
        <w:rPr>
          <w:szCs w:val="22"/>
        </w:rPr>
        <w:t>don de cent millions de dollars de deux riches industriels des Mar</w:t>
      </w:r>
      <w:r w:rsidRPr="00EC43AA">
        <w:rPr>
          <w:szCs w:val="22"/>
        </w:rPr>
        <w:t>i</w:t>
      </w:r>
      <w:r w:rsidRPr="00EC43AA">
        <w:rPr>
          <w:szCs w:val="22"/>
        </w:rPr>
        <w:t>times amena le premier ministre, Louis Saint-Laurent, à le créer. S</w:t>
      </w:r>
      <w:r w:rsidRPr="00EC43AA">
        <w:rPr>
          <w:szCs w:val="22"/>
        </w:rPr>
        <w:t>e</w:t>
      </w:r>
      <w:r w:rsidRPr="00EC43AA">
        <w:rPr>
          <w:szCs w:val="22"/>
        </w:rPr>
        <w:t>lon la loi le constituant, celui-ci est réputé « org</w:t>
      </w:r>
      <w:r w:rsidRPr="00EC43AA">
        <w:rPr>
          <w:szCs w:val="22"/>
        </w:rPr>
        <w:t>a</w:t>
      </w:r>
      <w:r w:rsidRPr="00EC43AA">
        <w:rPr>
          <w:szCs w:val="22"/>
        </w:rPr>
        <w:t xml:space="preserve">nisme ou </w:t>
      </w:r>
      <w:r>
        <w:rPr>
          <w:szCs w:val="22"/>
        </w:rPr>
        <w:t>œuvre</w:t>
      </w:r>
      <w:r w:rsidRPr="00EC43AA">
        <w:rPr>
          <w:szCs w:val="22"/>
        </w:rPr>
        <w:t xml:space="preserve"> de charité » de manière à pouvoir « acquérir des sommes d'argent, v</w:t>
      </w:r>
      <w:r w:rsidRPr="00EC43AA">
        <w:rPr>
          <w:szCs w:val="22"/>
        </w:rPr>
        <w:t>a</w:t>
      </w:r>
      <w:r w:rsidRPr="00EC43AA">
        <w:rPr>
          <w:szCs w:val="22"/>
        </w:rPr>
        <w:t>leurs ou autres biens par dons, legs ou autrement et les utiliser pour le développement de ses progra</w:t>
      </w:r>
      <w:r w:rsidRPr="00EC43AA">
        <w:rPr>
          <w:szCs w:val="22"/>
        </w:rPr>
        <w:t>m</w:t>
      </w:r>
      <w:r w:rsidRPr="00EC43AA">
        <w:rPr>
          <w:szCs w:val="22"/>
        </w:rPr>
        <w:t>mes »</w:t>
      </w:r>
      <w:r>
        <w:rPr>
          <w:szCs w:val="22"/>
          <w:vertAlign w:val="superscript"/>
        </w:rPr>
        <w:t> </w:t>
      </w:r>
      <w:r>
        <w:rPr>
          <w:rStyle w:val="Appelnotedebasdep"/>
        </w:rPr>
        <w:footnoteReference w:id="697"/>
      </w:r>
      <w:r w:rsidRPr="00EC43AA">
        <w:rPr>
          <w:szCs w:val="22"/>
        </w:rPr>
        <w:t>. De 1957 à 1964, les revenus du Conseil étaient d'environ 3,4 millions de dollars par année</w:t>
      </w:r>
      <w:r>
        <w:rPr>
          <w:szCs w:val="22"/>
          <w:vertAlign w:val="superscript"/>
        </w:rPr>
        <w:t> </w:t>
      </w:r>
      <w:r>
        <w:rPr>
          <w:rStyle w:val="Appelnotedebasdep"/>
        </w:rPr>
        <w:footnoteReference w:id="698"/>
      </w:r>
      <w:r w:rsidRPr="00EC43AA">
        <w:rPr>
          <w:szCs w:val="22"/>
        </w:rPr>
        <w:t xml:space="preserve"> et provenaient e</w:t>
      </w:r>
      <w:r w:rsidRPr="00EC43AA">
        <w:rPr>
          <w:szCs w:val="22"/>
        </w:rPr>
        <w:t>x</w:t>
      </w:r>
      <w:r w:rsidRPr="00EC43AA">
        <w:rPr>
          <w:szCs w:val="22"/>
        </w:rPr>
        <w:t>clusivement des intérêts de la dotation de départ.</w:t>
      </w:r>
    </w:p>
    <w:p w:rsidR="00AD690E" w:rsidRPr="00EC43AA" w:rsidRDefault="00AD690E" w:rsidP="00AD690E">
      <w:pPr>
        <w:spacing w:before="120" w:after="120"/>
        <w:jc w:val="both"/>
      </w:pPr>
      <w:r w:rsidRPr="00EC43AA">
        <w:rPr>
          <w:szCs w:val="22"/>
        </w:rPr>
        <w:t>Au sein de la Corporation chargée de l'administration du Conseil des Arts, le milieu des affaires était bien représenté alors que les arti</w:t>
      </w:r>
      <w:r w:rsidRPr="00EC43AA">
        <w:rPr>
          <w:szCs w:val="22"/>
        </w:rPr>
        <w:t>s</w:t>
      </w:r>
      <w:r w:rsidRPr="00EC43AA">
        <w:rPr>
          <w:szCs w:val="22"/>
        </w:rPr>
        <w:t>tes ne constituaient qu'une faible minorité</w:t>
      </w:r>
      <w:r>
        <w:rPr>
          <w:szCs w:val="22"/>
        </w:rPr>
        <w:t> </w:t>
      </w:r>
      <w:r>
        <w:rPr>
          <w:rStyle w:val="Appelnotedebasdep"/>
        </w:rPr>
        <w:footnoteReference w:id="699"/>
      </w:r>
      <w:r w:rsidRPr="00EC43AA">
        <w:rPr>
          <w:szCs w:val="22"/>
        </w:rPr>
        <w:t>. Venant du milieu des affaires, on retrouvait entre autres Samuel Bronfman et Brooke Cla</w:t>
      </w:r>
      <w:r w:rsidRPr="00EC43AA">
        <w:rPr>
          <w:szCs w:val="22"/>
        </w:rPr>
        <w:t>x</w:t>
      </w:r>
      <w:r w:rsidRPr="00EC43AA">
        <w:rPr>
          <w:szCs w:val="22"/>
        </w:rPr>
        <w:t>ton, vice-président et directeur général pour le Canada de la Metrop</w:t>
      </w:r>
      <w:r w:rsidRPr="00EC43AA">
        <w:rPr>
          <w:szCs w:val="22"/>
        </w:rPr>
        <w:t>o</w:t>
      </w:r>
      <w:r w:rsidRPr="00EC43AA">
        <w:rPr>
          <w:szCs w:val="22"/>
        </w:rPr>
        <w:t>litan Life Insurance Company, qui assurait la présidence de la Corp</w:t>
      </w:r>
      <w:r w:rsidRPr="00EC43AA">
        <w:rPr>
          <w:szCs w:val="22"/>
        </w:rPr>
        <w:t>o</w:t>
      </w:r>
      <w:r w:rsidRPr="00EC43AA">
        <w:rPr>
          <w:szCs w:val="22"/>
        </w:rPr>
        <w:t>ration</w:t>
      </w:r>
      <w:r>
        <w:rPr>
          <w:szCs w:val="22"/>
          <w:vertAlign w:val="superscript"/>
        </w:rPr>
        <w:t> </w:t>
      </w:r>
      <w:r>
        <w:rPr>
          <w:rStyle w:val="Appelnotedebasdep"/>
        </w:rPr>
        <w:footnoteReference w:id="700"/>
      </w:r>
      <w:r w:rsidRPr="00EC43AA">
        <w:rPr>
          <w:szCs w:val="22"/>
        </w:rPr>
        <w:t>. À sa première réunion, la Corporation a rencontré des repr</w:t>
      </w:r>
      <w:r w:rsidRPr="00EC43AA">
        <w:rPr>
          <w:szCs w:val="22"/>
        </w:rPr>
        <w:t>é</w:t>
      </w:r>
      <w:r w:rsidRPr="00EC43AA">
        <w:rPr>
          <w:szCs w:val="22"/>
        </w:rPr>
        <w:t>sentants des fondations Rockfeller, Carnegie et Ford afin de tirer pr</w:t>
      </w:r>
      <w:r w:rsidRPr="00EC43AA">
        <w:rPr>
          <w:szCs w:val="22"/>
        </w:rPr>
        <w:t>o</w:t>
      </w:r>
      <w:r w:rsidRPr="00EC43AA">
        <w:rPr>
          <w:szCs w:val="22"/>
        </w:rPr>
        <w:t>fit de leur expérience. Il fut retenu que le Conseil devait favoriser l'e</w:t>
      </w:r>
      <w:r w:rsidRPr="00EC43AA">
        <w:rPr>
          <w:szCs w:val="22"/>
        </w:rPr>
        <w:t>x</w:t>
      </w:r>
      <w:r w:rsidRPr="00EC43AA">
        <w:rPr>
          <w:szCs w:val="22"/>
        </w:rPr>
        <w:t>cellence plutôt que de sa</w:t>
      </w:r>
      <w:r w:rsidRPr="00EC43AA">
        <w:rPr>
          <w:szCs w:val="22"/>
        </w:rPr>
        <w:t>u</w:t>
      </w:r>
      <w:r w:rsidRPr="00EC43AA">
        <w:rPr>
          <w:szCs w:val="22"/>
        </w:rPr>
        <w:t>poudrer ses dons. La dotation de départ était administrée par un comité d'investissement dirigé par Graham T</w:t>
      </w:r>
      <w:r w:rsidRPr="00EC43AA">
        <w:rPr>
          <w:szCs w:val="22"/>
        </w:rPr>
        <w:t>o</w:t>
      </w:r>
      <w:r w:rsidRPr="00EC43AA">
        <w:rPr>
          <w:szCs w:val="22"/>
        </w:rPr>
        <w:t>wers, premier gouverneur de la Banque du Canada, a</w:t>
      </w:r>
      <w:r w:rsidRPr="00EC43AA">
        <w:rPr>
          <w:szCs w:val="22"/>
        </w:rPr>
        <w:t>s</w:t>
      </w:r>
      <w:r w:rsidRPr="00EC43AA">
        <w:rPr>
          <w:szCs w:val="22"/>
        </w:rPr>
        <w:t>sisté de James Muir, président de la Banque royale et J. G. Hungeford, président du National Trust Company.</w:t>
      </w:r>
    </w:p>
    <w:p w:rsidR="00AD690E" w:rsidRPr="00EC43AA" w:rsidRDefault="00AD690E" w:rsidP="00AD690E">
      <w:pPr>
        <w:spacing w:before="120" w:after="120"/>
        <w:jc w:val="both"/>
      </w:pPr>
      <w:r w:rsidRPr="00EC43AA">
        <w:rPr>
          <w:szCs w:val="22"/>
        </w:rPr>
        <w:t>Dès les premières années de son existence, il apparaît que le Conseil des Arts ne pouvait fonctionner comme une fondation amér</w:t>
      </w:r>
      <w:r w:rsidRPr="00EC43AA">
        <w:rPr>
          <w:szCs w:val="22"/>
        </w:rPr>
        <w:t>i</w:t>
      </w:r>
      <w:r w:rsidRPr="00EC43AA">
        <w:rPr>
          <w:szCs w:val="22"/>
        </w:rPr>
        <w:t>caine. L'objectif d'aider en priorité les artistes profe</w:t>
      </w:r>
      <w:r w:rsidRPr="00EC43AA">
        <w:rPr>
          <w:szCs w:val="22"/>
        </w:rPr>
        <w:t>s</w:t>
      </w:r>
      <w:r w:rsidRPr="00EC43AA">
        <w:rPr>
          <w:szCs w:val="22"/>
        </w:rPr>
        <w:t>sionnels et les organisations relativement permanentes comme les troupes de théâtre ou les compagnies de ballet fut maintenu, mais il se révéla très diffic</w:t>
      </w:r>
      <w:r w:rsidRPr="00EC43AA">
        <w:rPr>
          <w:szCs w:val="22"/>
        </w:rPr>
        <w:t>i</w:t>
      </w:r>
      <w:r w:rsidRPr="00EC43AA">
        <w:rPr>
          <w:szCs w:val="22"/>
        </w:rPr>
        <w:t>le sinon impossible de favoriser l'excellence sans tenir compte de la dimension r</w:t>
      </w:r>
      <w:r w:rsidRPr="00EC43AA">
        <w:rPr>
          <w:szCs w:val="22"/>
        </w:rPr>
        <w:t>é</w:t>
      </w:r>
      <w:r w:rsidRPr="00EC43AA">
        <w:rPr>
          <w:szCs w:val="22"/>
        </w:rPr>
        <w:t>gionale et de l'existence de deux cultures. Les occasions pour le pouvoir politique d'intervenir ne manquaient pas. Cepe</w:t>
      </w:r>
      <w:r w:rsidRPr="00EC43AA">
        <w:rPr>
          <w:szCs w:val="22"/>
        </w:rPr>
        <w:t>n</w:t>
      </w:r>
      <w:r w:rsidRPr="00EC43AA">
        <w:rPr>
          <w:szCs w:val="22"/>
        </w:rPr>
        <w:t>dant, ce fut sous le go</w:t>
      </w:r>
      <w:r w:rsidRPr="00EC43AA">
        <w:rPr>
          <w:szCs w:val="22"/>
        </w:rPr>
        <w:t>u</w:t>
      </w:r>
      <w:r w:rsidRPr="00EC43AA">
        <w:rPr>
          <w:szCs w:val="22"/>
        </w:rPr>
        <w:t>vernement Pearson que les rapports entre le Conseil des Arts et le pouvoir politique se transform</w:t>
      </w:r>
      <w:r w:rsidRPr="00EC43AA">
        <w:rPr>
          <w:szCs w:val="22"/>
        </w:rPr>
        <w:t>è</w:t>
      </w:r>
      <w:r w:rsidRPr="00EC43AA">
        <w:rPr>
          <w:szCs w:val="22"/>
        </w:rPr>
        <w:t>rent.</w:t>
      </w:r>
    </w:p>
    <w:p w:rsidR="00AD690E" w:rsidRPr="00EC43AA" w:rsidRDefault="00AD690E" w:rsidP="00AD690E">
      <w:pPr>
        <w:spacing w:before="120" w:after="120"/>
        <w:jc w:val="both"/>
      </w:pPr>
      <w:r w:rsidRPr="00EC43AA">
        <w:rPr>
          <w:szCs w:val="22"/>
        </w:rPr>
        <w:t>En premier lieu, le Conseil des Arts, qui relevait jusque-là direct</w:t>
      </w:r>
      <w:r w:rsidRPr="00EC43AA">
        <w:rPr>
          <w:szCs w:val="22"/>
        </w:rPr>
        <w:t>e</w:t>
      </w:r>
      <w:r w:rsidRPr="00EC43AA">
        <w:rPr>
          <w:szCs w:val="22"/>
        </w:rPr>
        <w:t>ment du premier ministre, passa en 1963 sous la juridiction du Secr</w:t>
      </w:r>
      <w:r w:rsidRPr="00EC43AA">
        <w:rPr>
          <w:szCs w:val="22"/>
        </w:rPr>
        <w:t>é</w:t>
      </w:r>
      <w:r w:rsidRPr="00EC43AA">
        <w:rPr>
          <w:szCs w:val="22"/>
        </w:rPr>
        <w:t>tariat d'État. À partir de 1965, suite à des transformations dans le m</w:t>
      </w:r>
      <w:r w:rsidRPr="00EC43AA">
        <w:rPr>
          <w:szCs w:val="22"/>
        </w:rPr>
        <w:t>o</w:t>
      </w:r>
      <w:r w:rsidRPr="00EC43AA">
        <w:rPr>
          <w:szCs w:val="22"/>
        </w:rPr>
        <w:t>de de financement, il dut rendre des comptes à la fois au Co</w:t>
      </w:r>
      <w:r w:rsidRPr="00EC43AA">
        <w:rPr>
          <w:szCs w:val="22"/>
        </w:rPr>
        <w:t>n</w:t>
      </w:r>
      <w:r w:rsidRPr="00EC43AA">
        <w:rPr>
          <w:szCs w:val="22"/>
        </w:rPr>
        <w:t>seil du Trésor et au Parlement. Pour répondre à la volonté de rationalisation du Secrétariat, le Co</w:t>
      </w:r>
      <w:r w:rsidRPr="00EC43AA">
        <w:rPr>
          <w:szCs w:val="22"/>
        </w:rPr>
        <w:t>n</w:t>
      </w:r>
      <w:r w:rsidRPr="00EC43AA">
        <w:rPr>
          <w:szCs w:val="22"/>
        </w:rPr>
        <w:t>seil mit sur pied deux</w:t>
      </w:r>
      <w:r>
        <w:rPr>
          <w:szCs w:val="22"/>
        </w:rPr>
        <w:t xml:space="preserve"> </w:t>
      </w:r>
      <w:r>
        <w:t xml:space="preserve">[411] </w:t>
      </w:r>
      <w:r w:rsidRPr="00EC43AA">
        <w:rPr>
          <w:szCs w:val="22"/>
        </w:rPr>
        <w:t>commissions consultatives, l'une pour les affaires univers</w:t>
      </w:r>
      <w:r w:rsidRPr="00EC43AA">
        <w:rPr>
          <w:szCs w:val="22"/>
        </w:rPr>
        <w:t>i</w:t>
      </w:r>
      <w:r w:rsidRPr="00EC43AA">
        <w:rPr>
          <w:szCs w:val="22"/>
        </w:rPr>
        <w:t>taires, l'autre pour les arts. Enfin, en 1966, les orientations du Conseil furent discutées par le Conseil permanent de la Chambre des communes chargé d'étudier la radiodiffusion, le cinéma et les programmes d'a</w:t>
      </w:r>
      <w:r w:rsidRPr="00EC43AA">
        <w:rPr>
          <w:szCs w:val="22"/>
        </w:rPr>
        <w:t>s</w:t>
      </w:r>
      <w:r w:rsidRPr="00EC43AA">
        <w:rPr>
          <w:szCs w:val="22"/>
        </w:rPr>
        <w:t>sistance aux arts.</w:t>
      </w:r>
    </w:p>
    <w:p w:rsidR="00AD690E" w:rsidRPr="00EC43AA" w:rsidRDefault="00AD690E" w:rsidP="00AD690E">
      <w:pPr>
        <w:spacing w:before="120" w:after="120"/>
        <w:jc w:val="both"/>
      </w:pPr>
      <w:r w:rsidRPr="00EC43AA">
        <w:rPr>
          <w:szCs w:val="22"/>
        </w:rPr>
        <w:t>En deuxième lieu, la transformation la plus importante co</w:t>
      </w:r>
      <w:r w:rsidRPr="00EC43AA">
        <w:rPr>
          <w:szCs w:val="22"/>
        </w:rPr>
        <w:t>n</w:t>
      </w:r>
      <w:r w:rsidRPr="00EC43AA">
        <w:rPr>
          <w:szCs w:val="22"/>
        </w:rPr>
        <w:t>cerne le financement. À la différence des fondations amér</w:t>
      </w:r>
      <w:r w:rsidRPr="00EC43AA">
        <w:rPr>
          <w:szCs w:val="22"/>
        </w:rPr>
        <w:t>i</w:t>
      </w:r>
      <w:r w:rsidRPr="00EC43AA">
        <w:rPr>
          <w:szCs w:val="22"/>
        </w:rPr>
        <w:t>caines, la dotation de départ n'a pas reçu d'injection de nouveaux fonds de la part du se</w:t>
      </w:r>
      <w:r w:rsidRPr="00EC43AA">
        <w:rPr>
          <w:szCs w:val="22"/>
        </w:rPr>
        <w:t>c</w:t>
      </w:r>
      <w:r w:rsidRPr="00EC43AA">
        <w:rPr>
          <w:szCs w:val="22"/>
        </w:rPr>
        <w:t>teur privé. Dès le début des années 1960, la d</w:t>
      </w:r>
      <w:r w:rsidRPr="00EC43AA">
        <w:rPr>
          <w:szCs w:val="22"/>
        </w:rPr>
        <w:t>e</w:t>
      </w:r>
      <w:r w:rsidRPr="00EC43AA">
        <w:rPr>
          <w:szCs w:val="22"/>
        </w:rPr>
        <w:t>mande croissante d'aide à la création et aux études poussa le Conseil des Arts à demander à John Diefe</w:t>
      </w:r>
      <w:r w:rsidRPr="00EC43AA">
        <w:rPr>
          <w:szCs w:val="22"/>
        </w:rPr>
        <w:t>n</w:t>
      </w:r>
      <w:r w:rsidRPr="00EC43AA">
        <w:rPr>
          <w:szCs w:val="22"/>
        </w:rPr>
        <w:t>baker d'ajouter deux millions au fonds. Ce que le premier ministre conservateur refusa de faire. Quelques mois après l'arr</w:t>
      </w:r>
      <w:r w:rsidRPr="00EC43AA">
        <w:rPr>
          <w:szCs w:val="22"/>
        </w:rPr>
        <w:t>i</w:t>
      </w:r>
      <w:r w:rsidRPr="00EC43AA">
        <w:rPr>
          <w:szCs w:val="22"/>
        </w:rPr>
        <w:t>vée au pouvoir des libéraux, le Conseil demanda au premier ministre d'ajo</w:t>
      </w:r>
      <w:r w:rsidRPr="00EC43AA">
        <w:rPr>
          <w:szCs w:val="22"/>
        </w:rPr>
        <w:t>u</w:t>
      </w:r>
      <w:r w:rsidRPr="00EC43AA">
        <w:rPr>
          <w:szCs w:val="22"/>
        </w:rPr>
        <w:t>ter dix millions de dollars à la dotation de d</w:t>
      </w:r>
      <w:r w:rsidRPr="00EC43AA">
        <w:rPr>
          <w:szCs w:val="22"/>
        </w:rPr>
        <w:t>é</w:t>
      </w:r>
      <w:r w:rsidRPr="00EC43AA">
        <w:rPr>
          <w:szCs w:val="22"/>
        </w:rPr>
        <w:t>part. Or Pearson se disant he</w:t>
      </w:r>
      <w:r w:rsidRPr="00EC43AA">
        <w:rPr>
          <w:szCs w:val="22"/>
        </w:rPr>
        <w:t>u</w:t>
      </w:r>
      <w:r w:rsidRPr="00EC43AA">
        <w:rPr>
          <w:szCs w:val="22"/>
        </w:rPr>
        <w:t>reux de contribuer à « renforcer [ainsi] l'identité et l'unité de notre pays alors que nous approchons de son centenaire »</w:t>
      </w:r>
      <w:r>
        <w:rPr>
          <w:szCs w:val="22"/>
        </w:rPr>
        <w:t> </w:t>
      </w:r>
      <w:r>
        <w:rPr>
          <w:rStyle w:val="Appelnotedebasdep"/>
        </w:rPr>
        <w:footnoteReference w:id="701"/>
      </w:r>
      <w:r w:rsidRPr="00EC43AA">
        <w:rPr>
          <w:szCs w:val="22"/>
        </w:rPr>
        <w:t>, o</w:t>
      </w:r>
      <w:r w:rsidRPr="00EC43AA">
        <w:rPr>
          <w:szCs w:val="22"/>
        </w:rPr>
        <w:t>f</w:t>
      </w:r>
      <w:r w:rsidRPr="00EC43AA">
        <w:rPr>
          <w:szCs w:val="22"/>
        </w:rPr>
        <w:t>frit les dix millions demandés pour satisfaire aux dépenses courantes pour les deux pr</w:t>
      </w:r>
      <w:r w:rsidRPr="00EC43AA">
        <w:rPr>
          <w:szCs w:val="22"/>
        </w:rPr>
        <w:t>o</w:t>
      </w:r>
      <w:r w:rsidRPr="00EC43AA">
        <w:rPr>
          <w:szCs w:val="22"/>
        </w:rPr>
        <w:t>chaines années sans ajouter quoi que ce soit à la dotation de départ. Les revenus pour 196</w:t>
      </w:r>
      <w:r>
        <w:rPr>
          <w:szCs w:val="22"/>
        </w:rPr>
        <w:t>5-1967 passèrent de 3,</w:t>
      </w:r>
      <w:r w:rsidRPr="00EC43AA">
        <w:rPr>
          <w:szCs w:val="22"/>
        </w:rPr>
        <w:t>3 à 6,9 millions de dollars, mais la porte était ouverte pour un financement sur une b</w:t>
      </w:r>
      <w:r w:rsidRPr="00EC43AA">
        <w:rPr>
          <w:szCs w:val="22"/>
        </w:rPr>
        <w:t>a</w:t>
      </w:r>
      <w:r w:rsidRPr="00EC43AA">
        <w:rPr>
          <w:szCs w:val="22"/>
        </w:rPr>
        <w:t>se annuelle avec tout ce que cela pouvait signifier de dépendance e</w:t>
      </w:r>
      <w:r w:rsidRPr="00EC43AA">
        <w:rPr>
          <w:szCs w:val="22"/>
        </w:rPr>
        <w:t>n</w:t>
      </w:r>
      <w:r w:rsidRPr="00EC43AA">
        <w:rPr>
          <w:szCs w:val="22"/>
        </w:rPr>
        <w:t>vers l'État.</w:t>
      </w:r>
    </w:p>
    <w:p w:rsidR="00AD690E" w:rsidRDefault="00AD690E" w:rsidP="00AD690E">
      <w:pPr>
        <w:spacing w:before="120" w:after="120"/>
        <w:jc w:val="both"/>
        <w:rPr>
          <w:szCs w:val="22"/>
        </w:rPr>
      </w:pPr>
      <w:r w:rsidRPr="00EC43AA">
        <w:rPr>
          <w:szCs w:val="22"/>
        </w:rPr>
        <w:t>Ainsi, à partir de 1967, le Conseil fut subventionné sur une base annuelle : cette subvention représentait désormais 80 à 85</w:t>
      </w:r>
      <w:r>
        <w:rPr>
          <w:szCs w:val="22"/>
        </w:rPr>
        <w:t>%</w:t>
      </w:r>
      <w:r w:rsidRPr="00EC43AA">
        <w:rPr>
          <w:szCs w:val="22"/>
        </w:rPr>
        <w:t xml:space="preserve"> de l'e</w:t>
      </w:r>
      <w:r w:rsidRPr="00EC43AA">
        <w:rPr>
          <w:szCs w:val="22"/>
        </w:rPr>
        <w:t>n</w:t>
      </w:r>
      <w:r w:rsidRPr="00EC43AA">
        <w:rPr>
          <w:szCs w:val="22"/>
        </w:rPr>
        <w:t>semble de ses revenus. Le Conseil est ainsi devenu une « agence ta</w:t>
      </w:r>
      <w:r w:rsidRPr="00EC43AA">
        <w:rPr>
          <w:szCs w:val="22"/>
        </w:rPr>
        <w:t>m</w:t>
      </w:r>
      <w:r w:rsidRPr="00EC43AA">
        <w:rPr>
          <w:szCs w:val="22"/>
        </w:rPr>
        <w:t>pon » entre le gouvernement et les artistes. Mais il y a plus. À partir du moment où le Conseil dépendit exclusivement des « dons » du Pa</w:t>
      </w:r>
      <w:r w:rsidRPr="00EC43AA">
        <w:rPr>
          <w:szCs w:val="22"/>
        </w:rPr>
        <w:t>r</w:t>
      </w:r>
      <w:r w:rsidRPr="00EC43AA">
        <w:rPr>
          <w:szCs w:val="22"/>
        </w:rPr>
        <w:t>lement, il devint un objet d'attention non seulement du Conseil du tr</w:t>
      </w:r>
      <w:r w:rsidRPr="00EC43AA">
        <w:rPr>
          <w:szCs w:val="22"/>
        </w:rPr>
        <w:t>é</w:t>
      </w:r>
      <w:r w:rsidRPr="00EC43AA">
        <w:rPr>
          <w:szCs w:val="22"/>
        </w:rPr>
        <w:t>sor mais aussi du Parlement et de ses comités. C'est ainsi, selon Geo</w:t>
      </w:r>
      <w:r w:rsidRPr="00EC43AA">
        <w:rPr>
          <w:szCs w:val="22"/>
        </w:rPr>
        <w:t>r</w:t>
      </w:r>
      <w:r w:rsidRPr="00EC43AA">
        <w:rPr>
          <w:szCs w:val="22"/>
        </w:rPr>
        <w:t>ge Woo</w:t>
      </w:r>
      <w:r w:rsidRPr="00EC43AA">
        <w:rPr>
          <w:szCs w:val="22"/>
        </w:rPr>
        <w:t>d</w:t>
      </w:r>
      <w:r w:rsidRPr="00EC43AA">
        <w:rPr>
          <w:szCs w:val="22"/>
        </w:rPr>
        <w:t>cock, qu'à partir de 1965, le Conseil des Arts participa à une « politisation » des arts, qui furent de plus en plus vus comme serv</w:t>
      </w:r>
      <w:r w:rsidRPr="00EC43AA">
        <w:rPr>
          <w:szCs w:val="22"/>
        </w:rPr>
        <w:t>i</w:t>
      </w:r>
      <w:r w:rsidRPr="00EC43AA">
        <w:rPr>
          <w:szCs w:val="22"/>
        </w:rPr>
        <w:t>teurs de l'unité nationale</w:t>
      </w:r>
      <w:r>
        <w:rPr>
          <w:szCs w:val="22"/>
          <w:vertAlign w:val="superscript"/>
        </w:rPr>
        <w:t> </w:t>
      </w:r>
      <w:r>
        <w:rPr>
          <w:rStyle w:val="Appelnotedebasdep"/>
        </w:rPr>
        <w:footnoteReference w:id="702"/>
      </w:r>
      <w:r w:rsidRPr="00EC43AA">
        <w:rPr>
          <w:szCs w:val="22"/>
        </w:rPr>
        <w:t>. La croissance du budget du Conseil co</w:t>
      </w:r>
      <w:r w:rsidRPr="00EC43AA">
        <w:rPr>
          <w:szCs w:val="22"/>
        </w:rPr>
        <w:t>r</w:t>
      </w:r>
      <w:r w:rsidRPr="00EC43AA">
        <w:rPr>
          <w:szCs w:val="22"/>
        </w:rPr>
        <w:t>respondait cependant à une « extraordinaire explosion dans le doma</w:t>
      </w:r>
      <w:r w:rsidRPr="00EC43AA">
        <w:rPr>
          <w:szCs w:val="22"/>
        </w:rPr>
        <w:t>i</w:t>
      </w:r>
      <w:r w:rsidRPr="00EC43AA">
        <w:rPr>
          <w:szCs w:val="22"/>
        </w:rPr>
        <w:t>ne des arts », même si l'action de ce dernier allait plutôt dans le sens de l'encouragement que de l'initi</w:t>
      </w:r>
      <w:r w:rsidRPr="00EC43AA">
        <w:rPr>
          <w:szCs w:val="22"/>
        </w:rPr>
        <w:t>a</w:t>
      </w:r>
      <w:r w:rsidRPr="00EC43AA">
        <w:rPr>
          <w:szCs w:val="22"/>
        </w:rPr>
        <w:t>tive.</w:t>
      </w:r>
    </w:p>
    <w:p w:rsidR="00AD690E" w:rsidRPr="00EC43AA" w:rsidRDefault="00AD690E" w:rsidP="00AD690E">
      <w:pPr>
        <w:spacing w:before="120" w:after="120"/>
        <w:jc w:val="both"/>
      </w:pPr>
    </w:p>
    <w:p w:rsidR="00AD690E" w:rsidRPr="00110377" w:rsidRDefault="00AD690E" w:rsidP="00AD690E">
      <w:pPr>
        <w:pStyle w:val="a"/>
      </w:pPr>
      <w:r w:rsidRPr="00110377">
        <w:t>c) Le Secrétariat d'État, un ministère</w:t>
      </w:r>
      <w:r>
        <w:br/>
      </w:r>
      <w:r w:rsidRPr="00110377">
        <w:t>de la Culture et des Commun</w:t>
      </w:r>
      <w:r w:rsidRPr="00110377">
        <w:t>i</w:t>
      </w:r>
      <w:r w:rsidRPr="00110377">
        <w:t>cations</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 Au début de 1963, écrit Bernard Ostry, le gouvernement nouve</w:t>
      </w:r>
      <w:r w:rsidRPr="00EC43AA">
        <w:rPr>
          <w:szCs w:val="22"/>
        </w:rPr>
        <w:t>l</w:t>
      </w:r>
      <w:r w:rsidRPr="00EC43AA">
        <w:rPr>
          <w:szCs w:val="22"/>
        </w:rPr>
        <w:t>lement élu de Pearson décida d'adopter une nouvelle approche du pr</w:t>
      </w:r>
      <w:r w:rsidRPr="00EC43AA">
        <w:rPr>
          <w:szCs w:val="22"/>
        </w:rPr>
        <w:t>o</w:t>
      </w:r>
      <w:r w:rsidRPr="00EC43AA">
        <w:rPr>
          <w:szCs w:val="22"/>
        </w:rPr>
        <w:t>blème de l'assistance aux</w:t>
      </w:r>
      <w:r>
        <w:rPr>
          <w:szCs w:val="22"/>
        </w:rPr>
        <w:t xml:space="preserve"> </w:t>
      </w:r>
      <w:r>
        <w:rPr>
          <w:szCs w:val="18"/>
        </w:rPr>
        <w:t>[</w:t>
      </w:r>
      <w:r w:rsidRPr="00EC43AA">
        <w:rPr>
          <w:szCs w:val="18"/>
        </w:rPr>
        <w:t>412</w:t>
      </w:r>
      <w:r>
        <w:rPr>
          <w:szCs w:val="18"/>
        </w:rPr>
        <w:t xml:space="preserve">] </w:t>
      </w:r>
      <w:r w:rsidRPr="00EC43AA">
        <w:rPr>
          <w:szCs w:val="22"/>
        </w:rPr>
        <w:t>arts et aux autres activités culture</w:t>
      </w:r>
      <w:r w:rsidRPr="00EC43AA">
        <w:rPr>
          <w:szCs w:val="22"/>
        </w:rPr>
        <w:t>l</w:t>
      </w:r>
      <w:r w:rsidRPr="00EC43AA">
        <w:rPr>
          <w:szCs w:val="22"/>
        </w:rPr>
        <w:t>les »</w:t>
      </w:r>
      <w:r>
        <w:rPr>
          <w:szCs w:val="22"/>
          <w:vertAlign w:val="superscript"/>
        </w:rPr>
        <w:t> </w:t>
      </w:r>
      <w:r>
        <w:rPr>
          <w:rStyle w:val="Appelnotedebasdep"/>
        </w:rPr>
        <w:footnoteReference w:id="703"/>
      </w:r>
      <w:r w:rsidRPr="00EC43AA">
        <w:rPr>
          <w:szCs w:val="22"/>
        </w:rPr>
        <w:t>. L'homme derrière ce projet n'était autre que l'architecte de la dernière campagne électorale, Maurice Lamontagne. En l'espace de deux ans, il transforma le Secr</w:t>
      </w:r>
      <w:r w:rsidRPr="00EC43AA">
        <w:rPr>
          <w:szCs w:val="22"/>
        </w:rPr>
        <w:t>é</w:t>
      </w:r>
      <w:r w:rsidRPr="00EC43AA">
        <w:rPr>
          <w:szCs w:val="22"/>
        </w:rPr>
        <w:t>tariat en un véritable ministère de la Culture et des Communic</w:t>
      </w:r>
      <w:r w:rsidRPr="00EC43AA">
        <w:rPr>
          <w:szCs w:val="22"/>
        </w:rPr>
        <w:t>a</w:t>
      </w:r>
      <w:r w:rsidRPr="00EC43AA">
        <w:rPr>
          <w:szCs w:val="22"/>
        </w:rPr>
        <w:t>tions.</w:t>
      </w:r>
    </w:p>
    <w:p w:rsidR="00AD690E" w:rsidRPr="00EC43AA" w:rsidRDefault="00AD690E" w:rsidP="00AD690E">
      <w:pPr>
        <w:spacing w:before="120" w:after="120"/>
        <w:jc w:val="both"/>
      </w:pPr>
      <w:r w:rsidRPr="00EC43AA">
        <w:rPr>
          <w:szCs w:val="22"/>
        </w:rPr>
        <w:t>Depuis la Confédération, le Secrétariat d'État s'occupait su</w:t>
      </w:r>
      <w:r w:rsidRPr="00EC43AA">
        <w:rPr>
          <w:szCs w:val="22"/>
        </w:rPr>
        <w:t>r</w:t>
      </w:r>
      <w:r w:rsidRPr="00EC43AA">
        <w:rPr>
          <w:szCs w:val="22"/>
        </w:rPr>
        <w:t>tout des relations fédérales-provinciales. Relevaient égal</w:t>
      </w:r>
      <w:r w:rsidRPr="00EC43AA">
        <w:rPr>
          <w:szCs w:val="22"/>
        </w:rPr>
        <w:t>e</w:t>
      </w:r>
      <w:r w:rsidRPr="00EC43AA">
        <w:rPr>
          <w:szCs w:val="22"/>
        </w:rPr>
        <w:t>ment de ce ministère, le Registraire général du Canada, le bureau de la traduction et une se</w:t>
      </w:r>
      <w:r w:rsidRPr="00EC43AA">
        <w:rPr>
          <w:szCs w:val="22"/>
        </w:rPr>
        <w:t>c</w:t>
      </w:r>
      <w:r w:rsidRPr="00EC43AA">
        <w:rPr>
          <w:szCs w:val="22"/>
        </w:rPr>
        <w:t>tion chargée de l'Office des brevets et des compagnies. À partir de 1963, les diverses agences culturelles y furent transférées et, nota</w:t>
      </w:r>
      <w:r w:rsidRPr="00EC43AA">
        <w:rPr>
          <w:szCs w:val="22"/>
        </w:rPr>
        <w:t>m</w:t>
      </w:r>
      <w:r w:rsidRPr="00EC43AA">
        <w:rPr>
          <w:szCs w:val="22"/>
        </w:rPr>
        <w:t>ment :</w:t>
      </w:r>
    </w:p>
    <w:p w:rsidR="00AD690E" w:rsidRPr="00EC43AA" w:rsidRDefault="00AD690E" w:rsidP="00AD690E">
      <w:pPr>
        <w:ind w:left="1080" w:hanging="360"/>
        <w:jc w:val="both"/>
        <w:rPr>
          <w:szCs w:val="22"/>
        </w:rPr>
      </w:pPr>
      <w:r>
        <w:rPr>
          <w:szCs w:val="22"/>
        </w:rPr>
        <w:t>•</w:t>
      </w:r>
      <w:r>
        <w:rPr>
          <w:szCs w:val="22"/>
        </w:rPr>
        <w:tab/>
      </w:r>
      <w:r w:rsidRPr="00EC43AA">
        <w:rPr>
          <w:szCs w:val="22"/>
        </w:rPr>
        <w:t>le Conseil des Arts ;</w:t>
      </w:r>
    </w:p>
    <w:p w:rsidR="00AD690E" w:rsidRPr="00EC43AA" w:rsidRDefault="00AD690E" w:rsidP="00AD690E">
      <w:pPr>
        <w:ind w:left="1080" w:hanging="360"/>
        <w:jc w:val="both"/>
        <w:rPr>
          <w:szCs w:val="22"/>
        </w:rPr>
      </w:pPr>
      <w:r>
        <w:rPr>
          <w:szCs w:val="22"/>
        </w:rPr>
        <w:t>•</w:t>
      </w:r>
      <w:r>
        <w:rPr>
          <w:szCs w:val="22"/>
        </w:rPr>
        <w:tab/>
      </w:r>
      <w:r w:rsidRPr="00EC43AA">
        <w:rPr>
          <w:szCs w:val="22"/>
        </w:rPr>
        <w:t>les musées nationaux ;</w:t>
      </w:r>
    </w:p>
    <w:p w:rsidR="00AD690E" w:rsidRPr="00EC43AA" w:rsidRDefault="00AD690E" w:rsidP="00AD690E">
      <w:pPr>
        <w:ind w:left="1080" w:hanging="360"/>
        <w:jc w:val="both"/>
      </w:pPr>
      <w:r>
        <w:rPr>
          <w:szCs w:val="22"/>
        </w:rPr>
        <w:t>•</w:t>
      </w:r>
      <w:r>
        <w:rPr>
          <w:szCs w:val="22"/>
        </w:rPr>
        <w:tab/>
      </w:r>
      <w:r w:rsidRPr="00EC43AA">
        <w:rPr>
          <w:szCs w:val="22"/>
        </w:rPr>
        <w:t>la Bibliothèque nationale ;</w:t>
      </w:r>
    </w:p>
    <w:p w:rsidR="00AD690E" w:rsidRPr="00EC43AA" w:rsidRDefault="00AD690E" w:rsidP="00AD690E">
      <w:pPr>
        <w:ind w:left="1080" w:hanging="360"/>
        <w:jc w:val="both"/>
      </w:pPr>
      <w:r>
        <w:rPr>
          <w:szCs w:val="22"/>
        </w:rPr>
        <w:t>•</w:t>
      </w:r>
      <w:r>
        <w:rPr>
          <w:szCs w:val="22"/>
        </w:rPr>
        <w:tab/>
      </w:r>
      <w:r w:rsidRPr="00EC43AA">
        <w:rPr>
          <w:szCs w:val="22"/>
        </w:rPr>
        <w:t>les Archives publiques ;</w:t>
      </w:r>
    </w:p>
    <w:p w:rsidR="00AD690E" w:rsidRPr="00EC43AA" w:rsidRDefault="00AD690E" w:rsidP="00AD690E">
      <w:pPr>
        <w:ind w:left="1080" w:hanging="360"/>
        <w:jc w:val="both"/>
      </w:pPr>
      <w:r>
        <w:rPr>
          <w:szCs w:val="22"/>
        </w:rPr>
        <w:t>•</w:t>
      </w:r>
      <w:r>
        <w:rPr>
          <w:szCs w:val="22"/>
        </w:rPr>
        <w:tab/>
      </w:r>
      <w:r w:rsidRPr="00EC43AA">
        <w:rPr>
          <w:szCs w:val="22"/>
        </w:rPr>
        <w:t>le Bureau des gouverneurs de la radiodiffusion ;</w:t>
      </w:r>
    </w:p>
    <w:p w:rsidR="00AD690E" w:rsidRPr="00EC43AA" w:rsidRDefault="00AD690E" w:rsidP="00AD690E">
      <w:pPr>
        <w:ind w:left="1080" w:hanging="360"/>
        <w:jc w:val="both"/>
      </w:pPr>
      <w:r>
        <w:rPr>
          <w:szCs w:val="22"/>
        </w:rPr>
        <w:t>•</w:t>
      </w:r>
      <w:r>
        <w:rPr>
          <w:szCs w:val="22"/>
        </w:rPr>
        <w:tab/>
      </w:r>
      <w:r w:rsidRPr="00EC43AA">
        <w:rPr>
          <w:szCs w:val="22"/>
        </w:rPr>
        <w:t>la Société Radio-Canada ;</w:t>
      </w:r>
    </w:p>
    <w:p w:rsidR="00AD690E" w:rsidRPr="00EC43AA" w:rsidRDefault="00AD690E" w:rsidP="00AD690E">
      <w:pPr>
        <w:ind w:left="1080" w:hanging="360"/>
        <w:jc w:val="both"/>
      </w:pPr>
      <w:r>
        <w:rPr>
          <w:szCs w:val="22"/>
        </w:rPr>
        <w:t>•</w:t>
      </w:r>
      <w:r>
        <w:rPr>
          <w:szCs w:val="22"/>
        </w:rPr>
        <w:tab/>
      </w:r>
      <w:r w:rsidRPr="00EC43AA">
        <w:rPr>
          <w:szCs w:val="22"/>
        </w:rPr>
        <w:t>l'Office national du film ;</w:t>
      </w:r>
    </w:p>
    <w:p w:rsidR="00AD690E" w:rsidRPr="00EC43AA" w:rsidRDefault="00AD690E" w:rsidP="00AD690E">
      <w:pPr>
        <w:ind w:left="1080" w:hanging="360"/>
        <w:jc w:val="both"/>
      </w:pPr>
      <w:r>
        <w:rPr>
          <w:szCs w:val="22"/>
        </w:rPr>
        <w:t>•</w:t>
      </w:r>
      <w:r>
        <w:rPr>
          <w:szCs w:val="22"/>
        </w:rPr>
        <w:tab/>
      </w:r>
      <w:r w:rsidRPr="00EC43AA">
        <w:rPr>
          <w:szCs w:val="22"/>
        </w:rPr>
        <w:t>l'Imprimeur du roi (ou de la reine) ;</w:t>
      </w:r>
    </w:p>
    <w:p w:rsidR="00AD690E" w:rsidRPr="00EC43AA" w:rsidRDefault="00AD690E" w:rsidP="00AD690E">
      <w:pPr>
        <w:ind w:left="1080" w:hanging="360"/>
        <w:jc w:val="both"/>
      </w:pPr>
      <w:r>
        <w:rPr>
          <w:szCs w:val="22"/>
        </w:rPr>
        <w:t>•</w:t>
      </w:r>
      <w:r>
        <w:rPr>
          <w:szCs w:val="22"/>
        </w:rPr>
        <w:tab/>
      </w:r>
      <w:r w:rsidRPr="00EC43AA">
        <w:rPr>
          <w:szCs w:val="22"/>
        </w:rPr>
        <w:t>la Commission du Centenaire (en 1965) ;</w:t>
      </w:r>
    </w:p>
    <w:p w:rsidR="00AD690E" w:rsidRPr="00EC43AA" w:rsidRDefault="00AD690E" w:rsidP="00AD690E">
      <w:pPr>
        <w:ind w:left="1080" w:hanging="360"/>
        <w:jc w:val="both"/>
      </w:pPr>
      <w:r>
        <w:rPr>
          <w:szCs w:val="22"/>
        </w:rPr>
        <w:t>•</w:t>
      </w:r>
      <w:r>
        <w:rPr>
          <w:szCs w:val="22"/>
        </w:rPr>
        <w:tab/>
      </w:r>
      <w:r w:rsidRPr="00EC43AA">
        <w:rPr>
          <w:szCs w:val="22"/>
        </w:rPr>
        <w:t>le Secrétariat de la citoyenneté (en 1966).</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Le Secrétariat connut alors une croissance importante de son bu</w:t>
      </w:r>
      <w:r w:rsidRPr="00EC43AA">
        <w:rPr>
          <w:szCs w:val="22"/>
        </w:rPr>
        <w:t>d</w:t>
      </w:r>
      <w:r w:rsidRPr="00EC43AA">
        <w:rPr>
          <w:szCs w:val="22"/>
        </w:rPr>
        <w:t>get et de son influence.</w:t>
      </w:r>
    </w:p>
    <w:p w:rsidR="00AD690E" w:rsidRPr="00EC43AA" w:rsidRDefault="00AD690E" w:rsidP="00AD690E">
      <w:pPr>
        <w:spacing w:before="120" w:after="120"/>
        <w:jc w:val="both"/>
      </w:pPr>
      <w:r w:rsidRPr="00EC43AA">
        <w:rPr>
          <w:szCs w:val="22"/>
        </w:rPr>
        <w:t>S'il faut attendre l'ère Trudeau et l'arrivée de Gérard Pell</w:t>
      </w:r>
      <w:r w:rsidRPr="00EC43AA">
        <w:rPr>
          <w:szCs w:val="22"/>
        </w:rPr>
        <w:t>e</w:t>
      </w:r>
      <w:r w:rsidRPr="00EC43AA">
        <w:rPr>
          <w:szCs w:val="22"/>
        </w:rPr>
        <w:t>tier à la tête de ce ministère pour qu'émerge une vue relativement claire et c</w:t>
      </w:r>
      <w:r w:rsidRPr="00EC43AA">
        <w:rPr>
          <w:szCs w:val="22"/>
        </w:rPr>
        <w:t>o</w:t>
      </w:r>
      <w:r w:rsidRPr="00EC43AA">
        <w:rPr>
          <w:szCs w:val="22"/>
        </w:rPr>
        <w:t>hérente de la culture, il n'en demeure pas moins que plusieurs des in</w:t>
      </w:r>
      <w:r w:rsidRPr="00EC43AA">
        <w:rPr>
          <w:szCs w:val="22"/>
        </w:rPr>
        <w:t>i</w:t>
      </w:r>
      <w:r w:rsidRPr="00EC43AA">
        <w:rPr>
          <w:szCs w:val="22"/>
        </w:rPr>
        <w:t xml:space="preserve">tiatives de cette époque avaient été préparées sous Lester Pearson, comme ce fut le cas pour la </w:t>
      </w:r>
      <w:r w:rsidRPr="00EC43AA">
        <w:rPr>
          <w:i/>
          <w:iCs/>
          <w:szCs w:val="22"/>
        </w:rPr>
        <w:t xml:space="preserve">Loi de l'Office national du film </w:t>
      </w:r>
      <w:r w:rsidRPr="00EC43AA">
        <w:rPr>
          <w:szCs w:val="22"/>
        </w:rPr>
        <w:t xml:space="preserve">(ONF) et la </w:t>
      </w:r>
      <w:r w:rsidRPr="00EC43AA">
        <w:rPr>
          <w:i/>
          <w:iCs/>
          <w:szCs w:val="22"/>
        </w:rPr>
        <w:t>Loi des musées nati</w:t>
      </w:r>
      <w:r w:rsidRPr="00EC43AA">
        <w:rPr>
          <w:i/>
          <w:iCs/>
          <w:szCs w:val="22"/>
        </w:rPr>
        <w:t>o</w:t>
      </w:r>
      <w:r w:rsidRPr="00EC43AA">
        <w:rPr>
          <w:i/>
          <w:iCs/>
          <w:szCs w:val="22"/>
        </w:rPr>
        <w:t xml:space="preserve">naux </w:t>
      </w:r>
      <w:r w:rsidRPr="00EC43AA">
        <w:rPr>
          <w:szCs w:val="22"/>
        </w:rPr>
        <w:t>votées en 1968. C'est cependant sous Pearson que le Conseil des Arts e</w:t>
      </w:r>
      <w:r w:rsidRPr="00EC43AA">
        <w:rPr>
          <w:szCs w:val="22"/>
        </w:rPr>
        <w:t>f</w:t>
      </w:r>
      <w:r w:rsidRPr="00EC43AA">
        <w:rPr>
          <w:szCs w:val="22"/>
        </w:rPr>
        <w:t>fectue un tournant, comme nous l'avons vu, et qu'est mis sur pied un comité permanent « ayant pour mandat d'étudier la situation de la radiodiffusion, du cinéma et des programmes d'assistance aux arts »</w:t>
      </w:r>
      <w:r>
        <w:rPr>
          <w:szCs w:val="22"/>
          <w:vertAlign w:val="superscript"/>
        </w:rPr>
        <w:t> </w:t>
      </w:r>
      <w:r>
        <w:rPr>
          <w:rStyle w:val="Appelnotedebasdep"/>
        </w:rPr>
        <w:footnoteReference w:id="704"/>
      </w:r>
      <w:r w:rsidRPr="00EC43AA">
        <w:rPr>
          <w:szCs w:val="22"/>
        </w:rPr>
        <w:t>. Il s'agissait d'une des premi</w:t>
      </w:r>
      <w:r w:rsidRPr="00EC43AA">
        <w:rPr>
          <w:szCs w:val="22"/>
        </w:rPr>
        <w:t>è</w:t>
      </w:r>
      <w:r w:rsidRPr="00EC43AA">
        <w:rPr>
          <w:szCs w:val="22"/>
        </w:rPr>
        <w:t>res tentatives pour opérer une jonction entre l'aide aux arts professio</w:t>
      </w:r>
      <w:r w:rsidRPr="00EC43AA">
        <w:rPr>
          <w:szCs w:val="22"/>
        </w:rPr>
        <w:t>n</w:t>
      </w:r>
      <w:r w:rsidRPr="00EC43AA">
        <w:rPr>
          <w:szCs w:val="22"/>
        </w:rPr>
        <w:t>nels et les industries cult</w:t>
      </w:r>
      <w:r w:rsidRPr="00EC43AA">
        <w:rPr>
          <w:szCs w:val="22"/>
        </w:rPr>
        <w:t>u</w:t>
      </w:r>
      <w:r w:rsidRPr="00EC43AA">
        <w:rPr>
          <w:szCs w:val="22"/>
        </w:rPr>
        <w:t>relles.</w:t>
      </w:r>
    </w:p>
    <w:p w:rsidR="00AD690E" w:rsidRPr="00EC43AA" w:rsidRDefault="00AD690E" w:rsidP="00AD690E">
      <w:pPr>
        <w:spacing w:before="120" w:after="120"/>
        <w:jc w:val="both"/>
      </w:pPr>
      <w:r w:rsidRPr="00EC43AA">
        <w:rPr>
          <w:szCs w:val="22"/>
        </w:rPr>
        <w:t>Dans la foulée de la Commission B-B, la nouvelle orient</w:t>
      </w:r>
      <w:r w:rsidRPr="00EC43AA">
        <w:rPr>
          <w:szCs w:val="22"/>
        </w:rPr>
        <w:t>a</w:t>
      </w:r>
      <w:r w:rsidRPr="00EC43AA">
        <w:rPr>
          <w:szCs w:val="22"/>
        </w:rPr>
        <w:t>tion du Secrétariat ne rencontra aucune résistance au point où celui-ci su</w:t>
      </w:r>
      <w:r w:rsidRPr="00EC43AA">
        <w:rPr>
          <w:szCs w:val="22"/>
        </w:rPr>
        <w:t>s</w:t>
      </w:r>
      <w:r w:rsidRPr="00EC43AA">
        <w:rPr>
          <w:szCs w:val="22"/>
        </w:rPr>
        <w:t>cita une « opposition loyale » :</w:t>
      </w:r>
    </w:p>
    <w:p w:rsidR="00AD690E" w:rsidRDefault="00AD690E" w:rsidP="00AD690E">
      <w:pPr>
        <w:spacing w:before="120" w:after="120"/>
        <w:jc w:val="both"/>
        <w:rPr>
          <w:szCs w:val="18"/>
        </w:rPr>
      </w:pPr>
      <w:r>
        <w:rPr>
          <w:szCs w:val="18"/>
        </w:rPr>
        <w:t>[413]</w:t>
      </w:r>
    </w:p>
    <w:p w:rsidR="00AD690E" w:rsidRDefault="00AD690E" w:rsidP="00AD690E">
      <w:pPr>
        <w:pStyle w:val="Grillecouleur-Accent1"/>
      </w:pPr>
    </w:p>
    <w:p w:rsidR="00AD690E" w:rsidRDefault="00AD690E" w:rsidP="00AD690E">
      <w:pPr>
        <w:pStyle w:val="Grillecouleur-Accent1"/>
      </w:pPr>
      <w:r w:rsidRPr="00110377">
        <w:rPr>
          <w:szCs w:val="24"/>
        </w:rPr>
        <w:t>Another new policy development of the early 1960's was based on the notion that it would be helpful to hâve some sort of organized « loyal o</w:t>
      </w:r>
      <w:r w:rsidRPr="00110377">
        <w:rPr>
          <w:szCs w:val="24"/>
        </w:rPr>
        <w:t>p</w:t>
      </w:r>
      <w:r w:rsidRPr="00110377">
        <w:rPr>
          <w:szCs w:val="24"/>
        </w:rPr>
        <w:t>position » to act as sounding-bord for new programs and policies, and to provide the minister with points of co</w:t>
      </w:r>
      <w:r>
        <w:rPr>
          <w:szCs w:val="24"/>
        </w:rPr>
        <w:t>ntacts in bodies r</w:t>
      </w:r>
      <w:r>
        <w:rPr>
          <w:szCs w:val="24"/>
        </w:rPr>
        <w:t>e</w:t>
      </w:r>
      <w:r>
        <w:rPr>
          <w:szCs w:val="24"/>
        </w:rPr>
        <w:t>presenting al</w:t>
      </w:r>
      <w:r w:rsidRPr="00110377">
        <w:rPr>
          <w:szCs w:val="24"/>
        </w:rPr>
        <w:t>l or some of the arts</w:t>
      </w:r>
      <w:r>
        <w:rPr>
          <w:szCs w:val="24"/>
        </w:rPr>
        <w:t> </w:t>
      </w:r>
      <w:r w:rsidRPr="008315E2">
        <w:rPr>
          <w:rStyle w:val="Appelnotedebasdep"/>
          <w:szCs w:val="24"/>
        </w:rPr>
        <w:footnoteReference w:id="705"/>
      </w:r>
      <w:r w:rsidRPr="00EC43AA">
        <w:t>.</w:t>
      </w:r>
    </w:p>
    <w:p w:rsidR="00AD690E" w:rsidRDefault="00AD690E" w:rsidP="00AD690E">
      <w:pPr>
        <w:pStyle w:val="Grillecouleur-Accent1"/>
        <w:rPr>
          <w:i/>
        </w:rPr>
      </w:pPr>
    </w:p>
    <w:p w:rsidR="00AD690E" w:rsidRPr="00EC43AA" w:rsidRDefault="00AD690E" w:rsidP="00AD690E">
      <w:pPr>
        <w:spacing w:before="120" w:after="120"/>
        <w:jc w:val="both"/>
      </w:pPr>
      <w:r w:rsidRPr="00EC43AA">
        <w:rPr>
          <w:szCs w:val="22"/>
        </w:rPr>
        <w:t>Dans la perspective d'une « participation dépendante », un certain nombre d'associations et de regroupements ont été so</w:t>
      </w:r>
      <w:r w:rsidRPr="00EC43AA">
        <w:rPr>
          <w:szCs w:val="22"/>
        </w:rPr>
        <w:t>u</w:t>
      </w:r>
      <w:r w:rsidRPr="00EC43AA">
        <w:rPr>
          <w:szCs w:val="22"/>
        </w:rPr>
        <w:t>tenus et écoutés par le Secrétariat d'État. Ce fut le cas entre autres de la Ligue can</w:t>
      </w:r>
      <w:r w:rsidRPr="00EC43AA">
        <w:rPr>
          <w:szCs w:val="22"/>
        </w:rPr>
        <w:t>a</w:t>
      </w:r>
      <w:r w:rsidRPr="00EC43AA">
        <w:rPr>
          <w:szCs w:val="22"/>
        </w:rPr>
        <w:t>dienne de la radiodiffusion, de l'Association canadienne des m</w:t>
      </w:r>
      <w:r w:rsidRPr="00EC43AA">
        <w:rPr>
          <w:szCs w:val="22"/>
        </w:rPr>
        <w:t>u</w:t>
      </w:r>
      <w:r w:rsidRPr="00EC43AA">
        <w:rPr>
          <w:szCs w:val="22"/>
        </w:rPr>
        <w:t>sées et de la Conférence canadienne des arts.</w:t>
      </w:r>
    </w:p>
    <w:p w:rsidR="00AD690E" w:rsidRDefault="00AD690E" w:rsidP="00AD690E">
      <w:pPr>
        <w:spacing w:before="120" w:after="120"/>
        <w:jc w:val="both"/>
        <w:rPr>
          <w:szCs w:val="22"/>
        </w:rPr>
      </w:pPr>
      <w:r w:rsidRPr="00EC43AA">
        <w:rPr>
          <w:szCs w:val="22"/>
        </w:rPr>
        <w:t>La visibilité des interventions du Secrétariat d'État dans le domaine de la culture soulevait cependant beaucoup d'inqui</w:t>
      </w:r>
      <w:r w:rsidRPr="00EC43AA">
        <w:rPr>
          <w:szCs w:val="22"/>
        </w:rPr>
        <w:t>é</w:t>
      </w:r>
      <w:r w:rsidRPr="00EC43AA">
        <w:rPr>
          <w:szCs w:val="22"/>
        </w:rPr>
        <w:t>tude du côté du gouvernement du Québec et particulièrement du ministère des Affa</w:t>
      </w:r>
      <w:r w:rsidRPr="00EC43AA">
        <w:rPr>
          <w:szCs w:val="22"/>
        </w:rPr>
        <w:t>i</w:t>
      </w:r>
      <w:r w:rsidRPr="00EC43AA">
        <w:rPr>
          <w:szCs w:val="22"/>
        </w:rPr>
        <w:t>res culturelles. Après un démarrage passabl</w:t>
      </w:r>
      <w:r w:rsidRPr="00EC43AA">
        <w:rPr>
          <w:szCs w:val="22"/>
        </w:rPr>
        <w:t>e</w:t>
      </w:r>
      <w:r w:rsidRPr="00EC43AA">
        <w:rPr>
          <w:szCs w:val="22"/>
        </w:rPr>
        <w:t>ment rapide, le MAC se voyait doublé par Ottawa dans le contexte de la crise de l'unité can</w:t>
      </w:r>
      <w:r w:rsidRPr="00EC43AA">
        <w:rPr>
          <w:szCs w:val="22"/>
        </w:rPr>
        <w:t>a</w:t>
      </w:r>
      <w:r w:rsidRPr="00EC43AA">
        <w:rPr>
          <w:szCs w:val="22"/>
        </w:rPr>
        <w:t>dienne. Ainsi, les revenus du seul Conseil des Arts du Canada atte</w:t>
      </w:r>
      <w:r w:rsidRPr="00EC43AA">
        <w:rPr>
          <w:szCs w:val="22"/>
        </w:rPr>
        <w:t>i</w:t>
      </w:r>
      <w:r w:rsidRPr="00EC43AA">
        <w:rPr>
          <w:szCs w:val="22"/>
        </w:rPr>
        <w:t>gnaient 21,1 millions de dollars en 1967-1968, alors que le budget du MAC se limitait alors à 12,2 millions</w:t>
      </w:r>
      <w:r>
        <w:rPr>
          <w:szCs w:val="22"/>
          <w:vertAlign w:val="superscript"/>
        </w:rPr>
        <w:t> </w:t>
      </w:r>
      <w:r>
        <w:rPr>
          <w:rStyle w:val="Appelnotedebasdep"/>
        </w:rPr>
        <w:footnoteReference w:id="706"/>
      </w:r>
      <w:r w:rsidRPr="00EC43AA">
        <w:rPr>
          <w:szCs w:val="22"/>
        </w:rPr>
        <w:t>. Devant ces faits, Guy Fr</w:t>
      </w:r>
      <w:r w:rsidRPr="00EC43AA">
        <w:rPr>
          <w:szCs w:val="22"/>
        </w:rPr>
        <w:t>é</w:t>
      </w:r>
      <w:r w:rsidRPr="00EC43AA">
        <w:rPr>
          <w:szCs w:val="22"/>
        </w:rPr>
        <w:t>gault, qui fut lon</w:t>
      </w:r>
      <w:r w:rsidRPr="00EC43AA">
        <w:rPr>
          <w:szCs w:val="22"/>
        </w:rPr>
        <w:t>g</w:t>
      </w:r>
      <w:r w:rsidRPr="00EC43AA">
        <w:rPr>
          <w:szCs w:val="22"/>
        </w:rPr>
        <w:t>temps sous-ministre au MAC, concluait avec une sorte de désespoir qu'« à la fin de la décade, l'humble compétiteur f</w:t>
      </w:r>
      <w:r w:rsidRPr="00EC43AA">
        <w:rPr>
          <w:szCs w:val="22"/>
        </w:rPr>
        <w:t>é</w:t>
      </w:r>
      <w:r w:rsidRPr="00EC43AA">
        <w:rPr>
          <w:szCs w:val="22"/>
        </w:rPr>
        <w:t>déral du milieu des années 1960 était devenu roi d'un château »</w:t>
      </w:r>
      <w:r>
        <w:rPr>
          <w:szCs w:val="22"/>
          <w:vertAlign w:val="superscript"/>
        </w:rPr>
        <w:t> </w:t>
      </w:r>
      <w:r>
        <w:rPr>
          <w:rStyle w:val="Appelnotedebasdep"/>
        </w:rPr>
        <w:footnoteReference w:id="707"/>
      </w:r>
      <w:r w:rsidRPr="00EC43AA">
        <w:rPr>
          <w:szCs w:val="22"/>
        </w:rPr>
        <w:t>. Il faudra cependant attendre le début des années 1970 pour que le Secr</w:t>
      </w:r>
      <w:r w:rsidRPr="00EC43AA">
        <w:rPr>
          <w:szCs w:val="22"/>
        </w:rPr>
        <w:t>é</w:t>
      </w:r>
      <w:r w:rsidRPr="00EC43AA">
        <w:rPr>
          <w:szCs w:val="22"/>
        </w:rPr>
        <w:t>tariat atteigne son âge d'or sous la direction de Gérard Pell</w:t>
      </w:r>
      <w:r w:rsidRPr="00EC43AA">
        <w:rPr>
          <w:szCs w:val="22"/>
        </w:rPr>
        <w:t>e</w:t>
      </w:r>
      <w:r w:rsidRPr="00EC43AA">
        <w:rPr>
          <w:szCs w:val="22"/>
        </w:rPr>
        <w:t>tier.</w:t>
      </w:r>
    </w:p>
    <w:p w:rsidR="00AD690E" w:rsidRPr="00EC43AA" w:rsidRDefault="00AD690E" w:rsidP="00AD690E">
      <w:pPr>
        <w:spacing w:before="120" w:after="120"/>
        <w:jc w:val="both"/>
      </w:pPr>
    </w:p>
    <w:p w:rsidR="00AD690E" w:rsidRPr="00DA3182" w:rsidRDefault="00AD690E" w:rsidP="00AD690E">
      <w:pPr>
        <w:pStyle w:val="a"/>
      </w:pPr>
      <w:r w:rsidRPr="00DA3182">
        <w:t>d) Le C</w:t>
      </w:r>
      <w:r>
        <w:t>entenaire de la Confédération :</w:t>
      </w:r>
      <w:r>
        <w:br/>
      </w:r>
      <w:r w:rsidRPr="00DA3182">
        <w:t>spectacles et mon</w:t>
      </w:r>
      <w:r w:rsidRPr="00DA3182">
        <w:t>u</w:t>
      </w:r>
      <w:r w:rsidRPr="00DA3182">
        <w:t>ments</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L'idée de faire une place importante aux activités culturelles pour fêter le Centenaire de la Confédération remonte à la fin des années 1950. En effet, dès le 2 décembre 1958, le prés</w:t>
      </w:r>
      <w:r w:rsidRPr="00EC43AA">
        <w:rPr>
          <w:szCs w:val="22"/>
        </w:rPr>
        <w:t>i</w:t>
      </w:r>
      <w:r w:rsidRPr="00EC43AA">
        <w:rPr>
          <w:szCs w:val="22"/>
        </w:rPr>
        <w:t>dent du Conseil des Arts écrivait au premier ministre John Diefe</w:t>
      </w:r>
      <w:r w:rsidRPr="00EC43AA">
        <w:rPr>
          <w:szCs w:val="22"/>
        </w:rPr>
        <w:t>n</w:t>
      </w:r>
      <w:r w:rsidRPr="00EC43AA">
        <w:rPr>
          <w:szCs w:val="22"/>
        </w:rPr>
        <w:t>baker « pour offrir ses services » à cette fin</w:t>
      </w:r>
      <w:r>
        <w:rPr>
          <w:szCs w:val="22"/>
          <w:vertAlign w:val="superscript"/>
        </w:rPr>
        <w:t> </w:t>
      </w:r>
      <w:r>
        <w:rPr>
          <w:rStyle w:val="Appelnotedebasdep"/>
        </w:rPr>
        <w:footnoteReference w:id="708"/>
      </w:r>
      <w:r w:rsidRPr="00EC43AA">
        <w:rPr>
          <w:szCs w:val="22"/>
        </w:rPr>
        <w:t>. Au début de 1960, un « important groupe de citoyens imbus de c</w:t>
      </w:r>
      <w:r w:rsidRPr="00EC43AA">
        <w:rPr>
          <w:szCs w:val="22"/>
        </w:rPr>
        <w:t>i</w:t>
      </w:r>
      <w:r w:rsidRPr="00EC43AA">
        <w:rPr>
          <w:szCs w:val="22"/>
        </w:rPr>
        <w:t>visme »</w:t>
      </w:r>
      <w:r>
        <w:rPr>
          <w:szCs w:val="22"/>
          <w:vertAlign w:val="superscript"/>
        </w:rPr>
        <w:t> </w:t>
      </w:r>
      <w:r>
        <w:rPr>
          <w:rStyle w:val="Appelnotedebasdep"/>
        </w:rPr>
        <w:footnoteReference w:id="709"/>
      </w:r>
      <w:r w:rsidRPr="00EC43AA">
        <w:rPr>
          <w:szCs w:val="22"/>
        </w:rPr>
        <w:t xml:space="preserve"> fondait le Conseil du Centenaire en vue de promouvoir l'idée de célébrer convenablement l'Année du Ce</w:t>
      </w:r>
      <w:r w:rsidRPr="00EC43AA">
        <w:rPr>
          <w:szCs w:val="22"/>
        </w:rPr>
        <w:t>n</w:t>
      </w:r>
      <w:r w:rsidRPr="00EC43AA">
        <w:rPr>
          <w:szCs w:val="22"/>
        </w:rPr>
        <w:t>tenaire. En 1961, le gouvernement conservateur fait voter « une loi co</w:t>
      </w:r>
      <w:r w:rsidRPr="00EC43AA">
        <w:rPr>
          <w:szCs w:val="22"/>
        </w:rPr>
        <w:t>n</w:t>
      </w:r>
      <w:r w:rsidRPr="00EC43AA">
        <w:rPr>
          <w:szCs w:val="22"/>
        </w:rPr>
        <w:t>cernant la célébration du Centenaire du Canada ». Au début de 1963, il créait</w:t>
      </w:r>
      <w:r>
        <w:rPr>
          <w:szCs w:val="22"/>
        </w:rPr>
        <w:t xml:space="preserve"> </w:t>
      </w:r>
      <w:r>
        <w:rPr>
          <w:szCs w:val="18"/>
        </w:rPr>
        <w:t>[</w:t>
      </w:r>
      <w:r w:rsidRPr="00EC43AA">
        <w:rPr>
          <w:szCs w:val="18"/>
        </w:rPr>
        <w:t>414</w:t>
      </w:r>
      <w:r>
        <w:rPr>
          <w:szCs w:val="18"/>
        </w:rPr>
        <w:t xml:space="preserve">] </w:t>
      </w:r>
      <w:r w:rsidRPr="00EC43AA">
        <w:rPr>
          <w:szCs w:val="22"/>
        </w:rPr>
        <w:t>la Commission du Centenaire pour « stimuler l'i</w:t>
      </w:r>
      <w:r w:rsidRPr="00EC43AA">
        <w:rPr>
          <w:szCs w:val="22"/>
        </w:rPr>
        <w:t>n</w:t>
      </w:r>
      <w:r w:rsidRPr="00EC43AA">
        <w:rPr>
          <w:szCs w:val="22"/>
        </w:rPr>
        <w:t>térêt et prép</w:t>
      </w:r>
      <w:r w:rsidRPr="00EC43AA">
        <w:rPr>
          <w:szCs w:val="22"/>
        </w:rPr>
        <w:t>a</w:t>
      </w:r>
      <w:r w:rsidRPr="00EC43AA">
        <w:rPr>
          <w:szCs w:val="22"/>
        </w:rPr>
        <w:t>rer des programmes ». Les provinces étaient invitées à participer par le biais du Comité national et de la Conférence nation</w:t>
      </w:r>
      <w:r w:rsidRPr="00EC43AA">
        <w:rPr>
          <w:szCs w:val="22"/>
        </w:rPr>
        <w:t>a</w:t>
      </w:r>
      <w:r w:rsidRPr="00EC43AA">
        <w:rPr>
          <w:szCs w:val="22"/>
        </w:rPr>
        <w:t>le pour le Centenaire, qui réunissaient des citoyens venant des dive</w:t>
      </w:r>
      <w:r w:rsidRPr="00EC43AA">
        <w:rPr>
          <w:szCs w:val="22"/>
        </w:rPr>
        <w:t>r</w:t>
      </w:r>
      <w:r w:rsidRPr="00EC43AA">
        <w:rPr>
          <w:szCs w:val="22"/>
        </w:rPr>
        <w:t>ses régions du pays. Enfin, en 1965, la Commission passait sous la juridiction du Secrétariat d'</w:t>
      </w:r>
      <w:r>
        <w:rPr>
          <w:szCs w:val="22"/>
        </w:rPr>
        <w:t>État</w:t>
      </w:r>
      <w:r w:rsidRPr="00EC43AA">
        <w:rPr>
          <w:szCs w:val="22"/>
        </w:rPr>
        <w:t xml:space="preserve"> pour permettre une meilleure intégr</w:t>
      </w:r>
      <w:r w:rsidRPr="00EC43AA">
        <w:rPr>
          <w:szCs w:val="22"/>
        </w:rPr>
        <w:t>a</w:t>
      </w:r>
      <w:r w:rsidRPr="00EC43AA">
        <w:rPr>
          <w:szCs w:val="22"/>
        </w:rPr>
        <w:t>tion des activités culturelles et artistiques dans la perspective de l'unité n</w:t>
      </w:r>
      <w:r w:rsidRPr="00EC43AA">
        <w:rPr>
          <w:szCs w:val="22"/>
        </w:rPr>
        <w:t>a</w:t>
      </w:r>
      <w:r w:rsidRPr="00EC43AA">
        <w:rPr>
          <w:szCs w:val="22"/>
        </w:rPr>
        <w:t>tionale.</w:t>
      </w:r>
    </w:p>
    <w:p w:rsidR="00AD690E" w:rsidRPr="00EC43AA" w:rsidRDefault="00AD690E" w:rsidP="00AD690E">
      <w:pPr>
        <w:spacing w:before="120" w:after="120"/>
        <w:jc w:val="both"/>
      </w:pPr>
      <w:r w:rsidRPr="00EC43AA">
        <w:rPr>
          <w:szCs w:val="22"/>
        </w:rPr>
        <w:t>Le gouvernement canadien principalement par l'entremise de la Commission du Centenaire, a orienté ses fonds dans trois directions. En premier lieu, il a apporté son soutien à la construction de no</w:t>
      </w:r>
      <w:r w:rsidRPr="00EC43AA">
        <w:rPr>
          <w:szCs w:val="22"/>
        </w:rPr>
        <w:t>m</w:t>
      </w:r>
      <w:r w:rsidRPr="00EC43AA">
        <w:rPr>
          <w:szCs w:val="22"/>
        </w:rPr>
        <w:t>breux bâtiments destinés à des activités cult</w:t>
      </w:r>
      <w:r w:rsidRPr="00EC43AA">
        <w:rPr>
          <w:szCs w:val="22"/>
        </w:rPr>
        <w:t>u</w:t>
      </w:r>
      <w:r w:rsidRPr="00EC43AA">
        <w:rPr>
          <w:szCs w:val="22"/>
        </w:rPr>
        <w:t>relles : le Centre national des Arts, construit au coût de 43 mi</w:t>
      </w:r>
      <w:r w:rsidRPr="00EC43AA">
        <w:rPr>
          <w:szCs w:val="22"/>
        </w:rPr>
        <w:t>l</w:t>
      </w:r>
      <w:r w:rsidRPr="00EC43AA">
        <w:rPr>
          <w:szCs w:val="22"/>
        </w:rPr>
        <w:t>lions de dollars, constitue sans doute l'un des exemples les plus connus. Pour chaque province, le gouvernement canadien avait prévu des e</w:t>
      </w:r>
      <w:r w:rsidRPr="00EC43AA">
        <w:rPr>
          <w:szCs w:val="22"/>
        </w:rPr>
        <w:t>n</w:t>
      </w:r>
      <w:r w:rsidRPr="00EC43AA">
        <w:rPr>
          <w:szCs w:val="22"/>
        </w:rPr>
        <w:t>tentes de partage des frais permettant d'édifier, au coût d'au moins cinq millions, une « </w:t>
      </w:r>
      <w:r>
        <w:rPr>
          <w:szCs w:val="22"/>
        </w:rPr>
        <w:t>œuvre</w:t>
      </w:r>
      <w:r w:rsidRPr="00EC43AA">
        <w:rPr>
          <w:szCs w:val="22"/>
        </w:rPr>
        <w:t xml:space="preserve"> destinée à la culture qui commémorera le Centenaire de façon perm</w:t>
      </w:r>
      <w:r w:rsidRPr="00EC43AA">
        <w:rPr>
          <w:szCs w:val="22"/>
        </w:rPr>
        <w:t>a</w:t>
      </w:r>
      <w:r w:rsidRPr="00EC43AA">
        <w:rPr>
          <w:szCs w:val="22"/>
        </w:rPr>
        <w:t>nente et utile ». De plus, « en vertu d'un autre programme à frais pa</w:t>
      </w:r>
      <w:r w:rsidRPr="00EC43AA">
        <w:rPr>
          <w:szCs w:val="22"/>
        </w:rPr>
        <w:t>r</w:t>
      </w:r>
      <w:r w:rsidRPr="00EC43AA">
        <w:rPr>
          <w:szCs w:val="22"/>
        </w:rPr>
        <w:t>tagé, environ 2</w:t>
      </w:r>
      <w:r>
        <w:rPr>
          <w:szCs w:val="22"/>
        </w:rPr>
        <w:t> </w:t>
      </w:r>
      <w:r w:rsidRPr="00EC43AA">
        <w:rPr>
          <w:szCs w:val="22"/>
        </w:rPr>
        <w:t>000 mises en chantier, comportant la constru</w:t>
      </w:r>
      <w:r w:rsidRPr="00EC43AA">
        <w:rPr>
          <w:szCs w:val="22"/>
        </w:rPr>
        <w:t>c</w:t>
      </w:r>
      <w:r w:rsidRPr="00EC43AA">
        <w:rPr>
          <w:szCs w:val="22"/>
        </w:rPr>
        <w:t>tion de bâtiments d'intérêts culturels et récréatifs » ont été construits</w:t>
      </w:r>
      <w:r>
        <w:rPr>
          <w:szCs w:val="22"/>
          <w:vertAlign w:val="superscript"/>
        </w:rPr>
        <w:t> </w:t>
      </w:r>
      <w:r>
        <w:rPr>
          <w:rStyle w:val="Appelnotedebasdep"/>
        </w:rPr>
        <w:footnoteReference w:id="710"/>
      </w:r>
      <w:r w:rsidRPr="00EC43AA">
        <w:rPr>
          <w:szCs w:val="22"/>
        </w:rPr>
        <w:t>. Il s'agissait le plus souvent de bibliothèques, de centres culturels, de p</w:t>
      </w:r>
      <w:r w:rsidRPr="00EC43AA">
        <w:rPr>
          <w:szCs w:val="22"/>
        </w:rPr>
        <w:t>a</w:t>
      </w:r>
      <w:r w:rsidRPr="00EC43AA">
        <w:rPr>
          <w:szCs w:val="22"/>
        </w:rPr>
        <w:t>villons universitaires, mais aussi de centres récréatifs, de piscines et de gymnases.</w:t>
      </w:r>
    </w:p>
    <w:p w:rsidR="00AD690E" w:rsidRPr="00EC43AA" w:rsidRDefault="00AD690E" w:rsidP="00AD690E">
      <w:pPr>
        <w:spacing w:before="120" w:after="120"/>
        <w:jc w:val="both"/>
      </w:pPr>
      <w:r w:rsidRPr="00EC43AA">
        <w:rPr>
          <w:szCs w:val="22"/>
        </w:rPr>
        <w:t>En deuxième lieu, la Commission du Centenaire a apporté son a</w:t>
      </w:r>
      <w:r w:rsidRPr="00EC43AA">
        <w:rPr>
          <w:szCs w:val="22"/>
        </w:rPr>
        <w:t>p</w:t>
      </w:r>
      <w:r w:rsidRPr="00EC43AA">
        <w:rPr>
          <w:szCs w:val="22"/>
        </w:rPr>
        <w:t>pui aux organismes culturels relevant de la « culture d'élite ». Les Jeunesses musicales, le Centre musical canadien, le Centre du théâtre canadien, les organismes culturels de toutes les universités, etc., ont été ainsi subventionnés. La pr</w:t>
      </w:r>
      <w:r w:rsidRPr="00EC43AA">
        <w:rPr>
          <w:szCs w:val="22"/>
        </w:rPr>
        <w:t>é</w:t>
      </w:r>
      <w:r w:rsidRPr="00EC43AA">
        <w:rPr>
          <w:szCs w:val="22"/>
        </w:rPr>
        <w:t>occupation de couvrir l'ensemble du territoire canadien a permis aussi la subvention de troupes folklor</w:t>
      </w:r>
      <w:r w:rsidRPr="00EC43AA">
        <w:rPr>
          <w:szCs w:val="22"/>
        </w:rPr>
        <w:t>i</w:t>
      </w:r>
      <w:r w:rsidRPr="00EC43AA">
        <w:rPr>
          <w:szCs w:val="22"/>
        </w:rPr>
        <w:t>ques comme les Feux Follets, des troupes de théâtre comme le Nept</w:t>
      </w:r>
      <w:r w:rsidRPr="00EC43AA">
        <w:rPr>
          <w:szCs w:val="22"/>
        </w:rPr>
        <w:t>u</w:t>
      </w:r>
      <w:r w:rsidRPr="00EC43AA">
        <w:rPr>
          <w:szCs w:val="22"/>
        </w:rPr>
        <w:t>ne Théâtre et la Comédie Canadienne, d'orchestres symph</w:t>
      </w:r>
      <w:r w:rsidRPr="00EC43AA">
        <w:rPr>
          <w:szCs w:val="22"/>
        </w:rPr>
        <w:t>o</w:t>
      </w:r>
      <w:r w:rsidRPr="00EC43AA">
        <w:rPr>
          <w:szCs w:val="22"/>
        </w:rPr>
        <w:t>niques comme ceux de Vancouver et d'Halifax, de compagnies d'opéra co</w:t>
      </w:r>
      <w:r w:rsidRPr="00EC43AA">
        <w:rPr>
          <w:szCs w:val="22"/>
        </w:rPr>
        <w:t>m</w:t>
      </w:r>
      <w:r w:rsidRPr="00EC43AA">
        <w:rPr>
          <w:szCs w:val="22"/>
        </w:rPr>
        <w:t>me le Vancouver Op</w:t>
      </w:r>
      <w:r>
        <w:rPr>
          <w:szCs w:val="22"/>
        </w:rPr>
        <w:t>e</w:t>
      </w:r>
      <w:r w:rsidRPr="00EC43AA">
        <w:rPr>
          <w:szCs w:val="22"/>
        </w:rPr>
        <w:t>ra Company et le C</w:t>
      </w:r>
      <w:r w:rsidRPr="00EC43AA">
        <w:rPr>
          <w:szCs w:val="22"/>
        </w:rPr>
        <w:t>a</w:t>
      </w:r>
      <w:r w:rsidRPr="00EC43AA">
        <w:rPr>
          <w:szCs w:val="22"/>
        </w:rPr>
        <w:t>nadian Op</w:t>
      </w:r>
      <w:r>
        <w:rPr>
          <w:szCs w:val="22"/>
        </w:rPr>
        <w:t>e</w:t>
      </w:r>
      <w:r w:rsidRPr="00EC43AA">
        <w:rPr>
          <w:szCs w:val="22"/>
        </w:rPr>
        <w:t>ra Company, de ballets comme les Grands Ba</w:t>
      </w:r>
      <w:r w:rsidRPr="00EC43AA">
        <w:rPr>
          <w:szCs w:val="22"/>
        </w:rPr>
        <w:t>l</w:t>
      </w:r>
      <w:r w:rsidRPr="00EC43AA">
        <w:rPr>
          <w:szCs w:val="22"/>
        </w:rPr>
        <w:t>lets Canadiens de Montréal, de galeries d'art pour des expositions spéciales, etc. Enfin, les plus renommées de ces in</w:t>
      </w:r>
      <w:r w:rsidRPr="00EC43AA">
        <w:rPr>
          <w:szCs w:val="22"/>
        </w:rPr>
        <w:t>s</w:t>
      </w:r>
      <w:r w:rsidRPr="00EC43AA">
        <w:rPr>
          <w:szCs w:val="22"/>
        </w:rPr>
        <w:t>titutions se sont produites dans les principales villes du pays, le Théâtre du Nouveau Monde s'est rendu dans l'Ouest canadien pendant que le Manitoba Théâtre Centre faisait connaître son répe</w:t>
      </w:r>
      <w:r w:rsidRPr="00EC43AA">
        <w:rPr>
          <w:szCs w:val="22"/>
        </w:rPr>
        <w:t>r</w:t>
      </w:r>
      <w:r w:rsidRPr="00EC43AA">
        <w:rPr>
          <w:szCs w:val="22"/>
        </w:rPr>
        <w:t>toire dans l'Est, l'Orchestre symphonique de Montréal a donné des concerts de Terre-Neuve à la Colombie-Britannique alors que le Stratford Festival visitait les principales villes can</w:t>
      </w:r>
      <w:r w:rsidRPr="00EC43AA">
        <w:rPr>
          <w:szCs w:val="22"/>
        </w:rPr>
        <w:t>a</w:t>
      </w:r>
      <w:r w:rsidRPr="00EC43AA">
        <w:rPr>
          <w:szCs w:val="22"/>
        </w:rPr>
        <w:t>diennes, etc.</w:t>
      </w:r>
    </w:p>
    <w:p w:rsidR="00AD690E" w:rsidRPr="00EC43AA" w:rsidRDefault="00AD690E" w:rsidP="00AD690E">
      <w:pPr>
        <w:spacing w:before="120" w:after="120"/>
        <w:jc w:val="both"/>
      </w:pPr>
      <w:r w:rsidRPr="00EC43AA">
        <w:rPr>
          <w:szCs w:val="22"/>
        </w:rPr>
        <w:t>En troisième lieu, la Commission avait prévu des spe</w:t>
      </w:r>
      <w:r w:rsidRPr="00EC43AA">
        <w:rPr>
          <w:szCs w:val="22"/>
        </w:rPr>
        <w:t>c</w:t>
      </w:r>
      <w:r w:rsidRPr="00EC43AA">
        <w:rPr>
          <w:szCs w:val="22"/>
        </w:rPr>
        <w:t>tacles à grand déploiement et diverses expositions destinés soi-disant à mieux « faire connaître le Canada d'hier et d'a</w:t>
      </w:r>
      <w:r w:rsidRPr="00EC43AA">
        <w:rPr>
          <w:szCs w:val="22"/>
        </w:rPr>
        <w:t>u</w:t>
      </w:r>
      <w:r w:rsidRPr="00EC43AA">
        <w:rPr>
          <w:szCs w:val="22"/>
        </w:rPr>
        <w:t>jourd'hui ». L'élément le plus important de cet ensemble fut le train de la Confédération, « train sp</w:t>
      </w:r>
      <w:r w:rsidRPr="00EC43AA">
        <w:rPr>
          <w:szCs w:val="22"/>
        </w:rPr>
        <w:t>é</w:t>
      </w:r>
      <w:r w:rsidRPr="00EC43AA">
        <w:rPr>
          <w:szCs w:val="22"/>
        </w:rPr>
        <w:t>cial de quinze wagons, dont huit</w:t>
      </w:r>
      <w:r>
        <w:rPr>
          <w:szCs w:val="22"/>
        </w:rPr>
        <w:t xml:space="preserve"> </w:t>
      </w:r>
      <w:r>
        <w:t xml:space="preserve">[415] </w:t>
      </w:r>
      <w:r w:rsidRPr="00EC43AA">
        <w:rPr>
          <w:szCs w:val="22"/>
        </w:rPr>
        <w:t>d'exposition, qui circulent » à travers le Canada en effectuant des arrêts dans 83 villes. Huit carav</w:t>
      </w:r>
      <w:r w:rsidRPr="00EC43AA">
        <w:rPr>
          <w:szCs w:val="22"/>
        </w:rPr>
        <w:t>a</w:t>
      </w:r>
      <w:r w:rsidRPr="00EC43AA">
        <w:rPr>
          <w:szCs w:val="22"/>
        </w:rPr>
        <w:t>nes motorisées parcour</w:t>
      </w:r>
      <w:r w:rsidRPr="00EC43AA">
        <w:rPr>
          <w:szCs w:val="22"/>
        </w:rPr>
        <w:t>u</w:t>
      </w:r>
      <w:r w:rsidRPr="00EC43AA">
        <w:rPr>
          <w:szCs w:val="22"/>
        </w:rPr>
        <w:t>rent le pays en suivant des objectifs à peu près identiques. Enfin, de nombreux spectacles à grand déploiement v</w:t>
      </w:r>
      <w:r w:rsidRPr="00EC43AA">
        <w:rPr>
          <w:szCs w:val="22"/>
        </w:rPr>
        <w:t>i</w:t>
      </w:r>
      <w:r w:rsidRPr="00EC43AA">
        <w:rPr>
          <w:szCs w:val="22"/>
        </w:rPr>
        <w:t>saient à développer la fierté d'être canadien. Sur ce point, la Commi</w:t>
      </w:r>
      <w:r w:rsidRPr="00EC43AA">
        <w:rPr>
          <w:szCs w:val="22"/>
        </w:rPr>
        <w:t>s</w:t>
      </w:r>
      <w:r w:rsidRPr="00EC43AA">
        <w:rPr>
          <w:szCs w:val="22"/>
        </w:rPr>
        <w:t>sion du Cent</w:t>
      </w:r>
      <w:r w:rsidRPr="00EC43AA">
        <w:rPr>
          <w:szCs w:val="22"/>
        </w:rPr>
        <w:t>e</w:t>
      </w:r>
      <w:r w:rsidRPr="00EC43AA">
        <w:rPr>
          <w:szCs w:val="22"/>
        </w:rPr>
        <w:t>naire avait reçu l'aide de plusieurs ministères, dont celui de la Défense, avec, entre autres, son « célèbre ca</w:t>
      </w:r>
      <w:r w:rsidRPr="00EC43AA">
        <w:rPr>
          <w:szCs w:val="22"/>
        </w:rPr>
        <w:t>r</w:t>
      </w:r>
      <w:r w:rsidRPr="00EC43AA">
        <w:rPr>
          <w:szCs w:val="22"/>
        </w:rPr>
        <w:t>rousel militaire ». Enfin, certains investissements du fédéral dans Expo 67 ont ég</w:t>
      </w:r>
      <w:r w:rsidRPr="00EC43AA">
        <w:rPr>
          <w:szCs w:val="22"/>
        </w:rPr>
        <w:t>a</w:t>
      </w:r>
      <w:r w:rsidRPr="00EC43AA">
        <w:rPr>
          <w:szCs w:val="22"/>
        </w:rPr>
        <w:t>lement contribué à « développer la fierté d'être canadien » (même si le Com</w:t>
      </w:r>
      <w:r w:rsidRPr="00EC43AA">
        <w:rPr>
          <w:szCs w:val="22"/>
        </w:rPr>
        <w:t>i</w:t>
      </w:r>
      <w:r w:rsidRPr="00EC43AA">
        <w:rPr>
          <w:szCs w:val="22"/>
        </w:rPr>
        <w:t>té Expo 67 était tout à fait indépendant de la Commission du Cent</w:t>
      </w:r>
      <w:r w:rsidRPr="00EC43AA">
        <w:rPr>
          <w:szCs w:val="22"/>
        </w:rPr>
        <w:t>e</w:t>
      </w:r>
      <w:r w:rsidRPr="00EC43AA">
        <w:rPr>
          <w:szCs w:val="22"/>
        </w:rPr>
        <w:t>naire).</w:t>
      </w:r>
    </w:p>
    <w:p w:rsidR="00AD690E" w:rsidRPr="00EC43AA" w:rsidRDefault="00AD690E" w:rsidP="00AD690E">
      <w:pPr>
        <w:spacing w:before="120" w:after="120"/>
        <w:jc w:val="both"/>
      </w:pPr>
      <w:r w:rsidRPr="00EC43AA">
        <w:rPr>
          <w:szCs w:val="22"/>
        </w:rPr>
        <w:t>En somme, les fêtes du Centenaire de la Confédération ont const</w:t>
      </w:r>
      <w:r w:rsidRPr="00EC43AA">
        <w:rPr>
          <w:szCs w:val="22"/>
        </w:rPr>
        <w:t>i</w:t>
      </w:r>
      <w:r w:rsidRPr="00EC43AA">
        <w:rPr>
          <w:szCs w:val="22"/>
        </w:rPr>
        <w:t>tué la plus importante injection de capitaux et la plus importante m</w:t>
      </w:r>
      <w:r w:rsidRPr="00EC43AA">
        <w:rPr>
          <w:szCs w:val="22"/>
        </w:rPr>
        <w:t>o</w:t>
      </w:r>
      <w:r w:rsidRPr="00EC43AA">
        <w:rPr>
          <w:szCs w:val="22"/>
        </w:rPr>
        <w:t>bilisation de ressources humaines que le Can</w:t>
      </w:r>
      <w:r w:rsidRPr="00EC43AA">
        <w:rPr>
          <w:szCs w:val="22"/>
        </w:rPr>
        <w:t>a</w:t>
      </w:r>
      <w:r w:rsidRPr="00EC43AA">
        <w:rPr>
          <w:szCs w:val="22"/>
        </w:rPr>
        <w:t>da ait connu dans le domaine de la culture et des arts. Il y eut, de l'avis du gouvernement, une « variété illimitée de fêtes et de manife</w:t>
      </w:r>
      <w:r w:rsidRPr="00EC43AA">
        <w:rPr>
          <w:szCs w:val="22"/>
        </w:rPr>
        <w:t>s</w:t>
      </w:r>
      <w:r w:rsidRPr="00EC43AA">
        <w:rPr>
          <w:szCs w:val="22"/>
        </w:rPr>
        <w:t>tations »</w:t>
      </w:r>
      <w:r>
        <w:rPr>
          <w:szCs w:val="22"/>
          <w:vertAlign w:val="superscript"/>
        </w:rPr>
        <w:t> </w:t>
      </w:r>
      <w:r>
        <w:rPr>
          <w:rStyle w:val="Appelnotedebasdep"/>
        </w:rPr>
        <w:footnoteReference w:id="711"/>
      </w:r>
      <w:r w:rsidRPr="00EC43AA">
        <w:rPr>
          <w:szCs w:val="22"/>
        </w:rPr>
        <w:t xml:space="preserve">. À propos de « Festival Canada », qui était en charge des activités culturelles, le </w:t>
      </w:r>
      <w:r w:rsidRPr="00EC43AA">
        <w:rPr>
          <w:i/>
          <w:iCs/>
          <w:szCs w:val="22"/>
        </w:rPr>
        <w:t xml:space="preserve">Times </w:t>
      </w:r>
      <w:r w:rsidRPr="00EC43AA">
        <w:rPr>
          <w:szCs w:val="22"/>
        </w:rPr>
        <w:t>de Londres (Angl</w:t>
      </w:r>
      <w:r w:rsidRPr="00EC43AA">
        <w:rPr>
          <w:szCs w:val="22"/>
        </w:rPr>
        <w:t>e</w:t>
      </w:r>
      <w:r w:rsidRPr="00EC43AA">
        <w:rPr>
          <w:szCs w:val="22"/>
        </w:rPr>
        <w:t>terre) écrivait en éditorial dès le mois d'août 1966 : « Festival Canada [...] sera probablement, en termes d'étendue géographique, de nombre de personnes eng</w:t>
      </w:r>
      <w:r w:rsidRPr="00EC43AA">
        <w:rPr>
          <w:szCs w:val="22"/>
        </w:rPr>
        <w:t>a</w:t>
      </w:r>
      <w:r w:rsidRPr="00EC43AA">
        <w:rPr>
          <w:szCs w:val="22"/>
        </w:rPr>
        <w:t>gées et de l'argent qui lui est affecté, le plus grand de tous les festivals »</w:t>
      </w:r>
      <w:r>
        <w:rPr>
          <w:szCs w:val="22"/>
          <w:vertAlign w:val="superscript"/>
        </w:rPr>
        <w:t> </w:t>
      </w:r>
      <w:r>
        <w:rPr>
          <w:rStyle w:val="Appelnotedebasdep"/>
        </w:rPr>
        <w:footnoteReference w:id="712"/>
      </w:r>
      <w:r w:rsidRPr="00EC43AA">
        <w:rPr>
          <w:szCs w:val="22"/>
        </w:rPr>
        <w:t>. Avec un peu plus d'humour et de sens critique, L. Mailhot et B. M</w:t>
      </w:r>
      <w:r w:rsidRPr="00EC43AA">
        <w:rPr>
          <w:szCs w:val="22"/>
        </w:rPr>
        <w:t>é</w:t>
      </w:r>
      <w:r w:rsidRPr="00EC43AA">
        <w:rPr>
          <w:szCs w:val="22"/>
        </w:rPr>
        <w:t>lançon ont écrit :</w:t>
      </w:r>
    </w:p>
    <w:p w:rsidR="00AD690E" w:rsidRDefault="00AD690E" w:rsidP="00AD690E">
      <w:pPr>
        <w:pStyle w:val="Grillecouleur-Accent1"/>
      </w:pPr>
    </w:p>
    <w:p w:rsidR="00AD690E" w:rsidRDefault="00AD690E" w:rsidP="00AD690E">
      <w:pPr>
        <w:pStyle w:val="Grillecouleur-Accent1"/>
        <w:rPr>
          <w:i/>
        </w:rPr>
      </w:pPr>
      <w:r w:rsidRPr="002276A6">
        <w:t>[...] c'est le Centenaire, il faut fêter. Chaque poteau, chaque piquet, ch</w:t>
      </w:r>
      <w:r w:rsidRPr="002276A6">
        <w:t>a</w:t>
      </w:r>
      <w:r w:rsidRPr="002276A6">
        <w:t>que borne-fontaine a eu son projet de décoration. Unité, unité, chantent les petits oiseaux et quelques gros rapaces gavés de graines rouges</w:t>
      </w:r>
      <w:r>
        <w:rPr>
          <w:szCs w:val="18"/>
        </w:rPr>
        <w:t> </w:t>
      </w:r>
      <w:r>
        <w:rPr>
          <w:rStyle w:val="Appelnotedebasdep"/>
          <w:szCs w:val="18"/>
        </w:rPr>
        <w:footnoteReference w:id="713"/>
      </w:r>
      <w:r w:rsidRPr="00EC43AA">
        <w:rPr>
          <w:szCs w:val="18"/>
        </w:rPr>
        <w:t>.</w:t>
      </w:r>
    </w:p>
    <w:p w:rsidR="00AD690E" w:rsidRDefault="00AD690E" w:rsidP="00AD690E">
      <w:pPr>
        <w:pStyle w:val="Grillecouleur-Accent1"/>
        <w:rPr>
          <w:i/>
        </w:rPr>
      </w:pPr>
    </w:p>
    <w:p w:rsidR="00AD690E" w:rsidRPr="00EC43AA" w:rsidRDefault="00AD690E" w:rsidP="00AD690E">
      <w:pPr>
        <w:spacing w:before="120" w:after="120"/>
        <w:jc w:val="both"/>
      </w:pPr>
      <w:r w:rsidRPr="00EC43AA">
        <w:rPr>
          <w:szCs w:val="22"/>
        </w:rPr>
        <w:t xml:space="preserve">C'est apparemment sans grande exagération que George Woodcock emploi le terme de </w:t>
      </w:r>
      <w:r w:rsidRPr="00EC43AA">
        <w:rPr>
          <w:i/>
          <w:iCs/>
          <w:szCs w:val="22"/>
        </w:rPr>
        <w:t xml:space="preserve">national euphoria </w:t>
      </w:r>
      <w:r w:rsidRPr="00EC43AA">
        <w:rPr>
          <w:szCs w:val="22"/>
        </w:rPr>
        <w:t>pour caract</w:t>
      </w:r>
      <w:r w:rsidRPr="00EC43AA">
        <w:rPr>
          <w:szCs w:val="22"/>
        </w:rPr>
        <w:t>é</w:t>
      </w:r>
      <w:r w:rsidRPr="00EC43AA">
        <w:rPr>
          <w:szCs w:val="22"/>
        </w:rPr>
        <w:t>riser ces fêtes</w:t>
      </w:r>
      <w:r>
        <w:rPr>
          <w:szCs w:val="22"/>
          <w:vertAlign w:val="superscript"/>
        </w:rPr>
        <w:t> </w:t>
      </w:r>
      <w:r>
        <w:rPr>
          <w:rStyle w:val="Appelnotedebasdep"/>
        </w:rPr>
        <w:footnoteReference w:id="714"/>
      </w:r>
      <w:r w:rsidRPr="00EC43AA">
        <w:rPr>
          <w:szCs w:val="22"/>
        </w:rPr>
        <w:t>.</w:t>
      </w:r>
    </w:p>
    <w:p w:rsidR="00AD690E" w:rsidRPr="00EC43AA" w:rsidRDefault="00AD690E" w:rsidP="00AD690E">
      <w:pPr>
        <w:spacing w:before="120" w:after="120"/>
        <w:jc w:val="both"/>
      </w:pPr>
      <w:r w:rsidRPr="00EC43AA">
        <w:rPr>
          <w:szCs w:val="22"/>
        </w:rPr>
        <w:t>Selon Bernard Ostry, on ne saurait surestimer l'efficacité de ces c</w:t>
      </w:r>
      <w:r w:rsidRPr="00EC43AA">
        <w:rPr>
          <w:szCs w:val="22"/>
        </w:rPr>
        <w:t>é</w:t>
      </w:r>
      <w:r w:rsidRPr="00EC43AA">
        <w:rPr>
          <w:szCs w:val="22"/>
        </w:rPr>
        <w:t>lébrations qui confirmaient les premières analyses de la Commission B-B concernant l'importance de la culture pour l'unité n</w:t>
      </w:r>
      <w:r w:rsidRPr="00EC43AA">
        <w:rPr>
          <w:szCs w:val="22"/>
        </w:rPr>
        <w:t>a</w:t>
      </w:r>
      <w:r w:rsidRPr="00EC43AA">
        <w:rPr>
          <w:szCs w:val="22"/>
        </w:rPr>
        <w:t>tionale :</w:t>
      </w:r>
    </w:p>
    <w:p w:rsidR="00AD690E" w:rsidRDefault="00AD690E" w:rsidP="00AD690E">
      <w:pPr>
        <w:pStyle w:val="Grillecouleur-Accent1"/>
      </w:pPr>
    </w:p>
    <w:p w:rsidR="00AD690E" w:rsidRDefault="00AD690E" w:rsidP="00AD690E">
      <w:pPr>
        <w:pStyle w:val="Grillecouleur-Accent1"/>
        <w:rPr>
          <w:i/>
        </w:rPr>
      </w:pPr>
      <w:r w:rsidRPr="002276A6">
        <w:t>Not since victory in the Second World War had Canadians held their heads so high, or looked at each other with so much respect and sensé of n</w:t>
      </w:r>
      <w:r w:rsidRPr="002276A6">
        <w:t>a</w:t>
      </w:r>
      <w:r w:rsidRPr="002276A6">
        <w:t>tionality. [...] The whole of the Centennial project, and especially Expo 67, had proved that investment in culture could be more than justified by the national awamess and self-confidence it gener</w:t>
      </w:r>
      <w:r w:rsidRPr="002276A6">
        <w:t>a</w:t>
      </w:r>
      <w:r w:rsidRPr="002276A6">
        <w:t>ted</w:t>
      </w:r>
      <w:r>
        <w:t> </w:t>
      </w:r>
      <w:r w:rsidRPr="008315E2">
        <w:rPr>
          <w:rStyle w:val="Appelnotedebasdep"/>
          <w:szCs w:val="24"/>
        </w:rPr>
        <w:footnoteReference w:id="715"/>
      </w:r>
      <w:r w:rsidRPr="002276A6">
        <w:t>.</w:t>
      </w:r>
    </w:p>
    <w:p w:rsidR="00AD690E" w:rsidRPr="002276A6" w:rsidRDefault="00AD690E" w:rsidP="00AD690E">
      <w:pPr>
        <w:pStyle w:val="Grillecouleur-Accent1"/>
        <w:rPr>
          <w:i/>
        </w:rPr>
      </w:pPr>
    </w:p>
    <w:p w:rsidR="00AD690E" w:rsidRDefault="00AD690E" w:rsidP="00AD690E">
      <w:pPr>
        <w:spacing w:before="120" w:after="120"/>
        <w:jc w:val="both"/>
        <w:rPr>
          <w:szCs w:val="18"/>
        </w:rPr>
      </w:pPr>
      <w:r>
        <w:rPr>
          <w:szCs w:val="18"/>
        </w:rPr>
        <w:t>[</w:t>
      </w:r>
      <w:r w:rsidRPr="00EC43AA">
        <w:rPr>
          <w:szCs w:val="18"/>
        </w:rPr>
        <w:t>416</w:t>
      </w:r>
      <w:r>
        <w:rPr>
          <w:szCs w:val="18"/>
        </w:rPr>
        <w:t>]</w:t>
      </w:r>
    </w:p>
    <w:p w:rsidR="00AD690E" w:rsidRDefault="00AD690E" w:rsidP="00AD690E">
      <w:pPr>
        <w:spacing w:before="120" w:after="120"/>
        <w:jc w:val="both"/>
        <w:rPr>
          <w:szCs w:val="22"/>
        </w:rPr>
      </w:pPr>
      <w:r w:rsidRPr="00EC43AA">
        <w:rPr>
          <w:szCs w:val="22"/>
        </w:rPr>
        <w:t>S'il est difficile d'évaluer avec précision l'effet idéologique des f</w:t>
      </w:r>
      <w:r w:rsidRPr="00EC43AA">
        <w:rPr>
          <w:szCs w:val="22"/>
        </w:rPr>
        <w:t>ê</w:t>
      </w:r>
      <w:r w:rsidRPr="00EC43AA">
        <w:rPr>
          <w:szCs w:val="22"/>
        </w:rPr>
        <w:t>tes du Centenaire et d'Expo 67, une conclusion au moins s'imposait avec certitude aux yeux des hommes politiques : c'était celle de la re</w:t>
      </w:r>
      <w:r w:rsidRPr="00EC43AA">
        <w:rPr>
          <w:szCs w:val="22"/>
        </w:rPr>
        <w:t>n</w:t>
      </w:r>
      <w:r w:rsidRPr="00EC43AA">
        <w:rPr>
          <w:szCs w:val="22"/>
        </w:rPr>
        <w:t>tabilité politique de tels investissements.</w:t>
      </w:r>
    </w:p>
    <w:p w:rsidR="00AD690E" w:rsidRDefault="00AD690E" w:rsidP="00AD690E">
      <w:pPr>
        <w:spacing w:before="120" w:after="120"/>
        <w:jc w:val="both"/>
        <w:rPr>
          <w:szCs w:val="22"/>
        </w:rPr>
      </w:pPr>
    </w:p>
    <w:p w:rsidR="00AD690E" w:rsidRPr="002276A6" w:rsidRDefault="00AD690E" w:rsidP="00AD690E">
      <w:pPr>
        <w:pStyle w:val="a"/>
      </w:pPr>
      <w:r w:rsidRPr="002276A6">
        <w:t xml:space="preserve">e) Les communications : </w:t>
      </w:r>
      <w:r>
        <w:br/>
      </w:r>
      <w:r w:rsidRPr="002276A6">
        <w:t>unité nationale et canadianisation</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Dans le domaine des communications et plus spécifiquement de la radiodiffusion, la période Pearson en fut une de r</w:t>
      </w:r>
      <w:r w:rsidRPr="00EC43AA">
        <w:rPr>
          <w:szCs w:val="22"/>
        </w:rPr>
        <w:t>e</w:t>
      </w:r>
      <w:r w:rsidRPr="00EC43AA">
        <w:rPr>
          <w:szCs w:val="22"/>
        </w:rPr>
        <w:t>cherche laborieuse de compromis qui se matérialisa à la fin de son règne par l'adoption d'une nouvelle loi sur la radiodiff</w:t>
      </w:r>
      <w:r w:rsidRPr="00EC43AA">
        <w:rPr>
          <w:szCs w:val="22"/>
        </w:rPr>
        <w:t>u</w:t>
      </w:r>
      <w:r w:rsidRPr="00EC43AA">
        <w:rPr>
          <w:szCs w:val="22"/>
        </w:rPr>
        <w:t>sion et la création d'un Conseil de la radio télévision canadienne (CRTC) en février 1968. Lorsqu'il était dans l'oppos</w:t>
      </w:r>
      <w:r w:rsidRPr="00EC43AA">
        <w:rPr>
          <w:szCs w:val="22"/>
        </w:rPr>
        <w:t>i</w:t>
      </w:r>
      <w:r w:rsidRPr="00EC43AA">
        <w:rPr>
          <w:szCs w:val="22"/>
        </w:rPr>
        <w:t>tion, le Parti libéral s'était fait le défenseur d'un « système unique » de radiodiffusion dans lequel le secteur public s</w:t>
      </w:r>
      <w:r w:rsidRPr="00EC43AA">
        <w:rPr>
          <w:szCs w:val="22"/>
        </w:rPr>
        <w:t>e</w:t>
      </w:r>
      <w:r w:rsidRPr="00EC43AA">
        <w:rPr>
          <w:szCs w:val="22"/>
        </w:rPr>
        <w:t>rait dominant. Il avait formulé assez régulièrement des critiques à l'égard de l'instance de réglementation, le Bureau des gouve</w:t>
      </w:r>
      <w:r w:rsidRPr="00EC43AA">
        <w:rPr>
          <w:szCs w:val="22"/>
        </w:rPr>
        <w:t>r</w:t>
      </w:r>
      <w:r w:rsidRPr="00EC43AA">
        <w:rPr>
          <w:szCs w:val="22"/>
        </w:rPr>
        <w:t>neurs de la radiodiffusion (BGR), qui affichait manifestement un préjugé fav</w:t>
      </w:r>
      <w:r w:rsidRPr="00EC43AA">
        <w:rPr>
          <w:szCs w:val="22"/>
        </w:rPr>
        <w:t>o</w:t>
      </w:r>
      <w:r w:rsidRPr="00EC43AA">
        <w:rPr>
          <w:szCs w:val="22"/>
        </w:rPr>
        <w:t>rable au secteur privé comme le souhaitaient les conserv</w:t>
      </w:r>
      <w:r w:rsidRPr="00EC43AA">
        <w:rPr>
          <w:szCs w:val="22"/>
        </w:rPr>
        <w:t>a</w:t>
      </w:r>
      <w:r w:rsidRPr="00EC43AA">
        <w:rPr>
          <w:szCs w:val="22"/>
        </w:rPr>
        <w:t>teurs. Lester B. Pearson avait lui-même appuyé ouvertement la société Radio-Canada à la Chambre des communes lorsque celle-ci avait été att</w:t>
      </w:r>
      <w:r w:rsidRPr="00EC43AA">
        <w:rPr>
          <w:szCs w:val="22"/>
        </w:rPr>
        <w:t>a</w:t>
      </w:r>
      <w:r w:rsidRPr="00EC43AA">
        <w:rPr>
          <w:szCs w:val="22"/>
        </w:rPr>
        <w:t>quée par les conservateurs ou les créditistes. Son intérêt pour la radi</w:t>
      </w:r>
      <w:r w:rsidRPr="00EC43AA">
        <w:rPr>
          <w:szCs w:val="22"/>
        </w:rPr>
        <w:t>o</w:t>
      </w:r>
      <w:r w:rsidRPr="00EC43AA">
        <w:rPr>
          <w:szCs w:val="22"/>
        </w:rPr>
        <w:t>diffusion et son préjugé fav</w:t>
      </w:r>
      <w:r w:rsidRPr="00EC43AA">
        <w:rPr>
          <w:szCs w:val="22"/>
        </w:rPr>
        <w:t>o</w:t>
      </w:r>
      <w:r w:rsidRPr="00EC43AA">
        <w:rPr>
          <w:szCs w:val="22"/>
        </w:rPr>
        <w:t>rable pour le secteur public ne dataient pas d'hier, comme le révèle sa longue amitié avec Graham Spry, fo</w:t>
      </w:r>
      <w:r w:rsidRPr="00EC43AA">
        <w:rPr>
          <w:szCs w:val="22"/>
        </w:rPr>
        <w:t>n</w:t>
      </w:r>
      <w:r w:rsidRPr="00EC43AA">
        <w:rPr>
          <w:szCs w:val="22"/>
        </w:rPr>
        <w:t xml:space="preserve">dateur de la </w:t>
      </w:r>
      <w:r w:rsidRPr="00EC43AA">
        <w:rPr>
          <w:i/>
          <w:iCs/>
          <w:szCs w:val="22"/>
        </w:rPr>
        <w:t xml:space="preserve">Canadian Radio League </w:t>
      </w:r>
      <w:r w:rsidRPr="00EC43AA">
        <w:rPr>
          <w:szCs w:val="22"/>
        </w:rPr>
        <w:t>en 1931. Avec l'arrivée des lib</w:t>
      </w:r>
      <w:r w:rsidRPr="00EC43AA">
        <w:rPr>
          <w:szCs w:val="22"/>
        </w:rPr>
        <w:t>é</w:t>
      </w:r>
      <w:r w:rsidRPr="00EC43AA">
        <w:rPr>
          <w:szCs w:val="22"/>
        </w:rPr>
        <w:t>raux au pouvoir, on pouvait donc s'attendre à des changements impo</w:t>
      </w:r>
      <w:r w:rsidRPr="00EC43AA">
        <w:rPr>
          <w:szCs w:val="22"/>
        </w:rPr>
        <w:t>r</w:t>
      </w:r>
      <w:r w:rsidRPr="00EC43AA">
        <w:rPr>
          <w:szCs w:val="22"/>
        </w:rPr>
        <w:t>tants, comme l'écrit Frank W. Peers :</w:t>
      </w:r>
    </w:p>
    <w:p w:rsidR="00AD690E" w:rsidRDefault="00AD690E" w:rsidP="00AD690E">
      <w:pPr>
        <w:pStyle w:val="Grillecouleur-Accent1"/>
      </w:pPr>
    </w:p>
    <w:p w:rsidR="00AD690E" w:rsidRDefault="00AD690E" w:rsidP="00AD690E">
      <w:pPr>
        <w:pStyle w:val="Grillecouleur-Accent1"/>
        <w:rPr>
          <w:i/>
        </w:rPr>
      </w:pPr>
      <w:r w:rsidRPr="00A168FD">
        <w:t>The identification of BBG with private broadeasting interests in the minds of some critical bystanders, and the suspicion that some of its members were sensitive to political pressures, guaranted that when Lib</w:t>
      </w:r>
      <w:r w:rsidRPr="00A168FD">
        <w:t>e</w:t>
      </w:r>
      <w:r w:rsidRPr="00A168FD">
        <w:t>rals co</w:t>
      </w:r>
      <w:r w:rsidRPr="00A168FD">
        <w:t>r</w:t>
      </w:r>
      <w:r w:rsidRPr="00A168FD">
        <w:t>ne to power, some changes would be made</w:t>
      </w:r>
      <w:r w:rsidRPr="00A168FD">
        <w:rPr>
          <w:vertAlign w:val="superscript"/>
        </w:rPr>
        <w:t xml:space="preserve"> </w:t>
      </w:r>
      <w:r>
        <w:rPr>
          <w:vertAlign w:val="superscript"/>
        </w:rPr>
        <w:t> </w:t>
      </w:r>
      <w:r w:rsidRPr="008315E2">
        <w:rPr>
          <w:rStyle w:val="Appelnotedebasdep"/>
          <w:szCs w:val="24"/>
        </w:rPr>
        <w:footnoteReference w:id="716"/>
      </w:r>
      <w:r w:rsidRPr="00A168FD">
        <w:t>.</w:t>
      </w:r>
    </w:p>
    <w:p w:rsidR="00AD690E" w:rsidRPr="00A168FD" w:rsidRDefault="00AD690E" w:rsidP="00AD690E">
      <w:pPr>
        <w:pStyle w:val="Grillecouleur-Accent1"/>
        <w:rPr>
          <w:i/>
        </w:rPr>
      </w:pPr>
    </w:p>
    <w:p w:rsidR="00AD690E" w:rsidRPr="00EC43AA" w:rsidRDefault="00AD690E" w:rsidP="00AD690E">
      <w:pPr>
        <w:spacing w:before="120" w:after="120"/>
        <w:jc w:val="both"/>
      </w:pPr>
      <w:r w:rsidRPr="00EC43AA">
        <w:rPr>
          <w:szCs w:val="22"/>
        </w:rPr>
        <w:t>Pourquoi les changements annoncés dans les campagnes élector</w:t>
      </w:r>
      <w:r w:rsidRPr="00EC43AA">
        <w:rPr>
          <w:szCs w:val="22"/>
        </w:rPr>
        <w:t>a</w:t>
      </w:r>
      <w:r w:rsidRPr="00EC43AA">
        <w:rPr>
          <w:szCs w:val="22"/>
        </w:rPr>
        <w:t>les de 1962 et 1963 se sont-ils faits tellement attendre et n'ont-ils pas été aussi importants qu'on aurait pu l'imag</w:t>
      </w:r>
      <w:r w:rsidRPr="00EC43AA">
        <w:rPr>
          <w:szCs w:val="22"/>
        </w:rPr>
        <w:t>i</w:t>
      </w:r>
      <w:r w:rsidRPr="00EC43AA">
        <w:rPr>
          <w:szCs w:val="22"/>
        </w:rPr>
        <w:t>ner ? C'est ce à quoi nous tenterons maintenant de répondre.</w:t>
      </w:r>
    </w:p>
    <w:p w:rsidR="00AD690E" w:rsidRDefault="00AD690E" w:rsidP="00AD690E">
      <w:pPr>
        <w:spacing w:before="120" w:after="120"/>
        <w:jc w:val="both"/>
      </w:pPr>
      <w:r>
        <w:t>[417]</w:t>
      </w:r>
    </w:p>
    <w:p w:rsidR="00AD690E" w:rsidRDefault="00AD690E" w:rsidP="00AD690E">
      <w:pPr>
        <w:spacing w:before="120" w:after="120"/>
        <w:jc w:val="both"/>
      </w:pPr>
    </w:p>
    <w:p w:rsidR="00AD690E" w:rsidRPr="00845DFD" w:rsidRDefault="00AD690E" w:rsidP="00AD690E">
      <w:pPr>
        <w:pStyle w:val="a"/>
      </w:pPr>
      <w:r w:rsidRPr="00845DFD">
        <w:t>f) Consultations et hésitations</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Étant donné que le Parti libéral était minoritaire à la Chambre des communes et que Pearson préconisait un style de « dire</w:t>
      </w:r>
      <w:r w:rsidRPr="00EC43AA">
        <w:rPr>
          <w:szCs w:val="22"/>
        </w:rPr>
        <w:t>c</w:t>
      </w:r>
      <w:r w:rsidRPr="00EC43AA">
        <w:rPr>
          <w:szCs w:val="22"/>
        </w:rPr>
        <w:t>tion par consensus », cela peut expliquer pourquoi le gouvernement mult</w:t>
      </w:r>
      <w:r w:rsidRPr="00EC43AA">
        <w:rPr>
          <w:szCs w:val="22"/>
        </w:rPr>
        <w:t>i</w:t>
      </w:r>
      <w:r w:rsidRPr="00EC43AA">
        <w:rPr>
          <w:szCs w:val="22"/>
        </w:rPr>
        <w:t>plia les consultations, les enquêtes et les comités avant de suggérer des modifications à la loi sur la radiodiff</w:t>
      </w:r>
      <w:r w:rsidRPr="00EC43AA">
        <w:rPr>
          <w:szCs w:val="22"/>
        </w:rPr>
        <w:t>u</w:t>
      </w:r>
      <w:r w:rsidRPr="00EC43AA">
        <w:rPr>
          <w:szCs w:val="22"/>
        </w:rPr>
        <w:t>sion de 1958. Mais il y a plus. D'une part, la position soutenue jusque-là par le Parti libéral, celle de la Commission F</w:t>
      </w:r>
      <w:r w:rsidRPr="00EC43AA">
        <w:rPr>
          <w:szCs w:val="22"/>
        </w:rPr>
        <w:t>O</w:t>
      </w:r>
      <w:r w:rsidRPr="00EC43AA">
        <w:rPr>
          <w:szCs w:val="22"/>
        </w:rPr>
        <w:t>WLER</w:t>
      </w:r>
      <w:r>
        <w:rPr>
          <w:szCs w:val="22"/>
          <w:vertAlign w:val="superscript"/>
        </w:rPr>
        <w:t> </w:t>
      </w:r>
      <w:r>
        <w:rPr>
          <w:rStyle w:val="Appelnotedebasdep"/>
        </w:rPr>
        <w:footnoteReference w:id="717"/>
      </w:r>
      <w:r w:rsidRPr="00EC43AA">
        <w:rPr>
          <w:szCs w:val="22"/>
        </w:rPr>
        <w:t xml:space="preserve"> qui proposait un « système unique » avec prédominance du secteur public, ne correspondait plus à la réal</w:t>
      </w:r>
      <w:r w:rsidRPr="00EC43AA">
        <w:rPr>
          <w:szCs w:val="22"/>
        </w:rPr>
        <w:t>i</w:t>
      </w:r>
      <w:r w:rsidRPr="00EC43AA">
        <w:rPr>
          <w:szCs w:val="22"/>
        </w:rPr>
        <w:t>té : sous le go</w:t>
      </w:r>
      <w:r w:rsidRPr="00EC43AA">
        <w:rPr>
          <w:szCs w:val="22"/>
        </w:rPr>
        <w:t>u</w:t>
      </w:r>
      <w:r w:rsidRPr="00EC43AA">
        <w:rPr>
          <w:szCs w:val="22"/>
        </w:rPr>
        <w:t>vernement Diefenbaker, le secteur privé était devenu plus i</w:t>
      </w:r>
      <w:r w:rsidRPr="00EC43AA">
        <w:rPr>
          <w:szCs w:val="22"/>
        </w:rPr>
        <w:t>m</w:t>
      </w:r>
      <w:r w:rsidRPr="00EC43AA">
        <w:rPr>
          <w:szCs w:val="22"/>
        </w:rPr>
        <w:t>portant que le secteur public, au moins en ce qui concerne le nombre de stations. D'autre part, la complexité du problème de la r</w:t>
      </w:r>
      <w:r w:rsidRPr="00EC43AA">
        <w:rPr>
          <w:szCs w:val="22"/>
        </w:rPr>
        <w:t>a</w:t>
      </w:r>
      <w:r w:rsidRPr="00EC43AA">
        <w:rPr>
          <w:szCs w:val="22"/>
        </w:rPr>
        <w:t>diodiffusion dans la conjoncture de crise de l'unité canadienne, co</w:t>
      </w:r>
      <w:r w:rsidRPr="00EC43AA">
        <w:rPr>
          <w:szCs w:val="22"/>
        </w:rPr>
        <w:t>m</w:t>
      </w:r>
      <w:r w:rsidRPr="00EC43AA">
        <w:rPr>
          <w:szCs w:val="22"/>
        </w:rPr>
        <w:t>binée à la diversité des intérêts, ne permettaient pas de dégager fac</w:t>
      </w:r>
      <w:r w:rsidRPr="00EC43AA">
        <w:rPr>
          <w:szCs w:val="22"/>
        </w:rPr>
        <w:t>i</w:t>
      </w:r>
      <w:r w:rsidRPr="00EC43AA">
        <w:rPr>
          <w:szCs w:val="22"/>
        </w:rPr>
        <w:t>lement un compromis susceptible de sati</w:t>
      </w:r>
      <w:r w:rsidRPr="00EC43AA">
        <w:rPr>
          <w:szCs w:val="22"/>
        </w:rPr>
        <w:t>s</w:t>
      </w:r>
      <w:r w:rsidRPr="00EC43AA">
        <w:rPr>
          <w:szCs w:val="22"/>
        </w:rPr>
        <w:t>faire les principaux groupes impliqués, y compris au sein même du Parti l</w:t>
      </w:r>
      <w:r w:rsidRPr="00EC43AA">
        <w:rPr>
          <w:szCs w:val="22"/>
        </w:rPr>
        <w:t>i</w:t>
      </w:r>
      <w:r w:rsidRPr="00EC43AA">
        <w:rPr>
          <w:szCs w:val="22"/>
        </w:rPr>
        <w:t>béral.</w:t>
      </w:r>
    </w:p>
    <w:p w:rsidR="00AD690E" w:rsidRPr="00EC43AA" w:rsidRDefault="00AD690E" w:rsidP="00AD690E">
      <w:pPr>
        <w:spacing w:before="120" w:after="120"/>
        <w:jc w:val="both"/>
      </w:pPr>
      <w:r w:rsidRPr="00EC43AA">
        <w:rPr>
          <w:szCs w:val="22"/>
        </w:rPr>
        <w:t>En effet, le secteur privé de la radiodiffusion ne comptait plus e</w:t>
      </w:r>
      <w:r w:rsidRPr="00EC43AA">
        <w:rPr>
          <w:szCs w:val="22"/>
        </w:rPr>
        <w:t>x</w:t>
      </w:r>
      <w:r w:rsidRPr="00EC43AA">
        <w:rPr>
          <w:szCs w:val="22"/>
        </w:rPr>
        <w:t>clusivement sur le Parti conservateur pour défendre ses int</w:t>
      </w:r>
      <w:r w:rsidRPr="00EC43AA">
        <w:rPr>
          <w:szCs w:val="22"/>
        </w:rPr>
        <w:t>é</w:t>
      </w:r>
      <w:r w:rsidRPr="00EC43AA">
        <w:rPr>
          <w:szCs w:val="22"/>
        </w:rPr>
        <w:t>rêts. Il avait réussi à se faire des alliés parmi les libéraux. Ainsi, le Conseil de la Fédération libérale nationale, qui étudiait au début de 1962 une se</w:t>
      </w:r>
      <w:r w:rsidRPr="00EC43AA">
        <w:rPr>
          <w:szCs w:val="22"/>
        </w:rPr>
        <w:t>c</w:t>
      </w:r>
      <w:r w:rsidRPr="00EC43AA">
        <w:rPr>
          <w:szCs w:val="22"/>
        </w:rPr>
        <w:t>tion du programme concernant les « indu</w:t>
      </w:r>
      <w:r w:rsidRPr="00EC43AA">
        <w:rPr>
          <w:szCs w:val="22"/>
        </w:rPr>
        <w:t>s</w:t>
      </w:r>
      <w:r w:rsidRPr="00EC43AA">
        <w:rPr>
          <w:szCs w:val="22"/>
        </w:rPr>
        <w:t>tries culturelles nationales », adopta une résolution sur la radiodiffusion où le terme « système un</w:t>
      </w:r>
      <w:r w:rsidRPr="00EC43AA">
        <w:rPr>
          <w:szCs w:val="22"/>
        </w:rPr>
        <w:t>i</w:t>
      </w:r>
      <w:r w:rsidRPr="00EC43AA">
        <w:rPr>
          <w:szCs w:val="22"/>
        </w:rPr>
        <w:t>que » fut re</w:t>
      </w:r>
      <w:r w:rsidRPr="00EC43AA">
        <w:rPr>
          <w:szCs w:val="22"/>
        </w:rPr>
        <w:t>m</w:t>
      </w:r>
      <w:r w:rsidRPr="00EC43AA">
        <w:rPr>
          <w:szCs w:val="22"/>
        </w:rPr>
        <w:t>placé par celui de secteurs parallèles (privé et public) évoluant sous une in</w:t>
      </w:r>
      <w:r w:rsidRPr="00EC43AA">
        <w:rPr>
          <w:szCs w:val="22"/>
        </w:rPr>
        <w:t>s</w:t>
      </w:r>
      <w:r w:rsidRPr="00EC43AA">
        <w:rPr>
          <w:szCs w:val="22"/>
        </w:rPr>
        <w:t>tance de réglementation unique</w:t>
      </w:r>
      <w:r>
        <w:rPr>
          <w:szCs w:val="22"/>
          <w:vertAlign w:val="superscript"/>
        </w:rPr>
        <w:t> </w:t>
      </w:r>
      <w:r>
        <w:rPr>
          <w:rStyle w:val="Appelnotedebasdep"/>
        </w:rPr>
        <w:footnoteReference w:id="718"/>
      </w:r>
      <w:r w:rsidRPr="00EC43AA">
        <w:rPr>
          <w:szCs w:val="22"/>
        </w:rPr>
        <w:t>. De plus, avant même de devenir m</w:t>
      </w:r>
      <w:r w:rsidRPr="00EC43AA">
        <w:rPr>
          <w:szCs w:val="22"/>
        </w:rPr>
        <w:t>i</w:t>
      </w:r>
      <w:r w:rsidRPr="00EC43AA">
        <w:rPr>
          <w:szCs w:val="22"/>
        </w:rPr>
        <w:t>nistre responsable de Radio-Canada et du BGR en 1963, Jack Pickersgill s'était montré sympathique aux intérêts des stations privées en affirmant que le gouvern</w:t>
      </w:r>
      <w:r w:rsidRPr="00EC43AA">
        <w:rPr>
          <w:szCs w:val="22"/>
        </w:rPr>
        <w:t>e</w:t>
      </w:r>
      <w:r w:rsidRPr="00EC43AA">
        <w:rPr>
          <w:szCs w:val="22"/>
        </w:rPr>
        <w:t>ment avait été sage de ne pas accorder à Radio-Canada des permis d'exploitation dans des villes où l'on retrouvait déjà une st</w:t>
      </w:r>
      <w:r w:rsidRPr="00EC43AA">
        <w:rPr>
          <w:szCs w:val="22"/>
        </w:rPr>
        <w:t>a</w:t>
      </w:r>
      <w:r w:rsidRPr="00EC43AA">
        <w:rPr>
          <w:szCs w:val="22"/>
        </w:rPr>
        <w:t>tion privée comme c'était le cas à St-John (Terre-Neuve). St-John était un bon exemple puisque la st</w:t>
      </w:r>
      <w:r w:rsidRPr="00EC43AA">
        <w:rPr>
          <w:szCs w:val="22"/>
        </w:rPr>
        <w:t>a</w:t>
      </w:r>
      <w:r w:rsidRPr="00EC43AA">
        <w:rPr>
          <w:szCs w:val="22"/>
        </w:rPr>
        <w:t>tion privée appart</w:t>
      </w:r>
      <w:r w:rsidRPr="00EC43AA">
        <w:rPr>
          <w:szCs w:val="22"/>
        </w:rPr>
        <w:t>e</w:t>
      </w:r>
      <w:r w:rsidRPr="00EC43AA">
        <w:rPr>
          <w:szCs w:val="22"/>
        </w:rPr>
        <w:t xml:space="preserve">nait à Don Jamieson qui était aussi président de la </w:t>
      </w:r>
      <w:r w:rsidRPr="00EC43AA">
        <w:rPr>
          <w:i/>
          <w:iCs/>
          <w:szCs w:val="22"/>
        </w:rPr>
        <w:t>Canadian Ass</w:t>
      </w:r>
      <w:r w:rsidRPr="00EC43AA">
        <w:rPr>
          <w:i/>
          <w:iCs/>
          <w:szCs w:val="22"/>
        </w:rPr>
        <w:t>o</w:t>
      </w:r>
      <w:r w:rsidRPr="00EC43AA">
        <w:rPr>
          <w:i/>
          <w:iCs/>
          <w:szCs w:val="22"/>
        </w:rPr>
        <w:t xml:space="preserve">ciation of Braodcasters </w:t>
      </w:r>
      <w:r w:rsidRPr="00EC43AA">
        <w:rPr>
          <w:szCs w:val="22"/>
        </w:rPr>
        <w:t>(CAB), « the lobbying arm of private broadeasting »</w:t>
      </w:r>
      <w:r>
        <w:rPr>
          <w:szCs w:val="22"/>
          <w:vertAlign w:val="superscript"/>
        </w:rPr>
        <w:t> </w:t>
      </w:r>
      <w:r>
        <w:rPr>
          <w:rStyle w:val="Appelnotedebasdep"/>
        </w:rPr>
        <w:footnoteReference w:id="719"/>
      </w:r>
      <w:r w:rsidRPr="00EC43AA">
        <w:rPr>
          <w:szCs w:val="22"/>
        </w:rPr>
        <w:t>. Après avoir été fréquemment consulté comme président de la CAB, Jamieson se fait élire comme débuté l</w:t>
      </w:r>
      <w:r w:rsidRPr="00EC43AA">
        <w:rPr>
          <w:szCs w:val="22"/>
        </w:rPr>
        <w:t>i</w:t>
      </w:r>
      <w:r w:rsidRPr="00EC43AA">
        <w:rPr>
          <w:szCs w:val="22"/>
        </w:rPr>
        <w:t>béral en septembre 1966. Enfin, Judy Lamarsh, qui prend la direction du Secrétariat d'État après l'élection de 1965, est entrée assez rapid</w:t>
      </w:r>
      <w:r w:rsidRPr="00EC43AA">
        <w:rPr>
          <w:szCs w:val="22"/>
        </w:rPr>
        <w:t>e</w:t>
      </w:r>
      <w:r w:rsidRPr="00EC43AA">
        <w:rPr>
          <w:szCs w:val="22"/>
        </w:rPr>
        <w:t>ment en conflit avec le président de R</w:t>
      </w:r>
      <w:r w:rsidRPr="00EC43AA">
        <w:rPr>
          <w:szCs w:val="22"/>
        </w:rPr>
        <w:t>a</w:t>
      </w:r>
      <w:r w:rsidRPr="00EC43AA">
        <w:rPr>
          <w:szCs w:val="22"/>
        </w:rPr>
        <w:t>dio-Canada, Alphonse Ouimet. Elle accusait la haute direction de « gestion pourrie » et affirmait p</w:t>
      </w:r>
      <w:r w:rsidRPr="00EC43AA">
        <w:rPr>
          <w:szCs w:val="22"/>
        </w:rPr>
        <w:t>u</w:t>
      </w:r>
      <w:r w:rsidRPr="00EC43AA">
        <w:rPr>
          <w:szCs w:val="22"/>
        </w:rPr>
        <w:t>bliquement que le réseau de langue fra</w:t>
      </w:r>
      <w:r w:rsidRPr="00EC43AA">
        <w:rPr>
          <w:szCs w:val="22"/>
        </w:rPr>
        <w:t>n</w:t>
      </w:r>
      <w:r w:rsidRPr="00EC43AA">
        <w:rPr>
          <w:szCs w:val="22"/>
        </w:rPr>
        <w:t>çaise était un repaire de</w:t>
      </w:r>
      <w:r>
        <w:rPr>
          <w:szCs w:val="22"/>
        </w:rPr>
        <w:t xml:space="preserve"> </w:t>
      </w:r>
      <w:r>
        <w:rPr>
          <w:szCs w:val="18"/>
        </w:rPr>
        <w:t>[</w:t>
      </w:r>
      <w:r w:rsidRPr="00EC43AA">
        <w:rPr>
          <w:szCs w:val="18"/>
        </w:rPr>
        <w:t>418</w:t>
      </w:r>
      <w:r>
        <w:rPr>
          <w:szCs w:val="18"/>
        </w:rPr>
        <w:t xml:space="preserve">] </w:t>
      </w:r>
      <w:r w:rsidRPr="00EC43AA">
        <w:rPr>
          <w:szCs w:val="22"/>
        </w:rPr>
        <w:t>séparatistes (elle ne fut évidemment pas la seule à porter de telles a</w:t>
      </w:r>
      <w:r w:rsidRPr="00EC43AA">
        <w:rPr>
          <w:szCs w:val="22"/>
        </w:rPr>
        <w:t>c</w:t>
      </w:r>
      <w:r w:rsidRPr="00EC43AA">
        <w:rPr>
          <w:szCs w:val="22"/>
        </w:rPr>
        <w:t>cusations). Enfin, le ministre responsable de la société Radio-Canada alla jusqu'à dire que celle-ci serait obsolète dans vingt ans en raison du développement des communications par satellite. Ces quelques indic</w:t>
      </w:r>
      <w:r w:rsidRPr="00EC43AA">
        <w:rPr>
          <w:szCs w:val="22"/>
        </w:rPr>
        <w:t>a</w:t>
      </w:r>
      <w:r w:rsidRPr="00EC43AA">
        <w:rPr>
          <w:szCs w:val="22"/>
        </w:rPr>
        <w:t>tions laissent bien voir que c'est l'absence d'unité au sein du Parti lib</w:t>
      </w:r>
      <w:r w:rsidRPr="00EC43AA">
        <w:rPr>
          <w:szCs w:val="22"/>
        </w:rPr>
        <w:t>é</w:t>
      </w:r>
      <w:r w:rsidRPr="00EC43AA">
        <w:rPr>
          <w:szCs w:val="22"/>
        </w:rPr>
        <w:t>ral qui a empêché le gouvernement de procéder plus rap</w:t>
      </w:r>
      <w:r w:rsidRPr="00EC43AA">
        <w:rPr>
          <w:szCs w:val="22"/>
        </w:rPr>
        <w:t>i</w:t>
      </w:r>
      <w:r w:rsidRPr="00EC43AA">
        <w:rPr>
          <w:szCs w:val="22"/>
        </w:rPr>
        <w:t>dement dans le dossier des communications et qui l'a obligé à multiplier les consu</w:t>
      </w:r>
      <w:r w:rsidRPr="00EC43AA">
        <w:rPr>
          <w:szCs w:val="22"/>
        </w:rPr>
        <w:t>l</w:t>
      </w:r>
      <w:r w:rsidRPr="00EC43AA">
        <w:rPr>
          <w:szCs w:val="22"/>
        </w:rPr>
        <w:t>tations.</w:t>
      </w:r>
    </w:p>
    <w:p w:rsidR="00AD690E" w:rsidRPr="00EC43AA" w:rsidRDefault="00AD690E" w:rsidP="00AD690E">
      <w:pPr>
        <w:spacing w:before="120" w:after="120"/>
        <w:jc w:val="both"/>
      </w:pPr>
      <w:r w:rsidRPr="00EC43AA">
        <w:rPr>
          <w:szCs w:val="22"/>
        </w:rPr>
        <w:t>À leur arrivée au pouvoir en avril 1963, les libéraux se sont pe</w:t>
      </w:r>
      <w:r w:rsidRPr="00EC43AA">
        <w:rPr>
          <w:szCs w:val="22"/>
        </w:rPr>
        <w:t>n</w:t>
      </w:r>
      <w:r w:rsidRPr="00EC43AA">
        <w:rPr>
          <w:szCs w:val="22"/>
        </w:rPr>
        <w:t>chés sur les conclusions du rapport de la Commission sur l'organis</w:t>
      </w:r>
      <w:r w:rsidRPr="00EC43AA">
        <w:rPr>
          <w:szCs w:val="22"/>
        </w:rPr>
        <w:t>a</w:t>
      </w:r>
      <w:r w:rsidRPr="00EC43AA">
        <w:rPr>
          <w:szCs w:val="22"/>
        </w:rPr>
        <w:t>tion du gouvernement (Commission Glassco), qui avait été déposé quelques semaines auparavant. La Commission proposait une réorg</w:t>
      </w:r>
      <w:r w:rsidRPr="00EC43AA">
        <w:rPr>
          <w:szCs w:val="22"/>
        </w:rPr>
        <w:t>a</w:t>
      </w:r>
      <w:r w:rsidRPr="00EC43AA">
        <w:rPr>
          <w:szCs w:val="22"/>
        </w:rPr>
        <w:t>nisation de la société Radio-Canada et lui d</w:t>
      </w:r>
      <w:r w:rsidRPr="00EC43AA">
        <w:rPr>
          <w:szCs w:val="22"/>
        </w:rPr>
        <w:t>e</w:t>
      </w:r>
      <w:r w:rsidRPr="00EC43AA">
        <w:rPr>
          <w:szCs w:val="22"/>
        </w:rPr>
        <w:t>mandait d'adopter une « politique commerciale plus hardie »</w:t>
      </w:r>
      <w:r>
        <w:rPr>
          <w:szCs w:val="22"/>
          <w:vertAlign w:val="superscript"/>
        </w:rPr>
        <w:t> </w:t>
      </w:r>
      <w:r>
        <w:rPr>
          <w:rStyle w:val="Appelnotedebasdep"/>
        </w:rPr>
        <w:footnoteReference w:id="720"/>
      </w:r>
      <w:r w:rsidRPr="00EC43AA">
        <w:rPr>
          <w:szCs w:val="22"/>
        </w:rPr>
        <w:t xml:space="preserve">. Pour y donner suite, Jack Pickersgill constitua un </w:t>
      </w:r>
      <w:r w:rsidRPr="00EC43AA">
        <w:rPr>
          <w:i/>
          <w:iCs/>
          <w:szCs w:val="22"/>
        </w:rPr>
        <w:t xml:space="preserve">Comité consultatif spécial, </w:t>
      </w:r>
      <w:r w:rsidRPr="00EC43AA">
        <w:rPr>
          <w:szCs w:val="22"/>
        </w:rPr>
        <w:t>surnommé « Troïka », qui était formé du prés</w:t>
      </w:r>
      <w:r w:rsidRPr="00EC43AA">
        <w:rPr>
          <w:szCs w:val="22"/>
        </w:rPr>
        <w:t>i</w:t>
      </w:r>
      <w:r w:rsidRPr="00EC43AA">
        <w:rPr>
          <w:szCs w:val="22"/>
        </w:rPr>
        <w:t>dent du BGR, Andrew Stewart, du président de Radio-Canada, Alphonse Ouimet, et du président de la CAB, Don J</w:t>
      </w:r>
      <w:r w:rsidRPr="00EC43AA">
        <w:rPr>
          <w:szCs w:val="22"/>
        </w:rPr>
        <w:t>a</w:t>
      </w:r>
      <w:r w:rsidRPr="00EC43AA">
        <w:rPr>
          <w:szCs w:val="22"/>
        </w:rPr>
        <w:t>mieson. Le rapport que le Comité remis en mai 1964 au ministre Maurice Lamontagne, qui venait de remplacer Pic</w:t>
      </w:r>
      <w:r w:rsidRPr="00EC43AA">
        <w:rPr>
          <w:szCs w:val="22"/>
        </w:rPr>
        <w:t>k</w:t>
      </w:r>
      <w:r w:rsidRPr="00EC43AA">
        <w:rPr>
          <w:szCs w:val="22"/>
        </w:rPr>
        <w:t>ersgill, révélait un consensus sur « la nécessité pour le gouvernement de déf</w:t>
      </w:r>
      <w:r w:rsidRPr="00EC43AA">
        <w:rPr>
          <w:szCs w:val="22"/>
        </w:rPr>
        <w:t>i</w:t>
      </w:r>
      <w:r w:rsidRPr="00EC43AA">
        <w:rPr>
          <w:szCs w:val="22"/>
        </w:rPr>
        <w:t>nir l</w:t>
      </w:r>
      <w:r w:rsidRPr="00EC43AA">
        <w:rPr>
          <w:szCs w:val="22"/>
        </w:rPr>
        <w:t>é</w:t>
      </w:r>
      <w:r w:rsidRPr="00EC43AA">
        <w:rPr>
          <w:szCs w:val="22"/>
        </w:rPr>
        <w:t>gislativement le rôle de chacun des acteurs de la radiodiffusion et de détailler la structure du système de r</w:t>
      </w:r>
      <w:r w:rsidRPr="00EC43AA">
        <w:rPr>
          <w:szCs w:val="22"/>
        </w:rPr>
        <w:t>a</w:t>
      </w:r>
      <w:r w:rsidRPr="00EC43AA">
        <w:rPr>
          <w:szCs w:val="22"/>
        </w:rPr>
        <w:t>diodiffusion ainsi que ses orientations dans un livre blanc »</w:t>
      </w:r>
      <w:r>
        <w:rPr>
          <w:szCs w:val="22"/>
          <w:vertAlign w:val="superscript"/>
        </w:rPr>
        <w:t> </w:t>
      </w:r>
      <w:r>
        <w:rPr>
          <w:rStyle w:val="Appelnotedebasdep"/>
        </w:rPr>
        <w:footnoteReference w:id="721"/>
      </w:r>
      <w:r w:rsidRPr="00EC43AA">
        <w:rPr>
          <w:szCs w:val="22"/>
        </w:rPr>
        <w:t>. Sur le reste, les membres de la « Troïka » proposaient trois rapports indépe</w:t>
      </w:r>
      <w:r w:rsidRPr="00EC43AA">
        <w:rPr>
          <w:szCs w:val="22"/>
        </w:rPr>
        <w:t>n</w:t>
      </w:r>
      <w:r w:rsidRPr="00EC43AA">
        <w:rPr>
          <w:szCs w:val="22"/>
        </w:rPr>
        <w:t>dants où les points de désaccord étaient plus nombreux que ceux sur lesquels il y avait consensus. Alphonse Ouimet proposait deux systèmes de radiodiff</w:t>
      </w:r>
      <w:r w:rsidRPr="00EC43AA">
        <w:rPr>
          <w:szCs w:val="22"/>
        </w:rPr>
        <w:t>u</w:t>
      </w:r>
      <w:r w:rsidRPr="00EC43AA">
        <w:rPr>
          <w:szCs w:val="22"/>
        </w:rPr>
        <w:t>sion sép</w:t>
      </w:r>
      <w:r w:rsidRPr="00EC43AA">
        <w:rPr>
          <w:szCs w:val="22"/>
        </w:rPr>
        <w:t>a</w:t>
      </w:r>
      <w:r w:rsidRPr="00EC43AA">
        <w:rPr>
          <w:szCs w:val="22"/>
        </w:rPr>
        <w:t>rés : l'un formé de stations appartenant à la société d'État, l'autre de stations privées qui seraient sous la juridi</w:t>
      </w:r>
      <w:r w:rsidRPr="00EC43AA">
        <w:rPr>
          <w:szCs w:val="22"/>
        </w:rPr>
        <w:t>c</w:t>
      </w:r>
      <w:r w:rsidRPr="00EC43AA">
        <w:rPr>
          <w:szCs w:val="22"/>
        </w:rPr>
        <w:t>tion du BGR ou de son équivalent. Pour Don Jamieson, cela signifiait que le BGR n'exerçait sa juridiction que sur les stations privées. Il revend</w:t>
      </w:r>
      <w:r w:rsidRPr="00EC43AA">
        <w:rPr>
          <w:szCs w:val="22"/>
        </w:rPr>
        <w:t>i</w:t>
      </w:r>
      <w:r w:rsidRPr="00EC43AA">
        <w:rPr>
          <w:szCs w:val="22"/>
        </w:rPr>
        <w:t>quait donc que les stations privées aient un traitement égal à celui que rec</w:t>
      </w:r>
      <w:r w:rsidRPr="00EC43AA">
        <w:rPr>
          <w:szCs w:val="22"/>
        </w:rPr>
        <w:t>e</w:t>
      </w:r>
      <w:r w:rsidRPr="00EC43AA">
        <w:rPr>
          <w:szCs w:val="22"/>
        </w:rPr>
        <w:t>vaient les st</w:t>
      </w:r>
      <w:r w:rsidRPr="00EC43AA">
        <w:rPr>
          <w:szCs w:val="22"/>
        </w:rPr>
        <w:t>a</w:t>
      </w:r>
      <w:r w:rsidRPr="00EC43AA">
        <w:rPr>
          <w:szCs w:val="22"/>
        </w:rPr>
        <w:t>tions de la société d'État.</w:t>
      </w:r>
    </w:p>
    <w:p w:rsidR="00AD690E" w:rsidRPr="00EC43AA" w:rsidRDefault="00AD690E" w:rsidP="00AD690E">
      <w:pPr>
        <w:spacing w:before="120" w:after="120"/>
        <w:jc w:val="both"/>
      </w:pPr>
      <w:r w:rsidRPr="00EC43AA">
        <w:rPr>
          <w:szCs w:val="22"/>
        </w:rPr>
        <w:t>Avant même que la « Troïka » ait remis son rapport, Maurice L</w:t>
      </w:r>
      <w:r w:rsidRPr="00EC43AA">
        <w:rPr>
          <w:szCs w:val="22"/>
        </w:rPr>
        <w:t>a</w:t>
      </w:r>
      <w:r w:rsidRPr="00EC43AA">
        <w:rPr>
          <w:szCs w:val="22"/>
        </w:rPr>
        <w:t>montagne annonçait une autre enquête sur la radiodiffusion pour déf</w:t>
      </w:r>
      <w:r w:rsidRPr="00EC43AA">
        <w:rPr>
          <w:szCs w:val="22"/>
        </w:rPr>
        <w:t>i</w:t>
      </w:r>
      <w:r w:rsidRPr="00EC43AA">
        <w:rPr>
          <w:szCs w:val="22"/>
        </w:rPr>
        <w:t>nir les orientations de base du livre blanc. Le Comité consult</w:t>
      </w:r>
      <w:r w:rsidRPr="00EC43AA">
        <w:rPr>
          <w:szCs w:val="22"/>
        </w:rPr>
        <w:t>a</w:t>
      </w:r>
      <w:r w:rsidRPr="00EC43AA">
        <w:rPr>
          <w:szCs w:val="22"/>
        </w:rPr>
        <w:t>tif formé à cet effet était présidé par Robert Fowler, qui avait déjà pr</w:t>
      </w:r>
      <w:r w:rsidRPr="00EC43AA">
        <w:rPr>
          <w:szCs w:val="22"/>
        </w:rPr>
        <w:t>é</w:t>
      </w:r>
      <w:r w:rsidRPr="00EC43AA">
        <w:rPr>
          <w:szCs w:val="22"/>
        </w:rPr>
        <w:t>sidé la Commission royale d'enquête sur la radio et la télévision et dont le rapport avait été remis en 1957. Sur ce Comité, on retrouvait Marc Lalonde, qui s'était déjà fait connaître pour son opposition au nation</w:t>
      </w:r>
      <w:r w:rsidRPr="00EC43AA">
        <w:rPr>
          <w:szCs w:val="22"/>
        </w:rPr>
        <w:t>a</w:t>
      </w:r>
      <w:r w:rsidRPr="00EC43AA">
        <w:rPr>
          <w:szCs w:val="22"/>
        </w:rPr>
        <w:t>lisme québ</w:t>
      </w:r>
      <w:r w:rsidRPr="00EC43AA">
        <w:rPr>
          <w:szCs w:val="22"/>
        </w:rPr>
        <w:t>é</w:t>
      </w:r>
      <w:r w:rsidRPr="00EC43AA">
        <w:rPr>
          <w:szCs w:val="22"/>
        </w:rPr>
        <w:t>cois et Emest Steele, sous-secrétaire d'État. Tous deux étaient connus comme des amis du ministre. Quant à Robert Fowler, tous ceux qui s'intéressaient aux comm</w:t>
      </w:r>
      <w:r w:rsidRPr="00EC43AA">
        <w:rPr>
          <w:szCs w:val="22"/>
        </w:rPr>
        <w:t>u</w:t>
      </w:r>
      <w:r w:rsidRPr="00EC43AA">
        <w:rPr>
          <w:szCs w:val="22"/>
        </w:rPr>
        <w:t>nications savaient ce qu'il pensait. Le Comité déposa</w:t>
      </w:r>
      <w:r>
        <w:rPr>
          <w:szCs w:val="22"/>
        </w:rPr>
        <w:t xml:space="preserve"> </w:t>
      </w:r>
      <w:r>
        <w:t xml:space="preserve">[419] </w:t>
      </w:r>
      <w:r w:rsidRPr="00EC43AA">
        <w:rPr>
          <w:szCs w:val="22"/>
        </w:rPr>
        <w:t xml:space="preserve">son rapport en décembre 1965, celui-ci est connu sous le nom de </w:t>
      </w:r>
      <w:r w:rsidRPr="00EC43AA">
        <w:rPr>
          <w:i/>
          <w:iCs/>
          <w:szCs w:val="22"/>
        </w:rPr>
        <w:t>Rapport Fowler I</w:t>
      </w:r>
      <w:r>
        <w:rPr>
          <w:i/>
          <w:iCs/>
          <w:szCs w:val="22"/>
        </w:rPr>
        <w:t>I</w:t>
      </w:r>
      <w:r>
        <w:rPr>
          <w:iCs/>
          <w:szCs w:val="22"/>
        </w:rPr>
        <w:t> </w:t>
      </w:r>
      <w:r w:rsidRPr="00E46AB0">
        <w:rPr>
          <w:rStyle w:val="Appelnotedebasdep"/>
          <w:iCs/>
        </w:rPr>
        <w:footnoteReference w:id="722"/>
      </w:r>
      <w:r w:rsidRPr="00EC43AA">
        <w:rPr>
          <w:i/>
          <w:iCs/>
          <w:szCs w:val="22"/>
        </w:rPr>
        <w:t>.</w:t>
      </w:r>
    </w:p>
    <w:p w:rsidR="00AD690E" w:rsidRPr="00EC43AA" w:rsidRDefault="00AD690E" w:rsidP="00AD690E">
      <w:pPr>
        <w:spacing w:before="120" w:after="120"/>
        <w:jc w:val="both"/>
      </w:pPr>
      <w:r w:rsidRPr="00EC43AA">
        <w:rPr>
          <w:szCs w:val="22"/>
        </w:rPr>
        <w:t>La câblodistribution était exclue du mandat du Comité puisque le ministère du Transport et le BGR avaient déjà fait connaître leur r</w:t>
      </w:r>
      <w:r w:rsidRPr="00EC43AA">
        <w:rPr>
          <w:szCs w:val="22"/>
        </w:rPr>
        <w:t>e</w:t>
      </w:r>
      <w:r w:rsidRPr="00EC43AA">
        <w:rPr>
          <w:szCs w:val="22"/>
        </w:rPr>
        <w:t>commandation sur le sujet. De même, le C</w:t>
      </w:r>
      <w:r w:rsidRPr="00EC43AA">
        <w:rPr>
          <w:szCs w:val="22"/>
        </w:rPr>
        <w:t>o</w:t>
      </w:r>
      <w:r w:rsidRPr="00EC43AA">
        <w:rPr>
          <w:szCs w:val="22"/>
        </w:rPr>
        <w:t>mité n'étudia pas la concentration croissante de la propriété des stations privées. Dans son rapport, il suggérait que le plus important était le contenu de la pr</w:t>
      </w:r>
      <w:r w:rsidRPr="00EC43AA">
        <w:rPr>
          <w:szCs w:val="22"/>
        </w:rPr>
        <w:t>o</w:t>
      </w:r>
      <w:r w:rsidRPr="00EC43AA">
        <w:rPr>
          <w:szCs w:val="22"/>
        </w:rPr>
        <w:t>grammation : « [...] the o</w:t>
      </w:r>
      <w:r w:rsidRPr="00EC43AA">
        <w:rPr>
          <w:szCs w:val="22"/>
        </w:rPr>
        <w:t>n</w:t>
      </w:r>
      <w:r w:rsidRPr="00EC43AA">
        <w:rPr>
          <w:szCs w:val="22"/>
        </w:rPr>
        <w:t>ly thing that really matters in broadea</w:t>
      </w:r>
      <w:r>
        <w:rPr>
          <w:szCs w:val="22"/>
        </w:rPr>
        <w:t>sting is program co</w:t>
      </w:r>
      <w:r>
        <w:rPr>
          <w:szCs w:val="22"/>
        </w:rPr>
        <w:t>n</w:t>
      </w:r>
      <w:r>
        <w:rPr>
          <w:szCs w:val="22"/>
        </w:rPr>
        <w:t>tent : al</w:t>
      </w:r>
      <w:r w:rsidRPr="00EC43AA">
        <w:rPr>
          <w:szCs w:val="22"/>
        </w:rPr>
        <w:t>l the rest is housekeeping »</w:t>
      </w:r>
      <w:r>
        <w:rPr>
          <w:szCs w:val="22"/>
          <w:vertAlign w:val="superscript"/>
        </w:rPr>
        <w:t> </w:t>
      </w:r>
      <w:r>
        <w:rPr>
          <w:rStyle w:val="Appelnotedebasdep"/>
        </w:rPr>
        <w:footnoteReference w:id="723"/>
      </w:r>
      <w:r w:rsidRPr="00EC43AA">
        <w:rPr>
          <w:szCs w:val="22"/>
        </w:rPr>
        <w:t>. Le secteur privé devait partager les objectifs du système can</w:t>
      </w:r>
      <w:r w:rsidRPr="00EC43AA">
        <w:rPr>
          <w:szCs w:val="22"/>
        </w:rPr>
        <w:t>a</w:t>
      </w:r>
      <w:r w:rsidRPr="00EC43AA">
        <w:rPr>
          <w:szCs w:val="22"/>
        </w:rPr>
        <w:t>dien même si le secteur public avait pour mandat d'assurer un service distinctif faisant une la</w:t>
      </w:r>
      <w:r w:rsidRPr="00EC43AA">
        <w:rPr>
          <w:szCs w:val="22"/>
        </w:rPr>
        <w:t>r</w:t>
      </w:r>
      <w:r w:rsidRPr="00EC43AA">
        <w:rPr>
          <w:szCs w:val="22"/>
        </w:rPr>
        <w:t>ge place aux créations canadiennes. Sur ce point, la perfo</w:t>
      </w:r>
      <w:r w:rsidRPr="00EC43AA">
        <w:rPr>
          <w:szCs w:val="22"/>
        </w:rPr>
        <w:t>r</w:t>
      </w:r>
      <w:r w:rsidRPr="00EC43AA">
        <w:rPr>
          <w:szCs w:val="22"/>
        </w:rPr>
        <w:t>mance de la société d'État était jugée supérieure à celle des stations privées. Par ailleurs, Radio-Canada n'avait pas réussi à rapprocher les deux gro</w:t>
      </w:r>
      <w:r w:rsidRPr="00EC43AA">
        <w:rPr>
          <w:szCs w:val="22"/>
        </w:rPr>
        <w:t>u</w:t>
      </w:r>
      <w:r w:rsidRPr="00EC43AA">
        <w:rPr>
          <w:szCs w:val="22"/>
        </w:rPr>
        <w:t>pes culturels comme son mandat le supposait. Après avoir demandé au gouvernement d'exposer plus clairement les buts et objectifs du système de radiodiffusion, les commissaires recommandaient la cré</w:t>
      </w:r>
      <w:r w:rsidRPr="00EC43AA">
        <w:rPr>
          <w:szCs w:val="22"/>
        </w:rPr>
        <w:t>a</w:t>
      </w:r>
      <w:r w:rsidRPr="00EC43AA">
        <w:rPr>
          <w:szCs w:val="22"/>
        </w:rPr>
        <w:t>tion d'un nouvel organisme, une régie canadienne des ondes, qui r</w:t>
      </w:r>
      <w:r w:rsidRPr="00EC43AA">
        <w:rPr>
          <w:szCs w:val="22"/>
        </w:rPr>
        <w:t>é</w:t>
      </w:r>
      <w:r w:rsidRPr="00EC43AA">
        <w:rPr>
          <w:szCs w:val="22"/>
        </w:rPr>
        <w:t>glementerait les secteurs privés et public et qui administrerait la soci</w:t>
      </w:r>
      <w:r w:rsidRPr="00EC43AA">
        <w:rPr>
          <w:szCs w:val="22"/>
        </w:rPr>
        <w:t>é</w:t>
      </w:r>
      <w:r w:rsidRPr="00EC43AA">
        <w:rPr>
          <w:szCs w:val="22"/>
        </w:rPr>
        <w:t>té d'État en prenant la place de l'actuel conseil d'administration (les commissaires supposaient qu'on éviterait ainsi les conflits entre la s</w:t>
      </w:r>
      <w:r w:rsidRPr="00EC43AA">
        <w:rPr>
          <w:szCs w:val="22"/>
        </w:rPr>
        <w:t>o</w:t>
      </w:r>
      <w:r w:rsidRPr="00EC43AA">
        <w:rPr>
          <w:szCs w:val="22"/>
        </w:rPr>
        <w:t>ciété Radio-Canada et le BGR, deux bureaux qui avaient des comptes à rendre au Parlement dans des domaines connexes.) Il était aussi su</w:t>
      </w:r>
      <w:r w:rsidRPr="00EC43AA">
        <w:rPr>
          <w:szCs w:val="22"/>
        </w:rPr>
        <w:t>g</w:t>
      </w:r>
      <w:r w:rsidRPr="00EC43AA">
        <w:rPr>
          <w:szCs w:val="22"/>
        </w:rPr>
        <w:t>géré que la s</w:t>
      </w:r>
      <w:r w:rsidRPr="00EC43AA">
        <w:rPr>
          <w:szCs w:val="22"/>
        </w:rPr>
        <w:t>o</w:t>
      </w:r>
      <w:r w:rsidRPr="00EC43AA">
        <w:rPr>
          <w:szCs w:val="22"/>
        </w:rPr>
        <w:t>ciété Radio-Canada soit redéfinie et que le siège social de la section française soit transférée d'Ottawa à Mo</w:t>
      </w:r>
      <w:r w:rsidRPr="00EC43AA">
        <w:rPr>
          <w:szCs w:val="22"/>
        </w:rPr>
        <w:t>n</w:t>
      </w:r>
      <w:r w:rsidRPr="00EC43AA">
        <w:rPr>
          <w:szCs w:val="22"/>
        </w:rPr>
        <w:t>tréal.</w:t>
      </w:r>
      <w:r w:rsidRPr="00A71B80">
        <w:t xml:space="preserve"> </w:t>
      </w:r>
    </w:p>
    <w:p w:rsidR="00AD690E" w:rsidRPr="00EC43AA" w:rsidRDefault="00AD690E" w:rsidP="00AD690E">
      <w:pPr>
        <w:spacing w:before="120" w:after="120"/>
        <w:jc w:val="both"/>
      </w:pPr>
      <w:r w:rsidRPr="00EC43AA">
        <w:rPr>
          <w:szCs w:val="22"/>
        </w:rPr>
        <w:t>Après les élections de novembre 1965, Judy Lamarsh su</w:t>
      </w:r>
      <w:r w:rsidRPr="00EC43AA">
        <w:rPr>
          <w:szCs w:val="22"/>
        </w:rPr>
        <w:t>c</w:t>
      </w:r>
      <w:r w:rsidRPr="00EC43AA">
        <w:rPr>
          <w:szCs w:val="22"/>
        </w:rPr>
        <w:t xml:space="preserve">céda à Maurice Lamontagne à la tête du Secrétariat d'État. Elle trouva alors devant elle une opposition unanime au </w:t>
      </w:r>
      <w:r w:rsidRPr="00EC43AA">
        <w:rPr>
          <w:i/>
          <w:iCs/>
          <w:szCs w:val="22"/>
        </w:rPr>
        <w:t xml:space="preserve">Rapport Fowler II, </w:t>
      </w:r>
      <w:r w:rsidRPr="00EC43AA">
        <w:rPr>
          <w:szCs w:val="22"/>
        </w:rPr>
        <w:t>si l'on e</w:t>
      </w:r>
      <w:r w:rsidRPr="00EC43AA">
        <w:rPr>
          <w:szCs w:val="22"/>
        </w:rPr>
        <w:t>x</w:t>
      </w:r>
      <w:r w:rsidRPr="00EC43AA">
        <w:rPr>
          <w:szCs w:val="22"/>
        </w:rPr>
        <w:t xml:space="preserve">cepte la </w:t>
      </w:r>
      <w:r w:rsidRPr="00EC43AA">
        <w:rPr>
          <w:i/>
          <w:iCs/>
          <w:szCs w:val="22"/>
        </w:rPr>
        <w:t xml:space="preserve">Canadian Broadeasting League </w:t>
      </w:r>
      <w:r w:rsidRPr="00EC43AA">
        <w:rPr>
          <w:szCs w:val="22"/>
        </w:rPr>
        <w:t>qui considérait que les r</w:t>
      </w:r>
      <w:r w:rsidRPr="00EC43AA">
        <w:rPr>
          <w:szCs w:val="22"/>
        </w:rPr>
        <w:t>e</w:t>
      </w:r>
      <w:r w:rsidRPr="00EC43AA">
        <w:rPr>
          <w:szCs w:val="22"/>
        </w:rPr>
        <w:t xml:space="preserve">commandations devaient être suivies puisqu'elles correspondaient en gros à celle du </w:t>
      </w:r>
      <w:r w:rsidRPr="00EC43AA">
        <w:rPr>
          <w:i/>
          <w:iCs/>
          <w:szCs w:val="22"/>
        </w:rPr>
        <w:t>Ra</w:t>
      </w:r>
      <w:r w:rsidRPr="00EC43AA">
        <w:rPr>
          <w:i/>
          <w:iCs/>
          <w:szCs w:val="22"/>
        </w:rPr>
        <w:t>p</w:t>
      </w:r>
      <w:r w:rsidRPr="00EC43AA">
        <w:rPr>
          <w:i/>
          <w:iCs/>
          <w:szCs w:val="22"/>
        </w:rPr>
        <w:t xml:space="preserve">port Fowler I </w:t>
      </w:r>
      <w:r w:rsidRPr="00EC43AA">
        <w:rPr>
          <w:szCs w:val="22"/>
        </w:rPr>
        <w:t>(1957). Les radiodiffuseurs privés affirmèrent qu'une régie canadienne des ondes répugnait à leur « sens de la liberté d</w:t>
      </w:r>
      <w:r w:rsidRPr="00EC43AA">
        <w:rPr>
          <w:szCs w:val="22"/>
        </w:rPr>
        <w:t>é</w:t>
      </w:r>
      <w:r w:rsidRPr="00EC43AA">
        <w:rPr>
          <w:szCs w:val="22"/>
        </w:rPr>
        <w:t>mocratique » : la proposition d'une instance unique de régl</w:t>
      </w:r>
      <w:r w:rsidRPr="00EC43AA">
        <w:rPr>
          <w:szCs w:val="22"/>
        </w:rPr>
        <w:t>e</w:t>
      </w:r>
      <w:r w:rsidRPr="00EC43AA">
        <w:rPr>
          <w:szCs w:val="22"/>
        </w:rPr>
        <w:t>mentation et d'administration de la société d'État laissait craindre que le secteur privé soit subordonné aux intérêts de la société d'État. La haute direction de Radio-Canada refusait également cette régie unique : elle ne croyait pas qu'une in</w:t>
      </w:r>
      <w:r w:rsidRPr="00EC43AA">
        <w:rPr>
          <w:szCs w:val="22"/>
        </w:rPr>
        <w:t>s</w:t>
      </w:r>
      <w:r w:rsidRPr="00EC43AA">
        <w:rPr>
          <w:szCs w:val="22"/>
        </w:rPr>
        <w:t>tance unique puisse réglementer l'ensemble du système de radiodiffusion et en même temps admini</w:t>
      </w:r>
      <w:r w:rsidRPr="00EC43AA">
        <w:rPr>
          <w:szCs w:val="22"/>
        </w:rPr>
        <w:t>s</w:t>
      </w:r>
      <w:r w:rsidRPr="00EC43AA">
        <w:rPr>
          <w:szCs w:val="22"/>
        </w:rPr>
        <w:t>trer eff</w:t>
      </w:r>
      <w:r w:rsidRPr="00EC43AA">
        <w:rPr>
          <w:szCs w:val="22"/>
        </w:rPr>
        <w:t>i</w:t>
      </w:r>
      <w:r w:rsidRPr="00EC43AA">
        <w:rPr>
          <w:szCs w:val="22"/>
        </w:rPr>
        <w:t>cacement une société comme Radio-Canada, qui était devenue immense et complexe. Enfin, il se</w:t>
      </w:r>
      <w:r w:rsidRPr="00EC43AA">
        <w:rPr>
          <w:szCs w:val="22"/>
        </w:rPr>
        <w:t>m</w:t>
      </w:r>
      <w:r w:rsidRPr="00EC43AA">
        <w:rPr>
          <w:szCs w:val="22"/>
        </w:rPr>
        <w:t>blait que le BGR, la CAB et la société Radio-Canada s'entendaient pour dema</w:t>
      </w:r>
      <w:r w:rsidRPr="00EC43AA">
        <w:rPr>
          <w:szCs w:val="22"/>
        </w:rPr>
        <w:t>n</w:t>
      </w:r>
      <w:r w:rsidRPr="00EC43AA">
        <w:rPr>
          <w:szCs w:val="22"/>
        </w:rPr>
        <w:t>der que la nouvelle législation</w:t>
      </w:r>
      <w:r>
        <w:rPr>
          <w:szCs w:val="22"/>
        </w:rPr>
        <w:t xml:space="preserve"> </w:t>
      </w:r>
      <w:r>
        <w:rPr>
          <w:szCs w:val="18"/>
        </w:rPr>
        <w:t>[</w:t>
      </w:r>
      <w:r w:rsidRPr="00EC43AA">
        <w:rPr>
          <w:szCs w:val="18"/>
        </w:rPr>
        <w:t>420</w:t>
      </w:r>
      <w:r>
        <w:rPr>
          <w:szCs w:val="18"/>
        </w:rPr>
        <w:t xml:space="preserve">] </w:t>
      </w:r>
      <w:r w:rsidRPr="00EC43AA">
        <w:t>précise le rôle de chacun. Pour le reste, on semblait s'en r</w:t>
      </w:r>
      <w:r w:rsidRPr="00EC43AA">
        <w:t>e</w:t>
      </w:r>
      <w:r w:rsidRPr="00EC43AA">
        <w:t xml:space="preserve">mettre à la situation prévalant depuis 1958, celle du </w:t>
      </w:r>
      <w:r w:rsidRPr="00EC43AA">
        <w:rPr>
          <w:i/>
          <w:iCs/>
        </w:rPr>
        <w:t>two-boards System.</w:t>
      </w:r>
    </w:p>
    <w:p w:rsidR="00AD690E" w:rsidRPr="00EC43AA" w:rsidRDefault="00AD690E" w:rsidP="00AD690E">
      <w:pPr>
        <w:spacing w:before="120" w:after="120"/>
        <w:jc w:val="both"/>
      </w:pPr>
      <w:r w:rsidRPr="00EC43AA">
        <w:t xml:space="preserve">En décembre 1965, le premier ministre Pearson forma un comité de sept membres du Cabinet pour étudier le </w:t>
      </w:r>
      <w:r w:rsidRPr="00EC43AA">
        <w:rPr>
          <w:i/>
          <w:iCs/>
        </w:rPr>
        <w:t>Rapport F</w:t>
      </w:r>
      <w:r w:rsidRPr="00EC43AA">
        <w:rPr>
          <w:i/>
          <w:iCs/>
        </w:rPr>
        <w:t>o</w:t>
      </w:r>
      <w:r w:rsidRPr="00EC43AA">
        <w:rPr>
          <w:i/>
          <w:iCs/>
        </w:rPr>
        <w:t xml:space="preserve">wler II </w:t>
      </w:r>
      <w:r w:rsidRPr="00EC43AA">
        <w:t xml:space="preserve">et pour préparer le </w:t>
      </w:r>
      <w:r w:rsidRPr="00EC43AA">
        <w:rPr>
          <w:i/>
          <w:iCs/>
        </w:rPr>
        <w:t xml:space="preserve">Livre blanc sur la radiodiffusion. </w:t>
      </w:r>
      <w:r w:rsidRPr="00EC43AA">
        <w:t>Fait inhabituel, le pr</w:t>
      </w:r>
      <w:r w:rsidRPr="00EC43AA">
        <w:t>e</w:t>
      </w:r>
      <w:r w:rsidRPr="00EC43AA">
        <w:t>mier ministre décida de présider lui-même ce comité. Judy Lamarsh, ministre responsable de ce dossier, ressentit d'autant plus fortement cette absence de confiance que le premier ministre rencontra secrèt</w:t>
      </w:r>
      <w:r w:rsidRPr="00EC43AA">
        <w:t>e</w:t>
      </w:r>
      <w:r w:rsidRPr="00EC43AA">
        <w:t>ment certains des conseillers de son ministère en leur disant de ne pas en informer la ministre Lamarsh</w:t>
      </w:r>
      <w:r>
        <w:rPr>
          <w:vertAlign w:val="superscript"/>
        </w:rPr>
        <w:t> </w:t>
      </w:r>
      <w:r>
        <w:rPr>
          <w:rStyle w:val="Appelnotedebasdep"/>
        </w:rPr>
        <w:footnoteReference w:id="724"/>
      </w:r>
      <w:r w:rsidRPr="00EC43AA">
        <w:t>. De plus, il décida que le c</w:t>
      </w:r>
      <w:r w:rsidRPr="00EC43AA">
        <w:t>o</w:t>
      </w:r>
      <w:r w:rsidRPr="00EC43AA">
        <w:t>mité devait entendre à nouveau les représentants du BGR, de la CAB et de Radio-Canada dont les positions respectives étaient pourtant bien connues. Enfin, le 18 janvier 1966, le gouvern</w:t>
      </w:r>
      <w:r w:rsidRPr="00EC43AA">
        <w:t>e</w:t>
      </w:r>
      <w:r w:rsidRPr="00EC43AA">
        <w:t>ment libéral forma un comité permanent de vingt-cinq personnes pour revoir la radiodiff</w:t>
      </w:r>
      <w:r w:rsidRPr="00EC43AA">
        <w:t>u</w:t>
      </w:r>
      <w:r w:rsidRPr="00EC43AA">
        <w:t>sion, le cinéma et les programmes d'assistance aux arts. Gérard Pell</w:t>
      </w:r>
      <w:r w:rsidRPr="00EC43AA">
        <w:t>e</w:t>
      </w:r>
      <w:r w:rsidRPr="00EC43AA">
        <w:t>tie</w:t>
      </w:r>
      <w:r>
        <w:t>r </w:t>
      </w:r>
      <w:r>
        <w:rPr>
          <w:rStyle w:val="Appelnotedebasdep"/>
        </w:rPr>
        <w:footnoteReference w:id="725"/>
      </w:r>
      <w:r w:rsidRPr="00EC43AA">
        <w:t xml:space="preserve"> présida ce comité et Pierre Trudeau en fit pa</w:t>
      </w:r>
      <w:r w:rsidRPr="00EC43AA">
        <w:t>r</w:t>
      </w:r>
      <w:r w:rsidRPr="00EC43AA">
        <w:t>tie. Ce comité fut appelé à se pencher sur le contenu du livre blanc qui avait été déposé en jui</w:t>
      </w:r>
      <w:r w:rsidRPr="00EC43AA">
        <w:t>l</w:t>
      </w:r>
      <w:r w:rsidRPr="00EC43AA">
        <w:t>let 1966.</w:t>
      </w:r>
    </w:p>
    <w:p w:rsidR="00AD690E" w:rsidRDefault="00AD690E" w:rsidP="00AD690E">
      <w:pPr>
        <w:spacing w:before="120" w:after="120"/>
        <w:jc w:val="both"/>
      </w:pPr>
    </w:p>
    <w:p w:rsidR="00AD690E" w:rsidRPr="009B4DAA" w:rsidRDefault="00AD690E" w:rsidP="00AD690E">
      <w:pPr>
        <w:pStyle w:val="a"/>
      </w:pPr>
      <w:r w:rsidRPr="009B4DAA">
        <w:t>g) Le livre blanc et la nouvelle loi</w:t>
      </w:r>
    </w:p>
    <w:p w:rsidR="00AD690E" w:rsidRDefault="00AD690E" w:rsidP="00AD690E">
      <w:pPr>
        <w:spacing w:before="120" w:after="120"/>
        <w:jc w:val="both"/>
      </w:pPr>
    </w:p>
    <w:p w:rsidR="00AD690E" w:rsidRPr="00EC43AA" w:rsidRDefault="00AD690E" w:rsidP="00AD690E">
      <w:pPr>
        <w:spacing w:before="120" w:after="120"/>
        <w:jc w:val="both"/>
      </w:pPr>
      <w:r w:rsidRPr="00EC43AA">
        <w:t>Ne contenant que dix-neuf pages, le livre blanc était relat</w:t>
      </w:r>
      <w:r w:rsidRPr="00EC43AA">
        <w:t>i</w:t>
      </w:r>
      <w:r w:rsidRPr="00EC43AA">
        <w:t>vement modeste, au moins dans sa facture. Dès les premières lignes, il était affirmé que « la détermination d'établir et de maintenir un système de radiodiffusion sonore et visuelle au Canada s'inscrivait essentiell</w:t>
      </w:r>
      <w:r w:rsidRPr="00EC43AA">
        <w:t>e</w:t>
      </w:r>
      <w:r w:rsidRPr="00EC43AA">
        <w:t>ment dans la poursuite de l'ide</w:t>
      </w:r>
      <w:r w:rsidRPr="00EC43AA">
        <w:t>n</w:t>
      </w:r>
      <w:r w:rsidRPr="00EC43AA">
        <w:t>tité et de l'unité canadienne » (p. 5). Les dernières lignes de la conclusion reprenaient le même refrain s</w:t>
      </w:r>
      <w:r w:rsidRPr="00EC43AA">
        <w:t>e</w:t>
      </w:r>
      <w:r w:rsidRPr="00EC43AA">
        <w:t>lon lequel le sy</w:t>
      </w:r>
      <w:r w:rsidRPr="00EC43AA">
        <w:t>s</w:t>
      </w:r>
      <w:r w:rsidRPr="00EC43AA">
        <w:t>tème canadien devait contribuer « puissamment à la réalisation de l'objectif esse</w:t>
      </w:r>
      <w:r w:rsidRPr="00EC43AA">
        <w:t>n</w:t>
      </w:r>
      <w:r w:rsidRPr="00EC43AA">
        <w:t>tiel qu'est l'unité canadienne » (p. 19). Comme l'écrit Jacques Frémont, le « livre blanc de 1966 propose e</w:t>
      </w:r>
      <w:r w:rsidRPr="00EC43AA">
        <w:t>x</w:t>
      </w:r>
      <w:r w:rsidRPr="00EC43AA">
        <w:t>plicitement pour la première fois que la poursuite de l'identité et de l'unité canadienne constitue un objectif du système de r</w:t>
      </w:r>
      <w:r w:rsidRPr="00EC43AA">
        <w:t>a</w:t>
      </w:r>
      <w:r w:rsidRPr="00EC43AA">
        <w:t>diodiffusion can</w:t>
      </w:r>
      <w:r w:rsidRPr="00EC43AA">
        <w:t>a</w:t>
      </w:r>
      <w:r w:rsidRPr="00EC43AA">
        <w:t>dienne »</w:t>
      </w:r>
      <w:r>
        <w:rPr>
          <w:vertAlign w:val="superscript"/>
        </w:rPr>
        <w:t> </w:t>
      </w:r>
      <w:r>
        <w:rPr>
          <w:rStyle w:val="Appelnotedebasdep"/>
        </w:rPr>
        <w:footnoteReference w:id="726"/>
      </w:r>
      <w:r w:rsidRPr="00EC43AA">
        <w:t>.</w:t>
      </w:r>
    </w:p>
    <w:p w:rsidR="00AD690E" w:rsidRPr="00EC43AA" w:rsidRDefault="00AD690E" w:rsidP="00AD690E">
      <w:pPr>
        <w:spacing w:before="120" w:after="120"/>
        <w:jc w:val="both"/>
      </w:pPr>
      <w:r w:rsidRPr="00EC43AA">
        <w:t>Pour atteindre cet objectif, il fut proposé que les install</w:t>
      </w:r>
      <w:r w:rsidRPr="00EC43AA">
        <w:t>a</w:t>
      </w:r>
      <w:r w:rsidRPr="00EC43AA">
        <w:t>tions de radiodiffusion appartiendraient à des Canadiens et que le Parlement serait « invité » à autoriser le gouvernement à donner des directives destinées à empêcher le contrôle étranger des installations de radiodi</w:t>
      </w:r>
      <w:r w:rsidRPr="00EC43AA">
        <w:t>f</w:t>
      </w:r>
      <w:r w:rsidRPr="00EC43AA">
        <w:t>fusion, la domination d'une situ</w:t>
      </w:r>
      <w:r w:rsidRPr="00EC43AA">
        <w:t>a</w:t>
      </w:r>
      <w:r w:rsidRPr="00EC43AA">
        <w:t>tion locale par la possession multiple ou l'extension géographique de la posse</w:t>
      </w:r>
      <w:r w:rsidRPr="00EC43AA">
        <w:t>s</w:t>
      </w:r>
      <w:r w:rsidRPr="00EC43AA">
        <w:t>sion</w:t>
      </w:r>
      <w:r>
        <w:t xml:space="preserve"> </w:t>
      </w:r>
      <w:r>
        <w:rPr>
          <w:szCs w:val="18"/>
        </w:rPr>
        <w:t xml:space="preserve">[421] </w:t>
      </w:r>
      <w:r w:rsidRPr="00EC43AA">
        <w:t>des installations d'une manière qui ne cadrerait pas avec l'int</w:t>
      </w:r>
      <w:r w:rsidRPr="00EC43AA">
        <w:t>é</w:t>
      </w:r>
      <w:r w:rsidRPr="00EC43AA">
        <w:t>rêt public</w:t>
      </w:r>
      <w:r>
        <w:rPr>
          <w:vertAlign w:val="superscript"/>
        </w:rPr>
        <w:t> </w:t>
      </w:r>
      <w:r>
        <w:rPr>
          <w:rStyle w:val="Appelnotedebasdep"/>
        </w:rPr>
        <w:footnoteReference w:id="727"/>
      </w:r>
      <w:r w:rsidRPr="00EC43AA">
        <w:t>. Tous les Canadiens, affirmait le livre blanc, « sauf considérations d'ordre prat</w:t>
      </w:r>
      <w:r w:rsidRPr="00EC43AA">
        <w:t>i</w:t>
      </w:r>
      <w:r w:rsidRPr="00EC43AA">
        <w:t>que relatives à la dépense des fonds publics », ont droit « d'être servis dans la langue officielle qu'ils parlent habituellement ». Enfin, les r</w:t>
      </w:r>
      <w:r w:rsidRPr="00EC43AA">
        <w:t>a</w:t>
      </w:r>
      <w:r w:rsidRPr="00EC43AA">
        <w:t>diodiffuseurs publics et privés avaient la respo</w:t>
      </w:r>
      <w:r w:rsidRPr="00EC43AA">
        <w:t>n</w:t>
      </w:r>
      <w:r w:rsidRPr="00EC43AA">
        <w:t>sabilité de fournir une programmation de qualité qui contienne « un fort élément can</w:t>
      </w:r>
      <w:r w:rsidRPr="00EC43AA">
        <w:t>a</w:t>
      </w:r>
      <w:r w:rsidRPr="00EC43AA">
        <w:t>dien » de sorte que, dans la nouvelle loi, l'instance de réglementation pouvait fixer « des normes minimums de programm</w:t>
      </w:r>
      <w:r w:rsidRPr="00EC43AA">
        <w:t>a</w:t>
      </w:r>
      <w:r w:rsidRPr="00EC43AA">
        <w:t>tion de service public et de teneur en élément can</w:t>
      </w:r>
      <w:r w:rsidRPr="00EC43AA">
        <w:t>a</w:t>
      </w:r>
      <w:r w:rsidRPr="00EC43AA">
        <w:t>dien. »</w:t>
      </w:r>
    </w:p>
    <w:p w:rsidR="00AD690E" w:rsidRPr="00EC43AA" w:rsidRDefault="00AD690E" w:rsidP="00AD690E">
      <w:pPr>
        <w:spacing w:before="120" w:after="120"/>
        <w:jc w:val="both"/>
      </w:pPr>
      <w:r w:rsidRPr="00EC43AA">
        <w:t>Sur l'organisme de réglementation et sur la place des secteurs pr</w:t>
      </w:r>
      <w:r w:rsidRPr="00EC43AA">
        <w:t>i</w:t>
      </w:r>
      <w:r w:rsidRPr="00EC43AA">
        <w:t xml:space="preserve">vés et publics dans le système de radiodiffusion, le livre blanc rejetait la recommandation centrale du </w:t>
      </w:r>
      <w:r w:rsidRPr="00EC43AA">
        <w:rPr>
          <w:i/>
          <w:iCs/>
        </w:rPr>
        <w:t xml:space="preserve">Rapport Fowler II </w:t>
      </w:r>
      <w:r w:rsidRPr="00EC43AA">
        <w:t>(1965) de créer un seul organisme responsable à la fois de la réglementation et de l'adm</w:t>
      </w:r>
      <w:r w:rsidRPr="00EC43AA">
        <w:t>i</w:t>
      </w:r>
      <w:r w:rsidRPr="00EC43AA">
        <w:t>nistration de Radio-Canada. Il n'a</w:t>
      </w:r>
      <w:r w:rsidRPr="00EC43AA">
        <w:t>c</w:t>
      </w:r>
      <w:r w:rsidRPr="00EC43AA">
        <w:t>ceptait pas non plus la suggestion de la haute direction de Radio-Canada et du BGR de créer un système dualiste où chaque secteur serait sous l'autorité d'un conseil devant rendre des comptes au gouvern</w:t>
      </w:r>
      <w:r w:rsidRPr="00EC43AA">
        <w:t>e</w:t>
      </w:r>
      <w:r w:rsidRPr="00EC43AA">
        <w:t>ment. Ce que rete</w:t>
      </w:r>
      <w:r>
        <w:t>nai</w:t>
      </w:r>
      <w:r w:rsidRPr="00EC43AA">
        <w:t>t le livre blanc, c'était la position de Don Jamieson et de la CAB, position qui s'app</w:t>
      </w:r>
      <w:r w:rsidRPr="00EC43AA">
        <w:t>a</w:t>
      </w:r>
      <w:r w:rsidRPr="00EC43AA">
        <w:t>rentait au système inauguré par la loi de 1958. Il fut cependant prop</w:t>
      </w:r>
      <w:r w:rsidRPr="00EC43AA">
        <w:t>o</w:t>
      </w:r>
      <w:r w:rsidRPr="00EC43AA">
        <w:t>sé de renforcer l'autorité de l'org</w:t>
      </w:r>
      <w:r w:rsidRPr="00EC43AA">
        <w:t>a</w:t>
      </w:r>
      <w:r w:rsidRPr="00EC43AA">
        <w:t>nisme de réglementation sur Radio-Canada et de lui donner les moyens d'exercer un contrôle sur la teneur canadienne de la programmation. Cet org</w:t>
      </w:r>
      <w:r w:rsidRPr="00EC43AA">
        <w:t>a</w:t>
      </w:r>
      <w:r w:rsidRPr="00EC43AA">
        <w:t>nisme pouvait imposer des amendes et même refuser le renouvellement d'un permis si les cond</w:t>
      </w:r>
      <w:r w:rsidRPr="00EC43AA">
        <w:t>i</w:t>
      </w:r>
      <w:r w:rsidRPr="00EC43AA">
        <w:t>tions formulées lors de l'octroi n'avaient pas été re</w:t>
      </w:r>
      <w:r w:rsidRPr="00EC43AA">
        <w:t>s</w:t>
      </w:r>
      <w:r w:rsidRPr="00EC43AA">
        <w:t xml:space="preserve">pectées. </w:t>
      </w:r>
      <w:r>
        <w:t>À</w:t>
      </w:r>
      <w:r w:rsidRPr="00EC43AA">
        <w:t xml:space="preserve"> l'avenir, un permis ne sera octroyé qu'après audience p</w:t>
      </w:r>
      <w:r w:rsidRPr="00EC43AA">
        <w:t>u</w:t>
      </w:r>
      <w:r w:rsidRPr="00EC43AA">
        <w:t>blique.</w:t>
      </w:r>
    </w:p>
    <w:p w:rsidR="00AD690E" w:rsidRPr="00EC43AA" w:rsidRDefault="00AD690E" w:rsidP="00AD690E">
      <w:pPr>
        <w:spacing w:before="120" w:after="120"/>
        <w:jc w:val="both"/>
      </w:pPr>
      <w:r w:rsidRPr="00EC43AA">
        <w:t>Le champ de la juridiction du gouvernement fédéral fut par ailleurs élargi au moins dans deux directions : celles de la radiodiffusion éd</w:t>
      </w:r>
      <w:r w:rsidRPr="00EC43AA">
        <w:t>u</w:t>
      </w:r>
      <w:r w:rsidRPr="00EC43AA">
        <w:t>cative et de la câblo</w:t>
      </w:r>
      <w:r>
        <w:t>-</w:t>
      </w:r>
      <w:r w:rsidRPr="00EC43AA">
        <w:t>diffusion. Dans le pr</w:t>
      </w:r>
      <w:r w:rsidRPr="00EC43AA">
        <w:t>e</w:t>
      </w:r>
      <w:r w:rsidRPr="00EC43AA">
        <w:t>mier cas, il était affirmé que la « radiodiffusion éducative comporte des re</w:t>
      </w:r>
      <w:r w:rsidRPr="00EC43AA">
        <w:t>s</w:t>
      </w:r>
      <w:r w:rsidRPr="00EC43AA">
        <w:t>ponsabilités fédérales et provinciales », mais que « la ligne de conduite des vingt dernières a</w:t>
      </w:r>
      <w:r w:rsidRPr="00EC43AA">
        <w:t>n</w:t>
      </w:r>
      <w:r w:rsidRPr="00EC43AA">
        <w:t>nées consiste à ne pas accorder des permis de radiodiffusion à d'autres gouvernements ». Dans le second cas, le livre blanc affirmait sans r</w:t>
      </w:r>
      <w:r w:rsidRPr="00EC43AA">
        <w:t>é</w:t>
      </w:r>
      <w:r w:rsidRPr="00EC43AA">
        <w:t>serve que « les systèmes de télévision à antenne collective seront tra</w:t>
      </w:r>
      <w:r w:rsidRPr="00EC43AA">
        <w:t>i</w:t>
      </w:r>
      <w:r w:rsidRPr="00EC43AA">
        <w:t>tés comme des éléments de la radiodiffusion nati</w:t>
      </w:r>
      <w:r w:rsidRPr="00EC43AA">
        <w:t>o</w:t>
      </w:r>
      <w:r w:rsidRPr="00EC43AA">
        <w:t>nale », en ne faisant aucune allusion aux prétentions des pr</w:t>
      </w:r>
      <w:r w:rsidRPr="00EC43AA">
        <w:t>o</w:t>
      </w:r>
      <w:r w:rsidRPr="00EC43AA">
        <w:t>vinces dans ce domaine.</w:t>
      </w:r>
    </w:p>
    <w:p w:rsidR="00AD690E" w:rsidRPr="00EC43AA" w:rsidRDefault="00AD690E" w:rsidP="00AD690E">
      <w:pPr>
        <w:spacing w:before="120" w:after="120"/>
        <w:jc w:val="both"/>
      </w:pPr>
      <w:r w:rsidRPr="00EC43AA">
        <w:t>Enfin, on peut supposer que les artistes étaient relativement sati</w:t>
      </w:r>
      <w:r w:rsidRPr="00EC43AA">
        <w:t>s</w:t>
      </w:r>
      <w:r w:rsidRPr="00EC43AA">
        <w:t xml:space="preserve">faits de ce livre blanc puisque certaines demandes de </w:t>
      </w:r>
      <w:r w:rsidRPr="008E62F1">
        <w:rPr>
          <w:iCs/>
        </w:rPr>
        <w:t>l’</w:t>
      </w:r>
      <w:r w:rsidRPr="00EC43AA">
        <w:rPr>
          <w:i/>
          <w:iCs/>
        </w:rPr>
        <w:t>Association of</w:t>
      </w:r>
      <w:r>
        <w:rPr>
          <w:i/>
          <w:iCs/>
        </w:rPr>
        <w:t xml:space="preserve"> </w:t>
      </w:r>
      <w:r w:rsidRPr="00EC43AA">
        <w:rPr>
          <w:i/>
          <w:iCs/>
        </w:rPr>
        <w:t>Canadian Radio and T</w:t>
      </w:r>
      <w:r>
        <w:rPr>
          <w:i/>
          <w:iCs/>
        </w:rPr>
        <w:t>ele</w:t>
      </w:r>
      <w:r w:rsidRPr="00EC43AA">
        <w:rPr>
          <w:i/>
          <w:iCs/>
        </w:rPr>
        <w:t xml:space="preserve">vision Artist </w:t>
      </w:r>
      <w:r w:rsidRPr="00EC43AA">
        <w:t>(A</w:t>
      </w:r>
      <w:r w:rsidRPr="00EC43AA">
        <w:t>C</w:t>
      </w:r>
      <w:r w:rsidRPr="00EC43AA">
        <w:t>TRA) étaient prises en considération. Les radiodiffuseurs pr</w:t>
      </w:r>
      <w:r w:rsidRPr="00EC43AA">
        <w:t>i</w:t>
      </w:r>
      <w:r w:rsidRPr="00EC43AA">
        <w:t>vés et publics étaient invités à se préoccuper de « l'emploi d'exécutants canadiens de toutes catég</w:t>
      </w:r>
      <w:r w:rsidRPr="00EC43AA">
        <w:t>o</w:t>
      </w:r>
      <w:r w:rsidRPr="00EC43AA">
        <w:t>ries ». De plus, on demandait à la s</w:t>
      </w:r>
      <w:r w:rsidRPr="00EC43AA">
        <w:t>o</w:t>
      </w:r>
      <w:r w:rsidRPr="00EC43AA">
        <w:t>ciété Radio-Canada de « chercher à employer et développer les ressources et les éléments d'ordre artist</w:t>
      </w:r>
      <w:r w:rsidRPr="00EC43AA">
        <w:t>i</w:t>
      </w:r>
      <w:r w:rsidRPr="00EC43AA">
        <w:t>que et culturel au Can</w:t>
      </w:r>
      <w:r w:rsidRPr="00EC43AA">
        <w:t>a</w:t>
      </w:r>
      <w:r w:rsidRPr="00EC43AA">
        <w:t xml:space="preserve">da ». La </w:t>
      </w:r>
      <w:r w:rsidRPr="00EC43AA">
        <w:rPr>
          <w:i/>
          <w:iCs/>
        </w:rPr>
        <w:t xml:space="preserve">Canadian Broadcasting League </w:t>
      </w:r>
      <w:r w:rsidRPr="00EC43AA">
        <w:t>et la</w:t>
      </w:r>
      <w:r>
        <w:t xml:space="preserve"> [</w:t>
      </w:r>
      <w:r w:rsidRPr="00EC43AA">
        <w:rPr>
          <w:szCs w:val="18"/>
        </w:rPr>
        <w:t>422</w:t>
      </w:r>
      <w:r>
        <w:rPr>
          <w:szCs w:val="18"/>
        </w:rPr>
        <w:t xml:space="preserve">] </w:t>
      </w:r>
      <w:r w:rsidRPr="00EC43AA">
        <w:rPr>
          <w:i/>
          <w:iCs/>
          <w:szCs w:val="22"/>
        </w:rPr>
        <w:t xml:space="preserve">Canadian Association for Adult Education, </w:t>
      </w:r>
      <w:r w:rsidRPr="00EC43AA">
        <w:rPr>
          <w:szCs w:val="22"/>
        </w:rPr>
        <w:t>qui représentaient différentes catégories d'usagers favorables à l'élargissement du cara</w:t>
      </w:r>
      <w:r w:rsidRPr="00EC43AA">
        <w:rPr>
          <w:szCs w:val="22"/>
        </w:rPr>
        <w:t>c</w:t>
      </w:r>
      <w:r w:rsidRPr="00EC43AA">
        <w:rPr>
          <w:szCs w:val="22"/>
        </w:rPr>
        <w:t>tère public de la radiodiffusion, ne furent pas complètement sati</w:t>
      </w:r>
      <w:r w:rsidRPr="00EC43AA">
        <w:rPr>
          <w:szCs w:val="22"/>
        </w:rPr>
        <w:t>s</w:t>
      </w:r>
      <w:r w:rsidRPr="00EC43AA">
        <w:rPr>
          <w:szCs w:val="22"/>
        </w:rPr>
        <w:t xml:space="preserve">faites dans la mesure où leurs positions (du moins celle de la </w:t>
      </w:r>
      <w:r w:rsidRPr="00EC43AA">
        <w:rPr>
          <w:i/>
          <w:iCs/>
          <w:szCs w:val="22"/>
        </w:rPr>
        <w:t xml:space="preserve">League) </w:t>
      </w:r>
      <w:r w:rsidRPr="00EC43AA">
        <w:rPr>
          <w:szCs w:val="22"/>
        </w:rPr>
        <w:t>s'a</w:t>
      </w:r>
      <w:r w:rsidRPr="00EC43AA">
        <w:rPr>
          <w:szCs w:val="22"/>
        </w:rPr>
        <w:t>p</w:t>
      </w:r>
      <w:r w:rsidRPr="00EC43AA">
        <w:rPr>
          <w:szCs w:val="22"/>
        </w:rPr>
        <w:t>parentaient à celle de la Commission Fowler</w:t>
      </w:r>
      <w:r>
        <w:rPr>
          <w:szCs w:val="22"/>
          <w:vertAlign w:val="superscript"/>
        </w:rPr>
        <w:t> </w:t>
      </w:r>
      <w:r>
        <w:rPr>
          <w:rStyle w:val="Appelnotedebasdep"/>
        </w:rPr>
        <w:footnoteReference w:id="728"/>
      </w:r>
      <w:r w:rsidRPr="00EC43AA">
        <w:rPr>
          <w:szCs w:val="22"/>
        </w:rPr>
        <w:t>. Cependant, le livre blanc affirmait que les ondes étaient « des biens publics sur lesquels le public a le droit d'exercer un contrôle approprié » (d'où d'ailleurs des a</w:t>
      </w:r>
      <w:r w:rsidRPr="00EC43AA">
        <w:rPr>
          <w:szCs w:val="22"/>
        </w:rPr>
        <w:t>u</w:t>
      </w:r>
      <w:r w:rsidRPr="00EC43AA">
        <w:rPr>
          <w:szCs w:val="22"/>
        </w:rPr>
        <w:t>diences publiques avant l'octroi de permis). Au niveau des principes généraux, il était aussi écrit qu'au Canada, le système de radiodiff</w:t>
      </w:r>
      <w:r w:rsidRPr="00EC43AA">
        <w:rPr>
          <w:szCs w:val="22"/>
        </w:rPr>
        <w:t>u</w:t>
      </w:r>
      <w:r w:rsidRPr="00EC43AA">
        <w:rPr>
          <w:szCs w:val="22"/>
        </w:rPr>
        <w:t>sion était composé d'un élément public et d'un élément privé et que « l'élément public doit prédominer dans les d</w:t>
      </w:r>
      <w:r w:rsidRPr="00EC43AA">
        <w:rPr>
          <w:szCs w:val="22"/>
        </w:rPr>
        <w:t>o</w:t>
      </w:r>
      <w:r w:rsidRPr="00EC43AA">
        <w:rPr>
          <w:szCs w:val="22"/>
        </w:rPr>
        <w:t>maines d'action où il y a à choisir entre les deux éléments »</w:t>
      </w:r>
      <w:r>
        <w:rPr>
          <w:szCs w:val="22"/>
          <w:vertAlign w:val="superscript"/>
        </w:rPr>
        <w:t> </w:t>
      </w:r>
      <w:r>
        <w:rPr>
          <w:rStyle w:val="Appelnotedebasdep"/>
        </w:rPr>
        <w:footnoteReference w:id="729"/>
      </w:r>
      <w:r w:rsidRPr="00EC43AA">
        <w:rPr>
          <w:szCs w:val="22"/>
        </w:rPr>
        <w:t>. La recommandation de financer la société Radio-Canada stat</w:t>
      </w:r>
      <w:r w:rsidRPr="00EC43AA">
        <w:rPr>
          <w:szCs w:val="22"/>
        </w:rPr>
        <w:t>u</w:t>
      </w:r>
      <w:r w:rsidRPr="00EC43AA">
        <w:rPr>
          <w:szCs w:val="22"/>
        </w:rPr>
        <w:t>tairement pour une période de cinq ans et celle de limiter la croissance de la publicité étaient susceptibles de plaire aux défenseurs du secteur public. Enfin, des m</w:t>
      </w:r>
      <w:r w:rsidRPr="00EC43AA">
        <w:rPr>
          <w:szCs w:val="22"/>
        </w:rPr>
        <w:t>e</w:t>
      </w:r>
      <w:r w:rsidRPr="00EC43AA">
        <w:rPr>
          <w:szCs w:val="22"/>
        </w:rPr>
        <w:t>sures étaient prévues pour éviter que les stations privées ne tombent sous le contr</w:t>
      </w:r>
      <w:r w:rsidRPr="00EC43AA">
        <w:rPr>
          <w:szCs w:val="22"/>
        </w:rPr>
        <w:t>ô</w:t>
      </w:r>
      <w:r w:rsidRPr="00EC43AA">
        <w:rPr>
          <w:szCs w:val="22"/>
        </w:rPr>
        <w:t>le d'un monopole et d'un propriétaire de médias de différente n</w:t>
      </w:r>
      <w:r w:rsidRPr="00EC43AA">
        <w:rPr>
          <w:szCs w:val="22"/>
        </w:rPr>
        <w:t>a</w:t>
      </w:r>
      <w:r w:rsidRPr="00EC43AA">
        <w:rPr>
          <w:szCs w:val="22"/>
        </w:rPr>
        <w:t>ture. Sur les plaintes ou les représentations du public, le B</w:t>
      </w:r>
      <w:r w:rsidRPr="00EC43AA">
        <w:rPr>
          <w:szCs w:val="22"/>
        </w:rPr>
        <w:t>u</w:t>
      </w:r>
      <w:r w:rsidRPr="00EC43AA">
        <w:rPr>
          <w:szCs w:val="22"/>
        </w:rPr>
        <w:t>reau devait faire enquête sur des cas de cette e</w:t>
      </w:r>
      <w:r w:rsidRPr="00EC43AA">
        <w:rPr>
          <w:szCs w:val="22"/>
        </w:rPr>
        <w:t>s</w:t>
      </w:r>
      <w:r w:rsidRPr="00EC43AA">
        <w:rPr>
          <w:szCs w:val="22"/>
        </w:rPr>
        <w:t>pèce.</w:t>
      </w:r>
    </w:p>
    <w:p w:rsidR="00AD690E" w:rsidRPr="00EC43AA" w:rsidRDefault="00AD690E" w:rsidP="00AD690E">
      <w:pPr>
        <w:spacing w:before="120" w:after="120"/>
        <w:jc w:val="both"/>
      </w:pPr>
      <w:r w:rsidRPr="00EC43AA">
        <w:rPr>
          <w:szCs w:val="22"/>
        </w:rPr>
        <w:t>À l'automne 1966, le livre blanc fut étudié par le Comité perm</w:t>
      </w:r>
      <w:r w:rsidRPr="00EC43AA">
        <w:rPr>
          <w:szCs w:val="22"/>
        </w:rPr>
        <w:t>a</w:t>
      </w:r>
      <w:r w:rsidRPr="00EC43AA">
        <w:rPr>
          <w:szCs w:val="22"/>
        </w:rPr>
        <w:t>nent de la Chambre des Communes (Don Jamieson, qui avait été élu en septembre de la même année, en faisait partie.) Selon Paul Thomas, qui a étudié le fonctionnement de ce comité, celui-ci n'a pas fait pre</w:t>
      </w:r>
      <w:r w:rsidRPr="00EC43AA">
        <w:rPr>
          <w:szCs w:val="22"/>
        </w:rPr>
        <w:t>u</w:t>
      </w:r>
      <w:r w:rsidRPr="00EC43AA">
        <w:rPr>
          <w:szCs w:val="22"/>
        </w:rPr>
        <w:t>ve de partisanerie : « The oppos</w:t>
      </w:r>
      <w:r w:rsidRPr="00EC43AA">
        <w:rPr>
          <w:szCs w:val="22"/>
        </w:rPr>
        <w:t>i</w:t>
      </w:r>
      <w:r w:rsidRPr="00EC43AA">
        <w:rPr>
          <w:szCs w:val="22"/>
        </w:rPr>
        <w:t>tions within the Committee eut across party lines, and were based upon opposing views about the purposes of broadeasting »</w:t>
      </w:r>
      <w:r>
        <w:rPr>
          <w:szCs w:val="22"/>
          <w:vertAlign w:val="superscript"/>
        </w:rPr>
        <w:t> </w:t>
      </w:r>
      <w:r>
        <w:rPr>
          <w:rStyle w:val="Appelnotedebasdep"/>
        </w:rPr>
        <w:footnoteReference w:id="730"/>
      </w:r>
      <w:r w:rsidRPr="00EC43AA">
        <w:rPr>
          <w:szCs w:val="22"/>
        </w:rPr>
        <w:t>. Ce sont apparemment les représentants du se</w:t>
      </w:r>
      <w:r w:rsidRPr="00EC43AA">
        <w:rPr>
          <w:szCs w:val="22"/>
        </w:rPr>
        <w:t>c</w:t>
      </w:r>
      <w:r w:rsidRPr="00EC43AA">
        <w:rPr>
          <w:szCs w:val="22"/>
        </w:rPr>
        <w:t>teur privé de la radiodiffusion qui étaient les plus satisfaits. Les autres faisaient valoir des positions que nous avons déjà ident</w:t>
      </w:r>
      <w:r w:rsidRPr="00EC43AA">
        <w:rPr>
          <w:szCs w:val="22"/>
        </w:rPr>
        <w:t>i</w:t>
      </w:r>
      <w:r w:rsidRPr="00EC43AA">
        <w:rPr>
          <w:szCs w:val="22"/>
        </w:rPr>
        <w:t>fiées.</w:t>
      </w:r>
    </w:p>
    <w:p w:rsidR="00AD690E" w:rsidRPr="00EC43AA" w:rsidRDefault="00AD690E" w:rsidP="00AD690E">
      <w:pPr>
        <w:spacing w:before="120" w:after="120"/>
        <w:jc w:val="both"/>
      </w:pPr>
      <w:r w:rsidRPr="00EC43AA">
        <w:rPr>
          <w:szCs w:val="22"/>
        </w:rPr>
        <w:t>Entre le 14 février 1967 et le 7 février 1968, il y eut pas moins de cinq versions préliminaires du projet de loi sur la radiodiffusion. Ce</w:t>
      </w:r>
      <w:r w:rsidRPr="00EC43AA">
        <w:rPr>
          <w:szCs w:val="22"/>
        </w:rPr>
        <w:t>l</w:t>
      </w:r>
      <w:r w:rsidRPr="00EC43AA">
        <w:rPr>
          <w:szCs w:val="22"/>
        </w:rPr>
        <w:t>le-ci fut adoptée le 7 mars 1968. Même s'il y eut de nombreuses repr</w:t>
      </w:r>
      <w:r w:rsidRPr="00EC43AA">
        <w:rPr>
          <w:szCs w:val="22"/>
        </w:rPr>
        <w:t>é</w:t>
      </w:r>
      <w:r w:rsidRPr="00EC43AA">
        <w:rPr>
          <w:szCs w:val="22"/>
        </w:rPr>
        <w:t>sentations entre ces deux dates, la loi adoptée r</w:t>
      </w:r>
      <w:r w:rsidRPr="00EC43AA">
        <w:rPr>
          <w:szCs w:val="22"/>
        </w:rPr>
        <w:t>e</w:t>
      </w:r>
      <w:r w:rsidRPr="00EC43AA">
        <w:rPr>
          <w:szCs w:val="22"/>
        </w:rPr>
        <w:t>prend les principaux points énoncés dans le livre blanc au moins en ce qui concerne la pol</w:t>
      </w:r>
      <w:r w:rsidRPr="00EC43AA">
        <w:rPr>
          <w:szCs w:val="22"/>
        </w:rPr>
        <w:t>i</w:t>
      </w:r>
      <w:r w:rsidRPr="00EC43AA">
        <w:rPr>
          <w:szCs w:val="22"/>
        </w:rPr>
        <w:t>tique canadienne de la radi</w:t>
      </w:r>
      <w:r w:rsidRPr="00EC43AA">
        <w:rPr>
          <w:szCs w:val="22"/>
        </w:rPr>
        <w:t>o</w:t>
      </w:r>
      <w:r w:rsidRPr="00EC43AA">
        <w:rPr>
          <w:szCs w:val="22"/>
        </w:rPr>
        <w:t>diffusion (l'article 3). Il était précisé que Radio-Canada devait contribuer, en raison de son mandat, au dév</w:t>
      </w:r>
      <w:r w:rsidRPr="00EC43AA">
        <w:rPr>
          <w:szCs w:val="22"/>
        </w:rPr>
        <w:t>e</w:t>
      </w:r>
      <w:r w:rsidRPr="00EC43AA">
        <w:rPr>
          <w:szCs w:val="22"/>
        </w:rPr>
        <w:t>loppement et à la préservation du sens de l'unité canadienne (précision qui répondait sans doute à la critique maintes fois formulée conce</w:t>
      </w:r>
      <w:r w:rsidRPr="00EC43AA">
        <w:rPr>
          <w:szCs w:val="22"/>
        </w:rPr>
        <w:t>r</w:t>
      </w:r>
      <w:r w:rsidRPr="00EC43AA">
        <w:rPr>
          <w:szCs w:val="22"/>
        </w:rPr>
        <w:t>nant les tendances séparatistes du réseau de langue française.) Les p</w:t>
      </w:r>
      <w:r w:rsidRPr="00EC43AA">
        <w:rPr>
          <w:szCs w:val="22"/>
        </w:rPr>
        <w:t>a</w:t>
      </w:r>
      <w:r w:rsidRPr="00EC43AA">
        <w:rPr>
          <w:szCs w:val="22"/>
        </w:rPr>
        <w:t>ragraphes concernant un financ</w:t>
      </w:r>
      <w:r w:rsidRPr="00EC43AA">
        <w:rPr>
          <w:szCs w:val="22"/>
        </w:rPr>
        <w:t>e</w:t>
      </w:r>
      <w:r w:rsidRPr="00EC43AA">
        <w:rPr>
          <w:szCs w:val="22"/>
        </w:rPr>
        <w:t>ment statutaire de Radio-Canada pour une période de cinq ans furent enlevés : la société cont</w:t>
      </w:r>
      <w:r w:rsidRPr="00EC43AA">
        <w:rPr>
          <w:szCs w:val="22"/>
        </w:rPr>
        <w:t>i</w:t>
      </w:r>
      <w:r w:rsidRPr="00EC43AA">
        <w:rPr>
          <w:szCs w:val="22"/>
        </w:rPr>
        <w:t>nuait donc d'être subventionnée sur une base annuelle. Le montant des amendes que l'instance de réglementation pouvait imp</w:t>
      </w:r>
      <w:r w:rsidRPr="00EC43AA">
        <w:rPr>
          <w:szCs w:val="22"/>
        </w:rPr>
        <w:t>o</w:t>
      </w:r>
      <w:r w:rsidRPr="00EC43AA">
        <w:rPr>
          <w:szCs w:val="22"/>
        </w:rPr>
        <w:t>ser fut réduit de 100</w:t>
      </w:r>
      <w:r>
        <w:rPr>
          <w:szCs w:val="22"/>
        </w:rPr>
        <w:t> </w:t>
      </w:r>
      <w:r w:rsidRPr="00EC43AA">
        <w:rPr>
          <w:szCs w:val="22"/>
        </w:rPr>
        <w:t>000</w:t>
      </w:r>
      <w:r>
        <w:rPr>
          <w:szCs w:val="22"/>
        </w:rPr>
        <w:t> </w:t>
      </w:r>
      <w:r w:rsidRPr="00EC43AA">
        <w:rPr>
          <w:szCs w:val="22"/>
        </w:rPr>
        <w:t>$ à 25</w:t>
      </w:r>
      <w:r>
        <w:rPr>
          <w:szCs w:val="22"/>
        </w:rPr>
        <w:t> </w:t>
      </w:r>
      <w:r w:rsidRPr="00EC43AA">
        <w:rPr>
          <w:szCs w:val="22"/>
        </w:rPr>
        <w:t>000</w:t>
      </w:r>
      <w:r>
        <w:rPr>
          <w:szCs w:val="22"/>
        </w:rPr>
        <w:t> </w:t>
      </w:r>
      <w:r w:rsidRPr="00EC43AA">
        <w:rPr>
          <w:szCs w:val="22"/>
        </w:rPr>
        <w:t>$ pour la première o</w:t>
      </w:r>
      <w:r w:rsidRPr="00EC43AA">
        <w:rPr>
          <w:szCs w:val="22"/>
        </w:rPr>
        <w:t>f</w:t>
      </w:r>
      <w:r w:rsidRPr="00EC43AA">
        <w:rPr>
          <w:szCs w:val="22"/>
        </w:rPr>
        <w:t>fense et à 50</w:t>
      </w:r>
      <w:r>
        <w:rPr>
          <w:szCs w:val="22"/>
        </w:rPr>
        <w:t> </w:t>
      </w:r>
      <w:r w:rsidRPr="00EC43AA">
        <w:rPr>
          <w:szCs w:val="22"/>
        </w:rPr>
        <w:t>000</w:t>
      </w:r>
      <w:r>
        <w:rPr>
          <w:szCs w:val="22"/>
        </w:rPr>
        <w:t> </w:t>
      </w:r>
      <w:r w:rsidRPr="00EC43AA">
        <w:rPr>
          <w:szCs w:val="22"/>
        </w:rPr>
        <w:t>$ pour les</w:t>
      </w:r>
      <w:r>
        <w:rPr>
          <w:szCs w:val="22"/>
        </w:rPr>
        <w:t xml:space="preserve"> </w:t>
      </w:r>
      <w:r>
        <w:t xml:space="preserve">[423] </w:t>
      </w:r>
      <w:r w:rsidRPr="00EC43AA">
        <w:rPr>
          <w:szCs w:val="22"/>
        </w:rPr>
        <w:t>autres. Enfin, l'instance de réglementation qui remplaçait le BGR s'appelait désormais le Conseil de la radio télévision c</w:t>
      </w:r>
      <w:r w:rsidRPr="00EC43AA">
        <w:rPr>
          <w:szCs w:val="22"/>
        </w:rPr>
        <w:t>a</w:t>
      </w:r>
      <w:r w:rsidRPr="00EC43AA">
        <w:rPr>
          <w:szCs w:val="22"/>
        </w:rPr>
        <w:t>nadienne (CRTC). Selon la loi de 1958, la société d'État avait un certain po</w:t>
      </w:r>
      <w:r w:rsidRPr="00EC43AA">
        <w:rPr>
          <w:szCs w:val="22"/>
        </w:rPr>
        <w:t>u</w:t>
      </w:r>
      <w:r w:rsidRPr="00EC43AA">
        <w:rPr>
          <w:szCs w:val="22"/>
        </w:rPr>
        <w:t>voir sur la programmation des stations privées qui lui étaient affiliées. Avec la loi de 1968, les conditions d'opération d'un réseau rel</w:t>
      </w:r>
      <w:r w:rsidRPr="00EC43AA">
        <w:rPr>
          <w:szCs w:val="22"/>
        </w:rPr>
        <w:t>e</w:t>
      </w:r>
      <w:r w:rsidRPr="00EC43AA">
        <w:rPr>
          <w:szCs w:val="22"/>
        </w:rPr>
        <w:t>vaient désormais du CRTC.</w:t>
      </w:r>
    </w:p>
    <w:p w:rsidR="00AD690E" w:rsidRPr="00EC43AA" w:rsidRDefault="00AD690E" w:rsidP="00AD690E">
      <w:pPr>
        <w:spacing w:before="120" w:after="120"/>
        <w:jc w:val="both"/>
      </w:pPr>
      <w:r w:rsidRPr="00EC43AA">
        <w:rPr>
          <w:szCs w:val="22"/>
        </w:rPr>
        <w:t>À court terme, il était peu probable que le climat trouble, qui avait été celui de la radiodiffusion au cours des dix dernières années, s'a</w:t>
      </w:r>
      <w:r w:rsidRPr="00EC43AA">
        <w:rPr>
          <w:szCs w:val="22"/>
        </w:rPr>
        <w:t>s</w:t>
      </w:r>
      <w:r w:rsidRPr="00EC43AA">
        <w:rPr>
          <w:szCs w:val="22"/>
        </w:rPr>
        <w:t>sainisse rapidement. Soumise entièrement au CRTC, la société Radio-Canada voyait ses pouvoirs réduits d'autant plus qu'elle n'avait pas réussi à obtenir ce qui lui se</w:t>
      </w:r>
      <w:r w:rsidRPr="00EC43AA">
        <w:rPr>
          <w:szCs w:val="22"/>
        </w:rPr>
        <w:t>m</w:t>
      </w:r>
      <w:r w:rsidRPr="00EC43AA">
        <w:rPr>
          <w:szCs w:val="22"/>
        </w:rPr>
        <w:t>blait important pour son autonomie, à savoir un financement statutaire sur une base de cinq ans. La précision de son ma</w:t>
      </w:r>
      <w:r w:rsidRPr="00EC43AA">
        <w:rPr>
          <w:szCs w:val="22"/>
        </w:rPr>
        <w:t>n</w:t>
      </w:r>
      <w:r w:rsidRPr="00EC43AA">
        <w:rPr>
          <w:szCs w:val="22"/>
        </w:rPr>
        <w:t>dat dans le sens du développement de l'unité canadienne constituait un lourd défi pour le réseau de langue française à un m</w:t>
      </w:r>
      <w:r w:rsidRPr="00EC43AA">
        <w:rPr>
          <w:szCs w:val="22"/>
        </w:rPr>
        <w:t>o</w:t>
      </w:r>
      <w:r w:rsidRPr="00EC43AA">
        <w:rPr>
          <w:szCs w:val="22"/>
        </w:rPr>
        <w:t>ment où le mouvement nationaliste québécois était sur sa la</w:t>
      </w:r>
      <w:r w:rsidRPr="00EC43AA">
        <w:rPr>
          <w:szCs w:val="22"/>
        </w:rPr>
        <w:t>n</w:t>
      </w:r>
      <w:r w:rsidRPr="00EC43AA">
        <w:rPr>
          <w:szCs w:val="22"/>
        </w:rPr>
        <w:t>cée. Le secteur privé sortait gagnant : « the best pi</w:t>
      </w:r>
      <w:r>
        <w:rPr>
          <w:szCs w:val="22"/>
        </w:rPr>
        <w:t>e</w:t>
      </w:r>
      <w:r w:rsidRPr="00EC43AA">
        <w:rPr>
          <w:szCs w:val="22"/>
        </w:rPr>
        <w:t>ce of broadeasting l</w:t>
      </w:r>
      <w:r>
        <w:rPr>
          <w:szCs w:val="22"/>
        </w:rPr>
        <w:t>e</w:t>
      </w:r>
      <w:r w:rsidRPr="00EC43AA">
        <w:rPr>
          <w:szCs w:val="22"/>
        </w:rPr>
        <w:t>gi</w:t>
      </w:r>
      <w:r>
        <w:rPr>
          <w:szCs w:val="22"/>
        </w:rPr>
        <w:t>sl</w:t>
      </w:r>
      <w:r>
        <w:rPr>
          <w:szCs w:val="22"/>
        </w:rPr>
        <w:t>a</w:t>
      </w:r>
      <w:r>
        <w:rPr>
          <w:szCs w:val="22"/>
        </w:rPr>
        <w:t>tion we ha</w:t>
      </w:r>
      <w:r w:rsidRPr="00EC43AA">
        <w:rPr>
          <w:szCs w:val="22"/>
        </w:rPr>
        <w:t>ve had » clamait hautement Don Jamieson</w:t>
      </w:r>
      <w:r>
        <w:rPr>
          <w:szCs w:val="22"/>
          <w:vertAlign w:val="superscript"/>
        </w:rPr>
        <w:t> </w:t>
      </w:r>
      <w:r>
        <w:rPr>
          <w:rStyle w:val="Appelnotedebasdep"/>
        </w:rPr>
        <w:footnoteReference w:id="731"/>
      </w:r>
      <w:r w:rsidRPr="00EC43AA">
        <w:rPr>
          <w:szCs w:val="22"/>
        </w:rPr>
        <w:t>. Restait év</w:t>
      </w:r>
      <w:r w:rsidRPr="00EC43AA">
        <w:rPr>
          <w:szCs w:val="22"/>
        </w:rPr>
        <w:t>i</w:t>
      </w:r>
      <w:r w:rsidRPr="00EC43AA">
        <w:rPr>
          <w:szCs w:val="22"/>
        </w:rPr>
        <w:t>demment à voir si le CRTC pouvait assurer le respect de la teneur c</w:t>
      </w:r>
      <w:r w:rsidRPr="00EC43AA">
        <w:rPr>
          <w:szCs w:val="22"/>
        </w:rPr>
        <w:t>a</w:t>
      </w:r>
      <w:r w:rsidRPr="00EC43AA">
        <w:rPr>
          <w:szCs w:val="22"/>
        </w:rPr>
        <w:t>nadienne de la programmation au</w:t>
      </w:r>
      <w:r w:rsidRPr="00EC43AA">
        <w:rPr>
          <w:szCs w:val="22"/>
        </w:rPr>
        <w:t>s</w:t>
      </w:r>
      <w:r w:rsidRPr="00EC43AA">
        <w:rPr>
          <w:szCs w:val="22"/>
        </w:rPr>
        <w:t>si bien par les stations privées que par celle de Radio-Canada. La canadianisation du sy</w:t>
      </w:r>
      <w:r w:rsidRPr="00EC43AA">
        <w:rPr>
          <w:szCs w:val="22"/>
        </w:rPr>
        <w:t>s</w:t>
      </w:r>
      <w:r w:rsidRPr="00EC43AA">
        <w:rPr>
          <w:szCs w:val="22"/>
        </w:rPr>
        <w:t>tème reposait donc sur l'efficacité du CRTC. Enfin, les dossiers de la câblodistrib</w:t>
      </w:r>
      <w:r w:rsidRPr="00EC43AA">
        <w:rPr>
          <w:szCs w:val="22"/>
        </w:rPr>
        <w:t>u</w:t>
      </w:r>
      <w:r w:rsidRPr="00EC43AA">
        <w:rPr>
          <w:szCs w:val="22"/>
        </w:rPr>
        <w:t>tion et de la r</w:t>
      </w:r>
      <w:r w:rsidRPr="00EC43AA">
        <w:rPr>
          <w:szCs w:val="22"/>
        </w:rPr>
        <w:t>a</w:t>
      </w:r>
      <w:r w:rsidRPr="00EC43AA">
        <w:rPr>
          <w:szCs w:val="22"/>
        </w:rPr>
        <w:t>diodiffusion éducative laissaient entrevoir des conflits de juridiction avec les provinces et, particuli</w:t>
      </w:r>
      <w:r w:rsidRPr="00EC43AA">
        <w:rPr>
          <w:szCs w:val="22"/>
        </w:rPr>
        <w:t>è</w:t>
      </w:r>
      <w:r w:rsidRPr="00EC43AA">
        <w:rPr>
          <w:szCs w:val="22"/>
        </w:rPr>
        <w:t>rement, avec le Québec.</w:t>
      </w:r>
    </w:p>
    <w:p w:rsidR="00AD690E" w:rsidRDefault="00AD690E" w:rsidP="00AD690E">
      <w:pPr>
        <w:spacing w:before="120" w:after="120"/>
        <w:jc w:val="both"/>
        <w:rPr>
          <w:szCs w:val="22"/>
        </w:rPr>
      </w:pPr>
    </w:p>
    <w:p w:rsidR="00AD690E" w:rsidRPr="00EC43AA" w:rsidRDefault="00AD690E" w:rsidP="00AD690E">
      <w:pPr>
        <w:pStyle w:val="planche"/>
      </w:pPr>
      <w:r>
        <w:t>II. L'ÈRE TRUDEAU :</w:t>
      </w:r>
      <w:r>
        <w:br/>
      </w:r>
      <w:r w:rsidRPr="00EC43AA">
        <w:t xml:space="preserve">DE 1968 </w:t>
      </w:r>
      <w:r>
        <w:t>À</w:t>
      </w:r>
      <w:r w:rsidRPr="00EC43AA">
        <w:t xml:space="preserve"> 1984</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La politique culturelle pratiquée par le Parti libéral du Canada sous la gouverne de Pierre Elliott Trudeau fut caractérisée par un idé</w:t>
      </w:r>
      <w:r w:rsidRPr="00EC43AA">
        <w:rPr>
          <w:szCs w:val="22"/>
        </w:rPr>
        <w:t>a</w:t>
      </w:r>
      <w:r w:rsidRPr="00EC43AA">
        <w:rPr>
          <w:szCs w:val="22"/>
        </w:rPr>
        <w:t>lisme certain en ce qui concerne la vision du Canada et par un pragmatisme utilitaire en matière de culture.</w:t>
      </w:r>
    </w:p>
    <w:p w:rsidR="00AD690E" w:rsidRPr="00EC43AA" w:rsidRDefault="00AD690E" w:rsidP="00AD690E">
      <w:pPr>
        <w:spacing w:before="120" w:after="120"/>
        <w:jc w:val="both"/>
      </w:pPr>
      <w:r w:rsidRPr="00EC43AA">
        <w:rPr>
          <w:szCs w:val="22"/>
        </w:rPr>
        <w:t>Dans le domaine de la culture, les dix-sept années du régime Tr</w:t>
      </w:r>
      <w:r w:rsidRPr="00EC43AA">
        <w:rPr>
          <w:szCs w:val="22"/>
        </w:rPr>
        <w:t>u</w:t>
      </w:r>
      <w:r w:rsidRPr="00EC43AA">
        <w:rPr>
          <w:szCs w:val="22"/>
        </w:rPr>
        <w:t>deau furent marquées : par l'accent mis sur la culture comme moyen d'identité et d'unité nationale canadienne et comme instrument de sp</w:t>
      </w:r>
      <w:r w:rsidRPr="00EC43AA">
        <w:rPr>
          <w:szCs w:val="22"/>
        </w:rPr>
        <w:t>é</w:t>
      </w:r>
      <w:r w:rsidRPr="00EC43AA">
        <w:rPr>
          <w:szCs w:val="22"/>
        </w:rPr>
        <w:t>cification du capital canadien et l</w:t>
      </w:r>
      <w:r w:rsidRPr="00EC43AA">
        <w:rPr>
          <w:szCs w:val="22"/>
        </w:rPr>
        <w:t>e</w:t>
      </w:r>
      <w:r w:rsidRPr="00EC43AA">
        <w:rPr>
          <w:szCs w:val="22"/>
        </w:rPr>
        <w:t>vier nécessaire au développement économique du Canada. L'ère Trudeau fut également caractérisée par le développement d'une politique culturelle nati</w:t>
      </w:r>
      <w:r w:rsidRPr="00EC43AA">
        <w:rPr>
          <w:szCs w:val="22"/>
        </w:rPr>
        <w:t>o</w:t>
      </w:r>
      <w:r w:rsidRPr="00EC43AA">
        <w:rPr>
          <w:szCs w:val="22"/>
        </w:rPr>
        <w:t>nale dont le contrôle fut de plus en plus centralisé et par de nombreuses interventions a</w:t>
      </w:r>
      <w:r w:rsidRPr="00EC43AA">
        <w:rPr>
          <w:szCs w:val="22"/>
        </w:rPr>
        <w:t>u</w:t>
      </w:r>
      <w:r w:rsidRPr="00EC43AA">
        <w:rPr>
          <w:szCs w:val="22"/>
        </w:rPr>
        <w:t>tant légi</w:t>
      </w:r>
      <w:r>
        <w:rPr>
          <w:szCs w:val="22"/>
        </w:rPr>
        <w:t>s</w:t>
      </w:r>
      <w:r w:rsidRPr="00EC43AA">
        <w:rPr>
          <w:szCs w:val="22"/>
        </w:rPr>
        <w:t>latives et réglementaires qu'économiques afin d'assurer la canadianisation de la pr</w:t>
      </w:r>
      <w:r>
        <w:rPr>
          <w:szCs w:val="22"/>
        </w:rPr>
        <w:t xml:space="preserve">opriété des entreprises œuvrant </w:t>
      </w:r>
      <w:r w:rsidRPr="00EC43AA">
        <w:rPr>
          <w:szCs w:val="22"/>
        </w:rPr>
        <w:t xml:space="preserve"> dans le ma</w:t>
      </w:r>
      <w:r w:rsidRPr="00EC43AA">
        <w:rPr>
          <w:szCs w:val="22"/>
        </w:rPr>
        <w:t>r</w:t>
      </w:r>
      <w:r w:rsidRPr="00EC43AA">
        <w:rPr>
          <w:szCs w:val="22"/>
        </w:rPr>
        <w:t>ché culturel domestique. Enfin, la pol</w:t>
      </w:r>
      <w:r w:rsidRPr="00EC43AA">
        <w:rPr>
          <w:szCs w:val="22"/>
        </w:rPr>
        <w:t>i</w:t>
      </w:r>
      <w:r w:rsidRPr="00EC43AA">
        <w:rPr>
          <w:szCs w:val="22"/>
        </w:rPr>
        <w:t>tique culturelle des libéraux fut, de 1968 à 1984, structurée par la privatisation et de plus en plus d</w:t>
      </w:r>
      <w:r w:rsidRPr="00EC43AA">
        <w:rPr>
          <w:szCs w:val="22"/>
        </w:rPr>
        <w:t>é</w:t>
      </w:r>
      <w:r w:rsidRPr="00EC43AA">
        <w:rPr>
          <w:szCs w:val="22"/>
        </w:rPr>
        <w:t>terminée par les impératifs des industries cu</w:t>
      </w:r>
      <w:r w:rsidRPr="00EC43AA">
        <w:rPr>
          <w:szCs w:val="22"/>
        </w:rPr>
        <w:t>l</w:t>
      </w:r>
      <w:r w:rsidRPr="00EC43AA">
        <w:rPr>
          <w:szCs w:val="22"/>
        </w:rPr>
        <w:t>turelles.</w:t>
      </w:r>
    </w:p>
    <w:p w:rsidR="00AD690E" w:rsidRDefault="00AD690E" w:rsidP="00AD690E">
      <w:pPr>
        <w:spacing w:before="120" w:after="120"/>
        <w:jc w:val="both"/>
        <w:rPr>
          <w:szCs w:val="18"/>
        </w:rPr>
      </w:pPr>
      <w:r>
        <w:t>[</w:t>
      </w:r>
      <w:r w:rsidRPr="00EC43AA">
        <w:rPr>
          <w:szCs w:val="18"/>
        </w:rPr>
        <w:t>424</w:t>
      </w:r>
      <w:r>
        <w:rPr>
          <w:szCs w:val="18"/>
        </w:rPr>
        <w:t>]</w:t>
      </w:r>
    </w:p>
    <w:p w:rsidR="00AD690E" w:rsidRPr="00EC43AA" w:rsidRDefault="00AD690E" w:rsidP="00AD690E">
      <w:pPr>
        <w:spacing w:before="120" w:after="120"/>
        <w:jc w:val="both"/>
      </w:pPr>
      <w:r w:rsidRPr="00EC43AA">
        <w:rPr>
          <w:szCs w:val="22"/>
        </w:rPr>
        <w:t>Ce passage entre le développement d'un ensemble d'app</w:t>
      </w:r>
      <w:r w:rsidRPr="00EC43AA">
        <w:rPr>
          <w:szCs w:val="22"/>
        </w:rPr>
        <w:t>a</w:t>
      </w:r>
      <w:r w:rsidRPr="00EC43AA">
        <w:rPr>
          <w:szCs w:val="22"/>
        </w:rPr>
        <w:t>reils et d'institutions étatiques pour assurer la présence et le contrôle can</w:t>
      </w:r>
      <w:r w:rsidRPr="00EC43AA">
        <w:rPr>
          <w:szCs w:val="22"/>
        </w:rPr>
        <w:t>a</w:t>
      </w:r>
      <w:r w:rsidRPr="00EC43AA">
        <w:rPr>
          <w:szCs w:val="22"/>
        </w:rPr>
        <w:t>dien dans le champ culturel et la privatisation de celui-ci se fit en trois ét</w:t>
      </w:r>
      <w:r w:rsidRPr="00EC43AA">
        <w:rPr>
          <w:szCs w:val="22"/>
        </w:rPr>
        <w:t>a</w:t>
      </w:r>
      <w:r w:rsidRPr="00EC43AA">
        <w:rPr>
          <w:szCs w:val="22"/>
        </w:rPr>
        <w:t>pes. Dans la première, de 1968 à 1975, furent mis en place des app</w:t>
      </w:r>
      <w:r w:rsidRPr="00EC43AA">
        <w:rPr>
          <w:szCs w:val="22"/>
        </w:rPr>
        <w:t>a</w:t>
      </w:r>
      <w:r w:rsidRPr="00EC43AA">
        <w:rPr>
          <w:szCs w:val="22"/>
        </w:rPr>
        <w:t>reils et institutions venant compl</w:t>
      </w:r>
      <w:r w:rsidRPr="00EC43AA">
        <w:rPr>
          <w:szCs w:val="22"/>
        </w:rPr>
        <w:t>é</w:t>
      </w:r>
      <w:r w:rsidRPr="00EC43AA">
        <w:rPr>
          <w:szCs w:val="22"/>
        </w:rPr>
        <w:t>ter ceux et celles déjà créés durant l'ère Pearson, tandis que se poursuivait et s'accrut la centralisation des organismes culturels également commencée sous Pearson. Cette pr</w:t>
      </w:r>
      <w:r w:rsidRPr="00EC43AA">
        <w:rPr>
          <w:szCs w:val="22"/>
        </w:rPr>
        <w:t>e</w:t>
      </w:r>
      <w:r w:rsidRPr="00EC43AA">
        <w:rPr>
          <w:szCs w:val="22"/>
        </w:rPr>
        <w:t>mière période s'acheva en 1975 avec l'entrée en crise et le gel des prix et salaires imposé par le gouvernement. La deuxième p</w:t>
      </w:r>
      <w:r w:rsidRPr="00EC43AA">
        <w:rPr>
          <w:szCs w:val="22"/>
        </w:rPr>
        <w:t>é</w:t>
      </w:r>
      <w:r w:rsidRPr="00EC43AA">
        <w:rPr>
          <w:szCs w:val="22"/>
        </w:rPr>
        <w:t>riode, de 1975-1976 à 1980-1981, est marquée par la très grave crise d'unité nationale causée par l'arrivée du PQ au pouvoir, par la politique lingui</w:t>
      </w:r>
      <w:r w:rsidRPr="00EC43AA">
        <w:rPr>
          <w:szCs w:val="22"/>
        </w:rPr>
        <w:t>s</w:t>
      </w:r>
      <w:r w:rsidRPr="00EC43AA">
        <w:rPr>
          <w:szCs w:val="22"/>
        </w:rPr>
        <w:t>tique de ce dernier (la loi 101) et par les restrictions budgétaires imposées aux organismes culturels ayant gardé une certaine auton</w:t>
      </w:r>
      <w:r w:rsidRPr="00EC43AA">
        <w:rPr>
          <w:szCs w:val="22"/>
        </w:rPr>
        <w:t>o</w:t>
      </w:r>
      <w:r w:rsidRPr="00EC43AA">
        <w:rPr>
          <w:szCs w:val="22"/>
        </w:rPr>
        <w:t>mie, tel le Conseil des Arts du Canada, et les protestations des artistes et adm</w:t>
      </w:r>
      <w:r w:rsidRPr="00EC43AA">
        <w:rPr>
          <w:szCs w:val="22"/>
        </w:rPr>
        <w:t>i</w:t>
      </w:r>
      <w:r w:rsidRPr="00EC43AA">
        <w:rPr>
          <w:szCs w:val="22"/>
        </w:rPr>
        <w:t>nistrateurs dans le domaine des arts devant ces restrictions. Parallèlement, durant cette seconde période de l'ère Trudeau, le go</w:t>
      </w:r>
      <w:r w:rsidRPr="00EC43AA">
        <w:rPr>
          <w:szCs w:val="22"/>
        </w:rPr>
        <w:t>u</w:t>
      </w:r>
      <w:r w:rsidRPr="00EC43AA">
        <w:rPr>
          <w:szCs w:val="22"/>
        </w:rPr>
        <w:t>vernement fédéral, par l'entremise du ministère des Communications, investit massivement dans le développement et l'introduction des no</w:t>
      </w:r>
      <w:r w:rsidRPr="00EC43AA">
        <w:rPr>
          <w:szCs w:val="22"/>
        </w:rPr>
        <w:t>u</w:t>
      </w:r>
      <w:r w:rsidRPr="00EC43AA">
        <w:rPr>
          <w:szCs w:val="22"/>
        </w:rPr>
        <w:t>velles technologies d'information et de communic</w:t>
      </w:r>
      <w:r w:rsidRPr="00EC43AA">
        <w:rPr>
          <w:szCs w:val="22"/>
        </w:rPr>
        <w:t>a</w:t>
      </w:r>
      <w:r w:rsidRPr="00EC43AA">
        <w:rPr>
          <w:szCs w:val="22"/>
        </w:rPr>
        <w:t>tion. Finalement, la troisième période est totalement dominée par la privatisation et l'inte</w:t>
      </w:r>
      <w:r w:rsidRPr="00EC43AA">
        <w:rPr>
          <w:szCs w:val="22"/>
        </w:rPr>
        <w:t>r</w:t>
      </w:r>
      <w:r w:rsidRPr="00EC43AA">
        <w:rPr>
          <w:szCs w:val="22"/>
        </w:rPr>
        <w:t>nationalisation, alors que politique cult</w:t>
      </w:r>
      <w:r w:rsidRPr="00EC43AA">
        <w:rPr>
          <w:szCs w:val="22"/>
        </w:rPr>
        <w:t>u</w:t>
      </w:r>
      <w:r w:rsidRPr="00EC43AA">
        <w:rPr>
          <w:szCs w:val="22"/>
        </w:rPr>
        <w:t>relle et développement des industries culturelles devinrent s</w:t>
      </w:r>
      <w:r w:rsidRPr="00EC43AA">
        <w:rPr>
          <w:szCs w:val="22"/>
        </w:rPr>
        <w:t>y</w:t>
      </w:r>
      <w:r w:rsidRPr="00EC43AA">
        <w:rPr>
          <w:szCs w:val="22"/>
        </w:rPr>
        <w:t>nonymes.</w:t>
      </w:r>
    </w:p>
    <w:p w:rsidR="00AD690E" w:rsidRDefault="00AD690E" w:rsidP="00AD690E">
      <w:pPr>
        <w:spacing w:before="120" w:after="120"/>
        <w:jc w:val="both"/>
        <w:rPr>
          <w:szCs w:val="22"/>
        </w:rPr>
      </w:pPr>
    </w:p>
    <w:p w:rsidR="00AD690E" w:rsidRPr="001F2469" w:rsidRDefault="00AD690E" w:rsidP="00AD690E">
      <w:pPr>
        <w:pStyle w:val="a"/>
      </w:pPr>
      <w:r w:rsidRPr="001F2469">
        <w:t>a) Quand la culture rime avec unité nationale</w:t>
      </w:r>
      <w:r>
        <w:br/>
      </w:r>
      <w:r w:rsidRPr="001F2469">
        <w:t>et canadianis</w:t>
      </w:r>
      <w:r w:rsidRPr="001F2469">
        <w:t>a</w:t>
      </w:r>
      <w:r w:rsidRPr="001F2469">
        <w:t>tion et qu'on en accentue et centralise le contrôle :</w:t>
      </w:r>
      <w:r>
        <w:br/>
      </w:r>
      <w:r w:rsidRPr="001F2469">
        <w:t>de 1968 à 1975</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Dès l'arrivée au pouvoir de Pierre Trudeau et jusqu'en 1975, les l</w:t>
      </w:r>
      <w:r w:rsidRPr="00EC43AA">
        <w:rPr>
          <w:szCs w:val="22"/>
        </w:rPr>
        <w:t>i</w:t>
      </w:r>
      <w:r w:rsidRPr="00EC43AA">
        <w:rPr>
          <w:szCs w:val="22"/>
        </w:rPr>
        <w:t>béraux consacrèrent beaucoup d'énergie et d'argent au dév</w:t>
      </w:r>
      <w:r w:rsidRPr="00EC43AA">
        <w:rPr>
          <w:szCs w:val="22"/>
        </w:rPr>
        <w:t>e</w:t>
      </w:r>
      <w:r w:rsidRPr="00EC43AA">
        <w:rPr>
          <w:szCs w:val="22"/>
        </w:rPr>
        <w:t>loppement culturel.</w:t>
      </w:r>
    </w:p>
    <w:p w:rsidR="00AD690E" w:rsidRPr="00EC43AA" w:rsidRDefault="00AD690E" w:rsidP="00AD690E">
      <w:pPr>
        <w:spacing w:before="120" w:after="120"/>
        <w:ind w:left="-90"/>
        <w:jc w:val="both"/>
      </w:pPr>
      <w:r w:rsidRPr="00EC43AA">
        <w:rPr>
          <w:szCs w:val="22"/>
        </w:rPr>
        <w:t>Cet intérêt pour la culture n'était pas récent chez le nouveau premier ministre. En effet, dans un essai de théorisation du d</w:t>
      </w:r>
      <w:r w:rsidRPr="00EC43AA">
        <w:rPr>
          <w:szCs w:val="22"/>
        </w:rPr>
        <w:t>é</w:t>
      </w:r>
      <w:r w:rsidRPr="00EC43AA">
        <w:rPr>
          <w:szCs w:val="22"/>
        </w:rPr>
        <w:t xml:space="preserve">veloppement de la communauté canadienne intitulé </w:t>
      </w:r>
      <w:r w:rsidRPr="00EC43AA">
        <w:rPr>
          <w:i/>
          <w:iCs/>
          <w:szCs w:val="22"/>
        </w:rPr>
        <w:t>Fédéralisme et société can</w:t>
      </w:r>
      <w:r w:rsidRPr="00EC43AA">
        <w:rPr>
          <w:i/>
          <w:iCs/>
          <w:szCs w:val="22"/>
        </w:rPr>
        <w:t>a</w:t>
      </w:r>
      <w:r w:rsidRPr="00EC43AA">
        <w:rPr>
          <w:i/>
          <w:iCs/>
          <w:szCs w:val="22"/>
        </w:rPr>
        <w:t>dienne-français</w:t>
      </w:r>
      <w:r>
        <w:rPr>
          <w:i/>
          <w:iCs/>
          <w:szCs w:val="22"/>
        </w:rPr>
        <w:t>e</w:t>
      </w:r>
      <w:r>
        <w:rPr>
          <w:i/>
          <w:iCs/>
          <w:szCs w:val="22"/>
          <w:vertAlign w:val="superscript"/>
        </w:rPr>
        <w:t> </w:t>
      </w:r>
      <w:r w:rsidRPr="00BD6B3C">
        <w:rPr>
          <w:rStyle w:val="Appelnotedebasdep"/>
          <w:iCs/>
        </w:rPr>
        <w:footnoteReference w:id="732"/>
      </w:r>
      <w:r w:rsidRPr="00EC43AA">
        <w:rPr>
          <w:i/>
          <w:iCs/>
          <w:szCs w:val="22"/>
        </w:rPr>
        <w:t xml:space="preserve">, </w:t>
      </w:r>
      <w:r w:rsidRPr="00EC43AA">
        <w:rPr>
          <w:szCs w:val="22"/>
        </w:rPr>
        <w:t>celui-ci soutenait que la culture est un levier de dévelo</w:t>
      </w:r>
      <w:r w:rsidRPr="00EC43AA">
        <w:rPr>
          <w:szCs w:val="22"/>
        </w:rPr>
        <w:t>p</w:t>
      </w:r>
      <w:r w:rsidRPr="00EC43AA">
        <w:rPr>
          <w:szCs w:val="22"/>
        </w:rPr>
        <w:t>pement aussi important que le social et l'économique. Cet intérêt pour la culture fut d'ai</w:t>
      </w:r>
      <w:r w:rsidRPr="00EC43AA">
        <w:rPr>
          <w:szCs w:val="22"/>
        </w:rPr>
        <w:t>l</w:t>
      </w:r>
      <w:r w:rsidRPr="00EC43AA">
        <w:rPr>
          <w:szCs w:val="22"/>
        </w:rPr>
        <w:t>leurs confirmé en 1969 lorsqu'il créa un comité du Cabinet sur la culture et l'information.</w:t>
      </w:r>
    </w:p>
    <w:p w:rsidR="00AD690E" w:rsidRPr="00EC43AA" w:rsidRDefault="00AD690E" w:rsidP="00AD690E">
      <w:pPr>
        <w:spacing w:before="120" w:after="120"/>
        <w:ind w:left="-90"/>
        <w:jc w:val="both"/>
      </w:pPr>
      <w:r w:rsidRPr="00EC43AA">
        <w:rPr>
          <w:szCs w:val="22"/>
        </w:rPr>
        <w:t>Cette perspective politique liant l'économie et la culture cara</w:t>
      </w:r>
      <w:r w:rsidRPr="00EC43AA">
        <w:rPr>
          <w:szCs w:val="22"/>
        </w:rPr>
        <w:t>c</w:t>
      </w:r>
      <w:r w:rsidRPr="00EC43AA">
        <w:rPr>
          <w:szCs w:val="22"/>
        </w:rPr>
        <w:t>térisa dès le début l'action politique des libéraux de Pierre Tr</w:t>
      </w:r>
      <w:r w:rsidRPr="00EC43AA">
        <w:rPr>
          <w:szCs w:val="22"/>
        </w:rPr>
        <w:t>u</w:t>
      </w:r>
      <w:r w:rsidRPr="00EC43AA">
        <w:rPr>
          <w:szCs w:val="22"/>
        </w:rPr>
        <w:t xml:space="preserve">deau. Elle fut précisée par le </w:t>
      </w:r>
      <w:r w:rsidRPr="00EC43AA">
        <w:rPr>
          <w:i/>
          <w:iCs/>
          <w:szCs w:val="22"/>
        </w:rPr>
        <w:t xml:space="preserve">Rapport Gray </w:t>
      </w:r>
      <w:r w:rsidRPr="00EC43AA">
        <w:rPr>
          <w:szCs w:val="22"/>
        </w:rPr>
        <w:t>en ces termes : « [...] la force économique et politique d'un pays dépend éno</w:t>
      </w:r>
      <w:r w:rsidRPr="00EC43AA">
        <w:rPr>
          <w:szCs w:val="22"/>
        </w:rPr>
        <w:t>r</w:t>
      </w:r>
      <w:r w:rsidRPr="00EC43AA">
        <w:rPr>
          <w:szCs w:val="22"/>
        </w:rPr>
        <w:t>mément de la création d'un milieu culturel, social et politique qui encourage l'esprit d'initiative et l'inn</w:t>
      </w:r>
      <w:r w:rsidRPr="00EC43AA">
        <w:rPr>
          <w:szCs w:val="22"/>
        </w:rPr>
        <w:t>o</w:t>
      </w:r>
      <w:r w:rsidRPr="00EC43AA">
        <w:rPr>
          <w:szCs w:val="22"/>
        </w:rPr>
        <w:t>vation »</w:t>
      </w:r>
      <w:r>
        <w:rPr>
          <w:szCs w:val="22"/>
          <w:vertAlign w:val="superscript"/>
        </w:rPr>
        <w:t> </w:t>
      </w:r>
      <w:r>
        <w:rPr>
          <w:rStyle w:val="Appelnotedebasdep"/>
        </w:rPr>
        <w:footnoteReference w:id="733"/>
      </w:r>
      <w:r w:rsidRPr="00EC43AA">
        <w:rPr>
          <w:szCs w:val="22"/>
        </w:rPr>
        <w:t>. Le rapport soulignait ég</w:t>
      </w:r>
      <w:r w:rsidRPr="00EC43AA">
        <w:rPr>
          <w:szCs w:val="22"/>
        </w:rPr>
        <w:t>a</w:t>
      </w:r>
      <w:r w:rsidRPr="00EC43AA">
        <w:rPr>
          <w:szCs w:val="22"/>
        </w:rPr>
        <w:t>lement</w:t>
      </w:r>
      <w:r>
        <w:rPr>
          <w:szCs w:val="22"/>
        </w:rPr>
        <w:t xml:space="preserve"> </w:t>
      </w:r>
      <w:r>
        <w:rPr>
          <w:szCs w:val="18"/>
        </w:rPr>
        <w:t xml:space="preserve">[425] </w:t>
      </w:r>
      <w:r w:rsidRPr="00EC43AA">
        <w:rPr>
          <w:szCs w:val="22"/>
        </w:rPr>
        <w:t>l'importance pour le Canada de préserver l'intégrité culturelle de son réseau de radiodiff</w:t>
      </w:r>
      <w:r w:rsidRPr="00EC43AA">
        <w:rPr>
          <w:szCs w:val="22"/>
        </w:rPr>
        <w:t>u</w:t>
      </w:r>
      <w:r w:rsidRPr="00EC43AA">
        <w:rPr>
          <w:szCs w:val="22"/>
        </w:rPr>
        <w:t>sion, d'assurer le développement d'un théâtre, d'une industrie du livre, des journaux et des revues qui lui soient pr</w:t>
      </w:r>
      <w:r w:rsidRPr="00EC43AA">
        <w:rPr>
          <w:szCs w:val="22"/>
        </w:rPr>
        <w:t>o</w:t>
      </w:r>
      <w:r w:rsidRPr="00EC43AA">
        <w:rPr>
          <w:szCs w:val="22"/>
        </w:rPr>
        <w:t>pres.</w:t>
      </w:r>
    </w:p>
    <w:p w:rsidR="00AD690E" w:rsidRPr="00EC43AA" w:rsidRDefault="00AD690E" w:rsidP="00AD690E">
      <w:pPr>
        <w:spacing w:before="120" w:after="120"/>
        <w:jc w:val="both"/>
      </w:pPr>
      <w:r w:rsidRPr="00EC43AA">
        <w:rPr>
          <w:szCs w:val="22"/>
        </w:rPr>
        <w:t>L'action politique dans le champ de la culture des libéraux féd</w:t>
      </w:r>
      <w:r w:rsidRPr="00EC43AA">
        <w:rPr>
          <w:szCs w:val="22"/>
        </w:rPr>
        <w:t>é</w:t>
      </w:r>
      <w:r w:rsidRPr="00EC43AA">
        <w:rPr>
          <w:szCs w:val="22"/>
        </w:rPr>
        <w:t>raux durant cette première période fut donc marquée d'un profond n</w:t>
      </w:r>
      <w:r w:rsidRPr="00EC43AA">
        <w:rPr>
          <w:szCs w:val="22"/>
        </w:rPr>
        <w:t>a</w:t>
      </w:r>
      <w:r w:rsidRPr="00EC43AA">
        <w:rPr>
          <w:szCs w:val="22"/>
        </w:rPr>
        <w:t>tionalisme. L'objectif de cette politique fut d'assurer au capital can</w:t>
      </w:r>
      <w:r w:rsidRPr="00EC43AA">
        <w:rPr>
          <w:szCs w:val="22"/>
        </w:rPr>
        <w:t>a</w:t>
      </w:r>
      <w:r w:rsidRPr="00EC43AA">
        <w:rPr>
          <w:szCs w:val="22"/>
        </w:rPr>
        <w:t>dien une place et une rentabilité dans le marché domestique en esp</w:t>
      </w:r>
      <w:r w:rsidRPr="00EC43AA">
        <w:rPr>
          <w:szCs w:val="22"/>
        </w:rPr>
        <w:t>é</w:t>
      </w:r>
      <w:r w:rsidRPr="00EC43AA">
        <w:rPr>
          <w:szCs w:val="22"/>
        </w:rPr>
        <w:t>rant que l'appropriation canadienne favoriserait l'expression des t</w:t>
      </w:r>
      <w:r w:rsidRPr="00EC43AA">
        <w:rPr>
          <w:szCs w:val="22"/>
        </w:rPr>
        <w:t>a</w:t>
      </w:r>
      <w:r w:rsidRPr="00EC43AA">
        <w:rPr>
          <w:szCs w:val="22"/>
        </w:rPr>
        <w:t>lents canadiens</w:t>
      </w:r>
      <w:r>
        <w:rPr>
          <w:szCs w:val="22"/>
          <w:vertAlign w:val="superscript"/>
        </w:rPr>
        <w:t> </w:t>
      </w:r>
      <w:r>
        <w:rPr>
          <w:rStyle w:val="Appelnotedebasdep"/>
        </w:rPr>
        <w:footnoteReference w:id="734"/>
      </w:r>
      <w:r w:rsidRPr="00EC43AA">
        <w:rPr>
          <w:szCs w:val="22"/>
        </w:rPr>
        <w:t>. Cette politique n</w:t>
      </w:r>
      <w:r w:rsidRPr="00EC43AA">
        <w:rPr>
          <w:szCs w:val="22"/>
        </w:rPr>
        <w:t>é</w:t>
      </w:r>
      <w:r w:rsidRPr="00EC43AA">
        <w:rPr>
          <w:szCs w:val="22"/>
        </w:rPr>
        <w:t>cessitait toutefois que beaucoup plus d'argent soit investi dans la cu</w:t>
      </w:r>
      <w:r w:rsidRPr="00EC43AA">
        <w:rPr>
          <w:szCs w:val="22"/>
        </w:rPr>
        <w:t>l</w:t>
      </w:r>
      <w:r w:rsidRPr="00EC43AA">
        <w:rPr>
          <w:szCs w:val="22"/>
        </w:rPr>
        <w:t>ture. Ainsi, de 1967-1968 à 1977-1978, les dépenses du fédéral pour la culture et les loisirs augment</w:t>
      </w:r>
      <w:r w:rsidRPr="00EC43AA">
        <w:rPr>
          <w:szCs w:val="22"/>
        </w:rPr>
        <w:t>è</w:t>
      </w:r>
      <w:r w:rsidRPr="00EC43AA">
        <w:rPr>
          <w:szCs w:val="22"/>
        </w:rPr>
        <w:t>rent de 243,9 à 894,8 millions de dollars, soit une croissance de 266,9</w:t>
      </w:r>
      <w:r>
        <w:rPr>
          <w:szCs w:val="22"/>
        </w:rPr>
        <w:t>%</w:t>
      </w:r>
      <w:r>
        <w:rPr>
          <w:szCs w:val="22"/>
          <w:vertAlign w:val="superscript"/>
        </w:rPr>
        <w:t> </w:t>
      </w:r>
      <w:r>
        <w:rPr>
          <w:rStyle w:val="Appelnotedebasdep"/>
        </w:rPr>
        <w:footnoteReference w:id="735"/>
      </w:r>
      <w:r w:rsidRPr="00EC43AA">
        <w:rPr>
          <w:szCs w:val="22"/>
        </w:rPr>
        <w:t>. Mais pendant la même période, les dépenses des provi</w:t>
      </w:r>
      <w:r w:rsidRPr="00EC43AA">
        <w:rPr>
          <w:szCs w:val="22"/>
        </w:rPr>
        <w:t>n</w:t>
      </w:r>
      <w:r w:rsidRPr="00EC43AA">
        <w:rPr>
          <w:szCs w:val="22"/>
        </w:rPr>
        <w:t>ces pour la culture augmentèrent de 81,4 à 625,9 mi</w:t>
      </w:r>
      <w:r w:rsidRPr="00EC43AA">
        <w:rPr>
          <w:szCs w:val="22"/>
        </w:rPr>
        <w:t>l</w:t>
      </w:r>
      <w:r w:rsidRPr="00EC43AA">
        <w:rPr>
          <w:szCs w:val="22"/>
        </w:rPr>
        <w:t>lions</w:t>
      </w:r>
      <w:r>
        <w:rPr>
          <w:szCs w:val="22"/>
          <w:vertAlign w:val="superscript"/>
        </w:rPr>
        <w:t> </w:t>
      </w:r>
      <w:r>
        <w:rPr>
          <w:rStyle w:val="Appelnotedebasdep"/>
        </w:rPr>
        <w:footnoteReference w:id="736"/>
      </w:r>
      <w:r w:rsidRPr="00EC43AA">
        <w:rPr>
          <w:szCs w:val="22"/>
        </w:rPr>
        <w:t>.</w:t>
      </w:r>
    </w:p>
    <w:p w:rsidR="00AD690E" w:rsidRPr="00EC43AA" w:rsidRDefault="00AD690E" w:rsidP="00AD690E">
      <w:pPr>
        <w:spacing w:before="120" w:after="120"/>
        <w:jc w:val="both"/>
      </w:pPr>
      <w:r w:rsidRPr="00EC43AA">
        <w:rPr>
          <w:szCs w:val="22"/>
        </w:rPr>
        <w:t>Durant cette première période, furent également mis en place des appareils et institutions qui devinrent les acteurs principaux du dév</w:t>
      </w:r>
      <w:r w:rsidRPr="00EC43AA">
        <w:rPr>
          <w:szCs w:val="22"/>
        </w:rPr>
        <w:t>e</w:t>
      </w:r>
      <w:r w:rsidRPr="00EC43AA">
        <w:rPr>
          <w:szCs w:val="22"/>
        </w:rPr>
        <w:t>loppement culturel canadien. On doit à ce titre mentio</w:t>
      </w:r>
      <w:r w:rsidRPr="00EC43AA">
        <w:rPr>
          <w:szCs w:val="22"/>
        </w:rPr>
        <w:t>n</w:t>
      </w:r>
      <w:r w:rsidRPr="00EC43AA">
        <w:rPr>
          <w:szCs w:val="22"/>
        </w:rPr>
        <w:t>ner la création du ministère des Communications (MCC) et du Conseil de la radio télévision canadienne (CRTC) en 1968. Furent égal</w:t>
      </w:r>
      <w:r w:rsidRPr="00EC43AA">
        <w:rPr>
          <w:szCs w:val="22"/>
        </w:rPr>
        <w:t>e</w:t>
      </w:r>
      <w:r w:rsidRPr="00EC43AA">
        <w:rPr>
          <w:szCs w:val="22"/>
        </w:rPr>
        <w:t>ment créés durant cette période d'autres ministères et organismes qui, selon les cas, i</w:t>
      </w:r>
      <w:r w:rsidRPr="00EC43AA">
        <w:rPr>
          <w:szCs w:val="22"/>
        </w:rPr>
        <w:t>n</w:t>
      </w:r>
      <w:r w:rsidRPr="00EC43AA">
        <w:rPr>
          <w:szCs w:val="22"/>
        </w:rPr>
        <w:t>tervinrent plus ou moins dire</w:t>
      </w:r>
      <w:r w:rsidRPr="00EC43AA">
        <w:rPr>
          <w:szCs w:val="22"/>
        </w:rPr>
        <w:t>c</w:t>
      </w:r>
      <w:r w:rsidRPr="00EC43AA">
        <w:rPr>
          <w:szCs w:val="22"/>
        </w:rPr>
        <w:t>tement dans ce développement, tels le ministère de l'Expansion économique régionale (MEER) en 1969, le mini</w:t>
      </w:r>
      <w:r w:rsidRPr="00EC43AA">
        <w:rPr>
          <w:szCs w:val="22"/>
        </w:rPr>
        <w:t>s</w:t>
      </w:r>
      <w:r w:rsidRPr="00EC43AA">
        <w:rPr>
          <w:szCs w:val="22"/>
        </w:rPr>
        <w:t>tère de la Science et de la Technologie en 1971 et l'Agence d'examen de l'investissement étranger en 1973. À ces org</w:t>
      </w:r>
      <w:r w:rsidRPr="00EC43AA">
        <w:rPr>
          <w:szCs w:val="22"/>
        </w:rPr>
        <w:t>a</w:t>
      </w:r>
      <w:r w:rsidRPr="00EC43AA">
        <w:rPr>
          <w:szCs w:val="22"/>
        </w:rPr>
        <w:t>nismes de gestion et de contrôle s'ajoutèrent, grâce au Conseil des Arts du Can</w:t>
      </w:r>
      <w:r w:rsidRPr="00EC43AA">
        <w:rPr>
          <w:szCs w:val="22"/>
        </w:rPr>
        <w:t>a</w:t>
      </w:r>
      <w:r w:rsidRPr="00EC43AA">
        <w:rPr>
          <w:szCs w:val="22"/>
        </w:rPr>
        <w:t>da et à l'instigation du Secrétariat d'État, des programmes dont le but était de favoriser la connaissance du Canada et de la société canadie</w:t>
      </w:r>
      <w:r w:rsidRPr="00EC43AA">
        <w:rPr>
          <w:szCs w:val="22"/>
        </w:rPr>
        <w:t>n</w:t>
      </w:r>
      <w:r w:rsidRPr="00EC43AA">
        <w:rPr>
          <w:szCs w:val="22"/>
        </w:rPr>
        <w:t>ne de même que la participation populaire, tels les programmes d'in</w:t>
      </w:r>
      <w:r w:rsidRPr="00EC43AA">
        <w:rPr>
          <w:szCs w:val="22"/>
        </w:rPr>
        <w:t>i</w:t>
      </w:r>
      <w:r w:rsidRPr="00EC43AA">
        <w:rPr>
          <w:szCs w:val="22"/>
        </w:rPr>
        <w:t>tiatives locales (PIL) et Connaissance Canada en 1971 (Horizon qui deviendra Expl</w:t>
      </w:r>
      <w:r w:rsidRPr="00EC43AA">
        <w:rPr>
          <w:szCs w:val="22"/>
        </w:rPr>
        <w:t>o</w:t>
      </w:r>
      <w:r w:rsidRPr="00EC43AA">
        <w:rPr>
          <w:szCs w:val="22"/>
        </w:rPr>
        <w:t>ration en 1973).</w:t>
      </w:r>
    </w:p>
    <w:p w:rsidR="00AD690E" w:rsidRPr="00EC43AA" w:rsidRDefault="00AD690E" w:rsidP="00AD690E">
      <w:pPr>
        <w:spacing w:before="120" w:after="120"/>
        <w:jc w:val="both"/>
      </w:pPr>
      <w:r w:rsidRPr="00EC43AA">
        <w:rPr>
          <w:szCs w:val="22"/>
        </w:rPr>
        <w:t>Les années 1968-1975 furent également fécondes en lois et règl</w:t>
      </w:r>
      <w:r w:rsidRPr="00EC43AA">
        <w:rPr>
          <w:szCs w:val="22"/>
        </w:rPr>
        <w:t>e</w:t>
      </w:r>
      <w:r w:rsidRPr="00EC43AA">
        <w:rPr>
          <w:szCs w:val="22"/>
        </w:rPr>
        <w:t>ments dont les objectifs étaient de favoriser l'accroissement de la pr</w:t>
      </w:r>
      <w:r w:rsidRPr="00EC43AA">
        <w:rPr>
          <w:szCs w:val="22"/>
        </w:rPr>
        <w:t>o</w:t>
      </w:r>
      <w:r w:rsidRPr="00EC43AA">
        <w:rPr>
          <w:szCs w:val="22"/>
        </w:rPr>
        <w:t>priété et du contrôle par les Canadiens, l'élargi</w:t>
      </w:r>
      <w:r w:rsidRPr="00EC43AA">
        <w:rPr>
          <w:szCs w:val="22"/>
        </w:rPr>
        <w:t>s</w:t>
      </w:r>
      <w:r w:rsidRPr="00EC43AA">
        <w:rPr>
          <w:szCs w:val="22"/>
        </w:rPr>
        <w:t>sement de la place des productions et des contenus can</w:t>
      </w:r>
      <w:r w:rsidRPr="00EC43AA">
        <w:rPr>
          <w:szCs w:val="22"/>
        </w:rPr>
        <w:t>a</w:t>
      </w:r>
      <w:r w:rsidRPr="00EC43AA">
        <w:rPr>
          <w:szCs w:val="22"/>
        </w:rPr>
        <w:t>diens dans le marché domestique et le développement de la coh</w:t>
      </w:r>
      <w:r w:rsidRPr="00EC43AA">
        <w:rPr>
          <w:szCs w:val="22"/>
        </w:rPr>
        <w:t>é</w:t>
      </w:r>
      <w:r w:rsidRPr="00EC43AA">
        <w:rPr>
          <w:szCs w:val="22"/>
        </w:rPr>
        <w:t>rence et de la centralisation de l'offre dans certains se</w:t>
      </w:r>
      <w:r w:rsidRPr="00EC43AA">
        <w:rPr>
          <w:szCs w:val="22"/>
        </w:rPr>
        <w:t>c</w:t>
      </w:r>
      <w:r w:rsidRPr="00EC43AA">
        <w:rPr>
          <w:szCs w:val="22"/>
        </w:rPr>
        <w:t>teurs. Sont à signaler comme particulièrement importants, les lois des musées nati</w:t>
      </w:r>
      <w:r w:rsidRPr="00EC43AA">
        <w:rPr>
          <w:szCs w:val="22"/>
        </w:rPr>
        <w:t>o</w:t>
      </w:r>
      <w:r w:rsidRPr="00EC43AA">
        <w:rPr>
          <w:szCs w:val="22"/>
        </w:rPr>
        <w:t>naux (1968) et sur les langues officielles (1969), l'amendement à la loi d'impôt afin d'établir des déductions fi</w:t>
      </w:r>
      <w:r w:rsidRPr="00EC43AA">
        <w:rPr>
          <w:szCs w:val="22"/>
        </w:rPr>
        <w:t>s</w:t>
      </w:r>
      <w:r w:rsidRPr="00EC43AA">
        <w:rPr>
          <w:szCs w:val="22"/>
        </w:rPr>
        <w:t>cales pour l'investissement dans des produ</w:t>
      </w:r>
      <w:r w:rsidRPr="00EC43AA">
        <w:rPr>
          <w:szCs w:val="22"/>
        </w:rPr>
        <w:t>c</w:t>
      </w:r>
      <w:r w:rsidRPr="00EC43AA">
        <w:rPr>
          <w:szCs w:val="22"/>
        </w:rPr>
        <w:t>tions</w:t>
      </w:r>
      <w:r>
        <w:rPr>
          <w:szCs w:val="22"/>
        </w:rPr>
        <w:t xml:space="preserve"> </w:t>
      </w:r>
      <w:r>
        <w:rPr>
          <w:szCs w:val="18"/>
        </w:rPr>
        <w:t>[</w:t>
      </w:r>
      <w:r w:rsidRPr="00EC43AA">
        <w:rPr>
          <w:szCs w:val="18"/>
        </w:rPr>
        <w:t>426</w:t>
      </w:r>
      <w:r>
        <w:rPr>
          <w:szCs w:val="18"/>
        </w:rPr>
        <w:t xml:space="preserve">] </w:t>
      </w:r>
      <w:r w:rsidRPr="00EC43AA">
        <w:t>cinématogr</w:t>
      </w:r>
      <w:r w:rsidRPr="00EC43AA">
        <w:t>a</w:t>
      </w:r>
      <w:r w:rsidRPr="00EC43AA">
        <w:t>phiques canadiennes (1974) et l'adoption, en 1970, d'un règlement forçant les radio-t</w:t>
      </w:r>
      <w:r>
        <w:t>é</w:t>
      </w:r>
      <w:r w:rsidRPr="00EC43AA">
        <w:t>lédiffuseurs à inclure dans leur pr</w:t>
      </w:r>
      <w:r w:rsidRPr="00EC43AA">
        <w:t>o</w:t>
      </w:r>
      <w:r w:rsidRPr="00EC43AA">
        <w:t>grammation un pourcentage important de contenu c</w:t>
      </w:r>
      <w:r w:rsidRPr="00EC43AA">
        <w:t>a</w:t>
      </w:r>
      <w:r w:rsidRPr="00EC43AA">
        <w:t>nadien (plus de 50</w:t>
      </w:r>
      <w:r>
        <w:t>%</w:t>
      </w:r>
      <w:r w:rsidRPr="00EC43AA">
        <w:t xml:space="preserve"> en période de forte écoute).</w:t>
      </w:r>
    </w:p>
    <w:p w:rsidR="00AD690E" w:rsidRPr="00EC43AA" w:rsidRDefault="00AD690E" w:rsidP="00AD690E">
      <w:pPr>
        <w:spacing w:before="120" w:after="120"/>
        <w:jc w:val="both"/>
      </w:pPr>
      <w:r w:rsidRPr="00EC43AA">
        <w:t>Cette première période de l'ère Trudeau fut aussi extrêm</w:t>
      </w:r>
      <w:r w:rsidRPr="00EC43AA">
        <w:t>e</w:t>
      </w:r>
      <w:r w:rsidRPr="00EC43AA">
        <w:t>ment productive en études, commissions d'enquête et publications qui bal</w:t>
      </w:r>
      <w:r w:rsidRPr="00EC43AA">
        <w:t>i</w:t>
      </w:r>
      <w:r w:rsidRPr="00EC43AA">
        <w:t>sèrent le travail des législateurs et administr</w:t>
      </w:r>
      <w:r w:rsidRPr="00EC43AA">
        <w:t>a</w:t>
      </w:r>
      <w:r w:rsidRPr="00EC43AA">
        <w:t>teurs fédéraux autant qu'elles permirent l'expression et favor</w:t>
      </w:r>
      <w:r w:rsidRPr="00EC43AA">
        <w:t>i</w:t>
      </w:r>
      <w:r w:rsidRPr="00EC43AA">
        <w:t>sèrent la cristallisation du point de vue nationaliste canadien sur les problèmes abordés. Ces e</w:t>
      </w:r>
      <w:r w:rsidRPr="00EC43AA">
        <w:t>n</w:t>
      </w:r>
      <w:r w:rsidRPr="00EC43AA">
        <w:t>quêtes et rapports touch</w:t>
      </w:r>
      <w:r w:rsidRPr="00EC43AA">
        <w:t>è</w:t>
      </w:r>
      <w:r w:rsidRPr="00EC43AA">
        <w:t>rent tout particulièrement les domaines de l'éducation sup</w:t>
      </w:r>
      <w:r w:rsidRPr="00EC43AA">
        <w:t>é</w:t>
      </w:r>
      <w:r w:rsidRPr="00EC43AA">
        <w:t>rieure et de la recherche scientifique et technologique, les mass média et les nouvelles technologies d'information et de communication. Parmi ces études et enquêtes mentionnons la Co</w:t>
      </w:r>
      <w:r w:rsidRPr="00EC43AA">
        <w:t>m</w:t>
      </w:r>
      <w:r w:rsidRPr="00EC43AA">
        <w:t>mission Macdonald sur l'aide fédérale à la recherche dans les univers</w:t>
      </w:r>
      <w:r w:rsidRPr="00EC43AA">
        <w:t>i</w:t>
      </w:r>
      <w:r w:rsidRPr="00EC43AA">
        <w:t>tés qui publia son rapport en 1969, la Commission Symons sur les études canadiennes, dont le rapport parut en 1975, l'enquête Lamont</w:t>
      </w:r>
      <w:r w:rsidRPr="00EC43AA">
        <w:t>a</w:t>
      </w:r>
      <w:r w:rsidRPr="00EC43AA">
        <w:t>gne sur la politique scientifique en 1970, l'étude du Comité du Sénat dir</w:t>
      </w:r>
      <w:r w:rsidRPr="00EC43AA">
        <w:t>i</w:t>
      </w:r>
      <w:r w:rsidRPr="00EC43AA">
        <w:t>gée par Keith Davey sur les mass média publiée en 1970, l'enquête d'un comité du S</w:t>
      </w:r>
      <w:r w:rsidRPr="00EC43AA">
        <w:t>e</w:t>
      </w:r>
      <w:r w:rsidRPr="00EC43AA">
        <w:t>crétariat d'État sur l'industrie de l'édition au Canada en 1975, celle de la Télé</w:t>
      </w:r>
      <w:r>
        <w:t xml:space="preserve"> </w:t>
      </w:r>
      <w:r w:rsidRPr="00EC43AA">
        <w:t>commission en 1969, les travaux du groupe d'étude sur la t</w:t>
      </w:r>
      <w:r w:rsidRPr="00EC43AA">
        <w:t>é</w:t>
      </w:r>
      <w:r w:rsidRPr="00EC43AA">
        <w:t>léinformatique au Canada en 1970 dont les résultats furent p</w:t>
      </w:r>
      <w:r w:rsidRPr="00EC43AA">
        <w:t>u</w:t>
      </w:r>
      <w:r w:rsidRPr="00EC43AA">
        <w:t xml:space="preserve">bliés en 1971 et 1972 sous les titres </w:t>
      </w:r>
      <w:r w:rsidRPr="00EC43AA">
        <w:rPr>
          <w:i/>
          <w:iCs/>
        </w:rPr>
        <w:t xml:space="preserve">Univers sans distance </w:t>
      </w:r>
      <w:r>
        <w:rPr>
          <w:i/>
          <w:iCs/>
        </w:rPr>
        <w:t>et</w:t>
      </w:r>
      <w:r w:rsidRPr="00EC43AA">
        <w:rPr>
          <w:i/>
          <w:iCs/>
        </w:rPr>
        <w:t xml:space="preserve"> L'Arbre de vie </w:t>
      </w:r>
      <w:r w:rsidRPr="00EC43AA">
        <w:t>et qui furent suivis d'un ensemble de travaux comma</w:t>
      </w:r>
      <w:r w:rsidRPr="00EC43AA">
        <w:t>n</w:t>
      </w:r>
      <w:r w:rsidRPr="00EC43AA">
        <w:t xml:space="preserve">dés et publiés par le ministère des Communications : </w:t>
      </w:r>
      <w:r w:rsidRPr="00EC43AA">
        <w:rPr>
          <w:i/>
          <w:iCs/>
        </w:rPr>
        <w:t>Choix politiques en matière de télécomm</w:t>
      </w:r>
      <w:r w:rsidRPr="00EC43AA">
        <w:rPr>
          <w:i/>
          <w:iCs/>
        </w:rPr>
        <w:t>u</w:t>
      </w:r>
      <w:r w:rsidRPr="00EC43AA">
        <w:rPr>
          <w:i/>
          <w:iCs/>
        </w:rPr>
        <w:t xml:space="preserve">nication </w:t>
      </w:r>
      <w:r w:rsidRPr="00EC43AA">
        <w:t xml:space="preserve">(1972), </w:t>
      </w:r>
      <w:r w:rsidRPr="00EC43AA">
        <w:rPr>
          <w:i/>
          <w:iCs/>
        </w:rPr>
        <w:t>Vers une politique nationale de la téléco</w:t>
      </w:r>
      <w:r w:rsidRPr="00EC43AA">
        <w:rPr>
          <w:i/>
          <w:iCs/>
        </w:rPr>
        <w:t>m</w:t>
      </w:r>
      <w:r w:rsidRPr="00EC43AA">
        <w:rPr>
          <w:i/>
          <w:iCs/>
        </w:rPr>
        <w:t xml:space="preserve">munication </w:t>
      </w:r>
      <w:r w:rsidRPr="00EC43AA">
        <w:t xml:space="preserve">et </w:t>
      </w:r>
      <w:r w:rsidRPr="00EC43AA">
        <w:rPr>
          <w:i/>
          <w:iCs/>
        </w:rPr>
        <w:t xml:space="preserve">Principes directeurs d'une politique de téléinformatique </w:t>
      </w:r>
      <w:r w:rsidRPr="00EC43AA">
        <w:t xml:space="preserve">(1973), </w:t>
      </w:r>
      <w:r w:rsidRPr="00EC43AA">
        <w:rPr>
          <w:i/>
          <w:iCs/>
        </w:rPr>
        <w:t>Télécommunication : quelques propos</w:t>
      </w:r>
      <w:r w:rsidRPr="00EC43AA">
        <w:rPr>
          <w:i/>
          <w:iCs/>
        </w:rPr>
        <w:t>i</w:t>
      </w:r>
      <w:r w:rsidRPr="00EC43AA">
        <w:rPr>
          <w:i/>
          <w:iCs/>
        </w:rPr>
        <w:t xml:space="preserve">tions fédérales </w:t>
      </w:r>
      <w:r w:rsidRPr="00EC43AA">
        <w:t>(1975). À ces enquêtes et rapports, il faut ajo</w:t>
      </w:r>
      <w:r w:rsidRPr="00EC43AA">
        <w:t>u</w:t>
      </w:r>
      <w:r w:rsidRPr="00EC43AA">
        <w:t xml:space="preserve">ter la pièce centrale que fut le </w:t>
      </w:r>
      <w:r w:rsidRPr="00EC43AA">
        <w:rPr>
          <w:i/>
          <w:iCs/>
        </w:rPr>
        <w:t xml:space="preserve">Rapport Gray </w:t>
      </w:r>
      <w:r w:rsidRPr="00EC43AA">
        <w:t>sur les investissements étrangers au Canada (1972).</w:t>
      </w:r>
    </w:p>
    <w:p w:rsidR="00AD690E" w:rsidRDefault="00AD690E" w:rsidP="00AD690E">
      <w:pPr>
        <w:spacing w:before="120" w:after="120"/>
        <w:jc w:val="both"/>
      </w:pPr>
    </w:p>
    <w:p w:rsidR="00AD690E" w:rsidRPr="0055146B" w:rsidRDefault="00AD690E" w:rsidP="00AD690E">
      <w:pPr>
        <w:pStyle w:val="a"/>
      </w:pPr>
      <w:r w:rsidRPr="0055146B">
        <w:t xml:space="preserve">b) Le Secrétariat d'État, </w:t>
      </w:r>
      <w:r>
        <w:br/>
      </w:r>
      <w:r w:rsidRPr="0055146B">
        <w:t>cheville ouvrière de la politique culture</w:t>
      </w:r>
      <w:r w:rsidRPr="0055146B">
        <w:t>l</w:t>
      </w:r>
      <w:r w:rsidRPr="0055146B">
        <w:t>le</w:t>
      </w:r>
    </w:p>
    <w:p w:rsidR="00AD690E" w:rsidRDefault="00AD690E" w:rsidP="00AD690E">
      <w:pPr>
        <w:spacing w:before="120" w:after="120"/>
        <w:jc w:val="both"/>
      </w:pPr>
    </w:p>
    <w:p w:rsidR="00AD690E" w:rsidRDefault="00AD690E" w:rsidP="00AD690E">
      <w:pPr>
        <w:spacing w:before="120" w:after="120"/>
        <w:jc w:val="both"/>
      </w:pPr>
      <w:r w:rsidRPr="00EC43AA">
        <w:t>L'action politique du gouvernement Trudeau dans le domaine de la culture durant les années 1968-1975 toucha donc un ensemble de se</w:t>
      </w:r>
      <w:r w:rsidRPr="00EC43AA">
        <w:t>c</w:t>
      </w:r>
      <w:r w:rsidRPr="00EC43AA">
        <w:t>teurs et revêtit une telle envergure qu'elle app</w:t>
      </w:r>
      <w:r w:rsidRPr="00EC43AA">
        <w:t>a</w:t>
      </w:r>
      <w:r w:rsidRPr="00EC43AA">
        <w:t xml:space="preserve">rut aux adversaires de ce nationalisme </w:t>
      </w:r>
      <w:r w:rsidRPr="00EC43AA">
        <w:rPr>
          <w:i/>
          <w:iCs/>
        </w:rPr>
        <w:t xml:space="preserve">canadien, </w:t>
      </w:r>
      <w:r w:rsidRPr="00EC43AA">
        <w:t>surtout aux n</w:t>
      </w:r>
      <w:r w:rsidRPr="00EC43AA">
        <w:t>a</w:t>
      </w:r>
      <w:r w:rsidRPr="00EC43AA">
        <w:t>tionalistes et autonomistes québécois, comme très cohérente</w:t>
      </w:r>
      <w:r>
        <w:rPr>
          <w:vertAlign w:val="superscript"/>
        </w:rPr>
        <w:t> </w:t>
      </w:r>
      <w:r>
        <w:rPr>
          <w:rStyle w:val="Appelnotedebasdep"/>
        </w:rPr>
        <w:footnoteReference w:id="737"/>
      </w:r>
      <w:r>
        <w:rPr>
          <w:vertAlign w:val="superscript"/>
        </w:rPr>
        <w:t xml:space="preserve"> </w:t>
      </w:r>
      <w:r w:rsidRPr="00EC43AA">
        <w:t>alors qu'elle déplaisait aux nati</w:t>
      </w:r>
      <w:r w:rsidRPr="00EC43AA">
        <w:t>o</w:t>
      </w:r>
      <w:r w:rsidRPr="00EC43AA">
        <w:t xml:space="preserve">nalistes </w:t>
      </w:r>
      <w:r w:rsidRPr="00EC43AA">
        <w:rPr>
          <w:i/>
          <w:iCs/>
        </w:rPr>
        <w:t xml:space="preserve">canadiens </w:t>
      </w:r>
      <w:r w:rsidRPr="00EC43AA">
        <w:t>à cause de son manque de cohérence et de systém</w:t>
      </w:r>
      <w:r w:rsidRPr="00EC43AA">
        <w:t>a</w:t>
      </w:r>
      <w:r w:rsidRPr="00EC43AA">
        <w:t>tisation</w:t>
      </w:r>
      <w:r>
        <w:rPr>
          <w:vertAlign w:val="superscript"/>
        </w:rPr>
        <w:t> </w:t>
      </w:r>
      <w:r>
        <w:rPr>
          <w:rStyle w:val="Appelnotedebasdep"/>
        </w:rPr>
        <w:footnoteReference w:id="738"/>
      </w:r>
      <w:r w:rsidRPr="00EC43AA">
        <w:t>. Quoi qu'il en soit, il demeure que cette action fut suff</w:t>
      </w:r>
      <w:r w:rsidRPr="00EC43AA">
        <w:t>i</w:t>
      </w:r>
      <w:r w:rsidRPr="00EC43AA">
        <w:t>samment étendue et incisive pour avoir l'allure d'une politique glob</w:t>
      </w:r>
      <w:r w:rsidRPr="00EC43AA">
        <w:t>a</w:t>
      </w:r>
      <w:r w:rsidRPr="00EC43AA">
        <w:t>le.</w:t>
      </w:r>
    </w:p>
    <w:p w:rsidR="00AD690E" w:rsidRDefault="00AD690E" w:rsidP="00AD690E">
      <w:pPr>
        <w:spacing w:before="120" w:after="120"/>
        <w:jc w:val="both"/>
      </w:pPr>
      <w:r>
        <w:t>[427]</w:t>
      </w:r>
    </w:p>
    <w:p w:rsidR="00AD690E" w:rsidRPr="00EC43AA" w:rsidRDefault="00AD690E" w:rsidP="00AD690E">
      <w:pPr>
        <w:spacing w:before="120" w:after="120"/>
        <w:jc w:val="both"/>
      </w:pPr>
      <w:r w:rsidRPr="00EC43AA">
        <w:t>La cheville ouvrière de cette politique fut le Secrétariat d'État, dans lequel les libéraux de Pearson avaient déjà co</w:t>
      </w:r>
      <w:r w:rsidRPr="00EC43AA">
        <w:t>m</w:t>
      </w:r>
      <w:r w:rsidRPr="00EC43AA">
        <w:t>mencé à regrouper les organismes culturels relevant du fédéral. À partir de 1968, avec l'arr</w:t>
      </w:r>
      <w:r w:rsidRPr="00EC43AA">
        <w:t>i</w:t>
      </w:r>
      <w:r w:rsidRPr="00EC43AA">
        <w:t>vée de Gérard Pelletier à sa direction, le Secrét</w:t>
      </w:r>
      <w:r w:rsidRPr="00EC43AA">
        <w:t>a</w:t>
      </w:r>
      <w:r w:rsidRPr="00EC43AA">
        <w:t>riat d'État va étendre et systématiser son action tout en faisant faire un bond qualitatif i</w:t>
      </w:r>
      <w:r w:rsidRPr="00EC43AA">
        <w:t>m</w:t>
      </w:r>
      <w:r w:rsidRPr="00EC43AA">
        <w:t>portant au contrôle politique exercé sur les organismes culturels su</w:t>
      </w:r>
      <w:r w:rsidRPr="00EC43AA">
        <w:t>b</w:t>
      </w:r>
      <w:r w:rsidRPr="00EC43AA">
        <w:t>ventionnés par le fédéral et à la centralisation des déc</w:t>
      </w:r>
      <w:r w:rsidRPr="00EC43AA">
        <w:t>i</w:t>
      </w:r>
      <w:r w:rsidRPr="00EC43AA">
        <w:t>sions dans le secteur.</w:t>
      </w:r>
    </w:p>
    <w:p w:rsidR="00AD690E" w:rsidRPr="00EC43AA" w:rsidRDefault="00AD690E" w:rsidP="00AD690E">
      <w:pPr>
        <w:spacing w:before="120" w:after="120"/>
        <w:jc w:val="both"/>
      </w:pPr>
      <w:r w:rsidRPr="00EC43AA">
        <w:t xml:space="preserve">Bernard Ostry, dans son livre </w:t>
      </w:r>
      <w:r w:rsidRPr="00EC43AA">
        <w:rPr>
          <w:i/>
          <w:iCs/>
        </w:rPr>
        <w:t xml:space="preserve">The Cultural Connection, </w:t>
      </w:r>
      <w:r w:rsidRPr="00EC43AA">
        <w:t>souligne que nul autre que Gérard Pelletier n'était mieux préparé par sa form</w:t>
      </w:r>
      <w:r w:rsidRPr="00EC43AA">
        <w:t>a</w:t>
      </w:r>
      <w:r w:rsidRPr="00EC43AA">
        <w:t>tion, son expérience de travail et sa connai</w:t>
      </w:r>
      <w:r w:rsidRPr="00EC43AA">
        <w:t>s</w:t>
      </w:r>
      <w:r w:rsidRPr="00EC43AA">
        <w:t>sance de plusieurs cultures et styles de gouvernement pour réaliser cet impo</w:t>
      </w:r>
      <w:r w:rsidRPr="00EC43AA">
        <w:t>r</w:t>
      </w:r>
      <w:r w:rsidRPr="00EC43AA">
        <w:t>tant travail</w:t>
      </w:r>
      <w:r>
        <w:t> </w:t>
      </w:r>
      <w:r>
        <w:rPr>
          <w:rStyle w:val="Appelnotedebasdep"/>
        </w:rPr>
        <w:footnoteReference w:id="739"/>
      </w:r>
      <w:r w:rsidRPr="00EC43AA">
        <w:t>. De plus, il avait l'assentiment et le support du leader, Pierre Trudeau, et des officiers du pa</w:t>
      </w:r>
      <w:r w:rsidRPr="00EC43AA">
        <w:t>r</w:t>
      </w:r>
      <w:r w:rsidRPr="00EC43AA">
        <w:t>ti</w:t>
      </w:r>
      <w:r>
        <w:rPr>
          <w:vertAlign w:val="superscript"/>
        </w:rPr>
        <w:t> </w:t>
      </w:r>
      <w:r>
        <w:rPr>
          <w:rStyle w:val="Appelnotedebasdep"/>
        </w:rPr>
        <w:footnoteReference w:id="740"/>
      </w:r>
      <w:r w:rsidRPr="00EC43AA">
        <w:t>.</w:t>
      </w:r>
    </w:p>
    <w:p w:rsidR="00AD690E" w:rsidRPr="00EC43AA" w:rsidRDefault="00AD690E" w:rsidP="00AD690E">
      <w:pPr>
        <w:spacing w:before="120" w:after="120"/>
        <w:jc w:val="both"/>
      </w:pPr>
      <w:r w:rsidRPr="00EC43AA">
        <w:t>Aussitôt en poste, Pelletier entreprend une série de consu</w:t>
      </w:r>
      <w:r w:rsidRPr="00EC43AA">
        <w:t>l</w:t>
      </w:r>
      <w:r w:rsidRPr="00EC43AA">
        <w:t>tations auprès des différents groupes culturels à travers le pays et il présente sa politique comme une tentative d'appliquer à la culture les idéaux de démocratie et de décentralisation. L'activité de consultation et d'e</w:t>
      </w:r>
      <w:r w:rsidRPr="00EC43AA">
        <w:t>n</w:t>
      </w:r>
      <w:r w:rsidRPr="00EC43AA">
        <w:t>quête du Secrétariat d'État fut telle qu'Ostry a</w:t>
      </w:r>
      <w:r w:rsidRPr="00EC43AA">
        <w:t>f</w:t>
      </w:r>
      <w:r w:rsidRPr="00EC43AA">
        <w:t>firme : « No subject matter escaped their attention, from crafts and mus</w:t>
      </w:r>
      <w:r>
        <w:t>e</w:t>
      </w:r>
      <w:r w:rsidRPr="00EC43AA">
        <w:t>ums to film and th</w:t>
      </w:r>
      <w:r>
        <w:t>ea</w:t>
      </w:r>
      <w:r w:rsidRPr="00EC43AA">
        <w:t>tre, from cultural centres to p</w:t>
      </w:r>
      <w:r w:rsidRPr="00EC43AA">
        <w:t>u</w:t>
      </w:r>
      <w:r w:rsidRPr="00EC43AA">
        <w:t>blishing »</w:t>
      </w:r>
      <w:r>
        <w:rPr>
          <w:vertAlign w:val="superscript"/>
        </w:rPr>
        <w:t> </w:t>
      </w:r>
      <w:r>
        <w:rPr>
          <w:rStyle w:val="Appelnotedebasdep"/>
        </w:rPr>
        <w:footnoteReference w:id="741"/>
      </w:r>
      <w:r w:rsidRPr="00EC43AA">
        <w:t>.</w:t>
      </w:r>
    </w:p>
    <w:p w:rsidR="00AD690E" w:rsidRPr="00EC43AA" w:rsidRDefault="00AD690E" w:rsidP="00AD690E">
      <w:pPr>
        <w:spacing w:before="120" w:after="120"/>
        <w:jc w:val="both"/>
      </w:pPr>
      <w:r w:rsidRPr="00EC43AA">
        <w:t>Le Secrétariat d'État durant ces années apparut ainsi d'a</w:t>
      </w:r>
      <w:r w:rsidRPr="00EC43AA">
        <w:t>u</w:t>
      </w:r>
      <w:r w:rsidRPr="00EC43AA">
        <w:t>tant plus comme un véritable ministère de la culture qu'il poursuivit la central</w:t>
      </w:r>
      <w:r w:rsidRPr="00EC43AA">
        <w:t>i</w:t>
      </w:r>
      <w:r w:rsidRPr="00EC43AA">
        <w:t>sation des organismes culturels et accrut son contrôle pol</w:t>
      </w:r>
      <w:r w:rsidRPr="00EC43AA">
        <w:t>i</w:t>
      </w:r>
      <w:r w:rsidRPr="00EC43AA">
        <w:t>tique.</w:t>
      </w:r>
    </w:p>
    <w:p w:rsidR="00AD690E" w:rsidRDefault="00AD690E" w:rsidP="00AD690E">
      <w:pPr>
        <w:spacing w:before="120" w:after="120"/>
        <w:jc w:val="both"/>
      </w:pPr>
    </w:p>
    <w:p w:rsidR="00AD690E" w:rsidRPr="001053D3" w:rsidRDefault="00AD690E" w:rsidP="00AD690E">
      <w:pPr>
        <w:pStyle w:val="a"/>
      </w:pPr>
      <w:r w:rsidRPr="001053D3">
        <w:t>c) Un contrôle politique de plus en plus centralisé</w:t>
      </w:r>
    </w:p>
    <w:p w:rsidR="00AD690E" w:rsidRDefault="00AD690E" w:rsidP="00AD690E">
      <w:pPr>
        <w:spacing w:before="120" w:after="120"/>
        <w:jc w:val="both"/>
      </w:pPr>
    </w:p>
    <w:p w:rsidR="00AD690E" w:rsidRPr="00EC43AA" w:rsidRDefault="00AD690E" w:rsidP="00AD690E">
      <w:pPr>
        <w:spacing w:before="120" w:after="120"/>
        <w:jc w:val="both"/>
      </w:pPr>
      <w:r w:rsidRPr="00EC43AA">
        <w:t>Cette accroissement de la centralisation et du contrôle se man</w:t>
      </w:r>
      <w:r w:rsidRPr="00EC43AA">
        <w:t>i</w:t>
      </w:r>
      <w:r w:rsidRPr="00EC43AA">
        <w:t>festa particulièrement par une restructuration administrative, la transform</w:t>
      </w:r>
      <w:r w:rsidRPr="00EC43AA">
        <w:t>a</w:t>
      </w:r>
      <w:r w:rsidRPr="00EC43AA">
        <w:t>tion de la structure de financement du Conseil des Arts du Canada et des ingérences politiques dans le travail des org</w:t>
      </w:r>
      <w:r w:rsidRPr="00EC43AA">
        <w:t>a</w:t>
      </w:r>
      <w:r w:rsidRPr="00EC43AA">
        <w:t>nismes.</w:t>
      </w:r>
    </w:p>
    <w:p w:rsidR="00AD690E" w:rsidRPr="00EC43AA" w:rsidRDefault="00AD690E" w:rsidP="00AD690E">
      <w:pPr>
        <w:spacing w:before="120" w:after="120"/>
        <w:jc w:val="both"/>
      </w:pPr>
      <w:r w:rsidRPr="00EC43AA">
        <w:t>Dès son arrivée au pouvoir, Trudeau modifie la structure de fon</w:t>
      </w:r>
      <w:r w:rsidRPr="00EC43AA">
        <w:t>c</w:t>
      </w:r>
      <w:r w:rsidRPr="00EC43AA">
        <w:t>tionnement du Cabinet. Il forme un Comité du Cabinet sur la culture et l'information (1969) dirigé par le secrétaire d'État. L'assistant de ce dernier devait seconder le travail des ministres membres du Comité et les conseiller sur toute matière du re</w:t>
      </w:r>
      <w:r w:rsidRPr="00EC43AA">
        <w:t>s</w:t>
      </w:r>
      <w:r w:rsidRPr="00EC43AA">
        <w:t>sort du Secrétariat mais aussi sur d'autres secteurs majeurs de la sphère de la culture, tels que les co</w:t>
      </w:r>
      <w:r w:rsidRPr="00EC43AA">
        <w:t>m</w:t>
      </w:r>
      <w:r w:rsidRPr="00EC43AA">
        <w:t>munications, les politiques d'information gouvernementale, les la</w:t>
      </w:r>
      <w:r w:rsidRPr="00EC43AA">
        <w:t>n</w:t>
      </w:r>
      <w:r w:rsidRPr="00EC43AA">
        <w:t>gues officielles, la politique scientifique, la citoyenneté, les mouv</w:t>
      </w:r>
      <w:r w:rsidRPr="00EC43AA">
        <w:t>e</w:t>
      </w:r>
      <w:r w:rsidRPr="00EC43AA">
        <w:t>ments politiques, sociaux et culturels, les affaires a</w:t>
      </w:r>
      <w:r w:rsidRPr="00EC43AA">
        <w:t>u</w:t>
      </w:r>
      <w:r w:rsidRPr="00EC43AA">
        <w:t>tochtones, etc.</w:t>
      </w:r>
      <w:r>
        <w:t xml:space="preserve"> </w:t>
      </w:r>
      <w:r>
        <w:rPr>
          <w:szCs w:val="18"/>
        </w:rPr>
        <w:t>[</w:t>
      </w:r>
      <w:r w:rsidRPr="00EC43AA">
        <w:rPr>
          <w:szCs w:val="18"/>
        </w:rPr>
        <w:t>428</w:t>
      </w:r>
      <w:r>
        <w:rPr>
          <w:szCs w:val="18"/>
        </w:rPr>
        <w:t xml:space="preserve">] </w:t>
      </w:r>
      <w:r w:rsidRPr="00EC43AA">
        <w:t>Cette réorganisation tran</w:t>
      </w:r>
      <w:r>
        <w:t>s</w:t>
      </w:r>
      <w:r w:rsidRPr="00EC43AA">
        <w:t>féra donc les centres de décisions vers un cercle plus restreint et moins « transparent », vers l'exécutif. Elle permit d'étendre très rapidement et très efficacement l'emprise polit</w:t>
      </w:r>
      <w:r w:rsidRPr="00EC43AA">
        <w:t>i</w:t>
      </w:r>
      <w:r w:rsidRPr="00EC43AA">
        <w:t>que du Cabinet et du premier ministre sur le champ cu</w:t>
      </w:r>
      <w:r w:rsidRPr="00EC43AA">
        <w:t>l</w:t>
      </w:r>
      <w:r w:rsidRPr="00EC43AA">
        <w:t>turel.</w:t>
      </w:r>
    </w:p>
    <w:p w:rsidR="00AD690E" w:rsidRPr="00EC43AA" w:rsidRDefault="00AD690E" w:rsidP="00AD690E">
      <w:pPr>
        <w:spacing w:before="120" w:after="120"/>
        <w:jc w:val="both"/>
      </w:pPr>
      <w:r w:rsidRPr="00EC43AA">
        <w:t>La transformation de la structure de financement du Co</w:t>
      </w:r>
      <w:r w:rsidRPr="00EC43AA">
        <w:t>n</w:t>
      </w:r>
      <w:r w:rsidRPr="00EC43AA">
        <w:t>seil des Arts du Canada commença en 1965, lorsque le gouvernement can</w:t>
      </w:r>
      <w:r w:rsidRPr="00EC43AA">
        <w:t>a</w:t>
      </w:r>
      <w:r w:rsidRPr="00EC43AA">
        <w:t>dien lui attribua une subvention de 10 millions de dollars. En 1968, cette aide, devenue annuelle, était de 16,9 mi</w:t>
      </w:r>
      <w:r w:rsidRPr="00EC43AA">
        <w:t>l</w:t>
      </w:r>
      <w:r w:rsidRPr="00EC43AA">
        <w:t>lions, ce qui représentait 80,01</w:t>
      </w:r>
      <w:r>
        <w:t>%</w:t>
      </w:r>
      <w:r w:rsidRPr="00EC43AA">
        <w:t xml:space="preserve"> des revenus du Conseil. En 1975, l'aide go</w:t>
      </w:r>
      <w:r w:rsidRPr="00EC43AA">
        <w:t>u</w:t>
      </w:r>
      <w:r w:rsidRPr="00EC43AA">
        <w:t>vernementale était passée à 54,7 millions, ce qui représentait 85,77</w:t>
      </w:r>
      <w:r>
        <w:t>%</w:t>
      </w:r>
      <w:r w:rsidRPr="00EC43AA">
        <w:t xml:space="preserve"> des revenus</w:t>
      </w:r>
      <w:r>
        <w:rPr>
          <w:vertAlign w:val="superscript"/>
        </w:rPr>
        <w:t> </w:t>
      </w:r>
      <w:r>
        <w:rPr>
          <w:rStyle w:val="Appelnotedebasdep"/>
        </w:rPr>
        <w:footnoteReference w:id="742"/>
      </w:r>
      <w:r w:rsidRPr="00EC43AA">
        <w:t>. À l'origine, les revenus du Conseil prov</w:t>
      </w:r>
      <w:r w:rsidRPr="00EC43AA">
        <w:t>e</w:t>
      </w:r>
      <w:r w:rsidRPr="00EC43AA">
        <w:t>naient de la dotation et de dons. Avec l'attribution d'une subvention annuelle, le gouvernement, part</w:t>
      </w:r>
      <w:r w:rsidRPr="00EC43AA">
        <w:t>i</w:t>
      </w:r>
      <w:r w:rsidRPr="00EC43AA">
        <w:t>culièrement le Conseil du trésor, se donna un puissant moyen de pre</w:t>
      </w:r>
      <w:r w:rsidRPr="00EC43AA">
        <w:t>s</w:t>
      </w:r>
      <w:r w:rsidRPr="00EC43AA">
        <w:t>sion sur le Conseil. Il n'est donc pas étonnant que Mailhot et Méla</w:t>
      </w:r>
      <w:r w:rsidRPr="00EC43AA">
        <w:t>n</w:t>
      </w:r>
      <w:r w:rsidRPr="00EC43AA">
        <w:t>çon, auteurs d'une recherche sur le Conseil des Arts, qualifient la p</w:t>
      </w:r>
      <w:r w:rsidRPr="00EC43AA">
        <w:t>é</w:t>
      </w:r>
      <w:r w:rsidRPr="00EC43AA">
        <w:t xml:space="preserve">riode de 1971 à 1976 </w:t>
      </w:r>
      <w:r w:rsidRPr="0074592B">
        <w:rPr>
          <w:iCs/>
        </w:rPr>
        <w:t>d'</w:t>
      </w:r>
      <w:r w:rsidRPr="00EC43AA">
        <w:rPr>
          <w:i/>
          <w:iCs/>
        </w:rPr>
        <w:t>adolescence surveillée et inquiète</w:t>
      </w:r>
      <w:r>
        <w:rPr>
          <w:iCs/>
          <w:vertAlign w:val="superscript"/>
        </w:rPr>
        <w:t> </w:t>
      </w:r>
      <w:r w:rsidRPr="00D66529">
        <w:rPr>
          <w:rStyle w:val="Appelnotedebasdep"/>
          <w:iCs/>
        </w:rPr>
        <w:footnoteReference w:id="743"/>
      </w:r>
      <w:r w:rsidRPr="00D66529">
        <w:rPr>
          <w:iCs/>
        </w:rPr>
        <w:t>.</w:t>
      </w:r>
      <w:r w:rsidRPr="00EC43AA">
        <w:rPr>
          <w:i/>
          <w:iCs/>
        </w:rPr>
        <w:t xml:space="preserve"> </w:t>
      </w:r>
      <w:r w:rsidRPr="00EC43AA">
        <w:t>Parall</w:t>
      </w:r>
      <w:r w:rsidRPr="00EC43AA">
        <w:t>è</w:t>
      </w:r>
      <w:r w:rsidRPr="00EC43AA">
        <w:t>lement, la part du Conseil des fonds attribués à la recherche par le gouvernement fédéral passe, entre 1970-1971 et 1975-1976, de 17,2 à 10,5</w:t>
      </w:r>
      <w:r>
        <w:t>%</w:t>
      </w:r>
      <w:r w:rsidRPr="00EC43AA">
        <w:t xml:space="preserve"> pendant qu'augmentent les travaux effectués ou commandés direct</w:t>
      </w:r>
      <w:r w:rsidRPr="00EC43AA">
        <w:t>e</w:t>
      </w:r>
      <w:r w:rsidRPr="00EC43AA">
        <w:t>ment par les ministères</w:t>
      </w:r>
      <w:r>
        <w:t> </w:t>
      </w:r>
      <w:r>
        <w:rPr>
          <w:rStyle w:val="Appelnotedebasdep"/>
        </w:rPr>
        <w:footnoteReference w:id="744"/>
      </w:r>
      <w:r w:rsidRPr="00EC43AA">
        <w:t>. De ce double mouvement résulta une emprise politique accrue sur le champ culturel et scient</w:t>
      </w:r>
      <w:r w:rsidRPr="00EC43AA">
        <w:t>i</w:t>
      </w:r>
      <w:r w:rsidRPr="00EC43AA">
        <w:t>fique.</w:t>
      </w:r>
    </w:p>
    <w:p w:rsidR="00AD690E" w:rsidRPr="00EC43AA" w:rsidRDefault="00AD690E" w:rsidP="00AD690E">
      <w:pPr>
        <w:spacing w:before="120" w:after="120"/>
        <w:jc w:val="both"/>
      </w:pPr>
      <w:r w:rsidRPr="00EC43AA">
        <w:t>Cette emprise politique se manifesta et se réalisa égal</w:t>
      </w:r>
      <w:r w:rsidRPr="00EC43AA">
        <w:t>e</w:t>
      </w:r>
      <w:r w:rsidRPr="00EC43AA">
        <w:t>ment par des ingérences ponctuelles, particulièrement du S</w:t>
      </w:r>
      <w:r w:rsidRPr="00EC43AA">
        <w:t>e</w:t>
      </w:r>
      <w:r w:rsidRPr="00EC43AA">
        <w:t>crétariat d'État, dans les affaires culturelles, et entre autres dans celles du Conseil de Arts. Pour cette période de l'ère Trudeau, George Woodcock mentionne, en plus de la création des pr</w:t>
      </w:r>
      <w:r w:rsidRPr="00EC43AA">
        <w:t>o</w:t>
      </w:r>
      <w:r w:rsidRPr="00EC43AA">
        <w:t>grammes PIL et Horizon en 1971, suite aux pressions du S</w:t>
      </w:r>
      <w:r w:rsidRPr="00EC43AA">
        <w:t>e</w:t>
      </w:r>
      <w:r w:rsidRPr="00EC43AA">
        <w:t>crétariat d'État, deux autres cas. Il s'agit de l'attribution au Conseil des Arts en 1972 de fonds dans le but spécifique de su</w:t>
      </w:r>
      <w:r w:rsidRPr="00EC43AA">
        <w:t>b</w:t>
      </w:r>
      <w:r w:rsidRPr="00EC43AA">
        <w:t>ventionner l'industrie canadienne de l'édition alors en diff</w:t>
      </w:r>
      <w:r w:rsidRPr="00EC43AA">
        <w:t>i</w:t>
      </w:r>
      <w:r w:rsidRPr="00EC43AA">
        <w:t>culté et la const</w:t>
      </w:r>
      <w:r w:rsidRPr="00EC43AA">
        <w:t>i</w:t>
      </w:r>
      <w:r w:rsidRPr="00EC43AA">
        <w:t>tution de la Banque d'Art</w:t>
      </w:r>
      <w:r>
        <w:rPr>
          <w:vertAlign w:val="superscript"/>
        </w:rPr>
        <w:t> </w:t>
      </w:r>
      <w:r>
        <w:rPr>
          <w:rStyle w:val="Appelnotedebasdep"/>
        </w:rPr>
        <w:footnoteReference w:id="745"/>
      </w:r>
      <w:r w:rsidRPr="00EC43AA">
        <w:t>.</w:t>
      </w:r>
    </w:p>
    <w:p w:rsidR="00AD690E" w:rsidRDefault="00AD690E" w:rsidP="00AD690E">
      <w:pPr>
        <w:spacing w:before="120" w:after="120"/>
        <w:jc w:val="both"/>
      </w:pPr>
      <w:r>
        <w:br w:type="page"/>
      </w:r>
    </w:p>
    <w:p w:rsidR="00AD690E" w:rsidRPr="00E5742B" w:rsidRDefault="00AD690E" w:rsidP="00AD690E">
      <w:pPr>
        <w:pStyle w:val="a"/>
      </w:pPr>
      <w:r>
        <w:t>d</w:t>
      </w:r>
      <w:r w:rsidRPr="00E5742B">
        <w:t xml:space="preserve">) La culture dans le nationalisme </w:t>
      </w:r>
      <w:r>
        <w:br/>
      </w:r>
      <w:r w:rsidRPr="00E5742B">
        <w:t>centralisateur de Pierre Tr</w:t>
      </w:r>
      <w:r w:rsidRPr="00E5742B">
        <w:t>u</w:t>
      </w:r>
      <w:r w:rsidRPr="00E5742B">
        <w:t>deau</w:t>
      </w:r>
    </w:p>
    <w:p w:rsidR="00AD690E" w:rsidRDefault="00AD690E" w:rsidP="00AD690E">
      <w:pPr>
        <w:spacing w:before="120" w:after="120"/>
        <w:jc w:val="both"/>
      </w:pPr>
    </w:p>
    <w:p w:rsidR="00AD690E" w:rsidRPr="00EC43AA" w:rsidRDefault="00AD690E" w:rsidP="00AD690E">
      <w:pPr>
        <w:spacing w:before="120" w:after="120"/>
        <w:jc w:val="both"/>
      </w:pPr>
      <w:r w:rsidRPr="00EC43AA">
        <w:t>Cette centralisation politique, Woodcock l'attribue au fait que Pie</w:t>
      </w:r>
      <w:r w:rsidRPr="00EC43AA">
        <w:t>r</w:t>
      </w:r>
      <w:r w:rsidRPr="00EC43AA">
        <w:t>re Trudeau et ses associés immédiats, entre autres les deux autres c</w:t>
      </w:r>
      <w:r w:rsidRPr="00EC43AA">
        <w:t>o</w:t>
      </w:r>
      <w:r w:rsidRPr="00EC43AA">
        <w:t>lombes, Marchand et Pelletier</w:t>
      </w:r>
      <w:r>
        <w:rPr>
          <w:vertAlign w:val="superscript"/>
        </w:rPr>
        <w:t> </w:t>
      </w:r>
      <w:r>
        <w:rPr>
          <w:rStyle w:val="Appelnotedebasdep"/>
        </w:rPr>
        <w:footnoteReference w:id="746"/>
      </w:r>
      <w:r w:rsidRPr="00EC43AA">
        <w:t>, avaient une vision et une philos</w:t>
      </w:r>
      <w:r w:rsidRPr="00EC43AA">
        <w:t>o</w:t>
      </w:r>
      <w:r w:rsidRPr="00EC43AA">
        <w:t>phie très claire du Canada. Il souligne :</w:t>
      </w:r>
    </w:p>
    <w:p w:rsidR="00AD690E" w:rsidRDefault="00AD690E" w:rsidP="00AD690E">
      <w:pPr>
        <w:spacing w:before="120" w:after="120"/>
        <w:ind w:hanging="90"/>
        <w:jc w:val="both"/>
        <w:rPr>
          <w:szCs w:val="18"/>
        </w:rPr>
      </w:pPr>
      <w:r>
        <w:rPr>
          <w:szCs w:val="18"/>
        </w:rPr>
        <w:t>[429]</w:t>
      </w:r>
    </w:p>
    <w:p w:rsidR="00AD690E" w:rsidRDefault="00AD690E" w:rsidP="00AD690E">
      <w:pPr>
        <w:pStyle w:val="Grillecouleur-Accent1"/>
      </w:pPr>
    </w:p>
    <w:p w:rsidR="00AD690E" w:rsidRDefault="00AD690E" w:rsidP="00AD690E">
      <w:pPr>
        <w:pStyle w:val="Grillecouleur-Accent1"/>
        <w:rPr>
          <w:szCs w:val="24"/>
        </w:rPr>
      </w:pPr>
      <w:r w:rsidRPr="006417D2">
        <w:rPr>
          <w:szCs w:val="24"/>
        </w:rPr>
        <w:t>When Trudeau and his associates moved into dominant pos</w:t>
      </w:r>
      <w:r w:rsidRPr="006417D2">
        <w:rPr>
          <w:szCs w:val="24"/>
        </w:rPr>
        <w:t>i</w:t>
      </w:r>
      <w:r w:rsidRPr="006417D2">
        <w:rPr>
          <w:szCs w:val="24"/>
        </w:rPr>
        <w:t>tions, with Trudeau eventually becoming prime minister, they were able to impose their views of cultural politics on a series of cabinets largely because they had a clear philosophy in this field while the rest of the Liberal party did not. Trudeau's view was basically that the control of a nation's cultural l</w:t>
      </w:r>
      <w:r w:rsidRPr="006417D2">
        <w:rPr>
          <w:szCs w:val="24"/>
        </w:rPr>
        <w:t>i</w:t>
      </w:r>
      <w:r w:rsidRPr="006417D2">
        <w:rPr>
          <w:szCs w:val="24"/>
        </w:rPr>
        <w:t>fe, and especially of its arts, is e</w:t>
      </w:r>
      <w:r w:rsidRPr="006417D2">
        <w:rPr>
          <w:szCs w:val="24"/>
        </w:rPr>
        <w:t>s</w:t>
      </w:r>
      <w:r w:rsidRPr="006417D2">
        <w:rPr>
          <w:szCs w:val="24"/>
        </w:rPr>
        <w:t>sential for the consolidation of political power, and cultural policies should be directed towards supporting a g</w:t>
      </w:r>
      <w:r w:rsidRPr="006417D2">
        <w:rPr>
          <w:szCs w:val="24"/>
        </w:rPr>
        <w:t>o</w:t>
      </w:r>
      <w:r w:rsidRPr="006417D2">
        <w:rPr>
          <w:szCs w:val="24"/>
        </w:rPr>
        <w:t>vernement's principal aims. In the case of Trudeau's Liberal governement, the most i</w:t>
      </w:r>
      <w:r w:rsidRPr="006417D2">
        <w:rPr>
          <w:szCs w:val="24"/>
        </w:rPr>
        <w:t>m</w:t>
      </w:r>
      <w:r w:rsidRPr="006417D2">
        <w:rPr>
          <w:szCs w:val="24"/>
        </w:rPr>
        <w:t>portant of these aims was the transformation of Canada from a g</w:t>
      </w:r>
      <w:r w:rsidRPr="006417D2">
        <w:rPr>
          <w:szCs w:val="24"/>
        </w:rPr>
        <w:t>e</w:t>
      </w:r>
      <w:r w:rsidRPr="006417D2">
        <w:rPr>
          <w:szCs w:val="24"/>
        </w:rPr>
        <w:t>nuine confederation with a balance of federal and provincial powers into a centr</w:t>
      </w:r>
      <w:r w:rsidRPr="006417D2">
        <w:rPr>
          <w:szCs w:val="24"/>
        </w:rPr>
        <w:t>a</w:t>
      </w:r>
      <w:r w:rsidRPr="006417D2">
        <w:rPr>
          <w:szCs w:val="24"/>
        </w:rPr>
        <w:t>lized state, a transformation to becarried out in the name of « national un</w:t>
      </w:r>
      <w:r w:rsidRPr="006417D2">
        <w:rPr>
          <w:szCs w:val="24"/>
        </w:rPr>
        <w:t>i</w:t>
      </w:r>
      <w:r w:rsidRPr="006417D2">
        <w:rPr>
          <w:szCs w:val="24"/>
        </w:rPr>
        <w:t>ty »</w:t>
      </w:r>
      <w:r>
        <w:rPr>
          <w:szCs w:val="24"/>
        </w:rPr>
        <w:t> </w:t>
      </w:r>
      <w:r w:rsidRPr="008315E2">
        <w:rPr>
          <w:rStyle w:val="Appelnotedebasdep"/>
          <w:szCs w:val="24"/>
        </w:rPr>
        <w:footnoteReference w:id="747"/>
      </w:r>
      <w:r w:rsidRPr="006417D2">
        <w:rPr>
          <w:szCs w:val="24"/>
        </w:rPr>
        <w:t>.</w:t>
      </w:r>
    </w:p>
    <w:p w:rsidR="00AD690E" w:rsidRDefault="00AD690E" w:rsidP="00AD690E">
      <w:pPr>
        <w:pStyle w:val="Grillecouleur-Accent1"/>
        <w:rPr>
          <w:i/>
        </w:rPr>
      </w:pPr>
    </w:p>
    <w:p w:rsidR="00AD690E" w:rsidRPr="00EC43AA" w:rsidRDefault="00AD690E" w:rsidP="00AD690E">
      <w:pPr>
        <w:spacing w:before="120" w:after="120"/>
        <w:jc w:val="both"/>
      </w:pPr>
      <w:r w:rsidRPr="00EC43AA">
        <w:t xml:space="preserve">Ce nationalisme </w:t>
      </w:r>
      <w:r w:rsidRPr="00EC43AA">
        <w:rPr>
          <w:i/>
          <w:iCs/>
        </w:rPr>
        <w:t xml:space="preserve">canadien </w:t>
      </w:r>
      <w:r w:rsidRPr="00EC43AA">
        <w:t>des libéraux de Pierre Trudeau se vo</w:t>
      </w:r>
      <w:r w:rsidRPr="00EC43AA">
        <w:t>u</w:t>
      </w:r>
      <w:r w:rsidRPr="00EC43AA">
        <w:t>lait un contrepoids, une arme contre le nationalisme québ</w:t>
      </w:r>
      <w:r w:rsidRPr="00EC43AA">
        <w:t>é</w:t>
      </w:r>
      <w:r w:rsidRPr="00EC43AA">
        <w:t>cois qui, selon eux, mettait en danger le Canada. Dans le champ culturel, ce nationalisme centralisateur suscita de nombreuses réactions des pr</w:t>
      </w:r>
      <w:r w:rsidRPr="00EC43AA">
        <w:t>o</w:t>
      </w:r>
      <w:r w:rsidRPr="00EC43AA">
        <w:t>vinces, surtout du Québec, sur plusieurs sujets. Ainsi, l'énoncé de p</w:t>
      </w:r>
      <w:r w:rsidRPr="00EC43AA">
        <w:t>o</w:t>
      </w:r>
      <w:r w:rsidRPr="00EC43AA">
        <w:t>litique du ministère d'État à la Science et à la Technologie en 1973, dans lequel on affirmait que la r</w:t>
      </w:r>
      <w:r w:rsidRPr="00EC43AA">
        <w:t>e</w:t>
      </w:r>
      <w:r w:rsidRPr="00EC43AA">
        <w:t>cherche devait refléter les priorités nationales, ne fit que susciter une protestation générale chez les mini</w:t>
      </w:r>
      <w:r w:rsidRPr="00EC43AA">
        <w:t>s</w:t>
      </w:r>
      <w:r w:rsidRPr="00EC43AA">
        <w:t>tres provinciaux de l'Éducation</w:t>
      </w:r>
      <w:r>
        <w:rPr>
          <w:vertAlign w:val="superscript"/>
        </w:rPr>
        <w:t> </w:t>
      </w:r>
      <w:r>
        <w:rPr>
          <w:rStyle w:val="Appelnotedebasdep"/>
        </w:rPr>
        <w:footnoteReference w:id="748"/>
      </w:r>
      <w:r w:rsidRPr="00EC43AA">
        <w:t>. Et, la vision « nationale canadie</w:t>
      </w:r>
      <w:r w:rsidRPr="00EC43AA">
        <w:t>n</w:t>
      </w:r>
      <w:r w:rsidRPr="00EC43AA">
        <w:t>ne » appliquée au domaine des communications provoqua entre autres la « guerre du câble » entre Ottawa et Québec et renonciation d'une politique culturelle de plus en plus souverainiste de la part du Qu</w:t>
      </w:r>
      <w:r w:rsidRPr="00EC43AA">
        <w:t>é</w:t>
      </w:r>
      <w:r w:rsidRPr="00EC43AA">
        <w:t>bec</w:t>
      </w:r>
      <w:r>
        <w:t> </w:t>
      </w:r>
      <w:r>
        <w:rPr>
          <w:rStyle w:val="Appelnotedebasdep"/>
        </w:rPr>
        <w:footnoteReference w:id="749"/>
      </w:r>
      <w:r w:rsidRPr="00EC43AA">
        <w:t>.</w:t>
      </w:r>
    </w:p>
    <w:p w:rsidR="00AD690E" w:rsidRPr="00EC43AA" w:rsidRDefault="00AD690E" w:rsidP="00AD690E">
      <w:pPr>
        <w:spacing w:before="120" w:after="120"/>
        <w:jc w:val="both"/>
      </w:pPr>
      <w:r w:rsidRPr="00EC43AA">
        <w:t>Paradoxalement, ce centralisme fut pratiqué par le Secrét</w:t>
      </w:r>
      <w:r w:rsidRPr="00EC43AA">
        <w:t>a</w:t>
      </w:r>
      <w:r w:rsidRPr="00EC43AA">
        <w:t>riat d'É</w:t>
      </w:r>
      <w:r>
        <w:t>t</w:t>
      </w:r>
      <w:r w:rsidRPr="00EC43AA">
        <w:t>at sous le couvert d'une politique qui affirmait rechercher la d</w:t>
      </w:r>
      <w:r w:rsidRPr="00EC43AA">
        <w:t>é</w:t>
      </w:r>
      <w:r w:rsidRPr="00EC43AA">
        <w:t>mocratisation et la décentralisation</w:t>
      </w:r>
      <w:r>
        <w:rPr>
          <w:vertAlign w:val="superscript"/>
        </w:rPr>
        <w:t> </w:t>
      </w:r>
      <w:r>
        <w:rPr>
          <w:rStyle w:val="Appelnotedebasdep"/>
        </w:rPr>
        <w:footnoteReference w:id="750"/>
      </w:r>
      <w:r w:rsidRPr="00EC43AA">
        <w:t>. De plus, cette politique contr</w:t>
      </w:r>
      <w:r w:rsidRPr="00EC43AA">
        <w:t>i</w:t>
      </w:r>
      <w:r w:rsidRPr="00EC43AA">
        <w:t>bua à renforcer la tendance à voir les arts et la culture comme une i</w:t>
      </w:r>
      <w:r w:rsidRPr="00EC43AA">
        <w:t>n</w:t>
      </w:r>
      <w:r w:rsidRPr="00EC43AA">
        <w:t>dustrie</w:t>
      </w:r>
      <w:r>
        <w:rPr>
          <w:vertAlign w:val="superscript"/>
        </w:rPr>
        <w:t> </w:t>
      </w:r>
      <w:r>
        <w:rPr>
          <w:rStyle w:val="Appelnotedebasdep"/>
        </w:rPr>
        <w:footnoteReference w:id="751"/>
      </w:r>
      <w:r w:rsidRPr="00EC43AA">
        <w:t>. Cependant, beaucoup fut fait pour les arts et la culture d</w:t>
      </w:r>
      <w:r w:rsidRPr="00EC43AA">
        <w:t>u</w:t>
      </w:r>
      <w:r w:rsidRPr="00EC43AA">
        <w:t>rant cette période de la fin des a</w:t>
      </w:r>
      <w:r w:rsidRPr="00EC43AA">
        <w:t>n</w:t>
      </w:r>
      <w:r w:rsidRPr="00EC43AA">
        <w:t>nées 1960 et du début des années 1970. Dans une atmosphère relativement optimiste de croissance éc</w:t>
      </w:r>
      <w:r w:rsidRPr="00EC43AA">
        <w:t>o</w:t>
      </w:r>
      <w:r w:rsidRPr="00EC43AA">
        <w:t>nomique, l'activité du Secrétariat d'État contribua à imposer l'idée que la culture avait une importance stratégique dans la constitution de l'identité nationale. La politique de canadianis</w:t>
      </w:r>
      <w:r w:rsidRPr="00EC43AA">
        <w:t>a</w:t>
      </w:r>
      <w:r w:rsidRPr="00EC43AA">
        <w:t>tion de la propriété, entre autres de la</w:t>
      </w:r>
      <w:r>
        <w:t xml:space="preserve"> </w:t>
      </w:r>
      <w:r>
        <w:rPr>
          <w:szCs w:val="18"/>
        </w:rPr>
        <w:t>[</w:t>
      </w:r>
      <w:r w:rsidRPr="00EC43AA">
        <w:rPr>
          <w:szCs w:val="18"/>
        </w:rPr>
        <w:t>430</w:t>
      </w:r>
      <w:r>
        <w:rPr>
          <w:szCs w:val="18"/>
        </w:rPr>
        <w:t xml:space="preserve">] </w:t>
      </w:r>
      <w:r w:rsidRPr="00EC43AA">
        <w:t>câblodistribution, connut un succès certain. La fréquentation des activités artistiques augmenta notablement. Et les fonds consacrés à la culture ne cessèrent de croître... jusqu'à un certain 13 octobre de l'année 1975 où les Canadiens virent et e</w:t>
      </w:r>
      <w:r w:rsidRPr="00EC43AA">
        <w:t>n</w:t>
      </w:r>
      <w:r w:rsidRPr="00EC43AA">
        <w:t>tendirent, par le truchement de la télévision, leur premier m</w:t>
      </w:r>
      <w:r w:rsidRPr="00EC43AA">
        <w:t>i</w:t>
      </w:r>
      <w:r w:rsidRPr="00EC43AA">
        <w:t>nistre décréter le gel des salaires et des prix. Officiellement, le Canada entrait en crise écon</w:t>
      </w:r>
      <w:r w:rsidRPr="00EC43AA">
        <w:t>o</w:t>
      </w:r>
      <w:r w:rsidRPr="00EC43AA">
        <w:t>mique.</w:t>
      </w:r>
    </w:p>
    <w:p w:rsidR="00AD690E" w:rsidRPr="00EC43AA" w:rsidRDefault="00AD690E" w:rsidP="00AD690E">
      <w:pPr>
        <w:spacing w:before="120" w:after="120"/>
        <w:jc w:val="both"/>
      </w:pPr>
      <w:r w:rsidRPr="00EC43AA">
        <w:t>Aussitôt, la tiédeur traditionnelle des politiciens canadiens à sout</w:t>
      </w:r>
      <w:r w:rsidRPr="00EC43AA">
        <w:t>e</w:t>
      </w:r>
      <w:r w:rsidRPr="00EC43AA">
        <w:t>nir les arts et la culture refit surface. De sévères restrictions budgéta</w:t>
      </w:r>
      <w:r w:rsidRPr="00EC43AA">
        <w:t>i</w:t>
      </w:r>
      <w:r w:rsidRPr="00EC43AA">
        <w:t>res furent imposées aux organismes culturels, particuli</w:t>
      </w:r>
      <w:r w:rsidRPr="00EC43AA">
        <w:t>è</w:t>
      </w:r>
      <w:r w:rsidRPr="00EC43AA">
        <w:t>rement au Conseil des Arts du Canada. De 1975-76 à 1978-79, le budget du Conseil en dollars constants resta le même alors que le PNB augme</w:t>
      </w:r>
      <w:r w:rsidRPr="00EC43AA">
        <w:t>n</w:t>
      </w:r>
      <w:r w:rsidRPr="00EC43AA">
        <w:t>tait de 9,7</w:t>
      </w:r>
      <w:r>
        <w:t>%</w:t>
      </w:r>
      <w:r w:rsidRPr="00EC43AA">
        <w:t xml:space="preserve"> et que la valeur réelle de la subvention annuelle versée par le Parlement baissait de 2,1</w:t>
      </w:r>
      <w:r>
        <w:t>%</w:t>
      </w:r>
      <w:r w:rsidRPr="00EC43AA">
        <w:rPr>
          <w:i/>
          <w:iCs/>
        </w:rPr>
        <w:t xml:space="preserve"> </w:t>
      </w:r>
      <w:r w:rsidRPr="00EC43AA">
        <w:t>par an entre 1975 et 1980</w:t>
      </w:r>
      <w:r>
        <w:rPr>
          <w:vertAlign w:val="superscript"/>
        </w:rPr>
        <w:t> </w:t>
      </w:r>
      <w:r>
        <w:rPr>
          <w:rStyle w:val="Appelnotedebasdep"/>
        </w:rPr>
        <w:footnoteReference w:id="752"/>
      </w:r>
      <w:r w:rsidRPr="00EC43AA">
        <w:t>. Pe</w:t>
      </w:r>
      <w:r w:rsidRPr="00EC43AA">
        <w:t>n</w:t>
      </w:r>
      <w:r w:rsidRPr="00EC43AA">
        <w:t>dant ce temps, le budget du ministère des Communications ne cessa de croître, de même que son personnel et les recherches et interve</w:t>
      </w:r>
      <w:r w:rsidRPr="00EC43AA">
        <w:t>n</w:t>
      </w:r>
      <w:r w:rsidRPr="00EC43AA">
        <w:t>tions dans le domaine des nouvelles technol</w:t>
      </w:r>
      <w:r w:rsidRPr="00EC43AA">
        <w:t>o</w:t>
      </w:r>
      <w:r w:rsidRPr="00EC43AA">
        <w:t>gies.</w:t>
      </w:r>
    </w:p>
    <w:p w:rsidR="00AD690E" w:rsidRDefault="00AD690E" w:rsidP="00AD690E">
      <w:pPr>
        <w:spacing w:before="120" w:after="120"/>
        <w:jc w:val="both"/>
      </w:pPr>
    </w:p>
    <w:p w:rsidR="00AD690E" w:rsidRPr="0074592B" w:rsidRDefault="00AD690E" w:rsidP="00AD690E">
      <w:pPr>
        <w:pStyle w:val="a"/>
      </w:pPr>
      <w:r>
        <w:t>e</w:t>
      </w:r>
      <w:r w:rsidRPr="0074592B">
        <w:t xml:space="preserve">) De la plus grave crise d'unité nationale </w:t>
      </w:r>
      <w:r>
        <w:br/>
      </w:r>
      <w:r w:rsidRPr="0074592B">
        <w:t>aux industries culture</w:t>
      </w:r>
      <w:r w:rsidRPr="0074592B">
        <w:t>l</w:t>
      </w:r>
      <w:r w:rsidRPr="0074592B">
        <w:t>les :</w:t>
      </w:r>
      <w:r>
        <w:br/>
      </w:r>
      <w:r w:rsidRPr="0074592B">
        <w:t>de 1976 à 1980.</w:t>
      </w:r>
    </w:p>
    <w:p w:rsidR="00AD690E" w:rsidRDefault="00AD690E" w:rsidP="00AD690E">
      <w:pPr>
        <w:spacing w:before="120" w:after="120"/>
        <w:jc w:val="both"/>
      </w:pPr>
    </w:p>
    <w:p w:rsidR="00AD690E" w:rsidRPr="00EC43AA" w:rsidRDefault="00AD690E" w:rsidP="00AD690E">
      <w:pPr>
        <w:spacing w:before="120" w:after="120"/>
        <w:jc w:val="both"/>
      </w:pPr>
      <w:r w:rsidRPr="00EC43AA">
        <w:t>Dans un contexte de très grave crise d'unité nationale causée par l'arrivée au pouvoir du Parti québécois, de crise linguistique prov</w:t>
      </w:r>
      <w:r w:rsidRPr="00EC43AA">
        <w:t>o</w:t>
      </w:r>
      <w:r w:rsidRPr="00EC43AA">
        <w:t>quée par la loi 101, la seconde période de l'ère Tr</w:t>
      </w:r>
      <w:r w:rsidRPr="00EC43AA">
        <w:t>u</w:t>
      </w:r>
      <w:r w:rsidRPr="00EC43AA">
        <w:t>deau est marquée par le passage d'une régulation politique du champ de la culture à une régulation essentiellement économique. Au cours de cette p</w:t>
      </w:r>
      <w:r w:rsidRPr="00EC43AA">
        <w:t>é</w:t>
      </w:r>
      <w:r w:rsidRPr="00EC43AA">
        <w:t>riode, se poursuivit la politique amorcée dans la période précédente, c'est-à-dire la canadianisation, la centralisation et l'accentuation du contrôle pol</w:t>
      </w:r>
      <w:r w:rsidRPr="00EC43AA">
        <w:t>i</w:t>
      </w:r>
      <w:r w:rsidRPr="00EC43AA">
        <w:t>tique. Cette seconde période est également marquée</w:t>
      </w:r>
      <w:r>
        <w:t xml:space="preserve">   </w:t>
      </w:r>
      <w:r w:rsidRPr="00EC43AA">
        <w:t xml:space="preserve"> par les impo</w:t>
      </w:r>
      <w:r w:rsidRPr="00EC43AA">
        <w:t>r</w:t>
      </w:r>
      <w:r w:rsidRPr="00EC43AA">
        <w:t>tantes restrictions budgétaires qui furent imposées aux org</w:t>
      </w:r>
      <w:r w:rsidRPr="00EC43AA">
        <w:t>a</w:t>
      </w:r>
      <w:r w:rsidRPr="00EC43AA">
        <w:t>nismes culturels et par les protestations auxquelles ces restri</w:t>
      </w:r>
      <w:r w:rsidRPr="00EC43AA">
        <w:t>c</w:t>
      </w:r>
      <w:r w:rsidRPr="00EC43AA">
        <w:t>tions donnèrent lieu. Finalement, c'est vers la fin de cette p</w:t>
      </w:r>
      <w:r w:rsidRPr="00EC43AA">
        <w:t>é</w:t>
      </w:r>
      <w:r w:rsidRPr="00EC43AA">
        <w:t>riode que s'affirma comme dominante la tendance à voir les arts et la culture en terme d'industrie, avec le passage des org</w:t>
      </w:r>
      <w:r w:rsidRPr="00EC43AA">
        <w:t>a</w:t>
      </w:r>
      <w:r w:rsidRPr="00EC43AA">
        <w:t>nisations culturelles du Secrétariat d'État au ministère des Communications et avec la mise sur pied du Comité d'étude sur la politique culturelle fédérale (A</w:t>
      </w:r>
      <w:r w:rsidRPr="00EC43AA">
        <w:t>p</w:t>
      </w:r>
      <w:r w:rsidRPr="00EC43AA">
        <w:t>plebaum-Hébert).</w:t>
      </w:r>
    </w:p>
    <w:p w:rsidR="00AD690E" w:rsidRPr="00EC43AA" w:rsidRDefault="00AD690E" w:rsidP="00AD690E">
      <w:pPr>
        <w:spacing w:before="120" w:after="120"/>
        <w:jc w:val="both"/>
      </w:pPr>
      <w:r w:rsidRPr="00EC43AA">
        <w:t>Cette deuxième période se caractérise par un certain nombre d'aju</w:t>
      </w:r>
      <w:r w:rsidRPr="00EC43AA">
        <w:t>s</w:t>
      </w:r>
      <w:r w:rsidRPr="00EC43AA">
        <w:t>tements au niveau des appareils et institutions mis en place dans les périodes précédentes. Ainsi, le gouve</w:t>
      </w:r>
      <w:r w:rsidRPr="00EC43AA">
        <w:t>r</w:t>
      </w:r>
      <w:r w:rsidRPr="00EC43AA">
        <w:t>nement fédéral créa le Conseil des bibliothèques fédérales et inclut les tél</w:t>
      </w:r>
      <w:r w:rsidRPr="00EC43AA">
        <w:t>é</w:t>
      </w:r>
      <w:r w:rsidRPr="00EC43AA">
        <w:t>communications dans le mandat de surveillance et de réglementation du CRTC (1976), mit sur pied la Co</w:t>
      </w:r>
      <w:r w:rsidRPr="00EC43AA">
        <w:t>m</w:t>
      </w:r>
      <w:r w:rsidRPr="00EC43AA">
        <w:t>mission d'examen des exportations des biens culturels (1977), fit de la section sciences h</w:t>
      </w:r>
      <w:r w:rsidRPr="00EC43AA">
        <w:t>u</w:t>
      </w:r>
      <w:r w:rsidRPr="00EC43AA">
        <w:t>maines du</w:t>
      </w:r>
      <w:r>
        <w:t xml:space="preserve"> [431] </w:t>
      </w:r>
      <w:r w:rsidRPr="00EC43AA">
        <w:t>Conseil des Arts du Canada un conseil spécifique nommé Co</w:t>
      </w:r>
      <w:r w:rsidRPr="00EC43AA">
        <w:t>n</w:t>
      </w:r>
      <w:r w:rsidRPr="00EC43AA">
        <w:t>seil de reche</w:t>
      </w:r>
      <w:r w:rsidRPr="00EC43AA">
        <w:t>r</w:t>
      </w:r>
      <w:r w:rsidRPr="00EC43AA">
        <w:t>ches en sciences humaines du Canada (CRSH, 1978), créa un bureau des relations culturelles inte</w:t>
      </w:r>
      <w:r w:rsidRPr="00EC43AA">
        <w:t>r</w:t>
      </w:r>
      <w:r w:rsidRPr="00EC43AA">
        <w:t>nationales rattaché au ministère des A</w:t>
      </w:r>
      <w:r w:rsidRPr="00EC43AA">
        <w:t>f</w:t>
      </w:r>
      <w:r w:rsidRPr="00EC43AA">
        <w:t>faires extérieures (1979) et transféra les organisations culture</w:t>
      </w:r>
      <w:r w:rsidRPr="00EC43AA">
        <w:t>l</w:t>
      </w:r>
      <w:r w:rsidRPr="00EC43AA">
        <w:t>les du Secrétariat d'État au ministère des Commun</w:t>
      </w:r>
      <w:r w:rsidRPr="00EC43AA">
        <w:t>i</w:t>
      </w:r>
      <w:r w:rsidRPr="00EC43AA">
        <w:t>cations.</w:t>
      </w:r>
    </w:p>
    <w:p w:rsidR="00AD690E" w:rsidRPr="00EC43AA" w:rsidRDefault="00AD690E" w:rsidP="00AD690E">
      <w:pPr>
        <w:spacing w:before="120" w:after="120"/>
        <w:jc w:val="both"/>
      </w:pPr>
      <w:r w:rsidRPr="00EC43AA">
        <w:t>Cette période fut aussi marquée par l'adoption de lois, amend</w:t>
      </w:r>
      <w:r w:rsidRPr="00EC43AA">
        <w:t>e</w:t>
      </w:r>
      <w:r w:rsidRPr="00EC43AA">
        <w:t>ments et jugements qui influèrent substantiellement sur le champ culturel. Ainsi, fut adoptée en 1976, la loi C-58 par laquelle le Parl</w:t>
      </w:r>
      <w:r w:rsidRPr="00EC43AA">
        <w:t>e</w:t>
      </w:r>
      <w:r w:rsidRPr="00EC43AA">
        <w:t>ment retirait aux éditions canadiennes des r</w:t>
      </w:r>
      <w:r w:rsidRPr="00EC43AA">
        <w:t>e</w:t>
      </w:r>
      <w:r w:rsidRPr="00EC43AA">
        <w:t xml:space="preserve">vues </w:t>
      </w:r>
      <w:r w:rsidRPr="00EC43AA">
        <w:rPr>
          <w:i/>
          <w:iCs/>
        </w:rPr>
        <w:t xml:space="preserve">Time </w:t>
      </w:r>
      <w:r w:rsidRPr="00EC43AA">
        <w:t xml:space="preserve">et </w:t>
      </w:r>
      <w:r w:rsidRPr="00EC43AA">
        <w:rPr>
          <w:i/>
          <w:iCs/>
        </w:rPr>
        <w:t xml:space="preserve">Reader's Digest </w:t>
      </w:r>
      <w:r w:rsidRPr="00EC43AA">
        <w:t>la déduction fiscale pour la publicité. La même année, on a</w:t>
      </w:r>
      <w:r w:rsidRPr="00EC43AA">
        <w:t>p</w:t>
      </w:r>
      <w:r w:rsidRPr="00EC43AA">
        <w:t>pliqua l'article 19 de la loi d'i</w:t>
      </w:r>
      <w:r w:rsidRPr="00EC43AA">
        <w:t>m</w:t>
      </w:r>
      <w:r w:rsidRPr="00EC43AA">
        <w:t>pôt permettant de déduire les dépenses des publicités à la radio et à la télévision destinées au marché can</w:t>
      </w:r>
      <w:r w:rsidRPr="00EC43AA">
        <w:t>a</w:t>
      </w:r>
      <w:r w:rsidRPr="00EC43AA">
        <w:t>dien et on étendit la déduction fiscale pour investissement dans la production cin</w:t>
      </w:r>
      <w:r w:rsidRPr="00EC43AA">
        <w:t>é</w:t>
      </w:r>
      <w:r w:rsidRPr="00EC43AA">
        <w:t xml:space="preserve">matographique aux courts métrages et aux vidéos. En 1977 fut adoptée la </w:t>
      </w:r>
      <w:r w:rsidRPr="00EC43AA">
        <w:rPr>
          <w:i/>
          <w:iCs/>
        </w:rPr>
        <w:t>Loi d'action scientifique du gouvern</w:t>
      </w:r>
      <w:r w:rsidRPr="00EC43AA">
        <w:rPr>
          <w:i/>
          <w:iCs/>
        </w:rPr>
        <w:t>e</w:t>
      </w:r>
      <w:r w:rsidRPr="00EC43AA">
        <w:rPr>
          <w:i/>
          <w:iCs/>
        </w:rPr>
        <w:t xml:space="preserve">ment fédéral. </w:t>
      </w:r>
      <w:r w:rsidRPr="00EC43AA">
        <w:t>Et, en 1978, la Cour suprême du Canada jugea que la juridi</w:t>
      </w:r>
      <w:r w:rsidRPr="00EC43AA">
        <w:t>c</w:t>
      </w:r>
      <w:r w:rsidRPr="00EC43AA">
        <w:t>tion sur la câblodistribution appartenait au féd</w:t>
      </w:r>
      <w:r w:rsidRPr="00EC43AA">
        <w:t>é</w:t>
      </w:r>
      <w:r w:rsidRPr="00EC43AA">
        <w:t>ral.</w:t>
      </w:r>
    </w:p>
    <w:p w:rsidR="00AD690E" w:rsidRPr="00EC43AA" w:rsidRDefault="00AD690E" w:rsidP="00AD690E">
      <w:pPr>
        <w:spacing w:before="120" w:after="120"/>
        <w:jc w:val="both"/>
      </w:pPr>
      <w:r w:rsidRPr="00EC43AA">
        <w:t>Les années 1976-1980 furent également prolifiques en études et publications de rapports qui guidèrent l'action pol</w:t>
      </w:r>
      <w:r w:rsidRPr="00EC43AA">
        <w:t>i</w:t>
      </w:r>
      <w:r w:rsidRPr="00EC43AA">
        <w:t xml:space="preserve">tique des libéraux dans le champ culturel. Mentionnons entre autres les rapports : </w:t>
      </w:r>
      <w:r w:rsidRPr="00EC43AA">
        <w:rPr>
          <w:i/>
          <w:iCs/>
        </w:rPr>
        <w:t xml:space="preserve">Keynes-Brunet </w:t>
      </w:r>
      <w:r w:rsidRPr="00EC43AA">
        <w:t>sur les propositions de modifications à la loi canadie</w:t>
      </w:r>
      <w:r w:rsidRPr="00EC43AA">
        <w:t>n</w:t>
      </w:r>
      <w:r w:rsidRPr="00EC43AA">
        <w:t xml:space="preserve">ne sur le droit d'auteur (1977), </w:t>
      </w:r>
      <w:r w:rsidRPr="00EC43AA">
        <w:rPr>
          <w:i/>
          <w:iCs/>
        </w:rPr>
        <w:t xml:space="preserve">Healy </w:t>
      </w:r>
      <w:r w:rsidRPr="00EC43AA">
        <w:t xml:space="preserve">sur les études supérieures dans les humanités et les sciences sociales (1978), </w:t>
      </w:r>
      <w:r w:rsidRPr="00EC43AA">
        <w:rPr>
          <w:i/>
          <w:iCs/>
        </w:rPr>
        <w:t xml:space="preserve">Disney </w:t>
      </w:r>
      <w:r w:rsidRPr="00EC43AA">
        <w:t>sur la s</w:t>
      </w:r>
      <w:r w:rsidRPr="00EC43AA">
        <w:t>i</w:t>
      </w:r>
      <w:r w:rsidRPr="00EC43AA">
        <w:t xml:space="preserve">tuation des artistes par rapport au fisc (1978), </w:t>
      </w:r>
      <w:r w:rsidRPr="00EC43AA">
        <w:rPr>
          <w:i/>
          <w:iCs/>
        </w:rPr>
        <w:t xml:space="preserve">Pépin-Robarts </w:t>
      </w:r>
      <w:r w:rsidRPr="00EC43AA">
        <w:t>sur l'unité can</w:t>
      </w:r>
      <w:r w:rsidRPr="00EC43AA">
        <w:t>a</w:t>
      </w:r>
      <w:r w:rsidRPr="00EC43AA">
        <w:t xml:space="preserve">dienne (1979), </w:t>
      </w:r>
      <w:r w:rsidRPr="00EC43AA">
        <w:rPr>
          <w:i/>
          <w:iCs/>
        </w:rPr>
        <w:t xml:space="preserve">Lambert </w:t>
      </w:r>
      <w:r w:rsidRPr="00EC43AA">
        <w:t xml:space="preserve">sur la question financière et l'imputabilité (1979), </w:t>
      </w:r>
      <w:r w:rsidRPr="00EC43AA">
        <w:rPr>
          <w:i/>
          <w:iCs/>
        </w:rPr>
        <w:t xml:space="preserve">Kline </w:t>
      </w:r>
      <w:r w:rsidRPr="00EC43AA">
        <w:t>sur les télécommunications et la souvera</w:t>
      </w:r>
      <w:r w:rsidRPr="00EC43AA">
        <w:t>i</w:t>
      </w:r>
      <w:r w:rsidRPr="00EC43AA">
        <w:t xml:space="preserve">neté du Canada (1979) et </w:t>
      </w:r>
      <w:r w:rsidRPr="00EC43AA">
        <w:rPr>
          <w:i/>
          <w:iCs/>
        </w:rPr>
        <w:t xml:space="preserve">Therrien </w:t>
      </w:r>
      <w:r w:rsidRPr="00EC43AA">
        <w:t>sur la télédiffusion dans les régions du Nord et la télévision à payage (1980). D'autres p</w:t>
      </w:r>
      <w:r w:rsidRPr="00EC43AA">
        <w:t>u</w:t>
      </w:r>
      <w:r w:rsidRPr="00EC43AA">
        <w:t xml:space="preserve">blications furent aussi très marquantes. Sont à signaler : </w:t>
      </w:r>
      <w:r w:rsidRPr="00EC43AA">
        <w:rPr>
          <w:i/>
          <w:iCs/>
        </w:rPr>
        <w:t>Le Canada et les télécommunic</w:t>
      </w:r>
      <w:r w:rsidRPr="00EC43AA">
        <w:rPr>
          <w:i/>
          <w:iCs/>
        </w:rPr>
        <w:t>a</w:t>
      </w:r>
      <w:r w:rsidRPr="00EC43AA">
        <w:rPr>
          <w:i/>
          <w:iCs/>
        </w:rPr>
        <w:t xml:space="preserve">tions </w:t>
      </w:r>
      <w:r w:rsidRPr="00EC43AA">
        <w:t xml:space="preserve">(1979), </w:t>
      </w:r>
      <w:r w:rsidRPr="00EC43AA">
        <w:rPr>
          <w:i/>
          <w:iCs/>
        </w:rPr>
        <w:t xml:space="preserve">Le Canada à l'aube du vidéotex </w:t>
      </w:r>
      <w:r w:rsidRPr="00EC43AA">
        <w:t xml:space="preserve">(1979) et </w:t>
      </w:r>
      <w:r w:rsidRPr="00EC43AA">
        <w:rPr>
          <w:i/>
          <w:iCs/>
        </w:rPr>
        <w:t xml:space="preserve">La révolution de l'information et sa signification pour le Canada </w:t>
      </w:r>
      <w:r w:rsidRPr="00EC43AA">
        <w:t>(1980).</w:t>
      </w:r>
    </w:p>
    <w:p w:rsidR="00AD690E" w:rsidRPr="00EC43AA" w:rsidRDefault="00AD690E" w:rsidP="00AD690E">
      <w:pPr>
        <w:spacing w:before="120" w:after="120"/>
        <w:jc w:val="both"/>
      </w:pPr>
      <w:r w:rsidRPr="00EC43AA">
        <w:t>Finalement, à la fin de cette seconde période, fut présentée au Pa</w:t>
      </w:r>
      <w:r w:rsidRPr="00EC43AA">
        <w:t>r</w:t>
      </w:r>
      <w:r w:rsidRPr="00EC43AA">
        <w:t>lement la loi C-24. Elle visait à contrôler les plans de dév</w:t>
      </w:r>
      <w:r w:rsidRPr="00EC43AA">
        <w:t>e</w:t>
      </w:r>
      <w:r w:rsidRPr="00EC43AA">
        <w:t>loppements et les budgets d'opération des compagnies de la Co</w:t>
      </w:r>
      <w:r w:rsidRPr="00EC43AA">
        <w:t>u</w:t>
      </w:r>
      <w:r w:rsidRPr="00EC43AA">
        <w:t>ronne, à instaurer le pouvoir d'imposer des directives politiques, de contrôler via des lois et de désavouer. Plusieurs ministres s</w:t>
      </w:r>
      <w:r w:rsidRPr="00EC43AA">
        <w:t>e</w:t>
      </w:r>
      <w:r w:rsidRPr="00EC43AA">
        <w:t>niors du Cabinet, dont Jean Chrétien, insistèrent pour que cette loi fut a</w:t>
      </w:r>
      <w:r w:rsidRPr="00EC43AA">
        <w:t>p</w:t>
      </w:r>
      <w:r w:rsidRPr="00EC43AA">
        <w:t>pliquée au Conseil des Arts, au Centre national des arts, à la Société de développement de l'industrie cinématographique canadienne (SDICC) et à Radio-Canada, ce qui échoua princip</w:t>
      </w:r>
      <w:r w:rsidRPr="00EC43AA">
        <w:t>a</w:t>
      </w:r>
      <w:r w:rsidRPr="00EC43AA">
        <w:t>lement à cause du tollé de protestations que suscita cette prop</w:t>
      </w:r>
      <w:r w:rsidRPr="00EC43AA">
        <w:t>o</w:t>
      </w:r>
      <w:r w:rsidRPr="00EC43AA">
        <w:t>sition</w:t>
      </w:r>
      <w:r>
        <w:rPr>
          <w:vertAlign w:val="superscript"/>
        </w:rPr>
        <w:t> </w:t>
      </w:r>
      <w:r>
        <w:rPr>
          <w:rStyle w:val="Appelnotedebasdep"/>
        </w:rPr>
        <w:footnoteReference w:id="753"/>
      </w:r>
      <w:r w:rsidRPr="00EC43AA">
        <w:t>.</w:t>
      </w:r>
    </w:p>
    <w:p w:rsidR="00AD690E" w:rsidRDefault="00AD690E" w:rsidP="00AD690E">
      <w:pPr>
        <w:spacing w:before="120" w:after="120"/>
        <w:jc w:val="both"/>
      </w:pPr>
    </w:p>
    <w:p w:rsidR="00AD690E" w:rsidRDefault="00AD690E" w:rsidP="00AD690E">
      <w:pPr>
        <w:spacing w:before="120" w:after="120"/>
        <w:jc w:val="both"/>
        <w:rPr>
          <w:szCs w:val="18"/>
        </w:rPr>
      </w:pPr>
      <w:r>
        <w:t>[</w:t>
      </w:r>
      <w:r w:rsidRPr="00EC43AA">
        <w:rPr>
          <w:szCs w:val="18"/>
        </w:rPr>
        <w:t>432</w:t>
      </w:r>
      <w:r>
        <w:rPr>
          <w:szCs w:val="18"/>
        </w:rPr>
        <w:t>]</w:t>
      </w:r>
    </w:p>
    <w:p w:rsidR="00AD690E" w:rsidRPr="00EC43AA" w:rsidRDefault="00AD690E" w:rsidP="00AD690E">
      <w:pPr>
        <w:spacing w:before="120" w:after="120"/>
        <w:jc w:val="both"/>
      </w:pPr>
    </w:p>
    <w:p w:rsidR="00AD690E" w:rsidRPr="00EC43AA" w:rsidRDefault="00AD690E" w:rsidP="00AD690E">
      <w:pPr>
        <w:pStyle w:val="a"/>
      </w:pPr>
      <w:r>
        <w:t xml:space="preserve">f) </w:t>
      </w:r>
      <w:r w:rsidRPr="00EC43AA">
        <w:t>Un concert de protestation</w:t>
      </w:r>
    </w:p>
    <w:p w:rsidR="00AD690E" w:rsidRDefault="00AD690E" w:rsidP="00AD690E">
      <w:pPr>
        <w:spacing w:before="120" w:after="120"/>
        <w:jc w:val="both"/>
      </w:pPr>
    </w:p>
    <w:p w:rsidR="00AD690E" w:rsidRPr="00EC43AA" w:rsidRDefault="00AD690E" w:rsidP="00AD690E">
      <w:pPr>
        <w:spacing w:before="120" w:after="120"/>
        <w:jc w:val="both"/>
      </w:pPr>
      <w:r w:rsidRPr="00EC43AA">
        <w:t xml:space="preserve">En 1978, année de la publication du </w:t>
      </w:r>
      <w:r w:rsidRPr="00EC43AA">
        <w:rPr>
          <w:i/>
          <w:iCs/>
        </w:rPr>
        <w:t xml:space="preserve">Rapport Disney, </w:t>
      </w:r>
      <w:r w:rsidRPr="00EC43AA">
        <w:t>des a</w:t>
      </w:r>
      <w:r w:rsidRPr="00EC43AA">
        <w:t>r</w:t>
      </w:r>
      <w:r w:rsidRPr="00EC43AA">
        <w:t>tistes créent le Comité 1812 qui publie un manifeste protestant contre les restrictions et des artistes manifestent à Ottawa leur méco</w:t>
      </w:r>
      <w:r w:rsidRPr="00EC43AA">
        <w:t>n</w:t>
      </w:r>
      <w:r w:rsidRPr="00EC43AA">
        <w:t>tentement devant les coupures infligées aux organismes culturels, particulièr</w:t>
      </w:r>
      <w:r w:rsidRPr="00EC43AA">
        <w:t>e</w:t>
      </w:r>
      <w:r w:rsidRPr="00EC43AA">
        <w:t>ment au Conseil des Arts du Canada.</w:t>
      </w:r>
    </w:p>
    <w:p w:rsidR="00AD690E" w:rsidRPr="00EC43AA" w:rsidRDefault="00AD690E" w:rsidP="00AD690E">
      <w:pPr>
        <w:spacing w:before="120" w:after="120"/>
        <w:jc w:val="both"/>
      </w:pPr>
      <w:r w:rsidRPr="00EC43AA">
        <w:t>En 1980, la Conférence canadienne des arts (CCA) prend l'initiat</w:t>
      </w:r>
      <w:r w:rsidRPr="00EC43AA">
        <w:t>i</w:t>
      </w:r>
      <w:r w:rsidRPr="00EC43AA">
        <w:t>ve d'élaborer une politique globale de développement des arts et de la culture afin de la présenter au gouvernement et à la population can</w:t>
      </w:r>
      <w:r w:rsidRPr="00EC43AA">
        <w:t>a</w:t>
      </w:r>
      <w:r w:rsidRPr="00EC43AA">
        <w:t>dienne. La Conférence avait été fondée en 1945. C'est un organisme non gouvernemental d'envergure n</w:t>
      </w:r>
      <w:r w:rsidRPr="00EC43AA">
        <w:t>a</w:t>
      </w:r>
      <w:r w:rsidRPr="00EC43AA">
        <w:t>tionale qui avait pour mission d'assurer le développement des arts et des industries culturelles au C</w:t>
      </w:r>
      <w:r w:rsidRPr="00EC43AA">
        <w:t>a</w:t>
      </w:r>
      <w:r w:rsidRPr="00EC43AA">
        <w:t>nada. Au début des années 1980, elle regroupait plus de 600 organi</w:t>
      </w:r>
      <w:r w:rsidRPr="00EC43AA">
        <w:t>s</w:t>
      </w:r>
      <w:r w:rsidRPr="00EC43AA">
        <w:t>mes et institutions du monde des arts et de la culture et un large éve</w:t>
      </w:r>
      <w:r w:rsidRPr="00EC43AA">
        <w:t>n</w:t>
      </w:r>
      <w:r w:rsidRPr="00EC43AA">
        <w:t>tail de membres individuels et d'entreprises artistiques</w:t>
      </w:r>
      <w:r>
        <w:rPr>
          <w:vertAlign w:val="superscript"/>
        </w:rPr>
        <w:t> </w:t>
      </w:r>
      <w:r>
        <w:rPr>
          <w:rStyle w:val="Appelnotedebasdep"/>
        </w:rPr>
        <w:footnoteReference w:id="754"/>
      </w:r>
      <w:r w:rsidRPr="00EC43AA">
        <w:t>. Aujou</w:t>
      </w:r>
      <w:r w:rsidRPr="00EC43AA">
        <w:t>r</w:t>
      </w:r>
      <w:r w:rsidRPr="00EC43AA">
        <w:t>d'hui, elle est financée par le ministère des Communications, le Secr</w:t>
      </w:r>
      <w:r w:rsidRPr="00EC43AA">
        <w:t>é</w:t>
      </w:r>
      <w:r w:rsidRPr="00EC43AA">
        <w:t>tariat d'État et les provinces, sauf le Québec et la No</w:t>
      </w:r>
      <w:r w:rsidRPr="00EC43AA">
        <w:t>u</w:t>
      </w:r>
      <w:r w:rsidRPr="00EC43AA">
        <w:t>velle-</w:t>
      </w:r>
      <w:r>
        <w:t>É</w:t>
      </w:r>
      <w:r w:rsidRPr="00EC43AA">
        <w:t>cosse.</w:t>
      </w:r>
    </w:p>
    <w:p w:rsidR="00AD690E" w:rsidRPr="00EC43AA" w:rsidRDefault="00AD690E" w:rsidP="00AD690E">
      <w:pPr>
        <w:spacing w:before="120" w:after="120"/>
        <w:jc w:val="both"/>
      </w:pPr>
      <w:r w:rsidRPr="00EC43AA">
        <w:t>La Confér</w:t>
      </w:r>
      <w:r>
        <w:t>e</w:t>
      </w:r>
      <w:r w:rsidRPr="00EC43AA">
        <w:t>nce travailla en collaboration avec le gouvern</w:t>
      </w:r>
      <w:r w:rsidRPr="00EC43AA">
        <w:t>e</w:t>
      </w:r>
      <w:r w:rsidRPr="00EC43AA">
        <w:t>ment jusqu'au moment où furent imposées les restrictions bu</w:t>
      </w:r>
      <w:r w:rsidRPr="00EC43AA">
        <w:t>d</w:t>
      </w:r>
      <w:r w:rsidRPr="00EC43AA">
        <w:t>gétaires. Elle constitua donc une institution centrale dans l'élaboration du compr</w:t>
      </w:r>
      <w:r w:rsidRPr="00EC43AA">
        <w:t>o</w:t>
      </w:r>
      <w:r w:rsidRPr="00EC43AA">
        <w:t>mis, de l'alliance des artistes, du moins de la pa</w:t>
      </w:r>
      <w:r w:rsidRPr="00EC43AA">
        <w:t>r</w:t>
      </w:r>
      <w:r w:rsidRPr="00EC43AA">
        <w:t>tie supérieure de la pyramide que constitue l'organisation hiérarchique du monde des arts</w:t>
      </w:r>
      <w:r>
        <w:t> </w:t>
      </w:r>
      <w:r>
        <w:rPr>
          <w:rStyle w:val="Appelnotedebasdep"/>
        </w:rPr>
        <w:footnoteReference w:id="755"/>
      </w:r>
      <w:r w:rsidRPr="00EC43AA">
        <w:t>, avec les t</w:t>
      </w:r>
      <w:r w:rsidRPr="00EC43AA">
        <w:t>e</w:t>
      </w:r>
      <w:r w:rsidRPr="00EC43AA">
        <w:t xml:space="preserve">nants du point de vue </w:t>
      </w:r>
      <w:r w:rsidRPr="00EC43AA">
        <w:rPr>
          <w:i/>
          <w:iCs/>
        </w:rPr>
        <w:t xml:space="preserve">canadien </w:t>
      </w:r>
      <w:r w:rsidRPr="00EC43AA">
        <w:t>dans la bourgeoisie et la classe politique can</w:t>
      </w:r>
      <w:r w:rsidRPr="00EC43AA">
        <w:t>a</w:t>
      </w:r>
      <w:r w:rsidRPr="00EC43AA">
        <w:t>dienne.</w:t>
      </w:r>
    </w:p>
    <w:p w:rsidR="00AD690E" w:rsidRPr="00EC43AA" w:rsidRDefault="00AD690E" w:rsidP="00AD690E">
      <w:pPr>
        <w:spacing w:before="120" w:after="120"/>
        <w:jc w:val="both"/>
      </w:pPr>
      <w:r w:rsidRPr="00EC43AA">
        <w:t>L'entrée en crise, le changement de politique et les restri</w:t>
      </w:r>
      <w:r w:rsidRPr="00EC43AA">
        <w:t>c</w:t>
      </w:r>
      <w:r w:rsidRPr="00EC43AA">
        <w:t>tions qui s'ensuivirent marquent donc la fin d'une phase d'e</w:t>
      </w:r>
      <w:r w:rsidRPr="00EC43AA">
        <w:t>x</w:t>
      </w:r>
      <w:r w:rsidRPr="00EC43AA">
        <w:t>pansion du soutien aux arts et l'ouverture d'une autre où s'affirme la primauté de la rég</w:t>
      </w:r>
      <w:r w:rsidRPr="00EC43AA">
        <w:t>u</w:t>
      </w:r>
      <w:r w:rsidRPr="00EC43AA">
        <w:t>lation économique par laquelle fut brisée la base économique du co</w:t>
      </w:r>
      <w:r w:rsidRPr="00EC43AA">
        <w:t>m</w:t>
      </w:r>
      <w:r w:rsidRPr="00EC43AA">
        <w:t>promis avec les milieux artistiques et culturels. De ce moment, l'org</w:t>
      </w:r>
      <w:r w:rsidRPr="00EC43AA">
        <w:t>a</w:t>
      </w:r>
      <w:r w:rsidRPr="00EC43AA">
        <w:t>nisme de concertation et de consultation qu'était la CCA tendit à d</w:t>
      </w:r>
      <w:r w:rsidRPr="00EC43AA">
        <w:t>e</w:t>
      </w:r>
      <w:r w:rsidRPr="00EC43AA">
        <w:t>venir un o</w:t>
      </w:r>
      <w:r w:rsidRPr="00EC43AA">
        <w:t>r</w:t>
      </w:r>
      <w:r w:rsidRPr="00EC43AA">
        <w:t>ganisme de pression, de protestation, tout en continuant cependant à « graviter » autour de l'État can</w:t>
      </w:r>
      <w:r w:rsidRPr="00EC43AA">
        <w:t>a</w:t>
      </w:r>
      <w:r w:rsidRPr="00EC43AA">
        <w:t>dien.</w:t>
      </w:r>
    </w:p>
    <w:p w:rsidR="00AD690E" w:rsidRPr="00EC43AA" w:rsidRDefault="00AD690E" w:rsidP="00AD690E">
      <w:pPr>
        <w:spacing w:before="120" w:after="120"/>
        <w:jc w:val="both"/>
      </w:pPr>
      <w:r w:rsidRPr="00EC43AA">
        <w:t>Cette transformation des modalités d'action de la CCA et de ses rapports avec le gouvernement et l'ambigu</w:t>
      </w:r>
      <w:r>
        <w:t>ï</w:t>
      </w:r>
      <w:r w:rsidRPr="00EC43AA">
        <w:t>té de sa position sont refl</w:t>
      </w:r>
      <w:r w:rsidRPr="00EC43AA">
        <w:t>é</w:t>
      </w:r>
      <w:r w:rsidRPr="00EC43AA">
        <w:t>tées dans l'énoncé de</w:t>
      </w:r>
      <w:r>
        <w:t xml:space="preserve"> [433] </w:t>
      </w:r>
      <w:r w:rsidRPr="00EC43AA">
        <w:t>politique culturelle qu'elle publia en 1980</w:t>
      </w:r>
      <w:r>
        <w:rPr>
          <w:vertAlign w:val="superscript"/>
        </w:rPr>
        <w:t> </w:t>
      </w:r>
      <w:r>
        <w:rPr>
          <w:rStyle w:val="Appelnotedebasdep"/>
        </w:rPr>
        <w:footnoteReference w:id="756"/>
      </w:r>
      <w:r w:rsidRPr="00EC43AA">
        <w:t>, renouvela en 1981</w:t>
      </w:r>
      <w:r>
        <w:t> </w:t>
      </w:r>
      <w:r>
        <w:rPr>
          <w:rStyle w:val="Appelnotedebasdep"/>
        </w:rPr>
        <w:footnoteReference w:id="757"/>
      </w:r>
      <w:r w:rsidRPr="00EC43AA">
        <w:t xml:space="preserve"> et reprécisa en 1984</w:t>
      </w:r>
      <w:r>
        <w:t> </w:t>
      </w:r>
      <w:r>
        <w:rPr>
          <w:rStyle w:val="Appelnotedebasdep"/>
        </w:rPr>
        <w:footnoteReference w:id="758"/>
      </w:r>
      <w:r w:rsidRPr="00EC43AA">
        <w:t>.</w:t>
      </w:r>
    </w:p>
    <w:p w:rsidR="00AD690E" w:rsidRPr="007D00B0" w:rsidRDefault="00AD690E" w:rsidP="00AD690E">
      <w:pPr>
        <w:spacing w:before="120" w:after="120"/>
        <w:jc w:val="both"/>
      </w:pPr>
      <w:r w:rsidRPr="00EC43AA">
        <w:rPr>
          <w:i/>
          <w:iCs/>
        </w:rPr>
        <w:t xml:space="preserve">Une stratégie culturelle </w:t>
      </w:r>
      <w:r w:rsidRPr="00EC43AA">
        <w:t>(1980) est d'une part un plaidoyer pour r</w:t>
      </w:r>
      <w:r w:rsidRPr="00EC43AA">
        <w:t>e</w:t>
      </w:r>
      <w:r w:rsidRPr="00EC43AA">
        <w:t>trouver la place qu'occupait la CCA comme interlocuteur institutio</w:t>
      </w:r>
      <w:r w:rsidRPr="00EC43AA">
        <w:t>n</w:t>
      </w:r>
      <w:r w:rsidRPr="00EC43AA">
        <w:t>nel influant dans l'élaboration de la politique culturelle de l'État et dans l'administration des arts et de la cu</w:t>
      </w:r>
      <w:r w:rsidRPr="00EC43AA">
        <w:t>l</w:t>
      </w:r>
      <w:r w:rsidRPr="00EC43AA">
        <w:t>ture. On y manifeste en effet une vive inquiétude devant ce</w:t>
      </w:r>
      <w:r w:rsidRPr="00EC43AA">
        <w:t>r</w:t>
      </w:r>
      <w:r w:rsidRPr="00EC43AA">
        <w:t xml:space="preserve">taines propositions du </w:t>
      </w:r>
      <w:r w:rsidRPr="00EC43AA">
        <w:rPr>
          <w:i/>
          <w:iCs/>
        </w:rPr>
        <w:t xml:space="preserve">Rapport Lambert </w:t>
      </w:r>
      <w:r w:rsidRPr="00EC43AA">
        <w:t>(1979) sur l'admini</w:t>
      </w:r>
      <w:r w:rsidRPr="00EC43AA">
        <w:t>s</w:t>
      </w:r>
      <w:r w:rsidRPr="00EC43AA">
        <w:t>tration financière et comptable soulignant que l'instauration d'un régime d'évalu</w:t>
      </w:r>
      <w:r w:rsidRPr="00EC43AA">
        <w:t>a</w:t>
      </w:r>
      <w:r w:rsidRPr="00EC43AA">
        <w:t>tion du rendement des organismes et la centralisation et standardisation administrative pourraient m</w:t>
      </w:r>
      <w:r w:rsidRPr="00EC43AA">
        <w:t>i</w:t>
      </w:r>
      <w:r w:rsidRPr="00EC43AA">
        <w:t>ner les organisations culturelles</w:t>
      </w:r>
      <w:r>
        <w:rPr>
          <w:vertAlign w:val="superscript"/>
        </w:rPr>
        <w:t> </w:t>
      </w:r>
      <w:r>
        <w:rPr>
          <w:rStyle w:val="Appelnotedebasdep"/>
        </w:rPr>
        <w:footnoteReference w:id="759"/>
      </w:r>
      <w:r w:rsidRPr="00EC43AA">
        <w:t xml:space="preserve">. </w:t>
      </w:r>
      <w:r>
        <w:t>À</w:t>
      </w:r>
      <w:r w:rsidRPr="00EC43AA">
        <w:t xml:space="preserve"> propos des a</w:t>
      </w:r>
      <w:r w:rsidRPr="00EC43AA">
        <w:t>s</w:t>
      </w:r>
      <w:r w:rsidRPr="00EC43AA">
        <w:t>sociations nationales non-gouvernementales, telle la CCA, on affirme que le gouvernement devrait leur accorder son appui pui</w:t>
      </w:r>
      <w:r w:rsidRPr="00EC43AA">
        <w:t>s</w:t>
      </w:r>
      <w:r w:rsidRPr="00EC43AA">
        <w:t>qu'elles sont vouées à la défense des intérêts communs à tous les se</w:t>
      </w:r>
      <w:r w:rsidRPr="00EC43AA">
        <w:t>c</w:t>
      </w:r>
      <w:r w:rsidRPr="00EC43AA">
        <w:t>teurs des arts et des industries culturelles recueillant, résumant et consolidant les divers points de vue des groupes qu'elles r</w:t>
      </w:r>
      <w:r w:rsidRPr="00EC43AA">
        <w:t>e</w:t>
      </w:r>
      <w:r w:rsidRPr="00EC43AA">
        <w:t>présentent. On ajoute que ces associations ont un rôle fondamental à jouer dans l'a</w:t>
      </w:r>
      <w:r w:rsidRPr="00EC43AA">
        <w:t>d</w:t>
      </w:r>
      <w:r w:rsidRPr="00EC43AA">
        <w:t>ministration et l'essor du monde des arts et de la cu</w:t>
      </w:r>
      <w:r w:rsidRPr="00EC43AA">
        <w:t>l</w:t>
      </w:r>
      <w:r w:rsidRPr="00EC43AA">
        <w:t>ture</w:t>
      </w:r>
      <w:r>
        <w:rPr>
          <w:vertAlign w:val="superscript"/>
        </w:rPr>
        <w:t> </w:t>
      </w:r>
      <w:r>
        <w:rPr>
          <w:rStyle w:val="Appelnotedebasdep"/>
        </w:rPr>
        <w:footnoteReference w:id="760"/>
      </w:r>
    </w:p>
    <w:p w:rsidR="00AD690E" w:rsidRDefault="00AD690E" w:rsidP="00AD690E">
      <w:pPr>
        <w:spacing w:before="120" w:after="120"/>
        <w:jc w:val="both"/>
      </w:pPr>
      <w:r w:rsidRPr="00EC43AA">
        <w:t>L'énoncé de 1980 constitue d'au</w:t>
      </w:r>
      <w:r>
        <w:t xml:space="preserve">tre part une acceptation et une </w:t>
      </w:r>
      <w:r w:rsidRPr="00EC43AA">
        <w:t>lég</w:t>
      </w:r>
      <w:r w:rsidRPr="00EC43AA">
        <w:t>i</w:t>
      </w:r>
      <w:r w:rsidRPr="00EC43AA">
        <w:t>timation de la politique culturelle pratiquée par les l</w:t>
      </w:r>
      <w:r w:rsidRPr="00EC43AA">
        <w:t>i</w:t>
      </w:r>
      <w:r w:rsidRPr="00EC43AA">
        <w:t>béraux à la fin des années 1970, c'est-à-dire la canadianisation, selon trois axes : l'a</w:t>
      </w:r>
      <w:r w:rsidRPr="00EC43AA">
        <w:t>f</w:t>
      </w:r>
      <w:r w:rsidRPr="00EC43AA">
        <w:t>firmation de la primauté de la jur</w:t>
      </w:r>
      <w:r w:rsidRPr="00EC43AA">
        <w:t>i</w:t>
      </w:r>
      <w:r w:rsidRPr="00EC43AA">
        <w:t>diction fédérale et du centralisme étatique au nom de l'identité nati</w:t>
      </w:r>
      <w:r w:rsidRPr="00EC43AA">
        <w:t>o</w:t>
      </w:r>
      <w:r w:rsidRPr="00EC43AA">
        <w:t>nale canadienne ; l'appropriation canadienne et l'expre</w:t>
      </w:r>
      <w:r w:rsidRPr="00EC43AA">
        <w:t>s</w:t>
      </w:r>
      <w:r w:rsidRPr="00EC43AA">
        <w:t>sion des talents canadiens ; et la primauté de la privatisation et de la forme industrielle du développement culturel où la préoccup</w:t>
      </w:r>
      <w:r w:rsidRPr="00EC43AA">
        <w:t>a</w:t>
      </w:r>
      <w:r w:rsidRPr="00EC43AA">
        <w:t xml:space="preserve">tion pour le talent canadien veut dire réservoir de </w:t>
      </w:r>
      <w:r>
        <w:t>main-d’œuvre</w:t>
      </w:r>
      <w:r w:rsidRPr="00EC43AA">
        <w:t xml:space="preserve"> pour l'industrie</w:t>
      </w:r>
      <w:r>
        <w:rPr>
          <w:vertAlign w:val="superscript"/>
        </w:rPr>
        <w:t> </w:t>
      </w:r>
      <w:r>
        <w:rPr>
          <w:rStyle w:val="Appelnotedebasdep"/>
        </w:rPr>
        <w:footnoteReference w:id="761"/>
      </w:r>
      <w:r w:rsidRPr="00EC43AA">
        <w:t>. Cette position de la Conf</w:t>
      </w:r>
      <w:r w:rsidRPr="00EC43AA">
        <w:t>é</w:t>
      </w:r>
      <w:r w:rsidRPr="00EC43AA">
        <w:t>rence illustre très bien l'état de dépendance, de soumission dans lequel sont r</w:t>
      </w:r>
      <w:r w:rsidRPr="00EC43AA">
        <w:t>é</w:t>
      </w:r>
      <w:r w:rsidRPr="00EC43AA">
        <w:t>duits les artistes et les travailleurs culturels par la gestion socio-économique de la crise pratiquée par l'État, puisqu'elle reprend à son compte les él</w:t>
      </w:r>
      <w:r w:rsidRPr="00EC43AA">
        <w:t>é</w:t>
      </w:r>
      <w:r w:rsidRPr="00EC43AA">
        <w:t>ments centraux du discours des libéraux tel qu'exprimé par Pierre Trudeau dans une alloc</w:t>
      </w:r>
      <w:r w:rsidRPr="00EC43AA">
        <w:t>u</w:t>
      </w:r>
      <w:r w:rsidRPr="00EC43AA">
        <w:t>tion qu'il prononça en mars 1979 devant la CCA. Le premier ministre affirmait alors que pour faire face à la co</w:t>
      </w:r>
      <w:r w:rsidRPr="00EC43AA">
        <w:t>n</w:t>
      </w:r>
      <w:r w:rsidRPr="00EC43AA">
        <w:t>currence étrangère :</w:t>
      </w:r>
    </w:p>
    <w:p w:rsidR="00AD690E" w:rsidRPr="00EC43AA" w:rsidRDefault="00AD690E" w:rsidP="00AD690E">
      <w:pPr>
        <w:pStyle w:val="Grillecouleur-Accent1"/>
      </w:pPr>
    </w:p>
    <w:p w:rsidR="00AD690E" w:rsidRPr="007D00B0" w:rsidRDefault="00AD690E" w:rsidP="00AD690E">
      <w:pPr>
        <w:pStyle w:val="Grillecouleur-Accent1"/>
        <w:rPr>
          <w:i/>
          <w:szCs w:val="24"/>
        </w:rPr>
      </w:pPr>
      <w:r w:rsidRPr="007D00B0">
        <w:rPr>
          <w:szCs w:val="24"/>
        </w:rPr>
        <w:t>[...] nul pays ne peut se passer d'une politique culturelle au même point qu'il ne peut se passer d'une politique i</w:t>
      </w:r>
      <w:r w:rsidRPr="007D00B0">
        <w:rPr>
          <w:szCs w:val="24"/>
        </w:rPr>
        <w:t>n</w:t>
      </w:r>
      <w:r w:rsidRPr="007D00B0">
        <w:rPr>
          <w:szCs w:val="24"/>
        </w:rPr>
        <w:t>dustrielle.</w:t>
      </w:r>
      <w:r w:rsidRPr="007D00B0">
        <w:rPr>
          <w:i/>
          <w:szCs w:val="24"/>
        </w:rPr>
        <w:t xml:space="preserve"> </w:t>
      </w:r>
    </w:p>
    <w:p w:rsidR="00AD690E" w:rsidRPr="00EC43AA" w:rsidRDefault="00AD690E" w:rsidP="00AD690E">
      <w:pPr>
        <w:pStyle w:val="Grillecouleur-Accent1"/>
        <w:rPr>
          <w:szCs w:val="2"/>
        </w:rPr>
      </w:pPr>
    </w:p>
    <w:p w:rsidR="00AD690E" w:rsidRDefault="00AD690E" w:rsidP="00AD690E">
      <w:pPr>
        <w:spacing w:before="120" w:after="120"/>
        <w:jc w:val="both"/>
        <w:rPr>
          <w:szCs w:val="18"/>
        </w:rPr>
      </w:pPr>
      <w:r>
        <w:rPr>
          <w:szCs w:val="18"/>
        </w:rPr>
        <w:t>[</w:t>
      </w:r>
      <w:r w:rsidRPr="00EC43AA">
        <w:rPr>
          <w:szCs w:val="18"/>
        </w:rPr>
        <w:t>434</w:t>
      </w:r>
      <w:r>
        <w:rPr>
          <w:szCs w:val="18"/>
        </w:rPr>
        <w:t>]</w:t>
      </w:r>
    </w:p>
    <w:p w:rsidR="00AD690E" w:rsidRPr="00EC43AA" w:rsidRDefault="00AD690E" w:rsidP="00AD690E">
      <w:pPr>
        <w:spacing w:before="120" w:after="120"/>
        <w:jc w:val="both"/>
      </w:pPr>
      <w:r w:rsidRPr="00EC43AA">
        <w:rPr>
          <w:szCs w:val="22"/>
        </w:rPr>
        <w:t>Il ajoutait :</w:t>
      </w:r>
    </w:p>
    <w:p w:rsidR="00AD690E" w:rsidRDefault="00AD690E" w:rsidP="00AD690E">
      <w:pPr>
        <w:pStyle w:val="Grillecouleur-Accent1"/>
      </w:pPr>
    </w:p>
    <w:p w:rsidR="00AD690E" w:rsidRDefault="00AD690E" w:rsidP="00AD690E">
      <w:pPr>
        <w:pStyle w:val="Grillecouleur-Accent1"/>
      </w:pPr>
      <w:r w:rsidRPr="001E7810">
        <w:t>Il est d'une importance capitale que l'artiste ne soit pas écrasé par l'i</w:t>
      </w:r>
      <w:r w:rsidRPr="001E7810">
        <w:t>n</w:t>
      </w:r>
      <w:r w:rsidRPr="001E7810">
        <w:t>dustrie à laquelle il appartient et que les artistes provenant de p</w:t>
      </w:r>
      <w:r w:rsidRPr="001E7810">
        <w:t>e</w:t>
      </w:r>
      <w:r w:rsidRPr="001E7810">
        <w:t>tits pays aient les mêmes chances que ceux provenant de grands pays [...] Voilà pourquoi il existe des pol</w:t>
      </w:r>
      <w:r w:rsidRPr="001E7810">
        <w:t>i</w:t>
      </w:r>
      <w:r w:rsidRPr="001E7810">
        <w:t>tiques portant sur le contenu canadien, dans l'édition et la distribution de livres ou de périodiques [...] pour pr</w:t>
      </w:r>
      <w:r w:rsidRPr="001E7810">
        <w:t>o</w:t>
      </w:r>
      <w:r w:rsidRPr="001E7810">
        <w:t>mouvoir la diffusion des films canadiens [...]. Ces politiques sont tout à fait esse</w:t>
      </w:r>
      <w:r w:rsidRPr="001E7810">
        <w:t>n</w:t>
      </w:r>
      <w:r w:rsidRPr="001E7810">
        <w:t>tielles. [...] nous nous rendons bien compte du fait que les artistes sont plus que des pions dans une industries qui fait de grosses a</w:t>
      </w:r>
      <w:r w:rsidRPr="001E7810">
        <w:t>f</w:t>
      </w:r>
      <w:r w:rsidRPr="001E7810">
        <w:t>faires [...] c'est le Canada qu'ils chantent [...] ce sont les sentiments canadiens qu'ils expr</w:t>
      </w:r>
      <w:r w:rsidRPr="001E7810">
        <w:t>i</w:t>
      </w:r>
      <w:r w:rsidRPr="001E7810">
        <w:t>ment. Voilà pourquoi ils méritent notre soutien</w:t>
      </w:r>
      <w:r>
        <w:t> </w:t>
      </w:r>
      <w:r w:rsidRPr="008315E2">
        <w:rPr>
          <w:rStyle w:val="Appelnotedebasdep"/>
          <w:szCs w:val="24"/>
        </w:rPr>
        <w:footnoteReference w:id="762"/>
      </w:r>
      <w:r w:rsidRPr="001E7810">
        <w:t>.</w:t>
      </w:r>
    </w:p>
    <w:p w:rsidR="00AD690E" w:rsidRDefault="00AD690E" w:rsidP="00AD690E">
      <w:pPr>
        <w:pStyle w:val="Grillecouleur-Accent1"/>
        <w:rPr>
          <w:szCs w:val="22"/>
        </w:rPr>
      </w:pPr>
    </w:p>
    <w:p w:rsidR="00AD690E" w:rsidRPr="00EC43AA" w:rsidRDefault="00AD690E" w:rsidP="00AD690E">
      <w:pPr>
        <w:jc w:val="both"/>
      </w:pPr>
      <w:r w:rsidRPr="00EC43AA">
        <w:rPr>
          <w:szCs w:val="22"/>
        </w:rPr>
        <w:t>Cette position du premier ministre du Canada résume bien ce que fut la politique culturelle des libéraux et elle illustre bien le mandat politique qui fut confié au Comité d'étude sur la politique culturelle fédérale en 1980 (Comité Appl</w:t>
      </w:r>
      <w:r w:rsidRPr="00EC43AA">
        <w:rPr>
          <w:szCs w:val="22"/>
        </w:rPr>
        <w:t>e</w:t>
      </w:r>
      <w:r w:rsidRPr="00EC43AA">
        <w:rPr>
          <w:szCs w:val="22"/>
        </w:rPr>
        <w:t>baum-Hébert).</w:t>
      </w:r>
    </w:p>
    <w:p w:rsidR="00AD690E" w:rsidRDefault="00AD690E" w:rsidP="00AD690E">
      <w:pPr>
        <w:spacing w:before="120" w:after="120"/>
        <w:jc w:val="both"/>
        <w:rPr>
          <w:szCs w:val="22"/>
        </w:rPr>
      </w:pPr>
    </w:p>
    <w:p w:rsidR="00AD690E" w:rsidRPr="00F16CAD" w:rsidRDefault="00AD690E" w:rsidP="00AD690E">
      <w:pPr>
        <w:pStyle w:val="a"/>
      </w:pPr>
      <w:r w:rsidRPr="00F16CAD">
        <w:t>g) L'échec de la politique culturelle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La politique culturelle des libéraux de Pierre Trudeau fut toujours organisée autour du principe de la canadianisation, de la place du c</w:t>
      </w:r>
      <w:r w:rsidRPr="00EC43AA">
        <w:rPr>
          <w:szCs w:val="22"/>
        </w:rPr>
        <w:t>a</w:t>
      </w:r>
      <w:r w:rsidRPr="00EC43AA">
        <w:rPr>
          <w:szCs w:val="22"/>
        </w:rPr>
        <w:t>pital canadien dans le marché domestique. Ma</w:t>
      </w:r>
      <w:r w:rsidRPr="00EC43AA">
        <w:rPr>
          <w:szCs w:val="22"/>
        </w:rPr>
        <w:t>l</w:t>
      </w:r>
      <w:r w:rsidRPr="00EC43AA">
        <w:rPr>
          <w:szCs w:val="22"/>
        </w:rPr>
        <w:t>gré que cette politique connut un certain succès en ayant pe</w:t>
      </w:r>
      <w:r w:rsidRPr="00EC43AA">
        <w:rPr>
          <w:szCs w:val="22"/>
        </w:rPr>
        <w:t>r</w:t>
      </w:r>
      <w:r w:rsidRPr="00EC43AA">
        <w:rPr>
          <w:szCs w:val="22"/>
        </w:rPr>
        <w:t>mis aux entreprises canadiennes de se tailler une place dans certains secteurs et d'en contrôler d'autres, elle s'avéra un échec parce qu'elle souffrit d'une application fréque</w:t>
      </w:r>
      <w:r w:rsidRPr="00EC43AA">
        <w:rPr>
          <w:szCs w:val="22"/>
        </w:rPr>
        <w:t>m</w:t>
      </w:r>
      <w:r w:rsidRPr="00EC43AA">
        <w:rPr>
          <w:szCs w:val="22"/>
        </w:rPr>
        <w:t>ment incoh</w:t>
      </w:r>
      <w:r w:rsidRPr="00EC43AA">
        <w:rPr>
          <w:szCs w:val="22"/>
        </w:rPr>
        <w:t>é</w:t>
      </w:r>
      <w:r w:rsidRPr="00EC43AA">
        <w:rPr>
          <w:szCs w:val="22"/>
        </w:rPr>
        <w:t>rente et qu'elle fut souvent hésitante et timorée, si ce n'est inexistante dans plusieurs secteurs, en plus de négliger le développ</w:t>
      </w:r>
      <w:r w:rsidRPr="00EC43AA">
        <w:rPr>
          <w:szCs w:val="22"/>
        </w:rPr>
        <w:t>e</w:t>
      </w:r>
      <w:r w:rsidRPr="00EC43AA">
        <w:rPr>
          <w:szCs w:val="22"/>
        </w:rPr>
        <w:t>ment de la pr</w:t>
      </w:r>
      <w:r w:rsidRPr="00EC43AA">
        <w:rPr>
          <w:szCs w:val="22"/>
        </w:rPr>
        <w:t>o</w:t>
      </w:r>
      <w:r w:rsidRPr="00EC43AA">
        <w:rPr>
          <w:szCs w:val="22"/>
        </w:rPr>
        <w:t>duction.</w:t>
      </w:r>
    </w:p>
    <w:p w:rsidR="00AD690E" w:rsidRPr="00EC43AA" w:rsidRDefault="00AD690E" w:rsidP="00AD690E">
      <w:pPr>
        <w:spacing w:before="120" w:after="120"/>
        <w:jc w:val="both"/>
      </w:pPr>
      <w:r w:rsidRPr="00EC43AA">
        <w:rPr>
          <w:szCs w:val="22"/>
        </w:rPr>
        <w:t xml:space="preserve">Paul Audley dans </w:t>
      </w:r>
      <w:r>
        <w:rPr>
          <w:i/>
          <w:iCs/>
          <w:szCs w:val="22"/>
        </w:rPr>
        <w:t>Canada’</w:t>
      </w:r>
      <w:r w:rsidRPr="00EC43AA">
        <w:rPr>
          <w:i/>
          <w:iCs/>
          <w:szCs w:val="22"/>
        </w:rPr>
        <w:t>s Cultural</w:t>
      </w:r>
      <w:r>
        <w:rPr>
          <w:i/>
          <w:iCs/>
          <w:szCs w:val="22"/>
        </w:rPr>
        <w:t xml:space="preserve"> </w:t>
      </w:r>
      <w:r w:rsidRPr="00EC43AA">
        <w:rPr>
          <w:i/>
          <w:iCs/>
          <w:szCs w:val="22"/>
        </w:rPr>
        <w:t xml:space="preserve">Industries </w:t>
      </w:r>
      <w:r w:rsidRPr="00EC43AA">
        <w:rPr>
          <w:szCs w:val="22"/>
        </w:rPr>
        <w:t>souligne que la p</w:t>
      </w:r>
      <w:r w:rsidRPr="00EC43AA">
        <w:rPr>
          <w:szCs w:val="22"/>
        </w:rPr>
        <w:t>o</w:t>
      </w:r>
      <w:r w:rsidRPr="00EC43AA">
        <w:rPr>
          <w:szCs w:val="22"/>
        </w:rPr>
        <w:t>litique culturelle du gouvernement fédéral fut à plusieurs n</w:t>
      </w:r>
      <w:r w:rsidRPr="00EC43AA">
        <w:rPr>
          <w:szCs w:val="22"/>
        </w:rPr>
        <w:t>i</w:t>
      </w:r>
      <w:r w:rsidRPr="00EC43AA">
        <w:rPr>
          <w:szCs w:val="22"/>
        </w:rPr>
        <w:t>veaux et occasions très incohérente. Il affirme entre autres que l'absence d'agence fédérale responsable de l'industrie des quotidiens et des p</w:t>
      </w:r>
      <w:r w:rsidRPr="00EC43AA">
        <w:rPr>
          <w:szCs w:val="22"/>
        </w:rPr>
        <w:t>é</w:t>
      </w:r>
      <w:r w:rsidRPr="00EC43AA">
        <w:rPr>
          <w:szCs w:val="22"/>
        </w:rPr>
        <w:t>riodiques est la cause de la défai</w:t>
      </w:r>
      <w:r w:rsidRPr="00EC43AA">
        <w:rPr>
          <w:szCs w:val="22"/>
        </w:rPr>
        <w:t>l</w:t>
      </w:r>
      <w:r w:rsidRPr="00EC43AA">
        <w:rPr>
          <w:szCs w:val="22"/>
        </w:rPr>
        <w:t>lance du gouvernement à mettre en application les recomma</w:t>
      </w:r>
      <w:r w:rsidRPr="00EC43AA">
        <w:rPr>
          <w:szCs w:val="22"/>
        </w:rPr>
        <w:t>n</w:t>
      </w:r>
      <w:r w:rsidRPr="00EC43AA">
        <w:rPr>
          <w:szCs w:val="22"/>
        </w:rPr>
        <w:t>dations du Comité Davey ; que l'action de l'Agence d'examen de l'investissement étranger fut souvent contradi</w:t>
      </w:r>
      <w:r w:rsidRPr="00EC43AA">
        <w:rPr>
          <w:szCs w:val="22"/>
        </w:rPr>
        <w:t>c</w:t>
      </w:r>
      <w:r w:rsidRPr="00EC43AA">
        <w:rPr>
          <w:szCs w:val="22"/>
        </w:rPr>
        <w:t>toire, év</w:t>
      </w:r>
      <w:r w:rsidRPr="00EC43AA">
        <w:rPr>
          <w:szCs w:val="22"/>
        </w:rPr>
        <w:t>o</w:t>
      </w:r>
      <w:r w:rsidRPr="00EC43AA">
        <w:rPr>
          <w:szCs w:val="22"/>
        </w:rPr>
        <w:t>quant en exemple les cas du refus d'entériner l'acquisition de Lippincott par Harper &amp; Row et de l'acceptation, quelques mois plus tard, de la transaction par l</w:t>
      </w:r>
      <w:r w:rsidRPr="00EC43AA">
        <w:rPr>
          <w:szCs w:val="22"/>
        </w:rPr>
        <w:t>a</w:t>
      </w:r>
      <w:r w:rsidRPr="00EC43AA">
        <w:rPr>
          <w:szCs w:val="22"/>
        </w:rPr>
        <w:t>quelle Herald Company of Syracuse de l'État de New York prit le contrôle de Random House Canada ; et, que les d</w:t>
      </w:r>
      <w:r w:rsidRPr="00EC43AA">
        <w:rPr>
          <w:szCs w:val="22"/>
        </w:rPr>
        <w:t>é</w:t>
      </w:r>
      <w:r w:rsidRPr="00EC43AA">
        <w:rPr>
          <w:szCs w:val="22"/>
        </w:rPr>
        <w:t>cisions du CRTC furent elles</w:t>
      </w:r>
      <w:r>
        <w:rPr>
          <w:szCs w:val="22"/>
        </w:rPr>
        <w:t xml:space="preserve"> </w:t>
      </w:r>
      <w:r>
        <w:t xml:space="preserve">[435] </w:t>
      </w:r>
      <w:r w:rsidRPr="00EC43AA">
        <w:rPr>
          <w:szCs w:val="22"/>
        </w:rPr>
        <w:t>aussi contradictoires, me</w:t>
      </w:r>
      <w:r w:rsidRPr="00EC43AA">
        <w:rPr>
          <w:szCs w:val="22"/>
        </w:rPr>
        <w:t>n</w:t>
      </w:r>
      <w:r w:rsidRPr="00EC43AA">
        <w:rPr>
          <w:szCs w:val="22"/>
        </w:rPr>
        <w:t>tionnant à ce titre la permission do</w:t>
      </w:r>
      <w:r w:rsidRPr="00EC43AA">
        <w:rPr>
          <w:szCs w:val="22"/>
        </w:rPr>
        <w:t>n</w:t>
      </w:r>
      <w:r w:rsidRPr="00EC43AA">
        <w:rPr>
          <w:szCs w:val="22"/>
        </w:rPr>
        <w:t>née aux câblodistributeurs d'i</w:t>
      </w:r>
      <w:r w:rsidRPr="00EC43AA">
        <w:rPr>
          <w:szCs w:val="22"/>
        </w:rPr>
        <w:t>m</w:t>
      </w:r>
      <w:r w:rsidRPr="00EC43AA">
        <w:rPr>
          <w:szCs w:val="22"/>
        </w:rPr>
        <w:t>porter des émissions radioph</w:t>
      </w:r>
      <w:r w:rsidRPr="00EC43AA">
        <w:rPr>
          <w:szCs w:val="22"/>
        </w:rPr>
        <w:t>o</w:t>
      </w:r>
      <w:r w:rsidRPr="00EC43AA">
        <w:rPr>
          <w:szCs w:val="22"/>
        </w:rPr>
        <w:t>niques FM américaines alors que les radiodiffuseurs classiques étaient astreints à respecter des quotas de contenus canadiens</w:t>
      </w:r>
      <w:r>
        <w:rPr>
          <w:szCs w:val="22"/>
          <w:vertAlign w:val="superscript"/>
        </w:rPr>
        <w:t> </w:t>
      </w:r>
      <w:r>
        <w:rPr>
          <w:rStyle w:val="Appelnotedebasdep"/>
        </w:rPr>
        <w:footnoteReference w:id="763"/>
      </w:r>
      <w:r w:rsidRPr="00EC43AA">
        <w:rPr>
          <w:szCs w:val="22"/>
        </w:rPr>
        <w:t>. À ce triste pan</w:t>
      </w:r>
      <w:r w:rsidRPr="00EC43AA">
        <w:rPr>
          <w:szCs w:val="22"/>
        </w:rPr>
        <w:t>o</w:t>
      </w:r>
      <w:r w:rsidRPr="00EC43AA">
        <w:rPr>
          <w:szCs w:val="22"/>
        </w:rPr>
        <w:t>rama d'incohérences nous pourrions entre autres ajouter l'adoucissement en 1971 et 1972 de la politique des quotas de contenus canadiens pour la télédiffusion... pr</w:t>
      </w:r>
      <w:r w:rsidRPr="00EC43AA">
        <w:rPr>
          <w:szCs w:val="22"/>
        </w:rPr>
        <w:t>i</w:t>
      </w:r>
      <w:r w:rsidRPr="00EC43AA">
        <w:rPr>
          <w:szCs w:val="22"/>
        </w:rPr>
        <w:t>vée.</w:t>
      </w:r>
    </w:p>
    <w:p w:rsidR="00AD690E" w:rsidRPr="00EC43AA" w:rsidRDefault="00AD690E" w:rsidP="00AD690E">
      <w:pPr>
        <w:spacing w:before="120" w:after="120"/>
        <w:jc w:val="both"/>
      </w:pPr>
      <w:r w:rsidRPr="00EC43AA">
        <w:rPr>
          <w:szCs w:val="22"/>
        </w:rPr>
        <w:t>L'application plus ou moins cohérente de la politique de canadian</w:t>
      </w:r>
      <w:r w:rsidRPr="00EC43AA">
        <w:rPr>
          <w:szCs w:val="22"/>
        </w:rPr>
        <w:t>i</w:t>
      </w:r>
      <w:r w:rsidRPr="00EC43AA">
        <w:rPr>
          <w:szCs w:val="22"/>
        </w:rPr>
        <w:t>sation, les hésitations du gouvernement avant d'intervenir ou de légif</w:t>
      </w:r>
      <w:r w:rsidRPr="00EC43AA">
        <w:rPr>
          <w:szCs w:val="22"/>
        </w:rPr>
        <w:t>é</w:t>
      </w:r>
      <w:r w:rsidRPr="00EC43AA">
        <w:rPr>
          <w:szCs w:val="22"/>
        </w:rPr>
        <w:t>rer et son inaction dans certains secteurs sont dues aux pressions exe</w:t>
      </w:r>
      <w:r w:rsidRPr="00EC43AA">
        <w:rPr>
          <w:szCs w:val="22"/>
        </w:rPr>
        <w:t>r</w:t>
      </w:r>
      <w:r w:rsidRPr="00EC43AA">
        <w:rPr>
          <w:szCs w:val="22"/>
        </w:rPr>
        <w:t>cées par des forces autant internes qu'externes qui s'opposent à la c</w:t>
      </w:r>
      <w:r w:rsidRPr="00EC43AA">
        <w:rPr>
          <w:szCs w:val="22"/>
        </w:rPr>
        <w:t>a</w:t>
      </w:r>
      <w:r w:rsidRPr="00EC43AA">
        <w:rPr>
          <w:szCs w:val="22"/>
        </w:rPr>
        <w:t>nadianisation et aux reco</w:t>
      </w:r>
      <w:r w:rsidRPr="00EC43AA">
        <w:rPr>
          <w:szCs w:val="22"/>
        </w:rPr>
        <w:t>m</w:t>
      </w:r>
      <w:r w:rsidRPr="00EC43AA">
        <w:rPr>
          <w:szCs w:val="22"/>
        </w:rPr>
        <w:t>mandations des commissions d'étude ayant porté sur des questions culturelles. Dans le clan des opposants on r</w:t>
      </w:r>
      <w:r w:rsidRPr="00EC43AA">
        <w:rPr>
          <w:szCs w:val="22"/>
        </w:rPr>
        <w:t>e</w:t>
      </w:r>
      <w:r w:rsidRPr="00EC43AA">
        <w:rPr>
          <w:szCs w:val="22"/>
        </w:rPr>
        <w:t>trouve donc des entreprises étrangères, surtout américaines, exportant au Canada leurs marchandises culturelles et des entreprises canadie</w:t>
      </w:r>
      <w:r w:rsidRPr="00EC43AA">
        <w:rPr>
          <w:szCs w:val="22"/>
        </w:rPr>
        <w:t>n</w:t>
      </w:r>
      <w:r w:rsidRPr="00EC43AA">
        <w:rPr>
          <w:szCs w:val="22"/>
        </w:rPr>
        <w:t>nes et les filiales des entr</w:t>
      </w:r>
      <w:r w:rsidRPr="00EC43AA">
        <w:rPr>
          <w:szCs w:val="22"/>
        </w:rPr>
        <w:t>e</w:t>
      </w:r>
      <w:r w:rsidRPr="00EC43AA">
        <w:rPr>
          <w:szCs w:val="22"/>
        </w:rPr>
        <w:t>prises étrangères qui distribuent et vendent au détail ces marchandises. La composition de ce bloc d'opposants varie to</w:t>
      </w:r>
      <w:r w:rsidRPr="00EC43AA">
        <w:rPr>
          <w:szCs w:val="22"/>
        </w:rPr>
        <w:t>u</w:t>
      </w:r>
      <w:r w:rsidRPr="00EC43AA">
        <w:rPr>
          <w:szCs w:val="22"/>
        </w:rPr>
        <w:t>tefois selon les sujets touchés par les commissions et lois. Ainsi, lorsqu'il est question de s'appr</w:t>
      </w:r>
      <w:r w:rsidRPr="00EC43AA">
        <w:rPr>
          <w:szCs w:val="22"/>
        </w:rPr>
        <w:t>o</w:t>
      </w:r>
      <w:r w:rsidRPr="00EC43AA">
        <w:rPr>
          <w:szCs w:val="22"/>
        </w:rPr>
        <w:t>prier une part plus grande des revenus de publicité, les radio et tél</w:t>
      </w:r>
      <w:r w:rsidRPr="00EC43AA">
        <w:rPr>
          <w:szCs w:val="22"/>
        </w:rPr>
        <w:t>é</w:t>
      </w:r>
      <w:r w:rsidRPr="00EC43AA">
        <w:rPr>
          <w:szCs w:val="22"/>
        </w:rPr>
        <w:t>diffuseurs privés canadiens sont dans le clan appuyant les pol</w:t>
      </w:r>
      <w:r w:rsidRPr="00EC43AA">
        <w:rPr>
          <w:szCs w:val="22"/>
        </w:rPr>
        <w:t>i</w:t>
      </w:r>
      <w:r w:rsidRPr="00EC43AA">
        <w:rPr>
          <w:szCs w:val="22"/>
        </w:rPr>
        <w:t>tiques de canadianisation ; cependant, lorsqu'il est question de quotas de contenus canadiens, les mêmes int</w:t>
      </w:r>
      <w:r w:rsidRPr="00EC43AA">
        <w:rPr>
          <w:szCs w:val="22"/>
        </w:rPr>
        <w:t>é</w:t>
      </w:r>
      <w:r w:rsidRPr="00EC43AA">
        <w:rPr>
          <w:szCs w:val="22"/>
        </w:rPr>
        <w:t>rêts canadiens passent dans le clan des opposants parce que les pr</w:t>
      </w:r>
      <w:r w:rsidRPr="00EC43AA">
        <w:rPr>
          <w:szCs w:val="22"/>
        </w:rPr>
        <w:t>o</w:t>
      </w:r>
      <w:r w:rsidRPr="00EC43AA">
        <w:rPr>
          <w:szCs w:val="22"/>
        </w:rPr>
        <w:t>duits étrangers leur reviennent moins chers. Cette mouvance ajoute donc aux hésitations et incohérences des interventions pol</w:t>
      </w:r>
      <w:r w:rsidRPr="00EC43AA">
        <w:rPr>
          <w:szCs w:val="22"/>
        </w:rPr>
        <w:t>i</w:t>
      </w:r>
      <w:r w:rsidRPr="00EC43AA">
        <w:rPr>
          <w:szCs w:val="22"/>
        </w:rPr>
        <w:t>tiques.</w:t>
      </w:r>
    </w:p>
    <w:p w:rsidR="00AD690E" w:rsidRPr="00EC43AA" w:rsidRDefault="00AD690E" w:rsidP="00AD690E">
      <w:pPr>
        <w:spacing w:before="120" w:after="120"/>
        <w:jc w:val="both"/>
      </w:pPr>
      <w:r w:rsidRPr="00EC43AA">
        <w:rPr>
          <w:szCs w:val="22"/>
        </w:rPr>
        <w:t>Ces pressions contre la politique de canadianisation furent partic</w:t>
      </w:r>
      <w:r w:rsidRPr="00EC43AA">
        <w:rPr>
          <w:szCs w:val="22"/>
        </w:rPr>
        <w:t>u</w:t>
      </w:r>
      <w:r w:rsidRPr="00EC43AA">
        <w:rPr>
          <w:szCs w:val="22"/>
        </w:rPr>
        <w:t>lièrement virulentes dans l'affaire de la loi C-58. Cette loi, adoptée le 16 juillet 1976, amendait l'article 19 de la loi d'impôt, retirant ainsi aux entreprises le droit de déduire les coûts de la publicité destinée au public canadien mais faite dans les médias étrangers, surtout amér</w:t>
      </w:r>
      <w:r w:rsidRPr="00EC43AA">
        <w:rPr>
          <w:szCs w:val="22"/>
        </w:rPr>
        <w:t>i</w:t>
      </w:r>
      <w:r w:rsidRPr="00EC43AA">
        <w:rPr>
          <w:szCs w:val="22"/>
        </w:rPr>
        <w:t>cains. Le but de cette politique était d'orienter les revenus de la publ</w:t>
      </w:r>
      <w:r w:rsidRPr="00EC43AA">
        <w:rPr>
          <w:szCs w:val="22"/>
        </w:rPr>
        <w:t>i</w:t>
      </w:r>
      <w:r w:rsidRPr="00EC43AA">
        <w:rPr>
          <w:szCs w:val="22"/>
        </w:rPr>
        <w:t>cité vers les p</w:t>
      </w:r>
      <w:r w:rsidRPr="00EC43AA">
        <w:rPr>
          <w:szCs w:val="22"/>
        </w:rPr>
        <w:t>é</w:t>
      </w:r>
      <w:r w:rsidRPr="00EC43AA">
        <w:rPr>
          <w:szCs w:val="22"/>
        </w:rPr>
        <w:t>riodiques et stations de diffusion canadiennes plutôt qu'amér</w:t>
      </w:r>
      <w:r w:rsidRPr="00EC43AA">
        <w:rPr>
          <w:szCs w:val="22"/>
        </w:rPr>
        <w:t>i</w:t>
      </w:r>
      <w:r w:rsidRPr="00EC43AA">
        <w:rPr>
          <w:szCs w:val="22"/>
        </w:rPr>
        <w:t>caines. Le projet de loi souleva de vives protestations de la part des entreprises américaines concernées et ayant un « lobby » au Congrès et plusieurs pressions diplomatiques furent exe</w:t>
      </w:r>
      <w:r w:rsidRPr="00EC43AA">
        <w:rPr>
          <w:szCs w:val="22"/>
        </w:rPr>
        <w:t>r</w:t>
      </w:r>
      <w:r w:rsidRPr="00EC43AA">
        <w:rPr>
          <w:szCs w:val="22"/>
        </w:rPr>
        <w:t>cées par Washington à son s</w:t>
      </w:r>
      <w:r w:rsidRPr="00EC43AA">
        <w:rPr>
          <w:szCs w:val="22"/>
        </w:rPr>
        <w:t>u</w:t>
      </w:r>
      <w:r w:rsidRPr="00EC43AA">
        <w:rPr>
          <w:szCs w:val="22"/>
        </w:rPr>
        <w:t>jet</w:t>
      </w:r>
      <w:r>
        <w:rPr>
          <w:szCs w:val="22"/>
        </w:rPr>
        <w:t> </w:t>
      </w:r>
      <w:r>
        <w:rPr>
          <w:rStyle w:val="Appelnotedebasdep"/>
        </w:rPr>
        <w:footnoteReference w:id="764"/>
      </w:r>
      <w:r w:rsidRPr="00EC43AA">
        <w:rPr>
          <w:szCs w:val="22"/>
        </w:rPr>
        <w:t>.</w:t>
      </w:r>
    </w:p>
    <w:p w:rsidR="00AD690E" w:rsidRPr="00EC43AA" w:rsidRDefault="00AD690E" w:rsidP="00AD690E">
      <w:pPr>
        <w:spacing w:before="120" w:after="120"/>
        <w:jc w:val="both"/>
      </w:pPr>
      <w:r w:rsidRPr="00EC43AA">
        <w:rPr>
          <w:szCs w:val="22"/>
        </w:rPr>
        <w:t>Ces pressions firent que la politique culturelle des libéraux fut constamment soumise à d'importants tiraillements et eut l'a</w:t>
      </w:r>
      <w:r w:rsidRPr="00EC43AA">
        <w:rPr>
          <w:szCs w:val="22"/>
        </w:rPr>
        <w:t>l</w:t>
      </w:r>
      <w:r w:rsidRPr="00EC43AA">
        <w:rPr>
          <w:szCs w:val="22"/>
        </w:rPr>
        <w:t>lure d'une double politique, d'une politique allant souvent dans des directions opposés. Ces pressions furent donc un fa</w:t>
      </w:r>
      <w:r w:rsidRPr="00EC43AA">
        <w:rPr>
          <w:szCs w:val="22"/>
        </w:rPr>
        <w:t>c</w:t>
      </w:r>
      <w:r w:rsidRPr="00EC43AA">
        <w:rPr>
          <w:szCs w:val="22"/>
        </w:rPr>
        <w:t>teur important de l'insuccès de la politique culturelle des lib</w:t>
      </w:r>
      <w:r w:rsidRPr="00EC43AA">
        <w:rPr>
          <w:szCs w:val="22"/>
        </w:rPr>
        <w:t>é</w:t>
      </w:r>
      <w:r w:rsidRPr="00EC43AA">
        <w:rPr>
          <w:szCs w:val="22"/>
        </w:rPr>
        <w:t>raux. Dans les faits, cette politique se borna à assurer la canadianisation de la propriété des appareils de di</w:t>
      </w:r>
      <w:r w:rsidRPr="00EC43AA">
        <w:rPr>
          <w:szCs w:val="22"/>
        </w:rPr>
        <w:t>f</w:t>
      </w:r>
      <w:r w:rsidRPr="00EC43AA">
        <w:rPr>
          <w:szCs w:val="22"/>
        </w:rPr>
        <w:t>fusion en négligeant le contenu. Il n'est donc pas étonnant de const</w:t>
      </w:r>
      <w:r w:rsidRPr="00EC43AA">
        <w:rPr>
          <w:szCs w:val="22"/>
        </w:rPr>
        <w:t>a</w:t>
      </w:r>
      <w:r w:rsidRPr="00EC43AA">
        <w:rPr>
          <w:szCs w:val="22"/>
        </w:rPr>
        <w:t>ter, après plus de 20 ans d'une telle pol</w:t>
      </w:r>
      <w:r w:rsidRPr="00EC43AA">
        <w:rPr>
          <w:szCs w:val="22"/>
        </w:rPr>
        <w:t>i</w:t>
      </w:r>
      <w:r w:rsidRPr="00EC43AA">
        <w:rPr>
          <w:szCs w:val="22"/>
        </w:rPr>
        <w:t>tique, que la</w:t>
      </w:r>
      <w:r>
        <w:rPr>
          <w:szCs w:val="22"/>
        </w:rPr>
        <w:t xml:space="preserve"> </w:t>
      </w:r>
      <w:r>
        <w:rPr>
          <w:szCs w:val="18"/>
        </w:rPr>
        <w:t>[</w:t>
      </w:r>
      <w:r w:rsidRPr="00EC43AA">
        <w:rPr>
          <w:szCs w:val="18"/>
        </w:rPr>
        <w:t>436</w:t>
      </w:r>
      <w:r>
        <w:rPr>
          <w:szCs w:val="18"/>
        </w:rPr>
        <w:t xml:space="preserve">] </w:t>
      </w:r>
      <w:r w:rsidRPr="00EC43AA">
        <w:rPr>
          <w:szCs w:val="22"/>
        </w:rPr>
        <w:t>dépendance du Canada face aux contenus étrangers, surtout amér</w:t>
      </w:r>
      <w:r w:rsidRPr="00EC43AA">
        <w:rPr>
          <w:szCs w:val="22"/>
        </w:rPr>
        <w:t>i</w:t>
      </w:r>
      <w:r w:rsidRPr="00EC43AA">
        <w:rPr>
          <w:szCs w:val="22"/>
        </w:rPr>
        <w:t>cains, est loin d'avoir diminué, au contraire</w:t>
      </w:r>
      <w:r>
        <w:rPr>
          <w:szCs w:val="22"/>
          <w:vertAlign w:val="superscript"/>
        </w:rPr>
        <w:t> </w:t>
      </w:r>
      <w:r>
        <w:rPr>
          <w:rStyle w:val="Appelnotedebasdep"/>
        </w:rPr>
        <w:footnoteReference w:id="765"/>
      </w:r>
      <w:r w:rsidRPr="00EC43AA">
        <w:rPr>
          <w:szCs w:val="22"/>
        </w:rPr>
        <w:t>, et que les artistes ont relativement peu profité de la politique de canadi</w:t>
      </w:r>
      <w:r w:rsidRPr="00EC43AA">
        <w:rPr>
          <w:szCs w:val="22"/>
        </w:rPr>
        <w:t>a</w:t>
      </w:r>
      <w:r w:rsidRPr="00EC43AA">
        <w:rPr>
          <w:szCs w:val="22"/>
        </w:rPr>
        <w:t>nisation</w:t>
      </w:r>
      <w:r>
        <w:rPr>
          <w:szCs w:val="22"/>
          <w:vertAlign w:val="superscript"/>
        </w:rPr>
        <w:t> </w:t>
      </w:r>
      <w:r>
        <w:rPr>
          <w:rStyle w:val="Appelnotedebasdep"/>
        </w:rPr>
        <w:footnoteReference w:id="766"/>
      </w:r>
      <w:r w:rsidRPr="00EC43AA">
        <w:rPr>
          <w:szCs w:val="22"/>
        </w:rPr>
        <w:t>.</w:t>
      </w:r>
    </w:p>
    <w:p w:rsidR="00AD690E" w:rsidRPr="00EC43AA" w:rsidRDefault="00AD690E" w:rsidP="00AD690E">
      <w:pPr>
        <w:spacing w:before="120" w:after="120"/>
        <w:jc w:val="both"/>
      </w:pPr>
      <w:r w:rsidRPr="00EC43AA">
        <w:rPr>
          <w:szCs w:val="22"/>
        </w:rPr>
        <w:t>Bref, de la politique culturelle des libéraux résulta la mise en place d'un ensemble important d'appareils de diffusion et de distribution et d'administration du développement culturel. Mais, cette belle et grosse machine demeura sans âme. Au cours de la seconde période de l'ère Trudeau, le développement culturel et artistique fut de plus en plus pensé en termes d'industries culturelles et l'action du gouvernement et des app</w:t>
      </w:r>
      <w:r w:rsidRPr="00EC43AA">
        <w:rPr>
          <w:szCs w:val="22"/>
        </w:rPr>
        <w:t>a</w:t>
      </w:r>
      <w:r w:rsidRPr="00EC43AA">
        <w:rPr>
          <w:szCs w:val="22"/>
        </w:rPr>
        <w:t>reils mis en place contribua surtout à ouvrir et développer le marché. Selon cette vision du développ</w:t>
      </w:r>
      <w:r w:rsidRPr="00EC43AA">
        <w:rPr>
          <w:szCs w:val="22"/>
        </w:rPr>
        <w:t>e</w:t>
      </w:r>
      <w:r w:rsidRPr="00EC43AA">
        <w:rPr>
          <w:szCs w:val="22"/>
        </w:rPr>
        <w:t>ment culturel, les arts et les artistes ne sont que des rouages néce</w:t>
      </w:r>
      <w:r w:rsidRPr="00EC43AA">
        <w:rPr>
          <w:szCs w:val="22"/>
        </w:rPr>
        <w:t>s</w:t>
      </w:r>
      <w:r w:rsidRPr="00EC43AA">
        <w:rPr>
          <w:szCs w:val="22"/>
        </w:rPr>
        <w:t>saires à l'industrie.</w:t>
      </w:r>
    </w:p>
    <w:p w:rsidR="00AD690E" w:rsidRDefault="00AD690E" w:rsidP="00AD690E">
      <w:pPr>
        <w:spacing w:before="120" w:after="120"/>
        <w:jc w:val="both"/>
        <w:rPr>
          <w:szCs w:val="22"/>
        </w:rPr>
      </w:pPr>
    </w:p>
    <w:p w:rsidR="00AD690E" w:rsidRPr="00F16CAD" w:rsidRDefault="00AD690E" w:rsidP="00AD690E">
      <w:pPr>
        <w:pStyle w:val="a"/>
      </w:pPr>
      <w:r w:rsidRPr="00F16CAD">
        <w:t xml:space="preserve">h) Quand la politique culturelle </w:t>
      </w:r>
      <w:r>
        <w:br/>
      </w:r>
      <w:r w:rsidRPr="00F16CAD">
        <w:t>se réduit à une politique indu</w:t>
      </w:r>
      <w:r w:rsidRPr="00F16CAD">
        <w:t>s</w:t>
      </w:r>
      <w:r w:rsidRPr="00F16CAD">
        <w:t>trielle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À la fin des années 1970, les libéraux reconnurent qu'un chang</w:t>
      </w:r>
      <w:r w:rsidRPr="00EC43AA">
        <w:rPr>
          <w:szCs w:val="22"/>
        </w:rPr>
        <w:t>e</w:t>
      </w:r>
      <w:r w:rsidRPr="00EC43AA">
        <w:rPr>
          <w:szCs w:val="22"/>
        </w:rPr>
        <w:t>ment de politique était nécessaire. Cette « nouvelle » vision du dév</w:t>
      </w:r>
      <w:r w:rsidRPr="00EC43AA">
        <w:rPr>
          <w:szCs w:val="22"/>
        </w:rPr>
        <w:t>e</w:t>
      </w:r>
      <w:r w:rsidRPr="00EC43AA">
        <w:rPr>
          <w:szCs w:val="22"/>
        </w:rPr>
        <w:t>loppement culturel fut entièrement tournée vers l'économique. La cr</w:t>
      </w:r>
      <w:r w:rsidRPr="00EC43AA">
        <w:rPr>
          <w:szCs w:val="22"/>
        </w:rPr>
        <w:t>i</w:t>
      </w:r>
      <w:r w:rsidRPr="00EC43AA">
        <w:rPr>
          <w:szCs w:val="22"/>
        </w:rPr>
        <w:t>se et surtout le fait que l'autre déterminant de la politique culturelle fédérale, la question du Québec, devint secondaire avec l'échec réf</w:t>
      </w:r>
      <w:r w:rsidRPr="00EC43AA">
        <w:rPr>
          <w:szCs w:val="22"/>
        </w:rPr>
        <w:t>é</w:t>
      </w:r>
      <w:r w:rsidRPr="00EC43AA">
        <w:rPr>
          <w:szCs w:val="22"/>
        </w:rPr>
        <w:t>rendaire, permirent cette consécr</w:t>
      </w:r>
      <w:r w:rsidRPr="00EC43AA">
        <w:rPr>
          <w:szCs w:val="22"/>
        </w:rPr>
        <w:t>a</w:t>
      </w:r>
      <w:r w:rsidRPr="00EC43AA">
        <w:rPr>
          <w:szCs w:val="22"/>
        </w:rPr>
        <w:t>tion de la primauté de la rationalité économique dans le développement cult</w:t>
      </w:r>
      <w:r w:rsidRPr="00EC43AA">
        <w:rPr>
          <w:szCs w:val="22"/>
        </w:rPr>
        <w:t>u</w:t>
      </w:r>
      <w:r w:rsidRPr="00EC43AA">
        <w:rPr>
          <w:szCs w:val="22"/>
        </w:rPr>
        <w:t>rel.</w:t>
      </w:r>
    </w:p>
    <w:p w:rsidR="00AD690E" w:rsidRPr="00EC43AA" w:rsidRDefault="00AD690E" w:rsidP="00AD690E">
      <w:pPr>
        <w:spacing w:before="120" w:after="120"/>
        <w:jc w:val="both"/>
      </w:pPr>
      <w:r w:rsidRPr="00EC43AA">
        <w:rPr>
          <w:szCs w:val="22"/>
        </w:rPr>
        <w:t>C'est le ministère des Communications du Canada (MCC) qui fut l'acteur principal de ce changement. Dès sa création, ce ministère a</w:t>
      </w:r>
      <w:r w:rsidRPr="00EC43AA">
        <w:rPr>
          <w:szCs w:val="22"/>
        </w:rPr>
        <w:t>c</w:t>
      </w:r>
      <w:r w:rsidRPr="00EC43AA">
        <w:rPr>
          <w:szCs w:val="22"/>
        </w:rPr>
        <w:t>quit beaucoup d'importance surtout à cause de l'u</w:t>
      </w:r>
      <w:r w:rsidRPr="00EC43AA">
        <w:rPr>
          <w:szCs w:val="22"/>
        </w:rPr>
        <w:t>r</w:t>
      </w:r>
      <w:r w:rsidRPr="00EC43AA">
        <w:rPr>
          <w:szCs w:val="22"/>
        </w:rPr>
        <w:t>gence de la maîtrise des nouvelles technologies d'information et de communication. Et sa croissance correspondit au développement et à l'introdu</w:t>
      </w:r>
      <w:r w:rsidRPr="00EC43AA">
        <w:rPr>
          <w:szCs w:val="22"/>
        </w:rPr>
        <w:t>c</w:t>
      </w:r>
      <w:r w:rsidRPr="00EC43AA">
        <w:rPr>
          <w:szCs w:val="22"/>
        </w:rPr>
        <w:t>tion de ces technologies. De 1969 à 1983, les effectifs du MCC passèrent de 326 employés à 2</w:t>
      </w:r>
      <w:r>
        <w:rPr>
          <w:szCs w:val="22"/>
        </w:rPr>
        <w:t> </w:t>
      </w:r>
      <w:r w:rsidRPr="00EC43AA">
        <w:rPr>
          <w:szCs w:val="22"/>
        </w:rPr>
        <w:t>300 alors que son budget croissait de 30,3 millions de dollars à 480,4 millions</w:t>
      </w:r>
      <w:r>
        <w:rPr>
          <w:szCs w:val="22"/>
          <w:vertAlign w:val="superscript"/>
        </w:rPr>
        <w:t> </w:t>
      </w:r>
      <w:r>
        <w:rPr>
          <w:rStyle w:val="Appelnotedebasdep"/>
        </w:rPr>
        <w:footnoteReference w:id="767"/>
      </w:r>
      <w:r w:rsidRPr="00EC43AA">
        <w:rPr>
          <w:szCs w:val="22"/>
        </w:rPr>
        <w:t>. Durant la seconde période de l'ère Tr</w:t>
      </w:r>
      <w:r w:rsidRPr="00EC43AA">
        <w:rPr>
          <w:szCs w:val="22"/>
        </w:rPr>
        <w:t>u</w:t>
      </w:r>
      <w:r w:rsidRPr="00EC43AA">
        <w:rPr>
          <w:szCs w:val="22"/>
        </w:rPr>
        <w:t>deau, le MCC investit beaucoup d'énergies et d'argent dans le dév</w:t>
      </w:r>
      <w:r w:rsidRPr="00EC43AA">
        <w:rPr>
          <w:szCs w:val="22"/>
        </w:rPr>
        <w:t>e</w:t>
      </w:r>
      <w:r w:rsidRPr="00EC43AA">
        <w:rPr>
          <w:szCs w:val="22"/>
        </w:rPr>
        <w:t>loppement des nouvelles technologies, ce qui permit entre autres de mettre au point la technologie TELIDON. La reco</w:t>
      </w:r>
      <w:r w:rsidRPr="00EC43AA">
        <w:rPr>
          <w:szCs w:val="22"/>
        </w:rPr>
        <w:t>n</w:t>
      </w:r>
      <w:r w:rsidRPr="00EC43AA">
        <w:rPr>
          <w:szCs w:val="22"/>
        </w:rPr>
        <w:t>naissance de la primauté du point de vue industriel dans la politique culturelle fut p</w:t>
      </w:r>
      <w:r w:rsidRPr="00EC43AA">
        <w:rPr>
          <w:szCs w:val="22"/>
        </w:rPr>
        <w:t>a</w:t>
      </w:r>
      <w:r w:rsidRPr="00EC43AA">
        <w:rPr>
          <w:szCs w:val="22"/>
        </w:rPr>
        <w:t>rallèle à l'affirmation de ce ministère comme organe central de la r</w:t>
      </w:r>
      <w:r w:rsidRPr="00EC43AA">
        <w:rPr>
          <w:szCs w:val="22"/>
        </w:rPr>
        <w:t>é</w:t>
      </w:r>
      <w:r w:rsidRPr="00EC43AA">
        <w:rPr>
          <w:szCs w:val="22"/>
        </w:rPr>
        <w:t>gulation sociale et fut consacrée en 1980, lorsque la responsabilité p</w:t>
      </w:r>
      <w:r w:rsidRPr="00EC43AA">
        <w:rPr>
          <w:szCs w:val="22"/>
        </w:rPr>
        <w:t>o</w:t>
      </w:r>
      <w:r w:rsidRPr="00EC43AA">
        <w:rPr>
          <w:szCs w:val="22"/>
        </w:rPr>
        <w:t>litique des organismes culturels fut transférée du Secrétariat d'État au ministère des Communic</w:t>
      </w:r>
      <w:r w:rsidRPr="00EC43AA">
        <w:rPr>
          <w:szCs w:val="22"/>
        </w:rPr>
        <w:t>a</w:t>
      </w:r>
      <w:r w:rsidRPr="00EC43AA">
        <w:rPr>
          <w:szCs w:val="22"/>
        </w:rPr>
        <w:t>tions.</w:t>
      </w:r>
    </w:p>
    <w:p w:rsidR="00AD690E" w:rsidRDefault="00AD690E" w:rsidP="00AD690E">
      <w:pPr>
        <w:spacing w:before="120" w:after="120"/>
        <w:jc w:val="both"/>
      </w:pPr>
      <w:r>
        <w:t>[437]</w:t>
      </w:r>
    </w:p>
    <w:p w:rsidR="00AD690E" w:rsidRPr="00EC43AA" w:rsidRDefault="00AD690E" w:rsidP="00AD690E">
      <w:pPr>
        <w:spacing w:before="120" w:after="120"/>
        <w:jc w:val="both"/>
      </w:pPr>
      <w:r w:rsidRPr="00EC43AA">
        <w:rPr>
          <w:szCs w:val="22"/>
        </w:rPr>
        <w:t>C'est également en 1980 que le ministre des Communic</w:t>
      </w:r>
      <w:r w:rsidRPr="00EC43AA">
        <w:rPr>
          <w:szCs w:val="22"/>
        </w:rPr>
        <w:t>a</w:t>
      </w:r>
      <w:r w:rsidRPr="00EC43AA">
        <w:rPr>
          <w:szCs w:val="22"/>
        </w:rPr>
        <w:t>tions dans le nouveau gouvernement libéral succédant à l'intermède que fut le gouvernement conservateur de Joe Clark, nomma un comité d'étude de la politique culturelle fédérale (Applebaum Hébert). Ce dernier proposa d'axer la politique culturelle sur la privatisation et l'intern</w:t>
      </w:r>
      <w:r w:rsidRPr="00EC43AA">
        <w:rPr>
          <w:szCs w:val="22"/>
        </w:rPr>
        <w:t>a</w:t>
      </w:r>
      <w:r w:rsidRPr="00EC43AA">
        <w:rPr>
          <w:szCs w:val="22"/>
        </w:rPr>
        <w:t>tionalisation des indu</w:t>
      </w:r>
      <w:r w:rsidRPr="00EC43AA">
        <w:rPr>
          <w:szCs w:val="22"/>
        </w:rPr>
        <w:t>s</w:t>
      </w:r>
      <w:r w:rsidRPr="00EC43AA">
        <w:rPr>
          <w:szCs w:val="22"/>
        </w:rPr>
        <w:t>tries culturelles canadiennes, consacrant ainsi la tendance en éme</w:t>
      </w:r>
      <w:r w:rsidRPr="00EC43AA">
        <w:rPr>
          <w:szCs w:val="22"/>
        </w:rPr>
        <w:t>r</w:t>
      </w:r>
      <w:r w:rsidRPr="00EC43AA">
        <w:rPr>
          <w:szCs w:val="22"/>
        </w:rPr>
        <w:t>gence depuis 20 ans.</w:t>
      </w:r>
    </w:p>
    <w:p w:rsidR="00AD690E" w:rsidRPr="00EC43AA" w:rsidRDefault="00AD690E" w:rsidP="00AD690E">
      <w:pPr>
        <w:spacing w:before="120" w:after="120"/>
        <w:jc w:val="both"/>
      </w:pPr>
      <w:r w:rsidRPr="00EC43AA">
        <w:rPr>
          <w:szCs w:val="22"/>
        </w:rPr>
        <w:t>Au cours de cette seconde période, le Parti libéral du Canada con</w:t>
      </w:r>
      <w:r w:rsidRPr="00EC43AA">
        <w:rPr>
          <w:szCs w:val="22"/>
        </w:rPr>
        <w:t>s</w:t>
      </w:r>
      <w:r w:rsidRPr="00EC43AA">
        <w:rPr>
          <w:szCs w:val="22"/>
        </w:rPr>
        <w:t>titua donc le principal opérateur de la « marchandis</w:t>
      </w:r>
      <w:r w:rsidRPr="00EC43AA">
        <w:rPr>
          <w:szCs w:val="22"/>
        </w:rPr>
        <w:t>a</w:t>
      </w:r>
      <w:r w:rsidRPr="00EC43AA">
        <w:rPr>
          <w:szCs w:val="22"/>
        </w:rPr>
        <w:t>tion » des arts et de la culture en faisant perdre aux travailleurs culturels une part i</w:t>
      </w:r>
      <w:r w:rsidRPr="00EC43AA">
        <w:rPr>
          <w:szCs w:val="22"/>
        </w:rPr>
        <w:t>m</w:t>
      </w:r>
      <w:r w:rsidRPr="00EC43AA">
        <w:rPr>
          <w:szCs w:val="22"/>
        </w:rPr>
        <w:t>portante de leur autonomie et du contrôle des conditions objectives d'exercice de leur métier par les re</w:t>
      </w:r>
      <w:r w:rsidRPr="00EC43AA">
        <w:rPr>
          <w:szCs w:val="22"/>
        </w:rPr>
        <w:t>s</w:t>
      </w:r>
      <w:r w:rsidRPr="00EC43AA">
        <w:rPr>
          <w:szCs w:val="22"/>
        </w:rPr>
        <w:t>trictions budgétaires imposées aux organismes culturels et par l'accentuation du contrôle p</w:t>
      </w:r>
      <w:r w:rsidRPr="00EC43AA">
        <w:rPr>
          <w:szCs w:val="22"/>
        </w:rPr>
        <w:t>o</w:t>
      </w:r>
      <w:r w:rsidRPr="00EC43AA">
        <w:rPr>
          <w:szCs w:val="22"/>
        </w:rPr>
        <w:t>litique sur ces organismes. Ainsi, les interventions politiques de l'État canadien contribuèrent à ét</w:t>
      </w:r>
      <w:r w:rsidRPr="00EC43AA">
        <w:rPr>
          <w:szCs w:val="22"/>
        </w:rPr>
        <w:t>a</w:t>
      </w:r>
      <w:r w:rsidRPr="00EC43AA">
        <w:rPr>
          <w:szCs w:val="22"/>
        </w:rPr>
        <w:t>blir et consacrer le pouvoir des marchands et du capitalisme, dans le champ de la cu</w:t>
      </w:r>
      <w:r w:rsidRPr="00EC43AA">
        <w:rPr>
          <w:szCs w:val="22"/>
        </w:rPr>
        <w:t>l</w:t>
      </w:r>
      <w:r w:rsidRPr="00EC43AA">
        <w:rPr>
          <w:szCs w:val="22"/>
        </w:rPr>
        <w:t>ture.</w:t>
      </w:r>
    </w:p>
    <w:p w:rsidR="00AD690E" w:rsidRDefault="00AD690E" w:rsidP="00AD690E">
      <w:pPr>
        <w:spacing w:before="120" w:after="120"/>
        <w:jc w:val="both"/>
        <w:rPr>
          <w:szCs w:val="22"/>
        </w:rPr>
      </w:pPr>
    </w:p>
    <w:p w:rsidR="00AD690E" w:rsidRPr="00FF511E" w:rsidRDefault="00AD690E" w:rsidP="00AD690E">
      <w:pPr>
        <w:pStyle w:val="a"/>
      </w:pPr>
      <w:r w:rsidRPr="00FF511E">
        <w:t>i) De la marchandisation de la culture au libre-échange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Dans un contexte où la rec</w:t>
      </w:r>
      <w:r>
        <w:rPr>
          <w:szCs w:val="22"/>
        </w:rPr>
        <w:t>herche de la rentabilité « quel</w:t>
      </w:r>
      <w:r w:rsidRPr="00EC43AA">
        <w:rPr>
          <w:szCs w:val="22"/>
        </w:rPr>
        <w:t>qu'en-soit-le prix » et de la soumission aux contraintes internationales à l</w:t>
      </w:r>
      <w:r w:rsidRPr="00EC43AA">
        <w:rPr>
          <w:szCs w:val="22"/>
        </w:rPr>
        <w:t>a</w:t>
      </w:r>
      <w:r w:rsidRPr="00EC43AA">
        <w:rPr>
          <w:szCs w:val="22"/>
        </w:rPr>
        <w:t xml:space="preserve">quelle cette recherche menait, le </w:t>
      </w:r>
      <w:r w:rsidRPr="00EC43AA">
        <w:rPr>
          <w:i/>
          <w:iCs/>
          <w:szCs w:val="22"/>
        </w:rPr>
        <w:t xml:space="preserve">Rapport Applebaum-Hébert </w:t>
      </w:r>
      <w:r w:rsidRPr="00EC43AA">
        <w:rPr>
          <w:szCs w:val="22"/>
        </w:rPr>
        <w:t>const</w:t>
      </w:r>
      <w:r w:rsidRPr="00EC43AA">
        <w:rPr>
          <w:szCs w:val="22"/>
        </w:rPr>
        <w:t>i</w:t>
      </w:r>
      <w:r w:rsidRPr="00EC43AA">
        <w:rPr>
          <w:szCs w:val="22"/>
        </w:rPr>
        <w:t>tua, au début des années 1980, le guide politique de l'action des lib</w:t>
      </w:r>
      <w:r w:rsidRPr="00EC43AA">
        <w:rPr>
          <w:szCs w:val="22"/>
        </w:rPr>
        <w:t>é</w:t>
      </w:r>
      <w:r w:rsidRPr="00EC43AA">
        <w:rPr>
          <w:szCs w:val="22"/>
        </w:rPr>
        <w:t>raux dans le champ de la culture. Ceux-ci, après avoir constaté l'échec de leur politique de canadianisation au terme de la présence des contenus c</w:t>
      </w:r>
      <w:r w:rsidRPr="00EC43AA">
        <w:rPr>
          <w:szCs w:val="22"/>
        </w:rPr>
        <w:t>a</w:t>
      </w:r>
      <w:r w:rsidRPr="00EC43AA">
        <w:rPr>
          <w:szCs w:val="22"/>
        </w:rPr>
        <w:t>nadiens sur le marché domestique, voulurent mettre l'accent sur le d</w:t>
      </w:r>
      <w:r w:rsidRPr="00EC43AA">
        <w:rPr>
          <w:szCs w:val="22"/>
        </w:rPr>
        <w:t>é</w:t>
      </w:r>
      <w:r w:rsidRPr="00EC43AA">
        <w:rPr>
          <w:szCs w:val="22"/>
        </w:rPr>
        <w:t>veloppement d'un appar</w:t>
      </w:r>
      <w:r>
        <w:rPr>
          <w:szCs w:val="22"/>
        </w:rPr>
        <w:t>e</w:t>
      </w:r>
      <w:r w:rsidRPr="00EC43AA">
        <w:rPr>
          <w:szCs w:val="22"/>
        </w:rPr>
        <w:t>il « canadien » de production de contenus can</w:t>
      </w:r>
      <w:r w:rsidRPr="00EC43AA">
        <w:rPr>
          <w:szCs w:val="22"/>
        </w:rPr>
        <w:t>a</w:t>
      </w:r>
      <w:r w:rsidRPr="00EC43AA">
        <w:rPr>
          <w:szCs w:val="22"/>
        </w:rPr>
        <w:t>diens. En ce sens, la politique culturelle esquissée par le Comité Applebaum-Hébert poursuivit l'objectif qu'a toujours eu la politique culturelle des libéraux, c'est-à-dire tailler une place au capital can</w:t>
      </w:r>
      <w:r w:rsidRPr="00EC43AA">
        <w:rPr>
          <w:szCs w:val="22"/>
        </w:rPr>
        <w:t>a</w:t>
      </w:r>
      <w:r w:rsidRPr="00EC43AA">
        <w:rPr>
          <w:szCs w:val="22"/>
        </w:rPr>
        <w:t>dien. Cette fois, cependant, cela fut e</w:t>
      </w:r>
      <w:r w:rsidRPr="00EC43AA">
        <w:rPr>
          <w:szCs w:val="22"/>
        </w:rPr>
        <w:t>n</w:t>
      </w:r>
      <w:r w:rsidRPr="00EC43AA">
        <w:rPr>
          <w:szCs w:val="22"/>
        </w:rPr>
        <w:t>visagé à l'ombre de l'idéologie néo-libérale, sous le signe de la privatisation et de l'internationalis</w:t>
      </w:r>
      <w:r w:rsidRPr="00EC43AA">
        <w:rPr>
          <w:szCs w:val="22"/>
        </w:rPr>
        <w:t>a</w:t>
      </w:r>
      <w:r w:rsidRPr="00EC43AA">
        <w:rPr>
          <w:szCs w:val="22"/>
        </w:rPr>
        <w:t>tion.</w:t>
      </w:r>
    </w:p>
    <w:p w:rsidR="00AD690E" w:rsidRPr="00EC43AA" w:rsidRDefault="00AD690E" w:rsidP="00AD690E">
      <w:pPr>
        <w:spacing w:before="120" w:after="120"/>
        <w:jc w:val="both"/>
      </w:pPr>
      <w:r w:rsidRPr="00EC43AA">
        <w:rPr>
          <w:szCs w:val="22"/>
        </w:rPr>
        <w:t xml:space="preserve">Le </w:t>
      </w:r>
      <w:r w:rsidRPr="00EC43AA">
        <w:rPr>
          <w:i/>
          <w:iCs/>
          <w:szCs w:val="22"/>
        </w:rPr>
        <w:t xml:space="preserve">Rapport Applebaum-Hébert, </w:t>
      </w:r>
      <w:r w:rsidRPr="00EC43AA">
        <w:rPr>
          <w:szCs w:val="22"/>
        </w:rPr>
        <w:t>après avoir rappelé que le Canada avait ouvert toutes grandes ses frontières aux produits culturels étra</w:t>
      </w:r>
      <w:r w:rsidRPr="00EC43AA">
        <w:rPr>
          <w:szCs w:val="22"/>
        </w:rPr>
        <w:t>n</w:t>
      </w:r>
      <w:r w:rsidRPr="00EC43AA">
        <w:rPr>
          <w:szCs w:val="22"/>
        </w:rPr>
        <w:t>gers en négligeant presque les créations can</w:t>
      </w:r>
      <w:r w:rsidRPr="00EC43AA">
        <w:rPr>
          <w:szCs w:val="22"/>
        </w:rPr>
        <w:t>a</w:t>
      </w:r>
      <w:r w:rsidRPr="00EC43AA">
        <w:rPr>
          <w:szCs w:val="22"/>
        </w:rPr>
        <w:t>diennes</w:t>
      </w:r>
      <w:r>
        <w:rPr>
          <w:szCs w:val="22"/>
          <w:vertAlign w:val="superscript"/>
        </w:rPr>
        <w:t> </w:t>
      </w:r>
      <w:r>
        <w:rPr>
          <w:rStyle w:val="Appelnotedebasdep"/>
        </w:rPr>
        <w:footnoteReference w:id="768"/>
      </w:r>
      <w:r w:rsidRPr="00EC43AA">
        <w:rPr>
          <w:szCs w:val="22"/>
        </w:rPr>
        <w:t>, esquisse une stratégie de développement des indu</w:t>
      </w:r>
      <w:r w:rsidRPr="00EC43AA">
        <w:rPr>
          <w:szCs w:val="22"/>
        </w:rPr>
        <w:t>s</w:t>
      </w:r>
      <w:r w:rsidRPr="00EC43AA">
        <w:rPr>
          <w:szCs w:val="22"/>
        </w:rPr>
        <w:t>tries culturelles canadiennes d'inspiration néo-libérale. On y propose d'utiliser dans un premier temps les canaux de diffusion appartenant aux Canadiens pour co</w:t>
      </w:r>
      <w:r w:rsidRPr="00EC43AA">
        <w:rPr>
          <w:szCs w:val="22"/>
        </w:rPr>
        <w:t>n</w:t>
      </w:r>
      <w:r w:rsidRPr="00EC43AA">
        <w:rPr>
          <w:szCs w:val="22"/>
        </w:rPr>
        <w:t>quérir une partie du marché domestique afin de créer une industrie nationale de production de films et de vidéos. On suggère par la suite d'utiliser dans un deuxième temps cette base, le marché dome</w:t>
      </w:r>
      <w:r w:rsidRPr="00EC43AA">
        <w:rPr>
          <w:szCs w:val="22"/>
        </w:rPr>
        <w:t>s</w:t>
      </w:r>
      <w:r w:rsidRPr="00EC43AA">
        <w:rPr>
          <w:szCs w:val="22"/>
        </w:rPr>
        <w:t>tique, pour</w:t>
      </w:r>
      <w:r>
        <w:rPr>
          <w:szCs w:val="22"/>
        </w:rPr>
        <w:t xml:space="preserve"> </w:t>
      </w:r>
      <w:r>
        <w:t>[</w:t>
      </w:r>
      <w:r w:rsidRPr="00EC43AA">
        <w:rPr>
          <w:szCs w:val="18"/>
        </w:rPr>
        <w:t>438</w:t>
      </w:r>
      <w:r>
        <w:rPr>
          <w:szCs w:val="18"/>
        </w:rPr>
        <w:t xml:space="preserve">] </w:t>
      </w:r>
      <w:r w:rsidRPr="00EC43AA">
        <w:rPr>
          <w:szCs w:val="22"/>
        </w:rPr>
        <w:t>conquérir une part du marché extérieur. Et le rapport a</w:t>
      </w:r>
      <w:r w:rsidRPr="00EC43AA">
        <w:rPr>
          <w:szCs w:val="22"/>
        </w:rPr>
        <w:t>f</w:t>
      </w:r>
      <w:r w:rsidRPr="00EC43AA">
        <w:rPr>
          <w:szCs w:val="22"/>
        </w:rPr>
        <w:t>firme que c'est l'entreprise privée qui est la plus apte à relever ce d</w:t>
      </w:r>
      <w:r w:rsidRPr="00EC43AA">
        <w:rPr>
          <w:szCs w:val="22"/>
        </w:rPr>
        <w:t>é</w:t>
      </w:r>
      <w:r w:rsidRPr="00EC43AA">
        <w:rPr>
          <w:szCs w:val="22"/>
        </w:rPr>
        <w:t>fi. Cette « mini-politique » industrielle du secteur culturel su</w:t>
      </w:r>
      <w:r w:rsidRPr="00EC43AA">
        <w:rPr>
          <w:szCs w:val="22"/>
        </w:rPr>
        <w:t>g</w:t>
      </w:r>
      <w:r w:rsidRPr="00EC43AA">
        <w:rPr>
          <w:szCs w:val="22"/>
        </w:rPr>
        <w:t>gère en fait de créer des avantages comparatifs dans la production de contenus, particulièrement au niveau des films et v</w:t>
      </w:r>
      <w:r w:rsidRPr="00EC43AA">
        <w:rPr>
          <w:szCs w:val="22"/>
        </w:rPr>
        <w:t>i</w:t>
      </w:r>
      <w:r w:rsidRPr="00EC43AA">
        <w:rPr>
          <w:szCs w:val="22"/>
        </w:rPr>
        <w:t>déos. Ayant souligné que l'aide fédérale aux activités culturelles est trop faible, le rapport pr</w:t>
      </w:r>
      <w:r w:rsidRPr="00EC43AA">
        <w:rPr>
          <w:szCs w:val="22"/>
        </w:rPr>
        <w:t>o</w:t>
      </w:r>
      <w:r w:rsidRPr="00EC43AA">
        <w:rPr>
          <w:szCs w:val="22"/>
        </w:rPr>
        <w:t>pose, afin de réaliser les objectifs identifiés, un ensemble de mesures : stimulants fiscaux, protection du marché domestique, méc</w:t>
      </w:r>
      <w:r w:rsidRPr="00EC43AA">
        <w:rPr>
          <w:szCs w:val="22"/>
        </w:rPr>
        <w:t>a</w:t>
      </w:r>
      <w:r w:rsidRPr="00EC43AA">
        <w:rPr>
          <w:szCs w:val="22"/>
        </w:rPr>
        <w:t>nismes de promotion, etc.</w:t>
      </w:r>
    </w:p>
    <w:p w:rsidR="00AD690E" w:rsidRPr="00EC43AA" w:rsidRDefault="00AD690E" w:rsidP="00AD690E">
      <w:pPr>
        <w:spacing w:before="120" w:after="120"/>
        <w:jc w:val="both"/>
      </w:pPr>
      <w:r w:rsidRPr="00EC43AA">
        <w:rPr>
          <w:szCs w:val="22"/>
        </w:rPr>
        <w:t>Le ministre des Communications du Canada à l'époque, Francis Fox, fit sienne cette politique comme en témoignent le m</w:t>
      </w:r>
      <w:r w:rsidRPr="00EC43AA">
        <w:rPr>
          <w:szCs w:val="22"/>
        </w:rPr>
        <w:t>é</w:t>
      </w:r>
      <w:r w:rsidRPr="00EC43AA">
        <w:rPr>
          <w:szCs w:val="22"/>
        </w:rPr>
        <w:t>moire qu'il présenta, en novembre 1983, à la Commission royale sur l'union éc</w:t>
      </w:r>
      <w:r w:rsidRPr="00EC43AA">
        <w:rPr>
          <w:szCs w:val="22"/>
        </w:rPr>
        <w:t>o</w:t>
      </w:r>
      <w:r w:rsidRPr="00EC43AA">
        <w:rPr>
          <w:szCs w:val="22"/>
        </w:rPr>
        <w:t>nomique et les perspectives de développement du Canada, la Co</w:t>
      </w:r>
      <w:r w:rsidRPr="00EC43AA">
        <w:rPr>
          <w:szCs w:val="22"/>
        </w:rPr>
        <w:t>m</w:t>
      </w:r>
      <w:r w:rsidRPr="00EC43AA">
        <w:rPr>
          <w:szCs w:val="22"/>
        </w:rPr>
        <w:t>mission Macdonald</w:t>
      </w:r>
      <w:r>
        <w:rPr>
          <w:szCs w:val="22"/>
          <w:vertAlign w:val="superscript"/>
        </w:rPr>
        <w:t> </w:t>
      </w:r>
      <w:r>
        <w:rPr>
          <w:rStyle w:val="Appelnotedebasdep"/>
        </w:rPr>
        <w:footnoteReference w:id="769"/>
      </w:r>
      <w:r w:rsidRPr="00EC43AA">
        <w:rPr>
          <w:szCs w:val="22"/>
        </w:rPr>
        <w:t>, ainsi que les énoncés de p</w:t>
      </w:r>
      <w:r w:rsidRPr="00EC43AA">
        <w:rPr>
          <w:szCs w:val="22"/>
        </w:rPr>
        <w:t>o</w:t>
      </w:r>
      <w:r w:rsidRPr="00EC43AA">
        <w:rPr>
          <w:szCs w:val="22"/>
        </w:rPr>
        <w:t>litique de 1983 et 1984.</w:t>
      </w:r>
    </w:p>
    <w:p w:rsidR="00AD690E" w:rsidRPr="00EC43AA" w:rsidRDefault="00AD690E" w:rsidP="00AD690E">
      <w:pPr>
        <w:spacing w:before="120" w:after="120"/>
        <w:jc w:val="both"/>
      </w:pPr>
      <w:r w:rsidRPr="00EC43AA">
        <w:rPr>
          <w:i/>
          <w:iCs/>
          <w:szCs w:val="22"/>
        </w:rPr>
        <w:t>Vers une nouvelle politique nationale de la radiotélédiff</w:t>
      </w:r>
      <w:r w:rsidRPr="00EC43AA">
        <w:rPr>
          <w:i/>
          <w:iCs/>
          <w:szCs w:val="22"/>
        </w:rPr>
        <w:t>u</w:t>
      </w:r>
      <w:r w:rsidRPr="00EC43AA">
        <w:rPr>
          <w:i/>
          <w:iCs/>
          <w:szCs w:val="22"/>
        </w:rPr>
        <w:t xml:space="preserve">sion </w:t>
      </w:r>
      <w:r w:rsidRPr="00EC43AA">
        <w:rPr>
          <w:szCs w:val="22"/>
        </w:rPr>
        <w:t xml:space="preserve">commence par affirmer que les objectifs originels de la </w:t>
      </w:r>
      <w:r w:rsidRPr="00EC43AA">
        <w:rPr>
          <w:i/>
          <w:iCs/>
          <w:szCs w:val="22"/>
        </w:rPr>
        <w:t>Loi sur la r</w:t>
      </w:r>
      <w:r w:rsidRPr="00EC43AA">
        <w:rPr>
          <w:i/>
          <w:iCs/>
          <w:szCs w:val="22"/>
        </w:rPr>
        <w:t>a</w:t>
      </w:r>
      <w:r w:rsidRPr="00EC43AA">
        <w:rPr>
          <w:i/>
          <w:iCs/>
          <w:szCs w:val="22"/>
        </w:rPr>
        <w:t xml:space="preserve">diodiffusion </w:t>
      </w:r>
      <w:r w:rsidRPr="00EC43AA">
        <w:rPr>
          <w:szCs w:val="22"/>
        </w:rPr>
        <w:t>de 1968 (la possession et le contrôle effectif par des C</w:t>
      </w:r>
      <w:r w:rsidRPr="00EC43AA">
        <w:rPr>
          <w:szCs w:val="22"/>
        </w:rPr>
        <w:t>a</w:t>
      </w:r>
      <w:r w:rsidRPr="00EC43AA">
        <w:rPr>
          <w:szCs w:val="22"/>
        </w:rPr>
        <w:t>nadiens du système de diffusion de façon à sauvegarder la structure culturelle, politique, sociale et économique du Canada, l'utilis</w:t>
      </w:r>
      <w:r w:rsidRPr="00EC43AA">
        <w:rPr>
          <w:szCs w:val="22"/>
        </w:rPr>
        <w:t>a</w:t>
      </w:r>
      <w:r w:rsidRPr="00EC43AA">
        <w:rPr>
          <w:szCs w:val="22"/>
        </w:rPr>
        <w:t>tion des ressources canadiennes et l'accès à un service de radio-télédiffusion dans les deux langues officielles pour tous les Canadiens) étaient après quinze ans les mêmes</w:t>
      </w:r>
      <w:r>
        <w:rPr>
          <w:szCs w:val="22"/>
          <w:vertAlign w:val="superscript"/>
        </w:rPr>
        <w:t> </w:t>
      </w:r>
      <w:r>
        <w:rPr>
          <w:rStyle w:val="Appelnotedebasdep"/>
        </w:rPr>
        <w:footnoteReference w:id="770"/>
      </w:r>
      <w:r w:rsidRPr="00EC43AA">
        <w:rPr>
          <w:szCs w:val="22"/>
        </w:rPr>
        <w:t xml:space="preserve"> Le document ajoute que, pour prése</w:t>
      </w:r>
      <w:r w:rsidRPr="00EC43AA">
        <w:rPr>
          <w:szCs w:val="22"/>
        </w:rPr>
        <w:t>r</w:t>
      </w:r>
      <w:r w:rsidRPr="00EC43AA">
        <w:rPr>
          <w:szCs w:val="22"/>
        </w:rPr>
        <w:t>ver la conscience culturelle canadienne face au torrent des pr</w:t>
      </w:r>
      <w:r w:rsidRPr="00EC43AA">
        <w:rPr>
          <w:szCs w:val="22"/>
        </w:rPr>
        <w:t>o</w:t>
      </w:r>
      <w:r w:rsidRPr="00EC43AA">
        <w:rPr>
          <w:szCs w:val="22"/>
        </w:rPr>
        <w:t>duits culturels américains : « [...] le gouvernement, de concert avec l'indu</w:t>
      </w:r>
      <w:r w:rsidRPr="00EC43AA">
        <w:rPr>
          <w:szCs w:val="22"/>
        </w:rPr>
        <w:t>s</w:t>
      </w:r>
      <w:r w:rsidRPr="00EC43AA">
        <w:rPr>
          <w:szCs w:val="22"/>
        </w:rPr>
        <w:t>trie, doit aider nos entreprises de programmation et de radio-télédiffusion — publiques et privées — à faire face à la concurre</w:t>
      </w:r>
      <w:r w:rsidRPr="00EC43AA">
        <w:rPr>
          <w:szCs w:val="22"/>
        </w:rPr>
        <w:t>n</w:t>
      </w:r>
      <w:r w:rsidRPr="00EC43AA">
        <w:rPr>
          <w:szCs w:val="22"/>
        </w:rPr>
        <w:t>ce »</w:t>
      </w:r>
      <w:r>
        <w:rPr>
          <w:szCs w:val="22"/>
        </w:rPr>
        <w:t> </w:t>
      </w:r>
      <w:r>
        <w:rPr>
          <w:rStyle w:val="Appelnotedebasdep"/>
        </w:rPr>
        <w:footnoteReference w:id="771"/>
      </w:r>
      <w:r w:rsidRPr="00EC43AA">
        <w:rPr>
          <w:szCs w:val="22"/>
        </w:rPr>
        <w:t>, parce que : « [...] les producteurs canadiens ne peuvent com</w:t>
      </w:r>
      <w:r w:rsidRPr="00EC43AA">
        <w:rPr>
          <w:szCs w:val="22"/>
        </w:rPr>
        <w:t>p</w:t>
      </w:r>
      <w:r w:rsidRPr="00EC43AA">
        <w:rPr>
          <w:szCs w:val="22"/>
        </w:rPr>
        <w:t>ter sur des moyens comparables à ceux de leurs concurrents. [...] Le ma</w:t>
      </w:r>
      <w:r w:rsidRPr="00EC43AA">
        <w:rPr>
          <w:szCs w:val="22"/>
        </w:rPr>
        <w:t>r</w:t>
      </w:r>
      <w:r w:rsidRPr="00EC43AA">
        <w:rPr>
          <w:szCs w:val="22"/>
        </w:rPr>
        <w:t>ché canadien est trop restreint pour que nos producteurs puissent re</w:t>
      </w:r>
      <w:r w:rsidRPr="00EC43AA">
        <w:rPr>
          <w:szCs w:val="22"/>
        </w:rPr>
        <w:t>n</w:t>
      </w:r>
      <w:r w:rsidRPr="00EC43AA">
        <w:rPr>
          <w:szCs w:val="22"/>
        </w:rPr>
        <w:t>trer aussi aisément dans leurs frais »</w:t>
      </w:r>
      <w:r>
        <w:rPr>
          <w:szCs w:val="22"/>
          <w:vertAlign w:val="superscript"/>
        </w:rPr>
        <w:t> </w:t>
      </w:r>
      <w:r>
        <w:rPr>
          <w:rStyle w:val="Appelnotedebasdep"/>
        </w:rPr>
        <w:footnoteReference w:id="772"/>
      </w:r>
      <w:r w:rsidRPr="00EC43AA">
        <w:rPr>
          <w:szCs w:val="22"/>
        </w:rPr>
        <w:t>.</w:t>
      </w:r>
    </w:p>
    <w:p w:rsidR="00AD690E" w:rsidRPr="00EC43AA" w:rsidRDefault="00AD690E" w:rsidP="00AD690E">
      <w:pPr>
        <w:spacing w:before="120" w:after="120"/>
        <w:jc w:val="both"/>
      </w:pPr>
      <w:r w:rsidRPr="00EC43AA">
        <w:rPr>
          <w:i/>
          <w:iCs/>
          <w:szCs w:val="22"/>
        </w:rPr>
        <w:t xml:space="preserve">La politique nationale du film et de la vidéo, </w:t>
      </w:r>
      <w:r w:rsidRPr="00EC43AA">
        <w:rPr>
          <w:szCs w:val="22"/>
        </w:rPr>
        <w:t>dans laquelle on pr</w:t>
      </w:r>
      <w:r w:rsidRPr="00EC43AA">
        <w:rPr>
          <w:szCs w:val="22"/>
        </w:rPr>
        <w:t>o</w:t>
      </w:r>
      <w:r w:rsidRPr="00EC43AA">
        <w:rPr>
          <w:szCs w:val="22"/>
        </w:rPr>
        <w:t>posait de créer Téléfilm Canada (anciennement la Société de dévelo</w:t>
      </w:r>
      <w:r w:rsidRPr="00EC43AA">
        <w:rPr>
          <w:szCs w:val="22"/>
        </w:rPr>
        <w:t>p</w:t>
      </w:r>
      <w:r w:rsidRPr="00EC43AA">
        <w:rPr>
          <w:szCs w:val="22"/>
        </w:rPr>
        <w:t>pement de l'industrie cinématographique can</w:t>
      </w:r>
      <w:r w:rsidRPr="00EC43AA">
        <w:rPr>
          <w:szCs w:val="22"/>
        </w:rPr>
        <w:t>a</w:t>
      </w:r>
      <w:r w:rsidRPr="00EC43AA">
        <w:rPr>
          <w:szCs w:val="22"/>
        </w:rPr>
        <w:t>dienne (SDICC))</w:t>
      </w:r>
      <w:r>
        <w:rPr>
          <w:szCs w:val="22"/>
        </w:rPr>
        <w:t> </w:t>
      </w:r>
      <w:r>
        <w:rPr>
          <w:rStyle w:val="Appelnotedebasdep"/>
        </w:rPr>
        <w:footnoteReference w:id="773"/>
      </w:r>
      <w:r w:rsidRPr="00EC43AA">
        <w:rPr>
          <w:szCs w:val="22"/>
        </w:rPr>
        <w:t>, poursuivit dans la même direction, en affirmant qu'il s'agissait dor</w:t>
      </w:r>
      <w:r w:rsidRPr="00EC43AA">
        <w:rPr>
          <w:szCs w:val="22"/>
        </w:rPr>
        <w:t>é</w:t>
      </w:r>
      <w:r w:rsidRPr="00EC43AA">
        <w:rPr>
          <w:szCs w:val="22"/>
        </w:rPr>
        <w:t>navant d'établir : « [...] une stratégie visant à donner aux films et aux vidéos canadiens un plus grand accès à notre marché et aux marchés étrangers »</w:t>
      </w:r>
      <w:r>
        <w:rPr>
          <w:szCs w:val="22"/>
          <w:vertAlign w:val="superscript"/>
        </w:rPr>
        <w:t> </w:t>
      </w:r>
      <w:r>
        <w:rPr>
          <w:rStyle w:val="Appelnotedebasdep"/>
        </w:rPr>
        <w:footnoteReference w:id="774"/>
      </w:r>
      <w:r w:rsidRPr="00EC43AA">
        <w:rPr>
          <w:szCs w:val="22"/>
        </w:rPr>
        <w:t>.</w:t>
      </w:r>
    </w:p>
    <w:p w:rsidR="00AD690E" w:rsidRDefault="00AD690E" w:rsidP="00AD690E">
      <w:pPr>
        <w:spacing w:before="120" w:after="120"/>
        <w:jc w:val="both"/>
      </w:pPr>
      <w:r>
        <w:br w:type="page"/>
        <w:t>[439]</w:t>
      </w:r>
    </w:p>
    <w:p w:rsidR="00AD690E" w:rsidRPr="009E71DA" w:rsidRDefault="00AD690E" w:rsidP="00AD690E">
      <w:pPr>
        <w:spacing w:before="120" w:after="120"/>
        <w:jc w:val="both"/>
        <w:rPr>
          <w:i/>
        </w:rPr>
      </w:pPr>
      <w:r w:rsidRPr="00EC43AA">
        <w:rPr>
          <w:szCs w:val="22"/>
        </w:rPr>
        <w:t>L'argumentation que contiennent les trois documents que nous v</w:t>
      </w:r>
      <w:r w:rsidRPr="00EC43AA">
        <w:rPr>
          <w:szCs w:val="22"/>
        </w:rPr>
        <w:t>e</w:t>
      </w:r>
      <w:r w:rsidRPr="00EC43AA">
        <w:rPr>
          <w:szCs w:val="22"/>
        </w:rPr>
        <w:t>nons de commenter très brièvement constitue une rationalis</w:t>
      </w:r>
      <w:r w:rsidRPr="00EC43AA">
        <w:rPr>
          <w:szCs w:val="22"/>
        </w:rPr>
        <w:t>a</w:t>
      </w:r>
      <w:r w:rsidRPr="00EC43AA">
        <w:rPr>
          <w:szCs w:val="22"/>
        </w:rPr>
        <w:t>tion de la marchandisation de la culture dans laquelle le progrès et le dévelo</w:t>
      </w:r>
      <w:r w:rsidRPr="00EC43AA">
        <w:rPr>
          <w:szCs w:val="22"/>
        </w:rPr>
        <w:t>p</w:t>
      </w:r>
      <w:r w:rsidRPr="00EC43AA">
        <w:rPr>
          <w:szCs w:val="22"/>
        </w:rPr>
        <w:t>pement culturel sont vus comme so</w:t>
      </w:r>
      <w:r w:rsidRPr="00EC43AA">
        <w:rPr>
          <w:szCs w:val="22"/>
        </w:rPr>
        <w:t>u</w:t>
      </w:r>
      <w:r w:rsidRPr="00EC43AA">
        <w:rPr>
          <w:szCs w:val="22"/>
        </w:rPr>
        <w:t>tiens à la rentabilité et à la mise en valeur du capital dans le champ de la culture, comme en témoigne ce</w:t>
      </w:r>
      <w:r w:rsidRPr="00EC43AA">
        <w:rPr>
          <w:szCs w:val="22"/>
        </w:rPr>
        <w:t>t</w:t>
      </w:r>
      <w:r w:rsidRPr="00EC43AA">
        <w:rPr>
          <w:szCs w:val="22"/>
        </w:rPr>
        <w:t xml:space="preserve">te affirmation de </w:t>
      </w:r>
      <w:r w:rsidRPr="009E71DA">
        <w:rPr>
          <w:i/>
          <w:iCs/>
          <w:szCs w:val="22"/>
        </w:rPr>
        <w:t>La politique nationale du film et de la vidéo :</w:t>
      </w:r>
    </w:p>
    <w:p w:rsidR="00AD690E" w:rsidRDefault="00AD690E" w:rsidP="00AD690E">
      <w:pPr>
        <w:pStyle w:val="Grillecouleur-Accent1"/>
      </w:pPr>
    </w:p>
    <w:p w:rsidR="00AD690E" w:rsidRPr="009E71DA" w:rsidRDefault="00AD690E" w:rsidP="00AD690E">
      <w:pPr>
        <w:pStyle w:val="Grillecouleur-Accent1"/>
      </w:pPr>
      <w:r w:rsidRPr="009E71DA">
        <w:t>[...] seule une industrie disposant de capitaux suffisants et d'un accès raisonnable aux marchés et aux recettes peut durablement profiter de la production d'œuvres authentiquement nationales. Autrement dit, le dév</w:t>
      </w:r>
      <w:r w:rsidRPr="009E71DA">
        <w:t>e</w:t>
      </w:r>
      <w:r w:rsidRPr="009E71DA">
        <w:t>loppement économique de l'industrie privée du film et de la vidéo perme</w:t>
      </w:r>
      <w:r w:rsidRPr="009E71DA">
        <w:t>t</w:t>
      </w:r>
      <w:r w:rsidRPr="009E71DA">
        <w:t>tra de réaliser des objectifs culturels gén</w:t>
      </w:r>
      <w:r w:rsidRPr="009E71DA">
        <w:t>é</w:t>
      </w:r>
      <w:r w:rsidRPr="009E71DA">
        <w:t>raux</w:t>
      </w:r>
      <w:r>
        <w:t> </w:t>
      </w:r>
      <w:r w:rsidRPr="008315E2">
        <w:rPr>
          <w:rStyle w:val="Appelnotedebasdep"/>
          <w:szCs w:val="24"/>
        </w:rPr>
        <w:footnoteReference w:id="775"/>
      </w:r>
      <w:r w:rsidRPr="009E71DA">
        <w:t>.</w:t>
      </w:r>
    </w:p>
    <w:p w:rsidR="00AD690E" w:rsidRDefault="00AD690E" w:rsidP="00AD690E">
      <w:pPr>
        <w:pStyle w:val="Grillecouleur-Accent1"/>
        <w:rPr>
          <w:i/>
        </w:rPr>
      </w:pPr>
    </w:p>
    <w:p w:rsidR="00AD690E" w:rsidRPr="00EC43AA" w:rsidRDefault="00AD690E" w:rsidP="00AD690E">
      <w:pPr>
        <w:spacing w:before="120" w:after="120"/>
        <w:jc w:val="both"/>
      </w:pPr>
      <w:r w:rsidRPr="00EC43AA">
        <w:rPr>
          <w:szCs w:val="22"/>
        </w:rPr>
        <w:t>Dans l'affirmation de l'industrialisation des arts et de la cu</w:t>
      </w:r>
      <w:r w:rsidRPr="00EC43AA">
        <w:rPr>
          <w:szCs w:val="22"/>
        </w:rPr>
        <w:t>l</w:t>
      </w:r>
      <w:r w:rsidRPr="00EC43AA">
        <w:rPr>
          <w:szCs w:val="22"/>
        </w:rPr>
        <w:t>ture, dans la concrétisation de la marchandisation de la culture, le gouve</w:t>
      </w:r>
      <w:r w:rsidRPr="00EC43AA">
        <w:rPr>
          <w:szCs w:val="22"/>
        </w:rPr>
        <w:t>r</w:t>
      </w:r>
      <w:r w:rsidRPr="00EC43AA">
        <w:rPr>
          <w:szCs w:val="22"/>
        </w:rPr>
        <w:t>nement Trudeau constitua donc un excellent appareil de régulation social dans le champ culturel, imposant aux C</w:t>
      </w:r>
      <w:r w:rsidRPr="00EC43AA">
        <w:rPr>
          <w:szCs w:val="22"/>
        </w:rPr>
        <w:t>a</w:t>
      </w:r>
      <w:r w:rsidRPr="00EC43AA">
        <w:rPr>
          <w:szCs w:val="22"/>
        </w:rPr>
        <w:t>nadiens la primauté de la forme industrielle dans le développ</w:t>
      </w:r>
      <w:r>
        <w:rPr>
          <w:szCs w:val="22"/>
        </w:rPr>
        <w:t>e</w:t>
      </w:r>
      <w:r w:rsidRPr="00EC43AA">
        <w:rPr>
          <w:szCs w:val="22"/>
        </w:rPr>
        <w:t>ment de la cu</w:t>
      </w:r>
      <w:r w:rsidRPr="00EC43AA">
        <w:rPr>
          <w:szCs w:val="22"/>
        </w:rPr>
        <w:t>l</w:t>
      </w:r>
      <w:r w:rsidRPr="00EC43AA">
        <w:rPr>
          <w:szCs w:val="22"/>
        </w:rPr>
        <w:t>ture. Cela eut de profonds effets sur les artistes et ces derniers le man</w:t>
      </w:r>
      <w:r w:rsidRPr="00EC43AA">
        <w:rPr>
          <w:szCs w:val="22"/>
        </w:rPr>
        <w:t>i</w:t>
      </w:r>
      <w:r w:rsidRPr="00EC43AA">
        <w:rPr>
          <w:szCs w:val="22"/>
        </w:rPr>
        <w:t>festèrent bruyamment.</w:t>
      </w:r>
    </w:p>
    <w:p w:rsidR="00AD690E" w:rsidRDefault="00AD690E" w:rsidP="00AD690E">
      <w:pPr>
        <w:spacing w:before="120" w:after="120"/>
        <w:jc w:val="both"/>
        <w:rPr>
          <w:szCs w:val="22"/>
        </w:rPr>
      </w:pPr>
    </w:p>
    <w:p w:rsidR="00AD690E" w:rsidRPr="00F16CAD" w:rsidRDefault="00AD690E" w:rsidP="00AD690E">
      <w:pPr>
        <w:pStyle w:val="a"/>
      </w:pPr>
      <w:r w:rsidRPr="00F16CAD">
        <w:t>j) Le concert des protestations : 2</w:t>
      </w:r>
      <w:r w:rsidRPr="00F16CAD">
        <w:rPr>
          <w:vertAlign w:val="superscript"/>
        </w:rPr>
        <w:t>e</w:t>
      </w:r>
      <w:r w:rsidRPr="00F16CAD">
        <w:t xml:space="preserve"> acte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Commencées à la suite des restrictions budgétaires imp</w:t>
      </w:r>
      <w:r w:rsidRPr="00EC43AA">
        <w:rPr>
          <w:szCs w:val="22"/>
        </w:rPr>
        <w:t>o</w:t>
      </w:r>
      <w:r w:rsidRPr="00EC43AA">
        <w:rPr>
          <w:szCs w:val="22"/>
        </w:rPr>
        <w:t>sées à la suite du gel des salaires et prix en 1975, les protest</w:t>
      </w:r>
      <w:r w:rsidRPr="00EC43AA">
        <w:rPr>
          <w:szCs w:val="22"/>
        </w:rPr>
        <w:t>a</w:t>
      </w:r>
      <w:r w:rsidRPr="00EC43AA">
        <w:rPr>
          <w:szCs w:val="22"/>
        </w:rPr>
        <w:t>tions du milieu artistique devinrent, en 1983-1984, de plus en plus vives devant les poursuites effectuées par le fisc canadien et les injustices du système de taxation. Ces protestations am</w:t>
      </w:r>
      <w:r w:rsidRPr="00EC43AA">
        <w:rPr>
          <w:szCs w:val="22"/>
        </w:rPr>
        <w:t>e</w:t>
      </w:r>
      <w:r w:rsidRPr="00EC43AA">
        <w:rPr>
          <w:szCs w:val="22"/>
        </w:rPr>
        <w:t>nèrent d'ailleurs le gouvernement à commander plusieurs e</w:t>
      </w:r>
      <w:r w:rsidRPr="00EC43AA">
        <w:rPr>
          <w:szCs w:val="22"/>
        </w:rPr>
        <w:t>n</w:t>
      </w:r>
      <w:r w:rsidRPr="00EC43AA">
        <w:rPr>
          <w:szCs w:val="22"/>
        </w:rPr>
        <w:t>quêtes sur le statut de l'artiste et à poser le problème de la m</w:t>
      </w:r>
      <w:r w:rsidRPr="00EC43AA">
        <w:rPr>
          <w:szCs w:val="22"/>
        </w:rPr>
        <w:t>o</w:t>
      </w:r>
      <w:r w:rsidRPr="00EC43AA">
        <w:rPr>
          <w:szCs w:val="22"/>
        </w:rPr>
        <w:t xml:space="preserve">dernisation de la </w:t>
      </w:r>
      <w:r w:rsidRPr="00EC43AA">
        <w:rPr>
          <w:i/>
          <w:iCs/>
          <w:szCs w:val="22"/>
        </w:rPr>
        <w:t>Loi sur les droits d'auteur.</w:t>
      </w:r>
    </w:p>
    <w:p w:rsidR="00AD690E" w:rsidRPr="00EC43AA" w:rsidRDefault="00AD690E" w:rsidP="00AD690E">
      <w:pPr>
        <w:spacing w:before="120" w:after="120"/>
        <w:jc w:val="both"/>
      </w:pPr>
      <w:r w:rsidRPr="00EC43AA">
        <w:rPr>
          <w:szCs w:val="22"/>
        </w:rPr>
        <w:t>Déjà, en 1981, l'affirmation de la primauté de la forme i</w:t>
      </w:r>
      <w:r w:rsidRPr="00EC43AA">
        <w:rPr>
          <w:szCs w:val="22"/>
        </w:rPr>
        <w:t>n</w:t>
      </w:r>
      <w:r w:rsidRPr="00EC43AA">
        <w:rPr>
          <w:szCs w:val="22"/>
        </w:rPr>
        <w:t>dustrielle du développement culturel avec le passage des org</w:t>
      </w:r>
      <w:r w:rsidRPr="00EC43AA">
        <w:rPr>
          <w:szCs w:val="22"/>
        </w:rPr>
        <w:t>a</w:t>
      </w:r>
      <w:r w:rsidRPr="00EC43AA">
        <w:rPr>
          <w:szCs w:val="22"/>
        </w:rPr>
        <w:t>nismes culturels du Secrétariat d'État au ministère des Co</w:t>
      </w:r>
      <w:r w:rsidRPr="00EC43AA">
        <w:rPr>
          <w:szCs w:val="22"/>
        </w:rPr>
        <w:t>m</w:t>
      </w:r>
      <w:r w:rsidRPr="00EC43AA">
        <w:rPr>
          <w:szCs w:val="22"/>
        </w:rPr>
        <w:t>munications (1980) avait alertée la Conférence canadienne des arts qui s'inquiétait :</w:t>
      </w:r>
    </w:p>
    <w:p w:rsidR="00AD690E" w:rsidRDefault="00AD690E" w:rsidP="00AD690E">
      <w:pPr>
        <w:pStyle w:val="Grillecouleur-Accent1"/>
      </w:pPr>
    </w:p>
    <w:p w:rsidR="00AD690E" w:rsidRPr="00B63DBC" w:rsidRDefault="00AD690E" w:rsidP="00AD690E">
      <w:pPr>
        <w:pStyle w:val="Grillecouleur-Accent1"/>
      </w:pPr>
      <w:r w:rsidRPr="00B63DBC">
        <w:t>[...] de voir la direction générale des arts et de la culture se fondre dans les structures et les activités du ministère des Communications et de d</w:t>
      </w:r>
      <w:r w:rsidRPr="00B63DBC">
        <w:t>é</w:t>
      </w:r>
      <w:r w:rsidRPr="00B63DBC">
        <w:t>couvrir qu'elle agit déso</w:t>
      </w:r>
      <w:r w:rsidRPr="00B63DBC">
        <w:t>r</w:t>
      </w:r>
      <w:r w:rsidRPr="00B63DBC">
        <w:t>mais en raison</w:t>
      </w:r>
      <w:r>
        <w:t xml:space="preserve"> [</w:t>
      </w:r>
      <w:r w:rsidRPr="00EC43AA">
        <w:rPr>
          <w:szCs w:val="18"/>
        </w:rPr>
        <w:t>440</w:t>
      </w:r>
      <w:r>
        <w:rPr>
          <w:szCs w:val="18"/>
        </w:rPr>
        <w:t xml:space="preserve">] </w:t>
      </w:r>
      <w:r w:rsidRPr="00B63DBC">
        <w:t>moins d'objectifs culturels que de priorités industrielles et, technolog</w:t>
      </w:r>
      <w:r w:rsidRPr="00B63DBC">
        <w:t>i</w:t>
      </w:r>
      <w:r w:rsidRPr="00B63DBC">
        <w:t>ques</w:t>
      </w:r>
      <w:r>
        <w:t> </w:t>
      </w:r>
      <w:r w:rsidRPr="008315E2">
        <w:rPr>
          <w:rStyle w:val="Appelnotedebasdep"/>
          <w:szCs w:val="24"/>
        </w:rPr>
        <w:footnoteReference w:id="776"/>
      </w:r>
      <w:r w:rsidRPr="00B63DBC">
        <w:t>.</w:t>
      </w:r>
      <w:r w:rsidRPr="00B63DBC">
        <w:rPr>
          <w:i/>
        </w:rPr>
        <w:t xml:space="preserve"> </w:t>
      </w:r>
    </w:p>
    <w:p w:rsidR="00AD690E" w:rsidRDefault="00AD690E" w:rsidP="00AD690E">
      <w:pPr>
        <w:pStyle w:val="Grillecouleur-Accent1"/>
        <w:rPr>
          <w:i/>
        </w:rPr>
      </w:pPr>
    </w:p>
    <w:p w:rsidR="00AD690E" w:rsidRPr="00EC43AA" w:rsidRDefault="00AD690E" w:rsidP="00AD690E">
      <w:pPr>
        <w:spacing w:before="120" w:after="120"/>
        <w:jc w:val="both"/>
      </w:pPr>
      <w:r w:rsidRPr="00EC43AA">
        <w:rPr>
          <w:szCs w:val="22"/>
        </w:rPr>
        <w:t>Et, en 1984, la Conférence, tout en soulignant sa déception d</w:t>
      </w:r>
      <w:r w:rsidRPr="00EC43AA">
        <w:rPr>
          <w:szCs w:val="22"/>
        </w:rPr>
        <w:t>e</w:t>
      </w:r>
      <w:r w:rsidRPr="00EC43AA">
        <w:rPr>
          <w:szCs w:val="22"/>
        </w:rPr>
        <w:t xml:space="preserve">vant le </w:t>
      </w:r>
      <w:r w:rsidRPr="00EC43AA">
        <w:rPr>
          <w:i/>
          <w:iCs/>
          <w:szCs w:val="22"/>
        </w:rPr>
        <w:t xml:space="preserve">Rapport Applebaum-Hébert, </w:t>
      </w:r>
      <w:r w:rsidRPr="00EC43AA">
        <w:rPr>
          <w:szCs w:val="22"/>
        </w:rPr>
        <w:t>affirmait que la politique culturelle du gouvernement fédéral sous-estimait le facteur humain et protestait contre le peu de place réservé aux artistes dans ce projet de dévelo</w:t>
      </w:r>
      <w:r w:rsidRPr="00EC43AA">
        <w:rPr>
          <w:szCs w:val="22"/>
        </w:rPr>
        <w:t>p</w:t>
      </w:r>
      <w:r w:rsidRPr="00EC43AA">
        <w:rPr>
          <w:szCs w:val="22"/>
        </w:rPr>
        <w:t>pement industriel de la culture</w:t>
      </w:r>
      <w:r>
        <w:rPr>
          <w:szCs w:val="22"/>
        </w:rPr>
        <w:t> </w:t>
      </w:r>
      <w:r>
        <w:rPr>
          <w:rStyle w:val="Appelnotedebasdep"/>
        </w:rPr>
        <w:footnoteReference w:id="777"/>
      </w:r>
      <w:r w:rsidRPr="00EC43AA">
        <w:rPr>
          <w:szCs w:val="22"/>
        </w:rPr>
        <w:t>.</w:t>
      </w:r>
    </w:p>
    <w:p w:rsidR="00AD690E" w:rsidRDefault="00AD690E" w:rsidP="00AD690E">
      <w:pPr>
        <w:spacing w:before="120" w:after="120"/>
        <w:jc w:val="both"/>
        <w:rPr>
          <w:szCs w:val="22"/>
        </w:rPr>
      </w:pPr>
    </w:p>
    <w:p w:rsidR="00AD690E" w:rsidRPr="00A17D81" w:rsidRDefault="00AD690E" w:rsidP="00AD690E">
      <w:pPr>
        <w:pStyle w:val="a"/>
      </w:pPr>
      <w:r w:rsidRPr="00A17D81">
        <w:t xml:space="preserve">k) Une politique qui mène inévitablement au libre-échange... </w:t>
      </w:r>
      <w:r>
        <w:br/>
      </w:r>
      <w:r w:rsidRPr="00A17D81">
        <w:t>et à la dépendance culturelle</w:t>
      </w:r>
    </w:p>
    <w:p w:rsidR="00AD690E" w:rsidRDefault="00AD690E" w:rsidP="00AD690E">
      <w:pPr>
        <w:spacing w:before="120" w:after="120"/>
        <w:jc w:val="both"/>
        <w:rPr>
          <w:szCs w:val="22"/>
        </w:rPr>
      </w:pPr>
    </w:p>
    <w:p w:rsidR="00AD690E" w:rsidRPr="00EC43AA" w:rsidRDefault="00AD690E" w:rsidP="00AD690E">
      <w:pPr>
        <w:spacing w:before="120" w:after="120"/>
        <w:jc w:val="both"/>
      </w:pPr>
      <w:r w:rsidRPr="00EC43AA">
        <w:rPr>
          <w:szCs w:val="22"/>
        </w:rPr>
        <w:t>Dans un article antérieur, nous avons montré que la politique cult</w:t>
      </w:r>
      <w:r w:rsidRPr="00EC43AA">
        <w:rPr>
          <w:szCs w:val="22"/>
        </w:rPr>
        <w:t>u</w:t>
      </w:r>
      <w:r>
        <w:rPr>
          <w:szCs w:val="22"/>
        </w:rPr>
        <w:t>relle p</w:t>
      </w:r>
      <w:r w:rsidRPr="00EC43AA">
        <w:rPr>
          <w:szCs w:val="22"/>
        </w:rPr>
        <w:t>r</w:t>
      </w:r>
      <w:r>
        <w:rPr>
          <w:szCs w:val="22"/>
        </w:rPr>
        <w:t>a</w:t>
      </w:r>
      <w:r w:rsidRPr="00EC43AA">
        <w:rPr>
          <w:szCs w:val="22"/>
        </w:rPr>
        <w:t>tiquée par l'État canadien sous le règne des libéraux menait inévitablement au libre-échange</w:t>
      </w:r>
      <w:r>
        <w:rPr>
          <w:szCs w:val="22"/>
        </w:rPr>
        <w:t> </w:t>
      </w:r>
      <w:r>
        <w:rPr>
          <w:rStyle w:val="Appelnotedebasdep"/>
        </w:rPr>
        <w:footnoteReference w:id="778"/>
      </w:r>
      <w:r w:rsidRPr="00EC43AA">
        <w:rPr>
          <w:szCs w:val="22"/>
        </w:rPr>
        <w:t xml:space="preserve"> et à l'accentuation de la dépenda</w:t>
      </w:r>
      <w:r w:rsidRPr="00EC43AA">
        <w:rPr>
          <w:szCs w:val="22"/>
        </w:rPr>
        <w:t>n</w:t>
      </w:r>
      <w:r w:rsidRPr="00EC43AA">
        <w:rPr>
          <w:szCs w:val="22"/>
        </w:rPr>
        <w:t>ce culturelle du Canada parce que la plupart des entrepreneurs can</w:t>
      </w:r>
      <w:r w:rsidRPr="00EC43AA">
        <w:rPr>
          <w:szCs w:val="22"/>
        </w:rPr>
        <w:t>a</w:t>
      </w:r>
      <w:r w:rsidRPr="00EC43AA">
        <w:rPr>
          <w:szCs w:val="22"/>
        </w:rPr>
        <w:t>diens se cantonnaient dans le commerce et tiraient avantage de l'i</w:t>
      </w:r>
      <w:r w:rsidRPr="00EC43AA">
        <w:rPr>
          <w:szCs w:val="22"/>
        </w:rPr>
        <w:t>m</w:t>
      </w:r>
      <w:r w:rsidRPr="00EC43AA">
        <w:rPr>
          <w:szCs w:val="22"/>
        </w:rPr>
        <w:t>portation de produits culturels étra</w:t>
      </w:r>
      <w:r w:rsidRPr="00EC43AA">
        <w:rPr>
          <w:szCs w:val="22"/>
        </w:rPr>
        <w:t>n</w:t>
      </w:r>
      <w:r w:rsidRPr="00EC43AA">
        <w:rPr>
          <w:szCs w:val="22"/>
        </w:rPr>
        <w:t>gers, particulièrement américains. La politique de canadianis</w:t>
      </w:r>
      <w:r w:rsidRPr="00EC43AA">
        <w:rPr>
          <w:szCs w:val="22"/>
        </w:rPr>
        <w:t>a</w:t>
      </w:r>
      <w:r w:rsidRPr="00EC43AA">
        <w:rPr>
          <w:szCs w:val="22"/>
        </w:rPr>
        <w:t>tion favorisa même très substantiellement certains de ces acteurs, pensons entre autres aux câblodistr</w:t>
      </w:r>
      <w:r w:rsidRPr="00EC43AA">
        <w:rPr>
          <w:szCs w:val="22"/>
        </w:rPr>
        <w:t>i</w:t>
      </w:r>
      <w:r w:rsidRPr="00EC43AA">
        <w:rPr>
          <w:szCs w:val="22"/>
        </w:rPr>
        <w:t>buteurs.</w:t>
      </w:r>
    </w:p>
    <w:p w:rsidR="00AD690E" w:rsidRPr="00EC43AA" w:rsidRDefault="00AD690E" w:rsidP="00AD690E">
      <w:pPr>
        <w:spacing w:before="120" w:after="120"/>
        <w:jc w:val="both"/>
      </w:pPr>
      <w:r w:rsidRPr="00EC43AA">
        <w:rPr>
          <w:szCs w:val="22"/>
        </w:rPr>
        <w:t>La timidité de la politique culturelle des libéraux de même que l'incohérence dans son application firent que cette pol</w:t>
      </w:r>
      <w:r w:rsidRPr="00EC43AA">
        <w:rPr>
          <w:szCs w:val="22"/>
        </w:rPr>
        <w:t>i</w:t>
      </w:r>
      <w:r w:rsidRPr="00EC43AA">
        <w:rPr>
          <w:szCs w:val="22"/>
        </w:rPr>
        <w:t>tique fut un échec. Ironiquement, après plus de 20 ans d'efforts pour canadianiser la culture au Canada, la souveraineté cult</w:t>
      </w:r>
      <w:r w:rsidRPr="00EC43AA">
        <w:rPr>
          <w:szCs w:val="22"/>
        </w:rPr>
        <w:t>u</w:t>
      </w:r>
      <w:r w:rsidRPr="00EC43AA">
        <w:rPr>
          <w:szCs w:val="22"/>
        </w:rPr>
        <w:t>relle canadienne demeure un souhait alors que notre dépendance cu</w:t>
      </w:r>
      <w:r w:rsidRPr="00EC43AA">
        <w:rPr>
          <w:szCs w:val="22"/>
        </w:rPr>
        <w:t>l</w:t>
      </w:r>
      <w:r w:rsidRPr="00EC43AA">
        <w:rPr>
          <w:szCs w:val="22"/>
        </w:rPr>
        <w:t>turelle à l'égard des États-Unis s'est, en fait, accrue.</w:t>
      </w:r>
    </w:p>
    <w:p w:rsidR="00AD690E" w:rsidRPr="00EC43AA" w:rsidRDefault="00AD690E" w:rsidP="00AD690E">
      <w:pPr>
        <w:pStyle w:val="c"/>
      </w:pPr>
      <w:r w:rsidRPr="00EC43AA">
        <w:t xml:space="preserve">* </w:t>
      </w:r>
      <w:r>
        <w:t xml:space="preserve"> </w:t>
      </w:r>
      <w:r w:rsidRPr="00EC43AA">
        <w:t>*</w:t>
      </w:r>
      <w:r>
        <w:t xml:space="preserve"> </w:t>
      </w:r>
      <w:r w:rsidRPr="00EC43AA">
        <w:t xml:space="preserve"> *</w:t>
      </w:r>
    </w:p>
    <w:p w:rsidR="00AD690E" w:rsidRPr="00EC43AA" w:rsidRDefault="00AD690E" w:rsidP="00AD690E">
      <w:pPr>
        <w:spacing w:before="120" w:after="120"/>
        <w:jc w:val="both"/>
      </w:pPr>
      <w:r w:rsidRPr="00EC43AA">
        <w:rPr>
          <w:szCs w:val="22"/>
        </w:rPr>
        <w:t>Si la politique culturelle des libéraux de Pearson et Trudeau fut un échec du point de vue de la souveraineté et de l'indépendance culture</w:t>
      </w:r>
      <w:r w:rsidRPr="00EC43AA">
        <w:rPr>
          <w:szCs w:val="22"/>
        </w:rPr>
        <w:t>l</w:t>
      </w:r>
      <w:r w:rsidRPr="00EC43AA">
        <w:rPr>
          <w:szCs w:val="22"/>
        </w:rPr>
        <w:t>le du Canada, on doit toutefois convenir qu'elle ne fut pas sans effet et qu'elle connut certains succès. Comme le souligne George Woodcock, le Canada n'est plus le désert culturel et artistique qu'il fut ju</w:t>
      </w:r>
      <w:r w:rsidRPr="00EC43AA">
        <w:rPr>
          <w:szCs w:val="22"/>
        </w:rPr>
        <w:t>s</w:t>
      </w:r>
      <w:r w:rsidRPr="00EC43AA">
        <w:rPr>
          <w:szCs w:val="22"/>
        </w:rPr>
        <w:t>qu'aux années 1950 :</w:t>
      </w:r>
    </w:p>
    <w:p w:rsidR="00AD690E" w:rsidRDefault="00AD690E" w:rsidP="00AD690E">
      <w:pPr>
        <w:pStyle w:val="Grillecouleur-Accent1"/>
      </w:pPr>
    </w:p>
    <w:p w:rsidR="00AD690E" w:rsidRPr="00CD3435" w:rsidRDefault="00AD690E" w:rsidP="00AD690E">
      <w:pPr>
        <w:pStyle w:val="Grillecouleur-Accent1"/>
      </w:pPr>
      <w:r w:rsidRPr="00A17D81">
        <w:t>Canada is no longer an artistic or intellectual desert with a few prec</w:t>
      </w:r>
      <w:r w:rsidRPr="00A17D81">
        <w:t>a</w:t>
      </w:r>
      <w:r w:rsidRPr="00A17D81">
        <w:t>rious oases, as it was in 1949 when the Massey Commission undertook its historic task. [...] Canadian governements through their funding agencies have contributed in</w:t>
      </w:r>
      <w:r>
        <w:t xml:space="preserve"> </w:t>
      </w:r>
      <w:r>
        <w:rPr>
          <w:szCs w:val="18"/>
        </w:rPr>
        <w:t xml:space="preserve">[441] </w:t>
      </w:r>
      <w:r w:rsidRPr="00A17D81">
        <w:t>many ways to that resuit. Yet for all this sple</w:t>
      </w:r>
      <w:r w:rsidRPr="00A17D81">
        <w:t>n</w:t>
      </w:r>
      <w:r w:rsidRPr="00A17D81">
        <w:t>did record the m</w:t>
      </w:r>
      <w:r w:rsidRPr="00A17D81">
        <w:t>a</w:t>
      </w:r>
      <w:r w:rsidRPr="00A17D81">
        <w:t>jority of artists in Canada live below the poverty line</w:t>
      </w:r>
      <w:r w:rsidRPr="00EC43AA">
        <w:rPr>
          <w:szCs w:val="18"/>
        </w:rPr>
        <w:t>.</w:t>
      </w:r>
      <w:r>
        <w:rPr>
          <w:i/>
        </w:rPr>
        <w:t> </w:t>
      </w:r>
      <w:r>
        <w:rPr>
          <w:rStyle w:val="Appelnotedebasdep"/>
          <w:i/>
        </w:rPr>
        <w:footnoteReference w:id="779"/>
      </w:r>
    </w:p>
    <w:p w:rsidR="00AD690E" w:rsidRDefault="00AD690E" w:rsidP="00AD690E">
      <w:pPr>
        <w:pStyle w:val="Grillecouleur-Accent1"/>
        <w:rPr>
          <w:szCs w:val="22"/>
        </w:rPr>
      </w:pPr>
    </w:p>
    <w:p w:rsidR="00AD690E" w:rsidRPr="00EC43AA" w:rsidRDefault="00AD690E" w:rsidP="00AD690E">
      <w:pPr>
        <w:spacing w:before="120" w:after="120"/>
        <w:jc w:val="both"/>
      </w:pPr>
      <w:r w:rsidRPr="00EC43AA">
        <w:rPr>
          <w:szCs w:val="22"/>
        </w:rPr>
        <w:t>Malgré que le support du gouvernement fédéral au dév</w:t>
      </w:r>
      <w:r w:rsidRPr="00EC43AA">
        <w:rPr>
          <w:szCs w:val="22"/>
        </w:rPr>
        <w:t>e</w:t>
      </w:r>
      <w:r w:rsidRPr="00EC43AA">
        <w:rPr>
          <w:szCs w:val="22"/>
        </w:rPr>
        <w:t>loppement culturel fut, aux yeux de certains nationalistes c</w:t>
      </w:r>
      <w:r w:rsidRPr="00EC43AA">
        <w:rPr>
          <w:szCs w:val="22"/>
        </w:rPr>
        <w:t>a</w:t>
      </w:r>
      <w:r w:rsidRPr="00EC43AA">
        <w:rPr>
          <w:szCs w:val="22"/>
        </w:rPr>
        <w:t>nadiens, insuffisant, hésitant et incohérent, il demeure que les libéraux ont mis en place un ensemble d'appareils et instit</w:t>
      </w:r>
      <w:r w:rsidRPr="00EC43AA">
        <w:rPr>
          <w:szCs w:val="22"/>
        </w:rPr>
        <w:t>u</w:t>
      </w:r>
      <w:r w:rsidRPr="00EC43AA">
        <w:rPr>
          <w:szCs w:val="22"/>
        </w:rPr>
        <w:t>tions qui constituent aujourd'hui l'épine dorsale des activités et pratiques culturelles au Canada. Ces organi</w:t>
      </w:r>
      <w:r w:rsidRPr="00EC43AA">
        <w:rPr>
          <w:szCs w:val="22"/>
        </w:rPr>
        <w:t>s</w:t>
      </w:r>
      <w:r w:rsidRPr="00EC43AA">
        <w:rPr>
          <w:szCs w:val="22"/>
        </w:rPr>
        <w:t>mes (Conseil des Arts, Centre national des arts, Musées nationaux, ministère des Communications, etc.) sont des facteurs très actifs de la formulation et de la reconnaissance de l'image de la nation can</w:t>
      </w:r>
      <w:r w:rsidRPr="00EC43AA">
        <w:rPr>
          <w:szCs w:val="22"/>
        </w:rPr>
        <w:t>a</w:t>
      </w:r>
      <w:r w:rsidRPr="00EC43AA">
        <w:rPr>
          <w:szCs w:val="22"/>
        </w:rPr>
        <w:t>dienne comme nation spécifique. Ils contribuent donc très largement à l'ide</w:t>
      </w:r>
      <w:r w:rsidRPr="00EC43AA">
        <w:rPr>
          <w:szCs w:val="22"/>
        </w:rPr>
        <w:t>n</w:t>
      </w:r>
      <w:r w:rsidRPr="00EC43AA">
        <w:rPr>
          <w:szCs w:val="22"/>
        </w:rPr>
        <w:t>tité can</w:t>
      </w:r>
      <w:r w:rsidRPr="00EC43AA">
        <w:rPr>
          <w:szCs w:val="22"/>
        </w:rPr>
        <w:t>a</w:t>
      </w:r>
      <w:r w:rsidRPr="00EC43AA">
        <w:rPr>
          <w:szCs w:val="22"/>
        </w:rPr>
        <w:t>dienne.</w:t>
      </w:r>
    </w:p>
    <w:p w:rsidR="00AD690E" w:rsidRPr="00EC43AA" w:rsidRDefault="00AD690E" w:rsidP="00AD690E">
      <w:pPr>
        <w:spacing w:before="120" w:after="120"/>
        <w:jc w:val="both"/>
      </w:pPr>
      <w:r w:rsidRPr="00EC43AA">
        <w:rPr>
          <w:szCs w:val="22"/>
        </w:rPr>
        <w:t>De plus, la canadianisation, élément central de la politique cult</w:t>
      </w:r>
      <w:r w:rsidRPr="00EC43AA">
        <w:rPr>
          <w:szCs w:val="22"/>
        </w:rPr>
        <w:t>u</w:t>
      </w:r>
      <w:r w:rsidRPr="00EC43AA">
        <w:rPr>
          <w:szCs w:val="22"/>
        </w:rPr>
        <w:t>relle des libéraux, a permis l'appropriation et le contrôle par des cap</w:t>
      </w:r>
      <w:r w:rsidRPr="00EC43AA">
        <w:rPr>
          <w:szCs w:val="22"/>
        </w:rPr>
        <w:t>i</w:t>
      </w:r>
      <w:r w:rsidRPr="00EC43AA">
        <w:rPr>
          <w:szCs w:val="22"/>
        </w:rPr>
        <w:t>taux canadiens de certains secteurs du champ culturel, particulièr</w:t>
      </w:r>
      <w:r w:rsidRPr="00EC43AA">
        <w:rPr>
          <w:szCs w:val="22"/>
        </w:rPr>
        <w:t>e</w:t>
      </w:r>
      <w:r w:rsidRPr="00EC43AA">
        <w:rPr>
          <w:szCs w:val="22"/>
        </w:rPr>
        <w:t>ment au niveau de la radio-télédiffusion et de la câblodi</w:t>
      </w:r>
      <w:r w:rsidRPr="00EC43AA">
        <w:rPr>
          <w:szCs w:val="22"/>
        </w:rPr>
        <w:t>s</w:t>
      </w:r>
      <w:r w:rsidRPr="00EC43AA">
        <w:rPr>
          <w:szCs w:val="22"/>
        </w:rPr>
        <w:t>tribution.</w:t>
      </w:r>
    </w:p>
    <w:p w:rsidR="00AD690E" w:rsidRPr="00EC43AA" w:rsidRDefault="00AD690E" w:rsidP="00AD690E">
      <w:pPr>
        <w:spacing w:before="120" w:after="120"/>
        <w:jc w:val="both"/>
      </w:pPr>
      <w:r w:rsidRPr="00EC43AA">
        <w:rPr>
          <w:szCs w:val="22"/>
        </w:rPr>
        <w:t>Ainsi, de la politique culturelle des libéraux du dernier régime lib</w:t>
      </w:r>
      <w:r w:rsidRPr="00EC43AA">
        <w:rPr>
          <w:szCs w:val="22"/>
        </w:rPr>
        <w:t>é</w:t>
      </w:r>
      <w:r w:rsidRPr="00EC43AA">
        <w:rPr>
          <w:szCs w:val="22"/>
        </w:rPr>
        <w:t>ral (1963-1984) résulte un ensemble d'éléments (inst</w:t>
      </w:r>
      <w:r w:rsidRPr="00EC43AA">
        <w:rPr>
          <w:szCs w:val="22"/>
        </w:rPr>
        <w:t>i</w:t>
      </w:r>
      <w:r w:rsidRPr="00EC43AA">
        <w:rPr>
          <w:szCs w:val="22"/>
        </w:rPr>
        <w:t>tutions, pratiques et programmes, ressources humaines, entr</w:t>
      </w:r>
      <w:r w:rsidRPr="00EC43AA">
        <w:rPr>
          <w:szCs w:val="22"/>
        </w:rPr>
        <w:t>e</w:t>
      </w:r>
      <w:r w:rsidRPr="00EC43AA">
        <w:rPr>
          <w:szCs w:val="22"/>
        </w:rPr>
        <w:t>prises...) qui donne une matérialité à une certaine culture can</w:t>
      </w:r>
      <w:r w:rsidRPr="00EC43AA">
        <w:rPr>
          <w:szCs w:val="22"/>
        </w:rPr>
        <w:t>a</w:t>
      </w:r>
      <w:r w:rsidRPr="00EC43AA">
        <w:rPr>
          <w:szCs w:val="22"/>
        </w:rPr>
        <w:t>dienne. Et, s'il y a aujourd'hui une certaine identité canadienne et une certaine fierté d'être canadien, c'est dû à l'action pol</w:t>
      </w:r>
      <w:r w:rsidRPr="00EC43AA">
        <w:rPr>
          <w:szCs w:val="22"/>
        </w:rPr>
        <w:t>i</w:t>
      </w:r>
      <w:r w:rsidRPr="00EC43AA">
        <w:rPr>
          <w:szCs w:val="22"/>
        </w:rPr>
        <w:t>tique du Parti libéral du Canada (PLC) qui, dans le domaine de la cu</w:t>
      </w:r>
      <w:r w:rsidRPr="00EC43AA">
        <w:rPr>
          <w:szCs w:val="22"/>
        </w:rPr>
        <w:t>l</w:t>
      </w:r>
      <w:r w:rsidRPr="00EC43AA">
        <w:rPr>
          <w:szCs w:val="22"/>
        </w:rPr>
        <w:t xml:space="preserve">ture, </w:t>
      </w:r>
      <w:r>
        <w:rPr>
          <w:szCs w:val="22"/>
        </w:rPr>
        <w:t>a joué un rôle structurel dans l’</w:t>
      </w:r>
      <w:r w:rsidRPr="00EC43AA">
        <w:rPr>
          <w:szCs w:val="22"/>
        </w:rPr>
        <w:t>édification de la base matérielle de la culture c</w:t>
      </w:r>
      <w:r w:rsidRPr="00EC43AA">
        <w:rPr>
          <w:szCs w:val="22"/>
        </w:rPr>
        <w:t>a</w:t>
      </w:r>
      <w:r w:rsidRPr="00EC43AA">
        <w:rPr>
          <w:szCs w:val="22"/>
        </w:rPr>
        <w:t>nadienne.</w:t>
      </w:r>
    </w:p>
    <w:p w:rsidR="00AD690E" w:rsidRPr="00EC43AA" w:rsidRDefault="00AD690E" w:rsidP="00AD690E">
      <w:pPr>
        <w:spacing w:before="120" w:after="120"/>
        <w:jc w:val="both"/>
      </w:pPr>
      <w:r w:rsidRPr="00EC43AA">
        <w:rPr>
          <w:szCs w:val="22"/>
        </w:rPr>
        <w:t>Le PLC a constitué un véritable appareil de régulation s</w:t>
      </w:r>
      <w:r w:rsidRPr="00EC43AA">
        <w:rPr>
          <w:szCs w:val="22"/>
        </w:rPr>
        <w:t>o</w:t>
      </w:r>
      <w:r w:rsidRPr="00EC43AA">
        <w:rPr>
          <w:szCs w:val="22"/>
        </w:rPr>
        <w:t>ciale au Canada durant les années 1960 et 1970.</w:t>
      </w:r>
    </w:p>
    <w:p w:rsidR="00AD690E" w:rsidRPr="00EC43AA" w:rsidRDefault="00AD690E" w:rsidP="00AD690E">
      <w:pPr>
        <w:spacing w:before="120" w:after="120"/>
        <w:jc w:val="both"/>
      </w:pPr>
      <w:r w:rsidRPr="00EC43AA">
        <w:rPr>
          <w:szCs w:val="22"/>
        </w:rPr>
        <w:t>Il a en effet été le régulateur de la tension entre la tendance à la c</w:t>
      </w:r>
      <w:r w:rsidRPr="00EC43AA">
        <w:rPr>
          <w:szCs w:val="22"/>
        </w:rPr>
        <w:t>a</w:t>
      </w:r>
      <w:r w:rsidRPr="00EC43AA">
        <w:rPr>
          <w:szCs w:val="22"/>
        </w:rPr>
        <w:t>nadianisation et la tendance à la continentalisation. En in</w:t>
      </w:r>
      <w:r w:rsidRPr="00EC43AA">
        <w:rPr>
          <w:szCs w:val="22"/>
        </w:rPr>
        <w:t>s</w:t>
      </w:r>
      <w:r w:rsidRPr="00EC43AA">
        <w:rPr>
          <w:szCs w:val="22"/>
        </w:rPr>
        <w:t>taurant de nombreuses commissions et comités d'enquête, entre autres dans le domaine de la culture, il a permis l'expre</w:t>
      </w:r>
      <w:r w:rsidRPr="00EC43AA">
        <w:rPr>
          <w:szCs w:val="22"/>
        </w:rPr>
        <w:t>s</w:t>
      </w:r>
      <w:r w:rsidRPr="00EC43AA">
        <w:rPr>
          <w:szCs w:val="22"/>
        </w:rPr>
        <w:t>sion et la cristallisation du point de vue nationaliste canadien, induit l'articulation de la politique culturelle canadienne et f</w:t>
      </w:r>
      <w:r w:rsidRPr="00EC43AA">
        <w:rPr>
          <w:szCs w:val="22"/>
        </w:rPr>
        <w:t>a</w:t>
      </w:r>
      <w:r w:rsidRPr="00EC43AA">
        <w:rPr>
          <w:szCs w:val="22"/>
        </w:rPr>
        <w:t>vorisé la formation d'un certain consensus social autour de cet idéal. Toutefois, la formulation et l'application de cette politique ont souvent été hésitantes et incoh</w:t>
      </w:r>
      <w:r w:rsidRPr="00EC43AA">
        <w:rPr>
          <w:szCs w:val="22"/>
        </w:rPr>
        <w:t>é</w:t>
      </w:r>
      <w:r w:rsidRPr="00EC43AA">
        <w:rPr>
          <w:szCs w:val="22"/>
        </w:rPr>
        <w:t>rentes, surtout sous la pression des forces profitant de l'intégration des marchés can</w:t>
      </w:r>
      <w:r w:rsidRPr="00EC43AA">
        <w:rPr>
          <w:szCs w:val="22"/>
        </w:rPr>
        <w:t>a</w:t>
      </w:r>
      <w:r w:rsidRPr="00EC43AA">
        <w:rPr>
          <w:szCs w:val="22"/>
        </w:rPr>
        <w:t>dien et américain. C'est à ces n</w:t>
      </w:r>
      <w:r w:rsidRPr="00EC43AA">
        <w:rPr>
          <w:szCs w:val="22"/>
        </w:rPr>
        <w:t>i</w:t>
      </w:r>
      <w:r w:rsidRPr="00EC43AA">
        <w:rPr>
          <w:szCs w:val="22"/>
        </w:rPr>
        <w:t>veaux que le PLC a constitué le canal de régulation, de « compromis » entre les deux te</w:t>
      </w:r>
      <w:r w:rsidRPr="00EC43AA">
        <w:rPr>
          <w:szCs w:val="22"/>
        </w:rPr>
        <w:t>n</w:t>
      </w:r>
      <w:r w:rsidRPr="00EC43AA">
        <w:rPr>
          <w:szCs w:val="22"/>
        </w:rPr>
        <w:t>dances. C'est aussi ce qui explique que sa politique culturelle ait souvent eu des allures co</w:t>
      </w:r>
      <w:r w:rsidRPr="00EC43AA">
        <w:rPr>
          <w:szCs w:val="22"/>
        </w:rPr>
        <w:t>n</w:t>
      </w:r>
      <w:r w:rsidRPr="00EC43AA">
        <w:rPr>
          <w:szCs w:val="22"/>
        </w:rPr>
        <w:t>tradictoires.</w:t>
      </w:r>
    </w:p>
    <w:p w:rsidR="00AD690E" w:rsidRPr="00EC43AA" w:rsidRDefault="00AD690E" w:rsidP="00AD690E">
      <w:pPr>
        <w:spacing w:before="120" w:after="120"/>
        <w:jc w:val="both"/>
      </w:pPr>
      <w:r w:rsidRPr="00EC43AA">
        <w:rPr>
          <w:szCs w:val="22"/>
        </w:rPr>
        <w:t>D'autre part, le PLC a aussi été, surtout sous la gouverne de Pierre Trudeau, l'instrument organisationnel de la lutte contre le nationalisme québécois. C'est le PLC qui a été le principal an</w:t>
      </w:r>
      <w:r w:rsidRPr="00EC43AA">
        <w:rPr>
          <w:szCs w:val="22"/>
        </w:rPr>
        <w:t>i</w:t>
      </w:r>
      <w:r w:rsidRPr="00EC43AA">
        <w:rPr>
          <w:szCs w:val="22"/>
        </w:rPr>
        <w:t xml:space="preserve">mateur du consensus </w:t>
      </w:r>
      <w:r w:rsidRPr="00EC43AA">
        <w:rPr>
          <w:i/>
          <w:iCs/>
          <w:szCs w:val="22"/>
        </w:rPr>
        <w:t xml:space="preserve">canadien </w:t>
      </w:r>
      <w:r w:rsidRPr="00EC43AA">
        <w:rPr>
          <w:szCs w:val="22"/>
        </w:rPr>
        <w:t>refusant de reconnaître le cara</w:t>
      </w:r>
      <w:r w:rsidRPr="00EC43AA">
        <w:rPr>
          <w:szCs w:val="22"/>
        </w:rPr>
        <w:t>c</w:t>
      </w:r>
      <w:r w:rsidRPr="00EC43AA">
        <w:rPr>
          <w:szCs w:val="22"/>
        </w:rPr>
        <w:t>tère spécifique de la nation et de la culture québécoise et présentant les Canadiens français comme une minorité lingui</w:t>
      </w:r>
      <w:r w:rsidRPr="00EC43AA">
        <w:rPr>
          <w:szCs w:val="22"/>
        </w:rPr>
        <w:t>s</w:t>
      </w:r>
      <w:r w:rsidRPr="00EC43AA">
        <w:rPr>
          <w:szCs w:val="22"/>
        </w:rPr>
        <w:t>tique</w:t>
      </w:r>
      <w:r>
        <w:rPr>
          <w:szCs w:val="22"/>
        </w:rPr>
        <w:t xml:space="preserve"> </w:t>
      </w:r>
      <w:r>
        <w:t>[</w:t>
      </w:r>
      <w:r w:rsidRPr="00EC43AA">
        <w:rPr>
          <w:szCs w:val="18"/>
        </w:rPr>
        <w:t>442</w:t>
      </w:r>
      <w:r>
        <w:rPr>
          <w:szCs w:val="18"/>
        </w:rPr>
        <w:t xml:space="preserve">] </w:t>
      </w:r>
      <w:r w:rsidRPr="00EC43AA">
        <w:rPr>
          <w:szCs w:val="22"/>
        </w:rPr>
        <w:t xml:space="preserve">et culturelle comme les autres. </w:t>
      </w:r>
      <w:r>
        <w:rPr>
          <w:szCs w:val="22"/>
        </w:rPr>
        <w:t>À</w:t>
      </w:r>
      <w:r w:rsidRPr="00EC43AA">
        <w:rPr>
          <w:szCs w:val="22"/>
        </w:rPr>
        <w:t xml:space="preserve"> ce titre, le détournement du ma</w:t>
      </w:r>
      <w:r w:rsidRPr="00EC43AA">
        <w:rPr>
          <w:szCs w:val="22"/>
        </w:rPr>
        <w:t>n</w:t>
      </w:r>
      <w:r w:rsidRPr="00EC43AA">
        <w:rPr>
          <w:szCs w:val="22"/>
        </w:rPr>
        <w:t>dat de la Commission B-B (Laurendeau-Dunton) et la pa</w:t>
      </w:r>
      <w:r w:rsidRPr="00EC43AA">
        <w:rPr>
          <w:szCs w:val="22"/>
        </w:rPr>
        <w:t>r</w:t>
      </w:r>
      <w:r w:rsidRPr="00EC43AA">
        <w:rPr>
          <w:szCs w:val="22"/>
        </w:rPr>
        <w:t>ticipation très active des Libéraux fédéraux au camp du NON lors du référe</w:t>
      </w:r>
      <w:r w:rsidRPr="00EC43AA">
        <w:rPr>
          <w:szCs w:val="22"/>
        </w:rPr>
        <w:t>n</w:t>
      </w:r>
      <w:r w:rsidRPr="00EC43AA">
        <w:rPr>
          <w:szCs w:val="22"/>
        </w:rPr>
        <w:t>dum sont particulièrement édifiants.</w:t>
      </w:r>
    </w:p>
    <w:p w:rsidR="00AD690E" w:rsidRPr="00EC43AA" w:rsidRDefault="00AD690E" w:rsidP="00AD690E">
      <w:pPr>
        <w:spacing w:before="120" w:after="120"/>
        <w:jc w:val="both"/>
      </w:pPr>
      <w:r w:rsidRPr="00EC43AA">
        <w:rPr>
          <w:szCs w:val="22"/>
        </w:rPr>
        <w:t>La politique culturelle des libéraux a donc toujours été marquée par un utilitarisme certain. Elle fut considérée comme un instrument contre le nationalisme québécois au nom de l'unité nati</w:t>
      </w:r>
      <w:r w:rsidRPr="00EC43AA">
        <w:rPr>
          <w:szCs w:val="22"/>
        </w:rPr>
        <w:t>o</w:t>
      </w:r>
      <w:r w:rsidRPr="00EC43AA">
        <w:rPr>
          <w:szCs w:val="22"/>
        </w:rPr>
        <w:t>nale, comme un levier de spécification du capital canadien et comme un moyen pour le capital autochtone de se tailler une place dans les marchés a</w:t>
      </w:r>
      <w:r w:rsidRPr="00EC43AA">
        <w:rPr>
          <w:szCs w:val="22"/>
        </w:rPr>
        <w:t>u</w:t>
      </w:r>
      <w:r w:rsidRPr="00EC43AA">
        <w:rPr>
          <w:szCs w:val="22"/>
        </w:rPr>
        <w:t>tant domestique</w:t>
      </w:r>
      <w:r>
        <w:rPr>
          <w:szCs w:val="22"/>
        </w:rPr>
        <w:t>s</w:t>
      </w:r>
      <w:r w:rsidRPr="00EC43AA">
        <w:rPr>
          <w:szCs w:val="22"/>
        </w:rPr>
        <w:t xml:space="preserve"> qu'ext</w:t>
      </w:r>
      <w:r w:rsidRPr="00EC43AA">
        <w:rPr>
          <w:szCs w:val="22"/>
        </w:rPr>
        <w:t>é</w:t>
      </w:r>
      <w:r w:rsidRPr="00EC43AA">
        <w:rPr>
          <w:szCs w:val="22"/>
        </w:rPr>
        <w:t>rieurs.</w:t>
      </w:r>
    </w:p>
    <w:p w:rsidR="00AD690E" w:rsidRDefault="00AD690E" w:rsidP="00AD690E">
      <w:pPr>
        <w:spacing w:before="120" w:after="120"/>
        <w:jc w:val="both"/>
        <w:rPr>
          <w:szCs w:val="22"/>
        </w:rPr>
      </w:pPr>
      <w:r w:rsidRPr="00EC43AA">
        <w:rPr>
          <w:szCs w:val="22"/>
        </w:rPr>
        <w:t>Si la politique culturelle fut un échec, c'est comme nous l'avons montré, à cause de la nature commerciale de la bourgeoisie canadie</w:t>
      </w:r>
      <w:r w:rsidRPr="00EC43AA">
        <w:rPr>
          <w:szCs w:val="22"/>
        </w:rPr>
        <w:t>n</w:t>
      </w:r>
      <w:r w:rsidRPr="00EC43AA">
        <w:rPr>
          <w:szCs w:val="22"/>
        </w:rPr>
        <w:t>ne, parce que de larges fractions de cette classe ont davantage d'int</w:t>
      </w:r>
      <w:r w:rsidRPr="00EC43AA">
        <w:rPr>
          <w:szCs w:val="22"/>
        </w:rPr>
        <w:t>é</w:t>
      </w:r>
      <w:r w:rsidRPr="00EC43AA">
        <w:rPr>
          <w:szCs w:val="22"/>
        </w:rPr>
        <w:t>rêts à importer plutôt qu'à fabriquer les pr</w:t>
      </w:r>
      <w:r w:rsidRPr="00EC43AA">
        <w:rPr>
          <w:szCs w:val="22"/>
        </w:rPr>
        <w:t>o</w:t>
      </w:r>
      <w:r w:rsidRPr="00EC43AA">
        <w:rPr>
          <w:szCs w:val="22"/>
        </w:rPr>
        <w:t>duits culturels circulant dans le marché canadien. Mais, cet échec est aussi dû au fait que la culture n'a été considérée que comme un moyen. C'est ce qui explique que l'action politique dans le champ de la culture ait toujours confo</w:t>
      </w:r>
      <w:r w:rsidRPr="00EC43AA">
        <w:rPr>
          <w:szCs w:val="22"/>
        </w:rPr>
        <w:t>n</w:t>
      </w:r>
      <w:r w:rsidRPr="00EC43AA">
        <w:rPr>
          <w:szCs w:val="22"/>
        </w:rPr>
        <w:t>du politique cu</w:t>
      </w:r>
      <w:r w:rsidRPr="00EC43AA">
        <w:rPr>
          <w:szCs w:val="22"/>
        </w:rPr>
        <w:t>l</w:t>
      </w:r>
      <w:r w:rsidRPr="00EC43AA">
        <w:rPr>
          <w:szCs w:val="22"/>
        </w:rPr>
        <w:t>turelle et développement de la culture, qu'on ait oublié la culture comme telle et négligé les artistes et travailleurs cu</w:t>
      </w:r>
      <w:r w:rsidRPr="00EC43AA">
        <w:rPr>
          <w:szCs w:val="22"/>
        </w:rPr>
        <w:t>l</w:t>
      </w:r>
      <w:r w:rsidRPr="00EC43AA">
        <w:rPr>
          <w:szCs w:val="22"/>
        </w:rPr>
        <w:t>turels. De sorte qu'aujourd'hui, malgré certains succès, l'existence et le dév</w:t>
      </w:r>
      <w:r w:rsidRPr="00EC43AA">
        <w:rPr>
          <w:szCs w:val="22"/>
        </w:rPr>
        <w:t>e</w:t>
      </w:r>
      <w:r w:rsidRPr="00EC43AA">
        <w:rPr>
          <w:szCs w:val="22"/>
        </w:rPr>
        <w:t>loppement de la culture canadienne demeurent problématiques. Le fait que le plus nationaliste des gouvern</w:t>
      </w:r>
      <w:r w:rsidRPr="00EC43AA">
        <w:rPr>
          <w:szCs w:val="22"/>
        </w:rPr>
        <w:t>e</w:t>
      </w:r>
      <w:r w:rsidRPr="00EC43AA">
        <w:rPr>
          <w:szCs w:val="22"/>
        </w:rPr>
        <w:t>ments qu'ait connu le Canada n'ait pu que ralentir le rythme de la continentalisation culturelle du Canada et freiner l'affirmation de la spécificité culturelle des Québ</w:t>
      </w:r>
      <w:r w:rsidRPr="00EC43AA">
        <w:rPr>
          <w:szCs w:val="22"/>
        </w:rPr>
        <w:t>é</w:t>
      </w:r>
      <w:r w:rsidRPr="00EC43AA">
        <w:rPr>
          <w:szCs w:val="22"/>
        </w:rPr>
        <w:t>cois, fonde tous les doutes concernant la poss</w:t>
      </w:r>
      <w:r w:rsidRPr="00EC43AA">
        <w:rPr>
          <w:szCs w:val="22"/>
        </w:rPr>
        <w:t>i</w:t>
      </w:r>
      <w:r w:rsidRPr="00EC43AA">
        <w:rPr>
          <w:szCs w:val="22"/>
        </w:rPr>
        <w:t>bilité qu'existe un jour une véritable culture canadienne et que puisse être formulée et appl</w:t>
      </w:r>
      <w:r w:rsidRPr="00EC43AA">
        <w:rPr>
          <w:szCs w:val="22"/>
        </w:rPr>
        <w:t>i</w:t>
      </w:r>
      <w:r w:rsidRPr="00EC43AA">
        <w:rPr>
          <w:szCs w:val="22"/>
        </w:rPr>
        <w:t>quée une véritable politique canadienne de développement cult</w:t>
      </w:r>
      <w:r w:rsidRPr="00EC43AA">
        <w:rPr>
          <w:szCs w:val="22"/>
        </w:rPr>
        <w:t>u</w:t>
      </w:r>
      <w:r w:rsidRPr="00EC43AA">
        <w:rPr>
          <w:szCs w:val="22"/>
        </w:rPr>
        <w:t>rel.</w:t>
      </w:r>
    </w:p>
    <w:p w:rsidR="00AD690E" w:rsidRPr="00EC43AA" w:rsidRDefault="00AD690E" w:rsidP="00AD690E">
      <w:pPr>
        <w:spacing w:before="120" w:after="120"/>
        <w:jc w:val="both"/>
      </w:pPr>
    </w:p>
    <w:p w:rsidR="00AD690E" w:rsidRPr="00E07116" w:rsidRDefault="00AD690E">
      <w:pPr>
        <w:pStyle w:val="suite"/>
      </w:pPr>
      <w:r w:rsidRPr="00E07116">
        <w:t>Fin du texte</w:t>
      </w:r>
    </w:p>
    <w:p w:rsidR="00AD690E" w:rsidRPr="00E07116" w:rsidRDefault="00AD690E">
      <w:pPr>
        <w:jc w:val="both"/>
      </w:pPr>
    </w:p>
    <w:sectPr w:rsidR="00AD690E" w:rsidRPr="00E07116" w:rsidSect="00AD690E">
      <w:headerReference w:type="default" r:id="rId3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70C" w:rsidRDefault="0094470C">
      <w:r>
        <w:separator/>
      </w:r>
    </w:p>
  </w:endnote>
  <w:endnote w:type="continuationSeparator" w:id="0">
    <w:p w:rsidR="0094470C" w:rsidRDefault="0094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70C" w:rsidRDefault="0094470C">
      <w:pPr>
        <w:ind w:firstLine="0"/>
      </w:pPr>
      <w:r>
        <w:separator/>
      </w:r>
    </w:p>
  </w:footnote>
  <w:footnote w:type="continuationSeparator" w:id="0">
    <w:p w:rsidR="0094470C" w:rsidRDefault="0094470C">
      <w:pPr>
        <w:ind w:firstLine="0"/>
      </w:pPr>
      <w:r>
        <w:separator/>
      </w:r>
    </w:p>
  </w:footnote>
  <w:footnote w:id="1">
    <w:p w:rsidR="00AD690E" w:rsidRDefault="00AD690E" w:rsidP="00AD690E">
      <w:pPr>
        <w:pStyle w:val="Notedebasdepage"/>
      </w:pPr>
      <w:r>
        <w:rPr>
          <w:rStyle w:val="Appelnotedebasdep"/>
        </w:rPr>
        <w:footnoteRef/>
      </w:r>
      <w:r>
        <w:tab/>
      </w:r>
      <w:r w:rsidRPr="00F05F83">
        <w:t xml:space="preserve"> BECK, J.M., </w:t>
      </w:r>
      <w:r w:rsidRPr="00F05F83">
        <w:rPr>
          <w:i/>
          <w:iCs/>
        </w:rPr>
        <w:t xml:space="preserve">Pendulum of Power. Canada's Federal Elections, </w:t>
      </w:r>
      <w:r w:rsidRPr="00F05F83">
        <w:t>Scarb</w:t>
      </w:r>
      <w:r w:rsidRPr="00F05F83">
        <w:t>o</w:t>
      </w:r>
      <w:r w:rsidRPr="00F05F83">
        <w:t>rough, Prentice-Hall of Canada Ltd., 1968, p. 320.</w:t>
      </w:r>
    </w:p>
  </w:footnote>
  <w:footnote w:id="2">
    <w:p w:rsidR="00AD690E" w:rsidRPr="00F05F83" w:rsidRDefault="00AD690E" w:rsidP="00AD690E">
      <w:pPr>
        <w:pStyle w:val="Notedebasdepage"/>
      </w:pPr>
      <w:r>
        <w:rPr>
          <w:rStyle w:val="Appelnotedebasdep"/>
        </w:rPr>
        <w:footnoteRef/>
      </w:r>
      <w:r>
        <w:t xml:space="preserve"> </w:t>
      </w:r>
      <w:r>
        <w:tab/>
      </w:r>
      <w:r w:rsidRPr="00F05F83">
        <w:t xml:space="preserve">REGENSTREIF, P., </w:t>
      </w:r>
      <w:r w:rsidRPr="00F05F83">
        <w:rPr>
          <w:i/>
          <w:iCs/>
        </w:rPr>
        <w:t>The Diefenbaker Interlude. Parties and Voting in C</w:t>
      </w:r>
      <w:r w:rsidRPr="00F05F83">
        <w:rPr>
          <w:i/>
          <w:iCs/>
        </w:rPr>
        <w:t>a</w:t>
      </w:r>
      <w:r w:rsidRPr="00F05F83">
        <w:rPr>
          <w:i/>
          <w:iCs/>
        </w:rPr>
        <w:t xml:space="preserve">nada, </w:t>
      </w:r>
      <w:r w:rsidRPr="00F05F83">
        <w:t>Toronto, Longmans Canada Ltd., 1965, p. 109-132.</w:t>
      </w:r>
    </w:p>
  </w:footnote>
  <w:footnote w:id="3">
    <w:p w:rsidR="00AD690E" w:rsidRDefault="00AD690E" w:rsidP="00AD690E">
      <w:pPr>
        <w:pStyle w:val="Notedebasdepage"/>
      </w:pPr>
      <w:r>
        <w:rPr>
          <w:rStyle w:val="Appelnotedebasdep"/>
        </w:rPr>
        <w:footnoteRef/>
      </w:r>
      <w:r>
        <w:t xml:space="preserve"> </w:t>
      </w:r>
      <w:r>
        <w:tab/>
        <w:t>Sondage numéro 297, de juin 1962, du Canadian Institute for Public Op</w:t>
      </w:r>
      <w:r>
        <w:t>i</w:t>
      </w:r>
      <w:r>
        <w:t>nion cité par REGENSTREIF, P., The Diefenbaker Interlude op.cit., p. 117.</w:t>
      </w:r>
    </w:p>
  </w:footnote>
  <w:footnote w:id="4">
    <w:p w:rsidR="00AD690E" w:rsidRDefault="00AD690E" w:rsidP="00AD690E">
      <w:pPr>
        <w:pStyle w:val="Notedebasdepage"/>
      </w:pPr>
      <w:r>
        <w:rPr>
          <w:rStyle w:val="Appelnotedebasdep"/>
        </w:rPr>
        <w:footnoteRef/>
      </w:r>
      <w:r>
        <w:t xml:space="preserve"> </w:t>
      </w:r>
      <w:r>
        <w:tab/>
      </w:r>
      <w:r w:rsidRPr="00F05F83">
        <w:t>LEMIEUX, V., « The Election in the Constituency of Lévis », dans ME</w:t>
      </w:r>
      <w:r w:rsidRPr="00F05F83">
        <w:t>I</w:t>
      </w:r>
      <w:r w:rsidRPr="00F05F83">
        <w:t xml:space="preserve">SEL, J., </w:t>
      </w:r>
      <w:r w:rsidRPr="00F05F83">
        <w:rPr>
          <w:i/>
          <w:iCs/>
        </w:rPr>
        <w:t xml:space="preserve">Papers on the 1962 Election, </w:t>
      </w:r>
      <w:r w:rsidRPr="00F05F83">
        <w:t xml:space="preserve">Toronto, University of Toronto Press, 1964, p. 33-52, ; DION, Léon, « The Election in the Province of Québec », dans MEISEL, J., </w:t>
      </w:r>
      <w:r w:rsidRPr="00F05F83">
        <w:rPr>
          <w:i/>
          <w:iCs/>
        </w:rPr>
        <w:t xml:space="preserve">Papers on the 1962 Election, op.cit., </w:t>
      </w:r>
      <w:r w:rsidRPr="00F05F83">
        <w:t>p. 109-128 ; voir aussi, IRVINE, W.P., « An Analysis of Voting Shifts in Qu</w:t>
      </w:r>
      <w:r w:rsidRPr="00F05F83">
        <w:t>é</w:t>
      </w:r>
      <w:r w:rsidRPr="00F05F83">
        <w:t>bec », dans</w:t>
      </w:r>
      <w:r>
        <w:t xml:space="preserve"> </w:t>
      </w:r>
      <w:r w:rsidRPr="00481510">
        <w:t>MEISEL, J.,</w:t>
      </w:r>
      <w:r>
        <w:t xml:space="preserve"> </w:t>
      </w:r>
      <w:r w:rsidRPr="00481510">
        <w:t xml:space="preserve"> </w:t>
      </w:r>
      <w:r w:rsidRPr="00C74B74">
        <w:rPr>
          <w:i/>
        </w:rPr>
        <w:t>Papers on the 1962 Election</w:t>
      </w:r>
      <w:r w:rsidRPr="00481510">
        <w:t xml:space="preserve">, op.cit., p. 129-143 ; PINARD, M., </w:t>
      </w:r>
      <w:r w:rsidRPr="00C74B74">
        <w:rPr>
          <w:i/>
        </w:rPr>
        <w:t>The Rise of a Third Party. A Study in Crisis Politics</w:t>
      </w:r>
      <w:r w:rsidRPr="00481510">
        <w:t xml:space="preserve">, Englewood Cliffs, Prentice-Hall Inc., 1971, 285 pages ; STEIN, Michael B., </w:t>
      </w:r>
      <w:r w:rsidRPr="00C74B74">
        <w:rPr>
          <w:i/>
        </w:rPr>
        <w:t>The Dynamics of Right-Wing Protest : A Political Analysis of Social Credit in Quebec</w:t>
      </w:r>
      <w:r w:rsidRPr="00481510">
        <w:t>, Toro</w:t>
      </w:r>
      <w:r w:rsidRPr="00481510">
        <w:t>n</w:t>
      </w:r>
      <w:r w:rsidRPr="00481510">
        <w:t>to, University of Toronto Press, 1973, 256 pages.</w:t>
      </w:r>
    </w:p>
  </w:footnote>
  <w:footnote w:id="5">
    <w:p w:rsidR="00AD690E" w:rsidRDefault="00AD690E" w:rsidP="00AD690E">
      <w:pPr>
        <w:pStyle w:val="Notedebasdepage"/>
      </w:pPr>
      <w:r>
        <w:rPr>
          <w:rStyle w:val="Appelnotedebasdep"/>
        </w:rPr>
        <w:footnoteRef/>
      </w:r>
      <w:r>
        <w:t xml:space="preserve"> </w:t>
      </w:r>
      <w:r>
        <w:tab/>
      </w:r>
      <w:r w:rsidRPr="00AC3B17">
        <w:t>NEWMAN, P.C.,</w:t>
      </w:r>
      <w:r w:rsidRPr="00613DB0">
        <w:t xml:space="preserve"> </w:t>
      </w:r>
      <w:r w:rsidRPr="00613DB0">
        <w:rPr>
          <w:i/>
          <w:iCs/>
        </w:rPr>
        <w:t xml:space="preserve">Renegade in Power : The Diefenbaker Years, </w:t>
      </w:r>
      <w:r w:rsidRPr="00613DB0">
        <w:t>Toronto, McCle</w:t>
      </w:r>
      <w:r w:rsidRPr="00613DB0">
        <w:t>l</w:t>
      </w:r>
      <w:r w:rsidRPr="00613DB0">
        <w:t>land and Stewart Ltd., 1963, p. 340-382 (dans l'édition d'octobre 1964).</w:t>
      </w:r>
    </w:p>
  </w:footnote>
  <w:footnote w:id="6">
    <w:p w:rsidR="00AD690E" w:rsidRDefault="00AD690E" w:rsidP="00AD690E">
      <w:pPr>
        <w:pStyle w:val="Notedebasdepage"/>
      </w:pPr>
      <w:r>
        <w:rPr>
          <w:rStyle w:val="Appelnotedebasdep"/>
        </w:rPr>
        <w:footnoteRef/>
      </w:r>
      <w:r>
        <w:t xml:space="preserve"> </w:t>
      </w:r>
      <w:r>
        <w:tab/>
      </w:r>
      <w:r w:rsidRPr="00B20C10">
        <w:t xml:space="preserve">MORIN, C, </w:t>
      </w:r>
      <w:r w:rsidRPr="00B20C10">
        <w:rPr>
          <w:i/>
          <w:iCs/>
        </w:rPr>
        <w:t xml:space="preserve">Le pouvoir québécois... en négociation, </w:t>
      </w:r>
      <w:r w:rsidRPr="00B20C10">
        <w:t>Montréal, Les Éd</w:t>
      </w:r>
      <w:r w:rsidRPr="00B20C10">
        <w:t>i</w:t>
      </w:r>
      <w:r w:rsidRPr="00B20C10">
        <w:t xml:space="preserve">tions du Boréal Express, 1972, 208 pages ; </w:t>
      </w:r>
      <w:r w:rsidRPr="00B20C10">
        <w:rPr>
          <w:i/>
          <w:iCs/>
        </w:rPr>
        <w:t xml:space="preserve">Le combat québécois, </w:t>
      </w:r>
      <w:r w:rsidRPr="00B20C10">
        <w:t>Mo</w:t>
      </w:r>
      <w:r w:rsidRPr="00B20C10">
        <w:t>n</w:t>
      </w:r>
      <w:r w:rsidRPr="00B20C10">
        <w:t>tréal, Les Éditions du Boréal Express, 1973, 189 pages.</w:t>
      </w:r>
    </w:p>
  </w:footnote>
  <w:footnote w:id="7">
    <w:p w:rsidR="00AD690E" w:rsidRDefault="00AD690E" w:rsidP="00AD690E">
      <w:pPr>
        <w:pStyle w:val="Notedebasdepage"/>
      </w:pPr>
      <w:r>
        <w:rPr>
          <w:rStyle w:val="Appelnotedebasdep"/>
        </w:rPr>
        <w:footnoteRef/>
      </w:r>
      <w:r>
        <w:t xml:space="preserve"> </w:t>
      </w:r>
      <w:r>
        <w:tab/>
      </w:r>
      <w:r w:rsidRPr="00B20C10">
        <w:t xml:space="preserve">SIMEON, R., </w:t>
      </w:r>
      <w:r w:rsidRPr="00B20C10">
        <w:rPr>
          <w:i/>
          <w:iCs/>
        </w:rPr>
        <w:t>Federal-Provincial Diplomacy. The Making of Recent Pol</w:t>
      </w:r>
      <w:r w:rsidRPr="00B20C10">
        <w:rPr>
          <w:i/>
          <w:iCs/>
        </w:rPr>
        <w:t>i</w:t>
      </w:r>
      <w:r w:rsidRPr="00B20C10">
        <w:rPr>
          <w:i/>
          <w:iCs/>
        </w:rPr>
        <w:t xml:space="preserve">cy in Canada, </w:t>
      </w:r>
      <w:r w:rsidRPr="00B20C10">
        <w:t>Toronto, University of Toronto Press, 1972, 324 pages (en part</w:t>
      </w:r>
      <w:r w:rsidRPr="00B20C10">
        <w:t>i</w:t>
      </w:r>
      <w:r w:rsidRPr="00B20C10">
        <w:t>culier, p. 152-154, p. 175-176 et p. 257-258).</w:t>
      </w:r>
    </w:p>
  </w:footnote>
  <w:footnote w:id="8">
    <w:p w:rsidR="00AD690E" w:rsidRDefault="00AD690E" w:rsidP="00AD690E">
      <w:pPr>
        <w:pStyle w:val="Notedebasdepage"/>
      </w:pPr>
      <w:r>
        <w:rPr>
          <w:rStyle w:val="Appelnotedebasdep"/>
        </w:rPr>
        <w:footnoteRef/>
      </w:r>
      <w:r>
        <w:t xml:space="preserve"> </w:t>
      </w:r>
      <w:r>
        <w:tab/>
      </w:r>
      <w:r w:rsidRPr="003A7C4A">
        <w:t xml:space="preserve">MORIN, C, </w:t>
      </w:r>
      <w:r w:rsidRPr="003A7C4A">
        <w:rPr>
          <w:i/>
          <w:iCs/>
        </w:rPr>
        <w:t>L'art de l'impossible. La diplomatie qu</w:t>
      </w:r>
      <w:r w:rsidRPr="003A7C4A">
        <w:rPr>
          <w:i/>
          <w:iCs/>
        </w:rPr>
        <w:t>é</w:t>
      </w:r>
      <w:r w:rsidRPr="003A7C4A">
        <w:rPr>
          <w:i/>
          <w:iCs/>
        </w:rPr>
        <w:t xml:space="preserve">bécoise depuis 1960, </w:t>
      </w:r>
      <w:r w:rsidRPr="003A7C4A">
        <w:t>Montréal, Les Éditions du Boréal Express, 1987, 472 pages.</w:t>
      </w:r>
    </w:p>
  </w:footnote>
  <w:footnote w:id="9">
    <w:p w:rsidR="00AD690E" w:rsidRDefault="00AD690E" w:rsidP="00AD690E">
      <w:pPr>
        <w:pStyle w:val="Notedebasdepage"/>
      </w:pPr>
      <w:r>
        <w:rPr>
          <w:rStyle w:val="Appelnotedebasdep"/>
        </w:rPr>
        <w:footnoteRef/>
      </w:r>
      <w:r>
        <w:t xml:space="preserve"> </w:t>
      </w:r>
      <w:r>
        <w:tab/>
      </w:r>
      <w:r w:rsidRPr="003A7C4A">
        <w:t xml:space="preserve">NEWMAN, P. C, </w:t>
      </w:r>
      <w:r w:rsidRPr="003A7C4A">
        <w:rPr>
          <w:i/>
          <w:iCs/>
        </w:rPr>
        <w:t>The Distemper of Our Times : Canadian Politics in Tra</w:t>
      </w:r>
      <w:r w:rsidRPr="003A7C4A">
        <w:rPr>
          <w:i/>
          <w:iCs/>
        </w:rPr>
        <w:t>n</w:t>
      </w:r>
      <w:r w:rsidRPr="003A7C4A">
        <w:rPr>
          <w:i/>
          <w:iCs/>
        </w:rPr>
        <w:t xml:space="preserve">sition : 1963-1968, </w:t>
      </w:r>
      <w:r w:rsidRPr="003A7C4A">
        <w:t>Toronto, McClelland and Stewart Ltd., 1968, 558 pages (en part</w:t>
      </w:r>
      <w:r w:rsidRPr="003A7C4A">
        <w:t>i</w:t>
      </w:r>
      <w:r w:rsidRPr="003A7C4A">
        <w:t>culier, p. 108-113 et p. 251-263).</w:t>
      </w:r>
    </w:p>
  </w:footnote>
  <w:footnote w:id="10">
    <w:p w:rsidR="00AD690E" w:rsidRDefault="00AD690E" w:rsidP="00AD690E">
      <w:pPr>
        <w:pStyle w:val="Notedebasdepage"/>
      </w:pPr>
      <w:r>
        <w:rPr>
          <w:rStyle w:val="Appelnotedebasdep"/>
        </w:rPr>
        <w:footnoteRef/>
      </w:r>
      <w:r>
        <w:t xml:space="preserve"> </w:t>
      </w:r>
      <w:r>
        <w:tab/>
      </w:r>
      <w:r w:rsidRPr="003A7C4A">
        <w:t>BRUNELLE, D., « Le contentieux constitutionnel au Québec dans les a</w:t>
      </w:r>
      <w:r w:rsidRPr="003A7C4A">
        <w:t>n</w:t>
      </w:r>
      <w:r w:rsidRPr="003A7C4A">
        <w:t xml:space="preserve">nées soixante », dans BRUNELLE, D., </w:t>
      </w:r>
      <w:hyperlink r:id="rId1" w:history="1">
        <w:r w:rsidRPr="003A7C4A">
          <w:rPr>
            <w:rStyle w:val="Lienhypertexte"/>
            <w:i/>
            <w:iCs/>
            <w:szCs w:val="18"/>
          </w:rPr>
          <w:t>L'État solide. Sociologie du fédér</w:t>
        </w:r>
        <w:r w:rsidRPr="003A7C4A">
          <w:rPr>
            <w:rStyle w:val="Lienhypertexte"/>
            <w:i/>
            <w:iCs/>
            <w:szCs w:val="18"/>
          </w:rPr>
          <w:t>a</w:t>
        </w:r>
        <w:r w:rsidRPr="003A7C4A">
          <w:rPr>
            <w:rStyle w:val="Lienhypertexte"/>
            <w:i/>
            <w:iCs/>
            <w:szCs w:val="18"/>
          </w:rPr>
          <w:t>lisme au Canada et au Québec</w:t>
        </w:r>
      </w:hyperlink>
      <w:r w:rsidRPr="003A7C4A">
        <w:rPr>
          <w:i/>
          <w:iCs/>
        </w:rPr>
        <w:t xml:space="preserve">, </w:t>
      </w:r>
      <w:r w:rsidRPr="003A7C4A">
        <w:t>Montréal, Les Éditions Sélect, 1982, p. 79-107.</w:t>
      </w:r>
    </w:p>
  </w:footnote>
  <w:footnote w:id="11">
    <w:p w:rsidR="00AD690E" w:rsidRDefault="00AD690E" w:rsidP="00AD690E">
      <w:pPr>
        <w:pStyle w:val="Notedebasdepage"/>
      </w:pPr>
      <w:r>
        <w:rPr>
          <w:rStyle w:val="Appelnotedebasdep"/>
        </w:rPr>
        <w:footnoteRef/>
      </w:r>
      <w:r>
        <w:t xml:space="preserve"> </w:t>
      </w:r>
      <w:r>
        <w:tab/>
      </w:r>
      <w:r w:rsidRPr="006B3F5F">
        <w:t>BECK, J.M., Pendulum of Power, op. cit., p. 399.</w:t>
      </w:r>
    </w:p>
  </w:footnote>
  <w:footnote w:id="12">
    <w:p w:rsidR="00AD690E" w:rsidRDefault="00AD690E" w:rsidP="00AD690E">
      <w:pPr>
        <w:pStyle w:val="Notedebasdepage"/>
      </w:pPr>
      <w:r>
        <w:rPr>
          <w:rStyle w:val="Appelnotedebasdep"/>
        </w:rPr>
        <w:footnoteRef/>
      </w:r>
      <w:r>
        <w:t xml:space="preserve"> </w:t>
      </w:r>
      <w:r>
        <w:tab/>
      </w:r>
      <w:r w:rsidRPr="006B3F5F">
        <w:t xml:space="preserve">POLIQUIN, J.-M. et BEAL, J. R., </w:t>
      </w:r>
      <w:r w:rsidRPr="006B3F5F">
        <w:rPr>
          <w:i/>
          <w:iCs/>
        </w:rPr>
        <w:t xml:space="preserve">Les trois vies de Pearson, </w:t>
      </w:r>
      <w:r w:rsidRPr="006B3F5F">
        <w:t>Montréal, Les Éditions de l'Homme, 1968, p. 59-67</w:t>
      </w:r>
      <w:r>
        <w:t>.</w:t>
      </w:r>
    </w:p>
  </w:footnote>
  <w:footnote w:id="13">
    <w:p w:rsidR="00AD690E" w:rsidRDefault="00AD690E" w:rsidP="00AD690E">
      <w:pPr>
        <w:pStyle w:val="Notedebasdepage"/>
      </w:pPr>
      <w:r>
        <w:rPr>
          <w:rStyle w:val="Appelnotedebasdep"/>
        </w:rPr>
        <w:footnoteRef/>
      </w:r>
      <w:r>
        <w:t xml:space="preserve"> </w:t>
      </w:r>
      <w:r>
        <w:tab/>
      </w:r>
      <w:r w:rsidRPr="006B3F5F">
        <w:t xml:space="preserve">RADWANSKI, G., </w:t>
      </w:r>
      <w:r w:rsidRPr="006B3F5F">
        <w:rPr>
          <w:i/>
          <w:iCs/>
        </w:rPr>
        <w:t xml:space="preserve">Trudeau, </w:t>
      </w:r>
      <w:r w:rsidRPr="006B3F5F">
        <w:t>Toronto, Macmillan Company of Canada Ltd., chapitre 6 (The Reluctant Leader), 1978. En version française, Montréal, F</w:t>
      </w:r>
      <w:r w:rsidRPr="006B3F5F">
        <w:t>i</w:t>
      </w:r>
      <w:r w:rsidRPr="006B3F5F">
        <w:t>des, 1979.</w:t>
      </w:r>
    </w:p>
  </w:footnote>
  <w:footnote w:id="14">
    <w:p w:rsidR="00AD690E" w:rsidRDefault="00AD690E" w:rsidP="00AD690E">
      <w:pPr>
        <w:pStyle w:val="Notedebasdepage"/>
      </w:pPr>
      <w:r>
        <w:rPr>
          <w:rStyle w:val="Appelnotedebasdep"/>
        </w:rPr>
        <w:footnoteRef/>
      </w:r>
      <w:r>
        <w:t xml:space="preserve"> </w:t>
      </w:r>
      <w:r>
        <w:tab/>
      </w:r>
      <w:r w:rsidRPr="0019766D">
        <w:t xml:space="preserve">BECK, J.M., </w:t>
      </w:r>
      <w:r w:rsidRPr="00857900">
        <w:rPr>
          <w:i/>
        </w:rPr>
        <w:t>Pendulum of Power</w:t>
      </w:r>
      <w:r w:rsidRPr="0019766D">
        <w:t xml:space="preserve">, </w:t>
      </w:r>
      <w:r w:rsidRPr="00857900">
        <w:rPr>
          <w:i/>
        </w:rPr>
        <w:t>op. cit</w:t>
      </w:r>
      <w:r w:rsidRPr="0019766D">
        <w:t>., p. 400.</w:t>
      </w:r>
    </w:p>
  </w:footnote>
  <w:footnote w:id="15">
    <w:p w:rsidR="00AD690E" w:rsidRDefault="00AD690E" w:rsidP="00AD690E">
      <w:pPr>
        <w:pStyle w:val="Notedebasdepage"/>
      </w:pPr>
      <w:r>
        <w:rPr>
          <w:rStyle w:val="Appelnotedebasdep"/>
        </w:rPr>
        <w:footnoteRef/>
      </w:r>
      <w:r>
        <w:t xml:space="preserve"> </w:t>
      </w:r>
      <w:r>
        <w:tab/>
      </w:r>
      <w:r w:rsidRPr="0019766D">
        <w:t xml:space="preserve">MEISEL, L, </w:t>
      </w:r>
      <w:r w:rsidRPr="0019766D">
        <w:rPr>
          <w:i/>
          <w:iCs/>
        </w:rPr>
        <w:t>Working Paper s on Canadian Po</w:t>
      </w:r>
      <w:r w:rsidRPr="0019766D">
        <w:rPr>
          <w:i/>
          <w:iCs/>
        </w:rPr>
        <w:t>l</w:t>
      </w:r>
      <w:r w:rsidRPr="0019766D">
        <w:rPr>
          <w:i/>
          <w:iCs/>
        </w:rPr>
        <w:t xml:space="preserve">lues, Enlarged Edition, </w:t>
      </w:r>
      <w:r w:rsidRPr="0019766D">
        <w:t>Montréal, McGill-Queen's Un</w:t>
      </w:r>
      <w:r w:rsidRPr="0019766D">
        <w:t>i</w:t>
      </w:r>
      <w:r w:rsidRPr="0019766D">
        <w:t>versity Press, 1973, p. 31.</w:t>
      </w:r>
    </w:p>
  </w:footnote>
  <w:footnote w:id="16">
    <w:p w:rsidR="00AD690E" w:rsidRDefault="00AD690E" w:rsidP="00AD690E">
      <w:pPr>
        <w:pStyle w:val="Notedebasdepage"/>
      </w:pPr>
      <w:r>
        <w:rPr>
          <w:rStyle w:val="Appelnotedebasdep"/>
        </w:rPr>
        <w:footnoteRef/>
      </w:r>
      <w:r>
        <w:t xml:space="preserve"> </w:t>
      </w:r>
      <w:r>
        <w:tab/>
      </w:r>
      <w:r w:rsidRPr="002D482D">
        <w:t xml:space="preserve">PELLETIER, G., </w:t>
      </w:r>
      <w:r w:rsidRPr="002D482D">
        <w:rPr>
          <w:i/>
          <w:iCs/>
        </w:rPr>
        <w:t xml:space="preserve">La crise d'octobre, </w:t>
      </w:r>
      <w:r w:rsidRPr="002D482D">
        <w:t>Montréal, Éd</w:t>
      </w:r>
      <w:r w:rsidRPr="002D482D">
        <w:t>i</w:t>
      </w:r>
      <w:r w:rsidRPr="002D482D">
        <w:t xml:space="preserve">tions du Jour, 1971, p. 172 ; BELLAVANCE, M. et GILBERT, M., </w:t>
      </w:r>
      <w:r w:rsidRPr="002D482D">
        <w:rPr>
          <w:i/>
          <w:iCs/>
        </w:rPr>
        <w:t xml:space="preserve">L'opinion publique et la crise d'octobre, </w:t>
      </w:r>
      <w:r w:rsidRPr="002D482D">
        <w:t>Montréal, Les Éditions du Jour, 1971, p. 43-53.</w:t>
      </w:r>
    </w:p>
  </w:footnote>
  <w:footnote w:id="17">
    <w:p w:rsidR="00AD690E" w:rsidRDefault="00AD690E" w:rsidP="00AD690E">
      <w:pPr>
        <w:pStyle w:val="Notedebasdepage"/>
      </w:pPr>
      <w:r>
        <w:rPr>
          <w:rStyle w:val="Appelnotedebasdep"/>
        </w:rPr>
        <w:footnoteRef/>
      </w:r>
      <w:r>
        <w:t xml:space="preserve"> </w:t>
      </w:r>
      <w:r>
        <w:tab/>
      </w:r>
      <w:r w:rsidRPr="002D482D">
        <w:t xml:space="preserve">TRAIT, J.-C., </w:t>
      </w:r>
      <w:r w:rsidRPr="002D482D">
        <w:rPr>
          <w:i/>
          <w:iCs/>
        </w:rPr>
        <w:t xml:space="preserve">FLQ 70 : Offensive d'automne, </w:t>
      </w:r>
      <w:r w:rsidRPr="002D482D">
        <w:t>Mo</w:t>
      </w:r>
      <w:r w:rsidRPr="002D482D">
        <w:t>n</w:t>
      </w:r>
      <w:r w:rsidRPr="002D482D">
        <w:t>tréal, Les Éditions de l'Homme, 1970, p. 219.</w:t>
      </w:r>
    </w:p>
  </w:footnote>
  <w:footnote w:id="18">
    <w:p w:rsidR="00AD690E" w:rsidRDefault="00AD690E" w:rsidP="00AD690E">
      <w:pPr>
        <w:pStyle w:val="Notedebasdepage"/>
      </w:pPr>
      <w:r>
        <w:rPr>
          <w:rStyle w:val="Appelnotedebasdep"/>
        </w:rPr>
        <w:footnoteRef/>
      </w:r>
      <w:r>
        <w:t xml:space="preserve"> </w:t>
      </w:r>
      <w:r>
        <w:tab/>
      </w:r>
      <w:r w:rsidRPr="002D482D">
        <w:t xml:space="preserve">MEISEL, J., </w:t>
      </w:r>
      <w:r w:rsidRPr="00857900">
        <w:rPr>
          <w:i/>
        </w:rPr>
        <w:t>Working Papers on Canadian Pol</w:t>
      </w:r>
      <w:r w:rsidRPr="00857900">
        <w:rPr>
          <w:i/>
        </w:rPr>
        <w:t>i</w:t>
      </w:r>
      <w:r w:rsidRPr="00857900">
        <w:rPr>
          <w:i/>
        </w:rPr>
        <w:t>tics</w:t>
      </w:r>
      <w:r w:rsidRPr="002D482D">
        <w:t>. Enlarged Edition,</w:t>
      </w:r>
      <w:r>
        <w:t xml:space="preserve"> </w:t>
      </w:r>
      <w:r w:rsidRPr="002D482D">
        <w:t>op. cit., p. 220.</w:t>
      </w:r>
    </w:p>
  </w:footnote>
  <w:footnote w:id="19">
    <w:p w:rsidR="00AD690E" w:rsidRDefault="00AD690E" w:rsidP="00AD690E">
      <w:pPr>
        <w:pStyle w:val="Notedebasdepage"/>
      </w:pPr>
      <w:r>
        <w:rPr>
          <w:rStyle w:val="Appelnotedebasdep"/>
        </w:rPr>
        <w:footnoteRef/>
      </w:r>
      <w:r>
        <w:t xml:space="preserve"> </w:t>
      </w:r>
      <w:r>
        <w:tab/>
      </w:r>
      <w:r w:rsidRPr="00F33579">
        <w:t xml:space="preserve">PENNIMAN, H.R. (Ed.), </w:t>
      </w:r>
      <w:r w:rsidRPr="00F33579">
        <w:rPr>
          <w:i/>
          <w:iCs/>
        </w:rPr>
        <w:t xml:space="preserve">Canada at the Polls : The General Election of 1974, </w:t>
      </w:r>
      <w:r w:rsidRPr="00F33579">
        <w:t>Washington, D.C., American Enterprise Institute, 1975 ; PA</w:t>
      </w:r>
      <w:r w:rsidRPr="00F33579">
        <w:t>M</w:t>
      </w:r>
      <w:r w:rsidRPr="00F33579">
        <w:t xml:space="preserve">METT, J., LEDUC, L., JENSON, J. et CLARKE, H., </w:t>
      </w:r>
      <w:r w:rsidRPr="00F33579">
        <w:rPr>
          <w:i/>
          <w:iCs/>
        </w:rPr>
        <w:t>The 1974 F</w:t>
      </w:r>
      <w:r>
        <w:rPr>
          <w:i/>
          <w:iCs/>
        </w:rPr>
        <w:t>e</w:t>
      </w:r>
      <w:r w:rsidRPr="00F33579">
        <w:rPr>
          <w:i/>
          <w:iCs/>
        </w:rPr>
        <w:t>d</w:t>
      </w:r>
      <w:r>
        <w:rPr>
          <w:i/>
          <w:iCs/>
        </w:rPr>
        <w:t>e</w:t>
      </w:r>
      <w:r w:rsidRPr="00F33579">
        <w:rPr>
          <w:i/>
          <w:iCs/>
        </w:rPr>
        <w:t>ral Ele</w:t>
      </w:r>
      <w:r w:rsidRPr="00F33579">
        <w:rPr>
          <w:i/>
          <w:iCs/>
        </w:rPr>
        <w:t>c</w:t>
      </w:r>
      <w:r w:rsidRPr="00F33579">
        <w:rPr>
          <w:i/>
          <w:iCs/>
        </w:rPr>
        <w:t xml:space="preserve">tion : A Preliminary Report, </w:t>
      </w:r>
      <w:r w:rsidRPr="00F33579">
        <w:t xml:space="preserve">Ottawa, Carleton University, 1974 ; WEARING, J., </w:t>
      </w:r>
      <w:r w:rsidRPr="00F33579">
        <w:rPr>
          <w:i/>
          <w:iCs/>
        </w:rPr>
        <w:t>The L-Shaped Party : The Lib</w:t>
      </w:r>
      <w:r>
        <w:rPr>
          <w:i/>
          <w:iCs/>
        </w:rPr>
        <w:t>e</w:t>
      </w:r>
      <w:r w:rsidRPr="00F33579">
        <w:rPr>
          <w:i/>
          <w:iCs/>
        </w:rPr>
        <w:t xml:space="preserve">ral Party of Canada 1958-1980, </w:t>
      </w:r>
      <w:r w:rsidRPr="00F33579">
        <w:t>Toronto, McGraw-Hill Ryerson Limited, 1981, p.</w:t>
      </w:r>
      <w:r>
        <w:t> </w:t>
      </w:r>
      <w:r w:rsidRPr="00F33579">
        <w:t>202-203.</w:t>
      </w:r>
    </w:p>
  </w:footnote>
  <w:footnote w:id="20">
    <w:p w:rsidR="00AD690E" w:rsidRDefault="00AD690E" w:rsidP="00AD690E">
      <w:pPr>
        <w:pStyle w:val="Notedebasdepage"/>
      </w:pPr>
      <w:r>
        <w:rPr>
          <w:rStyle w:val="Appelnotedebasdep"/>
        </w:rPr>
        <w:footnoteRef/>
      </w:r>
      <w:r>
        <w:t xml:space="preserve"> </w:t>
      </w:r>
      <w:r>
        <w:tab/>
      </w:r>
      <w:r w:rsidRPr="00F33579">
        <w:t>MEISEL, J., « The Larger Context : The Period Preeeding the 1979 Ele</w:t>
      </w:r>
      <w:r w:rsidRPr="00F33579">
        <w:t>c</w:t>
      </w:r>
      <w:r w:rsidRPr="00F33579">
        <w:t xml:space="preserve">tion », dans PENNIMAN, H.R. (Ed.), </w:t>
      </w:r>
      <w:r w:rsidRPr="00F33579">
        <w:rPr>
          <w:i/>
          <w:iCs/>
        </w:rPr>
        <w:t xml:space="preserve">Canada at the Poils, 1979 and 1980. A Study of the General Elections, </w:t>
      </w:r>
      <w:r w:rsidRPr="00F33579">
        <w:t>Washington, D.C., American E</w:t>
      </w:r>
      <w:r w:rsidRPr="00F33579">
        <w:t>n</w:t>
      </w:r>
      <w:r w:rsidRPr="00F33579">
        <w:t>terprise Institute, 1981, p. 24-54.</w:t>
      </w:r>
    </w:p>
  </w:footnote>
  <w:footnote w:id="21">
    <w:p w:rsidR="00AD690E" w:rsidRDefault="00AD690E" w:rsidP="00AD690E">
      <w:pPr>
        <w:pStyle w:val="Notedebasdepage"/>
      </w:pPr>
      <w:r>
        <w:rPr>
          <w:rStyle w:val="Appelnotedebasdep"/>
        </w:rPr>
        <w:footnoteRef/>
      </w:r>
      <w:r>
        <w:t xml:space="preserve"> </w:t>
      </w:r>
      <w:r>
        <w:tab/>
      </w:r>
      <w:r w:rsidRPr="00AD7999">
        <w:t xml:space="preserve">IRVINE, W. P., « The Canadian Voter », dans PENNIMAN, H.R. (Ed.), </w:t>
      </w:r>
      <w:r>
        <w:rPr>
          <w:i/>
          <w:iCs/>
        </w:rPr>
        <w:t>Canada at the Pol</w:t>
      </w:r>
      <w:r w:rsidRPr="00AD7999">
        <w:rPr>
          <w:i/>
          <w:iCs/>
        </w:rPr>
        <w:t xml:space="preserve">ls, 1970 and 1980, op. cit., </w:t>
      </w:r>
      <w:r w:rsidRPr="00AD7999">
        <w:t>p. 55-85.</w:t>
      </w:r>
    </w:p>
  </w:footnote>
  <w:footnote w:id="22">
    <w:p w:rsidR="00AD690E" w:rsidRDefault="00AD690E" w:rsidP="00AD690E">
      <w:pPr>
        <w:pStyle w:val="Notedebasdepage"/>
      </w:pPr>
      <w:r>
        <w:rPr>
          <w:rStyle w:val="Appelnotedebasdep"/>
        </w:rPr>
        <w:footnoteRef/>
      </w:r>
      <w:r>
        <w:t xml:space="preserve"> </w:t>
      </w:r>
      <w:r>
        <w:tab/>
      </w:r>
      <w:r w:rsidRPr="008A748A">
        <w:t xml:space="preserve">BORINS, S. F., </w:t>
      </w:r>
      <w:r w:rsidRPr="008A748A">
        <w:rPr>
          <w:i/>
          <w:iCs/>
        </w:rPr>
        <w:t xml:space="preserve">Le français dans les airs. Le conflit du bilinguisme dans le contrôle de la circulation aérienne au Canada, </w:t>
      </w:r>
      <w:r w:rsidRPr="008A748A">
        <w:t>Montréal, Chenelière et Stanké, 1983, 306 pages (ouvrage publié par l'Institut d'administration p</w:t>
      </w:r>
      <w:r w:rsidRPr="008A748A">
        <w:t>u</w:t>
      </w:r>
      <w:r w:rsidRPr="008A748A">
        <w:t xml:space="preserve">blique du Canada ; version en langue anglaise intitulée </w:t>
      </w:r>
      <w:r w:rsidRPr="008A748A">
        <w:rPr>
          <w:i/>
          <w:iCs/>
        </w:rPr>
        <w:t>The Language of the Skies).</w:t>
      </w:r>
    </w:p>
  </w:footnote>
  <w:footnote w:id="23">
    <w:p w:rsidR="00AD690E" w:rsidRDefault="00AD690E" w:rsidP="00AD690E">
      <w:pPr>
        <w:pStyle w:val="Notedebasdepage"/>
      </w:pPr>
      <w:r>
        <w:rPr>
          <w:rStyle w:val="Appelnotedebasdep"/>
        </w:rPr>
        <w:footnoteRef/>
      </w:r>
      <w:r>
        <w:t xml:space="preserve"> </w:t>
      </w:r>
      <w:r>
        <w:tab/>
      </w:r>
      <w:r w:rsidRPr="00567F2F">
        <w:t xml:space="preserve">BEALE, B., </w:t>
      </w:r>
      <w:r w:rsidRPr="00857900">
        <w:t>Energy and Industry. The Potential of Energy Development Projects for Canadian Industry in the Eighties</w:t>
      </w:r>
      <w:r w:rsidRPr="00567F2F">
        <w:t xml:space="preserve">, Toronto, James Lorimer, 1980, 94 pages ; MCDOUGALL, LA., </w:t>
      </w:r>
      <w:r w:rsidRPr="00857900">
        <w:t>Marketing Canada's Energy. A Str</w:t>
      </w:r>
      <w:r w:rsidRPr="00857900">
        <w:t>a</w:t>
      </w:r>
      <w:r w:rsidRPr="00857900">
        <w:t>tegy for Security in Oil and Gas</w:t>
      </w:r>
      <w:r w:rsidRPr="00567F2F">
        <w:t xml:space="preserve">, Toronto, James Lorimer, 1983, 148  </w:t>
      </w:r>
      <w:r w:rsidRPr="00857900">
        <w:t>Surv</w:t>
      </w:r>
      <w:r w:rsidRPr="00857900">
        <w:t>i</w:t>
      </w:r>
      <w:r w:rsidRPr="00857900">
        <w:t>val</w:t>
      </w:r>
      <w:r w:rsidRPr="00567F2F">
        <w:t>, Toronto, James Lorimer, 1980, 144 pages. Ces ouvrages ont été publiés par l'Institut canadien de politique économique.</w:t>
      </w:r>
    </w:p>
  </w:footnote>
  <w:footnote w:id="24">
    <w:p w:rsidR="00AD690E" w:rsidRDefault="00AD690E" w:rsidP="00AD690E">
      <w:pPr>
        <w:pStyle w:val="Notedebasdepage"/>
      </w:pPr>
      <w:r>
        <w:rPr>
          <w:rStyle w:val="Appelnotedebasdep"/>
        </w:rPr>
        <w:footnoteRef/>
      </w:r>
      <w:r>
        <w:t xml:space="preserve"> </w:t>
      </w:r>
      <w:r>
        <w:tab/>
      </w:r>
      <w:r w:rsidRPr="00567F2F">
        <w:t>Ce sont les libéraux, revenus au pouvoir en février 1980, qui décidèrent e</w:t>
      </w:r>
      <w:r w:rsidRPr="00567F2F">
        <w:t>n</w:t>
      </w:r>
      <w:r w:rsidRPr="00567F2F">
        <w:t>fin, après le référendum constitutionnel du Québec, d'interrompre le pai</w:t>
      </w:r>
      <w:r w:rsidRPr="00567F2F">
        <w:t>e</w:t>
      </w:r>
      <w:r w:rsidRPr="00567F2F">
        <w:t>ment de la subvention de 0,18 $ le baril. Les prix  s'ajustèrent en conséque</w:t>
      </w:r>
      <w:r w:rsidRPr="00567F2F">
        <w:t>n</w:t>
      </w:r>
      <w:r w:rsidRPr="00567F2F">
        <w:t>ce de cette décision du 30 juillet 1980. Plus tard, désireux de protéger, ma</w:t>
      </w:r>
      <w:r w:rsidRPr="00567F2F">
        <w:t>l</w:t>
      </w:r>
      <w:r w:rsidRPr="00567F2F">
        <w:t>gré tout, les intérêts du Centre du pays, les libéraux prépar</w:t>
      </w:r>
      <w:r w:rsidRPr="00567F2F">
        <w:t>è</w:t>
      </w:r>
      <w:r w:rsidRPr="00567F2F">
        <w:t>rent une nouvelle politique d'énergie qui fut pr</w:t>
      </w:r>
      <w:r w:rsidRPr="00567F2F">
        <w:t>é</w:t>
      </w:r>
      <w:r w:rsidRPr="00567F2F">
        <w:t>sentée lors du budget, le 28 octobre 1980.</w:t>
      </w:r>
    </w:p>
  </w:footnote>
  <w:footnote w:id="25">
    <w:p w:rsidR="00AD690E" w:rsidRDefault="00AD690E" w:rsidP="00AD690E">
      <w:pPr>
        <w:pStyle w:val="Notedebasdepage"/>
      </w:pPr>
      <w:r>
        <w:rPr>
          <w:rStyle w:val="Appelnotedebasdep"/>
        </w:rPr>
        <w:footnoteRef/>
      </w:r>
      <w:r>
        <w:t xml:space="preserve"> </w:t>
      </w:r>
      <w:r>
        <w:tab/>
      </w:r>
      <w:r w:rsidRPr="00567F2F">
        <w:t xml:space="preserve">IRVINE, W. P., « Epilogue : The 1980 Election », dans PENNIMAN, H.R. (Ed.), </w:t>
      </w:r>
      <w:r>
        <w:rPr>
          <w:i/>
          <w:iCs/>
        </w:rPr>
        <w:t>Canada at the Pol</w:t>
      </w:r>
      <w:r w:rsidRPr="00567F2F">
        <w:rPr>
          <w:i/>
          <w:iCs/>
        </w:rPr>
        <w:t>ls, 1979 and 1980, op</w:t>
      </w:r>
      <w:r>
        <w:rPr>
          <w:i/>
          <w:iCs/>
        </w:rPr>
        <w:t xml:space="preserve"> .c</w:t>
      </w:r>
      <w:r w:rsidRPr="00567F2F">
        <w:rPr>
          <w:i/>
          <w:iCs/>
        </w:rPr>
        <w:t xml:space="preserve">it., </w:t>
      </w:r>
      <w:r w:rsidRPr="00567F2F">
        <w:t xml:space="preserve">pp. 337-398 ; CLARKE, H.D., JENSON, J., LEDUC, L. et PAMMETT, J.H., </w:t>
      </w:r>
      <w:r w:rsidRPr="00567F2F">
        <w:rPr>
          <w:i/>
          <w:iCs/>
        </w:rPr>
        <w:t xml:space="preserve">Absent Mandate. The Politics of Discontent in Canada, </w:t>
      </w:r>
      <w:r w:rsidRPr="00567F2F">
        <w:t>Toronto, G</w:t>
      </w:r>
      <w:r w:rsidRPr="00567F2F">
        <w:t>a</w:t>
      </w:r>
      <w:r w:rsidRPr="00567F2F">
        <w:t>ge Publishing Ltd., 1984, p. 81.</w:t>
      </w:r>
    </w:p>
  </w:footnote>
  <w:footnote w:id="26">
    <w:p w:rsidR="00AD690E" w:rsidRDefault="00AD690E" w:rsidP="00AD690E">
      <w:pPr>
        <w:pStyle w:val="Notedebasdepage"/>
      </w:pPr>
      <w:r>
        <w:rPr>
          <w:rStyle w:val="Appelnotedebasdep"/>
        </w:rPr>
        <w:footnoteRef/>
      </w:r>
      <w:r>
        <w:tab/>
        <w:t xml:space="preserve"> </w:t>
      </w:r>
      <w:r w:rsidRPr="001E10C1">
        <w:t>CLOUTIER, E., « À deux contre un : les jeux de la campagne référenda</w:t>
      </w:r>
      <w:r w:rsidRPr="001E10C1">
        <w:t>i</w:t>
      </w:r>
      <w:r w:rsidRPr="001E10C1">
        <w:t xml:space="preserve">re et de la révision constitutionnelle », dans l'ouvrage collectif intitulé </w:t>
      </w:r>
      <w:r w:rsidRPr="001E10C1">
        <w:rPr>
          <w:i/>
          <w:iCs/>
        </w:rPr>
        <w:t>Qu</w:t>
      </w:r>
      <w:r w:rsidRPr="001E10C1">
        <w:rPr>
          <w:i/>
          <w:iCs/>
        </w:rPr>
        <w:t>é</w:t>
      </w:r>
      <w:r w:rsidRPr="001E10C1">
        <w:rPr>
          <w:i/>
          <w:iCs/>
        </w:rPr>
        <w:t xml:space="preserve">bec : un pays incertain. Réflexions sur le Québec post-référendaire, </w:t>
      </w:r>
      <w:r w:rsidRPr="001E10C1">
        <w:t>Mo</w:t>
      </w:r>
      <w:r w:rsidRPr="001E10C1">
        <w:t>n</w:t>
      </w:r>
      <w:r w:rsidRPr="001E10C1">
        <w:t>tréal, QuébecAmérique, 1980, pp. 65-85</w:t>
      </w:r>
      <w:r>
        <w:t>.</w:t>
      </w:r>
    </w:p>
  </w:footnote>
  <w:footnote w:id="27">
    <w:p w:rsidR="00AD690E" w:rsidRDefault="00AD690E" w:rsidP="00AD690E">
      <w:pPr>
        <w:pStyle w:val="Notedebasdepage"/>
      </w:pPr>
      <w:r>
        <w:rPr>
          <w:rStyle w:val="Appelnotedebasdep"/>
        </w:rPr>
        <w:footnoteRef/>
      </w:r>
      <w:r>
        <w:t xml:space="preserve"> </w:t>
      </w:r>
      <w:r>
        <w:tab/>
      </w:r>
      <w:r w:rsidRPr="001E10C1">
        <w:t>RUSSELL, P., DECARY, R., LEDERMAN, W., LYON, N. et SOBE</w:t>
      </w:r>
      <w:r w:rsidRPr="001E10C1">
        <w:t>R</w:t>
      </w:r>
      <w:r w:rsidRPr="001E10C1">
        <w:t xml:space="preserve">MAN, D., </w:t>
      </w:r>
      <w:r w:rsidRPr="001E10C1">
        <w:rPr>
          <w:i/>
          <w:iCs/>
        </w:rPr>
        <w:t>The Court and the Con</w:t>
      </w:r>
      <w:r w:rsidRPr="001E10C1">
        <w:rPr>
          <w:i/>
          <w:iCs/>
        </w:rPr>
        <w:t>s</w:t>
      </w:r>
      <w:r w:rsidRPr="001E10C1">
        <w:rPr>
          <w:i/>
          <w:iCs/>
        </w:rPr>
        <w:t>titution. Comments on the Supr</w:t>
      </w:r>
      <w:r>
        <w:rPr>
          <w:i/>
          <w:iCs/>
        </w:rPr>
        <w:t>e</w:t>
      </w:r>
      <w:r w:rsidRPr="001E10C1">
        <w:rPr>
          <w:i/>
          <w:iCs/>
        </w:rPr>
        <w:t>me Court R</w:t>
      </w:r>
      <w:r>
        <w:rPr>
          <w:i/>
          <w:iCs/>
        </w:rPr>
        <w:t>e</w:t>
      </w:r>
      <w:r w:rsidRPr="001E10C1">
        <w:rPr>
          <w:i/>
          <w:iCs/>
        </w:rPr>
        <w:t>f</w:t>
      </w:r>
      <w:r>
        <w:rPr>
          <w:i/>
          <w:iCs/>
        </w:rPr>
        <w:t>e</w:t>
      </w:r>
      <w:r w:rsidRPr="001E10C1">
        <w:rPr>
          <w:i/>
          <w:iCs/>
        </w:rPr>
        <w:t xml:space="preserve">rence on Constitutional Amendment, </w:t>
      </w:r>
      <w:r w:rsidRPr="001E10C1">
        <w:t>Kingston, Institute of Interg</w:t>
      </w:r>
      <w:r w:rsidRPr="001E10C1">
        <w:t>o</w:t>
      </w:r>
      <w:r w:rsidRPr="001E10C1">
        <w:t>vernmental Relations, 1982 (en particulier, p. 1-41).</w:t>
      </w:r>
    </w:p>
  </w:footnote>
  <w:footnote w:id="28">
    <w:p w:rsidR="00AD690E" w:rsidRDefault="00AD690E" w:rsidP="00AD690E">
      <w:pPr>
        <w:pStyle w:val="Notedebasdepage"/>
      </w:pPr>
      <w:r>
        <w:rPr>
          <w:rStyle w:val="Appelnotedebasdep"/>
        </w:rPr>
        <w:footnoteRef/>
      </w:r>
      <w:r>
        <w:t xml:space="preserve"> </w:t>
      </w:r>
      <w:r>
        <w:tab/>
      </w:r>
      <w:r w:rsidRPr="001E10C1">
        <w:t xml:space="preserve">MACKAY, P., « La Charte canadienne des droits et libertés de 1982 ou le déclin de l'empire britannique », dans BUREAU, R.D. et MACKAY, P., </w:t>
      </w:r>
      <w:r w:rsidRPr="001E10C1">
        <w:rPr>
          <w:i/>
          <w:iCs/>
        </w:rPr>
        <w:t xml:space="preserve">Le droit dans tous ses états, </w:t>
      </w:r>
      <w:r w:rsidRPr="001E10C1">
        <w:t>Montréal, Wilson et Lafleur Ltée, 1987, p. 13-34.</w:t>
      </w:r>
    </w:p>
  </w:footnote>
  <w:footnote w:id="29">
    <w:p w:rsidR="00AD690E" w:rsidRDefault="00AD690E" w:rsidP="00AD690E">
      <w:pPr>
        <w:pStyle w:val="Notedebasdepage"/>
      </w:pPr>
      <w:r>
        <w:rPr>
          <w:rStyle w:val="Appelnotedebasdep"/>
        </w:rPr>
        <w:footnoteRef/>
      </w:r>
      <w:r>
        <w:t xml:space="preserve"> </w:t>
      </w:r>
      <w:r>
        <w:tab/>
      </w:r>
      <w:r w:rsidRPr="001E10C1">
        <w:t>BANTING, K. et SIMEON, R., « Federalism, Democracy and the Constit</w:t>
      </w:r>
      <w:r w:rsidRPr="001E10C1">
        <w:t>u</w:t>
      </w:r>
      <w:r w:rsidRPr="001E10C1">
        <w:t xml:space="preserve">tion », dans BANTING, K. et SIMEON, R. (Eds.), </w:t>
      </w:r>
      <w:r w:rsidRPr="001E10C1">
        <w:rPr>
          <w:i/>
          <w:iCs/>
        </w:rPr>
        <w:t>And No One Che</w:t>
      </w:r>
      <w:r w:rsidRPr="001E10C1">
        <w:rPr>
          <w:i/>
          <w:iCs/>
        </w:rPr>
        <w:t>e</w:t>
      </w:r>
      <w:r w:rsidRPr="001E10C1">
        <w:rPr>
          <w:i/>
          <w:iCs/>
        </w:rPr>
        <w:t xml:space="preserve">red. Federalism, Democracy and the Constitution Act, </w:t>
      </w:r>
      <w:r w:rsidRPr="001E10C1">
        <w:t>Toronto, Methuen, 1983, p. 2-26.</w:t>
      </w:r>
    </w:p>
  </w:footnote>
  <w:footnote w:id="30">
    <w:p w:rsidR="00AD690E" w:rsidRDefault="00AD690E" w:rsidP="00AD690E">
      <w:pPr>
        <w:pStyle w:val="Notedebasdepage"/>
      </w:pPr>
      <w:r>
        <w:rPr>
          <w:rStyle w:val="Appelnotedebasdep"/>
        </w:rPr>
        <w:footnoteRef/>
      </w:r>
      <w:r>
        <w:t xml:space="preserve"> </w:t>
      </w:r>
      <w:r>
        <w:tab/>
      </w:r>
      <w:r w:rsidRPr="00C7576A">
        <w:t xml:space="preserve">Des séries de résultats sont présentées dans le livre de JOHNSTON, R., </w:t>
      </w:r>
      <w:r w:rsidRPr="00C7576A">
        <w:rPr>
          <w:i/>
          <w:iCs/>
        </w:rPr>
        <w:t>P</w:t>
      </w:r>
      <w:r w:rsidRPr="00C7576A">
        <w:rPr>
          <w:i/>
          <w:iCs/>
        </w:rPr>
        <w:t>u</w:t>
      </w:r>
      <w:r w:rsidRPr="00C7576A">
        <w:rPr>
          <w:i/>
          <w:iCs/>
        </w:rPr>
        <w:t xml:space="preserve">blic Opinion and Public Policy in Canada, </w:t>
      </w:r>
      <w:r w:rsidRPr="00C7576A">
        <w:t>Toronto, University of T</w:t>
      </w:r>
      <w:r w:rsidRPr="00C7576A">
        <w:t>o</w:t>
      </w:r>
      <w:r w:rsidRPr="00C7576A">
        <w:t>ronto Press, 1986 (une étude réalisée pour la Commission royale sur l'union éc</w:t>
      </w:r>
      <w:r w:rsidRPr="00C7576A">
        <w:t>o</w:t>
      </w:r>
      <w:r w:rsidRPr="00C7576A">
        <w:t>nomique).</w:t>
      </w:r>
    </w:p>
  </w:footnote>
  <w:footnote w:id="31">
    <w:p w:rsidR="00AD690E" w:rsidRDefault="00AD690E" w:rsidP="00AD690E">
      <w:pPr>
        <w:pStyle w:val="Notedebasdepage"/>
      </w:pPr>
      <w:r>
        <w:rPr>
          <w:rStyle w:val="Appelnotedebasdep"/>
        </w:rPr>
        <w:footnoteRef/>
      </w:r>
      <w:r>
        <w:t xml:space="preserve"> </w:t>
      </w:r>
      <w:r>
        <w:tab/>
      </w:r>
      <w:r w:rsidRPr="00C7576A">
        <w:t xml:space="preserve">L'épisode est décrit dans MARTIN, P., GREGG, A. et PERLIN, G., </w:t>
      </w:r>
      <w:r w:rsidRPr="00C7576A">
        <w:rPr>
          <w:i/>
          <w:iCs/>
        </w:rPr>
        <w:t xml:space="preserve">Les prétendants. La course au pouvoir des progressistes-conservateurs, </w:t>
      </w:r>
      <w:r w:rsidRPr="00C7576A">
        <w:t>Mo</w:t>
      </w:r>
      <w:r w:rsidRPr="00C7576A">
        <w:t>n</w:t>
      </w:r>
      <w:r w:rsidRPr="00C7576A">
        <w:t>tréal, Éditions Libre Expression, 1983, 286 pages (une traduction, par Ja</w:t>
      </w:r>
      <w:r w:rsidRPr="00C7576A">
        <w:t>c</w:t>
      </w:r>
      <w:r w:rsidRPr="00C7576A">
        <w:t>ques de Roussan, du livre publié en langue anglaise par Prentice-Hall Can</w:t>
      </w:r>
      <w:r w:rsidRPr="00C7576A">
        <w:t>a</w:t>
      </w:r>
      <w:r w:rsidRPr="00C7576A">
        <w:t xml:space="preserve">da Inc., </w:t>
      </w:r>
      <w:r w:rsidRPr="00C7576A">
        <w:rPr>
          <w:i/>
          <w:iCs/>
        </w:rPr>
        <w:t>Contenders : The Tory Quest for Power).</w:t>
      </w:r>
    </w:p>
  </w:footnote>
  <w:footnote w:id="32">
    <w:p w:rsidR="00AD690E" w:rsidRDefault="00AD690E" w:rsidP="00AD690E">
      <w:pPr>
        <w:pStyle w:val="Notedebasdepage"/>
      </w:pPr>
      <w:r>
        <w:rPr>
          <w:rStyle w:val="Appelnotedebasdep"/>
        </w:rPr>
        <w:footnoteRef/>
      </w:r>
      <w:r>
        <w:t xml:space="preserve"> </w:t>
      </w:r>
      <w:r>
        <w:tab/>
      </w:r>
      <w:r w:rsidRPr="008A6D84">
        <w:t xml:space="preserve">GIRARD, C, </w:t>
      </w:r>
      <w:r w:rsidRPr="008A6D84">
        <w:rPr>
          <w:i/>
          <w:iCs/>
        </w:rPr>
        <w:t xml:space="preserve">Canada in World Affairs, </w:t>
      </w:r>
      <w:r w:rsidRPr="008A6D84">
        <w:t>Toronto, Canadian Institute of Inte</w:t>
      </w:r>
      <w:r w:rsidRPr="008A6D84">
        <w:t>r</w:t>
      </w:r>
      <w:r w:rsidRPr="008A6D84">
        <w:t xml:space="preserve">national Affairs, s.d., vol. XIII, </w:t>
      </w:r>
      <w:r w:rsidRPr="008A6D84">
        <w:rPr>
          <w:i/>
          <w:iCs/>
        </w:rPr>
        <w:t xml:space="preserve">1963-1965, </w:t>
      </w:r>
      <w:r w:rsidRPr="008A6D84">
        <w:t>p. 3</w:t>
      </w:r>
      <w:r>
        <w:t>.</w:t>
      </w:r>
    </w:p>
  </w:footnote>
  <w:footnote w:id="33">
    <w:p w:rsidR="00AD690E" w:rsidRDefault="00AD690E" w:rsidP="00AD690E">
      <w:pPr>
        <w:pStyle w:val="Notedebasdepage"/>
      </w:pPr>
      <w:r>
        <w:rPr>
          <w:rStyle w:val="Appelnotedebasdep"/>
        </w:rPr>
        <w:footnoteRef/>
      </w:r>
      <w:r>
        <w:t xml:space="preserve"> </w:t>
      </w:r>
      <w:r>
        <w:tab/>
      </w:r>
      <w:r w:rsidRPr="008A6D84">
        <w:rPr>
          <w:i/>
          <w:iCs/>
        </w:rPr>
        <w:t xml:space="preserve">Ibid., </w:t>
      </w:r>
      <w:r w:rsidRPr="008A6D84">
        <w:rPr>
          <w:rFonts w:cs="Courier New"/>
        </w:rPr>
        <w:t>p. 20-21.</w:t>
      </w:r>
    </w:p>
  </w:footnote>
  <w:footnote w:id="34">
    <w:p w:rsidR="00AD690E" w:rsidRDefault="00AD690E" w:rsidP="00AD690E">
      <w:pPr>
        <w:pStyle w:val="Notedebasdepage"/>
      </w:pPr>
      <w:r>
        <w:rPr>
          <w:rStyle w:val="Appelnotedebasdep"/>
        </w:rPr>
        <w:footnoteRef/>
      </w:r>
      <w:r>
        <w:t xml:space="preserve"> </w:t>
      </w:r>
      <w:r>
        <w:tab/>
      </w:r>
      <w:r w:rsidRPr="008A6D84">
        <w:rPr>
          <w:i/>
          <w:iCs/>
        </w:rPr>
        <w:t xml:space="preserve">Ibid., </w:t>
      </w:r>
      <w:r w:rsidRPr="008A6D84">
        <w:rPr>
          <w:rFonts w:cs="Courier New"/>
        </w:rPr>
        <w:t>p. 66.</w:t>
      </w:r>
    </w:p>
  </w:footnote>
  <w:footnote w:id="35">
    <w:p w:rsidR="00AD690E" w:rsidRDefault="00AD690E" w:rsidP="00AD690E">
      <w:pPr>
        <w:pStyle w:val="Notedebasdepage"/>
      </w:pPr>
      <w:r>
        <w:rPr>
          <w:rStyle w:val="Appelnotedebasdep"/>
        </w:rPr>
        <w:footnoteRef/>
      </w:r>
      <w:r>
        <w:t xml:space="preserve"> </w:t>
      </w:r>
      <w:r>
        <w:tab/>
      </w:r>
      <w:r w:rsidRPr="008A6D84">
        <w:rPr>
          <w:i/>
          <w:iCs/>
        </w:rPr>
        <w:t xml:space="preserve">Ibid., </w:t>
      </w:r>
      <w:r w:rsidRPr="008A6D84">
        <w:rPr>
          <w:rFonts w:cs="Courier New"/>
        </w:rPr>
        <w:t>p. 21.</w:t>
      </w:r>
    </w:p>
  </w:footnote>
  <w:footnote w:id="36">
    <w:p w:rsidR="00AD690E" w:rsidRDefault="00AD690E" w:rsidP="00AD690E">
      <w:pPr>
        <w:pStyle w:val="Notedebasdepage"/>
      </w:pPr>
      <w:r>
        <w:rPr>
          <w:rStyle w:val="Appelnotedebasdep"/>
        </w:rPr>
        <w:footnoteRef/>
      </w:r>
      <w:r>
        <w:t xml:space="preserve"> </w:t>
      </w:r>
      <w:r>
        <w:tab/>
      </w:r>
      <w:r w:rsidRPr="00E13123">
        <w:rPr>
          <w:i/>
          <w:iCs/>
        </w:rPr>
        <w:t xml:space="preserve">Ibid., </w:t>
      </w:r>
      <w:r w:rsidRPr="00E13123">
        <w:rPr>
          <w:rFonts w:cs="Courier New"/>
        </w:rPr>
        <w:t>p. 77.</w:t>
      </w:r>
    </w:p>
  </w:footnote>
  <w:footnote w:id="37">
    <w:p w:rsidR="00AD690E" w:rsidRDefault="00AD690E" w:rsidP="00AD690E">
      <w:pPr>
        <w:pStyle w:val="Notedebasdepage"/>
      </w:pPr>
      <w:r>
        <w:rPr>
          <w:rStyle w:val="Appelnotedebasdep"/>
        </w:rPr>
        <w:footnoteRef/>
      </w:r>
      <w:r>
        <w:t xml:space="preserve"> </w:t>
      </w:r>
      <w:r>
        <w:tab/>
      </w:r>
      <w:r w:rsidRPr="00E13123">
        <w:rPr>
          <w:i/>
          <w:iCs/>
        </w:rPr>
        <w:t xml:space="preserve">Ibid., </w:t>
      </w:r>
      <w:r w:rsidRPr="00E13123">
        <w:rPr>
          <w:rFonts w:cs="Courier New"/>
        </w:rPr>
        <w:t>p. 74.</w:t>
      </w:r>
    </w:p>
  </w:footnote>
  <w:footnote w:id="38">
    <w:p w:rsidR="00AD690E" w:rsidRDefault="00AD690E" w:rsidP="00AD690E">
      <w:pPr>
        <w:pStyle w:val="Notedebasdepage"/>
      </w:pPr>
      <w:r>
        <w:rPr>
          <w:rStyle w:val="Appelnotedebasdep"/>
        </w:rPr>
        <w:footnoteRef/>
      </w:r>
      <w:r>
        <w:t xml:space="preserve"> </w:t>
      </w:r>
      <w:r>
        <w:tab/>
      </w:r>
      <w:r w:rsidRPr="00E13123">
        <w:rPr>
          <w:i/>
          <w:iCs/>
        </w:rPr>
        <w:t xml:space="preserve">Ibid., </w:t>
      </w:r>
      <w:r w:rsidRPr="00E13123">
        <w:t>p.77.</w:t>
      </w:r>
    </w:p>
  </w:footnote>
  <w:footnote w:id="39">
    <w:p w:rsidR="00AD690E" w:rsidRDefault="00AD690E" w:rsidP="00AD690E">
      <w:pPr>
        <w:pStyle w:val="Notedebasdepage"/>
      </w:pPr>
      <w:r>
        <w:rPr>
          <w:rStyle w:val="Appelnotedebasdep"/>
        </w:rPr>
        <w:footnoteRef/>
      </w:r>
      <w:r>
        <w:t xml:space="preserve"> </w:t>
      </w:r>
      <w:r>
        <w:tab/>
      </w:r>
      <w:r w:rsidRPr="00A10C9D">
        <w:rPr>
          <w:i/>
          <w:iCs/>
        </w:rPr>
        <w:t xml:space="preserve">Ibid., </w:t>
      </w:r>
      <w:r w:rsidRPr="00A10C9D">
        <w:t>p. 79.</w:t>
      </w:r>
    </w:p>
  </w:footnote>
  <w:footnote w:id="40">
    <w:p w:rsidR="00AD690E" w:rsidRDefault="00AD690E" w:rsidP="00AD690E">
      <w:pPr>
        <w:pStyle w:val="Notedebasdepage"/>
      </w:pPr>
      <w:r>
        <w:rPr>
          <w:rStyle w:val="Appelnotedebasdep"/>
        </w:rPr>
        <w:footnoteRef/>
      </w:r>
      <w:r>
        <w:t xml:space="preserve"> </w:t>
      </w:r>
      <w:r>
        <w:tab/>
      </w:r>
      <w:r w:rsidRPr="00A10C9D">
        <w:t xml:space="preserve">EAYRS, J., </w:t>
      </w:r>
      <w:r w:rsidRPr="00A10C9D">
        <w:rPr>
          <w:i/>
          <w:iCs/>
        </w:rPr>
        <w:t xml:space="preserve">Defence of Canada, </w:t>
      </w:r>
      <w:r w:rsidRPr="00A10C9D">
        <w:t>« Indochina : Roots of Complicity », T</w:t>
      </w:r>
      <w:r w:rsidRPr="00A10C9D">
        <w:t>o</w:t>
      </w:r>
      <w:r w:rsidRPr="00A10C9D">
        <w:t>ronto, University of Toronto Press, vol. 5, 1983, p. 39-57.</w:t>
      </w:r>
    </w:p>
  </w:footnote>
  <w:footnote w:id="41">
    <w:p w:rsidR="00AD690E" w:rsidRDefault="00AD690E" w:rsidP="00AD690E">
      <w:pPr>
        <w:pStyle w:val="Notedebasdepage"/>
      </w:pPr>
      <w:r>
        <w:rPr>
          <w:rStyle w:val="Appelnotedebasdep"/>
        </w:rPr>
        <w:footnoteRef/>
      </w:r>
      <w:r>
        <w:t xml:space="preserve"> </w:t>
      </w:r>
      <w:r>
        <w:tab/>
      </w:r>
      <w:r w:rsidRPr="00A10C9D">
        <w:t xml:space="preserve">HOLMES, J. W., </w:t>
      </w:r>
      <w:r w:rsidRPr="00A10C9D">
        <w:rPr>
          <w:i/>
          <w:iCs/>
        </w:rPr>
        <w:t xml:space="preserve">The Shaping of Peace : Canada and the search for World Order 1943-1957, </w:t>
      </w:r>
      <w:r w:rsidRPr="00A10C9D">
        <w:t>vol. 2, Toronto, University of Toronto Press, 1982, p. 10.</w:t>
      </w:r>
    </w:p>
  </w:footnote>
  <w:footnote w:id="42">
    <w:p w:rsidR="00AD690E" w:rsidRDefault="00AD690E" w:rsidP="00AD690E">
      <w:pPr>
        <w:pStyle w:val="Notedebasdepage"/>
      </w:pPr>
      <w:r>
        <w:rPr>
          <w:rStyle w:val="Appelnotedebasdep"/>
        </w:rPr>
        <w:footnoteRef/>
      </w:r>
      <w:r>
        <w:t xml:space="preserve"> </w:t>
      </w:r>
      <w:r>
        <w:tab/>
      </w:r>
      <w:r w:rsidRPr="00A10C9D">
        <w:rPr>
          <w:i/>
          <w:iCs/>
        </w:rPr>
        <w:t xml:space="preserve">Ibid., </w:t>
      </w:r>
      <w:r w:rsidRPr="00A10C9D">
        <w:t>pp. 210-216.</w:t>
      </w:r>
    </w:p>
  </w:footnote>
  <w:footnote w:id="43">
    <w:p w:rsidR="00AD690E" w:rsidRDefault="00AD690E" w:rsidP="00AD690E">
      <w:pPr>
        <w:pStyle w:val="Notedebasdepage"/>
      </w:pPr>
      <w:r>
        <w:rPr>
          <w:rStyle w:val="Appelnotedebasdep"/>
        </w:rPr>
        <w:footnoteRef/>
      </w:r>
      <w:r>
        <w:tab/>
        <w:t xml:space="preserve"> </w:t>
      </w:r>
      <w:r w:rsidRPr="003637AF">
        <w:t>BRIDLE, P., « Canada and the International Commi</w:t>
      </w:r>
      <w:r w:rsidRPr="003637AF">
        <w:t>s</w:t>
      </w:r>
      <w:r w:rsidRPr="003637AF">
        <w:t xml:space="preserve">sions in Indochina, 1954-1972 », </w:t>
      </w:r>
      <w:r w:rsidRPr="003637AF">
        <w:rPr>
          <w:i/>
          <w:iCs/>
        </w:rPr>
        <w:t xml:space="preserve">Behind the Headlines, </w:t>
      </w:r>
      <w:r w:rsidRPr="003637AF">
        <w:t>octobre 1973, p. 17-18.</w:t>
      </w:r>
    </w:p>
  </w:footnote>
  <w:footnote w:id="44">
    <w:p w:rsidR="00AD690E" w:rsidRDefault="00AD690E" w:rsidP="00AD690E">
      <w:pPr>
        <w:pStyle w:val="Notedebasdepage"/>
      </w:pPr>
      <w:r>
        <w:rPr>
          <w:rStyle w:val="Appelnotedebasdep"/>
        </w:rPr>
        <w:footnoteRef/>
      </w:r>
      <w:r>
        <w:t xml:space="preserve"> </w:t>
      </w:r>
      <w:r>
        <w:tab/>
      </w:r>
      <w:r w:rsidRPr="003637AF">
        <w:t xml:space="preserve">EAYRS, J., </w:t>
      </w:r>
      <w:r w:rsidRPr="003637AF">
        <w:rPr>
          <w:i/>
          <w:iCs/>
        </w:rPr>
        <w:t xml:space="preserve">op. cit., </w:t>
      </w:r>
      <w:r w:rsidRPr="003637AF">
        <w:t>pp. 185-190.</w:t>
      </w:r>
    </w:p>
  </w:footnote>
  <w:footnote w:id="45">
    <w:p w:rsidR="00AD690E" w:rsidRDefault="00AD690E" w:rsidP="00AD690E">
      <w:pPr>
        <w:pStyle w:val="Notedebasdepage"/>
      </w:pPr>
      <w:r>
        <w:rPr>
          <w:rStyle w:val="Appelnotedebasdep"/>
        </w:rPr>
        <w:footnoteRef/>
      </w:r>
      <w:r>
        <w:t xml:space="preserve"> </w:t>
      </w:r>
      <w:r>
        <w:tab/>
      </w:r>
      <w:r w:rsidRPr="003637AF">
        <w:t xml:space="preserve">THAKUR, R., </w:t>
      </w:r>
      <w:r w:rsidRPr="003637AF">
        <w:rPr>
          <w:i/>
          <w:iCs/>
        </w:rPr>
        <w:t xml:space="preserve">Peace Keeping in Vietnam, </w:t>
      </w:r>
      <w:r w:rsidRPr="003637AF">
        <w:t>Edmonton, University of A</w:t>
      </w:r>
      <w:r w:rsidRPr="003637AF">
        <w:t>l</w:t>
      </w:r>
      <w:r w:rsidRPr="003637AF">
        <w:t>berta Press, 1984, p. 229-233.</w:t>
      </w:r>
    </w:p>
  </w:footnote>
  <w:footnote w:id="46">
    <w:p w:rsidR="00AD690E" w:rsidRDefault="00AD690E" w:rsidP="00AD690E">
      <w:pPr>
        <w:pStyle w:val="Notedebasdepage"/>
      </w:pPr>
      <w:r>
        <w:rPr>
          <w:rStyle w:val="Appelnotedebasdep"/>
        </w:rPr>
        <w:footnoteRef/>
      </w:r>
      <w:r>
        <w:t xml:space="preserve"> </w:t>
      </w:r>
      <w:r>
        <w:tab/>
      </w:r>
      <w:r w:rsidRPr="003637AF">
        <w:rPr>
          <w:i/>
          <w:iCs/>
        </w:rPr>
        <w:t xml:space="preserve">Ibid, </w:t>
      </w:r>
      <w:r w:rsidRPr="003637AF">
        <w:t>p. 257.</w:t>
      </w:r>
    </w:p>
  </w:footnote>
  <w:footnote w:id="47">
    <w:p w:rsidR="00AD690E" w:rsidRDefault="00AD690E" w:rsidP="00AD690E">
      <w:pPr>
        <w:pStyle w:val="Notedebasdepage"/>
      </w:pPr>
      <w:r>
        <w:rPr>
          <w:rStyle w:val="Appelnotedebasdep"/>
        </w:rPr>
        <w:footnoteRef/>
      </w:r>
      <w:r>
        <w:tab/>
        <w:t xml:space="preserve"> </w:t>
      </w:r>
      <w:r w:rsidRPr="00BC3123">
        <w:t xml:space="preserve">DONNEUR, A. P., « Les relations franco-canadiennes », dans </w:t>
      </w:r>
      <w:r w:rsidRPr="00BC3123">
        <w:rPr>
          <w:i/>
          <w:iCs/>
        </w:rPr>
        <w:t>La polit</w:t>
      </w:r>
      <w:r w:rsidRPr="00BC3123">
        <w:rPr>
          <w:i/>
          <w:iCs/>
        </w:rPr>
        <w:t>i</w:t>
      </w:r>
      <w:r w:rsidRPr="00BC3123">
        <w:rPr>
          <w:i/>
          <w:iCs/>
        </w:rPr>
        <w:t xml:space="preserve">que étrangère de la France, </w:t>
      </w:r>
      <w:r w:rsidRPr="00BC3123">
        <w:t>Québec, Centre québécois de relations internation</w:t>
      </w:r>
      <w:r w:rsidRPr="00BC3123">
        <w:t>a</w:t>
      </w:r>
      <w:r w:rsidRPr="00BC3123">
        <w:t>les, 1984, p. 89-102.</w:t>
      </w:r>
    </w:p>
  </w:footnote>
  <w:footnote w:id="48">
    <w:p w:rsidR="00AD690E" w:rsidRDefault="00AD690E" w:rsidP="00AD690E">
      <w:pPr>
        <w:pStyle w:val="Notedebasdepage"/>
      </w:pPr>
      <w:r>
        <w:rPr>
          <w:rStyle w:val="Appelnotedebasdep"/>
        </w:rPr>
        <w:footnoteRef/>
      </w:r>
      <w:r>
        <w:t xml:space="preserve"> </w:t>
      </w:r>
      <w:r>
        <w:tab/>
      </w:r>
      <w:r w:rsidRPr="00BC3123">
        <w:t xml:space="preserve">TRUDEAU, P. E., « Le Canada et le monde », </w:t>
      </w:r>
      <w:r w:rsidRPr="00BC3123">
        <w:rPr>
          <w:i/>
          <w:iCs/>
        </w:rPr>
        <w:t xml:space="preserve">Déclarations et discours, </w:t>
      </w:r>
      <w:r w:rsidRPr="00BC3123">
        <w:t>68/17, p. 3.</w:t>
      </w:r>
    </w:p>
  </w:footnote>
  <w:footnote w:id="49">
    <w:p w:rsidR="00AD690E" w:rsidRDefault="00AD690E" w:rsidP="00AD690E">
      <w:pPr>
        <w:pStyle w:val="Notedebasdepage"/>
      </w:pPr>
      <w:r>
        <w:rPr>
          <w:rStyle w:val="Appelnotedebasdep"/>
        </w:rPr>
        <w:footnoteRef/>
      </w:r>
      <w:r>
        <w:t xml:space="preserve"> </w:t>
      </w:r>
      <w:r>
        <w:tab/>
      </w:r>
      <w:r w:rsidRPr="00C7235A">
        <w:t>KIRTON, J., « Foreign Policy D</w:t>
      </w:r>
      <w:r>
        <w:t>e</w:t>
      </w:r>
      <w:r w:rsidRPr="00C7235A">
        <w:t>cision Making in the Trudeau Gover</w:t>
      </w:r>
      <w:r w:rsidRPr="00C7235A">
        <w:t>n</w:t>
      </w:r>
      <w:r w:rsidRPr="00C7235A">
        <w:t xml:space="preserve">ment : Promise and Performance », dans </w:t>
      </w:r>
      <w:r w:rsidRPr="00C7235A">
        <w:rPr>
          <w:i/>
          <w:iCs/>
        </w:rPr>
        <w:t xml:space="preserve">International Journal, </w:t>
      </w:r>
      <w:r w:rsidRPr="00C7235A">
        <w:t>vol. 33, pri</w:t>
      </w:r>
      <w:r w:rsidRPr="00C7235A">
        <w:t>n</w:t>
      </w:r>
      <w:r w:rsidRPr="00C7235A">
        <w:t>temps 1978, pp. 287-311.</w:t>
      </w:r>
    </w:p>
  </w:footnote>
  <w:footnote w:id="50">
    <w:p w:rsidR="00AD690E" w:rsidRDefault="00AD690E" w:rsidP="00AD690E">
      <w:pPr>
        <w:pStyle w:val="Notedebasdepage"/>
      </w:pPr>
      <w:r>
        <w:rPr>
          <w:rStyle w:val="Appelnotedebasdep"/>
        </w:rPr>
        <w:footnoteRef/>
      </w:r>
      <w:r>
        <w:t xml:space="preserve"> </w:t>
      </w:r>
      <w:r>
        <w:tab/>
      </w:r>
      <w:r w:rsidRPr="00762B1D">
        <w:t xml:space="preserve">SHARP, M., éd., </w:t>
      </w:r>
      <w:r w:rsidRPr="00857900">
        <w:t>Politique étrangère au service des Canadiens</w:t>
      </w:r>
      <w:r w:rsidRPr="00762B1D">
        <w:t>, Ottawa, 1970.</w:t>
      </w:r>
    </w:p>
  </w:footnote>
  <w:footnote w:id="51">
    <w:p w:rsidR="00AD690E" w:rsidRDefault="00AD690E" w:rsidP="00AD690E">
      <w:pPr>
        <w:pStyle w:val="Notedebasdepage"/>
      </w:pPr>
      <w:r>
        <w:rPr>
          <w:rStyle w:val="Appelnotedebasdep"/>
        </w:rPr>
        <w:footnoteRef/>
      </w:r>
      <w:r>
        <w:t xml:space="preserve"> </w:t>
      </w:r>
      <w:r>
        <w:tab/>
      </w:r>
      <w:r w:rsidRPr="00171E6D">
        <w:rPr>
          <w:i/>
          <w:iCs/>
        </w:rPr>
        <w:t xml:space="preserve">Ibid., </w:t>
      </w:r>
      <w:r w:rsidRPr="00171E6D">
        <w:t>pp. 8-9.</w:t>
      </w:r>
    </w:p>
  </w:footnote>
  <w:footnote w:id="52">
    <w:p w:rsidR="00AD690E" w:rsidRDefault="00AD690E" w:rsidP="00AD690E">
      <w:pPr>
        <w:pStyle w:val="Notedebasdepage"/>
      </w:pPr>
      <w:r>
        <w:rPr>
          <w:rStyle w:val="Appelnotedebasdep"/>
        </w:rPr>
        <w:footnoteRef/>
      </w:r>
      <w:r>
        <w:t xml:space="preserve"> </w:t>
      </w:r>
      <w:r>
        <w:tab/>
      </w:r>
      <w:r w:rsidRPr="00171E6D">
        <w:t xml:space="preserve">DEWITT, D. B. et KIRTON, J., </w:t>
      </w:r>
      <w:r w:rsidRPr="00171E6D">
        <w:rPr>
          <w:i/>
          <w:iCs/>
        </w:rPr>
        <w:t xml:space="preserve">Canada as a Principal Power, </w:t>
      </w:r>
      <w:r w:rsidRPr="00171E6D">
        <w:t>Toronto, Wiley, 1983.</w:t>
      </w:r>
    </w:p>
  </w:footnote>
  <w:footnote w:id="53">
    <w:p w:rsidR="00AD690E" w:rsidRDefault="00AD690E" w:rsidP="00AD690E">
      <w:pPr>
        <w:pStyle w:val="Notedebasdepage"/>
      </w:pPr>
      <w:r>
        <w:rPr>
          <w:rStyle w:val="Appelnotedebasdep"/>
        </w:rPr>
        <w:footnoteRef/>
      </w:r>
      <w:r>
        <w:t xml:space="preserve"> </w:t>
      </w:r>
      <w:r>
        <w:tab/>
      </w:r>
      <w:r w:rsidRPr="00171E6D">
        <w:t>Perspectives internationales, n° spécial, automne 1972.</w:t>
      </w:r>
    </w:p>
  </w:footnote>
  <w:footnote w:id="54">
    <w:p w:rsidR="00AD690E" w:rsidRDefault="00AD690E" w:rsidP="00AD690E">
      <w:pPr>
        <w:pStyle w:val="Notedebasdepage"/>
      </w:pPr>
      <w:r>
        <w:rPr>
          <w:rStyle w:val="Appelnotedebasdep"/>
        </w:rPr>
        <w:footnoteRef/>
      </w:r>
      <w:r>
        <w:t xml:space="preserve"> </w:t>
      </w:r>
      <w:r>
        <w:tab/>
      </w:r>
      <w:r w:rsidRPr="00AA4D6B">
        <w:t xml:space="preserve">MC GRATH, W., « Recent Soviet Images of Canada », dans </w:t>
      </w:r>
      <w:r w:rsidRPr="00AA4D6B">
        <w:rPr>
          <w:i/>
          <w:iCs/>
        </w:rPr>
        <w:t>Canada S</w:t>
      </w:r>
      <w:r w:rsidRPr="00AA4D6B">
        <w:rPr>
          <w:i/>
          <w:iCs/>
        </w:rPr>
        <w:t>o</w:t>
      </w:r>
      <w:r w:rsidRPr="00AA4D6B">
        <w:rPr>
          <w:i/>
          <w:iCs/>
        </w:rPr>
        <w:t xml:space="preserve">viet-Relations 1939-1980, </w:t>
      </w:r>
      <w:r w:rsidRPr="00AA4D6B">
        <w:t>Oakville, Mosaic Press, 1981, pp. 197-199.</w:t>
      </w:r>
    </w:p>
  </w:footnote>
  <w:footnote w:id="55">
    <w:p w:rsidR="00AD690E" w:rsidRDefault="00AD690E" w:rsidP="00AD690E">
      <w:pPr>
        <w:pStyle w:val="Notedebasdepage"/>
      </w:pPr>
      <w:r>
        <w:rPr>
          <w:rStyle w:val="Appelnotedebasdep"/>
        </w:rPr>
        <w:footnoteRef/>
      </w:r>
      <w:r>
        <w:t xml:space="preserve"> </w:t>
      </w:r>
      <w:r>
        <w:tab/>
      </w:r>
      <w:r w:rsidRPr="00AA4D6B">
        <w:t xml:space="preserve">HERVOUET, G., « La troisième option : la politique commerciale et au delà », dans </w:t>
      </w:r>
      <w:r w:rsidRPr="00AA4D6B">
        <w:rPr>
          <w:i/>
          <w:iCs/>
        </w:rPr>
        <w:t xml:space="preserve">Le Canada et la nouvelle division internationale du travail, </w:t>
      </w:r>
      <w:r w:rsidRPr="00AA4D6B">
        <w:t>éd</w:t>
      </w:r>
      <w:r w:rsidRPr="00AA4D6B">
        <w:t>i</w:t>
      </w:r>
      <w:r w:rsidRPr="00AA4D6B">
        <w:t>té par CAMERON D. et HOULE, F., Ottawa, Éditions de l'Université d'O</w:t>
      </w:r>
      <w:r w:rsidRPr="00AA4D6B">
        <w:t>t</w:t>
      </w:r>
      <w:r w:rsidRPr="00AA4D6B">
        <w:t>tawa, 1985, p. 151.</w:t>
      </w:r>
    </w:p>
  </w:footnote>
  <w:footnote w:id="56">
    <w:p w:rsidR="00AD690E" w:rsidRDefault="00AD690E" w:rsidP="00AD690E">
      <w:pPr>
        <w:pStyle w:val="Notedebasdepage"/>
      </w:pPr>
      <w:r>
        <w:rPr>
          <w:rStyle w:val="Appelnotedebasdep"/>
        </w:rPr>
        <w:footnoteRef/>
      </w:r>
      <w:r>
        <w:t xml:space="preserve"> </w:t>
      </w:r>
      <w:r>
        <w:tab/>
      </w:r>
      <w:r w:rsidRPr="00AA4D6B">
        <w:rPr>
          <w:i/>
          <w:iCs/>
        </w:rPr>
        <w:t xml:space="preserve">Ibid., </w:t>
      </w:r>
      <w:r w:rsidRPr="00AA4D6B">
        <w:t>p. 164.</w:t>
      </w:r>
    </w:p>
  </w:footnote>
  <w:footnote w:id="57">
    <w:p w:rsidR="00AD690E" w:rsidRDefault="00AD690E" w:rsidP="00AD690E">
      <w:pPr>
        <w:pStyle w:val="Notedebasdepage"/>
      </w:pPr>
      <w:r>
        <w:rPr>
          <w:rStyle w:val="Appelnotedebasdep"/>
        </w:rPr>
        <w:footnoteRef/>
      </w:r>
      <w:r>
        <w:t xml:space="preserve"> </w:t>
      </w:r>
      <w:r>
        <w:tab/>
      </w:r>
      <w:r w:rsidRPr="008D57B8">
        <w:t xml:space="preserve">GOTTLIEB, A. et KINSMAN, J., « Sharing the Continent : Reviewing the Third Option », dans </w:t>
      </w:r>
      <w:r w:rsidRPr="008D57B8">
        <w:rPr>
          <w:i/>
          <w:iCs/>
        </w:rPr>
        <w:t xml:space="preserve">Internationales perspectives, </w:t>
      </w:r>
      <w:r w:rsidRPr="008D57B8">
        <w:t>janvier-février 1981, pp. 2-5.</w:t>
      </w:r>
    </w:p>
  </w:footnote>
  <w:footnote w:id="58">
    <w:p w:rsidR="00AD690E" w:rsidRDefault="00AD690E" w:rsidP="00AD690E">
      <w:pPr>
        <w:pStyle w:val="Notedebasdepage"/>
      </w:pPr>
      <w:r>
        <w:rPr>
          <w:rStyle w:val="Appelnotedebasdep"/>
        </w:rPr>
        <w:footnoteRef/>
      </w:r>
      <w:r>
        <w:t xml:space="preserve"> </w:t>
      </w:r>
      <w:r>
        <w:tab/>
      </w:r>
      <w:r w:rsidRPr="00955ECB">
        <w:t xml:space="preserve">SHARP, M., </w:t>
      </w:r>
      <w:r w:rsidRPr="00955ECB">
        <w:rPr>
          <w:i/>
          <w:iCs/>
        </w:rPr>
        <w:t xml:space="preserve">op. cit., </w:t>
      </w:r>
      <w:r w:rsidRPr="00955ECB">
        <w:t>pp. 77-78.</w:t>
      </w:r>
    </w:p>
  </w:footnote>
  <w:footnote w:id="59">
    <w:p w:rsidR="00AD690E" w:rsidRDefault="00AD690E" w:rsidP="00AD690E">
      <w:pPr>
        <w:pStyle w:val="Notedebasdepage"/>
      </w:pPr>
      <w:r>
        <w:rPr>
          <w:rStyle w:val="Appelnotedebasdep"/>
        </w:rPr>
        <w:footnoteRef/>
      </w:r>
      <w:r>
        <w:t xml:space="preserve"> </w:t>
      </w:r>
      <w:r>
        <w:tab/>
      </w:r>
      <w:r w:rsidRPr="00955ECB">
        <w:t xml:space="preserve">DONNEUR, A., « Faut-il abandonner la troisième option ? », </w:t>
      </w:r>
      <w:r w:rsidRPr="00955ECB">
        <w:rPr>
          <w:i/>
          <w:iCs/>
        </w:rPr>
        <w:t xml:space="preserve">Le Devoir, </w:t>
      </w:r>
      <w:r w:rsidRPr="00955ECB">
        <w:t>21 septembre 1983, pp. 17-18.</w:t>
      </w:r>
    </w:p>
  </w:footnote>
  <w:footnote w:id="60">
    <w:p w:rsidR="00AD690E" w:rsidRDefault="00AD690E" w:rsidP="00AD690E">
      <w:pPr>
        <w:pStyle w:val="Notedebasdepage"/>
      </w:pPr>
      <w:r>
        <w:rPr>
          <w:rStyle w:val="Appelnotedebasdep"/>
        </w:rPr>
        <w:footnoteRef/>
      </w:r>
      <w:r>
        <w:t xml:space="preserve"> </w:t>
      </w:r>
      <w:r>
        <w:tab/>
      </w:r>
      <w:r w:rsidRPr="00955ECB">
        <w:t xml:space="preserve">SHARP, M., </w:t>
      </w:r>
      <w:r w:rsidRPr="00955ECB">
        <w:rPr>
          <w:i/>
          <w:iCs/>
        </w:rPr>
        <w:t xml:space="preserve">op. cit., </w:t>
      </w:r>
      <w:r w:rsidRPr="00955ECB">
        <w:t>pp. 18-19.</w:t>
      </w:r>
    </w:p>
  </w:footnote>
  <w:footnote w:id="61">
    <w:p w:rsidR="00AD690E" w:rsidRDefault="00AD690E" w:rsidP="00AD690E">
      <w:pPr>
        <w:pStyle w:val="Notedebasdepage"/>
      </w:pPr>
      <w:r>
        <w:rPr>
          <w:rStyle w:val="Appelnotedebasdep"/>
        </w:rPr>
        <w:footnoteRef/>
      </w:r>
      <w:r>
        <w:t xml:space="preserve"> </w:t>
      </w:r>
      <w:r>
        <w:rPr>
          <w:iCs/>
        </w:rPr>
        <w:tab/>
      </w:r>
      <w:r w:rsidRPr="00955ECB">
        <w:rPr>
          <w:iCs/>
        </w:rPr>
        <w:t xml:space="preserve"> </w:t>
      </w:r>
      <w:r w:rsidRPr="00955ECB">
        <w:rPr>
          <w:i/>
          <w:iCs/>
        </w:rPr>
        <w:t xml:space="preserve">International Canada, </w:t>
      </w:r>
      <w:r w:rsidRPr="00955ECB">
        <w:t xml:space="preserve">octobre-novembre 1983. TRUDEAU, P. E., « Réflexions sur la paix et la sécurité » », dans </w:t>
      </w:r>
      <w:r w:rsidRPr="00955ECB">
        <w:rPr>
          <w:i/>
          <w:iCs/>
        </w:rPr>
        <w:t xml:space="preserve">Déclarations et discours, </w:t>
      </w:r>
      <w:r w:rsidRPr="00955ECB">
        <w:t>DD83/18, 27 octobre 1983.</w:t>
      </w:r>
    </w:p>
  </w:footnote>
  <w:footnote w:id="62">
    <w:p w:rsidR="00AD690E" w:rsidRDefault="00AD690E" w:rsidP="00AD690E">
      <w:pPr>
        <w:pStyle w:val="Notedebasdepage"/>
      </w:pPr>
      <w:r>
        <w:rPr>
          <w:rStyle w:val="Appelnotedebasdep"/>
        </w:rPr>
        <w:footnoteRef/>
      </w:r>
      <w:r>
        <w:tab/>
        <w:t xml:space="preserve"> </w:t>
      </w:r>
      <w:r w:rsidRPr="00955ECB">
        <w:t xml:space="preserve">TRUDEAU, P. E., « Réflexions sur la paix et la sécurité », </w:t>
      </w:r>
      <w:r w:rsidRPr="00955ECB">
        <w:rPr>
          <w:i/>
          <w:iCs/>
        </w:rPr>
        <w:t xml:space="preserve">Déclarations et discours, </w:t>
      </w:r>
      <w:r w:rsidRPr="00955ECB">
        <w:t>DD83/18, 27 octobre 1983.</w:t>
      </w:r>
    </w:p>
  </w:footnote>
  <w:footnote w:id="63">
    <w:p w:rsidR="00AD690E" w:rsidRDefault="00AD690E" w:rsidP="00AD690E">
      <w:pPr>
        <w:pStyle w:val="Notedebasdepage"/>
      </w:pPr>
      <w:r>
        <w:rPr>
          <w:rStyle w:val="Appelnotedebasdep"/>
        </w:rPr>
        <w:footnoteRef/>
      </w:r>
      <w:r>
        <w:t xml:space="preserve"> </w:t>
      </w:r>
      <w:r>
        <w:tab/>
      </w:r>
      <w:r w:rsidRPr="00532A10">
        <w:t>TRUDEAU, P. E., « Une initiative globale propre à améliorer les perspect</w:t>
      </w:r>
      <w:r w:rsidRPr="00532A10">
        <w:t>i</w:t>
      </w:r>
      <w:r w:rsidRPr="00532A10">
        <w:t xml:space="preserve">ves de paix », </w:t>
      </w:r>
      <w:r w:rsidRPr="00532A10">
        <w:rPr>
          <w:i/>
          <w:iCs/>
        </w:rPr>
        <w:t xml:space="preserve">Déclarations et discours, </w:t>
      </w:r>
      <w:r w:rsidRPr="00532A10">
        <w:t>n° 83/20, 13 novembre 1983.</w:t>
      </w:r>
    </w:p>
  </w:footnote>
  <w:footnote w:id="64">
    <w:p w:rsidR="00AD690E" w:rsidRDefault="00AD690E" w:rsidP="00AD690E">
      <w:pPr>
        <w:pStyle w:val="Notedebasdepage"/>
      </w:pPr>
      <w:r>
        <w:rPr>
          <w:rStyle w:val="Appelnotedebasdep"/>
        </w:rPr>
        <w:footnoteRef/>
      </w:r>
      <w:r>
        <w:t xml:space="preserve"> </w:t>
      </w:r>
      <w:r>
        <w:tab/>
      </w:r>
      <w:r w:rsidRPr="00934D5B">
        <w:t>RIEKHOFF, H. et SIGLER, J., « The Trudeau Peace Initiative : The Pol</w:t>
      </w:r>
      <w:r w:rsidRPr="00934D5B">
        <w:t>i</w:t>
      </w:r>
      <w:r w:rsidRPr="00934D5B">
        <w:t xml:space="preserve">tics of Reversing the Arms Race », dans </w:t>
      </w:r>
      <w:r w:rsidRPr="00934D5B">
        <w:rPr>
          <w:i/>
          <w:iCs/>
        </w:rPr>
        <w:t xml:space="preserve">Canada among Nations, 1984 : A Time of Transition, </w:t>
      </w:r>
      <w:r w:rsidRPr="00934D5B">
        <w:t>édité par B.W. TOMLIN et M. MOLOT, Toronto, 1985, pp. 50-69.</w:t>
      </w:r>
    </w:p>
  </w:footnote>
  <w:footnote w:id="65">
    <w:p w:rsidR="00AD690E" w:rsidRDefault="00AD690E" w:rsidP="00AD690E">
      <w:pPr>
        <w:pStyle w:val="Notedebasdepage"/>
      </w:pPr>
      <w:r>
        <w:rPr>
          <w:rStyle w:val="Appelnotedebasdep"/>
        </w:rPr>
        <w:footnoteRef/>
      </w:r>
      <w:r>
        <w:t xml:space="preserve"> </w:t>
      </w:r>
      <w:r>
        <w:tab/>
      </w:r>
      <w:r w:rsidRPr="00934D5B">
        <w:rPr>
          <w:i/>
          <w:iCs/>
        </w:rPr>
        <w:t xml:space="preserve">Le Devoir, </w:t>
      </w:r>
      <w:r w:rsidRPr="00934D5B">
        <w:t>25 novembre 1985.</w:t>
      </w:r>
    </w:p>
  </w:footnote>
  <w:footnote w:id="66">
    <w:p w:rsidR="00AD690E" w:rsidRDefault="00AD690E" w:rsidP="00AD690E">
      <w:pPr>
        <w:pStyle w:val="Notedebasdepage"/>
      </w:pPr>
      <w:r>
        <w:rPr>
          <w:rStyle w:val="Appelnotedebasdep"/>
        </w:rPr>
        <w:footnoteRef/>
      </w:r>
      <w:r>
        <w:t xml:space="preserve"> </w:t>
      </w:r>
      <w:r>
        <w:tab/>
      </w:r>
      <w:r w:rsidRPr="00142379">
        <w:t xml:space="preserve">BERNARD, J.T. et TRUCHON, M., </w:t>
      </w:r>
      <w:r w:rsidRPr="00142379">
        <w:rPr>
          <w:i/>
          <w:iCs/>
        </w:rPr>
        <w:t>Impact du désarmement sur l'écon</w:t>
      </w:r>
      <w:r w:rsidRPr="00142379">
        <w:rPr>
          <w:i/>
          <w:iCs/>
        </w:rPr>
        <w:t>o</w:t>
      </w:r>
      <w:r w:rsidRPr="00142379">
        <w:rPr>
          <w:i/>
          <w:iCs/>
        </w:rPr>
        <w:t xml:space="preserve">mie canadienne, </w:t>
      </w:r>
      <w:r w:rsidRPr="00142379">
        <w:t>Département d'économique, Université Laval, août 1980.</w:t>
      </w:r>
    </w:p>
  </w:footnote>
  <w:footnote w:id="67">
    <w:p w:rsidR="00AD690E" w:rsidRDefault="00AD690E" w:rsidP="00AD690E">
      <w:pPr>
        <w:pStyle w:val="Notedebasdepage"/>
      </w:pPr>
      <w:r>
        <w:rPr>
          <w:rStyle w:val="Appelnotedebasdep"/>
        </w:rPr>
        <w:footnoteRef/>
      </w:r>
      <w:r>
        <w:t xml:space="preserve"> </w:t>
      </w:r>
      <w:r>
        <w:tab/>
      </w:r>
      <w:r w:rsidRPr="00142379">
        <w:t xml:space="preserve">EAYRS, J., </w:t>
      </w:r>
      <w:r w:rsidRPr="00142379">
        <w:rPr>
          <w:i/>
          <w:iCs/>
        </w:rPr>
        <w:t xml:space="preserve">The Defense of Canada : Peace Making and Deterrence, </w:t>
      </w:r>
      <w:r w:rsidRPr="00142379">
        <w:t>Toro</w:t>
      </w:r>
      <w:r w:rsidRPr="00142379">
        <w:t>n</w:t>
      </w:r>
      <w:r w:rsidRPr="00142379">
        <w:t>to, University of Toronto Press, 1972.</w:t>
      </w:r>
    </w:p>
  </w:footnote>
  <w:footnote w:id="68">
    <w:p w:rsidR="00AD690E" w:rsidRDefault="00AD690E" w:rsidP="00AD690E">
      <w:pPr>
        <w:pStyle w:val="Notedebasdepage"/>
      </w:pPr>
      <w:r>
        <w:rPr>
          <w:rStyle w:val="Appelnotedebasdep"/>
        </w:rPr>
        <w:footnoteRef/>
      </w:r>
      <w:r>
        <w:t xml:space="preserve"> </w:t>
      </w:r>
      <w:r>
        <w:tab/>
      </w:r>
      <w:r w:rsidRPr="00FC6AD4">
        <w:t xml:space="preserve">MACKAY, R.A., </w:t>
      </w:r>
      <w:r w:rsidRPr="00FC6AD4">
        <w:rPr>
          <w:i/>
          <w:iCs/>
        </w:rPr>
        <w:t xml:space="preserve">Canadian Foreign Policy, 1945-54 : Selected Speeches and Documents, </w:t>
      </w:r>
      <w:r w:rsidRPr="00FC6AD4">
        <w:t>Toronto, McClelland and Stewart, 1971, pp. 388-389.</w:t>
      </w:r>
    </w:p>
  </w:footnote>
  <w:footnote w:id="69">
    <w:p w:rsidR="00AD690E" w:rsidRDefault="00AD690E" w:rsidP="00AD690E">
      <w:pPr>
        <w:pStyle w:val="Notedebasdepage"/>
      </w:pPr>
      <w:r>
        <w:rPr>
          <w:rStyle w:val="Appelnotedebasdep"/>
        </w:rPr>
        <w:footnoteRef/>
      </w:r>
      <w:r>
        <w:t xml:space="preserve"> </w:t>
      </w:r>
      <w:r>
        <w:tab/>
      </w:r>
      <w:r w:rsidRPr="00FC6AD4">
        <w:t xml:space="preserve">BARASH, D.P., </w:t>
      </w:r>
      <w:r w:rsidRPr="00FC6AD4">
        <w:rPr>
          <w:i/>
          <w:iCs/>
        </w:rPr>
        <w:t xml:space="preserve">The Arms Race and Nuclear War, </w:t>
      </w:r>
      <w:r w:rsidRPr="00FC6AD4">
        <w:t>Belmont (Califomia), Wadsworth Publ. Co., 1987.</w:t>
      </w:r>
    </w:p>
  </w:footnote>
  <w:footnote w:id="70">
    <w:p w:rsidR="00AD690E" w:rsidRDefault="00AD690E" w:rsidP="00AD690E">
      <w:pPr>
        <w:pStyle w:val="Notedebasdepage"/>
      </w:pPr>
      <w:r>
        <w:rPr>
          <w:rStyle w:val="Appelnotedebasdep"/>
        </w:rPr>
        <w:footnoteRef/>
      </w:r>
      <w:r>
        <w:t xml:space="preserve"> </w:t>
      </w:r>
      <w:r>
        <w:tab/>
      </w:r>
      <w:r w:rsidRPr="00FC6AD4">
        <w:t>Au moment de la signature des accords de Hyde Park, en 1941.</w:t>
      </w:r>
    </w:p>
  </w:footnote>
  <w:footnote w:id="71">
    <w:p w:rsidR="00AD690E" w:rsidRDefault="00AD690E" w:rsidP="00AD690E">
      <w:pPr>
        <w:pStyle w:val="Notedebasdepage"/>
      </w:pPr>
      <w:r>
        <w:rPr>
          <w:rStyle w:val="Appelnotedebasdep"/>
        </w:rPr>
        <w:footnoteRef/>
      </w:r>
      <w:r>
        <w:tab/>
        <w:t xml:space="preserve"> </w:t>
      </w:r>
      <w:r w:rsidRPr="00F568FC">
        <w:t xml:space="preserve">Voir McLIN, J.B., </w:t>
      </w:r>
      <w:r w:rsidRPr="00F568FC">
        <w:rPr>
          <w:i/>
          <w:iCs/>
        </w:rPr>
        <w:t xml:space="preserve">Canadas Defence Policy 1957-1963, </w:t>
      </w:r>
      <w:r w:rsidRPr="00F568FC">
        <w:t>Baltimore, Johns Hopkins University Press, 1963.</w:t>
      </w:r>
    </w:p>
  </w:footnote>
  <w:footnote w:id="72">
    <w:p w:rsidR="00AD690E" w:rsidRDefault="00AD690E" w:rsidP="00AD690E">
      <w:pPr>
        <w:pStyle w:val="Notedebasdepage"/>
      </w:pPr>
      <w:r>
        <w:rPr>
          <w:rStyle w:val="Appelnotedebasdep"/>
        </w:rPr>
        <w:footnoteRef/>
      </w:r>
      <w:r>
        <w:t xml:space="preserve"> </w:t>
      </w:r>
      <w:r>
        <w:tab/>
      </w:r>
      <w:r w:rsidRPr="00F568FC">
        <w:t xml:space="preserve">PEARSON, L., </w:t>
      </w:r>
      <w:r w:rsidRPr="00F568FC">
        <w:rPr>
          <w:i/>
          <w:iCs/>
        </w:rPr>
        <w:t xml:space="preserve">Memoirs 1948-1957. The International Years, </w:t>
      </w:r>
      <w:r w:rsidRPr="00F568FC">
        <w:t>London, Vi</w:t>
      </w:r>
      <w:r w:rsidRPr="00F568FC">
        <w:t>c</w:t>
      </w:r>
      <w:r w:rsidRPr="00F568FC">
        <w:t>tor Gonzanez, 1974.</w:t>
      </w:r>
    </w:p>
  </w:footnote>
  <w:footnote w:id="73">
    <w:p w:rsidR="00AD690E" w:rsidRDefault="00AD690E" w:rsidP="00AD690E">
      <w:pPr>
        <w:pStyle w:val="Notedebasdepage"/>
      </w:pPr>
      <w:r>
        <w:rPr>
          <w:rStyle w:val="Appelnotedebasdep"/>
        </w:rPr>
        <w:footnoteRef/>
      </w:r>
      <w:r>
        <w:t xml:space="preserve"> </w:t>
      </w:r>
      <w:r>
        <w:tab/>
      </w:r>
      <w:r w:rsidRPr="00F568FC">
        <w:t xml:space="preserve">Pour une réflexion plus poussée sur ce processus, voir REGEHR, E., </w:t>
      </w:r>
      <w:r w:rsidRPr="00F568FC">
        <w:rPr>
          <w:i/>
          <w:iCs/>
        </w:rPr>
        <w:t xml:space="preserve">Arms Canada, </w:t>
      </w:r>
      <w:r w:rsidRPr="00F568FC">
        <w:t>Toronto, James Lorimer, 1987.</w:t>
      </w:r>
    </w:p>
  </w:footnote>
  <w:footnote w:id="74">
    <w:p w:rsidR="00AD690E" w:rsidRDefault="00AD690E" w:rsidP="00AD690E">
      <w:pPr>
        <w:pStyle w:val="Notedebasdepage"/>
      </w:pPr>
      <w:r>
        <w:rPr>
          <w:rStyle w:val="Appelnotedebasdep"/>
        </w:rPr>
        <w:footnoteRef/>
      </w:r>
      <w:r>
        <w:t xml:space="preserve"> </w:t>
      </w:r>
      <w:r>
        <w:tab/>
      </w:r>
      <w:r w:rsidRPr="00F568FC">
        <w:t xml:space="preserve">Voir HOLMES, J., </w:t>
      </w:r>
      <w:r w:rsidRPr="00F568FC">
        <w:rPr>
          <w:i/>
          <w:iCs/>
        </w:rPr>
        <w:t xml:space="preserve">The Shaping of Peace, </w:t>
      </w:r>
      <w:r w:rsidRPr="00F568FC">
        <w:t>Toronto, Toronto University Press, vol. 2, 1982.</w:t>
      </w:r>
    </w:p>
  </w:footnote>
  <w:footnote w:id="75">
    <w:p w:rsidR="00AD690E" w:rsidRDefault="00AD690E" w:rsidP="00AD690E">
      <w:pPr>
        <w:pStyle w:val="Notedebasdepage"/>
      </w:pPr>
      <w:r>
        <w:rPr>
          <w:rStyle w:val="Appelnotedebasdep"/>
        </w:rPr>
        <w:footnoteRef/>
      </w:r>
      <w:r>
        <w:t xml:space="preserve"> </w:t>
      </w:r>
      <w:r>
        <w:tab/>
      </w:r>
      <w:r w:rsidRPr="00D55C5A">
        <w:t xml:space="preserve">Voir STEWART, L., </w:t>
      </w:r>
      <w:r w:rsidRPr="00D55C5A">
        <w:rPr>
          <w:i/>
          <w:iCs/>
        </w:rPr>
        <w:t xml:space="preserve">Canadian Defence Policy, Selected Documents 1964-1981, </w:t>
      </w:r>
      <w:r w:rsidRPr="00D55C5A">
        <w:t>Kingston, Centre for International Relations, 1982.</w:t>
      </w:r>
    </w:p>
  </w:footnote>
  <w:footnote w:id="76">
    <w:p w:rsidR="00AD690E" w:rsidRDefault="00AD690E" w:rsidP="00AD690E">
      <w:pPr>
        <w:pStyle w:val="Notedebasdepage"/>
      </w:pPr>
      <w:r>
        <w:rPr>
          <w:rStyle w:val="Appelnotedebasdep"/>
        </w:rPr>
        <w:footnoteRef/>
      </w:r>
      <w:r>
        <w:t xml:space="preserve"> </w:t>
      </w:r>
      <w:r>
        <w:tab/>
      </w:r>
      <w:r w:rsidRPr="00D55C5A">
        <w:t xml:space="preserve">Voir BERNARD, J.T. et autre, </w:t>
      </w:r>
      <w:r w:rsidRPr="00D55C5A">
        <w:rPr>
          <w:i/>
          <w:iCs/>
        </w:rPr>
        <w:t>op. cit.</w:t>
      </w:r>
    </w:p>
  </w:footnote>
  <w:footnote w:id="77">
    <w:p w:rsidR="00AD690E" w:rsidRDefault="00AD690E" w:rsidP="00AD690E">
      <w:pPr>
        <w:pStyle w:val="Notedebasdepage"/>
      </w:pPr>
      <w:r>
        <w:rPr>
          <w:rStyle w:val="Appelnotedebasdep"/>
        </w:rPr>
        <w:footnoteRef/>
      </w:r>
      <w:r>
        <w:t xml:space="preserve"> </w:t>
      </w:r>
      <w:r>
        <w:tab/>
      </w:r>
      <w:r w:rsidRPr="00D55C5A">
        <w:t>JACKMAN, F., General Director, Office of International Special Projects, Department of Industry, Trade and Commerce, « The Canada-United St</w:t>
      </w:r>
      <w:r w:rsidRPr="00D55C5A">
        <w:t>a</w:t>
      </w:r>
      <w:r w:rsidRPr="00D55C5A">
        <w:t>tes Défense Production Sharing Arrangement », Lecture delivered at the Un</w:t>
      </w:r>
      <w:r w:rsidRPr="00D55C5A">
        <w:t>i</w:t>
      </w:r>
      <w:r w:rsidRPr="00D55C5A">
        <w:t xml:space="preserve">versity of Virginia, 1976, cf. J.T. BERNARD et M. TRUCHON, </w:t>
      </w:r>
      <w:r w:rsidRPr="00D55C5A">
        <w:rPr>
          <w:i/>
          <w:iCs/>
        </w:rPr>
        <w:t xml:space="preserve">op. cit., </w:t>
      </w:r>
      <w:r w:rsidRPr="00D55C5A">
        <w:t>1980, p. 7.</w:t>
      </w:r>
    </w:p>
  </w:footnote>
  <w:footnote w:id="78">
    <w:p w:rsidR="00AD690E" w:rsidRDefault="00AD690E" w:rsidP="00AD690E">
      <w:pPr>
        <w:pStyle w:val="Notedebasdepage"/>
      </w:pPr>
      <w:r>
        <w:rPr>
          <w:rStyle w:val="Appelnotedebasdep"/>
        </w:rPr>
        <w:footnoteRef/>
      </w:r>
      <w:r>
        <w:t xml:space="preserve"> </w:t>
      </w:r>
      <w:r>
        <w:tab/>
      </w:r>
      <w:r w:rsidRPr="00D55C5A">
        <w:t xml:space="preserve">Voir à ce sujet FORTMAN, M., </w:t>
      </w:r>
      <w:r w:rsidRPr="00D55C5A">
        <w:rPr>
          <w:i/>
          <w:iCs/>
        </w:rPr>
        <w:t xml:space="preserve">La politique de défense canadienne de Mackenzie King à Trudeau (1945-1979), </w:t>
      </w:r>
      <w:r w:rsidRPr="00D55C5A">
        <w:t>Montréal, Note de recherche n° 20, Département de science politique, Université de Montréal, mars 1987.</w:t>
      </w:r>
    </w:p>
  </w:footnote>
  <w:footnote w:id="79">
    <w:p w:rsidR="00AD690E" w:rsidRDefault="00AD690E" w:rsidP="00AD690E">
      <w:pPr>
        <w:pStyle w:val="Notedebasdepage"/>
      </w:pPr>
      <w:r>
        <w:rPr>
          <w:rStyle w:val="Appelnotedebasdep"/>
        </w:rPr>
        <w:footnoteRef/>
      </w:r>
      <w:r>
        <w:t xml:space="preserve"> </w:t>
      </w:r>
      <w:r>
        <w:tab/>
      </w:r>
      <w:r w:rsidRPr="00D55C5A">
        <w:t xml:space="preserve">Gouvernement du Canada, </w:t>
      </w:r>
      <w:r w:rsidRPr="00D55C5A">
        <w:rPr>
          <w:i/>
          <w:iCs/>
        </w:rPr>
        <w:t xml:space="preserve">Livre blanc sur la défense, </w:t>
      </w:r>
      <w:r w:rsidRPr="00D55C5A">
        <w:t>Ottawa, 1964.</w:t>
      </w:r>
    </w:p>
  </w:footnote>
  <w:footnote w:id="80">
    <w:p w:rsidR="00AD690E" w:rsidRDefault="00AD690E" w:rsidP="00AD690E">
      <w:pPr>
        <w:pStyle w:val="Notedebasdepage"/>
      </w:pPr>
      <w:r>
        <w:rPr>
          <w:rStyle w:val="Appelnotedebasdep"/>
        </w:rPr>
        <w:footnoteRef/>
      </w:r>
      <w:r>
        <w:t xml:space="preserve"> </w:t>
      </w:r>
      <w:r>
        <w:tab/>
      </w:r>
      <w:r w:rsidRPr="00D55C5A">
        <w:t xml:space="preserve">STEWART, L., </w:t>
      </w:r>
      <w:r w:rsidRPr="00D55C5A">
        <w:rPr>
          <w:i/>
          <w:iCs/>
        </w:rPr>
        <w:t>op. cit..</w:t>
      </w:r>
    </w:p>
  </w:footnote>
  <w:footnote w:id="81">
    <w:p w:rsidR="00AD690E" w:rsidRDefault="00AD690E" w:rsidP="00AD690E">
      <w:pPr>
        <w:pStyle w:val="Notedebasdepage"/>
      </w:pPr>
      <w:r>
        <w:rPr>
          <w:rStyle w:val="Appelnotedebasdep"/>
        </w:rPr>
        <w:footnoteRef/>
      </w:r>
      <w:r>
        <w:t xml:space="preserve"> </w:t>
      </w:r>
      <w:r>
        <w:tab/>
      </w:r>
      <w:r w:rsidRPr="00D55C5A">
        <w:t xml:space="preserve">Voir ROSENBLUTH, G., </w:t>
      </w:r>
      <w:r w:rsidRPr="00D55C5A">
        <w:rPr>
          <w:i/>
          <w:iCs/>
        </w:rPr>
        <w:t xml:space="preserve">The Canadian Economy and Disarmament, </w:t>
      </w:r>
      <w:r w:rsidRPr="00D55C5A">
        <w:t>T</w:t>
      </w:r>
      <w:r w:rsidRPr="00D55C5A">
        <w:t>o</w:t>
      </w:r>
      <w:r w:rsidRPr="00D55C5A">
        <w:t>ronto, Macmillan, 1967.</w:t>
      </w:r>
    </w:p>
  </w:footnote>
  <w:footnote w:id="82">
    <w:p w:rsidR="00AD690E" w:rsidRDefault="00AD690E" w:rsidP="00AD690E">
      <w:pPr>
        <w:pStyle w:val="Notedebasdepage"/>
      </w:pPr>
      <w:r>
        <w:rPr>
          <w:rStyle w:val="Appelnotedebasdep"/>
        </w:rPr>
        <w:footnoteRef/>
      </w:r>
      <w:r>
        <w:t xml:space="preserve"> </w:t>
      </w:r>
      <w:r>
        <w:tab/>
      </w:r>
      <w:r w:rsidRPr="00F002B0">
        <w:t xml:space="preserve">FORTMAN, M., </w:t>
      </w:r>
      <w:r w:rsidRPr="00F002B0">
        <w:rPr>
          <w:i/>
          <w:iCs/>
        </w:rPr>
        <w:t>op.cit.</w:t>
      </w:r>
    </w:p>
  </w:footnote>
  <w:footnote w:id="83">
    <w:p w:rsidR="00AD690E" w:rsidRDefault="00AD690E" w:rsidP="00AD690E">
      <w:pPr>
        <w:pStyle w:val="Notedebasdepage"/>
      </w:pPr>
      <w:r>
        <w:rPr>
          <w:rStyle w:val="Appelnotedebasdep"/>
        </w:rPr>
        <w:footnoteRef/>
      </w:r>
      <w:r>
        <w:t xml:space="preserve"> </w:t>
      </w:r>
      <w:r>
        <w:tab/>
      </w:r>
      <w:r w:rsidRPr="00BC7E2F">
        <w:t>Idem.</w:t>
      </w:r>
    </w:p>
  </w:footnote>
  <w:footnote w:id="84">
    <w:p w:rsidR="00AD690E" w:rsidRDefault="00AD690E" w:rsidP="00AD690E">
      <w:pPr>
        <w:pStyle w:val="Notedebasdepage"/>
      </w:pPr>
      <w:r>
        <w:rPr>
          <w:rStyle w:val="Appelnotedebasdep"/>
        </w:rPr>
        <w:footnoteRef/>
      </w:r>
      <w:r>
        <w:t xml:space="preserve"> </w:t>
      </w:r>
      <w:r>
        <w:tab/>
      </w:r>
      <w:r w:rsidRPr="007F0E01">
        <w:t xml:space="preserve">THORDARSON, B., </w:t>
      </w:r>
      <w:r w:rsidRPr="007F0E01">
        <w:rPr>
          <w:i/>
          <w:iCs/>
        </w:rPr>
        <w:t xml:space="preserve">Trudeau and Foreign Policy, </w:t>
      </w:r>
      <w:r w:rsidRPr="007F0E01">
        <w:t>Cambridge, Oxford Un</w:t>
      </w:r>
      <w:r w:rsidRPr="007F0E01">
        <w:t>i</w:t>
      </w:r>
      <w:r w:rsidRPr="007F0E01">
        <w:t>versity Press, 1977.</w:t>
      </w:r>
    </w:p>
  </w:footnote>
  <w:footnote w:id="85">
    <w:p w:rsidR="00AD690E" w:rsidRDefault="00AD690E" w:rsidP="00AD690E">
      <w:pPr>
        <w:pStyle w:val="Notedebasdepage"/>
      </w:pPr>
      <w:r>
        <w:rPr>
          <w:rStyle w:val="Appelnotedebasdep"/>
        </w:rPr>
        <w:footnoteRef/>
      </w:r>
      <w:r>
        <w:t xml:space="preserve"> </w:t>
      </w:r>
      <w:r>
        <w:tab/>
      </w:r>
      <w:r w:rsidRPr="007F0E01">
        <w:t xml:space="preserve">Voir ministère de la Défense nationale, </w:t>
      </w:r>
      <w:r w:rsidRPr="007F0E01">
        <w:rPr>
          <w:i/>
          <w:iCs/>
        </w:rPr>
        <w:t xml:space="preserve">Rapport annuel, </w:t>
      </w:r>
      <w:r w:rsidRPr="007F0E01">
        <w:t>1972</w:t>
      </w:r>
      <w:r>
        <w:t>.</w:t>
      </w:r>
    </w:p>
  </w:footnote>
  <w:footnote w:id="86">
    <w:p w:rsidR="00AD690E" w:rsidRDefault="00AD690E" w:rsidP="00AD690E">
      <w:pPr>
        <w:pStyle w:val="Notedebasdepage"/>
      </w:pPr>
      <w:r>
        <w:rPr>
          <w:rStyle w:val="Appelnotedebasdep"/>
        </w:rPr>
        <w:footnoteRef/>
      </w:r>
      <w:r>
        <w:t xml:space="preserve"> </w:t>
      </w:r>
      <w:r>
        <w:tab/>
      </w:r>
      <w:r w:rsidRPr="007F0E01">
        <w:t xml:space="preserve">Gouvernement du Canada, ministère de la Défense nationale, </w:t>
      </w:r>
      <w:r w:rsidRPr="007F0E01">
        <w:rPr>
          <w:i/>
          <w:iCs/>
        </w:rPr>
        <w:t xml:space="preserve">La défense dans les années 1970, </w:t>
      </w:r>
      <w:r w:rsidRPr="007F0E01">
        <w:t>Ottawa, 1971.</w:t>
      </w:r>
    </w:p>
  </w:footnote>
  <w:footnote w:id="87">
    <w:p w:rsidR="00AD690E" w:rsidRDefault="00AD690E" w:rsidP="00AD690E">
      <w:pPr>
        <w:pStyle w:val="Notedebasdepage"/>
      </w:pPr>
      <w:r>
        <w:rPr>
          <w:rStyle w:val="Appelnotedebasdep"/>
        </w:rPr>
        <w:footnoteRef/>
      </w:r>
      <w:r>
        <w:t xml:space="preserve"> </w:t>
      </w:r>
      <w:r>
        <w:tab/>
      </w:r>
      <w:r w:rsidRPr="007F0E01">
        <w:t xml:space="preserve">Voir BATES, D., « How Our Vision of Nuclear War has Changed », dans E. REGEHR et S. ROSENBLUM, </w:t>
      </w:r>
      <w:r w:rsidRPr="007F0E01">
        <w:rPr>
          <w:i/>
          <w:iCs/>
        </w:rPr>
        <w:t xml:space="preserve">The Road to Peace, </w:t>
      </w:r>
      <w:r w:rsidRPr="007F0E01">
        <w:t>Toronto, James Lor</w:t>
      </w:r>
      <w:r w:rsidRPr="007F0E01">
        <w:t>i</w:t>
      </w:r>
      <w:r w:rsidRPr="007F0E01">
        <w:t>mer, 1988.</w:t>
      </w:r>
    </w:p>
  </w:footnote>
  <w:footnote w:id="88">
    <w:p w:rsidR="00AD690E" w:rsidRDefault="00AD690E" w:rsidP="00AD690E">
      <w:pPr>
        <w:pStyle w:val="Notedebasdepage"/>
      </w:pPr>
      <w:r>
        <w:rPr>
          <w:rStyle w:val="Appelnotedebasdep"/>
        </w:rPr>
        <w:footnoteRef/>
      </w:r>
      <w:r>
        <w:t xml:space="preserve"> </w:t>
      </w:r>
      <w:r>
        <w:tab/>
      </w:r>
      <w:r w:rsidRPr="00E9096B">
        <w:t xml:space="preserve">LEGAULT, A., « Quelle politique de défense pour le Canada », </w:t>
      </w:r>
      <w:r w:rsidRPr="00E9096B">
        <w:rPr>
          <w:i/>
          <w:iCs/>
        </w:rPr>
        <w:t>Le D</w:t>
      </w:r>
      <w:r w:rsidRPr="00E9096B">
        <w:rPr>
          <w:i/>
          <w:iCs/>
        </w:rPr>
        <w:t>e</w:t>
      </w:r>
      <w:r w:rsidRPr="00E9096B">
        <w:rPr>
          <w:i/>
          <w:iCs/>
        </w:rPr>
        <w:t xml:space="preserve">voir, </w:t>
      </w:r>
      <w:r w:rsidRPr="00E9096B">
        <w:t>16 septembre 1986, p. 7.</w:t>
      </w:r>
    </w:p>
  </w:footnote>
  <w:footnote w:id="89">
    <w:p w:rsidR="00AD690E" w:rsidRDefault="00AD690E" w:rsidP="00AD690E">
      <w:pPr>
        <w:pStyle w:val="Notedebasdepage"/>
      </w:pPr>
      <w:r>
        <w:rPr>
          <w:rStyle w:val="Appelnotedebasdep"/>
        </w:rPr>
        <w:footnoteRef/>
      </w:r>
      <w:r>
        <w:t xml:space="preserve"> </w:t>
      </w:r>
      <w:r>
        <w:tab/>
      </w:r>
      <w:r w:rsidRPr="00E9096B">
        <w:t xml:space="preserve">Voir POIRIER, L., </w:t>
      </w:r>
      <w:r w:rsidRPr="00E9096B">
        <w:rPr>
          <w:i/>
          <w:iCs/>
        </w:rPr>
        <w:t xml:space="preserve">Les stratégies nucléaires, </w:t>
      </w:r>
      <w:r w:rsidRPr="00E9096B">
        <w:t>Paris, Hachette, 1977.</w:t>
      </w:r>
    </w:p>
  </w:footnote>
  <w:footnote w:id="90">
    <w:p w:rsidR="00AD690E" w:rsidRDefault="00AD690E" w:rsidP="00AD690E">
      <w:pPr>
        <w:pStyle w:val="Notedebasdepage"/>
      </w:pPr>
      <w:r>
        <w:rPr>
          <w:rStyle w:val="Appelnotedebasdep"/>
        </w:rPr>
        <w:footnoteRef/>
      </w:r>
      <w:r>
        <w:t xml:space="preserve"> </w:t>
      </w:r>
      <w:r>
        <w:tab/>
      </w:r>
      <w:r w:rsidRPr="00E9096B">
        <w:t>Voir l'article d'A. DONNEUR dans ce recueil.</w:t>
      </w:r>
    </w:p>
  </w:footnote>
  <w:footnote w:id="91">
    <w:p w:rsidR="00AD690E" w:rsidRDefault="00AD690E" w:rsidP="00AD690E">
      <w:pPr>
        <w:pStyle w:val="Notedebasdepage"/>
      </w:pPr>
      <w:r>
        <w:rPr>
          <w:rStyle w:val="Appelnotedebasdep"/>
        </w:rPr>
        <w:footnoteRef/>
      </w:r>
      <w:r>
        <w:tab/>
      </w:r>
      <w:r w:rsidRPr="005937DA">
        <w:t>Voir l'article de D. BRUNELLE dans ce recueil.</w:t>
      </w:r>
    </w:p>
  </w:footnote>
  <w:footnote w:id="92">
    <w:p w:rsidR="00AD690E" w:rsidRDefault="00AD690E" w:rsidP="00AD690E">
      <w:pPr>
        <w:pStyle w:val="Notedebasdepage"/>
      </w:pPr>
      <w:r>
        <w:rPr>
          <w:rStyle w:val="Appelnotedebasdep"/>
        </w:rPr>
        <w:footnoteRef/>
      </w:r>
      <w:r>
        <w:t xml:space="preserve"> </w:t>
      </w:r>
      <w:r>
        <w:tab/>
      </w:r>
      <w:r w:rsidRPr="005937DA">
        <w:t xml:space="preserve">FORTMAN, M., </w:t>
      </w:r>
      <w:r>
        <w:rPr>
          <w:i/>
          <w:iCs/>
        </w:rPr>
        <w:t>op.cit.</w:t>
      </w:r>
    </w:p>
  </w:footnote>
  <w:footnote w:id="93">
    <w:p w:rsidR="00AD690E" w:rsidRDefault="00AD690E" w:rsidP="00AD690E">
      <w:pPr>
        <w:pStyle w:val="Notedebasdepage"/>
      </w:pPr>
      <w:r>
        <w:rPr>
          <w:rStyle w:val="Appelnotedebasdep"/>
        </w:rPr>
        <w:footnoteRef/>
      </w:r>
      <w:r>
        <w:t xml:space="preserve"> </w:t>
      </w:r>
      <w:r>
        <w:tab/>
      </w:r>
      <w:r w:rsidRPr="005937DA">
        <w:t>Voir BYERS, R., « La défense nationale et l'achat de matériel de défe</w:t>
      </w:r>
      <w:r w:rsidRPr="005937DA">
        <w:t>n</w:t>
      </w:r>
      <w:r w:rsidRPr="005937DA">
        <w:t xml:space="preserve">se », dans D. STAIRS et G.R. WINHAM, </w:t>
      </w:r>
      <w:r w:rsidRPr="005937DA">
        <w:rPr>
          <w:i/>
          <w:iCs/>
        </w:rPr>
        <w:t>Quelques problèmes concernant l'él</w:t>
      </w:r>
      <w:r w:rsidRPr="005937DA">
        <w:rPr>
          <w:i/>
          <w:iCs/>
        </w:rPr>
        <w:t>a</w:t>
      </w:r>
      <w:r w:rsidRPr="005937DA">
        <w:rPr>
          <w:i/>
          <w:iCs/>
        </w:rPr>
        <w:t xml:space="preserve">boration de la politique extérieure, </w:t>
      </w:r>
      <w:r w:rsidRPr="005937DA">
        <w:t>Commission royale sur l'union économ</w:t>
      </w:r>
      <w:r w:rsidRPr="005937DA">
        <w:t>i</w:t>
      </w:r>
      <w:r w:rsidRPr="005937DA">
        <w:t>que et les perspectives de développement au Canada, pp. 170-171.</w:t>
      </w:r>
    </w:p>
  </w:footnote>
  <w:footnote w:id="94">
    <w:p w:rsidR="00AD690E" w:rsidRDefault="00AD690E" w:rsidP="00AD690E">
      <w:pPr>
        <w:pStyle w:val="Notedebasdepage"/>
      </w:pPr>
      <w:r>
        <w:rPr>
          <w:rStyle w:val="Appelnotedebasdep"/>
        </w:rPr>
        <w:footnoteRef/>
      </w:r>
      <w:r>
        <w:t xml:space="preserve"> </w:t>
      </w:r>
      <w:r>
        <w:tab/>
      </w:r>
      <w:r w:rsidRPr="00812211">
        <w:t xml:space="preserve">Canada, Sénat, </w:t>
      </w:r>
      <w:r w:rsidRPr="00812211">
        <w:rPr>
          <w:i/>
          <w:iCs/>
        </w:rPr>
        <w:t xml:space="preserve">op. cit., </w:t>
      </w:r>
      <w:r w:rsidRPr="00812211">
        <w:t>mai 1983, p. 51.</w:t>
      </w:r>
    </w:p>
  </w:footnote>
  <w:footnote w:id="95">
    <w:p w:rsidR="00AD690E" w:rsidRDefault="00AD690E" w:rsidP="00AD690E">
      <w:pPr>
        <w:pStyle w:val="Notedebasdepage"/>
      </w:pPr>
      <w:r>
        <w:rPr>
          <w:rStyle w:val="Appelnotedebasdep"/>
        </w:rPr>
        <w:footnoteRef/>
      </w:r>
      <w:r>
        <w:t xml:space="preserve"> </w:t>
      </w:r>
      <w:r>
        <w:tab/>
      </w:r>
      <w:r w:rsidRPr="00812211">
        <w:t xml:space="preserve">CT, F., « Une absence presque totale de débats publics sur un budget de 8 Mds de dollars », dans </w:t>
      </w:r>
      <w:r w:rsidRPr="00812211">
        <w:rPr>
          <w:i/>
          <w:iCs/>
        </w:rPr>
        <w:t xml:space="preserve">La Presse, </w:t>
      </w:r>
      <w:r w:rsidRPr="00812211">
        <w:t>25 février 1984.</w:t>
      </w:r>
    </w:p>
  </w:footnote>
  <w:footnote w:id="96">
    <w:p w:rsidR="00AD690E" w:rsidRDefault="00AD690E" w:rsidP="00AD690E">
      <w:pPr>
        <w:pStyle w:val="Notedebasdepage"/>
      </w:pPr>
      <w:r>
        <w:rPr>
          <w:rStyle w:val="Appelnotedebasdep"/>
        </w:rPr>
        <w:footnoteRef/>
      </w:r>
      <w:r>
        <w:t xml:space="preserve"> </w:t>
      </w:r>
      <w:r>
        <w:tab/>
      </w:r>
      <w:r w:rsidRPr="00812211">
        <w:t xml:space="preserve">LEGAULT, A., </w:t>
      </w:r>
      <w:r w:rsidRPr="00812211">
        <w:rPr>
          <w:i/>
          <w:iCs/>
        </w:rPr>
        <w:t>op. cit</w:t>
      </w:r>
    </w:p>
  </w:footnote>
  <w:footnote w:id="97">
    <w:p w:rsidR="00AD690E" w:rsidRDefault="00AD690E" w:rsidP="00AD690E">
      <w:pPr>
        <w:pStyle w:val="Notedebasdepage"/>
      </w:pPr>
      <w:r>
        <w:rPr>
          <w:rStyle w:val="Appelnotedebasdep"/>
        </w:rPr>
        <w:footnoteRef/>
      </w:r>
      <w:r>
        <w:t xml:space="preserve"> </w:t>
      </w:r>
      <w:r>
        <w:tab/>
      </w:r>
      <w:r w:rsidRPr="008072A0">
        <w:t xml:space="preserve">Ministre de la Défense nationale, </w:t>
      </w:r>
      <w:r w:rsidRPr="008072A0">
        <w:rPr>
          <w:i/>
          <w:iCs/>
        </w:rPr>
        <w:t xml:space="preserve">Défis et engagements : une politique de défense pour le Canada, </w:t>
      </w:r>
      <w:r w:rsidRPr="008072A0">
        <w:t>Ottawa, Approvisionnements et Services Canada, 1987, p. III.</w:t>
      </w:r>
    </w:p>
  </w:footnote>
  <w:footnote w:id="98">
    <w:p w:rsidR="00AD690E" w:rsidRDefault="00AD690E" w:rsidP="00AD690E">
      <w:pPr>
        <w:pStyle w:val="Notedebasdepage"/>
      </w:pPr>
      <w:r>
        <w:rPr>
          <w:rStyle w:val="Appelnotedebasdep"/>
        </w:rPr>
        <w:footnoteRef/>
      </w:r>
      <w:r>
        <w:t xml:space="preserve"> </w:t>
      </w:r>
      <w:r>
        <w:tab/>
      </w:r>
      <w:r w:rsidRPr="008072A0">
        <w:t xml:space="preserve">KNILMAN, F.H., </w:t>
      </w:r>
      <w:r w:rsidRPr="006E4CB9">
        <w:t>Reagan, God and the Bomb from Myth to Policy in the Nuclear Arms Race</w:t>
      </w:r>
      <w:r w:rsidRPr="008072A0">
        <w:t>, Buffalo, Prometheus Books, 1987.</w:t>
      </w:r>
    </w:p>
  </w:footnote>
  <w:footnote w:id="99">
    <w:p w:rsidR="00AD690E" w:rsidRDefault="00AD690E" w:rsidP="00AD690E">
      <w:pPr>
        <w:pStyle w:val="Notedebasdepage"/>
      </w:pPr>
      <w:r>
        <w:rPr>
          <w:rStyle w:val="Appelnotedebasdep"/>
        </w:rPr>
        <w:footnoteRef/>
      </w:r>
      <w:r>
        <w:t xml:space="preserve"> </w:t>
      </w:r>
      <w:r>
        <w:tab/>
      </w:r>
      <w:r w:rsidRPr="008072A0">
        <w:t xml:space="preserve">Voir REGEHR, E. et ROSENBLUM, S., </w:t>
      </w:r>
      <w:r w:rsidRPr="008072A0">
        <w:rPr>
          <w:i/>
          <w:iCs/>
        </w:rPr>
        <w:t>op. cit</w:t>
      </w:r>
      <w:r>
        <w:rPr>
          <w:i/>
          <w:iCs/>
        </w:rPr>
        <w:t>.</w:t>
      </w:r>
    </w:p>
  </w:footnote>
  <w:footnote w:id="100">
    <w:p w:rsidR="00AD690E" w:rsidRDefault="00AD690E" w:rsidP="00AD690E">
      <w:pPr>
        <w:pStyle w:val="Notedebasdepage"/>
      </w:pPr>
      <w:r>
        <w:rPr>
          <w:rStyle w:val="Appelnotedebasdep"/>
        </w:rPr>
        <w:footnoteRef/>
      </w:r>
      <w:r>
        <w:t xml:space="preserve"> </w:t>
      </w:r>
      <w:r>
        <w:tab/>
      </w:r>
      <w:r w:rsidRPr="008B7046">
        <w:t xml:space="preserve">Ministère de la Défense nationale, </w:t>
      </w:r>
      <w:r w:rsidRPr="008B7046">
        <w:rPr>
          <w:i/>
          <w:iCs/>
        </w:rPr>
        <w:t xml:space="preserve">op. cit., </w:t>
      </w:r>
      <w:r w:rsidRPr="008B7046">
        <w:t>p. 89</w:t>
      </w:r>
    </w:p>
  </w:footnote>
  <w:footnote w:id="101">
    <w:p w:rsidR="00AD690E" w:rsidRDefault="00AD690E" w:rsidP="00AD690E">
      <w:pPr>
        <w:pStyle w:val="Notedebasdepage"/>
      </w:pPr>
      <w:r>
        <w:rPr>
          <w:rStyle w:val="Appelnotedebasdep"/>
        </w:rPr>
        <w:footnoteRef/>
      </w:r>
      <w:r>
        <w:t xml:space="preserve"> </w:t>
      </w:r>
      <w:r>
        <w:tab/>
      </w:r>
      <w:r w:rsidRPr="00D1066A">
        <w:rPr>
          <w:i/>
        </w:rPr>
        <w:t>Idem</w:t>
      </w:r>
      <w:r w:rsidRPr="008B7046">
        <w:t>.</w:t>
      </w:r>
    </w:p>
  </w:footnote>
  <w:footnote w:id="102">
    <w:p w:rsidR="00AD690E" w:rsidRDefault="00AD690E" w:rsidP="00AD690E">
      <w:pPr>
        <w:pStyle w:val="Notedebasdepage"/>
      </w:pPr>
      <w:r>
        <w:rPr>
          <w:rStyle w:val="Appelnotedebasdep"/>
        </w:rPr>
        <w:footnoteRef/>
      </w:r>
      <w:r>
        <w:t xml:space="preserve"> </w:t>
      </w:r>
      <w:r>
        <w:tab/>
      </w:r>
      <w:r w:rsidRPr="00D1066A">
        <w:t>Idem.</w:t>
      </w:r>
    </w:p>
  </w:footnote>
  <w:footnote w:id="103">
    <w:p w:rsidR="00AD690E" w:rsidRDefault="00AD690E" w:rsidP="00AD690E">
      <w:pPr>
        <w:pStyle w:val="Notedebasdepage"/>
      </w:pPr>
      <w:r>
        <w:rPr>
          <w:rStyle w:val="Appelnotedebasdep"/>
        </w:rPr>
        <w:footnoteRef/>
      </w:r>
      <w:r>
        <w:t xml:space="preserve"> </w:t>
      </w:r>
      <w:r>
        <w:tab/>
      </w:r>
      <w:r w:rsidRPr="008B7046">
        <w:rPr>
          <w:i/>
          <w:iCs/>
        </w:rPr>
        <w:t xml:space="preserve">Idem, </w:t>
      </w:r>
      <w:r w:rsidRPr="008B7046">
        <w:t>p. 6.</w:t>
      </w:r>
    </w:p>
  </w:footnote>
  <w:footnote w:id="104">
    <w:p w:rsidR="00AD690E" w:rsidRDefault="00AD690E" w:rsidP="00AD690E">
      <w:pPr>
        <w:pStyle w:val="Notedebasdepage"/>
      </w:pPr>
      <w:r>
        <w:rPr>
          <w:rStyle w:val="Appelnotedebasdep"/>
        </w:rPr>
        <w:footnoteRef/>
      </w:r>
      <w:r>
        <w:t xml:space="preserve"> </w:t>
      </w:r>
      <w:r>
        <w:tab/>
      </w:r>
      <w:r w:rsidRPr="00EC3AA8">
        <w:rPr>
          <w:i/>
          <w:iCs/>
        </w:rPr>
        <w:t xml:space="preserve">Idem, </w:t>
      </w:r>
      <w:r w:rsidRPr="00EC3AA8">
        <w:t>p. 43</w:t>
      </w:r>
      <w:r>
        <w:t>.</w:t>
      </w:r>
    </w:p>
  </w:footnote>
  <w:footnote w:id="105">
    <w:p w:rsidR="00AD690E" w:rsidRDefault="00AD690E" w:rsidP="00AD690E">
      <w:pPr>
        <w:pStyle w:val="Notedebasdepage"/>
      </w:pPr>
      <w:r>
        <w:rPr>
          <w:rStyle w:val="Appelnotedebasdep"/>
        </w:rPr>
        <w:footnoteRef/>
      </w:r>
      <w:r>
        <w:t xml:space="preserve"> </w:t>
      </w:r>
      <w:r>
        <w:tab/>
      </w:r>
      <w:r w:rsidRPr="00EC3AA8">
        <w:rPr>
          <w:i/>
          <w:iCs/>
        </w:rPr>
        <w:t xml:space="preserve">Idem, </w:t>
      </w:r>
      <w:r w:rsidRPr="00EC3AA8">
        <w:t>p. 17.</w:t>
      </w:r>
    </w:p>
  </w:footnote>
  <w:footnote w:id="106">
    <w:p w:rsidR="00AD690E" w:rsidRDefault="00AD690E" w:rsidP="00AD690E">
      <w:pPr>
        <w:pStyle w:val="Notedebasdepage"/>
      </w:pPr>
      <w:r>
        <w:rPr>
          <w:rStyle w:val="Appelnotedebasdep"/>
        </w:rPr>
        <w:footnoteRef/>
      </w:r>
      <w:r>
        <w:tab/>
        <w:t xml:space="preserve"> </w:t>
      </w:r>
      <w:r w:rsidRPr="00EC3AA8">
        <w:rPr>
          <w:i/>
          <w:iCs/>
        </w:rPr>
        <w:t xml:space="preserve">Idem, </w:t>
      </w:r>
      <w:r w:rsidRPr="00EC3AA8">
        <w:t>p. 20.</w:t>
      </w:r>
    </w:p>
  </w:footnote>
  <w:footnote w:id="107">
    <w:p w:rsidR="00AD690E" w:rsidRDefault="00AD690E" w:rsidP="00AD690E">
      <w:pPr>
        <w:pStyle w:val="Notedebasdepage"/>
      </w:pPr>
      <w:r>
        <w:rPr>
          <w:rStyle w:val="Appelnotedebasdep"/>
        </w:rPr>
        <w:footnoteRef/>
      </w:r>
      <w:r>
        <w:t xml:space="preserve"> </w:t>
      </w:r>
      <w:r>
        <w:tab/>
      </w:r>
      <w:r w:rsidRPr="00EC3AA8">
        <w:t xml:space="preserve">GARCIN, T., </w:t>
      </w:r>
      <w:r w:rsidRPr="00EC3AA8">
        <w:rPr>
          <w:i/>
          <w:iCs/>
        </w:rPr>
        <w:t xml:space="preserve">Les nouvelles menaces militaires, </w:t>
      </w:r>
      <w:r w:rsidRPr="00EC3AA8">
        <w:t>Paris, Economica, 1986.</w:t>
      </w:r>
    </w:p>
  </w:footnote>
  <w:footnote w:id="108">
    <w:p w:rsidR="00AD690E" w:rsidRDefault="00AD690E" w:rsidP="00AD690E">
      <w:pPr>
        <w:pStyle w:val="Notedebasdepage"/>
      </w:pPr>
      <w:r>
        <w:rPr>
          <w:rStyle w:val="Appelnotedebasdep"/>
        </w:rPr>
        <w:footnoteRef/>
      </w:r>
      <w:r>
        <w:t xml:space="preserve"> </w:t>
      </w:r>
      <w:r>
        <w:tab/>
      </w:r>
      <w:r w:rsidRPr="009161F8">
        <w:t>COULON, J., « Le Canada doit rester prudent face aux orientations milita</w:t>
      </w:r>
      <w:r w:rsidRPr="009161F8">
        <w:t>i</w:t>
      </w:r>
      <w:r w:rsidRPr="009161F8">
        <w:t xml:space="preserve">res américaines », dans </w:t>
      </w:r>
      <w:r w:rsidRPr="009161F8">
        <w:rPr>
          <w:i/>
          <w:iCs/>
        </w:rPr>
        <w:t xml:space="preserve">Le Devoir, </w:t>
      </w:r>
      <w:r w:rsidRPr="009161F8">
        <w:t>25 novembre 1985.</w:t>
      </w:r>
    </w:p>
  </w:footnote>
  <w:footnote w:id="109">
    <w:p w:rsidR="00AD690E" w:rsidRDefault="00AD690E" w:rsidP="00AD690E">
      <w:pPr>
        <w:pStyle w:val="Notedebasdepage"/>
      </w:pPr>
      <w:r>
        <w:rPr>
          <w:rStyle w:val="Appelnotedebasdep"/>
        </w:rPr>
        <w:footnoteRef/>
      </w:r>
      <w:r>
        <w:t xml:space="preserve"> </w:t>
      </w:r>
      <w:r>
        <w:tab/>
      </w:r>
      <w:r w:rsidRPr="009161F8">
        <w:t xml:space="preserve">BOISMENU G., « Vers une redéfinition des lieux d'exercice du pouvoir d'État au Canada », dans </w:t>
      </w:r>
      <w:r w:rsidRPr="009161F8">
        <w:rPr>
          <w:i/>
          <w:iCs/>
        </w:rPr>
        <w:t xml:space="preserve">Cahiers d'histoire, </w:t>
      </w:r>
      <w:r w:rsidRPr="009161F8">
        <w:t xml:space="preserve">Vol. II, n° 1, automne 1981, p. 11-30 ; ROCHER F., « Essai pour une problématique d'interprétation des conflits entre paliers gouvernementaux au Canada depuis 1960 », </w:t>
      </w:r>
      <w:r w:rsidRPr="009161F8">
        <w:rPr>
          <w:i/>
          <w:iCs/>
        </w:rPr>
        <w:t>N</w:t>
      </w:r>
      <w:r w:rsidRPr="009161F8">
        <w:rPr>
          <w:i/>
          <w:iCs/>
        </w:rPr>
        <w:t>o</w:t>
      </w:r>
      <w:r w:rsidRPr="009161F8">
        <w:rPr>
          <w:i/>
          <w:iCs/>
        </w:rPr>
        <w:t xml:space="preserve">tes de recherche, </w:t>
      </w:r>
      <w:r w:rsidRPr="009161F8">
        <w:t>n° 8, Département de science politique. Université de Montréal, juin 1982, 152 p.</w:t>
      </w:r>
    </w:p>
  </w:footnote>
  <w:footnote w:id="110">
    <w:p w:rsidR="00AD690E" w:rsidRDefault="00AD690E" w:rsidP="00AD690E">
      <w:pPr>
        <w:pStyle w:val="Notedebasdepage"/>
      </w:pPr>
      <w:r>
        <w:rPr>
          <w:rStyle w:val="Appelnotedebasdep"/>
        </w:rPr>
        <w:footnoteRef/>
      </w:r>
      <w:r>
        <w:t xml:space="preserve"> </w:t>
      </w:r>
      <w:r>
        <w:tab/>
      </w:r>
      <w:r w:rsidRPr="009161F8">
        <w:t xml:space="preserve">BOISMENU G., « L'État fédératif et l'hétérogénéité de l'espace », dans </w:t>
      </w:r>
      <w:r w:rsidRPr="009161F8">
        <w:rPr>
          <w:i/>
          <w:iCs/>
        </w:rPr>
        <w:t>E</w:t>
      </w:r>
      <w:r w:rsidRPr="009161F8">
        <w:rPr>
          <w:i/>
          <w:iCs/>
        </w:rPr>
        <w:t>s</w:t>
      </w:r>
      <w:r w:rsidRPr="009161F8">
        <w:rPr>
          <w:i/>
          <w:iCs/>
        </w:rPr>
        <w:t xml:space="preserve">pace régional et nation, </w:t>
      </w:r>
      <w:r w:rsidRPr="009161F8">
        <w:t>Montréal, Boréal Express, 1983, pp. 51-84.</w:t>
      </w:r>
    </w:p>
  </w:footnote>
  <w:footnote w:id="111">
    <w:p w:rsidR="00AD690E" w:rsidRDefault="00AD690E" w:rsidP="00AD690E">
      <w:pPr>
        <w:pStyle w:val="Notedebasdepage"/>
      </w:pPr>
      <w:r>
        <w:rPr>
          <w:rStyle w:val="Appelnotedebasdep"/>
        </w:rPr>
        <w:footnoteRef/>
      </w:r>
      <w:r>
        <w:tab/>
        <w:t xml:space="preserve"> </w:t>
      </w:r>
      <w:r w:rsidRPr="00751B7F">
        <w:t xml:space="preserve">MOORE A. M., PERRY, J. H. et BEACH, D. I., « Le financement de la fédération canadienne. Le premier siècle », Toronto, dans </w:t>
      </w:r>
      <w:r>
        <w:rPr>
          <w:i/>
          <w:iCs/>
        </w:rPr>
        <w:t>É</w:t>
      </w:r>
      <w:r w:rsidRPr="00751B7F">
        <w:rPr>
          <w:i/>
          <w:iCs/>
        </w:rPr>
        <w:t xml:space="preserve">tudes fiscales canadiennes, </w:t>
      </w:r>
      <w:r w:rsidRPr="00751B7F">
        <w:t>n° 43, Association canadienne d'études fiscales, avril 1966, 164</w:t>
      </w:r>
      <w:r>
        <w:t> </w:t>
      </w:r>
      <w:r w:rsidRPr="00751B7F">
        <w:t>p.</w:t>
      </w:r>
    </w:p>
  </w:footnote>
  <w:footnote w:id="112">
    <w:p w:rsidR="00AD690E" w:rsidRDefault="00AD690E" w:rsidP="00AD690E">
      <w:pPr>
        <w:pStyle w:val="Notedebasdepage"/>
      </w:pPr>
      <w:r>
        <w:rPr>
          <w:rStyle w:val="Appelnotedebasdep"/>
        </w:rPr>
        <w:footnoteRef/>
      </w:r>
      <w:r>
        <w:t xml:space="preserve"> </w:t>
      </w:r>
      <w:r>
        <w:tab/>
      </w:r>
      <w:r w:rsidRPr="00751B7F">
        <w:t xml:space="preserve">BOISMENU, G., « La pensée constitutionnelle de Jean Lesage », dans </w:t>
      </w:r>
      <w:r w:rsidRPr="00751B7F">
        <w:rPr>
          <w:i/>
          <w:iCs/>
        </w:rPr>
        <w:t xml:space="preserve">Jean Lesage, </w:t>
      </w:r>
      <w:r w:rsidRPr="00751B7F">
        <w:t>Presses de l'Université du Québec, à paraître, 1989.</w:t>
      </w:r>
    </w:p>
  </w:footnote>
  <w:footnote w:id="113">
    <w:p w:rsidR="00AD690E" w:rsidRDefault="00AD690E" w:rsidP="00AD690E">
      <w:pPr>
        <w:pStyle w:val="Notedebasdepage"/>
      </w:pPr>
      <w:r>
        <w:rPr>
          <w:rStyle w:val="Appelnotedebasdep"/>
        </w:rPr>
        <w:footnoteRef/>
      </w:r>
      <w:r>
        <w:t xml:space="preserve"> </w:t>
      </w:r>
      <w:r>
        <w:tab/>
      </w:r>
      <w:r w:rsidRPr="00751B7F">
        <w:t xml:space="preserve">ROY, J.-L., </w:t>
      </w:r>
      <w:r w:rsidRPr="00FB0E1C">
        <w:t>Le choix d'un pays. Le débat constitutionnel Québec-Canada, 1960-1976</w:t>
      </w:r>
      <w:r w:rsidRPr="00751B7F">
        <w:t>, Montréal, Leméac, 1978, p. 15-19</w:t>
      </w:r>
    </w:p>
  </w:footnote>
  <w:footnote w:id="114">
    <w:p w:rsidR="00AD690E" w:rsidRDefault="00AD690E" w:rsidP="00AD690E">
      <w:pPr>
        <w:pStyle w:val="Notedebasdepage"/>
      </w:pPr>
      <w:r>
        <w:rPr>
          <w:rStyle w:val="Appelnotedebasdep"/>
        </w:rPr>
        <w:footnoteRef/>
      </w:r>
      <w:r>
        <w:t xml:space="preserve"> </w:t>
      </w:r>
      <w:r>
        <w:tab/>
      </w:r>
      <w:r w:rsidRPr="00751B7F">
        <w:t>LESAGE, J., « Québec in Canadian Confederation », Interprovincial Conf</w:t>
      </w:r>
      <w:r w:rsidRPr="00751B7F">
        <w:t>e</w:t>
      </w:r>
      <w:r w:rsidRPr="00751B7F">
        <w:t xml:space="preserve">rence, Victoria, August 7th, 1962, cité par J.-L. ROY, </w:t>
      </w:r>
      <w:r w:rsidRPr="00751B7F">
        <w:rPr>
          <w:i/>
          <w:iCs/>
        </w:rPr>
        <w:t xml:space="preserve">Ibid., </w:t>
      </w:r>
      <w:r w:rsidRPr="00751B7F">
        <w:t>p</w:t>
      </w:r>
      <w:r>
        <w:t xml:space="preserve">. </w:t>
      </w:r>
      <w:r w:rsidRPr="00751B7F">
        <w:t xml:space="preserve"> 25.</w:t>
      </w:r>
    </w:p>
  </w:footnote>
  <w:footnote w:id="115">
    <w:p w:rsidR="00AD690E" w:rsidRDefault="00AD690E" w:rsidP="00AD690E">
      <w:pPr>
        <w:pStyle w:val="Notedebasdepage"/>
      </w:pPr>
      <w:r>
        <w:rPr>
          <w:rStyle w:val="Appelnotedebasdep"/>
        </w:rPr>
        <w:footnoteRef/>
      </w:r>
      <w:r>
        <w:t xml:space="preserve"> </w:t>
      </w:r>
      <w:r>
        <w:tab/>
      </w:r>
      <w:r w:rsidRPr="00751B7F">
        <w:t xml:space="preserve">RÉMILLARD, G., </w:t>
      </w:r>
      <w:r w:rsidRPr="00751B7F">
        <w:rPr>
          <w:i/>
          <w:iCs/>
        </w:rPr>
        <w:t xml:space="preserve">Le fédéralisme canadien, </w:t>
      </w:r>
      <w:r w:rsidRPr="00751B7F">
        <w:t>Montréal, Québec/Amérique, 1980, p. 125 et s</w:t>
      </w:r>
      <w:r>
        <w:t>.</w:t>
      </w:r>
    </w:p>
  </w:footnote>
  <w:footnote w:id="116">
    <w:p w:rsidR="00AD690E" w:rsidRDefault="00AD690E" w:rsidP="00AD690E">
      <w:pPr>
        <w:pStyle w:val="Notedebasdepage"/>
      </w:pPr>
      <w:r>
        <w:rPr>
          <w:rStyle w:val="Appelnotedebasdep"/>
        </w:rPr>
        <w:footnoteRef/>
      </w:r>
      <w:r>
        <w:t xml:space="preserve"> </w:t>
      </w:r>
      <w:r>
        <w:tab/>
      </w:r>
      <w:r w:rsidRPr="00705943">
        <w:t xml:space="preserve">ROY J.-L., </w:t>
      </w:r>
      <w:r w:rsidRPr="00FB0E1C">
        <w:t>Les programmes électoraux du Québec, tome II, 1931-1966</w:t>
      </w:r>
      <w:r w:rsidRPr="00705943">
        <w:t>, Montréal, Leméac, 1971, p. 395.</w:t>
      </w:r>
    </w:p>
  </w:footnote>
  <w:footnote w:id="117">
    <w:p w:rsidR="00AD690E" w:rsidRDefault="00AD690E" w:rsidP="00AD690E">
      <w:pPr>
        <w:pStyle w:val="Notedebasdepage"/>
      </w:pPr>
      <w:r>
        <w:rPr>
          <w:rStyle w:val="Appelnotedebasdep"/>
        </w:rPr>
        <w:footnoteRef/>
      </w:r>
      <w:r>
        <w:t xml:space="preserve"> </w:t>
      </w:r>
      <w:r>
        <w:tab/>
      </w:r>
      <w:r w:rsidRPr="00705943">
        <w:t xml:space="preserve">MORIN, C, </w:t>
      </w:r>
      <w:r w:rsidRPr="00705943">
        <w:rPr>
          <w:i/>
          <w:iCs/>
        </w:rPr>
        <w:t xml:space="preserve">Le pouvoir québécois... en négociation, </w:t>
      </w:r>
      <w:r w:rsidRPr="00705943">
        <w:t>Québec, Boréal E</w:t>
      </w:r>
      <w:r w:rsidRPr="00705943">
        <w:t>x</w:t>
      </w:r>
      <w:r w:rsidRPr="00705943">
        <w:t xml:space="preserve">press, 1972, 208 p. ; SIMEON R., </w:t>
      </w:r>
      <w:r w:rsidRPr="00705943">
        <w:rPr>
          <w:i/>
          <w:iCs/>
        </w:rPr>
        <w:t>Federal-Provincial diplomacy,</w:t>
      </w:r>
      <w:r>
        <w:rPr>
          <w:i/>
          <w:iCs/>
        </w:rPr>
        <w:t xml:space="preserve"> </w:t>
      </w:r>
      <w:r w:rsidRPr="00705943">
        <w:t>Toronto, University of Toronto Press, 1972, pp. 47-87. BOISMENU, G., « La pe</w:t>
      </w:r>
      <w:r w:rsidRPr="00705943">
        <w:t>n</w:t>
      </w:r>
      <w:r w:rsidRPr="00705943">
        <w:t xml:space="preserve">sée constitutionnelle de Jean Lesage », </w:t>
      </w:r>
      <w:r w:rsidRPr="00705943">
        <w:rPr>
          <w:i/>
          <w:iCs/>
        </w:rPr>
        <w:t>op. cit.</w:t>
      </w:r>
    </w:p>
  </w:footnote>
  <w:footnote w:id="118">
    <w:p w:rsidR="00AD690E" w:rsidRDefault="00AD690E" w:rsidP="00AD690E">
      <w:pPr>
        <w:pStyle w:val="Notedebasdepage"/>
      </w:pPr>
      <w:r>
        <w:rPr>
          <w:rStyle w:val="Appelnotedebasdep"/>
        </w:rPr>
        <w:footnoteRef/>
      </w:r>
      <w:r>
        <w:t xml:space="preserve"> </w:t>
      </w:r>
      <w:r>
        <w:tab/>
      </w:r>
      <w:r w:rsidRPr="00705943">
        <w:t xml:space="preserve">FAVEAU, G., </w:t>
      </w:r>
      <w:r w:rsidRPr="00705943">
        <w:rPr>
          <w:i/>
          <w:iCs/>
        </w:rPr>
        <w:t xml:space="preserve">Modification de la constitution du Canada, </w:t>
      </w:r>
      <w:r w:rsidRPr="00705943">
        <w:t>Ottawa, Impr</w:t>
      </w:r>
      <w:r w:rsidRPr="00705943">
        <w:t>i</w:t>
      </w:r>
      <w:r w:rsidRPr="00705943">
        <w:t>meur de la Reine, février 1965, p. 38. Les aspects se rapportant aux instit</w:t>
      </w:r>
      <w:r w:rsidRPr="00705943">
        <w:t>u</w:t>
      </w:r>
      <w:r w:rsidRPr="00705943">
        <w:t>tions fédérales sont : 1) les fonctions de la Reine et du gouverneur gén</w:t>
      </w:r>
      <w:r w:rsidRPr="00705943">
        <w:t>é</w:t>
      </w:r>
      <w:r w:rsidRPr="00705943">
        <w:t>ral ; 2) les prescriptions quant à une session annuelle du Parlement ; 3) la période maximum fixée par la Constitution du Canada pour la durée de la Chambre des communes (sauf en cas de guerre, invasion, insurrection) ; 4) le nombre de membres pour lequel une province a droit d'être représentée au Sénat ; 5) les qualités requises des sénateurs quant à la résidence ainsi que les prescri</w:t>
      </w:r>
      <w:r w:rsidRPr="00705943">
        <w:t>p</w:t>
      </w:r>
      <w:r w:rsidRPr="00705943">
        <w:t>tions de la constitution concernant la nomination des pe</w:t>
      </w:r>
      <w:r w:rsidRPr="00705943">
        <w:t>r</w:t>
      </w:r>
      <w:r w:rsidRPr="00705943">
        <w:t>sonnes au Sénat ; 6) le droit d'une province à un nombre de membres à la Chambre non inférieur au nombre de sénateurs représentant cette province ; 7) les principes de r</w:t>
      </w:r>
      <w:r w:rsidRPr="00705943">
        <w:t>e</w:t>
      </w:r>
      <w:r w:rsidRPr="00705943">
        <w:t>présentation proportionnelle des provinces à la Chambre ; 8) l'usage de l'a</w:t>
      </w:r>
      <w:r w:rsidRPr="00705943">
        <w:t>n</w:t>
      </w:r>
      <w:r w:rsidRPr="00705943">
        <w:t xml:space="preserve">glais et du français. </w:t>
      </w:r>
      <w:r w:rsidRPr="00705943">
        <w:rPr>
          <w:i/>
          <w:iCs/>
        </w:rPr>
        <w:t xml:space="preserve">Ibid., </w:t>
      </w:r>
      <w:r w:rsidRPr="00705943">
        <w:t>p. 38-39.</w:t>
      </w:r>
    </w:p>
  </w:footnote>
  <w:footnote w:id="119">
    <w:p w:rsidR="00AD690E" w:rsidRDefault="00AD690E" w:rsidP="00AD690E">
      <w:pPr>
        <w:pStyle w:val="Notedebasdepage"/>
      </w:pPr>
      <w:r>
        <w:rPr>
          <w:rStyle w:val="Appelnotedebasdep"/>
        </w:rPr>
        <w:footnoteRef/>
      </w:r>
      <w:r>
        <w:t xml:space="preserve"> </w:t>
      </w:r>
      <w:r>
        <w:tab/>
      </w:r>
      <w:r w:rsidRPr="00705943">
        <w:rPr>
          <w:i/>
          <w:iCs/>
        </w:rPr>
        <w:t xml:space="preserve">Ibid., </w:t>
      </w:r>
      <w:r w:rsidRPr="00705943">
        <w:t>p. 36 ; pour les domaines touchant l'éducation, les droits des minor</w:t>
      </w:r>
      <w:r w:rsidRPr="00705943">
        <w:t>i</w:t>
      </w:r>
      <w:r w:rsidRPr="00705943">
        <w:t>tés religieuses, il y a une variante concernant Terre-Neuve.</w:t>
      </w:r>
    </w:p>
  </w:footnote>
  <w:footnote w:id="120">
    <w:p w:rsidR="00AD690E" w:rsidRDefault="00AD690E" w:rsidP="00AD690E">
      <w:pPr>
        <w:pStyle w:val="Notedebasdepage"/>
      </w:pPr>
      <w:r>
        <w:rPr>
          <w:rStyle w:val="Appelnotedebasdep"/>
        </w:rPr>
        <w:footnoteRef/>
      </w:r>
      <w:r>
        <w:t xml:space="preserve"> </w:t>
      </w:r>
      <w:r>
        <w:tab/>
      </w:r>
      <w:r w:rsidRPr="00705943">
        <w:rPr>
          <w:i/>
          <w:iCs/>
        </w:rPr>
        <w:t xml:space="preserve">Ibid., </w:t>
      </w:r>
      <w:r w:rsidRPr="00705943">
        <w:t>p. 43.</w:t>
      </w:r>
    </w:p>
  </w:footnote>
  <w:footnote w:id="121">
    <w:p w:rsidR="00AD690E" w:rsidRDefault="00AD690E" w:rsidP="00AD690E">
      <w:pPr>
        <w:pStyle w:val="Notedebasdepage"/>
      </w:pPr>
      <w:r>
        <w:rPr>
          <w:rStyle w:val="Appelnotedebasdep"/>
        </w:rPr>
        <w:footnoteRef/>
      </w:r>
      <w:r>
        <w:t xml:space="preserve"> </w:t>
      </w:r>
      <w:r>
        <w:tab/>
      </w:r>
      <w:r w:rsidRPr="004E055C">
        <w:t>Lesage en fait état d'ailleurs dans sa lettre à Pearson : « Cette différence d'opinion fut confirmée jusqu'à un certain degré, par des déclarations publ</w:t>
      </w:r>
      <w:r w:rsidRPr="004E055C">
        <w:t>i</w:t>
      </w:r>
      <w:r w:rsidRPr="004E055C">
        <w:t xml:space="preserve">ques faites au lendemain de cette visite par des représentants autorisés de ces provinces. », cité par ROY, J.-L., </w:t>
      </w:r>
      <w:r w:rsidRPr="004E055C">
        <w:rPr>
          <w:i/>
          <w:iCs/>
        </w:rPr>
        <w:t xml:space="preserve">Le Choix ..., op. cit., </w:t>
      </w:r>
      <w:r w:rsidRPr="004E055C">
        <w:t>p.66.</w:t>
      </w:r>
    </w:p>
  </w:footnote>
  <w:footnote w:id="122">
    <w:p w:rsidR="00AD690E" w:rsidRDefault="00AD690E" w:rsidP="00AD690E">
      <w:pPr>
        <w:pStyle w:val="Notedebasdepage"/>
      </w:pPr>
      <w:r>
        <w:rPr>
          <w:rStyle w:val="Appelnotedebasdep"/>
        </w:rPr>
        <w:footnoteRef/>
      </w:r>
      <w:r>
        <w:t xml:space="preserve"> </w:t>
      </w:r>
      <w:r>
        <w:tab/>
      </w:r>
      <w:r w:rsidRPr="004E055C">
        <w:t>CANADA. Commission royale d'enquête sur le bilinguisme et le bicultur</w:t>
      </w:r>
      <w:r w:rsidRPr="004E055C">
        <w:t>a</w:t>
      </w:r>
      <w:r w:rsidRPr="004E055C">
        <w:t xml:space="preserve">lisme, </w:t>
      </w:r>
      <w:r w:rsidRPr="004E055C">
        <w:rPr>
          <w:i/>
          <w:iCs/>
        </w:rPr>
        <w:t xml:space="preserve">Rapport préliminaire, </w:t>
      </w:r>
      <w:r w:rsidRPr="004E055C">
        <w:t>Ottawa, Imprimeur de la Reine, 1965, p.</w:t>
      </w:r>
      <w:r>
        <w:t> </w:t>
      </w:r>
      <w:r w:rsidRPr="004E055C">
        <w:t>5.</w:t>
      </w:r>
    </w:p>
  </w:footnote>
  <w:footnote w:id="123">
    <w:p w:rsidR="00AD690E" w:rsidRDefault="00AD690E" w:rsidP="00AD690E">
      <w:pPr>
        <w:pStyle w:val="Notedebasdepage"/>
      </w:pPr>
      <w:r>
        <w:rPr>
          <w:rStyle w:val="Appelnotedebasdep"/>
        </w:rPr>
        <w:footnoteRef/>
      </w:r>
      <w:r>
        <w:t xml:space="preserve"> </w:t>
      </w:r>
      <w:r>
        <w:tab/>
      </w:r>
      <w:r w:rsidRPr="00CB17FA">
        <w:rPr>
          <w:i/>
          <w:iCs/>
        </w:rPr>
        <w:t xml:space="preserve">Ibid., </w:t>
      </w:r>
      <w:r w:rsidRPr="00CB17FA">
        <w:t>p. 102.</w:t>
      </w:r>
    </w:p>
  </w:footnote>
  <w:footnote w:id="124">
    <w:p w:rsidR="00AD690E" w:rsidRPr="00CB17FA" w:rsidRDefault="00AD690E" w:rsidP="00AD690E">
      <w:pPr>
        <w:pStyle w:val="Notedebasdepage"/>
      </w:pPr>
      <w:r>
        <w:rPr>
          <w:rStyle w:val="Appelnotedebasdep"/>
        </w:rPr>
        <w:footnoteRef/>
      </w:r>
      <w:r>
        <w:tab/>
      </w:r>
      <w:r w:rsidRPr="00CB17FA">
        <w:rPr>
          <w:i/>
        </w:rPr>
        <w:t>Ibid</w:t>
      </w:r>
      <w:r>
        <w:rPr>
          <w:i/>
        </w:rPr>
        <w:t>.</w:t>
      </w:r>
      <w:r w:rsidRPr="00CB17FA">
        <w:rPr>
          <w:i/>
        </w:rPr>
        <w:t>,</w:t>
      </w:r>
      <w:r w:rsidRPr="00CB17FA">
        <w:t xml:space="preserve"> p. 127</w:t>
      </w:r>
    </w:p>
  </w:footnote>
  <w:footnote w:id="125">
    <w:p w:rsidR="00AD690E" w:rsidRDefault="00AD690E" w:rsidP="00AD690E">
      <w:pPr>
        <w:pStyle w:val="Notedebasdepage"/>
      </w:pPr>
      <w:r>
        <w:rPr>
          <w:rStyle w:val="Appelnotedebasdep"/>
        </w:rPr>
        <w:footnoteRef/>
      </w:r>
      <w:r>
        <w:t xml:space="preserve"> </w:t>
      </w:r>
      <w:r>
        <w:tab/>
      </w:r>
      <w:r w:rsidRPr="00CB17FA">
        <w:rPr>
          <w:i/>
        </w:rPr>
        <w:t>Ibid</w:t>
      </w:r>
      <w:r>
        <w:rPr>
          <w:i/>
        </w:rPr>
        <w:t>.</w:t>
      </w:r>
      <w:r w:rsidRPr="00CB17FA">
        <w:t>, 114</w:t>
      </w:r>
      <w:r>
        <w:rPr>
          <w:i/>
        </w:rPr>
        <w:t>.</w:t>
      </w:r>
    </w:p>
  </w:footnote>
  <w:footnote w:id="126">
    <w:p w:rsidR="00AD690E" w:rsidRDefault="00AD690E" w:rsidP="00AD690E">
      <w:pPr>
        <w:pStyle w:val="Notedebasdepage"/>
      </w:pPr>
      <w:r>
        <w:rPr>
          <w:rStyle w:val="Appelnotedebasdep"/>
        </w:rPr>
        <w:footnoteRef/>
      </w:r>
      <w:r>
        <w:t xml:space="preserve"> </w:t>
      </w:r>
      <w:r>
        <w:tab/>
      </w:r>
      <w:r w:rsidRPr="00CB17FA">
        <w:t>CANADA. Commission royale d'enquête sur le bilinguisme et le bicultur</w:t>
      </w:r>
      <w:r w:rsidRPr="00CB17FA">
        <w:t>a</w:t>
      </w:r>
      <w:r w:rsidRPr="00CB17FA">
        <w:t xml:space="preserve">lisme, </w:t>
      </w:r>
      <w:r w:rsidRPr="00CB17FA">
        <w:rPr>
          <w:i/>
          <w:iCs/>
        </w:rPr>
        <w:t xml:space="preserve">Rapport - Livre I, Introduction générale. Les langues officielles, </w:t>
      </w:r>
      <w:r w:rsidRPr="00CB17FA">
        <w:t>O</w:t>
      </w:r>
      <w:r w:rsidRPr="00CB17FA">
        <w:t>t</w:t>
      </w:r>
      <w:r w:rsidRPr="00CB17FA">
        <w:t>tawa, Imprimeur de la Reine, 1967, p. XXXV.</w:t>
      </w:r>
    </w:p>
  </w:footnote>
  <w:footnote w:id="127">
    <w:p w:rsidR="00AD690E" w:rsidRDefault="00AD690E" w:rsidP="00AD690E">
      <w:pPr>
        <w:pStyle w:val="Notedebasdepage"/>
      </w:pPr>
      <w:r>
        <w:rPr>
          <w:rStyle w:val="Appelnotedebasdep"/>
        </w:rPr>
        <w:footnoteRef/>
      </w:r>
      <w:r>
        <w:t xml:space="preserve"> </w:t>
      </w:r>
      <w:r>
        <w:tab/>
      </w:r>
      <w:r w:rsidRPr="002526E5">
        <w:rPr>
          <w:i/>
          <w:iCs/>
        </w:rPr>
        <w:t xml:space="preserve">Ibid., </w:t>
      </w:r>
      <w:r w:rsidRPr="002526E5">
        <w:t>pp. 140-142.</w:t>
      </w:r>
    </w:p>
  </w:footnote>
  <w:footnote w:id="128">
    <w:p w:rsidR="00AD690E" w:rsidRDefault="00AD690E" w:rsidP="00AD690E">
      <w:pPr>
        <w:pStyle w:val="Notedebasdepage"/>
      </w:pPr>
      <w:r>
        <w:rPr>
          <w:rStyle w:val="Appelnotedebasdep"/>
        </w:rPr>
        <w:footnoteRef/>
      </w:r>
      <w:r>
        <w:t xml:space="preserve"> </w:t>
      </w:r>
      <w:r>
        <w:tab/>
      </w:r>
      <w:r w:rsidRPr="008844D3">
        <w:t xml:space="preserve">ROY J.-L., </w:t>
      </w:r>
      <w:r w:rsidRPr="008844D3">
        <w:rPr>
          <w:i/>
          <w:iCs/>
        </w:rPr>
        <w:t xml:space="preserve">Le Choix d'un pays, </w:t>
      </w:r>
      <w:r w:rsidRPr="008844D3">
        <w:t>Montréal, Leméac, 1978, p. 139-154.</w:t>
      </w:r>
    </w:p>
  </w:footnote>
  <w:footnote w:id="129">
    <w:p w:rsidR="00AD690E" w:rsidRDefault="00AD690E" w:rsidP="00AD690E">
      <w:pPr>
        <w:pStyle w:val="Notedebasdepage"/>
      </w:pPr>
      <w:r>
        <w:rPr>
          <w:rStyle w:val="Appelnotedebasdep"/>
        </w:rPr>
        <w:footnoteRef/>
      </w:r>
      <w:r>
        <w:t xml:space="preserve"> </w:t>
      </w:r>
      <w:r>
        <w:tab/>
      </w:r>
      <w:r w:rsidRPr="008844D3">
        <w:t xml:space="preserve">JOHNSON, D., </w:t>
      </w:r>
      <w:r w:rsidRPr="008844D3">
        <w:rPr>
          <w:i/>
          <w:iCs/>
        </w:rPr>
        <w:t xml:space="preserve">Égalité ou Indépendance, </w:t>
      </w:r>
      <w:r w:rsidRPr="008844D3">
        <w:t>Montréal, Éditions de l'homme, 1965, p.</w:t>
      </w:r>
      <w:r>
        <w:t> </w:t>
      </w:r>
      <w:r w:rsidRPr="008844D3">
        <w:t>24</w:t>
      </w:r>
    </w:p>
  </w:footnote>
  <w:footnote w:id="130">
    <w:p w:rsidR="00AD690E" w:rsidRDefault="00AD690E" w:rsidP="00AD690E">
      <w:pPr>
        <w:pStyle w:val="Notedebasdepage"/>
      </w:pPr>
      <w:r>
        <w:rPr>
          <w:rStyle w:val="Appelnotedebasdep"/>
        </w:rPr>
        <w:footnoteRef/>
      </w:r>
      <w:r>
        <w:t xml:space="preserve"> </w:t>
      </w:r>
      <w:r>
        <w:tab/>
      </w:r>
      <w:r w:rsidRPr="003E7D46">
        <w:rPr>
          <w:i/>
          <w:iCs/>
        </w:rPr>
        <w:t xml:space="preserve">Ibid., </w:t>
      </w:r>
      <w:r w:rsidRPr="003E7D46">
        <w:t>p. 117</w:t>
      </w:r>
    </w:p>
  </w:footnote>
  <w:footnote w:id="131">
    <w:p w:rsidR="00AD690E" w:rsidRDefault="00AD690E" w:rsidP="00AD690E">
      <w:pPr>
        <w:pStyle w:val="Notedebasdepage"/>
      </w:pPr>
      <w:r>
        <w:rPr>
          <w:rStyle w:val="Appelnotedebasdep"/>
        </w:rPr>
        <w:footnoteRef/>
      </w:r>
      <w:r>
        <w:t xml:space="preserve"> </w:t>
      </w:r>
      <w:r>
        <w:tab/>
      </w:r>
      <w:r w:rsidRPr="003E7D46">
        <w:t xml:space="preserve">BOISMENU, G., « La pensée constitutionnelle de Jean Lesage », dans </w:t>
      </w:r>
      <w:r w:rsidRPr="003E7D46">
        <w:rPr>
          <w:i/>
          <w:iCs/>
        </w:rPr>
        <w:t xml:space="preserve">Jean Lesage, </w:t>
      </w:r>
      <w:r w:rsidRPr="003E7D46">
        <w:t>Presses de l'Université du Québec, à paraître, 1989.</w:t>
      </w:r>
    </w:p>
  </w:footnote>
  <w:footnote w:id="132">
    <w:p w:rsidR="00AD690E" w:rsidRDefault="00AD690E" w:rsidP="00AD690E">
      <w:pPr>
        <w:pStyle w:val="Notedebasdepage"/>
      </w:pPr>
      <w:r>
        <w:rPr>
          <w:rStyle w:val="Appelnotedebasdep"/>
        </w:rPr>
        <w:footnoteRef/>
      </w:r>
      <w:r>
        <w:t xml:space="preserve"> </w:t>
      </w:r>
      <w:r>
        <w:tab/>
      </w:r>
      <w:r w:rsidRPr="003E7D46">
        <w:t xml:space="preserve">ROY J.-L., </w:t>
      </w:r>
      <w:r w:rsidRPr="00963199">
        <w:rPr>
          <w:i/>
        </w:rPr>
        <w:t>Le choix</w:t>
      </w:r>
      <w:r w:rsidRPr="003E7D46">
        <w:t xml:space="preserve"> ..., op. cit., p. 141.</w:t>
      </w:r>
    </w:p>
  </w:footnote>
  <w:footnote w:id="133">
    <w:p w:rsidR="00AD690E" w:rsidRDefault="00AD690E" w:rsidP="00AD690E">
      <w:pPr>
        <w:pStyle w:val="Notedebasdepage"/>
      </w:pPr>
      <w:r>
        <w:rPr>
          <w:rStyle w:val="Appelnotedebasdep"/>
        </w:rPr>
        <w:footnoteRef/>
      </w:r>
      <w:r>
        <w:t xml:space="preserve"> </w:t>
      </w:r>
      <w:r>
        <w:tab/>
      </w:r>
      <w:r w:rsidRPr="002526E5">
        <w:t>CANADA. Le fédéralisme et l'avenir — Déclaration de principe et exposé de la politique du Gouvernement du Canada</w:t>
      </w:r>
      <w:r w:rsidRPr="003E7D46">
        <w:t>, Ottawa, Conférence sur la Con</w:t>
      </w:r>
      <w:r w:rsidRPr="003E7D46">
        <w:t>s</w:t>
      </w:r>
      <w:r w:rsidRPr="003E7D46">
        <w:t>titution, 1968, p. 3.</w:t>
      </w:r>
    </w:p>
  </w:footnote>
  <w:footnote w:id="134">
    <w:p w:rsidR="00AD690E" w:rsidRDefault="00AD690E" w:rsidP="00AD690E">
      <w:pPr>
        <w:pStyle w:val="Notedebasdepage"/>
      </w:pPr>
      <w:r>
        <w:rPr>
          <w:rStyle w:val="Appelnotedebasdep"/>
        </w:rPr>
        <w:footnoteRef/>
      </w:r>
      <w:r>
        <w:t xml:space="preserve"> </w:t>
      </w:r>
      <w:r>
        <w:tab/>
      </w:r>
      <w:r w:rsidRPr="003E7D46">
        <w:rPr>
          <w:i/>
          <w:iCs/>
        </w:rPr>
        <w:t xml:space="preserve">Ibid., </w:t>
      </w:r>
      <w:r w:rsidRPr="003E7D46">
        <w:t>p. 17.</w:t>
      </w:r>
    </w:p>
  </w:footnote>
  <w:footnote w:id="135">
    <w:p w:rsidR="00AD690E" w:rsidRDefault="00AD690E" w:rsidP="00AD690E">
      <w:pPr>
        <w:pStyle w:val="Notedebasdepage"/>
      </w:pPr>
      <w:r>
        <w:rPr>
          <w:rStyle w:val="Appelnotedebasdep"/>
        </w:rPr>
        <w:footnoteRef/>
      </w:r>
      <w:r>
        <w:t xml:space="preserve"> </w:t>
      </w:r>
      <w:r>
        <w:tab/>
      </w:r>
      <w:r w:rsidRPr="00190F86">
        <w:rPr>
          <w:i/>
          <w:iCs/>
        </w:rPr>
        <w:t xml:space="preserve">Ibid., </w:t>
      </w:r>
      <w:r w:rsidRPr="00190F86">
        <w:t>p. 19.</w:t>
      </w:r>
    </w:p>
  </w:footnote>
  <w:footnote w:id="136">
    <w:p w:rsidR="00AD690E" w:rsidRDefault="00AD690E" w:rsidP="00AD690E">
      <w:pPr>
        <w:pStyle w:val="Notedebasdepage"/>
      </w:pPr>
      <w:r>
        <w:rPr>
          <w:rStyle w:val="Appelnotedebasdep"/>
        </w:rPr>
        <w:footnoteRef/>
      </w:r>
      <w:r>
        <w:t xml:space="preserve"> </w:t>
      </w:r>
      <w:r>
        <w:tab/>
      </w:r>
      <w:r w:rsidRPr="003D5D53">
        <w:rPr>
          <w:i/>
        </w:rPr>
        <w:t>I</w:t>
      </w:r>
      <w:r w:rsidRPr="003D5D53">
        <w:rPr>
          <w:i/>
          <w:iCs/>
        </w:rPr>
        <w:t xml:space="preserve">bid., </w:t>
      </w:r>
      <w:r w:rsidRPr="003D5D53">
        <w:t>p. 37. Nous soulignons.</w:t>
      </w:r>
    </w:p>
  </w:footnote>
  <w:footnote w:id="137">
    <w:p w:rsidR="00AD690E" w:rsidRDefault="00AD690E" w:rsidP="00AD690E">
      <w:pPr>
        <w:pStyle w:val="Notedebasdepage"/>
      </w:pPr>
      <w:r>
        <w:rPr>
          <w:rStyle w:val="Appelnotedebasdep"/>
        </w:rPr>
        <w:footnoteRef/>
      </w:r>
      <w:r>
        <w:t xml:space="preserve"> </w:t>
      </w:r>
      <w:r>
        <w:tab/>
      </w:r>
      <w:r w:rsidRPr="003D5D53">
        <w:t xml:space="preserve">« Manifeste pour une politique fonctionnelle », dans </w:t>
      </w:r>
      <w:r w:rsidRPr="003D5D53">
        <w:rPr>
          <w:i/>
          <w:iCs/>
        </w:rPr>
        <w:t xml:space="preserve">Cité libre, </w:t>
      </w:r>
      <w:r w:rsidRPr="003D5D53">
        <w:t xml:space="preserve">mai 1964, p. 15, cité par ROY, J.-L., </w:t>
      </w:r>
      <w:r w:rsidRPr="003D5D53">
        <w:rPr>
          <w:i/>
          <w:iCs/>
        </w:rPr>
        <w:t xml:space="preserve">Le choix .... op. cit., </w:t>
      </w:r>
      <w:r w:rsidRPr="003D5D53">
        <w:t>p. 173.</w:t>
      </w:r>
    </w:p>
  </w:footnote>
  <w:footnote w:id="138">
    <w:p w:rsidR="00AD690E" w:rsidRDefault="00AD690E" w:rsidP="00AD690E">
      <w:pPr>
        <w:pStyle w:val="Notedebasdepage"/>
      </w:pPr>
      <w:r>
        <w:rPr>
          <w:rStyle w:val="Appelnotedebasdep"/>
        </w:rPr>
        <w:footnoteRef/>
      </w:r>
      <w:r>
        <w:t xml:space="preserve"> </w:t>
      </w:r>
      <w:r>
        <w:tab/>
      </w:r>
      <w:r w:rsidRPr="00DC41CB">
        <w:t xml:space="preserve">TRUDEAU, P.E., </w:t>
      </w:r>
      <w:r w:rsidRPr="00DC41CB">
        <w:rPr>
          <w:i/>
          <w:iCs/>
        </w:rPr>
        <w:t xml:space="preserve">Le Fédéralisme et la société canadienne-française, </w:t>
      </w:r>
      <w:r w:rsidRPr="00DC41CB">
        <w:t>P</w:t>
      </w:r>
      <w:r w:rsidRPr="00DC41CB">
        <w:t>a</w:t>
      </w:r>
      <w:r w:rsidRPr="00DC41CB">
        <w:t>ris, Robert Laffont, 1968, p. 38.</w:t>
      </w:r>
    </w:p>
  </w:footnote>
  <w:footnote w:id="139">
    <w:p w:rsidR="00AD690E" w:rsidRDefault="00AD690E" w:rsidP="00AD690E">
      <w:pPr>
        <w:pStyle w:val="Notedebasdepage"/>
      </w:pPr>
      <w:r>
        <w:rPr>
          <w:rStyle w:val="Appelnotedebasdep"/>
        </w:rPr>
        <w:footnoteRef/>
      </w:r>
      <w:r>
        <w:t xml:space="preserve"> </w:t>
      </w:r>
      <w:r>
        <w:tab/>
      </w:r>
      <w:r w:rsidRPr="00DC41CB">
        <w:rPr>
          <w:i/>
          <w:iCs/>
        </w:rPr>
        <w:t xml:space="preserve">Ibid., </w:t>
      </w:r>
      <w:r w:rsidRPr="00DC41CB">
        <w:t>p. 39.</w:t>
      </w:r>
    </w:p>
  </w:footnote>
  <w:footnote w:id="140">
    <w:p w:rsidR="00AD690E" w:rsidRDefault="00AD690E" w:rsidP="00AD690E">
      <w:pPr>
        <w:pStyle w:val="Notedebasdepage"/>
      </w:pPr>
      <w:r>
        <w:rPr>
          <w:rStyle w:val="Appelnotedebasdep"/>
        </w:rPr>
        <w:footnoteRef/>
      </w:r>
      <w:r>
        <w:t xml:space="preserve"> </w:t>
      </w:r>
      <w:r>
        <w:tab/>
      </w:r>
      <w:r w:rsidRPr="00DC41CB">
        <w:rPr>
          <w:i/>
          <w:iCs/>
        </w:rPr>
        <w:t xml:space="preserve">Ibid., </w:t>
      </w:r>
      <w:r w:rsidRPr="00DC41CB">
        <w:t>pp. 47-48</w:t>
      </w:r>
      <w:r>
        <w:t>.</w:t>
      </w:r>
    </w:p>
  </w:footnote>
  <w:footnote w:id="141">
    <w:p w:rsidR="00AD690E" w:rsidRDefault="00AD690E" w:rsidP="00AD690E">
      <w:pPr>
        <w:pStyle w:val="Notedebasdepage"/>
      </w:pPr>
      <w:r>
        <w:rPr>
          <w:rStyle w:val="Appelnotedebasdep"/>
        </w:rPr>
        <w:footnoteRef/>
      </w:r>
      <w:r>
        <w:t xml:space="preserve"> </w:t>
      </w:r>
      <w:r>
        <w:tab/>
      </w:r>
      <w:r w:rsidRPr="00DC41CB">
        <w:t xml:space="preserve">CANADA. </w:t>
      </w:r>
      <w:r w:rsidRPr="00DC41CB">
        <w:rPr>
          <w:i/>
          <w:iCs/>
        </w:rPr>
        <w:t xml:space="preserve">Débats de la Chambre des Communes, </w:t>
      </w:r>
      <w:r w:rsidRPr="00DC41CB">
        <w:t>I</w:t>
      </w:r>
      <w:r w:rsidRPr="00DC41CB">
        <w:rPr>
          <w:vertAlign w:val="superscript"/>
        </w:rPr>
        <w:t>re</w:t>
      </w:r>
      <w:r w:rsidRPr="00DC41CB">
        <w:t xml:space="preserve"> session, 27</w:t>
      </w:r>
      <w:r w:rsidRPr="00DC41CB">
        <w:rPr>
          <w:vertAlign w:val="superscript"/>
        </w:rPr>
        <w:t xml:space="preserve">e </w:t>
      </w:r>
      <w:r w:rsidRPr="00DC41CB">
        <w:t>Législat</w:t>
      </w:r>
      <w:r w:rsidRPr="00DC41CB">
        <w:t>u</w:t>
      </w:r>
      <w:r w:rsidRPr="00DC41CB">
        <w:t xml:space="preserve">re, vol. VII, 1966, 21 juin, p. 6743, cité par ROY, J.-L., </w:t>
      </w:r>
      <w:r w:rsidRPr="00DC41CB">
        <w:rPr>
          <w:i/>
          <w:iCs/>
        </w:rPr>
        <w:t xml:space="preserve">Le choix d'un pays, op.cit., </w:t>
      </w:r>
      <w:r w:rsidRPr="00DC41CB">
        <w:t>p. 287.</w:t>
      </w:r>
    </w:p>
  </w:footnote>
  <w:footnote w:id="142">
    <w:p w:rsidR="00AD690E" w:rsidRDefault="00AD690E" w:rsidP="00AD690E">
      <w:pPr>
        <w:pStyle w:val="Notedebasdepage"/>
      </w:pPr>
      <w:r>
        <w:rPr>
          <w:rStyle w:val="Appelnotedebasdep"/>
        </w:rPr>
        <w:footnoteRef/>
      </w:r>
      <w:r>
        <w:t xml:space="preserve"> </w:t>
      </w:r>
      <w:r>
        <w:tab/>
      </w:r>
      <w:r w:rsidRPr="00DC41CB">
        <w:rPr>
          <w:i/>
          <w:iCs/>
        </w:rPr>
        <w:t xml:space="preserve">Réponses de Pierre Elliott Trudeau, </w:t>
      </w:r>
      <w:r w:rsidRPr="00DC41CB">
        <w:t>Montréal, Éditions du Jour, 1968, p. 83.</w:t>
      </w:r>
    </w:p>
  </w:footnote>
  <w:footnote w:id="143">
    <w:p w:rsidR="00AD690E" w:rsidRDefault="00AD690E" w:rsidP="00AD690E">
      <w:pPr>
        <w:pStyle w:val="Notedebasdepage"/>
      </w:pPr>
      <w:r>
        <w:rPr>
          <w:rStyle w:val="Appelnotedebasdep"/>
        </w:rPr>
        <w:footnoteRef/>
      </w:r>
      <w:r>
        <w:t xml:space="preserve"> </w:t>
      </w:r>
      <w:r>
        <w:tab/>
      </w:r>
      <w:r w:rsidRPr="00DD2F79">
        <w:t xml:space="preserve">TRUDEAU, P. E., </w:t>
      </w:r>
      <w:r w:rsidRPr="00DD2F79">
        <w:rPr>
          <w:i/>
          <w:iCs/>
        </w:rPr>
        <w:t xml:space="preserve">op. cit., </w:t>
      </w:r>
      <w:r w:rsidRPr="00DD2F79">
        <w:t>Paris, Robert Laffont, 1968, p. 168.</w:t>
      </w:r>
    </w:p>
  </w:footnote>
  <w:footnote w:id="144">
    <w:p w:rsidR="00AD690E" w:rsidRDefault="00AD690E" w:rsidP="00AD690E">
      <w:pPr>
        <w:pStyle w:val="Notedebasdepage"/>
      </w:pPr>
      <w:r>
        <w:rPr>
          <w:rStyle w:val="Appelnotedebasdep"/>
        </w:rPr>
        <w:footnoteRef/>
      </w:r>
      <w:r>
        <w:t xml:space="preserve"> </w:t>
      </w:r>
      <w:r>
        <w:tab/>
      </w:r>
      <w:r w:rsidRPr="00DD2F79">
        <w:rPr>
          <w:i/>
          <w:iCs/>
        </w:rPr>
        <w:t xml:space="preserve">Ibid., </w:t>
      </w:r>
      <w:r w:rsidRPr="00DD2F79">
        <w:t>p.174</w:t>
      </w:r>
      <w:r>
        <w:t>.</w:t>
      </w:r>
    </w:p>
  </w:footnote>
  <w:footnote w:id="145">
    <w:p w:rsidR="00AD690E" w:rsidRDefault="00AD690E" w:rsidP="00AD690E">
      <w:pPr>
        <w:pStyle w:val="Notedebasdepage"/>
      </w:pPr>
      <w:r>
        <w:rPr>
          <w:rStyle w:val="Appelnotedebasdep"/>
        </w:rPr>
        <w:footnoteRef/>
      </w:r>
      <w:r>
        <w:t xml:space="preserve"> </w:t>
      </w:r>
      <w:r>
        <w:tab/>
      </w:r>
      <w:r w:rsidRPr="00DD2F79">
        <w:rPr>
          <w:i/>
          <w:iCs/>
        </w:rPr>
        <w:t xml:space="preserve">Ibid., </w:t>
      </w:r>
      <w:r w:rsidRPr="00DD2F79">
        <w:t>p. 37, 178.</w:t>
      </w:r>
    </w:p>
  </w:footnote>
  <w:footnote w:id="146">
    <w:p w:rsidR="00AD690E" w:rsidRDefault="00AD690E" w:rsidP="00AD690E">
      <w:pPr>
        <w:pStyle w:val="Notedebasdepage"/>
      </w:pPr>
      <w:r>
        <w:rPr>
          <w:rStyle w:val="Appelnotedebasdep"/>
        </w:rPr>
        <w:footnoteRef/>
      </w:r>
      <w:r>
        <w:t xml:space="preserve"> </w:t>
      </w:r>
      <w:r>
        <w:tab/>
      </w:r>
      <w:r w:rsidRPr="00DD2F79">
        <w:rPr>
          <w:i/>
          <w:iCs/>
        </w:rPr>
        <w:t xml:space="preserve">Ibid., </w:t>
      </w:r>
      <w:r w:rsidRPr="00DD2F79">
        <w:t>p. XI.</w:t>
      </w:r>
    </w:p>
  </w:footnote>
  <w:footnote w:id="147">
    <w:p w:rsidR="00AD690E" w:rsidRDefault="00AD690E" w:rsidP="00AD690E">
      <w:pPr>
        <w:pStyle w:val="Notedebasdepage"/>
      </w:pPr>
      <w:r>
        <w:rPr>
          <w:rStyle w:val="Appelnotedebasdep"/>
        </w:rPr>
        <w:footnoteRef/>
      </w:r>
      <w:r>
        <w:t xml:space="preserve"> </w:t>
      </w:r>
      <w:r>
        <w:tab/>
      </w:r>
      <w:r w:rsidRPr="00DD2F79">
        <w:t xml:space="preserve">Réponses de Pierre Elliott Trudeau, </w:t>
      </w:r>
      <w:r w:rsidRPr="00243A20">
        <w:rPr>
          <w:i/>
        </w:rPr>
        <w:t>op. cit.</w:t>
      </w:r>
      <w:r w:rsidRPr="00DD2F79">
        <w:t>, p. 41.</w:t>
      </w:r>
    </w:p>
  </w:footnote>
  <w:footnote w:id="148">
    <w:p w:rsidR="00AD690E" w:rsidRDefault="00AD690E" w:rsidP="00AD690E">
      <w:pPr>
        <w:pStyle w:val="Notedebasdepage"/>
      </w:pPr>
      <w:r>
        <w:rPr>
          <w:rStyle w:val="Appelnotedebasdep"/>
        </w:rPr>
        <w:footnoteRef/>
      </w:r>
      <w:r>
        <w:t xml:space="preserve"> </w:t>
      </w:r>
      <w:r>
        <w:tab/>
      </w:r>
      <w:r w:rsidRPr="00DD2F79">
        <w:t xml:space="preserve">TRUDEAU, P. E., </w:t>
      </w:r>
      <w:r>
        <w:t>Le fédéralisme ...,</w:t>
      </w:r>
      <w:r w:rsidRPr="00DD2F79">
        <w:t xml:space="preserve"> </w:t>
      </w:r>
      <w:r w:rsidRPr="00243A20">
        <w:rPr>
          <w:i/>
        </w:rPr>
        <w:t xml:space="preserve">op. cit., </w:t>
      </w:r>
      <w:r w:rsidRPr="00DD2F79">
        <w:t>p. 40.</w:t>
      </w:r>
    </w:p>
  </w:footnote>
  <w:footnote w:id="149">
    <w:p w:rsidR="00AD690E" w:rsidRDefault="00AD690E" w:rsidP="00AD690E">
      <w:pPr>
        <w:pStyle w:val="Notedebasdepage"/>
      </w:pPr>
      <w:r>
        <w:rPr>
          <w:rStyle w:val="Appelnotedebasdep"/>
        </w:rPr>
        <w:footnoteRef/>
      </w:r>
      <w:r>
        <w:t xml:space="preserve"> </w:t>
      </w:r>
      <w:r>
        <w:tab/>
      </w:r>
      <w:r w:rsidRPr="001E65B2">
        <w:rPr>
          <w:i/>
          <w:iCs/>
        </w:rPr>
        <w:t xml:space="preserve">Ibid., </w:t>
      </w:r>
      <w:r w:rsidRPr="001E65B2">
        <w:t>p. 49</w:t>
      </w:r>
      <w:r>
        <w:t>.</w:t>
      </w:r>
    </w:p>
  </w:footnote>
  <w:footnote w:id="150">
    <w:p w:rsidR="00AD690E" w:rsidRDefault="00AD690E" w:rsidP="00AD690E">
      <w:pPr>
        <w:pStyle w:val="Notedebasdepage"/>
      </w:pPr>
      <w:r>
        <w:rPr>
          <w:rStyle w:val="Appelnotedebasdep"/>
        </w:rPr>
        <w:footnoteRef/>
      </w:r>
      <w:r>
        <w:t xml:space="preserve"> </w:t>
      </w:r>
      <w:r>
        <w:tab/>
      </w:r>
      <w:r w:rsidRPr="001E65B2">
        <w:t xml:space="preserve">Réponses de Pierre Elliott Trudeau, </w:t>
      </w:r>
      <w:r w:rsidRPr="00243A20">
        <w:rPr>
          <w:i/>
        </w:rPr>
        <w:t>op. cit.</w:t>
      </w:r>
      <w:r w:rsidRPr="001E65B2">
        <w:t>, p. 43.</w:t>
      </w:r>
    </w:p>
  </w:footnote>
  <w:footnote w:id="151">
    <w:p w:rsidR="00AD690E" w:rsidRDefault="00AD690E" w:rsidP="00AD690E">
      <w:pPr>
        <w:pStyle w:val="Notedebasdepage"/>
      </w:pPr>
      <w:r>
        <w:rPr>
          <w:rStyle w:val="Appelnotedebasdep"/>
        </w:rPr>
        <w:footnoteRef/>
      </w:r>
      <w:r>
        <w:t xml:space="preserve"> </w:t>
      </w:r>
      <w:r>
        <w:tab/>
      </w:r>
      <w:r w:rsidRPr="001E65B2">
        <w:t xml:space="preserve">Déclaration reproduite dans </w:t>
      </w:r>
      <w:r w:rsidRPr="001E65B2">
        <w:rPr>
          <w:i/>
          <w:iCs/>
        </w:rPr>
        <w:t xml:space="preserve">Ibid., </w:t>
      </w:r>
      <w:r w:rsidRPr="001E65B2">
        <w:t>pp. 61-72.</w:t>
      </w:r>
    </w:p>
  </w:footnote>
  <w:footnote w:id="152">
    <w:p w:rsidR="00AD690E" w:rsidRDefault="00AD690E" w:rsidP="00AD690E">
      <w:pPr>
        <w:pStyle w:val="Notedebasdepage"/>
      </w:pPr>
      <w:r>
        <w:rPr>
          <w:rStyle w:val="Appelnotedebasdep"/>
        </w:rPr>
        <w:footnoteRef/>
      </w:r>
      <w:r>
        <w:t xml:space="preserve"> </w:t>
      </w:r>
      <w:r>
        <w:tab/>
      </w:r>
      <w:r w:rsidRPr="00257E21">
        <w:t>BRETON, A., BRUNEAU, C, GAUTHIER, Y., LALONDE, M., P</w:t>
      </w:r>
      <w:r w:rsidRPr="00257E21">
        <w:t>I</w:t>
      </w:r>
      <w:r w:rsidRPr="00257E21">
        <w:t>NARD, M., « Bizarre algèbre ! Huit commentaires sur le Rapport prélim</w:t>
      </w:r>
      <w:r w:rsidRPr="00257E21">
        <w:t>i</w:t>
      </w:r>
      <w:r w:rsidRPr="00257E21">
        <w:t>naire de la Commission royale d'enquête sur le bilinguisme et le bicultur</w:t>
      </w:r>
      <w:r w:rsidRPr="00257E21">
        <w:t>a</w:t>
      </w:r>
      <w:r w:rsidRPr="00257E21">
        <w:t xml:space="preserve">lisme », dans </w:t>
      </w:r>
      <w:r w:rsidRPr="00257E21">
        <w:rPr>
          <w:i/>
          <w:iCs/>
        </w:rPr>
        <w:t xml:space="preserve">Cité libre, </w:t>
      </w:r>
      <w:r w:rsidRPr="00257E21">
        <w:t>XV</w:t>
      </w:r>
      <w:r w:rsidRPr="00257E21">
        <w:rPr>
          <w:vertAlign w:val="superscript"/>
        </w:rPr>
        <w:t>e</w:t>
      </w:r>
      <w:r w:rsidRPr="00257E21">
        <w:t xml:space="preserve"> année, n° 82, décembre 1965, p. 13-20.</w:t>
      </w:r>
    </w:p>
  </w:footnote>
  <w:footnote w:id="153">
    <w:p w:rsidR="00AD690E" w:rsidRDefault="00AD690E" w:rsidP="00AD690E">
      <w:pPr>
        <w:pStyle w:val="Notedebasdepage"/>
      </w:pPr>
      <w:r>
        <w:rPr>
          <w:rStyle w:val="Appelnotedebasdep"/>
        </w:rPr>
        <w:footnoteRef/>
      </w:r>
      <w:r>
        <w:t xml:space="preserve"> </w:t>
      </w:r>
      <w:r>
        <w:tab/>
      </w:r>
      <w:r w:rsidRPr="00257E21">
        <w:t xml:space="preserve">Réponses de Pierre Elliott Trudeau, </w:t>
      </w:r>
      <w:r w:rsidRPr="00243A20">
        <w:rPr>
          <w:i/>
        </w:rPr>
        <w:t>op. cit</w:t>
      </w:r>
      <w:r w:rsidRPr="00257E21">
        <w:t>., p. 43.</w:t>
      </w:r>
    </w:p>
  </w:footnote>
  <w:footnote w:id="154">
    <w:p w:rsidR="00AD690E" w:rsidRDefault="00AD690E" w:rsidP="00AD690E">
      <w:pPr>
        <w:pStyle w:val="Notedebasdepage"/>
      </w:pPr>
      <w:r>
        <w:rPr>
          <w:rStyle w:val="Appelnotedebasdep"/>
        </w:rPr>
        <w:footnoteRef/>
      </w:r>
      <w:r>
        <w:t xml:space="preserve"> </w:t>
      </w:r>
      <w:r>
        <w:tab/>
      </w:r>
      <w:r w:rsidRPr="00257E21">
        <w:rPr>
          <w:i/>
          <w:iCs/>
        </w:rPr>
        <w:t xml:space="preserve">Ibid., </w:t>
      </w:r>
      <w:r w:rsidRPr="00257E21">
        <w:t>p. 66.</w:t>
      </w:r>
    </w:p>
  </w:footnote>
  <w:footnote w:id="155">
    <w:p w:rsidR="00AD690E" w:rsidRDefault="00AD690E" w:rsidP="00AD690E">
      <w:pPr>
        <w:pStyle w:val="Notedebasdepage"/>
      </w:pPr>
      <w:r>
        <w:rPr>
          <w:rStyle w:val="Appelnotedebasdep"/>
        </w:rPr>
        <w:footnoteRef/>
      </w:r>
      <w:r>
        <w:t xml:space="preserve"> </w:t>
      </w:r>
      <w:r>
        <w:tab/>
      </w:r>
      <w:r w:rsidRPr="00257E21">
        <w:t xml:space="preserve">Voir ROY, J.-L., </w:t>
      </w:r>
      <w:r w:rsidRPr="00257E21">
        <w:rPr>
          <w:i/>
          <w:iCs/>
        </w:rPr>
        <w:t xml:space="preserve">Le choix ..., op. cit., </w:t>
      </w:r>
      <w:r w:rsidRPr="00257E21">
        <w:t xml:space="preserve">pp. 135 à 266 et MORIN, C, </w:t>
      </w:r>
      <w:r w:rsidRPr="00257E21">
        <w:rPr>
          <w:i/>
          <w:iCs/>
        </w:rPr>
        <w:t>Le po</w:t>
      </w:r>
      <w:r w:rsidRPr="00257E21">
        <w:rPr>
          <w:i/>
          <w:iCs/>
        </w:rPr>
        <w:t>u</w:t>
      </w:r>
      <w:r w:rsidRPr="00257E21">
        <w:rPr>
          <w:i/>
          <w:iCs/>
        </w:rPr>
        <w:t xml:space="preserve">voir québécois..., op. cit., </w:t>
      </w:r>
      <w:r w:rsidRPr="00257E21">
        <w:t>pp. 140-159.</w:t>
      </w:r>
    </w:p>
  </w:footnote>
  <w:footnote w:id="156">
    <w:p w:rsidR="00AD690E" w:rsidRDefault="00AD690E" w:rsidP="00AD690E">
      <w:pPr>
        <w:pStyle w:val="Notedebasdepage"/>
      </w:pPr>
      <w:r>
        <w:rPr>
          <w:rStyle w:val="Appelnotedebasdep"/>
        </w:rPr>
        <w:footnoteRef/>
      </w:r>
      <w:r>
        <w:t xml:space="preserve"> </w:t>
      </w:r>
      <w:r>
        <w:tab/>
      </w:r>
      <w:r w:rsidRPr="00085F39">
        <w:t xml:space="preserve">Publiée notamment dans PRÉVOST J.-P., </w:t>
      </w:r>
      <w:r w:rsidRPr="00085F39">
        <w:rPr>
          <w:i/>
          <w:iCs/>
        </w:rPr>
        <w:t>La crise du fédéralisme can</w:t>
      </w:r>
      <w:r w:rsidRPr="00085F39">
        <w:rPr>
          <w:i/>
          <w:iCs/>
        </w:rPr>
        <w:t>a</w:t>
      </w:r>
      <w:r w:rsidRPr="00085F39">
        <w:rPr>
          <w:i/>
          <w:iCs/>
        </w:rPr>
        <w:t xml:space="preserve">dien, </w:t>
      </w:r>
      <w:r w:rsidRPr="00085F39">
        <w:t>Paris, PUF, « dossiers thémis », 1972, pp. 76-86.</w:t>
      </w:r>
    </w:p>
  </w:footnote>
  <w:footnote w:id="157">
    <w:p w:rsidR="00AD690E" w:rsidRDefault="00AD690E" w:rsidP="00AD690E">
      <w:pPr>
        <w:pStyle w:val="Notedebasdepage"/>
      </w:pPr>
      <w:r>
        <w:rPr>
          <w:rStyle w:val="Appelnotedebasdep"/>
        </w:rPr>
        <w:footnoteRef/>
      </w:r>
      <w:r>
        <w:t xml:space="preserve"> </w:t>
      </w:r>
      <w:r>
        <w:tab/>
      </w:r>
      <w:r w:rsidRPr="0051241E">
        <w:t xml:space="preserve">Cité par ROY, J.L., </w:t>
      </w:r>
      <w:r w:rsidRPr="0051241E">
        <w:rPr>
          <w:i/>
          <w:iCs/>
        </w:rPr>
        <w:t xml:space="preserve">op. cit., </w:t>
      </w:r>
      <w:r w:rsidRPr="0051241E">
        <w:t>Montréal, Leméac, 1978, p. 272 et 273.</w:t>
      </w:r>
    </w:p>
  </w:footnote>
  <w:footnote w:id="158">
    <w:p w:rsidR="00AD690E" w:rsidRDefault="00AD690E" w:rsidP="00AD690E">
      <w:pPr>
        <w:pStyle w:val="Notedebasdepage"/>
      </w:pPr>
      <w:r>
        <w:rPr>
          <w:rStyle w:val="Appelnotedebasdep"/>
        </w:rPr>
        <w:footnoteRef/>
      </w:r>
      <w:r>
        <w:t xml:space="preserve"> </w:t>
      </w:r>
      <w:r>
        <w:tab/>
      </w:r>
      <w:r w:rsidRPr="00A34C90">
        <w:t>CANADA. Comité spécial mixte du Sénat et de la Chambre des comm</w:t>
      </w:r>
      <w:r w:rsidRPr="00A34C90">
        <w:t>u</w:t>
      </w:r>
      <w:r w:rsidRPr="00A34C90">
        <w:t xml:space="preserve">nes sur la constitution du Canada, </w:t>
      </w:r>
      <w:r w:rsidRPr="00A34C90">
        <w:rPr>
          <w:i/>
          <w:iCs/>
        </w:rPr>
        <w:t xml:space="preserve">Premier rapport, </w:t>
      </w:r>
      <w:r w:rsidRPr="00A34C90">
        <w:t>Ottawa, Imprimeur de la Reine, 1972</w:t>
      </w:r>
    </w:p>
  </w:footnote>
  <w:footnote w:id="159">
    <w:p w:rsidR="00AD690E" w:rsidRDefault="00AD690E" w:rsidP="00AD690E">
      <w:pPr>
        <w:pStyle w:val="Notedebasdepage"/>
      </w:pPr>
      <w:r>
        <w:rPr>
          <w:rStyle w:val="Appelnotedebasdep"/>
        </w:rPr>
        <w:footnoteRef/>
      </w:r>
      <w:r>
        <w:t xml:space="preserve"> </w:t>
      </w:r>
      <w:r>
        <w:tab/>
      </w:r>
      <w:r w:rsidRPr="00A34C90">
        <w:t xml:space="preserve">Réponse de Pierre Elliott Trudeau, </w:t>
      </w:r>
      <w:r w:rsidRPr="00A10661">
        <w:rPr>
          <w:i/>
        </w:rPr>
        <w:t>op. cit</w:t>
      </w:r>
      <w:r w:rsidRPr="00A34C90">
        <w:t>., p. 49.</w:t>
      </w:r>
    </w:p>
  </w:footnote>
  <w:footnote w:id="160">
    <w:p w:rsidR="00AD690E" w:rsidRDefault="00AD690E" w:rsidP="00AD690E">
      <w:pPr>
        <w:pStyle w:val="Notedebasdepage"/>
      </w:pPr>
      <w:r>
        <w:rPr>
          <w:rStyle w:val="Appelnotedebasdep"/>
        </w:rPr>
        <w:footnoteRef/>
      </w:r>
      <w:r>
        <w:t xml:space="preserve"> </w:t>
      </w:r>
      <w:r>
        <w:tab/>
      </w:r>
      <w:r w:rsidRPr="00A34C90">
        <w:t xml:space="preserve">CANADA. Comité spécial mixte, </w:t>
      </w:r>
      <w:r w:rsidRPr="00A34C90">
        <w:rPr>
          <w:i/>
          <w:iCs/>
        </w:rPr>
        <w:t xml:space="preserve">op. cit., </w:t>
      </w:r>
      <w:r w:rsidRPr="00A34C90">
        <w:t>p. 45</w:t>
      </w:r>
      <w:r>
        <w:t>.</w:t>
      </w:r>
    </w:p>
  </w:footnote>
  <w:footnote w:id="161">
    <w:p w:rsidR="00AD690E" w:rsidRDefault="00AD690E" w:rsidP="00AD690E">
      <w:pPr>
        <w:pStyle w:val="Notedebasdepage"/>
      </w:pPr>
      <w:r>
        <w:rPr>
          <w:rStyle w:val="Appelnotedebasdep"/>
        </w:rPr>
        <w:footnoteRef/>
      </w:r>
      <w:r>
        <w:t xml:space="preserve"> </w:t>
      </w:r>
      <w:r>
        <w:tab/>
      </w:r>
      <w:r w:rsidRPr="00686F06">
        <w:rPr>
          <w:i/>
          <w:iCs/>
        </w:rPr>
        <w:t xml:space="preserve">Ibid., </w:t>
      </w:r>
      <w:r w:rsidRPr="00686F06">
        <w:t>p. 13.</w:t>
      </w:r>
    </w:p>
  </w:footnote>
  <w:footnote w:id="162">
    <w:p w:rsidR="00AD690E" w:rsidRDefault="00AD690E" w:rsidP="00AD690E">
      <w:pPr>
        <w:pStyle w:val="Notedebasdepage"/>
      </w:pPr>
      <w:r>
        <w:rPr>
          <w:rStyle w:val="Appelnotedebasdep"/>
        </w:rPr>
        <w:footnoteRef/>
      </w:r>
      <w:r>
        <w:t xml:space="preserve"> </w:t>
      </w:r>
      <w:r>
        <w:tab/>
      </w:r>
      <w:r w:rsidRPr="00686F06">
        <w:rPr>
          <w:i/>
          <w:iCs/>
        </w:rPr>
        <w:t xml:space="preserve">Ibid., </w:t>
      </w:r>
      <w:r w:rsidRPr="00686F06">
        <w:t>p. 13.</w:t>
      </w:r>
    </w:p>
  </w:footnote>
  <w:footnote w:id="163">
    <w:p w:rsidR="00AD690E" w:rsidRDefault="00AD690E" w:rsidP="00AD690E">
      <w:pPr>
        <w:pStyle w:val="Notedebasdepage"/>
      </w:pPr>
      <w:r>
        <w:rPr>
          <w:rStyle w:val="Appelnotedebasdep"/>
        </w:rPr>
        <w:footnoteRef/>
      </w:r>
      <w:r>
        <w:t xml:space="preserve"> </w:t>
      </w:r>
      <w:r>
        <w:tab/>
      </w:r>
      <w:r w:rsidRPr="00686F06">
        <w:t xml:space="preserve">BERGERON, G„ « L'État du Québec sous le fédéralisme canadien », dans </w:t>
      </w:r>
      <w:hyperlink r:id="rId2" w:history="1">
        <w:r w:rsidRPr="00686F06">
          <w:rPr>
            <w:rStyle w:val="Lienhypertexte"/>
            <w:i/>
            <w:iCs/>
            <w:szCs w:val="18"/>
          </w:rPr>
          <w:t>L'État du Québec en devenir</w:t>
        </w:r>
      </w:hyperlink>
      <w:r w:rsidRPr="00686F06">
        <w:t>, BERGERON, G, et PELLETIER, R., (dir.), Montréal, Boréal Express, 1980, p. 348</w:t>
      </w:r>
      <w:r>
        <w:t>.</w:t>
      </w:r>
    </w:p>
  </w:footnote>
  <w:footnote w:id="164">
    <w:p w:rsidR="00AD690E" w:rsidRDefault="00AD690E" w:rsidP="00AD690E">
      <w:pPr>
        <w:pStyle w:val="Notedebasdepage"/>
      </w:pPr>
      <w:r>
        <w:rPr>
          <w:rStyle w:val="Appelnotedebasdep"/>
        </w:rPr>
        <w:footnoteRef/>
      </w:r>
      <w:r>
        <w:t xml:space="preserve"> </w:t>
      </w:r>
      <w:r>
        <w:tab/>
      </w:r>
      <w:r w:rsidRPr="00B2561D">
        <w:t xml:space="preserve">Cité par ROY, J.-L., </w:t>
      </w:r>
      <w:r w:rsidRPr="00B2561D">
        <w:rPr>
          <w:i/>
          <w:iCs/>
        </w:rPr>
        <w:t xml:space="preserve">op. cit., </w:t>
      </w:r>
      <w:r w:rsidRPr="00B2561D">
        <w:t>p. 294.</w:t>
      </w:r>
    </w:p>
  </w:footnote>
  <w:footnote w:id="165">
    <w:p w:rsidR="00AD690E" w:rsidRDefault="00AD690E" w:rsidP="00AD690E">
      <w:pPr>
        <w:pStyle w:val="Notedebasdepage"/>
      </w:pPr>
      <w:r>
        <w:rPr>
          <w:rStyle w:val="Appelnotedebasdep"/>
        </w:rPr>
        <w:footnoteRef/>
      </w:r>
      <w:r>
        <w:t xml:space="preserve"> </w:t>
      </w:r>
      <w:r>
        <w:tab/>
      </w:r>
      <w:r w:rsidRPr="00166FA7">
        <w:rPr>
          <w:i/>
          <w:iCs/>
        </w:rPr>
        <w:t xml:space="preserve">Lettre du premier ministre du Canada, Pierre Elliott Trudeau, </w:t>
      </w:r>
      <w:r w:rsidRPr="00166FA7">
        <w:t>aux Pr</w:t>
      </w:r>
      <w:r w:rsidRPr="00166FA7">
        <w:t>e</w:t>
      </w:r>
      <w:r w:rsidRPr="00166FA7">
        <w:t xml:space="preserve">miers ministres des provinces au sujet du rapatriement de l'AANB, 31 mars 1976, p. 11, cité par </w:t>
      </w:r>
      <w:r w:rsidRPr="00166FA7">
        <w:rPr>
          <w:i/>
          <w:iCs/>
        </w:rPr>
        <w:t xml:space="preserve">Ibid., </w:t>
      </w:r>
      <w:r w:rsidRPr="00166FA7">
        <w:t>p. 298.</w:t>
      </w:r>
    </w:p>
  </w:footnote>
  <w:footnote w:id="166">
    <w:p w:rsidR="00AD690E" w:rsidRDefault="00AD690E" w:rsidP="00AD690E">
      <w:pPr>
        <w:pStyle w:val="Notedebasdepage"/>
      </w:pPr>
      <w:r>
        <w:rPr>
          <w:rStyle w:val="Appelnotedebasdep"/>
        </w:rPr>
        <w:footnoteRef/>
      </w:r>
      <w:r>
        <w:t xml:space="preserve"> </w:t>
      </w:r>
      <w:r>
        <w:tab/>
      </w:r>
      <w:r w:rsidRPr="00166FA7">
        <w:t xml:space="preserve">Cité par </w:t>
      </w:r>
      <w:r w:rsidRPr="00166FA7">
        <w:rPr>
          <w:i/>
          <w:iCs/>
        </w:rPr>
        <w:t xml:space="preserve">Ibid., </w:t>
      </w:r>
      <w:r w:rsidRPr="00166FA7">
        <w:t>p. 299.</w:t>
      </w:r>
    </w:p>
  </w:footnote>
  <w:footnote w:id="167">
    <w:p w:rsidR="00AD690E" w:rsidRDefault="00AD690E" w:rsidP="00AD690E">
      <w:pPr>
        <w:pStyle w:val="Notedebasdepage"/>
      </w:pPr>
      <w:r>
        <w:rPr>
          <w:rStyle w:val="Appelnotedebasdep"/>
        </w:rPr>
        <w:footnoteRef/>
      </w:r>
      <w:r>
        <w:t xml:space="preserve"> </w:t>
      </w:r>
      <w:r>
        <w:tab/>
      </w:r>
      <w:r w:rsidRPr="00DF0892">
        <w:t xml:space="preserve">TRUDEAU, P., </w:t>
      </w:r>
      <w:r w:rsidRPr="00DF0892">
        <w:rPr>
          <w:i/>
          <w:iCs/>
        </w:rPr>
        <w:t>Le temps d'agir ; jalons du renouvellement de la fédér</w:t>
      </w:r>
      <w:r w:rsidRPr="00DF0892">
        <w:rPr>
          <w:i/>
          <w:iCs/>
        </w:rPr>
        <w:t>a</w:t>
      </w:r>
      <w:r w:rsidRPr="00DF0892">
        <w:rPr>
          <w:i/>
          <w:iCs/>
        </w:rPr>
        <w:t xml:space="preserve">tion canadienne, </w:t>
      </w:r>
      <w:r w:rsidRPr="00DF0892">
        <w:t>Ottawa, Ministère des Approvisionnements et Services, 1978, p.</w:t>
      </w:r>
      <w:r>
        <w:t> </w:t>
      </w:r>
      <w:r w:rsidRPr="00DF0892">
        <w:t>10</w:t>
      </w:r>
    </w:p>
  </w:footnote>
  <w:footnote w:id="168">
    <w:p w:rsidR="00AD690E" w:rsidRDefault="00AD690E" w:rsidP="00AD690E">
      <w:pPr>
        <w:pStyle w:val="Notedebasdepage"/>
      </w:pPr>
      <w:r>
        <w:rPr>
          <w:rStyle w:val="Appelnotedebasdep"/>
        </w:rPr>
        <w:footnoteRef/>
      </w:r>
      <w:r>
        <w:t xml:space="preserve"> </w:t>
      </w:r>
      <w:r>
        <w:tab/>
      </w:r>
      <w:r w:rsidRPr="00DF0892">
        <w:t>BOISMENU G. et BÉLANGER A.J., « Les propositions constitutionne</w:t>
      </w:r>
      <w:r w:rsidRPr="00DF0892">
        <w:t>l</w:t>
      </w:r>
      <w:r w:rsidRPr="00DF0892">
        <w:t xml:space="preserve">les : sens et portée », dans </w:t>
      </w:r>
      <w:r w:rsidRPr="00DF0892">
        <w:rPr>
          <w:i/>
          <w:iCs/>
        </w:rPr>
        <w:t xml:space="preserve">Québec : un pays incertain ; réflexions sur le Québec post-référendaire, </w:t>
      </w:r>
      <w:r w:rsidRPr="00DF0892">
        <w:t>Montréal, Québec/Amérique, 1980, p. 241-242.</w:t>
      </w:r>
    </w:p>
  </w:footnote>
  <w:footnote w:id="169">
    <w:p w:rsidR="00AD690E" w:rsidRDefault="00AD690E" w:rsidP="00AD690E">
      <w:pPr>
        <w:pStyle w:val="Notedebasdepage"/>
      </w:pPr>
      <w:r>
        <w:rPr>
          <w:rStyle w:val="Appelnotedebasdep"/>
        </w:rPr>
        <w:footnoteRef/>
      </w:r>
      <w:r>
        <w:t xml:space="preserve"> </w:t>
      </w:r>
      <w:r>
        <w:tab/>
      </w:r>
      <w:r w:rsidRPr="00AA0BA9">
        <w:t xml:space="preserve">TRUDEAU, P.E., Le temps d'agir, </w:t>
      </w:r>
      <w:r w:rsidRPr="00104B40">
        <w:rPr>
          <w:i/>
        </w:rPr>
        <w:t>op. cit</w:t>
      </w:r>
      <w:r w:rsidRPr="00AA0BA9">
        <w:t>., p. 13.</w:t>
      </w:r>
    </w:p>
  </w:footnote>
  <w:footnote w:id="170">
    <w:p w:rsidR="00AD690E" w:rsidRDefault="00AD690E" w:rsidP="00AD690E">
      <w:pPr>
        <w:pStyle w:val="Notedebasdepage"/>
      </w:pPr>
      <w:r>
        <w:rPr>
          <w:rStyle w:val="Appelnotedebasdep"/>
        </w:rPr>
        <w:footnoteRef/>
      </w:r>
      <w:r>
        <w:t xml:space="preserve"> </w:t>
      </w:r>
      <w:r>
        <w:tab/>
      </w:r>
      <w:r w:rsidRPr="00AA0BA9">
        <w:rPr>
          <w:i/>
          <w:iCs/>
        </w:rPr>
        <w:t xml:space="preserve">Ibid., </w:t>
      </w:r>
      <w:r w:rsidRPr="00AA0BA9">
        <w:t>p. 17.</w:t>
      </w:r>
    </w:p>
  </w:footnote>
  <w:footnote w:id="171">
    <w:p w:rsidR="00AD690E" w:rsidRDefault="00AD690E" w:rsidP="00AD690E">
      <w:pPr>
        <w:pStyle w:val="Notedebasdepage"/>
      </w:pPr>
      <w:r>
        <w:rPr>
          <w:rStyle w:val="Appelnotedebasdep"/>
        </w:rPr>
        <w:footnoteRef/>
      </w:r>
      <w:r>
        <w:t xml:space="preserve"> </w:t>
      </w:r>
      <w:r>
        <w:tab/>
      </w:r>
      <w:r w:rsidRPr="00AA0BA9">
        <w:rPr>
          <w:i/>
          <w:iCs/>
        </w:rPr>
        <w:t xml:space="preserve">Ibid., </w:t>
      </w:r>
      <w:r w:rsidRPr="00AA0BA9">
        <w:t>p. 23.</w:t>
      </w:r>
    </w:p>
  </w:footnote>
  <w:footnote w:id="172">
    <w:p w:rsidR="00AD690E" w:rsidRDefault="00AD690E" w:rsidP="00AD690E">
      <w:pPr>
        <w:pStyle w:val="Notedebasdepage"/>
      </w:pPr>
      <w:r>
        <w:rPr>
          <w:rStyle w:val="Appelnotedebasdep"/>
        </w:rPr>
        <w:footnoteRef/>
      </w:r>
      <w:r>
        <w:t xml:space="preserve"> </w:t>
      </w:r>
      <w:r>
        <w:tab/>
      </w:r>
      <w:r w:rsidRPr="00AA0BA9">
        <w:t xml:space="preserve">CANADA. Gouvernement du Canada, </w:t>
      </w:r>
      <w:r w:rsidRPr="00AA0BA9">
        <w:rPr>
          <w:i/>
          <w:iCs/>
        </w:rPr>
        <w:t>Le projet de loi sur la réforme con</w:t>
      </w:r>
      <w:r w:rsidRPr="00AA0BA9">
        <w:rPr>
          <w:i/>
          <w:iCs/>
        </w:rPr>
        <w:t>s</w:t>
      </w:r>
      <w:r w:rsidRPr="00AA0BA9">
        <w:rPr>
          <w:i/>
          <w:iCs/>
        </w:rPr>
        <w:t xml:space="preserve">titutionnelle. </w:t>
      </w:r>
      <w:r w:rsidRPr="00AA0BA9">
        <w:t>Texte et notes explicatives, juin 1978.</w:t>
      </w:r>
    </w:p>
  </w:footnote>
  <w:footnote w:id="173">
    <w:p w:rsidR="00AD690E" w:rsidRDefault="00AD690E" w:rsidP="00AD690E">
      <w:pPr>
        <w:pStyle w:val="Notedebasdepage"/>
      </w:pPr>
      <w:r>
        <w:rPr>
          <w:rStyle w:val="Appelnotedebasdep"/>
        </w:rPr>
        <w:footnoteRef/>
      </w:r>
      <w:r>
        <w:t xml:space="preserve"> </w:t>
      </w:r>
      <w:r>
        <w:tab/>
      </w:r>
      <w:r w:rsidRPr="00C83918">
        <w:t xml:space="preserve">COMMISSION DE L'UNITÉ CANADIENNE, </w:t>
      </w:r>
      <w:r w:rsidRPr="00C83918">
        <w:rPr>
          <w:i/>
          <w:iCs/>
        </w:rPr>
        <w:t>Se retrouver. Observ</w:t>
      </w:r>
      <w:r w:rsidRPr="00C83918">
        <w:rPr>
          <w:i/>
          <w:iCs/>
        </w:rPr>
        <w:t>a</w:t>
      </w:r>
      <w:r w:rsidRPr="00C83918">
        <w:rPr>
          <w:i/>
          <w:iCs/>
        </w:rPr>
        <w:t xml:space="preserve">tions et recommandations. </w:t>
      </w:r>
      <w:r w:rsidRPr="00C83918">
        <w:t>Ottawa, Ministère des Approvisionnements et Serv</w:t>
      </w:r>
      <w:r w:rsidRPr="00C83918">
        <w:t>i</w:t>
      </w:r>
      <w:r w:rsidRPr="00C83918">
        <w:t>ces, 1979, p. 14.</w:t>
      </w:r>
    </w:p>
  </w:footnote>
  <w:footnote w:id="174">
    <w:p w:rsidR="00AD690E" w:rsidRDefault="00AD690E" w:rsidP="00AD690E">
      <w:pPr>
        <w:pStyle w:val="Notedebasdepage"/>
      </w:pPr>
      <w:r>
        <w:rPr>
          <w:rStyle w:val="Appelnotedebasdep"/>
        </w:rPr>
        <w:footnoteRef/>
      </w:r>
      <w:r>
        <w:t xml:space="preserve"> </w:t>
      </w:r>
      <w:r>
        <w:tab/>
      </w:r>
      <w:r w:rsidRPr="00C83918">
        <w:rPr>
          <w:i/>
          <w:iCs/>
        </w:rPr>
        <w:t xml:space="preserve">Ibid., </w:t>
      </w:r>
      <w:r w:rsidRPr="00C83918">
        <w:t>p. 15.</w:t>
      </w:r>
    </w:p>
  </w:footnote>
  <w:footnote w:id="175">
    <w:p w:rsidR="00AD690E" w:rsidRDefault="00AD690E" w:rsidP="00AD690E">
      <w:pPr>
        <w:pStyle w:val="Notedebasdepage"/>
      </w:pPr>
      <w:r>
        <w:rPr>
          <w:rStyle w:val="Appelnotedebasdep"/>
        </w:rPr>
        <w:footnoteRef/>
      </w:r>
      <w:r>
        <w:t xml:space="preserve"> </w:t>
      </w:r>
      <w:r>
        <w:tab/>
      </w:r>
      <w:r w:rsidRPr="00C83918">
        <w:rPr>
          <w:i/>
          <w:iCs/>
        </w:rPr>
        <w:t xml:space="preserve">Ibid., </w:t>
      </w:r>
      <w:r w:rsidRPr="00C83918">
        <w:t>p. 16.</w:t>
      </w:r>
    </w:p>
  </w:footnote>
  <w:footnote w:id="176">
    <w:p w:rsidR="00AD690E" w:rsidRDefault="00AD690E" w:rsidP="00AD690E">
      <w:pPr>
        <w:pStyle w:val="Notedebasdepage"/>
      </w:pPr>
      <w:r>
        <w:rPr>
          <w:rStyle w:val="Appelnotedebasdep"/>
        </w:rPr>
        <w:footnoteRef/>
      </w:r>
      <w:r>
        <w:t xml:space="preserve"> </w:t>
      </w:r>
      <w:r>
        <w:tab/>
      </w:r>
      <w:r w:rsidRPr="00590D7B">
        <w:rPr>
          <w:i/>
          <w:iCs/>
        </w:rPr>
        <w:t xml:space="preserve">Ibid., </w:t>
      </w:r>
      <w:r w:rsidRPr="00590D7B">
        <w:t>p. 85.</w:t>
      </w:r>
    </w:p>
  </w:footnote>
  <w:footnote w:id="177">
    <w:p w:rsidR="00AD690E" w:rsidRDefault="00AD690E" w:rsidP="00AD690E">
      <w:pPr>
        <w:pStyle w:val="Notedebasdepage"/>
      </w:pPr>
      <w:r>
        <w:rPr>
          <w:rStyle w:val="Appelnotedebasdep"/>
        </w:rPr>
        <w:footnoteRef/>
      </w:r>
      <w:r>
        <w:t xml:space="preserve"> </w:t>
      </w:r>
      <w:r>
        <w:tab/>
      </w:r>
      <w:r w:rsidRPr="00590D7B">
        <w:rPr>
          <w:i/>
          <w:iCs/>
        </w:rPr>
        <w:t xml:space="preserve">Ibid., </w:t>
      </w:r>
      <w:r w:rsidRPr="00590D7B">
        <w:t>p. 92.</w:t>
      </w:r>
    </w:p>
  </w:footnote>
  <w:footnote w:id="178">
    <w:p w:rsidR="00AD690E" w:rsidRDefault="00AD690E" w:rsidP="00AD690E">
      <w:pPr>
        <w:pStyle w:val="Notedebasdepage"/>
      </w:pPr>
      <w:r>
        <w:rPr>
          <w:rStyle w:val="Appelnotedebasdep"/>
        </w:rPr>
        <w:footnoteRef/>
      </w:r>
      <w:r>
        <w:t xml:space="preserve"> </w:t>
      </w:r>
      <w:r>
        <w:tab/>
      </w:r>
      <w:r w:rsidRPr="00590D7B">
        <w:t xml:space="preserve">BOISMENU, G., « Un plébiscite de tous les jours », dans </w:t>
      </w:r>
      <w:r w:rsidRPr="00590D7B">
        <w:rPr>
          <w:i/>
          <w:iCs/>
        </w:rPr>
        <w:t xml:space="preserve">Le Québec en textes ; 1940-1985, </w:t>
      </w:r>
      <w:r w:rsidRPr="00590D7B">
        <w:t>Montréal, Boréal, 1986.</w:t>
      </w:r>
    </w:p>
  </w:footnote>
  <w:footnote w:id="179">
    <w:p w:rsidR="00AD690E" w:rsidRDefault="00AD690E" w:rsidP="00AD690E">
      <w:pPr>
        <w:pStyle w:val="Notedebasdepage"/>
      </w:pPr>
      <w:r>
        <w:rPr>
          <w:rStyle w:val="Appelnotedebasdep"/>
        </w:rPr>
        <w:footnoteRef/>
      </w:r>
      <w:r>
        <w:t xml:space="preserve"> </w:t>
      </w:r>
      <w:r>
        <w:tab/>
      </w:r>
      <w:r w:rsidRPr="00590D7B">
        <w:rPr>
          <w:i/>
          <w:iCs/>
        </w:rPr>
        <w:t xml:space="preserve">Le Devoir, </w:t>
      </w:r>
      <w:r w:rsidRPr="00590D7B">
        <w:t xml:space="preserve">23 octobre 1967, cité par ROY, J.-L., </w:t>
      </w:r>
      <w:r w:rsidRPr="00590D7B">
        <w:rPr>
          <w:i/>
          <w:iCs/>
        </w:rPr>
        <w:t xml:space="preserve">Le choix d'un pays, op. cit., </w:t>
      </w:r>
      <w:r w:rsidRPr="00590D7B">
        <w:t>p.</w:t>
      </w:r>
      <w:r>
        <w:t> </w:t>
      </w:r>
      <w:r w:rsidRPr="00590D7B">
        <w:t>87.</w:t>
      </w:r>
    </w:p>
  </w:footnote>
  <w:footnote w:id="180">
    <w:p w:rsidR="00AD690E" w:rsidRDefault="00AD690E" w:rsidP="00AD690E">
      <w:pPr>
        <w:pStyle w:val="Notedebasdepage"/>
      </w:pPr>
      <w:r>
        <w:rPr>
          <w:rStyle w:val="Appelnotedebasdep"/>
        </w:rPr>
        <w:footnoteRef/>
      </w:r>
      <w:r>
        <w:t xml:space="preserve"> </w:t>
      </w:r>
      <w:r>
        <w:tab/>
      </w:r>
      <w:r w:rsidRPr="00590D7B">
        <w:t xml:space="preserve">Voir à ce sujet : BOISMENU G. et BÉLANGER A.-J., </w:t>
      </w:r>
      <w:r w:rsidRPr="00590D7B">
        <w:rPr>
          <w:i/>
          <w:iCs/>
        </w:rPr>
        <w:t xml:space="preserve">op. cit., </w:t>
      </w:r>
      <w:r w:rsidRPr="00590D7B">
        <w:t>pp. 246-256.</w:t>
      </w:r>
    </w:p>
  </w:footnote>
  <w:footnote w:id="181">
    <w:p w:rsidR="00AD690E" w:rsidRDefault="00AD690E" w:rsidP="00AD690E">
      <w:pPr>
        <w:pStyle w:val="Notedebasdepage"/>
      </w:pPr>
      <w:r>
        <w:rPr>
          <w:rStyle w:val="Appelnotedebasdep"/>
        </w:rPr>
        <w:footnoteRef/>
      </w:r>
      <w:r>
        <w:t xml:space="preserve"> </w:t>
      </w:r>
      <w:r>
        <w:tab/>
      </w:r>
      <w:r w:rsidRPr="00271825">
        <w:t xml:space="preserve">CANADA. </w:t>
      </w:r>
      <w:r w:rsidRPr="00271825">
        <w:rPr>
          <w:i/>
          <w:iCs/>
        </w:rPr>
        <w:t xml:space="preserve">Débats de la Chambre des Communes, </w:t>
      </w:r>
      <w:r w:rsidRPr="00271825">
        <w:t>32</w:t>
      </w:r>
      <w:r w:rsidRPr="00271825">
        <w:rPr>
          <w:vertAlign w:val="superscript"/>
        </w:rPr>
        <w:t>e</w:t>
      </w:r>
      <w:r w:rsidRPr="00271825">
        <w:t xml:space="preserve"> législature, l</w:t>
      </w:r>
      <w:r w:rsidRPr="00271825">
        <w:rPr>
          <w:vertAlign w:val="superscript"/>
        </w:rPr>
        <w:t xml:space="preserve">re </w:t>
      </w:r>
      <w:r w:rsidRPr="00271825">
        <w:t>se</w:t>
      </w:r>
      <w:r w:rsidRPr="00271825">
        <w:t>s</w:t>
      </w:r>
      <w:r w:rsidRPr="00271825">
        <w:t>sion, vol. 124, n° 167, lundi 23 mars 1981, p. 8508.</w:t>
      </w:r>
    </w:p>
  </w:footnote>
  <w:footnote w:id="182">
    <w:p w:rsidR="00AD690E" w:rsidRDefault="00AD690E" w:rsidP="00AD690E">
      <w:pPr>
        <w:pStyle w:val="Notedebasdepage"/>
      </w:pPr>
      <w:r>
        <w:rPr>
          <w:rStyle w:val="Appelnotedebasdep"/>
        </w:rPr>
        <w:footnoteRef/>
      </w:r>
      <w:r>
        <w:t xml:space="preserve"> </w:t>
      </w:r>
      <w:r>
        <w:tab/>
      </w:r>
      <w:r w:rsidRPr="00271825">
        <w:t xml:space="preserve">QUÉBEC. Assemblée nationale, </w:t>
      </w:r>
      <w:r w:rsidRPr="00271825">
        <w:rPr>
          <w:i/>
          <w:iCs/>
        </w:rPr>
        <w:t xml:space="preserve">Journal des débats, </w:t>
      </w:r>
      <w:r w:rsidRPr="00271825">
        <w:t>vol. 26, n° 9, 25 n</w:t>
      </w:r>
      <w:r w:rsidRPr="00271825">
        <w:t>o</w:t>
      </w:r>
      <w:r w:rsidRPr="00271825">
        <w:t xml:space="preserve">vembre 1981, p. 463 ; BOISMENU, G., « Du recul à la compromission », dans </w:t>
      </w:r>
      <w:r w:rsidRPr="00271825">
        <w:rPr>
          <w:i/>
          <w:iCs/>
        </w:rPr>
        <w:t xml:space="preserve">Le Québec en textes, 1940-1985, </w:t>
      </w:r>
      <w:r w:rsidRPr="00271825">
        <w:t>Montréal, Boréal, 1986.</w:t>
      </w:r>
    </w:p>
  </w:footnote>
  <w:footnote w:id="183">
    <w:p w:rsidR="00AD690E" w:rsidRDefault="00AD690E" w:rsidP="00AD690E">
      <w:pPr>
        <w:pStyle w:val="Notedebasdepage"/>
      </w:pPr>
      <w:r>
        <w:rPr>
          <w:rStyle w:val="Appelnotedebasdep"/>
        </w:rPr>
        <w:footnoteRef/>
      </w:r>
      <w:r>
        <w:t xml:space="preserve"> </w:t>
      </w:r>
      <w:r>
        <w:tab/>
      </w:r>
      <w:r w:rsidRPr="00271825">
        <w:t>La résolution adoptée par le Parlement canadien en décembre 1981 fait me</w:t>
      </w:r>
      <w:r w:rsidRPr="00271825">
        <w:t>n</w:t>
      </w:r>
      <w:r w:rsidRPr="00271825">
        <w:t xml:space="preserve">tion de la </w:t>
      </w:r>
      <w:r w:rsidRPr="00271825">
        <w:rPr>
          <w:i/>
          <w:iCs/>
        </w:rPr>
        <w:t xml:space="preserve">Loi constitutionnelle de 1981. </w:t>
      </w:r>
      <w:r w:rsidRPr="00271825">
        <w:t>Une fois adoptée par le Pa</w:t>
      </w:r>
      <w:r w:rsidRPr="00271825">
        <w:t>r</w:t>
      </w:r>
      <w:r w:rsidRPr="00271825">
        <w:t xml:space="preserve">lement britannique, cette loi deviendra la </w:t>
      </w:r>
      <w:r w:rsidRPr="00271825">
        <w:rPr>
          <w:i/>
          <w:iCs/>
        </w:rPr>
        <w:t>Loi constitutionnelle de 1982.</w:t>
      </w:r>
    </w:p>
  </w:footnote>
  <w:footnote w:id="184">
    <w:p w:rsidR="00AD690E" w:rsidRDefault="00AD690E" w:rsidP="00AD690E">
      <w:pPr>
        <w:pStyle w:val="Notedebasdepage"/>
      </w:pPr>
      <w:r>
        <w:rPr>
          <w:rStyle w:val="Appelnotedebasdep"/>
        </w:rPr>
        <w:footnoteRef/>
      </w:r>
      <w:r>
        <w:t xml:space="preserve"> </w:t>
      </w:r>
      <w:r>
        <w:tab/>
      </w:r>
      <w:r w:rsidRPr="00271825">
        <w:t>Voir BOISMENU, G., « Le Québec et la centralisation politique au Can</w:t>
      </w:r>
      <w:r w:rsidRPr="00271825">
        <w:t>a</w:t>
      </w:r>
      <w:r w:rsidRPr="00271825">
        <w:t xml:space="preserve">da : le « beau risque » du Canada Bill », dans </w:t>
      </w:r>
      <w:r w:rsidRPr="00271825">
        <w:rPr>
          <w:i/>
          <w:iCs/>
        </w:rPr>
        <w:t>Cahiers de recherche sociolog</w:t>
      </w:r>
      <w:r w:rsidRPr="00271825">
        <w:rPr>
          <w:i/>
          <w:iCs/>
        </w:rPr>
        <w:t>i</w:t>
      </w:r>
      <w:r w:rsidRPr="00271825">
        <w:rPr>
          <w:i/>
          <w:iCs/>
        </w:rPr>
        <w:t xml:space="preserve">que, </w:t>
      </w:r>
      <w:r w:rsidRPr="00271825">
        <w:t>vol. 3, n° 1, avril 1985, pp. 119-130.</w:t>
      </w:r>
    </w:p>
  </w:footnote>
  <w:footnote w:id="185">
    <w:p w:rsidR="00AD690E" w:rsidRDefault="00AD690E" w:rsidP="00AD690E">
      <w:pPr>
        <w:pStyle w:val="Notedebasdepage"/>
      </w:pPr>
      <w:r>
        <w:rPr>
          <w:rStyle w:val="Appelnotedebasdep"/>
        </w:rPr>
        <w:footnoteRef/>
      </w:r>
      <w:r>
        <w:t xml:space="preserve"> </w:t>
      </w:r>
      <w:r>
        <w:tab/>
      </w:r>
      <w:r w:rsidRPr="00B605BA">
        <w:t>Le présent texte a également été publié en partie dans Le droit dans tous ses états, Montréal, Wilson et Lafleur, 1987, à la p. 13. Les références à la juri</w:t>
      </w:r>
      <w:r w:rsidRPr="00B605BA">
        <w:t>s</w:t>
      </w:r>
      <w:r w:rsidRPr="00B605BA">
        <w:t>prudence et aux amendements législatifs sont à jour au 1er mai 1987 et ne tiennent pas compte des a</w:t>
      </w:r>
      <w:r w:rsidRPr="00B605BA">
        <w:t>c</w:t>
      </w:r>
      <w:r w:rsidRPr="00B605BA">
        <w:t>cords du lac Meech.</w:t>
      </w:r>
    </w:p>
  </w:footnote>
  <w:footnote w:id="186">
    <w:p w:rsidR="00AD690E" w:rsidRDefault="00AD690E" w:rsidP="00AD690E">
      <w:pPr>
        <w:pStyle w:val="Notedebasdepage"/>
      </w:pPr>
      <w:r>
        <w:rPr>
          <w:rStyle w:val="Appelnotedebasdep"/>
        </w:rPr>
        <w:footnoteRef/>
      </w:r>
      <w:r>
        <w:t xml:space="preserve"> </w:t>
      </w:r>
      <w:r>
        <w:tab/>
      </w:r>
      <w:r w:rsidRPr="00B605BA">
        <w:t>BUREAU, Robert D., Le droit dans tous ses états, Montréal, Wilson et L</w:t>
      </w:r>
      <w:r w:rsidRPr="00B605BA">
        <w:t>a</w:t>
      </w:r>
      <w:r w:rsidRPr="00B605BA">
        <w:t>fleur, 1987, à la p. 11.</w:t>
      </w:r>
    </w:p>
  </w:footnote>
  <w:footnote w:id="187">
    <w:p w:rsidR="00AD690E" w:rsidRDefault="00AD690E" w:rsidP="00AD690E">
      <w:pPr>
        <w:pStyle w:val="Notedebasdepage"/>
      </w:pPr>
      <w:r>
        <w:rPr>
          <w:rStyle w:val="Appelnotedebasdep"/>
        </w:rPr>
        <w:footnoteRef/>
      </w:r>
      <w:r>
        <w:t xml:space="preserve"> </w:t>
      </w:r>
      <w:r>
        <w:tab/>
      </w:r>
      <w:r w:rsidRPr="00B605BA">
        <w:t>Loi constitutionnelle de 1982, art. 32 et art. 52.</w:t>
      </w:r>
    </w:p>
  </w:footnote>
  <w:footnote w:id="188">
    <w:p w:rsidR="00AD690E" w:rsidRDefault="00AD690E" w:rsidP="00AD690E">
      <w:pPr>
        <w:pStyle w:val="Notedebasdepage"/>
      </w:pPr>
      <w:r>
        <w:rPr>
          <w:rStyle w:val="Appelnotedebasdep"/>
        </w:rPr>
        <w:footnoteRef/>
      </w:r>
      <w:r>
        <w:t xml:space="preserve"> </w:t>
      </w:r>
      <w:r>
        <w:tab/>
      </w:r>
      <w:r w:rsidRPr="00B605BA">
        <w:rPr>
          <w:i/>
        </w:rPr>
        <w:t>Ibid</w:t>
      </w:r>
      <w:r w:rsidRPr="00B605BA">
        <w:t>., Partie V.</w:t>
      </w:r>
    </w:p>
  </w:footnote>
  <w:footnote w:id="189">
    <w:p w:rsidR="00AD690E" w:rsidRDefault="00AD690E" w:rsidP="00AD690E">
      <w:pPr>
        <w:pStyle w:val="Notedebasdepage"/>
      </w:pPr>
      <w:r>
        <w:rPr>
          <w:rStyle w:val="Appelnotedebasdep"/>
        </w:rPr>
        <w:footnoteRef/>
      </w:r>
      <w:r>
        <w:t xml:space="preserve"> </w:t>
      </w:r>
      <w:r>
        <w:tab/>
      </w:r>
      <w:r w:rsidRPr="00B605BA">
        <w:rPr>
          <w:i/>
        </w:rPr>
        <w:t>Ibid</w:t>
      </w:r>
      <w:r w:rsidRPr="00B605BA">
        <w:t>., art. 25 et 35</w:t>
      </w:r>
      <w:r>
        <w:t>.</w:t>
      </w:r>
    </w:p>
  </w:footnote>
  <w:footnote w:id="190">
    <w:p w:rsidR="00AD690E" w:rsidRDefault="00AD690E" w:rsidP="00AD690E">
      <w:pPr>
        <w:pStyle w:val="Notedebasdepage"/>
      </w:pPr>
      <w:r>
        <w:rPr>
          <w:rStyle w:val="Appelnotedebasdep"/>
        </w:rPr>
        <w:footnoteRef/>
      </w:r>
      <w:r>
        <w:t xml:space="preserve"> </w:t>
      </w:r>
      <w:r>
        <w:tab/>
      </w:r>
      <w:r w:rsidRPr="00B77980">
        <w:rPr>
          <w:i/>
        </w:rPr>
        <w:t>Ibid</w:t>
      </w:r>
      <w:r w:rsidRPr="00B77980">
        <w:t>., Partie VI.</w:t>
      </w:r>
    </w:p>
  </w:footnote>
  <w:footnote w:id="191">
    <w:p w:rsidR="00AD690E" w:rsidRDefault="00AD690E" w:rsidP="00AD690E">
      <w:pPr>
        <w:pStyle w:val="Notedebasdepage"/>
      </w:pPr>
      <w:r>
        <w:rPr>
          <w:rStyle w:val="Appelnotedebasdep"/>
        </w:rPr>
        <w:footnoteRef/>
      </w:r>
      <w:r>
        <w:t xml:space="preserve"> </w:t>
      </w:r>
      <w:r>
        <w:tab/>
      </w:r>
      <w:r w:rsidRPr="00B77980">
        <w:t>COKE, E.,</w:t>
      </w:r>
      <w:r w:rsidRPr="00B77980">
        <w:rPr>
          <w:i/>
        </w:rPr>
        <w:t xml:space="preserve"> Institutes</w:t>
      </w:r>
      <w:r w:rsidRPr="00B77980">
        <w:t xml:space="preserve">, vol. IV à la p. 36, cité par J.H. Baker, An </w:t>
      </w:r>
      <w:r w:rsidRPr="00B77980">
        <w:rPr>
          <w:i/>
        </w:rPr>
        <w:t>Introdu</w:t>
      </w:r>
      <w:r w:rsidRPr="00B77980">
        <w:rPr>
          <w:i/>
        </w:rPr>
        <w:t>c</w:t>
      </w:r>
      <w:r w:rsidRPr="00B77980">
        <w:rPr>
          <w:i/>
        </w:rPr>
        <w:t>tion to English Legal History</w:t>
      </w:r>
      <w:r w:rsidRPr="00B77980">
        <w:t>, Lo</w:t>
      </w:r>
      <w:r w:rsidRPr="00B77980">
        <w:t>n</w:t>
      </w:r>
      <w:r w:rsidRPr="00B77980">
        <w:t>dres, Butterworths, 1979, à la p. 181 :</w:t>
      </w:r>
      <w:r w:rsidRPr="00B77980">
        <w:rPr>
          <w:rFonts w:cs="Arial"/>
        </w:rPr>
        <w:t xml:space="preserve"> </w:t>
      </w:r>
      <w:r w:rsidRPr="00B77980">
        <w:t>« Les pouvoirs et la juridiction du Parlement sont si transcendants et abs</w:t>
      </w:r>
      <w:r w:rsidRPr="00B77980">
        <w:t>o</w:t>
      </w:r>
      <w:r w:rsidRPr="00B77980">
        <w:t>lus qu'ils ne peuvent être restreints de quelque façon ni en raison des sujets de droit ni en raison de leur objet » (notre tradu</w:t>
      </w:r>
      <w:r w:rsidRPr="00B77980">
        <w:t>c</w:t>
      </w:r>
      <w:r w:rsidRPr="00B77980">
        <w:t>tion).</w:t>
      </w:r>
    </w:p>
  </w:footnote>
  <w:footnote w:id="192">
    <w:p w:rsidR="00AD690E" w:rsidRDefault="00AD690E" w:rsidP="00AD690E">
      <w:pPr>
        <w:pStyle w:val="Notedebasdepage"/>
      </w:pPr>
      <w:r>
        <w:rPr>
          <w:rStyle w:val="Appelnotedebasdep"/>
        </w:rPr>
        <w:footnoteRef/>
      </w:r>
      <w:r>
        <w:t xml:space="preserve"> </w:t>
      </w:r>
      <w:r>
        <w:tab/>
      </w:r>
      <w:r w:rsidRPr="00B77980">
        <w:t xml:space="preserve">DICEY, A.V., </w:t>
      </w:r>
      <w:r w:rsidRPr="00B77980">
        <w:rPr>
          <w:i/>
        </w:rPr>
        <w:t>The Law of the Constitution</w:t>
      </w:r>
      <w:r w:rsidRPr="00B77980">
        <w:t>, 10</w:t>
      </w:r>
      <w:r w:rsidRPr="00B77980">
        <w:rPr>
          <w:vertAlign w:val="superscript"/>
        </w:rPr>
        <w:t>e</w:t>
      </w:r>
      <w:r w:rsidRPr="00B77980">
        <w:t xml:space="preserve"> éd., London MacMi</w:t>
      </w:r>
      <w:r w:rsidRPr="00B77980">
        <w:t>l</w:t>
      </w:r>
      <w:r w:rsidRPr="00B77980">
        <w:t>lan, 1965.</w:t>
      </w:r>
    </w:p>
  </w:footnote>
  <w:footnote w:id="193">
    <w:p w:rsidR="00AD690E" w:rsidRDefault="00AD690E" w:rsidP="00AD690E">
      <w:pPr>
        <w:pStyle w:val="Notedebasdepage"/>
      </w:pPr>
      <w:r>
        <w:rPr>
          <w:rStyle w:val="Appelnotedebasdep"/>
        </w:rPr>
        <w:footnoteRef/>
      </w:r>
      <w:r>
        <w:t xml:space="preserve"> </w:t>
      </w:r>
      <w:r>
        <w:tab/>
      </w:r>
      <w:r w:rsidRPr="00D73B87">
        <w:t>Loi constitutionnelle de 1867</w:t>
      </w:r>
      <w:r w:rsidRPr="0039476A">
        <w:t>, Préambule.</w:t>
      </w:r>
    </w:p>
  </w:footnote>
  <w:footnote w:id="194">
    <w:p w:rsidR="00AD690E" w:rsidRDefault="00AD690E" w:rsidP="00AD690E">
      <w:pPr>
        <w:pStyle w:val="Notedebasdepage"/>
      </w:pPr>
      <w:r>
        <w:rPr>
          <w:rStyle w:val="Appelnotedebasdep"/>
        </w:rPr>
        <w:footnoteRef/>
      </w:r>
      <w:r>
        <w:tab/>
        <w:t xml:space="preserve"> </w:t>
      </w:r>
      <w:r w:rsidRPr="0039476A">
        <w:rPr>
          <w:i/>
        </w:rPr>
        <w:t>Marbury c. Madison</w:t>
      </w:r>
      <w:r w:rsidRPr="0039476A">
        <w:t>, 5 U.S. (1 Cranch) 137, 1803 à la p. 175, le juge en chef Marshal</w:t>
      </w:r>
    </w:p>
  </w:footnote>
  <w:footnote w:id="195">
    <w:p w:rsidR="00AD690E" w:rsidRDefault="00AD690E" w:rsidP="00AD690E">
      <w:pPr>
        <w:pStyle w:val="Notedebasdepage"/>
      </w:pPr>
      <w:r>
        <w:rPr>
          <w:rStyle w:val="Appelnotedebasdep"/>
        </w:rPr>
        <w:footnoteRef/>
      </w:r>
      <w:r>
        <w:t xml:space="preserve"> </w:t>
      </w:r>
      <w:r>
        <w:tab/>
      </w:r>
      <w:r w:rsidRPr="002E2B2C">
        <w:t>The Law Society of Upper Canada c. Skapinker, [1984] R.C.S. 357.</w:t>
      </w:r>
    </w:p>
  </w:footnote>
  <w:footnote w:id="196">
    <w:p w:rsidR="00AD690E" w:rsidRDefault="00AD690E" w:rsidP="00AD690E">
      <w:pPr>
        <w:pStyle w:val="Notedebasdepage"/>
      </w:pPr>
      <w:r>
        <w:rPr>
          <w:rStyle w:val="Appelnotedebasdep"/>
        </w:rPr>
        <w:footnoteRef/>
      </w:r>
      <w:r>
        <w:t xml:space="preserve"> </w:t>
      </w:r>
      <w:r>
        <w:tab/>
      </w:r>
      <w:r>
        <w:rPr>
          <w:i/>
        </w:rPr>
        <w:t>Ibid</w:t>
      </w:r>
      <w:r w:rsidRPr="002E2B2C">
        <w:t>., à la p. 367</w:t>
      </w:r>
    </w:p>
  </w:footnote>
  <w:footnote w:id="197">
    <w:p w:rsidR="00AD690E" w:rsidRDefault="00AD690E" w:rsidP="00AD690E">
      <w:pPr>
        <w:pStyle w:val="Notedebasdepage"/>
      </w:pPr>
      <w:r>
        <w:rPr>
          <w:rStyle w:val="Appelnotedebasdep"/>
        </w:rPr>
        <w:footnoteRef/>
      </w:r>
      <w:r>
        <w:t xml:space="preserve"> </w:t>
      </w:r>
      <w:r>
        <w:tab/>
      </w:r>
      <w:r w:rsidRPr="002E2B2C">
        <w:t>Edwards c. Procureur général du Canada, [1930] A.C. 124.</w:t>
      </w:r>
    </w:p>
  </w:footnote>
  <w:footnote w:id="198">
    <w:p w:rsidR="00AD690E" w:rsidRDefault="00AD690E" w:rsidP="00AD690E">
      <w:pPr>
        <w:pStyle w:val="Notedebasdepage"/>
      </w:pPr>
      <w:r>
        <w:rPr>
          <w:rStyle w:val="Appelnotedebasdep"/>
        </w:rPr>
        <w:footnoteRef/>
      </w:r>
      <w:r>
        <w:t xml:space="preserve"> </w:t>
      </w:r>
      <w:r>
        <w:tab/>
      </w:r>
      <w:r w:rsidRPr="005E1720">
        <w:t>The Law Society of Upper Canada c. Skapinker, [1984] R.C.S. 357.</w:t>
      </w:r>
    </w:p>
  </w:footnote>
  <w:footnote w:id="199">
    <w:p w:rsidR="00AD690E" w:rsidRDefault="00AD690E" w:rsidP="00AD690E">
      <w:pPr>
        <w:pStyle w:val="Notedebasdepage"/>
      </w:pPr>
      <w:r>
        <w:rPr>
          <w:rStyle w:val="Appelnotedebasdep"/>
        </w:rPr>
        <w:footnoteRef/>
      </w:r>
      <w:r>
        <w:t xml:space="preserve"> </w:t>
      </w:r>
      <w:r>
        <w:tab/>
      </w:r>
      <w:r w:rsidRPr="005E1720">
        <w:rPr>
          <w:i/>
        </w:rPr>
        <w:t>Renvoi relatif aux droits linguistiques au Manitoba</w:t>
      </w:r>
      <w:r w:rsidRPr="005E1720">
        <w:t>, [1985] 1 R.C.S. 721, 725 (les italiques sont de nous).</w:t>
      </w:r>
    </w:p>
  </w:footnote>
  <w:footnote w:id="200">
    <w:p w:rsidR="00AD690E" w:rsidRDefault="00AD690E" w:rsidP="00AD690E">
      <w:pPr>
        <w:pStyle w:val="Notedebasdepage"/>
      </w:pPr>
      <w:r>
        <w:rPr>
          <w:rStyle w:val="Appelnotedebasdep"/>
        </w:rPr>
        <w:footnoteRef/>
      </w:r>
      <w:r>
        <w:t xml:space="preserve"> </w:t>
      </w:r>
      <w:r>
        <w:tab/>
      </w:r>
      <w:r w:rsidRPr="005E1720">
        <w:t>Procureur général du Québec c. Blaikie, [1979], 2 R.C.S. 1016.</w:t>
      </w:r>
    </w:p>
  </w:footnote>
  <w:footnote w:id="201">
    <w:p w:rsidR="00AD690E" w:rsidRDefault="00AD690E" w:rsidP="00AD690E">
      <w:pPr>
        <w:pStyle w:val="Notedebasdepage"/>
      </w:pPr>
      <w:r>
        <w:rPr>
          <w:rStyle w:val="Appelnotedebasdep"/>
        </w:rPr>
        <w:footnoteRef/>
      </w:r>
      <w:r>
        <w:t xml:space="preserve"> </w:t>
      </w:r>
      <w:r>
        <w:tab/>
      </w:r>
      <w:r w:rsidRPr="005E1720">
        <w:t>Loi concernant un jugement rendu par la Cour suprême du Canada le 13 décembre 1979 sur la langue de la législation et de la justice au Qu</w:t>
      </w:r>
      <w:r w:rsidRPr="005E1720">
        <w:t>é</w:t>
      </w:r>
      <w:r w:rsidRPr="005E1720">
        <w:t>bec, L.Q., 1979, c. 61.</w:t>
      </w:r>
    </w:p>
  </w:footnote>
  <w:footnote w:id="202">
    <w:p w:rsidR="00AD690E" w:rsidRDefault="00AD690E" w:rsidP="00AD690E">
      <w:pPr>
        <w:pStyle w:val="Notedebasdepage"/>
      </w:pPr>
      <w:r>
        <w:rPr>
          <w:rStyle w:val="Appelnotedebasdep"/>
        </w:rPr>
        <w:footnoteRef/>
      </w:r>
      <w:r>
        <w:t xml:space="preserve"> </w:t>
      </w:r>
      <w:r>
        <w:tab/>
      </w:r>
      <w:r w:rsidRPr="005E1720">
        <w:t>Nous traiterons plus loin des importantes dérogations qui peuvent être fa</w:t>
      </w:r>
      <w:r w:rsidRPr="005E1720">
        <w:t>i</w:t>
      </w:r>
      <w:r w:rsidRPr="005E1720">
        <w:t>tes à la Charte.</w:t>
      </w:r>
    </w:p>
  </w:footnote>
  <w:footnote w:id="203">
    <w:p w:rsidR="00AD690E" w:rsidRDefault="00AD690E" w:rsidP="00AD690E">
      <w:pPr>
        <w:pStyle w:val="Notedebasdepage"/>
      </w:pPr>
      <w:r>
        <w:rPr>
          <w:rStyle w:val="Appelnotedebasdep"/>
        </w:rPr>
        <w:footnoteRef/>
      </w:r>
      <w:r>
        <w:t xml:space="preserve"> </w:t>
      </w:r>
      <w:r>
        <w:tab/>
      </w:r>
      <w:r w:rsidRPr="005A48FC">
        <w:t>À noter que les dispositions des art. 3, 4, 5 et 6 ne bénéficient qu'aux c</w:t>
      </w:r>
      <w:r w:rsidRPr="005A48FC">
        <w:t>i</w:t>
      </w:r>
      <w:r w:rsidRPr="005A48FC">
        <w:t>toyens, par opposition à tous les autres articles qui s'appl</w:t>
      </w:r>
      <w:r w:rsidRPr="005A48FC">
        <w:t>i</w:t>
      </w:r>
      <w:r w:rsidRPr="005A48FC">
        <w:t>quent à toutes les pe</w:t>
      </w:r>
      <w:r w:rsidRPr="005A48FC">
        <w:t>r</w:t>
      </w:r>
      <w:r w:rsidRPr="005A48FC">
        <w:t>sonnes.</w:t>
      </w:r>
    </w:p>
  </w:footnote>
  <w:footnote w:id="204">
    <w:p w:rsidR="00AD690E" w:rsidRDefault="00AD690E" w:rsidP="00AD690E">
      <w:pPr>
        <w:pStyle w:val="Notedebasdepage"/>
      </w:pPr>
      <w:r>
        <w:rPr>
          <w:rStyle w:val="Appelnotedebasdep"/>
        </w:rPr>
        <w:footnoteRef/>
      </w:r>
      <w:r>
        <w:t xml:space="preserve"> </w:t>
      </w:r>
      <w:r>
        <w:tab/>
      </w:r>
      <w:r w:rsidRPr="003A7487">
        <w:t>Procureur général du Québec c. Québec Protestant School Boards</w:t>
      </w:r>
      <w:r w:rsidRPr="005A48FC">
        <w:t xml:space="preserve"> (1984), 2 R.C.S. 66.</w:t>
      </w:r>
    </w:p>
  </w:footnote>
  <w:footnote w:id="205">
    <w:p w:rsidR="00AD690E" w:rsidRDefault="00AD690E" w:rsidP="00AD690E">
      <w:pPr>
        <w:pStyle w:val="Notedebasdepage"/>
      </w:pPr>
      <w:r>
        <w:rPr>
          <w:rStyle w:val="Appelnotedebasdep"/>
        </w:rPr>
        <w:footnoteRef/>
      </w:r>
      <w:r>
        <w:t xml:space="preserve"> </w:t>
      </w:r>
      <w:r>
        <w:tab/>
      </w:r>
      <w:r w:rsidRPr="007B7BFC">
        <w:t>S.G. D.M.R. c. Dolphin Delevery Ltd</w:t>
      </w:r>
      <w:r w:rsidRPr="0062624B">
        <w:t xml:space="preserve"> (1986), R.C.S.</w:t>
      </w:r>
    </w:p>
  </w:footnote>
  <w:footnote w:id="206">
    <w:p w:rsidR="00AD690E" w:rsidRDefault="00AD690E" w:rsidP="00AD690E">
      <w:pPr>
        <w:pStyle w:val="Notedebasdepage"/>
      </w:pPr>
      <w:r>
        <w:rPr>
          <w:rStyle w:val="Appelnotedebasdep"/>
        </w:rPr>
        <w:footnoteRef/>
      </w:r>
      <w:r>
        <w:t xml:space="preserve"> </w:t>
      </w:r>
      <w:r>
        <w:tab/>
      </w:r>
      <w:r w:rsidRPr="002167DD">
        <w:rPr>
          <w:i/>
        </w:rPr>
        <w:t>Loi relative à la validité des lois coloniales</w:t>
      </w:r>
      <w:r w:rsidRPr="002167DD">
        <w:t>, 1865, (R.V.) 28 &amp; 29 Vict., c. 63, art. 2. Cette loi prévoyait qu'aucune loi d'une colonie ne pouvait aller à l'encontre d'une loi anglaise adoptée pour cette colonie. Les lois fédérales ou provinciales qui violaient les dispositions de l'</w:t>
      </w:r>
      <w:r w:rsidRPr="002167DD">
        <w:rPr>
          <w:i/>
        </w:rPr>
        <w:t>A</w:t>
      </w:r>
      <w:r w:rsidRPr="002167DD">
        <w:rPr>
          <w:i/>
        </w:rPr>
        <w:t>c</w:t>
      </w:r>
      <w:r w:rsidRPr="002167DD">
        <w:rPr>
          <w:i/>
        </w:rPr>
        <w:t xml:space="preserve">te de l’Amérique du nord britannique </w:t>
      </w:r>
      <w:r w:rsidRPr="002167DD">
        <w:t>pouvaient donc être déclarées invalides car cette de</w:t>
      </w:r>
      <w:r w:rsidRPr="002167DD">
        <w:t>r</w:t>
      </w:r>
      <w:r w:rsidRPr="002167DD">
        <w:t>nière loi avait, bien sûr, été adoptée pour les colonies du Canada. Cela ne pe</w:t>
      </w:r>
      <w:r w:rsidRPr="002167DD">
        <w:t>r</w:t>
      </w:r>
      <w:r w:rsidRPr="002167DD">
        <w:t>mettait pas aux tribunaux de porter des jugements sur la conformité à d'autres pri</w:t>
      </w:r>
      <w:r w:rsidRPr="002167DD">
        <w:t>n</w:t>
      </w:r>
      <w:r w:rsidRPr="002167DD">
        <w:t>cipes tels ceux qui existent aujou</w:t>
      </w:r>
      <w:r w:rsidRPr="002167DD">
        <w:t>r</w:t>
      </w:r>
      <w:r w:rsidRPr="002167DD">
        <w:t>d'hui dans la Charte.</w:t>
      </w:r>
    </w:p>
  </w:footnote>
  <w:footnote w:id="207">
    <w:p w:rsidR="00AD690E" w:rsidRDefault="00AD690E" w:rsidP="00AD690E">
      <w:pPr>
        <w:pStyle w:val="Notedebasdepage"/>
      </w:pPr>
      <w:r>
        <w:rPr>
          <w:rStyle w:val="Appelnotedebasdep"/>
        </w:rPr>
        <w:footnoteRef/>
      </w:r>
      <w:r>
        <w:t xml:space="preserve"> </w:t>
      </w:r>
      <w:r>
        <w:tab/>
      </w:r>
      <w:r w:rsidRPr="002167DD">
        <w:t>1931 (R.V.), 22 Geo. V, c. 4.</w:t>
      </w:r>
    </w:p>
  </w:footnote>
  <w:footnote w:id="208">
    <w:p w:rsidR="00AD690E" w:rsidRDefault="00AD690E" w:rsidP="00AD690E">
      <w:pPr>
        <w:pStyle w:val="Notedebasdepage"/>
      </w:pPr>
      <w:r>
        <w:rPr>
          <w:rStyle w:val="Appelnotedebasdep"/>
        </w:rPr>
        <w:footnoteRef/>
      </w:r>
      <w:r>
        <w:t xml:space="preserve"> </w:t>
      </w:r>
      <w:r>
        <w:tab/>
      </w:r>
      <w:r w:rsidRPr="009D44D8">
        <w:t>Nous ne discuterons pas les aspects de l'accession du Québec à l'indépe</w:t>
      </w:r>
      <w:r w:rsidRPr="009D44D8">
        <w:t>n</w:t>
      </w:r>
      <w:r w:rsidRPr="009D44D8">
        <w:t>dance au plan du droit international qui connaît des règles différe</w:t>
      </w:r>
      <w:r w:rsidRPr="009D44D8">
        <w:t>n</w:t>
      </w:r>
      <w:r w:rsidRPr="009D44D8">
        <w:t xml:space="preserve">tes. À ce sujet voir BROSSARD, L, </w:t>
      </w:r>
      <w:r w:rsidRPr="009D44D8">
        <w:rPr>
          <w:i/>
        </w:rPr>
        <w:t>L'accession à la souveraineté et le cas du Qu</w:t>
      </w:r>
      <w:r w:rsidRPr="009D44D8">
        <w:rPr>
          <w:i/>
        </w:rPr>
        <w:t>é</w:t>
      </w:r>
      <w:r w:rsidRPr="009D44D8">
        <w:rPr>
          <w:i/>
        </w:rPr>
        <w:t>bec</w:t>
      </w:r>
      <w:r w:rsidRPr="009D44D8">
        <w:t>, Mo</w:t>
      </w:r>
      <w:r w:rsidRPr="009D44D8">
        <w:t>n</w:t>
      </w:r>
      <w:r w:rsidRPr="009D44D8">
        <w:t>tréal, P.U.M., 1976.</w:t>
      </w:r>
    </w:p>
  </w:footnote>
  <w:footnote w:id="209">
    <w:p w:rsidR="00AD690E" w:rsidRDefault="00AD690E" w:rsidP="00AD690E">
      <w:pPr>
        <w:pStyle w:val="Notedebasdepage"/>
      </w:pPr>
      <w:r>
        <w:rPr>
          <w:rStyle w:val="Appelnotedebasdep"/>
        </w:rPr>
        <w:footnoteRef/>
      </w:r>
      <w:r>
        <w:t xml:space="preserve"> </w:t>
      </w:r>
      <w:r>
        <w:tab/>
      </w:r>
      <w:r w:rsidRPr="009D44D8">
        <w:t xml:space="preserve">Voir </w:t>
      </w:r>
      <w:r w:rsidRPr="007B7BFC">
        <w:t>SGDMR c. Dolphin Delivery, supra, et Re : Blainey and Ontario Ho</w:t>
      </w:r>
      <w:r w:rsidRPr="007B7BFC">
        <w:t>c</w:t>
      </w:r>
      <w:r w:rsidRPr="007B7BFC">
        <w:t>key Association et al</w:t>
      </w:r>
      <w:r w:rsidRPr="009D44D8">
        <w:t>. (1986) 54 O.L.R. (2d) 513.</w:t>
      </w:r>
    </w:p>
  </w:footnote>
  <w:footnote w:id="210">
    <w:p w:rsidR="00AD690E" w:rsidRDefault="00AD690E" w:rsidP="00AD690E">
      <w:pPr>
        <w:pStyle w:val="Notedebasdepage"/>
      </w:pPr>
      <w:r>
        <w:rPr>
          <w:rStyle w:val="Appelnotedebasdep"/>
        </w:rPr>
        <w:footnoteRef/>
      </w:r>
      <w:r>
        <w:t xml:space="preserve"> </w:t>
      </w:r>
      <w:r>
        <w:tab/>
      </w:r>
      <w:r w:rsidRPr="009D44D8">
        <w:t xml:space="preserve">Voir par exemple : MANNING, M., </w:t>
      </w:r>
      <w:r w:rsidRPr="009D44D8">
        <w:rPr>
          <w:i/>
        </w:rPr>
        <w:t>Rights, Freedoms and the Courts</w:t>
      </w:r>
      <w:r w:rsidRPr="009D44D8">
        <w:t>, T</w:t>
      </w:r>
      <w:r w:rsidRPr="009D44D8">
        <w:t>o</w:t>
      </w:r>
      <w:r w:rsidRPr="009D44D8">
        <w:t xml:space="preserve">ronto, Emond-Montgomery, 1983, à la p. 151 et HOGG, P., </w:t>
      </w:r>
      <w:r w:rsidRPr="009D44D8">
        <w:rPr>
          <w:i/>
        </w:rPr>
        <w:t>Constit</w:t>
      </w:r>
      <w:r w:rsidRPr="009D44D8">
        <w:rPr>
          <w:i/>
        </w:rPr>
        <w:t>u</w:t>
      </w:r>
      <w:r w:rsidRPr="009D44D8">
        <w:rPr>
          <w:i/>
        </w:rPr>
        <w:t>tional Law of C</w:t>
      </w:r>
      <w:r w:rsidRPr="009D44D8">
        <w:rPr>
          <w:i/>
        </w:rPr>
        <w:t>a</w:t>
      </w:r>
      <w:r w:rsidRPr="009D44D8">
        <w:rPr>
          <w:i/>
        </w:rPr>
        <w:t>nada</w:t>
      </w:r>
      <w:r w:rsidRPr="009D44D8">
        <w:t>, 2</w:t>
      </w:r>
      <w:r w:rsidRPr="009D44D8">
        <w:rPr>
          <w:vertAlign w:val="superscript"/>
        </w:rPr>
        <w:t>e</w:t>
      </w:r>
      <w:r w:rsidRPr="009D44D8">
        <w:t xml:space="preserve"> édition, Toronto, Larswell, 1985, à la p. 680.</w:t>
      </w:r>
    </w:p>
  </w:footnote>
  <w:footnote w:id="211">
    <w:p w:rsidR="00AD690E" w:rsidRDefault="00AD690E" w:rsidP="00AD690E">
      <w:pPr>
        <w:pStyle w:val="Notedebasdepage"/>
      </w:pPr>
      <w:r>
        <w:rPr>
          <w:rStyle w:val="Appelnotedebasdep"/>
        </w:rPr>
        <w:footnoteRef/>
      </w:r>
      <w:r>
        <w:t xml:space="preserve"> </w:t>
      </w:r>
      <w:r>
        <w:tab/>
      </w:r>
      <w:r w:rsidRPr="009D44D8">
        <w:t>[1986] 1 R.C.S. 103.</w:t>
      </w:r>
    </w:p>
  </w:footnote>
  <w:footnote w:id="212">
    <w:p w:rsidR="00AD690E" w:rsidRDefault="00AD690E" w:rsidP="00AD690E">
      <w:pPr>
        <w:pStyle w:val="Notedebasdepage"/>
      </w:pPr>
      <w:r>
        <w:rPr>
          <w:rStyle w:val="Appelnotedebasdep"/>
        </w:rPr>
        <w:footnoteRef/>
      </w:r>
      <w:r>
        <w:t xml:space="preserve"> </w:t>
      </w:r>
      <w:r>
        <w:tab/>
      </w:r>
      <w:r w:rsidRPr="009D44D8">
        <w:t>Supra, note 19.</w:t>
      </w:r>
    </w:p>
  </w:footnote>
  <w:footnote w:id="213">
    <w:p w:rsidR="00AD690E" w:rsidRDefault="00AD690E" w:rsidP="00AD690E">
      <w:pPr>
        <w:pStyle w:val="Notedebasdepage"/>
      </w:pPr>
      <w:r>
        <w:rPr>
          <w:rStyle w:val="Appelnotedebasdep"/>
        </w:rPr>
        <w:footnoteRef/>
      </w:r>
      <w:r>
        <w:t xml:space="preserve"> </w:t>
      </w:r>
      <w:r>
        <w:tab/>
      </w:r>
      <w:r w:rsidRPr="003A74A4">
        <w:t>Voir supra, Partie 1, Le contenu de la Charte canadienne.</w:t>
      </w:r>
    </w:p>
  </w:footnote>
  <w:footnote w:id="214">
    <w:p w:rsidR="00AD690E" w:rsidRDefault="00AD690E" w:rsidP="00AD690E">
      <w:pPr>
        <w:pStyle w:val="Notedebasdepage"/>
      </w:pPr>
      <w:r>
        <w:rPr>
          <w:rStyle w:val="Appelnotedebasdep"/>
        </w:rPr>
        <w:footnoteRef/>
      </w:r>
      <w:r>
        <w:t xml:space="preserve"> </w:t>
      </w:r>
      <w:r>
        <w:tab/>
      </w:r>
      <w:r w:rsidRPr="003A74A4">
        <w:t>Loi protégeant la province contre la propagande communiste, S.R.Q. 1941, ch. 52.</w:t>
      </w:r>
    </w:p>
  </w:footnote>
  <w:footnote w:id="215">
    <w:p w:rsidR="00AD690E" w:rsidRDefault="00AD690E" w:rsidP="00AD690E">
      <w:pPr>
        <w:pStyle w:val="Notedebasdepage"/>
      </w:pPr>
      <w:r>
        <w:rPr>
          <w:rStyle w:val="Appelnotedebasdep"/>
        </w:rPr>
        <w:footnoteRef/>
      </w:r>
      <w:r>
        <w:t xml:space="preserve"> </w:t>
      </w:r>
      <w:r>
        <w:tab/>
      </w:r>
      <w:r w:rsidRPr="003A74A4">
        <w:t xml:space="preserve">Voir par exemple : </w:t>
      </w:r>
      <w:r w:rsidRPr="003A74A4">
        <w:rPr>
          <w:i/>
        </w:rPr>
        <w:t>Roncarelli c. Duplessis</w:t>
      </w:r>
      <w:r w:rsidRPr="003A74A4">
        <w:t xml:space="preserve"> (1959), R.C.S. 121 ; </w:t>
      </w:r>
      <w:r w:rsidRPr="003A74A4">
        <w:rPr>
          <w:i/>
        </w:rPr>
        <w:t>Swit</w:t>
      </w:r>
      <w:r w:rsidRPr="003A74A4">
        <w:rPr>
          <w:i/>
        </w:rPr>
        <w:t>z</w:t>
      </w:r>
      <w:r w:rsidRPr="003A74A4">
        <w:rPr>
          <w:i/>
        </w:rPr>
        <w:t>man c. Elbling</w:t>
      </w:r>
      <w:r w:rsidRPr="003A74A4">
        <w:t xml:space="preserve"> (1957), R.C.S. 285 ; </w:t>
      </w:r>
      <w:r w:rsidRPr="003A74A4">
        <w:rPr>
          <w:i/>
        </w:rPr>
        <w:t>Chaput c. Romain</w:t>
      </w:r>
      <w:r w:rsidRPr="003A74A4">
        <w:t xml:space="preserve"> (1955), R.C.S. 834 et bien d'a</w:t>
      </w:r>
      <w:r w:rsidRPr="003A74A4">
        <w:t>u</w:t>
      </w:r>
      <w:r w:rsidRPr="003A74A4">
        <w:t>tres...</w:t>
      </w:r>
    </w:p>
  </w:footnote>
  <w:footnote w:id="216">
    <w:p w:rsidR="00AD690E" w:rsidRDefault="00AD690E" w:rsidP="00AD690E">
      <w:pPr>
        <w:pStyle w:val="Notedebasdepage"/>
      </w:pPr>
      <w:r>
        <w:rPr>
          <w:rStyle w:val="Appelnotedebasdep"/>
        </w:rPr>
        <w:footnoteRef/>
      </w:r>
      <w:r>
        <w:t xml:space="preserve"> </w:t>
      </w:r>
      <w:r>
        <w:tab/>
      </w:r>
      <w:r w:rsidRPr="003A74A4">
        <w:t xml:space="preserve">Voir par exemple l'arrêt : </w:t>
      </w:r>
      <w:r w:rsidRPr="003A74A4">
        <w:rPr>
          <w:i/>
        </w:rPr>
        <w:t>Renvoi relatif aux lois de l'Alberta</w:t>
      </w:r>
      <w:r w:rsidRPr="003A74A4">
        <w:t xml:space="preserve"> [1938] R.C.S. 100, dans lequel une loi intitulée </w:t>
      </w:r>
      <w:r w:rsidRPr="003A74A4">
        <w:rPr>
          <w:i/>
        </w:rPr>
        <w:t>An Act to Ensure the Publication of Acc</w:t>
      </w:r>
      <w:r w:rsidRPr="003A74A4">
        <w:rPr>
          <w:i/>
        </w:rPr>
        <w:t>u</w:t>
      </w:r>
      <w:r w:rsidRPr="003A74A4">
        <w:rPr>
          <w:i/>
        </w:rPr>
        <w:t>rate News and Information</w:t>
      </w:r>
      <w:r w:rsidRPr="003A74A4">
        <w:t xml:space="preserve"> fut déclarée inconstitutionne</w:t>
      </w:r>
      <w:r w:rsidRPr="003A74A4">
        <w:t>l</w:t>
      </w:r>
      <w:r w:rsidRPr="003A74A4">
        <w:t>le.</w:t>
      </w:r>
    </w:p>
  </w:footnote>
  <w:footnote w:id="217">
    <w:p w:rsidR="00AD690E" w:rsidRDefault="00AD690E" w:rsidP="00AD690E">
      <w:pPr>
        <w:pStyle w:val="Notedebasdepage"/>
      </w:pPr>
      <w:r>
        <w:rPr>
          <w:rStyle w:val="Appelnotedebasdep"/>
        </w:rPr>
        <w:footnoteRef/>
      </w:r>
      <w:r>
        <w:t xml:space="preserve"> </w:t>
      </w:r>
      <w:r>
        <w:tab/>
      </w:r>
      <w:r w:rsidRPr="00B678B2">
        <w:t>Journal des débats de l'Assemblée nationale, 25 mai 1982, à la p. 3759.</w:t>
      </w:r>
    </w:p>
  </w:footnote>
  <w:footnote w:id="218">
    <w:p w:rsidR="00AD690E" w:rsidRDefault="00AD690E" w:rsidP="00AD690E">
      <w:pPr>
        <w:pStyle w:val="Notedebasdepage"/>
      </w:pPr>
      <w:r>
        <w:rPr>
          <w:rStyle w:val="Appelnotedebasdep"/>
        </w:rPr>
        <w:footnoteRef/>
      </w:r>
      <w:r>
        <w:t xml:space="preserve"> </w:t>
      </w:r>
      <w:r>
        <w:tab/>
      </w:r>
      <w:r w:rsidRPr="00B678B2">
        <w:rPr>
          <w:i/>
        </w:rPr>
        <w:t>Loi concernant la Loi constitutionnelle de 1982</w:t>
      </w:r>
      <w:r w:rsidRPr="00B678B2">
        <w:t>, L.Q. 1982 c. 21, (Projet de loi n° 62). Il est ironique de constater que même la Charte québ</w:t>
      </w:r>
      <w:r w:rsidRPr="00B678B2">
        <w:t>é</w:t>
      </w:r>
      <w:r w:rsidRPr="00B678B2">
        <w:t>coise</w:t>
      </w:r>
      <w:r w:rsidRPr="00F259C4">
        <w:t xml:space="preserve"> contient une telle disposition (art.92) qui la met à l'abri de la Charte canadie</w:t>
      </w:r>
      <w:r w:rsidRPr="00F259C4">
        <w:t>n</w:t>
      </w:r>
      <w:r w:rsidRPr="00F259C4">
        <w:t>ne.</w:t>
      </w:r>
    </w:p>
  </w:footnote>
  <w:footnote w:id="219">
    <w:p w:rsidR="00AD690E" w:rsidRDefault="00AD690E" w:rsidP="00AD690E">
      <w:pPr>
        <w:pStyle w:val="Notedebasdepage"/>
      </w:pPr>
      <w:r>
        <w:rPr>
          <w:rStyle w:val="Appelnotedebasdep"/>
        </w:rPr>
        <w:footnoteRef/>
      </w:r>
      <w:r>
        <w:t xml:space="preserve"> </w:t>
      </w:r>
      <w:r>
        <w:tab/>
      </w:r>
      <w:r w:rsidRPr="005241E1">
        <w:t>LEBEL, G. A., « Parlez-nous de nos droits et pas uniquement de la Cha</w:t>
      </w:r>
      <w:r w:rsidRPr="005241E1">
        <w:t>r</w:t>
      </w:r>
      <w:r w:rsidRPr="005241E1">
        <w:t xml:space="preserve">te ! » dans Bureau, Robert D. et Mackay, Pierre, </w:t>
      </w:r>
      <w:r w:rsidRPr="005241E1">
        <w:rPr>
          <w:i/>
        </w:rPr>
        <w:t>Le droit dans tous ses états</w:t>
      </w:r>
      <w:r w:rsidRPr="005241E1">
        <w:t>, Mo</w:t>
      </w:r>
      <w:r w:rsidRPr="005241E1">
        <w:t>n</w:t>
      </w:r>
      <w:r w:rsidRPr="005241E1">
        <w:t xml:space="preserve">tréal, </w:t>
      </w:r>
      <w:r>
        <w:t>Wilson et Lafleur, 1987, p. 117.</w:t>
      </w:r>
    </w:p>
  </w:footnote>
  <w:footnote w:id="220">
    <w:p w:rsidR="00AD690E" w:rsidRDefault="00AD690E" w:rsidP="00AD690E">
      <w:pPr>
        <w:pStyle w:val="Notedebasdepage"/>
      </w:pPr>
      <w:r>
        <w:rPr>
          <w:rStyle w:val="Appelnotedebasdep"/>
        </w:rPr>
        <w:footnoteRef/>
      </w:r>
      <w:r>
        <w:t xml:space="preserve"> </w:t>
      </w:r>
      <w:r>
        <w:tab/>
      </w:r>
      <w:r w:rsidRPr="00244200">
        <w:t>Bureau du Conseil privé, « La responsabilité constitutionnelle des mini</w:t>
      </w:r>
      <w:r w:rsidRPr="00244200">
        <w:t>s</w:t>
      </w:r>
      <w:r w:rsidRPr="00244200">
        <w:t>tres », mémoires présentés à la Commission royale sur la gestion financi</w:t>
      </w:r>
      <w:r w:rsidRPr="00244200">
        <w:t>è</w:t>
      </w:r>
      <w:r w:rsidRPr="00244200">
        <w:t>re et l'imputabilité, (Commission Lambert), O</w:t>
      </w:r>
      <w:r w:rsidRPr="00244200">
        <w:t>t</w:t>
      </w:r>
      <w:r w:rsidRPr="00244200">
        <w:t>tawa, 1979, p. 1-20.</w:t>
      </w:r>
    </w:p>
  </w:footnote>
  <w:footnote w:id="221">
    <w:p w:rsidR="00AD690E" w:rsidRDefault="00AD690E" w:rsidP="00AD690E">
      <w:pPr>
        <w:pStyle w:val="Notedebasdepage"/>
      </w:pPr>
      <w:r>
        <w:rPr>
          <w:rStyle w:val="Appelnotedebasdep"/>
        </w:rPr>
        <w:footnoteRef/>
      </w:r>
      <w:r>
        <w:t xml:space="preserve"> </w:t>
      </w:r>
      <w:r>
        <w:tab/>
        <w:t>CLARK, J.</w:t>
      </w:r>
      <w:r w:rsidRPr="00244200">
        <w:t>, « Les changements apportés récemment au sy</w:t>
      </w:r>
      <w:r w:rsidRPr="00244200">
        <w:t>s</w:t>
      </w:r>
      <w:r w:rsidRPr="00244200">
        <w:t>tème de prise de décisions du Cabinet », Bureau du Conseil privé, Ottawa, 1984, p. 3.</w:t>
      </w:r>
    </w:p>
  </w:footnote>
  <w:footnote w:id="222">
    <w:p w:rsidR="00AD690E" w:rsidRDefault="00AD690E" w:rsidP="00AD690E">
      <w:pPr>
        <w:pStyle w:val="Notedebasdepage"/>
      </w:pPr>
      <w:r>
        <w:rPr>
          <w:rStyle w:val="Appelnotedebasdep"/>
        </w:rPr>
        <w:footnoteRef/>
      </w:r>
      <w:r>
        <w:t xml:space="preserve"> </w:t>
      </w:r>
      <w:r>
        <w:tab/>
      </w:r>
      <w:r w:rsidRPr="00244200">
        <w:t>SMITH, D., « The Federal Cabinet in Canadian Politics », dans M Whittin</w:t>
      </w:r>
      <w:r w:rsidRPr="00244200">
        <w:t>g</w:t>
      </w:r>
      <w:r w:rsidRPr="00244200">
        <w:t xml:space="preserve">ton et G. Williams (dir.), </w:t>
      </w:r>
      <w:r w:rsidRPr="00244200">
        <w:rPr>
          <w:i/>
        </w:rPr>
        <w:t>Canadian Politics in the 1980's</w:t>
      </w:r>
      <w:r w:rsidRPr="00244200">
        <w:t>, Agincourt, M</w:t>
      </w:r>
      <w:r w:rsidRPr="00244200">
        <w:t>e</w:t>
      </w:r>
      <w:r w:rsidRPr="00244200">
        <w:t>thuen, 1984, p. 360</w:t>
      </w:r>
      <w:r>
        <w:t>.</w:t>
      </w:r>
    </w:p>
  </w:footnote>
  <w:footnote w:id="223">
    <w:p w:rsidR="00AD690E" w:rsidRDefault="00AD690E" w:rsidP="00AD690E">
      <w:pPr>
        <w:pStyle w:val="Notedebasdepage"/>
      </w:pPr>
      <w:r>
        <w:rPr>
          <w:rStyle w:val="Appelnotedebasdep"/>
        </w:rPr>
        <w:footnoteRef/>
      </w:r>
      <w:r>
        <w:t xml:space="preserve"> </w:t>
      </w:r>
      <w:r>
        <w:tab/>
      </w:r>
      <w:r w:rsidRPr="006E0C70">
        <w:t>PITFIELD, M., « The Origins of the Ministry of State », conférence à Wi</w:t>
      </w:r>
      <w:r w:rsidRPr="006E0C70">
        <w:t>n</w:t>
      </w:r>
      <w:r w:rsidRPr="006E0C70">
        <w:t>nipeg, 14 août 1985, p. 2. Gordon Robertson avait déjà analysé les param</w:t>
      </w:r>
      <w:r w:rsidRPr="006E0C70">
        <w:t>è</w:t>
      </w:r>
      <w:r w:rsidRPr="006E0C70">
        <w:t>tres aux réformes des années soixante dans les mêmes termes. ROBER</w:t>
      </w:r>
      <w:r w:rsidRPr="006E0C70">
        <w:t>T</w:t>
      </w:r>
      <w:r w:rsidRPr="006E0C70">
        <w:t xml:space="preserve">SON, Gordon, « The Changing Role of the Privy Council Office », </w:t>
      </w:r>
      <w:r w:rsidRPr="006E0C70">
        <w:rPr>
          <w:i/>
        </w:rPr>
        <w:t>Admini</w:t>
      </w:r>
      <w:r w:rsidRPr="006E0C70">
        <w:rPr>
          <w:i/>
        </w:rPr>
        <w:t>s</w:t>
      </w:r>
      <w:r w:rsidRPr="006E0C70">
        <w:rPr>
          <w:i/>
        </w:rPr>
        <w:t>tration publique au Canada</w:t>
      </w:r>
      <w:r w:rsidRPr="006E0C70">
        <w:t>, vol. 14, n° 4, hiver 1971, p. 497.</w:t>
      </w:r>
    </w:p>
  </w:footnote>
  <w:footnote w:id="224">
    <w:p w:rsidR="00AD690E" w:rsidRDefault="00AD690E" w:rsidP="00AD690E">
      <w:pPr>
        <w:pStyle w:val="Notedebasdepage"/>
      </w:pPr>
      <w:r>
        <w:rPr>
          <w:rStyle w:val="Appelnotedebasdep"/>
        </w:rPr>
        <w:footnoteRef/>
      </w:r>
      <w:r>
        <w:t xml:space="preserve"> </w:t>
      </w:r>
      <w:r>
        <w:tab/>
      </w:r>
      <w:r w:rsidRPr="0077615B">
        <w:t xml:space="preserve"> </w:t>
      </w:r>
      <w:r>
        <w:t>CLARK, J.</w:t>
      </w:r>
      <w:r w:rsidRPr="006E0C70">
        <w:t xml:space="preserve">, « Recent Changes in the Cabinet Decision-Making System in Ottawa », dans </w:t>
      </w:r>
      <w:r w:rsidRPr="006E0C70">
        <w:rPr>
          <w:i/>
        </w:rPr>
        <w:t>Administration publique du C</w:t>
      </w:r>
      <w:r w:rsidRPr="006E0C70">
        <w:rPr>
          <w:i/>
        </w:rPr>
        <w:t>a</w:t>
      </w:r>
      <w:r w:rsidRPr="006E0C70">
        <w:rPr>
          <w:i/>
        </w:rPr>
        <w:t>nada</w:t>
      </w:r>
      <w:r w:rsidRPr="006E0C70">
        <w:t>, vol. 28 n° 2, été 1985, p. 201.</w:t>
      </w:r>
    </w:p>
  </w:footnote>
  <w:footnote w:id="225">
    <w:p w:rsidR="00AD690E" w:rsidRDefault="00AD690E" w:rsidP="00AD690E">
      <w:pPr>
        <w:pStyle w:val="Notedebasdepage"/>
      </w:pPr>
      <w:r>
        <w:rPr>
          <w:rStyle w:val="Appelnotedebasdep"/>
        </w:rPr>
        <w:footnoteRef/>
      </w:r>
      <w:r>
        <w:t xml:space="preserve"> </w:t>
      </w:r>
      <w:r>
        <w:tab/>
      </w:r>
      <w:r w:rsidRPr="00366001">
        <w:t>Pour une présentation des réformes faites en 1940 et du fonctio</w:t>
      </w:r>
      <w:r w:rsidRPr="00366001">
        <w:t>n</w:t>
      </w:r>
      <w:r w:rsidRPr="00366001">
        <w:t>nement du BCP jusqu'au début des années soixante, voir HEENEY, A., « Cabinet G</w:t>
      </w:r>
      <w:r w:rsidRPr="00366001">
        <w:t>o</w:t>
      </w:r>
      <w:r w:rsidRPr="00366001">
        <w:t>vernment in Canada : some recent developments in the Central execut</w:t>
      </w:r>
      <w:r w:rsidRPr="00366001">
        <w:t>i</w:t>
      </w:r>
      <w:r w:rsidRPr="00366001">
        <w:t xml:space="preserve">ve », </w:t>
      </w:r>
      <w:r w:rsidRPr="00366001">
        <w:rPr>
          <w:i/>
        </w:rPr>
        <w:t>Canadian Journal of Econ</w:t>
      </w:r>
      <w:r w:rsidRPr="00366001">
        <w:rPr>
          <w:i/>
        </w:rPr>
        <w:t>o</w:t>
      </w:r>
      <w:r w:rsidRPr="00366001">
        <w:rPr>
          <w:i/>
        </w:rPr>
        <w:t>mics and Political Science</w:t>
      </w:r>
      <w:r w:rsidRPr="00366001">
        <w:t xml:space="preserve">, vol. 12, n° 3, 1946 ; Idem., « Mackenzie King and the Cabinet Secrétariat », dans </w:t>
      </w:r>
      <w:r w:rsidRPr="00366001">
        <w:rPr>
          <w:i/>
        </w:rPr>
        <w:t>Administr</w:t>
      </w:r>
      <w:r w:rsidRPr="00366001">
        <w:rPr>
          <w:i/>
        </w:rPr>
        <w:t>a</w:t>
      </w:r>
      <w:r w:rsidRPr="00366001">
        <w:rPr>
          <w:i/>
        </w:rPr>
        <w:t>tion publique du Canada</w:t>
      </w:r>
      <w:r w:rsidRPr="00366001">
        <w:t>, vol. X, n° 3, 1967 ; HALLIDAY, W., « The Privy Council Office and Cabinet Secrétariat », dans HODGETTS, LE., et CO</w:t>
      </w:r>
      <w:r w:rsidRPr="00366001">
        <w:t>R</w:t>
      </w:r>
      <w:r w:rsidRPr="00366001">
        <w:t xml:space="preserve">BETT, D.C. (dir.), </w:t>
      </w:r>
      <w:r w:rsidRPr="0022277D">
        <w:rPr>
          <w:i/>
        </w:rPr>
        <w:t xml:space="preserve">Canadian </w:t>
      </w:r>
      <w:r w:rsidRPr="00366001">
        <w:rPr>
          <w:i/>
        </w:rPr>
        <w:t>Public Admini</w:t>
      </w:r>
      <w:r w:rsidRPr="00366001">
        <w:rPr>
          <w:i/>
        </w:rPr>
        <w:t>s</w:t>
      </w:r>
      <w:r w:rsidRPr="00366001">
        <w:rPr>
          <w:i/>
        </w:rPr>
        <w:t>tration</w:t>
      </w:r>
      <w:r w:rsidRPr="00366001">
        <w:t>, Toronto, Macmillan, 1960.</w:t>
      </w:r>
    </w:p>
  </w:footnote>
  <w:footnote w:id="226">
    <w:p w:rsidR="00AD690E" w:rsidRDefault="00AD690E" w:rsidP="00AD690E">
      <w:pPr>
        <w:pStyle w:val="Notedebasdepage"/>
      </w:pPr>
      <w:r>
        <w:rPr>
          <w:rStyle w:val="Appelnotedebasdep"/>
        </w:rPr>
        <w:footnoteRef/>
      </w:r>
      <w:r>
        <w:t xml:space="preserve"> </w:t>
      </w:r>
      <w:r>
        <w:tab/>
      </w:r>
      <w:r w:rsidRPr="00366001">
        <w:t xml:space="preserve">PITFIELD, M., « The Origins of the Ministry of State », </w:t>
      </w:r>
      <w:r w:rsidRPr="00366001">
        <w:rPr>
          <w:i/>
        </w:rPr>
        <w:t>op. cit</w:t>
      </w:r>
      <w:r w:rsidRPr="00366001">
        <w:t>., p. 4.</w:t>
      </w:r>
    </w:p>
  </w:footnote>
  <w:footnote w:id="227">
    <w:p w:rsidR="00AD690E" w:rsidRDefault="00AD690E" w:rsidP="00AD690E">
      <w:pPr>
        <w:pStyle w:val="Notedebasdepage"/>
      </w:pPr>
      <w:r>
        <w:rPr>
          <w:rStyle w:val="Appelnotedebasdep"/>
        </w:rPr>
        <w:footnoteRef/>
      </w:r>
      <w:r>
        <w:t xml:space="preserve"> </w:t>
      </w:r>
      <w:r>
        <w:tab/>
      </w:r>
      <w:r w:rsidRPr="00366001">
        <w:t>ROBERTSON, G., « The Changing Role of the Privy Council O</w:t>
      </w:r>
      <w:r w:rsidRPr="00366001">
        <w:t>f</w:t>
      </w:r>
      <w:r w:rsidRPr="00366001">
        <w:t xml:space="preserve">fice », </w:t>
      </w:r>
      <w:r w:rsidRPr="00366001">
        <w:rPr>
          <w:i/>
        </w:rPr>
        <w:t>op. cit</w:t>
      </w:r>
      <w:r w:rsidRPr="00366001">
        <w:t>., p. 490.</w:t>
      </w:r>
    </w:p>
  </w:footnote>
  <w:footnote w:id="228">
    <w:p w:rsidR="00AD690E" w:rsidRDefault="00AD690E" w:rsidP="00AD690E">
      <w:pPr>
        <w:pStyle w:val="Notedebasdepage"/>
      </w:pPr>
      <w:r>
        <w:rPr>
          <w:rStyle w:val="Appelnotedebasdep"/>
        </w:rPr>
        <w:footnoteRef/>
      </w:r>
      <w:r>
        <w:t xml:space="preserve"> </w:t>
      </w:r>
      <w:r>
        <w:tab/>
      </w:r>
      <w:r w:rsidRPr="000217F5">
        <w:t>WEARING, L, « President or Prime Minister », dans HO</w:t>
      </w:r>
      <w:r w:rsidRPr="000217F5">
        <w:t>C</w:t>
      </w:r>
      <w:r w:rsidRPr="000217F5">
        <w:t xml:space="preserve">KIN, T. (éd.), </w:t>
      </w:r>
      <w:r w:rsidRPr="000217F5">
        <w:rPr>
          <w:i/>
        </w:rPr>
        <w:t>Apex of Power</w:t>
      </w:r>
      <w:r w:rsidRPr="000217F5">
        <w:t>, Scarborough, Prentice Hall, 2</w:t>
      </w:r>
      <w:r w:rsidRPr="000217F5">
        <w:rPr>
          <w:vertAlign w:val="superscript"/>
        </w:rPr>
        <w:t>e</w:t>
      </w:r>
      <w:r w:rsidRPr="000217F5">
        <w:t xml:space="preserve"> éd., 1977, p. 342. Voir au</w:t>
      </w:r>
      <w:r w:rsidRPr="000217F5">
        <w:t>s</w:t>
      </w:r>
      <w:r w:rsidRPr="000217F5">
        <w:t xml:space="preserve">si FRENCH, R.D., </w:t>
      </w:r>
      <w:r w:rsidRPr="000217F5">
        <w:rPr>
          <w:i/>
        </w:rPr>
        <w:t>How Ottawa Decides</w:t>
      </w:r>
      <w:r w:rsidRPr="000217F5">
        <w:t>, Toronto, James L</w:t>
      </w:r>
      <w:r w:rsidRPr="000217F5">
        <w:t>o</w:t>
      </w:r>
      <w:r w:rsidRPr="000217F5">
        <w:t>rimer, 2</w:t>
      </w:r>
      <w:r w:rsidRPr="000217F5">
        <w:rPr>
          <w:vertAlign w:val="superscript"/>
        </w:rPr>
        <w:t>nd</w:t>
      </w:r>
      <w:r w:rsidRPr="000217F5">
        <w:t xml:space="preserve"> éd., 1984, p. 3.</w:t>
      </w:r>
    </w:p>
  </w:footnote>
  <w:footnote w:id="229">
    <w:p w:rsidR="00AD690E" w:rsidRDefault="00AD690E" w:rsidP="00AD690E">
      <w:pPr>
        <w:pStyle w:val="Notedebasdepage"/>
      </w:pPr>
      <w:r>
        <w:rPr>
          <w:rStyle w:val="Appelnotedebasdep"/>
        </w:rPr>
        <w:footnoteRef/>
      </w:r>
      <w:r>
        <w:t xml:space="preserve"> </w:t>
      </w:r>
      <w:r>
        <w:tab/>
      </w:r>
      <w:r w:rsidRPr="000217F5">
        <w:t xml:space="preserve">DOERN, G.B. et PHIDD, R.W., </w:t>
      </w:r>
      <w:r w:rsidRPr="000217F5">
        <w:rPr>
          <w:i/>
        </w:rPr>
        <w:t>Canadian Public Policy : Ideas, Struct</w:t>
      </w:r>
      <w:r w:rsidRPr="000217F5">
        <w:rPr>
          <w:i/>
        </w:rPr>
        <w:t>u</w:t>
      </w:r>
      <w:r w:rsidRPr="000217F5">
        <w:rPr>
          <w:i/>
        </w:rPr>
        <w:t>re, Process</w:t>
      </w:r>
      <w:r w:rsidRPr="000217F5">
        <w:t>, Methuen, 1983, p. 171.</w:t>
      </w:r>
    </w:p>
  </w:footnote>
  <w:footnote w:id="230">
    <w:p w:rsidR="00AD690E" w:rsidRDefault="00AD690E" w:rsidP="00AD690E">
      <w:pPr>
        <w:pStyle w:val="Notedebasdepage"/>
      </w:pPr>
      <w:r>
        <w:rPr>
          <w:rStyle w:val="Appelnotedebasdep"/>
        </w:rPr>
        <w:footnoteRef/>
      </w:r>
      <w:r>
        <w:t xml:space="preserve"> </w:t>
      </w:r>
      <w:r>
        <w:tab/>
      </w:r>
      <w:r w:rsidRPr="000217F5">
        <w:t>ROBERTSON, G., « The Changing Role of the Privy Council O</w:t>
      </w:r>
      <w:r w:rsidRPr="000217F5">
        <w:t>f</w:t>
      </w:r>
      <w:r w:rsidRPr="000217F5">
        <w:t xml:space="preserve">fice », </w:t>
      </w:r>
      <w:r w:rsidRPr="000217F5">
        <w:rPr>
          <w:i/>
        </w:rPr>
        <w:t>op. cit</w:t>
      </w:r>
      <w:r w:rsidRPr="000217F5">
        <w:t>., p. 492. Voir aussi FRENCH, R.D., How Ottawa Dec</w:t>
      </w:r>
      <w:r w:rsidRPr="000217F5">
        <w:t>i</w:t>
      </w:r>
      <w:r w:rsidRPr="000217F5">
        <w:t xml:space="preserve">des, </w:t>
      </w:r>
      <w:r w:rsidRPr="000217F5">
        <w:rPr>
          <w:i/>
        </w:rPr>
        <w:t>op. cit</w:t>
      </w:r>
      <w:r w:rsidRPr="000217F5">
        <w:t>., p. 6.</w:t>
      </w:r>
    </w:p>
  </w:footnote>
  <w:footnote w:id="231">
    <w:p w:rsidR="00AD690E" w:rsidRDefault="00AD690E" w:rsidP="00AD690E">
      <w:pPr>
        <w:pStyle w:val="Notedebasdepage"/>
      </w:pPr>
      <w:r>
        <w:rPr>
          <w:rStyle w:val="Appelnotedebasdep"/>
        </w:rPr>
        <w:footnoteRef/>
      </w:r>
      <w:r>
        <w:t xml:space="preserve"> </w:t>
      </w:r>
      <w:r>
        <w:tab/>
      </w:r>
      <w:r w:rsidRPr="000217F5">
        <w:t>Les principaux comités d'orientation sectoriel sont : affaires étra</w:t>
      </w:r>
      <w:r w:rsidRPr="000217F5">
        <w:t>n</w:t>
      </w:r>
      <w:r w:rsidRPr="000217F5">
        <w:t>gères et défense, développement économique et régional, dévelo</w:t>
      </w:r>
      <w:r w:rsidRPr="000217F5">
        <w:t>p</w:t>
      </w:r>
      <w:r w:rsidRPr="000217F5">
        <w:t>pement social et opérations gouvernementales. Quant aux principaux comités de coordin</w:t>
      </w:r>
      <w:r w:rsidRPr="000217F5">
        <w:t>a</w:t>
      </w:r>
      <w:r w:rsidRPr="000217F5">
        <w:t>tion, ce sont : priorités et planification, Conseil du trésor et législation et planification parleme</w:t>
      </w:r>
      <w:r w:rsidRPr="000217F5">
        <w:t>n</w:t>
      </w:r>
      <w:r w:rsidRPr="000217F5">
        <w:t>taire.</w:t>
      </w:r>
    </w:p>
  </w:footnote>
  <w:footnote w:id="232">
    <w:p w:rsidR="00AD690E" w:rsidRDefault="00AD690E" w:rsidP="00AD690E">
      <w:pPr>
        <w:pStyle w:val="Notedebasdepage"/>
      </w:pPr>
      <w:r>
        <w:rPr>
          <w:rStyle w:val="Appelnotedebasdep"/>
        </w:rPr>
        <w:footnoteRef/>
      </w:r>
      <w:r>
        <w:t xml:space="preserve"> </w:t>
      </w:r>
      <w:r>
        <w:tab/>
        <w:t>CLARK, J.</w:t>
      </w:r>
      <w:r w:rsidRPr="000217F5">
        <w:t>, « Rôle des principaux comités consultatifs et de décision à O</w:t>
      </w:r>
      <w:r w:rsidRPr="000217F5">
        <w:t>t</w:t>
      </w:r>
      <w:r w:rsidRPr="000217F5">
        <w:t>tawa », Bureau du Conseil privé, Ottawa, 1983, p. 13</w:t>
      </w:r>
      <w:r>
        <w:t>.</w:t>
      </w:r>
    </w:p>
  </w:footnote>
  <w:footnote w:id="233">
    <w:p w:rsidR="00AD690E" w:rsidRDefault="00AD690E" w:rsidP="00AD690E">
      <w:pPr>
        <w:pStyle w:val="Notedebasdepage"/>
      </w:pPr>
      <w:r>
        <w:rPr>
          <w:rStyle w:val="Appelnotedebasdep"/>
        </w:rPr>
        <w:footnoteRef/>
      </w:r>
      <w:r>
        <w:t xml:space="preserve"> </w:t>
      </w:r>
      <w:r>
        <w:tab/>
      </w:r>
      <w:r w:rsidRPr="00B60921">
        <w:t xml:space="preserve">CLARK, </w:t>
      </w:r>
      <w:r>
        <w:t>I.</w:t>
      </w:r>
      <w:r w:rsidRPr="00B60921">
        <w:t>, « Coup d'œil sur l'essentiel du processus décisionnel du gouve</w:t>
      </w:r>
      <w:r w:rsidRPr="00B60921">
        <w:t>r</w:t>
      </w:r>
      <w:r w:rsidRPr="00B60921">
        <w:t>n</w:t>
      </w:r>
      <w:r w:rsidRPr="00B60921">
        <w:t>e</w:t>
      </w:r>
      <w:r w:rsidRPr="00B60921">
        <w:t>ment », Bureau du Conseil privé, Ottawa, 1984, pp. 3-4.</w:t>
      </w:r>
    </w:p>
  </w:footnote>
  <w:footnote w:id="234">
    <w:p w:rsidR="00AD690E" w:rsidRDefault="00AD690E" w:rsidP="00AD690E">
      <w:pPr>
        <w:pStyle w:val="Notedebasdepage"/>
      </w:pPr>
      <w:r>
        <w:rPr>
          <w:rStyle w:val="Appelnotedebasdep"/>
        </w:rPr>
        <w:footnoteRef/>
      </w:r>
      <w:r>
        <w:t xml:space="preserve"> </w:t>
      </w:r>
      <w:r>
        <w:tab/>
        <w:t>CLARK, J.</w:t>
      </w:r>
      <w:r w:rsidRPr="00970BA4">
        <w:t xml:space="preserve">, « Les changements apportés récemment... », </w:t>
      </w:r>
      <w:r w:rsidRPr="00970BA4">
        <w:rPr>
          <w:i/>
        </w:rPr>
        <w:t>op. cit</w:t>
      </w:r>
      <w:r w:rsidRPr="00970BA4">
        <w:t>., p. 7.</w:t>
      </w:r>
    </w:p>
  </w:footnote>
  <w:footnote w:id="235">
    <w:p w:rsidR="00AD690E" w:rsidRDefault="00AD690E" w:rsidP="00AD690E">
      <w:pPr>
        <w:pStyle w:val="Notedebasdepage"/>
      </w:pPr>
      <w:r>
        <w:rPr>
          <w:rStyle w:val="Appelnotedebasdep"/>
        </w:rPr>
        <w:footnoteRef/>
      </w:r>
      <w:r>
        <w:t xml:space="preserve"> </w:t>
      </w:r>
      <w:r>
        <w:tab/>
      </w:r>
      <w:r w:rsidRPr="00970BA4">
        <w:t xml:space="preserve">FRENCH, R.C., </w:t>
      </w:r>
      <w:r w:rsidRPr="00970BA4">
        <w:rPr>
          <w:i/>
        </w:rPr>
        <w:t>How Ottawa Decides, op. cit</w:t>
      </w:r>
      <w:r w:rsidRPr="00970BA4">
        <w:t>., p. 135.</w:t>
      </w:r>
    </w:p>
  </w:footnote>
  <w:footnote w:id="236">
    <w:p w:rsidR="00AD690E" w:rsidRDefault="00AD690E" w:rsidP="00AD690E">
      <w:pPr>
        <w:pStyle w:val="Notedebasdepage"/>
      </w:pPr>
      <w:r>
        <w:rPr>
          <w:rStyle w:val="Appelnotedebasdep"/>
        </w:rPr>
        <w:footnoteRef/>
      </w:r>
      <w:r>
        <w:t xml:space="preserve"> </w:t>
      </w:r>
      <w:r>
        <w:tab/>
      </w:r>
      <w:r w:rsidRPr="00FC154F">
        <w:t>CLARK, J., « Rôle des principaux comités consultatifs et de décision à O</w:t>
      </w:r>
      <w:r w:rsidRPr="00FC154F">
        <w:t>t</w:t>
      </w:r>
      <w:r w:rsidRPr="00FC154F">
        <w:t xml:space="preserve">tawa », </w:t>
      </w:r>
      <w:r w:rsidRPr="00FC154F">
        <w:rPr>
          <w:i/>
        </w:rPr>
        <w:t>op. cit.,</w:t>
      </w:r>
      <w:r w:rsidRPr="00FC154F">
        <w:t xml:space="preserve"> p. 17. Les comités sectoriels de sous-ministres visent à fac</w:t>
      </w:r>
      <w:r w:rsidRPr="00FC154F">
        <w:t>i</w:t>
      </w:r>
      <w:r w:rsidRPr="00FC154F">
        <w:t>liter les consu</w:t>
      </w:r>
      <w:r w:rsidRPr="00FC154F">
        <w:t>l</w:t>
      </w:r>
      <w:r w:rsidRPr="00FC154F">
        <w:t>tations entre les ministères. Ils permettent aussi que les sujets abordés par les comités du Cabinet soient bien documentés et qu'aient été réglés certains aspects techniques. Progressivement les comités sect</w:t>
      </w:r>
      <w:r w:rsidRPr="00FC154F">
        <w:t>o</w:t>
      </w:r>
      <w:r w:rsidRPr="00FC154F">
        <w:t>riels des sous-ministres dédoubleront les quatre principaux comités d'orie</w:t>
      </w:r>
      <w:r w:rsidRPr="00FC154F">
        <w:t>n</w:t>
      </w:r>
      <w:r w:rsidRPr="00FC154F">
        <w:t>tation du Cabinet : opérations gouvernementales, politique étrangère et défense, développement social, dévelo</w:t>
      </w:r>
      <w:r w:rsidRPr="00FC154F">
        <w:t>p</w:t>
      </w:r>
      <w:r w:rsidRPr="00FC154F">
        <w:t>pement économique et régional. Ce dernier comité du Cabinet se verra appuyé par deux com</w:t>
      </w:r>
      <w:r w:rsidRPr="00FC154F">
        <w:t>i</w:t>
      </w:r>
      <w:r w:rsidRPr="00FC154F">
        <w:t>tés de sous-ministres dont un s'occupera spécifiquement des questions énerg</w:t>
      </w:r>
      <w:r w:rsidRPr="00FC154F">
        <w:t>é</w:t>
      </w:r>
      <w:r w:rsidRPr="00FC154F">
        <w:t>tiques.</w:t>
      </w:r>
    </w:p>
  </w:footnote>
  <w:footnote w:id="237">
    <w:p w:rsidR="00AD690E" w:rsidRDefault="00AD690E" w:rsidP="00AD690E">
      <w:pPr>
        <w:pStyle w:val="Notedebasdepage"/>
      </w:pPr>
      <w:r>
        <w:rPr>
          <w:rStyle w:val="Appelnotedebasdep"/>
        </w:rPr>
        <w:footnoteRef/>
      </w:r>
      <w:r>
        <w:t xml:space="preserve"> </w:t>
      </w:r>
      <w:r>
        <w:tab/>
      </w:r>
      <w:r w:rsidRPr="0077615B">
        <w:t xml:space="preserve">CAMPBELL, C, </w:t>
      </w:r>
      <w:r w:rsidRPr="0077615B">
        <w:rPr>
          <w:i/>
        </w:rPr>
        <w:t>Governments under Stress</w:t>
      </w:r>
      <w:r w:rsidRPr="0077615B">
        <w:t>, Toronto, University of T</w:t>
      </w:r>
      <w:r w:rsidRPr="0077615B">
        <w:t>o</w:t>
      </w:r>
      <w:r w:rsidRPr="0077615B">
        <w:t>ronto Press, 1983, p. 195.</w:t>
      </w:r>
    </w:p>
  </w:footnote>
  <w:footnote w:id="238">
    <w:p w:rsidR="00AD690E" w:rsidRDefault="00AD690E" w:rsidP="00AD690E">
      <w:pPr>
        <w:pStyle w:val="Notedebasdepage"/>
      </w:pPr>
      <w:r>
        <w:rPr>
          <w:rStyle w:val="Appelnotedebasdep"/>
        </w:rPr>
        <w:footnoteRef/>
      </w:r>
      <w:r>
        <w:t xml:space="preserve"> </w:t>
      </w:r>
      <w:r>
        <w:tab/>
      </w:r>
      <w:r w:rsidRPr="009C3323">
        <w:t>CLARK, J., « Le SGPD et les organismes centraux », B</w:t>
      </w:r>
      <w:r w:rsidRPr="009C3323">
        <w:t>u</w:t>
      </w:r>
      <w:r w:rsidRPr="009C3323">
        <w:t>reau du Conseil privé, Ottawa, 1983, p. 12.</w:t>
      </w:r>
    </w:p>
  </w:footnote>
  <w:footnote w:id="239">
    <w:p w:rsidR="00AD690E" w:rsidRDefault="00AD690E" w:rsidP="00AD690E">
      <w:pPr>
        <w:pStyle w:val="Notedebasdepage"/>
      </w:pPr>
      <w:r>
        <w:rPr>
          <w:rStyle w:val="Appelnotedebasdep"/>
        </w:rPr>
        <w:footnoteRef/>
      </w:r>
      <w:r>
        <w:t xml:space="preserve"> </w:t>
      </w:r>
      <w:r>
        <w:tab/>
      </w:r>
      <w:r w:rsidRPr="009C3323">
        <w:t>CLARK, J., « Rôle des principaux comités consultatifs et de décision à O</w:t>
      </w:r>
      <w:r w:rsidRPr="009C3323">
        <w:t>t</w:t>
      </w:r>
      <w:r w:rsidRPr="009C3323">
        <w:t xml:space="preserve">tawa », </w:t>
      </w:r>
      <w:r w:rsidRPr="009C3323">
        <w:rPr>
          <w:i/>
        </w:rPr>
        <w:t>op. cit</w:t>
      </w:r>
      <w:r w:rsidRPr="009C3323">
        <w:t>., pp. 21-24.</w:t>
      </w:r>
    </w:p>
  </w:footnote>
  <w:footnote w:id="240">
    <w:p w:rsidR="00AD690E" w:rsidRDefault="00AD690E" w:rsidP="00AD690E">
      <w:pPr>
        <w:spacing w:before="120" w:after="120"/>
        <w:jc w:val="both"/>
      </w:pPr>
      <w:r>
        <w:rPr>
          <w:rStyle w:val="Appelnotedebasdep"/>
        </w:rPr>
        <w:footnoteRef/>
      </w:r>
      <w:r>
        <w:t xml:space="preserve"> </w:t>
      </w:r>
      <w:r>
        <w:tab/>
      </w:r>
      <w:r w:rsidRPr="009C3323">
        <w:t>Cabinet du premier ministr</w:t>
      </w:r>
      <w:r w:rsidRPr="00427269">
        <w:rPr>
          <w:rStyle w:val="NotedebasdepageCar"/>
        </w:rPr>
        <w:t>e</w:t>
      </w:r>
      <w:r w:rsidRPr="009C3323">
        <w:t xml:space="preserve">, </w:t>
      </w:r>
      <w:r w:rsidRPr="009C3323">
        <w:rPr>
          <w:i/>
        </w:rPr>
        <w:t>Communiqué</w:t>
      </w:r>
      <w:r w:rsidRPr="009C3323">
        <w:t>, 30 juin 1984.</w:t>
      </w:r>
    </w:p>
  </w:footnote>
  <w:footnote w:id="241">
    <w:p w:rsidR="00AD690E" w:rsidRDefault="00AD690E" w:rsidP="00AD690E">
      <w:pPr>
        <w:pStyle w:val="Notedebasdepage"/>
      </w:pPr>
      <w:r>
        <w:rPr>
          <w:rStyle w:val="Appelnotedebasdep"/>
        </w:rPr>
        <w:footnoteRef/>
      </w:r>
      <w:r>
        <w:t xml:space="preserve"> </w:t>
      </w:r>
      <w:r>
        <w:tab/>
      </w:r>
      <w:r w:rsidRPr="00C3395E">
        <w:rPr>
          <w:i/>
        </w:rPr>
        <w:t>Idem</w:t>
      </w:r>
      <w:r w:rsidRPr="00C3395E">
        <w:t>.</w:t>
      </w:r>
    </w:p>
  </w:footnote>
  <w:footnote w:id="242">
    <w:p w:rsidR="00AD690E" w:rsidRDefault="00AD690E" w:rsidP="00AD690E">
      <w:pPr>
        <w:pStyle w:val="Notedebasdepage"/>
      </w:pPr>
      <w:r>
        <w:rPr>
          <w:rStyle w:val="Appelnotedebasdep"/>
        </w:rPr>
        <w:footnoteRef/>
      </w:r>
      <w:r>
        <w:t xml:space="preserve"> </w:t>
      </w:r>
      <w:r>
        <w:tab/>
      </w:r>
      <w:r w:rsidRPr="009A2AFC">
        <w:t xml:space="preserve">CLARK, J. « Recent changes... », </w:t>
      </w:r>
      <w:r w:rsidRPr="009A2AFC">
        <w:rPr>
          <w:i/>
        </w:rPr>
        <w:t>op. cit</w:t>
      </w:r>
      <w:r w:rsidRPr="009A2AFC">
        <w:t>., p. 194.</w:t>
      </w:r>
    </w:p>
  </w:footnote>
  <w:footnote w:id="243">
    <w:p w:rsidR="00AD690E" w:rsidRDefault="00AD690E" w:rsidP="00AD690E">
      <w:pPr>
        <w:pStyle w:val="Notedebasdepage"/>
      </w:pPr>
      <w:r>
        <w:rPr>
          <w:rStyle w:val="Appelnotedebasdep"/>
        </w:rPr>
        <w:footnoteRef/>
      </w:r>
      <w:r>
        <w:t xml:space="preserve"> </w:t>
      </w:r>
      <w:r>
        <w:tab/>
      </w:r>
      <w:r w:rsidRPr="0068648A">
        <w:t>Pour une présentation des divers types de ministères d'État, voir PI</w:t>
      </w:r>
      <w:r w:rsidRPr="0068648A">
        <w:t>T</w:t>
      </w:r>
      <w:r w:rsidRPr="0068648A">
        <w:t xml:space="preserve">FIELD, M., « The Origins of the Ministry of State », </w:t>
      </w:r>
      <w:r w:rsidRPr="0068648A">
        <w:rPr>
          <w:i/>
        </w:rPr>
        <w:t>op. cit</w:t>
      </w:r>
      <w:r w:rsidRPr="0068648A">
        <w:t>.</w:t>
      </w:r>
    </w:p>
  </w:footnote>
  <w:footnote w:id="244">
    <w:p w:rsidR="00AD690E" w:rsidRDefault="00AD690E" w:rsidP="00AD690E">
      <w:pPr>
        <w:pStyle w:val="Notedebasdepage"/>
      </w:pPr>
      <w:r>
        <w:rPr>
          <w:rStyle w:val="Appelnotedebasdep"/>
        </w:rPr>
        <w:footnoteRef/>
      </w:r>
      <w:r>
        <w:t xml:space="preserve"> </w:t>
      </w:r>
      <w:r>
        <w:tab/>
      </w:r>
      <w:r w:rsidRPr="0068648A">
        <w:t>PITFIELD, M., « Le gouvernement des années 80 : Techniques et instr</w:t>
      </w:r>
      <w:r w:rsidRPr="0068648A">
        <w:t>u</w:t>
      </w:r>
      <w:r w:rsidRPr="0068648A">
        <w:t>ments d'élaboration de la politique fédérale », Bureau du Conseil privé, se</w:t>
      </w:r>
      <w:r w:rsidRPr="0068648A">
        <w:t>p</w:t>
      </w:r>
      <w:r w:rsidRPr="0068648A">
        <w:t>tembre 1975, p. 6. Voir aussi AUCOIN, P., pour une synthèse des probl</w:t>
      </w:r>
      <w:r w:rsidRPr="0068648A">
        <w:t>è</w:t>
      </w:r>
      <w:r w:rsidRPr="0068648A">
        <w:t>mes que tentaient de solutionner ces réfo</w:t>
      </w:r>
      <w:r w:rsidRPr="0068648A">
        <w:t>r</w:t>
      </w:r>
      <w:r w:rsidRPr="0068648A">
        <w:t>mes, « Organizational Change in the Machinery of Canadian Government : from Rational Man</w:t>
      </w:r>
      <w:r w:rsidRPr="0068648A">
        <w:t>a</w:t>
      </w:r>
      <w:r w:rsidRPr="0068648A">
        <w:t xml:space="preserve">gement to Brokerage Politics », dans </w:t>
      </w:r>
      <w:r w:rsidRPr="0068648A">
        <w:rPr>
          <w:i/>
        </w:rPr>
        <w:t>Revue canadienne de science polit</w:t>
      </w:r>
      <w:r w:rsidRPr="0068648A">
        <w:rPr>
          <w:i/>
        </w:rPr>
        <w:t>i</w:t>
      </w:r>
      <w:r w:rsidRPr="0068648A">
        <w:rPr>
          <w:i/>
        </w:rPr>
        <w:t>que</w:t>
      </w:r>
      <w:r w:rsidRPr="0068648A">
        <w:t>, XIX : 1, mars 1986, p. 8.</w:t>
      </w:r>
    </w:p>
  </w:footnote>
  <w:footnote w:id="245">
    <w:p w:rsidR="00AD690E" w:rsidRDefault="00AD690E" w:rsidP="00AD690E">
      <w:pPr>
        <w:pStyle w:val="Notedebasdepage"/>
      </w:pPr>
      <w:r>
        <w:rPr>
          <w:rStyle w:val="Appelnotedebasdep"/>
        </w:rPr>
        <w:footnoteRef/>
      </w:r>
      <w:r>
        <w:t xml:space="preserve"> </w:t>
      </w:r>
      <w:r>
        <w:tab/>
      </w:r>
      <w:r w:rsidRPr="00BF431B">
        <w:t>Pour une analyse de l'importance rationnelle pour TR</w:t>
      </w:r>
      <w:r w:rsidRPr="00BF431B">
        <w:t>U</w:t>
      </w:r>
      <w:r w:rsidRPr="00BF431B">
        <w:t>DEAU, P.E., voir AUCOIN, P..« Organizational Change in the Machinery of Canadian G</w:t>
      </w:r>
      <w:r w:rsidRPr="00BF431B">
        <w:t>o</w:t>
      </w:r>
      <w:r w:rsidRPr="00BF431B">
        <w:t>ver</w:t>
      </w:r>
      <w:r w:rsidRPr="00BF431B">
        <w:t>n</w:t>
      </w:r>
      <w:r w:rsidRPr="00BF431B">
        <w:t xml:space="preserve">ment... », </w:t>
      </w:r>
      <w:r w:rsidRPr="00BF431B">
        <w:rPr>
          <w:i/>
        </w:rPr>
        <w:t>op. cit</w:t>
      </w:r>
      <w:r w:rsidRPr="00BF431B">
        <w:t>.</w:t>
      </w:r>
    </w:p>
  </w:footnote>
  <w:footnote w:id="246">
    <w:p w:rsidR="00AD690E" w:rsidRDefault="00AD690E" w:rsidP="00AD690E">
      <w:pPr>
        <w:pStyle w:val="Notedebasdepage"/>
      </w:pPr>
      <w:r>
        <w:rPr>
          <w:rStyle w:val="Appelnotedebasdep"/>
        </w:rPr>
        <w:footnoteRef/>
      </w:r>
      <w:r>
        <w:t xml:space="preserve"> </w:t>
      </w:r>
      <w:r>
        <w:tab/>
      </w:r>
      <w:r w:rsidRPr="00BF431B">
        <w:t>Une autre fonction importante du BCP est de conseiller le premier mini</w:t>
      </w:r>
      <w:r w:rsidRPr="00BF431B">
        <w:t>s</w:t>
      </w:r>
      <w:r w:rsidRPr="00BF431B">
        <w:t>tre dans l'exercice de ses prérogatives. Sur le BCP voir FRENCH, R.D., « The Privy Council Office : Support for Cabinet D</w:t>
      </w:r>
      <w:r w:rsidRPr="00BF431B">
        <w:t>e</w:t>
      </w:r>
      <w:r w:rsidRPr="00BF431B">
        <w:t xml:space="preserve">cision Making », in SCHULTZ, R., KRUHLAK, O, et TERRY, L, (éd.), </w:t>
      </w:r>
      <w:r w:rsidRPr="00BF431B">
        <w:rPr>
          <w:i/>
        </w:rPr>
        <w:t>The Canadian Polit</w:t>
      </w:r>
      <w:r w:rsidRPr="00BF431B">
        <w:rPr>
          <w:i/>
        </w:rPr>
        <w:t>i</w:t>
      </w:r>
      <w:r w:rsidRPr="00BF431B">
        <w:rPr>
          <w:i/>
        </w:rPr>
        <w:t>cal Process</w:t>
      </w:r>
      <w:r w:rsidRPr="00BF431B">
        <w:t>, Toronto, Holt, Rinehart and Winston, 1979.</w:t>
      </w:r>
    </w:p>
  </w:footnote>
  <w:footnote w:id="247">
    <w:p w:rsidR="00AD690E" w:rsidRDefault="00AD690E" w:rsidP="00AD690E">
      <w:pPr>
        <w:pStyle w:val="Notedebasdepage"/>
      </w:pPr>
      <w:r>
        <w:rPr>
          <w:rStyle w:val="Appelnotedebasdep"/>
        </w:rPr>
        <w:footnoteRef/>
      </w:r>
      <w:r>
        <w:t xml:space="preserve"> </w:t>
      </w:r>
      <w:r>
        <w:tab/>
      </w:r>
      <w:r w:rsidRPr="00BF431B">
        <w:t>Bureau du Conseil privé, « Le fonctionnement du Bureau du Conseil pr</w:t>
      </w:r>
      <w:r w:rsidRPr="00BF431B">
        <w:t>i</w:t>
      </w:r>
      <w:r w:rsidRPr="00BF431B">
        <w:t>vé », mémoires présentés à la Commission royale sur la gestion financi</w:t>
      </w:r>
      <w:r w:rsidRPr="00BF431B">
        <w:t>è</w:t>
      </w:r>
      <w:r w:rsidRPr="00BF431B">
        <w:t>re et l'imputabilité, (Commission Lambert), Ott</w:t>
      </w:r>
      <w:r w:rsidRPr="00BF431B">
        <w:t>a</w:t>
      </w:r>
      <w:r w:rsidRPr="00BF431B">
        <w:t>wa, 1979, pp. 4-22.</w:t>
      </w:r>
    </w:p>
  </w:footnote>
  <w:footnote w:id="248">
    <w:p w:rsidR="00AD690E" w:rsidRDefault="00AD690E" w:rsidP="00AD690E">
      <w:pPr>
        <w:pStyle w:val="Notedebasdepage"/>
      </w:pPr>
      <w:r>
        <w:rPr>
          <w:rStyle w:val="Appelnotedebasdep"/>
        </w:rPr>
        <w:footnoteRef/>
      </w:r>
      <w:r>
        <w:t xml:space="preserve"> </w:t>
      </w:r>
      <w:r>
        <w:tab/>
      </w:r>
      <w:r w:rsidRPr="00395119">
        <w:t xml:space="preserve">FRENCH, R.D., </w:t>
      </w:r>
      <w:r w:rsidRPr="00395119">
        <w:rPr>
          <w:i/>
        </w:rPr>
        <w:t>How Ottawa Decides, op. cit</w:t>
      </w:r>
      <w:r w:rsidRPr="00395119">
        <w:t>., p. 177. Chap</w:t>
      </w:r>
      <w:r w:rsidRPr="00395119">
        <w:t>i</w:t>
      </w:r>
      <w:r w:rsidRPr="00395119">
        <w:t>tre écrit par R.D. Van Loon.</w:t>
      </w:r>
    </w:p>
  </w:footnote>
  <w:footnote w:id="249">
    <w:p w:rsidR="00AD690E" w:rsidRDefault="00AD690E" w:rsidP="00AD690E">
      <w:pPr>
        <w:pStyle w:val="Notedebasdepage"/>
      </w:pPr>
      <w:r>
        <w:rPr>
          <w:rStyle w:val="Appelnotedebasdep"/>
        </w:rPr>
        <w:footnoteRef/>
      </w:r>
      <w:r>
        <w:t xml:space="preserve"> </w:t>
      </w:r>
      <w:r>
        <w:tab/>
      </w:r>
      <w:r w:rsidRPr="00395119">
        <w:t>Donald Johnston affirme : « The PCO headed by Michael Pitfield, spe</w:t>
      </w:r>
      <w:r w:rsidRPr="00395119">
        <w:t>a</w:t>
      </w:r>
      <w:r w:rsidRPr="00395119">
        <w:t>king in the name of, and presumably with the authority of the Prime M</w:t>
      </w:r>
      <w:r w:rsidRPr="00395119">
        <w:t>i</w:t>
      </w:r>
      <w:r w:rsidRPr="00395119">
        <w:t>nister, did not hesitate to interfere with ministerial authority, even to the point of ki</w:t>
      </w:r>
      <w:r w:rsidRPr="00395119">
        <w:t>l</w:t>
      </w:r>
      <w:r w:rsidRPr="00395119">
        <w:t xml:space="preserve">ling ministerial initiatives ». JOHNSTON, D., </w:t>
      </w:r>
      <w:r w:rsidRPr="00395119">
        <w:rPr>
          <w:i/>
        </w:rPr>
        <w:t>Up the Hill</w:t>
      </w:r>
      <w:r w:rsidRPr="00395119">
        <w:t>, Montréal, Opt</w:t>
      </w:r>
      <w:r w:rsidRPr="00395119">
        <w:t>i</w:t>
      </w:r>
      <w:r w:rsidRPr="00395119">
        <w:t>mum, 1986, p. 69.</w:t>
      </w:r>
    </w:p>
  </w:footnote>
  <w:footnote w:id="250">
    <w:p w:rsidR="00AD690E" w:rsidRDefault="00AD690E" w:rsidP="00AD690E">
      <w:pPr>
        <w:pStyle w:val="Notedebasdepage"/>
      </w:pPr>
      <w:r>
        <w:rPr>
          <w:rStyle w:val="Appelnotedebasdep"/>
        </w:rPr>
        <w:footnoteRef/>
      </w:r>
      <w:r>
        <w:t xml:space="preserve"> </w:t>
      </w:r>
      <w:r>
        <w:tab/>
      </w:r>
      <w:r w:rsidRPr="00395119">
        <w:t>Voir CLARK, J., « Nouveau regard sur le Bureau du Conseil privé », B</w:t>
      </w:r>
      <w:r w:rsidRPr="00395119">
        <w:t>u</w:t>
      </w:r>
      <w:r w:rsidRPr="00395119">
        <w:t>reau du Conseil privé, Ottawa, 1983.</w:t>
      </w:r>
    </w:p>
  </w:footnote>
  <w:footnote w:id="251">
    <w:p w:rsidR="00AD690E" w:rsidRDefault="00AD690E" w:rsidP="00AD690E">
      <w:pPr>
        <w:pStyle w:val="Notedebasdepage"/>
      </w:pPr>
      <w:r>
        <w:rPr>
          <w:rStyle w:val="Appelnotedebasdep"/>
        </w:rPr>
        <w:footnoteRef/>
      </w:r>
      <w:r>
        <w:t xml:space="preserve"> </w:t>
      </w:r>
      <w:r>
        <w:tab/>
      </w:r>
      <w:r w:rsidRPr="00395119">
        <w:t>FRENCH, R.D., « The Privy Council Office : Support for Cabinet Dec</w:t>
      </w:r>
      <w:r w:rsidRPr="00395119">
        <w:t>i</w:t>
      </w:r>
      <w:r w:rsidRPr="00395119">
        <w:t xml:space="preserve">sion Making », </w:t>
      </w:r>
      <w:r w:rsidRPr="00395119">
        <w:rPr>
          <w:i/>
        </w:rPr>
        <w:t>op. cit</w:t>
      </w:r>
      <w:r w:rsidRPr="00395119">
        <w:t>., p. 380.</w:t>
      </w:r>
    </w:p>
  </w:footnote>
  <w:footnote w:id="252">
    <w:p w:rsidR="00AD690E" w:rsidRDefault="00AD690E" w:rsidP="00AD690E">
      <w:pPr>
        <w:pStyle w:val="Notedebasdepage"/>
      </w:pPr>
      <w:r>
        <w:rPr>
          <w:rStyle w:val="Appelnotedebasdep"/>
        </w:rPr>
        <w:footnoteRef/>
      </w:r>
      <w:r>
        <w:t xml:space="preserve"> </w:t>
      </w:r>
      <w:r>
        <w:tab/>
      </w:r>
      <w:r w:rsidRPr="00395119">
        <w:t xml:space="preserve">Sur le rôle du Bureau du premier ministre, voir LALONDE, M., « The Changin Role of the Prime Minister's Office », dans </w:t>
      </w:r>
      <w:r w:rsidRPr="00395119">
        <w:rPr>
          <w:i/>
        </w:rPr>
        <w:t>Administration publ</w:t>
      </w:r>
      <w:r w:rsidRPr="00395119">
        <w:rPr>
          <w:i/>
        </w:rPr>
        <w:t>i</w:t>
      </w:r>
      <w:r w:rsidRPr="00395119">
        <w:rPr>
          <w:i/>
        </w:rPr>
        <w:t>que du Canada</w:t>
      </w:r>
      <w:r w:rsidRPr="00395119">
        <w:t>, vol. 14, n° 4, 1971 ; et D'AQUINO, T., « The Prime Mini</w:t>
      </w:r>
      <w:r w:rsidRPr="00395119">
        <w:t>s</w:t>
      </w:r>
      <w:r w:rsidRPr="00395119">
        <w:t>ter's Office : Catalyst of Cabal ? Aspects of the development of the O</w:t>
      </w:r>
      <w:r w:rsidRPr="00395119">
        <w:t>f</w:t>
      </w:r>
      <w:r w:rsidRPr="00395119">
        <w:t xml:space="preserve">fice in Canada and some thoughts about its future », dans </w:t>
      </w:r>
      <w:r w:rsidRPr="00395119">
        <w:rPr>
          <w:i/>
        </w:rPr>
        <w:t>Administr</w:t>
      </w:r>
      <w:r w:rsidRPr="00395119">
        <w:rPr>
          <w:i/>
        </w:rPr>
        <w:t>a</w:t>
      </w:r>
      <w:r w:rsidRPr="00395119">
        <w:rPr>
          <w:i/>
        </w:rPr>
        <w:t>tion publique du Canada</w:t>
      </w:r>
      <w:r w:rsidRPr="00395119">
        <w:t>, vol. 17, 1974.</w:t>
      </w:r>
    </w:p>
  </w:footnote>
  <w:footnote w:id="253">
    <w:p w:rsidR="00AD690E" w:rsidRDefault="00AD690E" w:rsidP="00AD690E">
      <w:pPr>
        <w:pStyle w:val="Notedebasdepage"/>
      </w:pPr>
      <w:r>
        <w:rPr>
          <w:rStyle w:val="Appelnotedebasdep"/>
        </w:rPr>
        <w:footnoteRef/>
      </w:r>
      <w:r>
        <w:t xml:space="preserve"> </w:t>
      </w:r>
      <w:r>
        <w:tab/>
      </w:r>
      <w:r w:rsidRPr="006D6B60">
        <w:t>Le Conseil du trésor est le seul comité du Cabinet à avoir été con</w:t>
      </w:r>
      <w:r w:rsidRPr="006D6B60">
        <w:t>s</w:t>
      </w:r>
      <w:r w:rsidRPr="006D6B60">
        <w:t>titué en vertu d'une loi (la Loi sur l'administration financière) et à avoir son propre secr</w:t>
      </w:r>
      <w:r w:rsidRPr="006D6B60">
        <w:t>é</w:t>
      </w:r>
      <w:r w:rsidRPr="006D6B60">
        <w:t>tariat indépendamment du BCP. Le Conseil du trésor, créé en 1869, est devenu une agence centrale en 1967. En 1962, le rapport de la Co</w:t>
      </w:r>
      <w:r w:rsidRPr="006D6B60">
        <w:t>m</w:t>
      </w:r>
      <w:r w:rsidRPr="006D6B60">
        <w:t>mission Glassco (sur l'organisation du gouvernement) proposa de détacher le Conseil du trésor du ministère des Finances, afin de renforcer les no</w:t>
      </w:r>
      <w:r w:rsidRPr="006D6B60">
        <w:t>r</w:t>
      </w:r>
      <w:r w:rsidRPr="006D6B60">
        <w:t>mes de gestion au sein de l'admini</w:t>
      </w:r>
      <w:r w:rsidRPr="006D6B60">
        <w:t>s</w:t>
      </w:r>
      <w:r w:rsidRPr="006D6B60">
        <w:t>tration publique fédérale.</w:t>
      </w:r>
    </w:p>
  </w:footnote>
  <w:footnote w:id="254">
    <w:p w:rsidR="00AD690E" w:rsidRDefault="00AD690E" w:rsidP="00AD690E">
      <w:pPr>
        <w:pStyle w:val="Notedebasdepage"/>
      </w:pPr>
      <w:r>
        <w:rPr>
          <w:rStyle w:val="Appelnotedebasdep"/>
        </w:rPr>
        <w:footnoteRef/>
      </w:r>
      <w:r>
        <w:tab/>
        <w:t xml:space="preserve"> </w:t>
      </w:r>
      <w:r w:rsidRPr="00987651">
        <w:t>FRENCH, R. D., « The Privy Council Office : Support for Cabinet Dec</w:t>
      </w:r>
      <w:r w:rsidRPr="00987651">
        <w:t>i</w:t>
      </w:r>
      <w:r w:rsidRPr="00987651">
        <w:t xml:space="preserve">sion Making », </w:t>
      </w:r>
      <w:r w:rsidRPr="00987651">
        <w:rPr>
          <w:i/>
        </w:rPr>
        <w:t>op. cit.,</w:t>
      </w:r>
      <w:r w:rsidRPr="00987651">
        <w:t xml:space="preserve"> p. 380</w:t>
      </w:r>
      <w:r>
        <w:t>.</w:t>
      </w:r>
    </w:p>
  </w:footnote>
  <w:footnote w:id="255">
    <w:p w:rsidR="00AD690E" w:rsidRDefault="00AD690E" w:rsidP="00AD690E">
      <w:pPr>
        <w:pStyle w:val="Notedebasdepage"/>
      </w:pPr>
      <w:r>
        <w:rPr>
          <w:rStyle w:val="Appelnotedebasdep"/>
        </w:rPr>
        <w:footnoteRef/>
      </w:r>
      <w:r>
        <w:t xml:space="preserve"> </w:t>
      </w:r>
      <w:r>
        <w:tab/>
      </w:r>
      <w:r w:rsidRPr="00987651">
        <w:t>Bureau du Conseil privé, « Le fonctionnement du Bureau du Conseil pr</w:t>
      </w:r>
      <w:r w:rsidRPr="00987651">
        <w:t>i</w:t>
      </w:r>
      <w:r w:rsidRPr="00987651">
        <w:t xml:space="preserve">vé », </w:t>
      </w:r>
      <w:r w:rsidRPr="00987651">
        <w:rPr>
          <w:i/>
        </w:rPr>
        <w:t>op. cit</w:t>
      </w:r>
      <w:r w:rsidRPr="00987651">
        <w:t>., p. 4-20.</w:t>
      </w:r>
    </w:p>
  </w:footnote>
  <w:footnote w:id="256">
    <w:p w:rsidR="00AD690E" w:rsidRDefault="00AD690E" w:rsidP="00AD690E">
      <w:pPr>
        <w:pStyle w:val="Notedebasdepage"/>
      </w:pPr>
      <w:r>
        <w:rPr>
          <w:rStyle w:val="Appelnotedebasdep"/>
        </w:rPr>
        <w:footnoteRef/>
      </w:r>
      <w:r>
        <w:t xml:space="preserve"> </w:t>
      </w:r>
      <w:r>
        <w:tab/>
      </w:r>
      <w:r w:rsidRPr="00987651">
        <w:t>Bureau du Conseil privé, Le système de gestion des politiques et des dépe</w:t>
      </w:r>
      <w:r w:rsidRPr="00987651">
        <w:t>n</w:t>
      </w:r>
      <w:r w:rsidRPr="00987651">
        <w:t>ses, Ottawa, 1981, p. 5.</w:t>
      </w:r>
    </w:p>
  </w:footnote>
  <w:footnote w:id="257">
    <w:p w:rsidR="00AD690E" w:rsidRDefault="00AD690E" w:rsidP="00AD690E">
      <w:pPr>
        <w:pStyle w:val="Notedebasdepage"/>
      </w:pPr>
      <w:r>
        <w:rPr>
          <w:rStyle w:val="Appelnotedebasdep"/>
        </w:rPr>
        <w:footnoteRef/>
      </w:r>
      <w:r>
        <w:t xml:space="preserve"> </w:t>
      </w:r>
      <w:r>
        <w:tab/>
      </w:r>
      <w:r w:rsidRPr="00987651">
        <w:t>CAMPBELL, C, Governments under Stress, op. cit., p. 194.</w:t>
      </w:r>
    </w:p>
  </w:footnote>
  <w:footnote w:id="258">
    <w:p w:rsidR="00AD690E" w:rsidRDefault="00AD690E" w:rsidP="00AD690E">
      <w:pPr>
        <w:pStyle w:val="Notedebasdepage"/>
      </w:pPr>
      <w:r>
        <w:rPr>
          <w:rStyle w:val="Appelnotedebasdep"/>
        </w:rPr>
        <w:footnoteRef/>
      </w:r>
      <w:r>
        <w:t xml:space="preserve"> </w:t>
      </w:r>
      <w:r>
        <w:tab/>
      </w:r>
      <w:r w:rsidRPr="00C4070C">
        <w:t>VAN LOON, R., « Kaleidoscope in Grey : The Policy Process in Ott</w:t>
      </w:r>
      <w:r w:rsidRPr="00C4070C">
        <w:t>a</w:t>
      </w:r>
      <w:r w:rsidRPr="00C4070C">
        <w:t>wa », in W Whittington et WILLIAMS (dir.), G</w:t>
      </w:r>
      <w:r w:rsidRPr="00C4070C">
        <w:rPr>
          <w:i/>
        </w:rPr>
        <w:t>., C</w:t>
      </w:r>
      <w:r w:rsidRPr="00C4070C">
        <w:rPr>
          <w:i/>
        </w:rPr>
        <w:t>a</w:t>
      </w:r>
      <w:r w:rsidRPr="00C4070C">
        <w:rPr>
          <w:i/>
        </w:rPr>
        <w:t>nadian Politics in the 1980's</w:t>
      </w:r>
      <w:r w:rsidRPr="00C4070C">
        <w:t>, Agincourt, Methuen, 1984, p. 423. Le BCP évalue plus positivement l'exp</w:t>
      </w:r>
      <w:r w:rsidRPr="00C4070C">
        <w:t>é</w:t>
      </w:r>
      <w:r w:rsidRPr="00C4070C">
        <w:t>rience du Conseil ministériel sur le développement économique : « La cré</w:t>
      </w:r>
      <w:r w:rsidRPr="00C4070C">
        <w:t>a</w:t>
      </w:r>
      <w:r w:rsidRPr="00C4070C">
        <w:t>tion du Conseil... représentait déjà une tentative appréciable, en vue de do</w:t>
      </w:r>
      <w:r w:rsidRPr="00C4070C">
        <w:t>n</w:t>
      </w:r>
      <w:r w:rsidRPr="00C4070C">
        <w:t>ner une orientation globale à un secteur de décision pa</w:t>
      </w:r>
      <w:r w:rsidRPr="00C4070C">
        <w:t>r</w:t>
      </w:r>
      <w:r w:rsidRPr="00C4070C">
        <w:t>ticulier, de réévaluer les programmes en cours, de réduire ou d'éliminer les programmes à fa</w:t>
      </w:r>
      <w:r w:rsidRPr="00C4070C">
        <w:t>i</w:t>
      </w:r>
      <w:r w:rsidRPr="00C4070C">
        <w:t>ble priorité pour financer de nouvelles initiatives et d'établir un lien entre les p</w:t>
      </w:r>
      <w:r w:rsidRPr="00C4070C">
        <w:t>o</w:t>
      </w:r>
      <w:r w:rsidRPr="00C4070C">
        <w:t>litiques et les dépenses ». B</w:t>
      </w:r>
      <w:r w:rsidRPr="00C4070C">
        <w:t>u</w:t>
      </w:r>
      <w:r w:rsidRPr="00C4070C">
        <w:t xml:space="preserve">reau du Conseil privé, </w:t>
      </w:r>
      <w:r w:rsidRPr="00C4070C">
        <w:rPr>
          <w:i/>
        </w:rPr>
        <w:t>Le système de gestion des politiques et des dépe</w:t>
      </w:r>
      <w:r w:rsidRPr="00C4070C">
        <w:rPr>
          <w:i/>
        </w:rPr>
        <w:t>n</w:t>
      </w:r>
      <w:r w:rsidRPr="00C4070C">
        <w:rPr>
          <w:i/>
        </w:rPr>
        <w:t>ses</w:t>
      </w:r>
      <w:r w:rsidRPr="00C4070C">
        <w:t xml:space="preserve">, </w:t>
      </w:r>
      <w:r w:rsidRPr="00C4070C">
        <w:rPr>
          <w:i/>
        </w:rPr>
        <w:t>op. cit</w:t>
      </w:r>
      <w:r w:rsidRPr="00C4070C">
        <w:t>., p. 6.</w:t>
      </w:r>
    </w:p>
  </w:footnote>
  <w:footnote w:id="259">
    <w:p w:rsidR="00AD690E" w:rsidRDefault="00AD690E" w:rsidP="00AD690E">
      <w:pPr>
        <w:pStyle w:val="Notedebasdepage"/>
      </w:pPr>
      <w:r>
        <w:rPr>
          <w:rStyle w:val="Appelnotedebasdep"/>
        </w:rPr>
        <w:footnoteRef/>
      </w:r>
      <w:r>
        <w:t xml:space="preserve"> </w:t>
      </w:r>
      <w:r>
        <w:tab/>
      </w:r>
      <w:r w:rsidRPr="00C4070C">
        <w:t>Commission royale d'enquête sur la gestion financière et l'imput</w:t>
      </w:r>
      <w:r w:rsidRPr="00C4070C">
        <w:t>a</w:t>
      </w:r>
      <w:r w:rsidRPr="00C4070C">
        <w:t xml:space="preserve">bilité, </w:t>
      </w:r>
      <w:r w:rsidRPr="00C4070C">
        <w:rPr>
          <w:i/>
        </w:rPr>
        <w:t>Rapport final</w:t>
      </w:r>
      <w:r w:rsidRPr="00C4070C">
        <w:t>, Ottawa, 1979, p. 79.</w:t>
      </w:r>
    </w:p>
  </w:footnote>
  <w:footnote w:id="260">
    <w:p w:rsidR="00AD690E" w:rsidRDefault="00AD690E" w:rsidP="00AD690E">
      <w:pPr>
        <w:pStyle w:val="Notedebasdepage"/>
      </w:pPr>
      <w:r>
        <w:rPr>
          <w:rStyle w:val="Appelnotedebasdep"/>
        </w:rPr>
        <w:footnoteRef/>
      </w:r>
      <w:r>
        <w:t xml:space="preserve"> </w:t>
      </w:r>
      <w:r>
        <w:tab/>
      </w:r>
      <w:r w:rsidRPr="001137F0">
        <w:t xml:space="preserve">Bureau du Conseil privé, </w:t>
      </w:r>
      <w:r w:rsidRPr="001137F0">
        <w:rPr>
          <w:i/>
        </w:rPr>
        <w:t>Le système de gestion des politiques et des dépe</w:t>
      </w:r>
      <w:r w:rsidRPr="001137F0">
        <w:rPr>
          <w:i/>
        </w:rPr>
        <w:t>n</w:t>
      </w:r>
      <w:r w:rsidRPr="001137F0">
        <w:rPr>
          <w:i/>
        </w:rPr>
        <w:t>ses, op. cit</w:t>
      </w:r>
      <w:r w:rsidRPr="001137F0">
        <w:t>., p. 7. Pour une présentation du processus budgétaire et du SGD, voir THOMAS, P.G., « Public administration and expenditure manag</w:t>
      </w:r>
      <w:r w:rsidRPr="001137F0">
        <w:t>e</w:t>
      </w:r>
      <w:r w:rsidRPr="001137F0">
        <w:t xml:space="preserve">ment », dans </w:t>
      </w:r>
      <w:r w:rsidRPr="001137F0">
        <w:rPr>
          <w:i/>
        </w:rPr>
        <w:t>Adm</w:t>
      </w:r>
      <w:r w:rsidRPr="001137F0">
        <w:rPr>
          <w:i/>
        </w:rPr>
        <w:t>i</w:t>
      </w:r>
      <w:r w:rsidRPr="001137F0">
        <w:rPr>
          <w:i/>
        </w:rPr>
        <w:t>nistration publique du Canada</w:t>
      </w:r>
      <w:r w:rsidRPr="001137F0">
        <w:t>, vol. 25, n° 4, hiver 1982 ; et VAN LOON, R., « The Policy and Expenditure Management Sy</w:t>
      </w:r>
      <w:r w:rsidRPr="001137F0">
        <w:t>s</w:t>
      </w:r>
      <w:r w:rsidRPr="001137F0">
        <w:t xml:space="preserve">tem in the Federal Government : the First Three Years », dans </w:t>
      </w:r>
      <w:r w:rsidRPr="001137F0">
        <w:rPr>
          <w:i/>
        </w:rPr>
        <w:t>Administration p</w:t>
      </w:r>
      <w:r w:rsidRPr="001137F0">
        <w:rPr>
          <w:i/>
        </w:rPr>
        <w:t>u</w:t>
      </w:r>
      <w:r w:rsidRPr="001137F0">
        <w:rPr>
          <w:i/>
        </w:rPr>
        <w:t>blique du Canada</w:t>
      </w:r>
      <w:r w:rsidRPr="001137F0">
        <w:t>, vol. 26, n° 2, été 1983.</w:t>
      </w:r>
    </w:p>
  </w:footnote>
  <w:footnote w:id="261">
    <w:p w:rsidR="00AD690E" w:rsidRDefault="00AD690E" w:rsidP="00AD690E">
      <w:pPr>
        <w:pStyle w:val="Notedebasdepage"/>
      </w:pPr>
      <w:r>
        <w:rPr>
          <w:rStyle w:val="Appelnotedebasdep"/>
        </w:rPr>
        <w:footnoteRef/>
      </w:r>
      <w:r>
        <w:t xml:space="preserve"> </w:t>
      </w:r>
      <w:r>
        <w:tab/>
      </w:r>
      <w:r w:rsidRPr="001137F0">
        <w:t>Gouvernement du Canada, Manuel du système de gestion des se</w:t>
      </w:r>
      <w:r w:rsidRPr="001137F0">
        <w:t>c</w:t>
      </w:r>
      <w:r w:rsidRPr="001137F0">
        <w:t>teurs de dépenses, pp. 2-7.</w:t>
      </w:r>
    </w:p>
  </w:footnote>
  <w:footnote w:id="262">
    <w:p w:rsidR="00AD690E" w:rsidRDefault="00AD690E" w:rsidP="00AD690E">
      <w:pPr>
        <w:pStyle w:val="Notedebasdepage"/>
      </w:pPr>
      <w:r>
        <w:rPr>
          <w:rStyle w:val="Appelnotedebasdep"/>
        </w:rPr>
        <w:footnoteRef/>
      </w:r>
      <w:r>
        <w:t xml:space="preserve"> </w:t>
      </w:r>
      <w:r>
        <w:tab/>
      </w:r>
      <w:r w:rsidRPr="001137F0">
        <w:t>Van Loon, critique le rôle encore trop important joué par le Conseil du tr</w:t>
      </w:r>
      <w:r w:rsidRPr="001137F0">
        <w:t>é</w:t>
      </w:r>
      <w:r w:rsidRPr="001137F0">
        <w:t>sor. VAN LOON, R., « The Policy and Expenditure Management Sy</w:t>
      </w:r>
      <w:r w:rsidRPr="001137F0">
        <w:t>s</w:t>
      </w:r>
      <w:r w:rsidRPr="001137F0">
        <w:t>tem in the Fed</w:t>
      </w:r>
      <w:r w:rsidRPr="001137F0">
        <w:t>e</w:t>
      </w:r>
      <w:r w:rsidRPr="001137F0">
        <w:t xml:space="preserve">ral Government », </w:t>
      </w:r>
      <w:r w:rsidRPr="001137F0">
        <w:rPr>
          <w:i/>
        </w:rPr>
        <w:t>op. cit</w:t>
      </w:r>
      <w:r w:rsidRPr="001137F0">
        <w:t>.</w:t>
      </w:r>
    </w:p>
  </w:footnote>
  <w:footnote w:id="263">
    <w:p w:rsidR="00AD690E" w:rsidRDefault="00AD690E" w:rsidP="00AD690E">
      <w:pPr>
        <w:pStyle w:val="Notedebasdepage"/>
      </w:pPr>
      <w:r>
        <w:rPr>
          <w:rStyle w:val="Appelnotedebasdep"/>
        </w:rPr>
        <w:footnoteRef/>
      </w:r>
      <w:r>
        <w:t xml:space="preserve"> </w:t>
      </w:r>
      <w:r>
        <w:tab/>
      </w:r>
      <w:r w:rsidRPr="0044524F">
        <w:t>VAN LOON, R., « Kaleidoscope in Grey : the Policy Process in Ott</w:t>
      </w:r>
      <w:r w:rsidRPr="0044524F">
        <w:t>a</w:t>
      </w:r>
      <w:r w:rsidRPr="0044524F">
        <w:t xml:space="preserve">wa », </w:t>
      </w:r>
      <w:r w:rsidRPr="0044524F">
        <w:rPr>
          <w:i/>
        </w:rPr>
        <w:t>op. cit</w:t>
      </w:r>
      <w:r w:rsidRPr="0044524F">
        <w:t>., pp. 431-432.</w:t>
      </w:r>
    </w:p>
  </w:footnote>
  <w:footnote w:id="264">
    <w:p w:rsidR="00AD690E" w:rsidRDefault="00AD690E" w:rsidP="00AD690E">
      <w:pPr>
        <w:spacing w:before="120" w:after="120"/>
        <w:ind w:left="567" w:hanging="567"/>
        <w:jc w:val="both"/>
        <w:rPr>
          <w:sz w:val="24"/>
          <w:szCs w:val="18"/>
        </w:rPr>
      </w:pPr>
      <w:r>
        <w:rPr>
          <w:rStyle w:val="Appelnotedebasdep"/>
        </w:rPr>
        <w:footnoteRef/>
      </w:r>
      <w:r>
        <w:t xml:space="preserve"> </w:t>
      </w:r>
      <w:r>
        <w:tab/>
      </w:r>
      <w:r w:rsidRPr="004729A9">
        <w:rPr>
          <w:sz w:val="24"/>
          <w:szCs w:val="18"/>
        </w:rPr>
        <w:t>Le BCP désirait créer un troisième ministère d'État pour seconder le C</w:t>
      </w:r>
      <w:r w:rsidRPr="004729A9">
        <w:rPr>
          <w:sz w:val="24"/>
          <w:szCs w:val="18"/>
        </w:rPr>
        <w:t>o</w:t>
      </w:r>
      <w:r w:rsidRPr="004729A9">
        <w:rPr>
          <w:sz w:val="24"/>
          <w:szCs w:val="18"/>
        </w:rPr>
        <w:t>mité du Cabinet sur la politique étrangère et la défense et pour gérer l'env</w:t>
      </w:r>
      <w:r w:rsidRPr="004729A9">
        <w:rPr>
          <w:sz w:val="24"/>
          <w:szCs w:val="18"/>
        </w:rPr>
        <w:t>e</w:t>
      </w:r>
      <w:r w:rsidRPr="004729A9">
        <w:rPr>
          <w:sz w:val="24"/>
          <w:szCs w:val="18"/>
        </w:rPr>
        <w:t>loppe budgétaire qui y était rattachée. Le ministère des Affaires extérieures a réu</w:t>
      </w:r>
      <w:r w:rsidRPr="004729A9">
        <w:rPr>
          <w:sz w:val="24"/>
          <w:szCs w:val="18"/>
        </w:rPr>
        <w:t>s</w:t>
      </w:r>
      <w:r w:rsidRPr="004729A9">
        <w:rPr>
          <w:sz w:val="24"/>
          <w:szCs w:val="18"/>
        </w:rPr>
        <w:t>si à bloquer cette initiative et à la place fut créée au sein même de ce Mini</w:t>
      </w:r>
      <w:r w:rsidRPr="004729A9">
        <w:rPr>
          <w:sz w:val="24"/>
          <w:szCs w:val="18"/>
        </w:rPr>
        <w:t>s</w:t>
      </w:r>
      <w:r w:rsidRPr="004729A9">
        <w:rPr>
          <w:sz w:val="24"/>
          <w:szCs w:val="18"/>
        </w:rPr>
        <w:t>tère une direction remplissant les fonctions de ministère d'État. CAM</w:t>
      </w:r>
      <w:r w:rsidRPr="004729A9">
        <w:rPr>
          <w:sz w:val="24"/>
          <w:szCs w:val="18"/>
        </w:rPr>
        <w:t>P</w:t>
      </w:r>
      <w:r w:rsidRPr="004729A9">
        <w:rPr>
          <w:sz w:val="24"/>
          <w:szCs w:val="18"/>
        </w:rPr>
        <w:t xml:space="preserve">BELL, C, </w:t>
      </w:r>
      <w:r w:rsidRPr="004729A9">
        <w:rPr>
          <w:i/>
          <w:sz w:val="24"/>
          <w:szCs w:val="18"/>
        </w:rPr>
        <w:t>Governments under Stress, op. cit</w:t>
      </w:r>
      <w:r w:rsidRPr="004729A9">
        <w:rPr>
          <w:sz w:val="24"/>
          <w:szCs w:val="18"/>
        </w:rPr>
        <w:t>., p. 196</w:t>
      </w:r>
      <w:r>
        <w:rPr>
          <w:sz w:val="24"/>
          <w:szCs w:val="18"/>
        </w:rPr>
        <w:t>.</w:t>
      </w:r>
    </w:p>
    <w:p w:rsidR="00AD690E" w:rsidRPr="004729A9" w:rsidRDefault="00AD690E" w:rsidP="00AD690E">
      <w:pPr>
        <w:spacing w:before="120" w:after="120"/>
        <w:ind w:left="567" w:firstLine="0"/>
        <w:jc w:val="both"/>
        <w:rPr>
          <w:sz w:val="24"/>
        </w:rPr>
      </w:pPr>
      <w:r w:rsidRPr="004729A9">
        <w:rPr>
          <w:sz w:val="24"/>
        </w:rPr>
        <w:t>La position du ministère des Affaires extérieures au sein de la bureaucr</w:t>
      </w:r>
      <w:r w:rsidRPr="004729A9">
        <w:rPr>
          <w:sz w:val="24"/>
        </w:rPr>
        <w:t>a</w:t>
      </w:r>
      <w:r w:rsidRPr="004729A9">
        <w:rPr>
          <w:sz w:val="24"/>
        </w:rPr>
        <w:t>tie fédérale a aussi été renforcée en 1982 par le transfert de la div</w:t>
      </w:r>
      <w:r w:rsidRPr="004729A9">
        <w:rPr>
          <w:sz w:val="24"/>
        </w:rPr>
        <w:t>i</w:t>
      </w:r>
      <w:r w:rsidRPr="004729A9">
        <w:rPr>
          <w:sz w:val="24"/>
        </w:rPr>
        <w:t>sion du commerce extérieur du ministère de l'Industrie et du Commerce au minist</w:t>
      </w:r>
      <w:r w:rsidRPr="004729A9">
        <w:rPr>
          <w:sz w:val="24"/>
        </w:rPr>
        <w:t>è</w:t>
      </w:r>
      <w:r w:rsidRPr="004729A9">
        <w:rPr>
          <w:sz w:val="24"/>
        </w:rPr>
        <w:t>re des Affaires extérie</w:t>
      </w:r>
      <w:r w:rsidRPr="004729A9">
        <w:rPr>
          <w:sz w:val="24"/>
        </w:rPr>
        <w:t>u</w:t>
      </w:r>
      <w:r w:rsidRPr="004729A9">
        <w:rPr>
          <w:sz w:val="24"/>
        </w:rPr>
        <w:t>res.</w:t>
      </w:r>
    </w:p>
  </w:footnote>
  <w:footnote w:id="265">
    <w:p w:rsidR="00AD690E" w:rsidRDefault="00AD690E" w:rsidP="00AD690E">
      <w:pPr>
        <w:pStyle w:val="Notedebasdepage"/>
      </w:pPr>
      <w:r>
        <w:rPr>
          <w:rStyle w:val="Appelnotedebasdep"/>
        </w:rPr>
        <w:footnoteRef/>
      </w:r>
      <w:r>
        <w:t xml:space="preserve"> </w:t>
      </w:r>
      <w:r>
        <w:tab/>
      </w:r>
      <w:r w:rsidRPr="004729A9">
        <w:t>Bureau du Conseil privé,</w:t>
      </w:r>
      <w:r w:rsidRPr="002C78E2">
        <w:t xml:space="preserve"> Le système de gestion des politiques et des dépe</w:t>
      </w:r>
      <w:r w:rsidRPr="002C78E2">
        <w:t>n</w:t>
      </w:r>
      <w:r w:rsidRPr="002C78E2">
        <w:t xml:space="preserve">ses op. cit. </w:t>
      </w:r>
      <w:r>
        <w:t>p. 8.</w:t>
      </w:r>
    </w:p>
  </w:footnote>
  <w:footnote w:id="266">
    <w:p w:rsidR="00AD690E" w:rsidRDefault="00AD690E" w:rsidP="00AD690E">
      <w:pPr>
        <w:pStyle w:val="Notedebasdepage"/>
      </w:pPr>
      <w:r>
        <w:rPr>
          <w:rStyle w:val="Appelnotedebasdep"/>
        </w:rPr>
        <w:footnoteRef/>
      </w:r>
      <w:r>
        <w:t xml:space="preserve"> </w:t>
      </w:r>
      <w:r>
        <w:tab/>
      </w:r>
      <w:r w:rsidRPr="00E25F59">
        <w:t>AUCOIN, P., « Organizational Change in the Machinery of Canadian Gover</w:t>
      </w:r>
      <w:r w:rsidRPr="00E25F59">
        <w:t>n</w:t>
      </w:r>
      <w:r w:rsidRPr="00E25F59">
        <w:t xml:space="preserve">ment », </w:t>
      </w:r>
      <w:r w:rsidRPr="00E25F59">
        <w:rPr>
          <w:i/>
        </w:rPr>
        <w:t>op. cit</w:t>
      </w:r>
      <w:r w:rsidRPr="00E25F59">
        <w:t>., p. 14.</w:t>
      </w:r>
    </w:p>
  </w:footnote>
  <w:footnote w:id="267">
    <w:p w:rsidR="00AD690E" w:rsidRDefault="00AD690E" w:rsidP="00AD690E">
      <w:pPr>
        <w:pStyle w:val="Notedebasdepage"/>
      </w:pPr>
      <w:r>
        <w:rPr>
          <w:rStyle w:val="Appelnotedebasdep"/>
        </w:rPr>
        <w:footnoteRef/>
      </w:r>
      <w:r>
        <w:t xml:space="preserve"> </w:t>
      </w:r>
      <w:r>
        <w:tab/>
      </w:r>
      <w:r w:rsidRPr="00E25F59">
        <w:t>Sur le rôle du MEDER dans la recherche d'une stratégie pour ass</w:t>
      </w:r>
      <w:r w:rsidRPr="00E25F59">
        <w:t>u</w:t>
      </w:r>
      <w:r w:rsidRPr="00E25F59">
        <w:t>rer le « renouveau économique national », voir DEBLOCK, C. et PE</w:t>
      </w:r>
      <w:r w:rsidRPr="00E25F59">
        <w:t>R</w:t>
      </w:r>
      <w:r w:rsidRPr="00E25F59">
        <w:t>REAULT, D., « </w:t>
      </w:r>
      <w:hyperlink r:id="rId3" w:history="1">
        <w:r w:rsidRPr="00E25F59">
          <w:rPr>
            <w:rStyle w:val="Lienhypertexte"/>
            <w:szCs w:val="18"/>
          </w:rPr>
          <w:t>La politique économique canadienne 1968-1984 (II)</w:t>
        </w:r>
      </w:hyperlink>
      <w:r w:rsidRPr="00E25F59">
        <w:t xml:space="preserve"> », dans </w:t>
      </w:r>
      <w:r w:rsidRPr="00E25F59">
        <w:rPr>
          <w:i/>
        </w:rPr>
        <w:t>Conjon</w:t>
      </w:r>
      <w:r w:rsidRPr="00E25F59">
        <w:rPr>
          <w:i/>
        </w:rPr>
        <w:t>c</w:t>
      </w:r>
      <w:r w:rsidRPr="00E25F59">
        <w:rPr>
          <w:i/>
        </w:rPr>
        <w:t>ture et politique</w:t>
      </w:r>
      <w:r w:rsidRPr="00E25F59">
        <w:t>, n° 7, automne 1985.</w:t>
      </w:r>
    </w:p>
  </w:footnote>
  <w:footnote w:id="268">
    <w:p w:rsidR="00AD690E" w:rsidRDefault="00AD690E" w:rsidP="00AD690E">
      <w:pPr>
        <w:pStyle w:val="Notedebasdepage"/>
      </w:pPr>
      <w:r>
        <w:rPr>
          <w:rStyle w:val="Appelnotedebasdep"/>
        </w:rPr>
        <w:footnoteRef/>
      </w:r>
      <w:r>
        <w:t xml:space="preserve"> </w:t>
      </w:r>
      <w:r>
        <w:tab/>
      </w:r>
      <w:r w:rsidRPr="001B64C8">
        <w:t>GISLAIN, J.J., « L'État et le marché : réflexions sur leur articulation instit</w:t>
      </w:r>
      <w:r w:rsidRPr="001B64C8">
        <w:t>u</w:t>
      </w:r>
      <w:r w:rsidRPr="001B64C8">
        <w:t xml:space="preserve">tionnelle », dans </w:t>
      </w:r>
      <w:r w:rsidRPr="001B64C8">
        <w:rPr>
          <w:i/>
        </w:rPr>
        <w:t>Interventions économiques</w:t>
      </w:r>
      <w:r w:rsidRPr="001B64C8">
        <w:t>, hiver 1987, n° 17, pp. 53-70.</w:t>
      </w:r>
    </w:p>
  </w:footnote>
  <w:footnote w:id="269">
    <w:p w:rsidR="00AD690E" w:rsidRDefault="00AD690E" w:rsidP="00AD690E">
      <w:pPr>
        <w:pStyle w:val="Notedebasdepage"/>
      </w:pPr>
      <w:r>
        <w:rPr>
          <w:rStyle w:val="Appelnotedebasdep"/>
        </w:rPr>
        <w:footnoteRef/>
      </w:r>
      <w:r>
        <w:t xml:space="preserve"> </w:t>
      </w:r>
      <w:r>
        <w:tab/>
      </w:r>
      <w:r w:rsidRPr="001B64C8">
        <w:t xml:space="preserve">LE COLLECTIF, « L'État en devenir », </w:t>
      </w:r>
      <w:r w:rsidRPr="001B64C8">
        <w:rPr>
          <w:i/>
        </w:rPr>
        <w:t>Idem</w:t>
      </w:r>
      <w:r w:rsidRPr="001B64C8">
        <w:t>., pp. 49-52.</w:t>
      </w:r>
    </w:p>
  </w:footnote>
  <w:footnote w:id="270">
    <w:p w:rsidR="00AD690E" w:rsidRDefault="00AD690E" w:rsidP="00AD690E">
      <w:pPr>
        <w:pStyle w:val="Notedebasdepage"/>
      </w:pPr>
      <w:r>
        <w:rPr>
          <w:rStyle w:val="Appelnotedebasdep"/>
        </w:rPr>
        <w:footnoteRef/>
      </w:r>
      <w:r>
        <w:t xml:space="preserve"> </w:t>
      </w:r>
      <w:r>
        <w:tab/>
      </w:r>
      <w:r w:rsidRPr="0077615B">
        <w:t>V</w:t>
      </w:r>
      <w:r w:rsidRPr="00872824">
        <w:t>oir à ce sujet, CAMERON, D.R., « La croissance des dépe</w:t>
      </w:r>
      <w:r w:rsidRPr="00872824">
        <w:t>n</w:t>
      </w:r>
      <w:r w:rsidRPr="00872824">
        <w:t>ses de l'État : l'expérience canadienne dans une optique comp</w:t>
      </w:r>
      <w:r w:rsidRPr="00872824">
        <w:t>a</w:t>
      </w:r>
      <w:r w:rsidRPr="00872824">
        <w:t xml:space="preserve">rative », dans BANTING, K., </w:t>
      </w:r>
      <w:r w:rsidRPr="00872824">
        <w:rPr>
          <w:i/>
        </w:rPr>
        <w:t>L'État et la société : le Canada dans une o</w:t>
      </w:r>
      <w:r w:rsidRPr="00872824">
        <w:rPr>
          <w:i/>
        </w:rPr>
        <w:t>p</w:t>
      </w:r>
      <w:r w:rsidRPr="00872824">
        <w:rPr>
          <w:i/>
        </w:rPr>
        <w:t>tique comparative</w:t>
      </w:r>
      <w:r w:rsidRPr="00872824">
        <w:t>, Ottawa, Approvisionnements et services Can</w:t>
      </w:r>
      <w:r w:rsidRPr="00872824">
        <w:t>a</w:t>
      </w:r>
      <w:r w:rsidRPr="00872824">
        <w:t>da, 1986, pp. 23-58.</w:t>
      </w:r>
    </w:p>
  </w:footnote>
  <w:footnote w:id="271">
    <w:p w:rsidR="00AD690E" w:rsidRDefault="00AD690E" w:rsidP="00AD690E">
      <w:pPr>
        <w:pStyle w:val="Notedebasdepage"/>
      </w:pPr>
      <w:r>
        <w:rPr>
          <w:rStyle w:val="Appelnotedebasdep"/>
        </w:rPr>
        <w:footnoteRef/>
      </w:r>
      <w:r>
        <w:t xml:space="preserve"> </w:t>
      </w:r>
      <w:r>
        <w:tab/>
      </w:r>
      <w:r w:rsidRPr="00773912">
        <w:t xml:space="preserve">Discours inaugural de W.L. Mackenzie King, dans </w:t>
      </w:r>
      <w:r w:rsidRPr="00773912">
        <w:rPr>
          <w:i/>
        </w:rPr>
        <w:t>Conférence du Dom</w:t>
      </w:r>
      <w:r w:rsidRPr="00773912">
        <w:rPr>
          <w:i/>
        </w:rPr>
        <w:t>i</w:t>
      </w:r>
      <w:r w:rsidRPr="00773912">
        <w:rPr>
          <w:i/>
        </w:rPr>
        <w:t>nion et des provinces</w:t>
      </w:r>
      <w:r w:rsidRPr="00773912">
        <w:t>, mardi 14 et mercredi 15 janvier 1941, O</w:t>
      </w:r>
      <w:r w:rsidRPr="00773912">
        <w:t>t</w:t>
      </w:r>
      <w:r w:rsidRPr="00773912">
        <w:t>tawa, 1931, page 7.</w:t>
      </w:r>
    </w:p>
  </w:footnote>
  <w:footnote w:id="272">
    <w:p w:rsidR="00AD690E" w:rsidRDefault="00AD690E" w:rsidP="00AD690E">
      <w:pPr>
        <w:pStyle w:val="Notedebasdepage"/>
      </w:pPr>
      <w:r>
        <w:rPr>
          <w:rStyle w:val="Appelnotedebasdep"/>
        </w:rPr>
        <w:footnoteRef/>
      </w:r>
      <w:r>
        <w:t xml:space="preserve"> </w:t>
      </w:r>
      <w:r>
        <w:tab/>
      </w:r>
      <w:r w:rsidRPr="00773912">
        <w:t>Voir à ce sujet, NOËL, A., « L'après-guerre au Canada : politiques keyn</w:t>
      </w:r>
      <w:r w:rsidRPr="00773912">
        <w:t>é</w:t>
      </w:r>
      <w:r w:rsidRPr="00773912">
        <w:t>siennes ou nouvelles formes de régulation ? », dans BOI</w:t>
      </w:r>
      <w:r w:rsidRPr="00773912">
        <w:t>S</w:t>
      </w:r>
      <w:r w:rsidRPr="00773912">
        <w:t xml:space="preserve">MENU, G. et DOSTALER, G., (sous la direction de) </w:t>
      </w:r>
      <w:r w:rsidRPr="00773912">
        <w:rPr>
          <w:i/>
        </w:rPr>
        <w:t>La théorie générale et le keynési</w:t>
      </w:r>
      <w:r w:rsidRPr="00773912">
        <w:rPr>
          <w:i/>
        </w:rPr>
        <w:t>a</w:t>
      </w:r>
      <w:r w:rsidRPr="00773912">
        <w:rPr>
          <w:i/>
        </w:rPr>
        <w:t>nisme</w:t>
      </w:r>
      <w:r w:rsidRPr="00773912">
        <w:t xml:space="preserve">. </w:t>
      </w:r>
      <w:r w:rsidRPr="00773912">
        <w:rPr>
          <w:i/>
        </w:rPr>
        <w:t>Politique et économie,</w:t>
      </w:r>
      <w:r w:rsidRPr="00773912">
        <w:t xml:space="preserve"> n° 6, GRÉ</w:t>
      </w:r>
      <w:r w:rsidRPr="00773912">
        <w:t>T</w:t>
      </w:r>
      <w:r w:rsidRPr="00773912">
        <w:t>SÉ / ACFAS, 1987, p. 91-107.</w:t>
      </w:r>
    </w:p>
  </w:footnote>
  <w:footnote w:id="273">
    <w:p w:rsidR="00AD690E" w:rsidRDefault="00AD690E" w:rsidP="00AD690E">
      <w:pPr>
        <w:pStyle w:val="Notedebasdepage"/>
      </w:pPr>
      <w:r>
        <w:rPr>
          <w:rStyle w:val="Appelnotedebasdep"/>
        </w:rPr>
        <w:footnoteRef/>
      </w:r>
      <w:r>
        <w:t xml:space="preserve"> </w:t>
      </w:r>
      <w:r>
        <w:tab/>
      </w:r>
      <w:r w:rsidRPr="00773912">
        <w:t xml:space="preserve">DEHEM, R., </w:t>
      </w:r>
      <w:r w:rsidRPr="00773912">
        <w:rPr>
          <w:i/>
        </w:rPr>
        <w:t>Planification économique et fédéralisme</w:t>
      </w:r>
      <w:r w:rsidRPr="00773912">
        <w:t>, Genève, Librairie Droz, 1968, page 162. Les informations qui suivent sont également tirées du ch</w:t>
      </w:r>
      <w:r w:rsidRPr="00773912">
        <w:t>a</w:t>
      </w:r>
      <w:r w:rsidRPr="00773912">
        <w:t>pitre XI de cet ouvrage.</w:t>
      </w:r>
    </w:p>
  </w:footnote>
  <w:footnote w:id="274">
    <w:p w:rsidR="00AD690E" w:rsidRDefault="00AD690E" w:rsidP="00AD690E">
      <w:pPr>
        <w:pStyle w:val="Notedebasdepage"/>
      </w:pPr>
      <w:r>
        <w:rPr>
          <w:rStyle w:val="Appelnotedebasdep"/>
        </w:rPr>
        <w:footnoteRef/>
      </w:r>
      <w:r>
        <w:t xml:space="preserve"> </w:t>
      </w:r>
      <w:r>
        <w:tab/>
      </w:r>
      <w:r w:rsidRPr="00773912">
        <w:rPr>
          <w:i/>
        </w:rPr>
        <w:t>Idem</w:t>
      </w:r>
      <w:r w:rsidRPr="00773912">
        <w:t>, page 164. L'assouplissement des mesures tient également, et surtout peut-être, au fait que le nouveau régime, contrairement à l'a</w:t>
      </w:r>
      <w:r w:rsidRPr="00773912">
        <w:t>n</w:t>
      </w:r>
      <w:r w:rsidRPr="00773912">
        <w:t>cien, ne porte « aucun préjudice aux provinces qui refuseraient d'y pa</w:t>
      </w:r>
      <w:r w:rsidRPr="00773912">
        <w:t>r</w:t>
      </w:r>
      <w:r w:rsidRPr="00773912">
        <w:t>ticiper » (page 165).</w:t>
      </w:r>
    </w:p>
  </w:footnote>
  <w:footnote w:id="275">
    <w:p w:rsidR="00AD690E" w:rsidRDefault="00AD690E" w:rsidP="00AD690E">
      <w:pPr>
        <w:pStyle w:val="Notedebasdepage"/>
      </w:pPr>
      <w:r>
        <w:rPr>
          <w:rStyle w:val="Appelnotedebasdep"/>
        </w:rPr>
        <w:footnoteRef/>
      </w:r>
      <w:r>
        <w:t xml:space="preserve"> </w:t>
      </w:r>
      <w:r>
        <w:tab/>
      </w:r>
      <w:r w:rsidRPr="004E1FAE">
        <w:rPr>
          <w:i/>
        </w:rPr>
        <w:t>Idem</w:t>
      </w:r>
      <w:r w:rsidRPr="004E1FAE">
        <w:t>, page 166.</w:t>
      </w:r>
    </w:p>
  </w:footnote>
  <w:footnote w:id="276">
    <w:p w:rsidR="00AD690E" w:rsidRDefault="00AD690E" w:rsidP="00AD690E">
      <w:pPr>
        <w:pStyle w:val="Notedebasdepage"/>
      </w:pPr>
      <w:r>
        <w:rPr>
          <w:rStyle w:val="Appelnotedebasdep"/>
        </w:rPr>
        <w:footnoteRef/>
      </w:r>
      <w:r>
        <w:t xml:space="preserve"> </w:t>
      </w:r>
      <w:r>
        <w:tab/>
      </w:r>
      <w:r w:rsidRPr="006520D4">
        <w:t xml:space="preserve">President's Materials Policy Commission, </w:t>
      </w:r>
      <w:r w:rsidRPr="006520D4">
        <w:rPr>
          <w:i/>
        </w:rPr>
        <w:t>Resources for Freedom</w:t>
      </w:r>
      <w:r w:rsidRPr="006520D4">
        <w:t>, Washin</w:t>
      </w:r>
      <w:r w:rsidRPr="006520D4">
        <w:t>g</w:t>
      </w:r>
      <w:r w:rsidRPr="006520D4">
        <w:t>ton, 1952, volume 1, page IV.</w:t>
      </w:r>
    </w:p>
  </w:footnote>
  <w:footnote w:id="277">
    <w:p w:rsidR="00AD690E" w:rsidRDefault="00AD690E" w:rsidP="00AD690E">
      <w:pPr>
        <w:pStyle w:val="Notedebasdepage"/>
      </w:pPr>
      <w:r>
        <w:rPr>
          <w:rStyle w:val="Appelnotedebasdep"/>
        </w:rPr>
        <w:footnoteRef/>
      </w:r>
      <w:r>
        <w:t xml:space="preserve"> </w:t>
      </w:r>
      <w:r>
        <w:tab/>
        <w:t>AI</w:t>
      </w:r>
      <w:r w:rsidRPr="00ED6BC6">
        <w:t xml:space="preserve">TKEN, H., </w:t>
      </w:r>
      <w:r w:rsidRPr="00694E51">
        <w:rPr>
          <w:i/>
        </w:rPr>
        <w:t>American</w:t>
      </w:r>
      <w:r w:rsidRPr="00ED6BC6">
        <w:t xml:space="preserve"> </w:t>
      </w:r>
      <w:r w:rsidRPr="00ED6BC6">
        <w:rPr>
          <w:i/>
        </w:rPr>
        <w:t>Capital and Canadian Resources</w:t>
      </w:r>
      <w:r w:rsidRPr="00ED6BC6">
        <w:t>, Harvard Unive</w:t>
      </w:r>
      <w:r w:rsidRPr="00ED6BC6">
        <w:t>r</w:t>
      </w:r>
      <w:r w:rsidRPr="00ED6BC6">
        <w:t>sity Press, 1961, page 84.</w:t>
      </w:r>
    </w:p>
  </w:footnote>
  <w:footnote w:id="278">
    <w:p w:rsidR="00AD690E" w:rsidRDefault="00AD690E" w:rsidP="00AD690E">
      <w:pPr>
        <w:pStyle w:val="Notedebasdepage"/>
      </w:pPr>
      <w:r>
        <w:rPr>
          <w:rStyle w:val="Appelnotedebasdep"/>
        </w:rPr>
        <w:footnoteRef/>
      </w:r>
      <w:r>
        <w:t xml:space="preserve"> </w:t>
      </w:r>
      <w:r>
        <w:tab/>
      </w:r>
      <w:r w:rsidRPr="00ED6BC6">
        <w:t>CANADA, Commission royale d'enquête sur les perspectives économ</w:t>
      </w:r>
      <w:r w:rsidRPr="00ED6BC6">
        <w:t>i</w:t>
      </w:r>
      <w:r w:rsidRPr="00ED6BC6">
        <w:t xml:space="preserve">ques du Canada, </w:t>
      </w:r>
      <w:r w:rsidRPr="00ED6BC6">
        <w:rPr>
          <w:i/>
        </w:rPr>
        <w:t>Rapport préliminaire</w:t>
      </w:r>
      <w:r w:rsidRPr="00ED6BC6">
        <w:t>, Ottawa, décembre 1956, p</w:t>
      </w:r>
      <w:r w:rsidRPr="00ED6BC6">
        <w:t>a</w:t>
      </w:r>
      <w:r w:rsidRPr="00ED6BC6">
        <w:t>ge 72.</w:t>
      </w:r>
    </w:p>
  </w:footnote>
  <w:footnote w:id="279">
    <w:p w:rsidR="00AD690E" w:rsidRDefault="00AD690E" w:rsidP="00AD690E">
      <w:pPr>
        <w:pStyle w:val="Notedebasdepage"/>
      </w:pPr>
      <w:r>
        <w:rPr>
          <w:rStyle w:val="Appelnotedebasdep"/>
        </w:rPr>
        <w:footnoteRef/>
      </w:r>
      <w:r>
        <w:t xml:space="preserve"> </w:t>
      </w:r>
      <w:r>
        <w:tab/>
      </w:r>
      <w:r w:rsidRPr="00ED6BC6">
        <w:rPr>
          <w:i/>
        </w:rPr>
        <w:t>Idem</w:t>
      </w:r>
      <w:r w:rsidRPr="00ED6BC6">
        <w:t>, page 75.</w:t>
      </w:r>
    </w:p>
  </w:footnote>
  <w:footnote w:id="280">
    <w:p w:rsidR="00AD690E" w:rsidRDefault="00AD690E" w:rsidP="00AD690E">
      <w:pPr>
        <w:pStyle w:val="Notedebasdepage"/>
      </w:pPr>
      <w:r>
        <w:rPr>
          <w:rStyle w:val="Appelnotedebasdep"/>
        </w:rPr>
        <w:footnoteRef/>
      </w:r>
      <w:r>
        <w:t xml:space="preserve"> </w:t>
      </w:r>
      <w:r>
        <w:tab/>
      </w:r>
      <w:r w:rsidRPr="00ED6BC6">
        <w:rPr>
          <w:i/>
        </w:rPr>
        <w:t>Idem</w:t>
      </w:r>
      <w:r w:rsidRPr="00ED6BC6">
        <w:t>, page 88.</w:t>
      </w:r>
    </w:p>
  </w:footnote>
  <w:footnote w:id="281">
    <w:p w:rsidR="00AD690E" w:rsidRDefault="00AD690E" w:rsidP="00AD690E">
      <w:pPr>
        <w:pStyle w:val="Notedebasdepage"/>
      </w:pPr>
      <w:r>
        <w:rPr>
          <w:rStyle w:val="Appelnotedebasdep"/>
        </w:rPr>
        <w:footnoteRef/>
      </w:r>
      <w:r>
        <w:t xml:space="preserve"> </w:t>
      </w:r>
      <w:r>
        <w:tab/>
      </w:r>
      <w:r w:rsidRPr="00ED6BC6">
        <w:rPr>
          <w:i/>
        </w:rPr>
        <w:t>Idem</w:t>
      </w:r>
      <w:r w:rsidRPr="00ED6BC6">
        <w:t>, page 89.</w:t>
      </w:r>
    </w:p>
  </w:footnote>
  <w:footnote w:id="282">
    <w:p w:rsidR="00AD690E" w:rsidRDefault="00AD690E" w:rsidP="00AD690E">
      <w:pPr>
        <w:pStyle w:val="Notedebasdepage"/>
      </w:pPr>
      <w:r>
        <w:rPr>
          <w:rStyle w:val="Appelnotedebasdep"/>
        </w:rPr>
        <w:footnoteRef/>
      </w:r>
      <w:r>
        <w:t xml:space="preserve"> </w:t>
      </w:r>
      <w:r>
        <w:tab/>
      </w:r>
      <w:r w:rsidRPr="00205B12">
        <w:t xml:space="preserve">BOTHWELL, R., DRUMMOND, I. et ENGLISH, J., </w:t>
      </w:r>
      <w:r w:rsidRPr="00205B12">
        <w:rPr>
          <w:i/>
        </w:rPr>
        <w:t>Canada si</w:t>
      </w:r>
      <w:r w:rsidRPr="00205B12">
        <w:rPr>
          <w:i/>
        </w:rPr>
        <w:t>n</w:t>
      </w:r>
      <w:r w:rsidRPr="00205B12">
        <w:rPr>
          <w:i/>
        </w:rPr>
        <w:t>ce 1945 : Power, Politics and Provincialism</w:t>
      </w:r>
      <w:r w:rsidRPr="00205B12">
        <w:t>, University of Toronto Press, 1981, p</w:t>
      </w:r>
      <w:r w:rsidRPr="00205B12">
        <w:t>a</w:t>
      </w:r>
      <w:r w:rsidRPr="00205B12">
        <w:t>ge 320.</w:t>
      </w:r>
    </w:p>
  </w:footnote>
  <w:footnote w:id="283">
    <w:p w:rsidR="00AD690E" w:rsidRDefault="00AD690E" w:rsidP="00AD690E">
      <w:pPr>
        <w:pStyle w:val="Notedebasdepage"/>
      </w:pPr>
      <w:r>
        <w:rPr>
          <w:rStyle w:val="Appelnotedebasdep"/>
        </w:rPr>
        <w:footnoteRef/>
      </w:r>
      <w:r>
        <w:t xml:space="preserve"> </w:t>
      </w:r>
      <w:r>
        <w:tab/>
      </w:r>
      <w:r w:rsidRPr="00205B12">
        <w:rPr>
          <w:i/>
        </w:rPr>
        <w:t>L'ère de l'impérialisme</w:t>
      </w:r>
      <w:r w:rsidRPr="00205B12">
        <w:t>, Maspero, 1970, page 57.</w:t>
      </w:r>
    </w:p>
  </w:footnote>
  <w:footnote w:id="284">
    <w:p w:rsidR="00AD690E" w:rsidRDefault="00AD690E" w:rsidP="00AD690E">
      <w:pPr>
        <w:pStyle w:val="Notedebasdepage"/>
      </w:pPr>
      <w:r>
        <w:rPr>
          <w:rStyle w:val="Appelnotedebasdep"/>
        </w:rPr>
        <w:footnoteRef/>
      </w:r>
      <w:r>
        <w:t xml:space="preserve"> </w:t>
      </w:r>
      <w:r>
        <w:tab/>
      </w:r>
      <w:r w:rsidRPr="00205B12">
        <w:t>Ces données et celles qui suivent sont tirées de BEIGIE, CE., « The Can</w:t>
      </w:r>
      <w:r w:rsidRPr="00205B12">
        <w:t>a</w:t>
      </w:r>
      <w:r w:rsidRPr="00205B12">
        <w:t xml:space="preserve">da-U.S. Auto Pact », </w:t>
      </w:r>
      <w:r w:rsidRPr="00205B12">
        <w:rPr>
          <w:i/>
        </w:rPr>
        <w:t>Canadian Perspectives in Economics</w:t>
      </w:r>
      <w:r w:rsidRPr="00205B12">
        <w:t>, Co</w:t>
      </w:r>
      <w:r w:rsidRPr="00205B12">
        <w:t>l</w:t>
      </w:r>
      <w:r w:rsidRPr="00205B12">
        <w:t>lier-MacMillan Canada Ltd., 1972, D2.</w:t>
      </w:r>
    </w:p>
  </w:footnote>
  <w:footnote w:id="285">
    <w:p w:rsidR="00AD690E" w:rsidRDefault="00AD690E" w:rsidP="00AD690E">
      <w:pPr>
        <w:pStyle w:val="Notedebasdepage"/>
      </w:pPr>
      <w:r>
        <w:rPr>
          <w:rStyle w:val="Appelnotedebasdep"/>
        </w:rPr>
        <w:footnoteRef/>
      </w:r>
      <w:r>
        <w:t xml:space="preserve"> </w:t>
      </w:r>
      <w:r>
        <w:tab/>
      </w:r>
      <w:r w:rsidRPr="00DE796E">
        <w:t xml:space="preserve">BÉLANGER, Y., </w:t>
      </w:r>
      <w:r w:rsidRPr="00DE796E">
        <w:rPr>
          <w:i/>
        </w:rPr>
        <w:t>La production militaire au Québec</w:t>
      </w:r>
      <w:r w:rsidRPr="00DE796E">
        <w:t>, partie V, L'i</w:t>
      </w:r>
      <w:r w:rsidRPr="00DE796E">
        <w:t>n</w:t>
      </w:r>
      <w:r w:rsidRPr="00DE796E">
        <w:t>dustrie du matériel de transport roulant. Rapport de recherche soumis à l'Institut pour la paix et la sécurité internationale, Ottawa, mai 1988, p. 10</w:t>
      </w:r>
      <w:r>
        <w:t>.</w:t>
      </w:r>
    </w:p>
  </w:footnote>
  <w:footnote w:id="286">
    <w:p w:rsidR="00AD690E" w:rsidRDefault="00AD690E" w:rsidP="00AD690E">
      <w:pPr>
        <w:pStyle w:val="Notedebasdepage"/>
      </w:pPr>
      <w:r>
        <w:rPr>
          <w:rStyle w:val="Appelnotedebasdep"/>
        </w:rPr>
        <w:footnoteRef/>
      </w:r>
      <w:r>
        <w:t xml:space="preserve"> </w:t>
      </w:r>
      <w:r>
        <w:tab/>
      </w:r>
      <w:r w:rsidRPr="00DE796E">
        <w:rPr>
          <w:i/>
        </w:rPr>
        <w:t>Idem</w:t>
      </w:r>
      <w:r w:rsidRPr="00DE796E">
        <w:t>, p. 11.</w:t>
      </w:r>
    </w:p>
  </w:footnote>
  <w:footnote w:id="287">
    <w:p w:rsidR="00AD690E" w:rsidRDefault="00AD690E" w:rsidP="00AD690E">
      <w:pPr>
        <w:pStyle w:val="Notedebasdepage"/>
      </w:pPr>
      <w:r>
        <w:rPr>
          <w:rStyle w:val="Appelnotedebasdep"/>
        </w:rPr>
        <w:footnoteRef/>
      </w:r>
      <w:r>
        <w:t xml:space="preserve"> </w:t>
      </w:r>
      <w:r>
        <w:tab/>
      </w:r>
      <w:r w:rsidRPr="00DE796E">
        <w:t>Ce moment est délicat surtout parce que la décision prise unilatéral</w:t>
      </w:r>
      <w:r w:rsidRPr="00DE796E">
        <w:t>e</w:t>
      </w:r>
      <w:r w:rsidRPr="00DE796E">
        <w:t>ment et solitairement, semble-t-il, par Lester Pearson, durant la campagne éle</w:t>
      </w:r>
      <w:r w:rsidRPr="00DE796E">
        <w:t>c</w:t>
      </w:r>
      <w:r w:rsidRPr="00DE796E">
        <w:t>torale qui précède l'accession de son gouvernement au po</w:t>
      </w:r>
      <w:r w:rsidRPr="00DE796E">
        <w:t>u</w:t>
      </w:r>
      <w:r w:rsidRPr="00DE796E">
        <w:t>voir en avril 1963, à l'effet de doter l'armée canadienne d'ogives nucléaires et ce, malgré l'oppos</w:t>
      </w:r>
      <w:r w:rsidRPr="00DE796E">
        <w:t>i</w:t>
      </w:r>
      <w:r w:rsidRPr="00DE796E">
        <w:t>tion non seulement des autres formations politiques, mais surtout</w:t>
      </w:r>
      <w:r w:rsidRPr="00601A0D">
        <w:t xml:space="preserve"> de la sie</w:t>
      </w:r>
      <w:r w:rsidRPr="00601A0D">
        <w:t>n</w:t>
      </w:r>
      <w:r w:rsidRPr="00601A0D">
        <w:t>ne propre, cette décision aurait pu de nouveau être remise en cause si jamais les Américains n'avaient pas fait preuve de souplesse vis-à-vis des Can</w:t>
      </w:r>
      <w:r w:rsidRPr="00601A0D">
        <w:t>a</w:t>
      </w:r>
      <w:r w:rsidRPr="00601A0D">
        <w:t>diens dans cet autre dossier.</w:t>
      </w:r>
    </w:p>
  </w:footnote>
  <w:footnote w:id="288">
    <w:p w:rsidR="00AD690E" w:rsidRDefault="00AD690E" w:rsidP="00AD690E">
      <w:pPr>
        <w:pStyle w:val="Notedebasdepage"/>
      </w:pPr>
      <w:r>
        <w:rPr>
          <w:rStyle w:val="Appelnotedebasdep"/>
        </w:rPr>
        <w:footnoteRef/>
      </w:r>
      <w:r>
        <w:t xml:space="preserve"> </w:t>
      </w:r>
      <w:r>
        <w:tab/>
      </w:r>
      <w:r w:rsidRPr="00601A0D">
        <w:t xml:space="preserve">BEIGIE, C.E., </w:t>
      </w:r>
      <w:r w:rsidRPr="00601A0D">
        <w:rPr>
          <w:i/>
        </w:rPr>
        <w:t>op. cit</w:t>
      </w:r>
      <w:r w:rsidRPr="00601A0D">
        <w:t>.</w:t>
      </w:r>
    </w:p>
  </w:footnote>
  <w:footnote w:id="289">
    <w:p w:rsidR="00AD690E" w:rsidRDefault="00AD690E" w:rsidP="00AD690E">
      <w:pPr>
        <w:pStyle w:val="Notedebasdepage"/>
      </w:pPr>
      <w:r>
        <w:rPr>
          <w:rStyle w:val="Appelnotedebasdep"/>
        </w:rPr>
        <w:footnoteRef/>
      </w:r>
      <w:r>
        <w:t xml:space="preserve"> </w:t>
      </w:r>
      <w:r>
        <w:tab/>
      </w:r>
      <w:r w:rsidRPr="00601A0D">
        <w:t>Les articles 1001 et suivants du chapitre 10 intitulé « Commerce des pr</w:t>
      </w:r>
      <w:r w:rsidRPr="00601A0D">
        <w:t>o</w:t>
      </w:r>
      <w:r w:rsidRPr="00601A0D">
        <w:t xml:space="preserve">duits automobiles » de </w:t>
      </w:r>
      <w:r w:rsidRPr="00601A0D">
        <w:rPr>
          <w:i/>
        </w:rPr>
        <w:t>l'Accord de libre-échange entre le C</w:t>
      </w:r>
      <w:r w:rsidRPr="00601A0D">
        <w:rPr>
          <w:i/>
        </w:rPr>
        <w:t>a</w:t>
      </w:r>
      <w:r w:rsidRPr="00601A0D">
        <w:rPr>
          <w:i/>
        </w:rPr>
        <w:t>nada et les États-Unis</w:t>
      </w:r>
      <w:r w:rsidRPr="00601A0D">
        <w:t xml:space="preserve"> confirment la liberté et la sécurité d'accès au marché américain assurées par le </w:t>
      </w:r>
      <w:r w:rsidRPr="00601A0D">
        <w:rPr>
          <w:i/>
        </w:rPr>
        <w:t>Pacte de l'automobile</w:t>
      </w:r>
      <w:r w:rsidRPr="00601A0D">
        <w:t xml:space="preserve"> de 1965, en l'élargissant éventuell</w:t>
      </w:r>
      <w:r w:rsidRPr="00601A0D">
        <w:t>e</w:t>
      </w:r>
      <w:r w:rsidRPr="00601A0D">
        <w:t>ment au commerce des voitures d'occ</w:t>
      </w:r>
      <w:r w:rsidRPr="00601A0D">
        <w:t>a</w:t>
      </w:r>
      <w:r w:rsidRPr="00601A0D">
        <w:t>sion à compter de 1993. L'article 1004 prévoit en outre l'établiss</w:t>
      </w:r>
      <w:r w:rsidRPr="00601A0D">
        <w:t>e</w:t>
      </w:r>
      <w:r w:rsidRPr="00601A0D">
        <w:t>ment d'un « comité sélect » sur des défis que posent à l'industrie automobile la concurre</w:t>
      </w:r>
      <w:r w:rsidRPr="00601A0D">
        <w:t>n</w:t>
      </w:r>
      <w:r w:rsidRPr="00601A0D">
        <w:t>ce d'outre-mer.</w:t>
      </w:r>
    </w:p>
  </w:footnote>
  <w:footnote w:id="290">
    <w:p w:rsidR="00AD690E" w:rsidRDefault="00AD690E" w:rsidP="00AD690E">
      <w:pPr>
        <w:pStyle w:val="Notedebasdepage"/>
      </w:pPr>
      <w:r>
        <w:rPr>
          <w:rStyle w:val="Appelnotedebasdep"/>
        </w:rPr>
        <w:footnoteRef/>
      </w:r>
      <w:r>
        <w:t xml:space="preserve"> </w:t>
      </w:r>
      <w:r>
        <w:tab/>
      </w:r>
      <w:r w:rsidRPr="00101244">
        <w:t>L'Administration de l'aménagement rural et du développement agric</w:t>
      </w:r>
      <w:r w:rsidRPr="00101244">
        <w:t>o</w:t>
      </w:r>
      <w:r w:rsidRPr="00101244">
        <w:t>le qui visait essentiellement à financer des travaux d'intérêt public d</w:t>
      </w:r>
      <w:r w:rsidRPr="00101244">
        <w:t>u</w:t>
      </w:r>
      <w:r w:rsidRPr="00101244">
        <w:t>rant la morte saison. Ces mesures étaient insuffisantes compte tenu essentiell</w:t>
      </w:r>
      <w:r w:rsidRPr="00101244">
        <w:t>e</w:t>
      </w:r>
      <w:r w:rsidRPr="00101244">
        <w:t>ment du phénomène de l'accroissement de l'écart dans la di</w:t>
      </w:r>
      <w:r w:rsidRPr="00101244">
        <w:t>s</w:t>
      </w:r>
      <w:r w:rsidRPr="00101244">
        <w:t>tribution de la richesse entre les régions pauvres et les régions les plus riches du pays.</w:t>
      </w:r>
    </w:p>
  </w:footnote>
  <w:footnote w:id="291">
    <w:p w:rsidR="00AD690E" w:rsidRDefault="00AD690E" w:rsidP="00AD690E">
      <w:pPr>
        <w:pStyle w:val="Notedebasdepage"/>
      </w:pPr>
      <w:r>
        <w:rPr>
          <w:rStyle w:val="Appelnotedebasdep"/>
        </w:rPr>
        <w:footnoteRef/>
      </w:r>
      <w:r>
        <w:t xml:space="preserve"> </w:t>
      </w:r>
      <w:r>
        <w:tab/>
      </w:r>
      <w:r w:rsidRPr="00101244">
        <w:t xml:space="preserve"> Cité dans Conseil économique du Canada,</w:t>
      </w:r>
      <w:r w:rsidRPr="00101244">
        <w:rPr>
          <w:i/>
        </w:rPr>
        <w:t xml:space="preserve"> Vers une croissance économ</w:t>
      </w:r>
      <w:r w:rsidRPr="00101244">
        <w:rPr>
          <w:i/>
        </w:rPr>
        <w:t>i</w:t>
      </w:r>
      <w:r w:rsidRPr="00101244">
        <w:rPr>
          <w:i/>
        </w:rPr>
        <w:t>que équilibrée et soutenue</w:t>
      </w:r>
      <w:r w:rsidRPr="00101244">
        <w:t>, deuxième exposé annuel, Ottawa, d</w:t>
      </w:r>
      <w:r w:rsidRPr="00101244">
        <w:t>é</w:t>
      </w:r>
      <w:r w:rsidRPr="00101244">
        <w:t>cembre 1965, page 107.</w:t>
      </w:r>
    </w:p>
  </w:footnote>
  <w:footnote w:id="292">
    <w:p w:rsidR="00AD690E" w:rsidRDefault="00AD690E" w:rsidP="00AD690E">
      <w:pPr>
        <w:pStyle w:val="Notedebasdepage"/>
      </w:pPr>
      <w:r>
        <w:rPr>
          <w:rStyle w:val="Appelnotedebasdep"/>
        </w:rPr>
        <w:footnoteRef/>
      </w:r>
      <w:r>
        <w:t xml:space="preserve"> </w:t>
      </w:r>
      <w:r>
        <w:tab/>
      </w:r>
      <w:r w:rsidRPr="00101244">
        <w:rPr>
          <w:i/>
        </w:rPr>
        <w:t>Idem</w:t>
      </w:r>
      <w:r w:rsidRPr="00101244">
        <w:t>, page 108.</w:t>
      </w:r>
    </w:p>
  </w:footnote>
  <w:footnote w:id="293">
    <w:p w:rsidR="00AD690E" w:rsidRDefault="00AD690E" w:rsidP="00AD690E">
      <w:pPr>
        <w:pStyle w:val="Notedebasdepage"/>
      </w:pPr>
      <w:r>
        <w:rPr>
          <w:rStyle w:val="Appelnotedebasdep"/>
        </w:rPr>
        <w:footnoteRef/>
      </w:r>
      <w:r>
        <w:t xml:space="preserve"> </w:t>
      </w:r>
      <w:r>
        <w:tab/>
      </w:r>
      <w:r w:rsidRPr="00101244">
        <w:rPr>
          <w:i/>
        </w:rPr>
        <w:t>Idem</w:t>
      </w:r>
      <w:r w:rsidRPr="00101244">
        <w:t>, page 33.</w:t>
      </w:r>
    </w:p>
  </w:footnote>
  <w:footnote w:id="294">
    <w:p w:rsidR="00AD690E" w:rsidRDefault="00AD690E" w:rsidP="00AD690E">
      <w:pPr>
        <w:pStyle w:val="Notedebasdepage"/>
      </w:pPr>
      <w:r>
        <w:rPr>
          <w:rStyle w:val="Appelnotedebasdep"/>
        </w:rPr>
        <w:footnoteRef/>
      </w:r>
      <w:r>
        <w:t xml:space="preserve"> </w:t>
      </w:r>
      <w:r>
        <w:tab/>
      </w:r>
      <w:r w:rsidRPr="004A4341">
        <w:rPr>
          <w:i/>
        </w:rPr>
        <w:t>Idem</w:t>
      </w:r>
      <w:r w:rsidRPr="004A4341">
        <w:t>, page 193.</w:t>
      </w:r>
    </w:p>
  </w:footnote>
  <w:footnote w:id="295">
    <w:p w:rsidR="00AD690E" w:rsidRDefault="00AD690E" w:rsidP="00AD690E">
      <w:pPr>
        <w:pStyle w:val="Notedebasdepage"/>
      </w:pPr>
      <w:r>
        <w:rPr>
          <w:rStyle w:val="Appelnotedebasdep"/>
        </w:rPr>
        <w:footnoteRef/>
      </w:r>
      <w:r>
        <w:t xml:space="preserve"> </w:t>
      </w:r>
      <w:r>
        <w:tab/>
      </w:r>
      <w:r w:rsidRPr="004A4341">
        <w:t>BUREAU DU CONSEIL PRIVÉ, Ottawa, 1968.</w:t>
      </w:r>
    </w:p>
  </w:footnote>
  <w:footnote w:id="296">
    <w:p w:rsidR="00AD690E" w:rsidRDefault="00AD690E" w:rsidP="00AD690E">
      <w:pPr>
        <w:pStyle w:val="Notedebasdepage"/>
      </w:pPr>
      <w:r>
        <w:rPr>
          <w:rStyle w:val="Appelnotedebasdep"/>
        </w:rPr>
        <w:footnoteRef/>
      </w:r>
      <w:r>
        <w:t xml:space="preserve"> </w:t>
      </w:r>
      <w:r>
        <w:tab/>
      </w:r>
      <w:r w:rsidRPr="00EA53DD">
        <w:rPr>
          <w:i/>
        </w:rPr>
        <w:t>Idem</w:t>
      </w:r>
      <w:r w:rsidRPr="0077615B">
        <w:t>, p</w:t>
      </w:r>
      <w:r>
        <w:t>p</w:t>
      </w:r>
      <w:r w:rsidRPr="0077615B">
        <w:t>. 5 et 6</w:t>
      </w:r>
      <w:r>
        <w:t>.</w:t>
      </w:r>
    </w:p>
  </w:footnote>
  <w:footnote w:id="297">
    <w:p w:rsidR="00AD690E" w:rsidRDefault="00AD690E" w:rsidP="00AD690E">
      <w:pPr>
        <w:pStyle w:val="Notedebasdepage"/>
      </w:pPr>
      <w:r>
        <w:rPr>
          <w:rStyle w:val="Appelnotedebasdep"/>
        </w:rPr>
        <w:footnoteRef/>
      </w:r>
      <w:r>
        <w:t xml:space="preserve"> </w:t>
      </w:r>
      <w:r>
        <w:tab/>
      </w:r>
      <w:r w:rsidRPr="00304C2C">
        <w:rPr>
          <w:i/>
        </w:rPr>
        <w:t>Idem</w:t>
      </w:r>
      <w:r w:rsidRPr="00304C2C">
        <w:t>, pp. 429-430.</w:t>
      </w:r>
    </w:p>
  </w:footnote>
  <w:footnote w:id="298">
    <w:p w:rsidR="00AD690E" w:rsidRDefault="00AD690E" w:rsidP="00AD690E">
      <w:pPr>
        <w:pStyle w:val="Notedebasdepage"/>
      </w:pPr>
      <w:r>
        <w:rPr>
          <w:rStyle w:val="Appelnotedebasdep"/>
        </w:rPr>
        <w:footnoteRef/>
      </w:r>
      <w:r>
        <w:t xml:space="preserve"> </w:t>
      </w:r>
      <w:r>
        <w:tab/>
      </w:r>
      <w:r w:rsidRPr="00304C2C">
        <w:rPr>
          <w:i/>
        </w:rPr>
        <w:t>Idem</w:t>
      </w:r>
      <w:r w:rsidRPr="00304C2C">
        <w:t>, pp. 432-433</w:t>
      </w:r>
    </w:p>
  </w:footnote>
  <w:footnote w:id="299">
    <w:p w:rsidR="00AD690E" w:rsidRDefault="00AD690E" w:rsidP="00AD690E">
      <w:pPr>
        <w:pStyle w:val="Notedebasdepage"/>
      </w:pPr>
      <w:r>
        <w:rPr>
          <w:rStyle w:val="Appelnotedebasdep"/>
        </w:rPr>
        <w:footnoteRef/>
      </w:r>
      <w:r>
        <w:t xml:space="preserve"> </w:t>
      </w:r>
      <w:r>
        <w:tab/>
      </w:r>
      <w:r w:rsidRPr="00304C2C">
        <w:t>Onzième rapport du Comité permanent des affaires extérieures et de la d</w:t>
      </w:r>
      <w:r w:rsidRPr="00304C2C">
        <w:t>é</w:t>
      </w:r>
      <w:r w:rsidRPr="00304C2C">
        <w:t>fense nationale au sujet des relations canado-américaines (Ian WAHN, pr</w:t>
      </w:r>
      <w:r w:rsidRPr="00304C2C">
        <w:t>é</w:t>
      </w:r>
      <w:r w:rsidRPr="00304C2C">
        <w:t>sident), Ottawa, 1970, page 15.</w:t>
      </w:r>
    </w:p>
  </w:footnote>
  <w:footnote w:id="300">
    <w:p w:rsidR="00AD690E" w:rsidRDefault="00AD690E" w:rsidP="00AD690E">
      <w:pPr>
        <w:pStyle w:val="Notedebasdepage"/>
      </w:pPr>
      <w:r>
        <w:rPr>
          <w:rStyle w:val="Appelnotedebasdep"/>
        </w:rPr>
        <w:footnoteRef/>
      </w:r>
      <w:r>
        <w:t xml:space="preserve"> </w:t>
      </w:r>
      <w:r>
        <w:tab/>
      </w:r>
      <w:r w:rsidRPr="00304C2C">
        <w:rPr>
          <w:i/>
        </w:rPr>
        <w:t>Idem</w:t>
      </w:r>
      <w:r w:rsidRPr="00304C2C">
        <w:t>.</w:t>
      </w:r>
    </w:p>
  </w:footnote>
  <w:footnote w:id="301">
    <w:p w:rsidR="00AD690E" w:rsidRDefault="00AD690E" w:rsidP="00AD690E">
      <w:pPr>
        <w:pStyle w:val="Notedebasdepage"/>
      </w:pPr>
      <w:r>
        <w:rPr>
          <w:rStyle w:val="Appelnotedebasdep"/>
        </w:rPr>
        <w:footnoteRef/>
      </w:r>
      <w:r>
        <w:t xml:space="preserve"> </w:t>
      </w:r>
      <w:r>
        <w:tab/>
      </w:r>
      <w:r w:rsidRPr="00304C2C">
        <w:rPr>
          <w:i/>
        </w:rPr>
        <w:t>Idem</w:t>
      </w:r>
      <w:r w:rsidRPr="00304C2C">
        <w:t>, p. 20.</w:t>
      </w:r>
    </w:p>
  </w:footnote>
  <w:footnote w:id="302">
    <w:p w:rsidR="00AD690E" w:rsidRDefault="00AD690E" w:rsidP="00AD690E">
      <w:pPr>
        <w:pStyle w:val="Notedebasdepage"/>
      </w:pPr>
      <w:r>
        <w:rPr>
          <w:rStyle w:val="Appelnotedebasdep"/>
        </w:rPr>
        <w:footnoteRef/>
      </w:r>
      <w:r>
        <w:t xml:space="preserve"> </w:t>
      </w:r>
      <w:r>
        <w:tab/>
      </w:r>
      <w:r w:rsidRPr="0067472C">
        <w:t xml:space="preserve">Publié aux Éditions Leméac/Le Devoir sous le titre : </w:t>
      </w:r>
      <w:r w:rsidRPr="0067472C">
        <w:rPr>
          <w:i/>
        </w:rPr>
        <w:t>Ce que nous co</w:t>
      </w:r>
      <w:r w:rsidRPr="0067472C">
        <w:rPr>
          <w:i/>
        </w:rPr>
        <w:t>û</w:t>
      </w:r>
      <w:r w:rsidRPr="0067472C">
        <w:rPr>
          <w:i/>
        </w:rPr>
        <w:t>tent les investissements étrangers</w:t>
      </w:r>
      <w:r w:rsidRPr="0067472C">
        <w:t>, avec un avant-propos de Claude Lemelin, 1971.</w:t>
      </w:r>
    </w:p>
  </w:footnote>
  <w:footnote w:id="303">
    <w:p w:rsidR="00AD690E" w:rsidRDefault="00AD690E" w:rsidP="00AD690E">
      <w:pPr>
        <w:pStyle w:val="Notedebasdepage"/>
      </w:pPr>
      <w:r>
        <w:rPr>
          <w:rStyle w:val="Appelnotedebasdep"/>
        </w:rPr>
        <w:footnoteRef/>
      </w:r>
      <w:r>
        <w:t xml:space="preserve"> </w:t>
      </w:r>
      <w:r>
        <w:tab/>
      </w:r>
      <w:r w:rsidRPr="0067472C">
        <w:rPr>
          <w:i/>
        </w:rPr>
        <w:t>Idem</w:t>
      </w:r>
      <w:r w:rsidRPr="0067472C">
        <w:t>, p. 13</w:t>
      </w:r>
      <w:r>
        <w:t>.</w:t>
      </w:r>
    </w:p>
  </w:footnote>
  <w:footnote w:id="304">
    <w:p w:rsidR="00AD690E" w:rsidRDefault="00AD690E" w:rsidP="00AD690E">
      <w:pPr>
        <w:pStyle w:val="Notedebasdepage"/>
      </w:pPr>
      <w:r>
        <w:rPr>
          <w:rStyle w:val="Appelnotedebasdep"/>
        </w:rPr>
        <w:footnoteRef/>
      </w:r>
      <w:r>
        <w:t xml:space="preserve"> </w:t>
      </w:r>
      <w:r>
        <w:tab/>
      </w:r>
      <w:r w:rsidRPr="0067472C">
        <w:rPr>
          <w:i/>
        </w:rPr>
        <w:t>Idem</w:t>
      </w:r>
      <w:r w:rsidRPr="0067472C">
        <w:t>, p. 26.</w:t>
      </w:r>
    </w:p>
  </w:footnote>
  <w:footnote w:id="305">
    <w:p w:rsidR="00AD690E" w:rsidRDefault="00AD690E" w:rsidP="00AD690E">
      <w:pPr>
        <w:pStyle w:val="Notedebasdepage"/>
      </w:pPr>
      <w:r>
        <w:rPr>
          <w:rStyle w:val="Appelnotedebasdep"/>
        </w:rPr>
        <w:footnoteRef/>
      </w:r>
      <w:r>
        <w:t xml:space="preserve"> </w:t>
      </w:r>
      <w:r>
        <w:tab/>
      </w:r>
      <w:r w:rsidRPr="007D2A63">
        <w:rPr>
          <w:i/>
        </w:rPr>
        <w:t>Idem</w:t>
      </w:r>
      <w:r w:rsidRPr="007D2A63">
        <w:t>, p. 119.</w:t>
      </w:r>
    </w:p>
  </w:footnote>
  <w:footnote w:id="306">
    <w:p w:rsidR="00AD690E" w:rsidRDefault="00AD690E" w:rsidP="00AD690E">
      <w:pPr>
        <w:pStyle w:val="Notedebasdepage"/>
      </w:pPr>
      <w:r>
        <w:rPr>
          <w:rStyle w:val="Appelnotedebasdep"/>
        </w:rPr>
        <w:footnoteRef/>
      </w:r>
      <w:r>
        <w:t xml:space="preserve"> </w:t>
      </w:r>
      <w:r>
        <w:tab/>
      </w:r>
      <w:r w:rsidRPr="007D2A63">
        <w:rPr>
          <w:i/>
        </w:rPr>
        <w:t>Idem</w:t>
      </w:r>
      <w:r w:rsidRPr="007D2A63">
        <w:t>, p. 202.</w:t>
      </w:r>
    </w:p>
  </w:footnote>
  <w:footnote w:id="307">
    <w:p w:rsidR="00AD690E" w:rsidRDefault="00AD690E" w:rsidP="00AD690E">
      <w:pPr>
        <w:pStyle w:val="Notedebasdepage"/>
      </w:pPr>
      <w:r>
        <w:rPr>
          <w:rStyle w:val="Appelnotedebasdep"/>
        </w:rPr>
        <w:footnoteRef/>
      </w:r>
      <w:r>
        <w:t xml:space="preserve"> </w:t>
      </w:r>
      <w:r>
        <w:tab/>
      </w:r>
      <w:r w:rsidRPr="007D2A63">
        <w:t xml:space="preserve">Conference Board, </w:t>
      </w:r>
      <w:r w:rsidRPr="007D2A63">
        <w:rPr>
          <w:i/>
        </w:rPr>
        <w:t>World Business Perspectives</w:t>
      </w:r>
      <w:r w:rsidRPr="007D2A63">
        <w:t>, n° 3, mai 1971.</w:t>
      </w:r>
    </w:p>
  </w:footnote>
  <w:footnote w:id="308">
    <w:p w:rsidR="00AD690E" w:rsidRDefault="00AD690E" w:rsidP="00AD690E">
      <w:pPr>
        <w:pStyle w:val="Notedebasdepage"/>
      </w:pPr>
      <w:r>
        <w:rPr>
          <w:rStyle w:val="Appelnotedebasdep"/>
        </w:rPr>
        <w:footnoteRef/>
      </w:r>
      <w:r>
        <w:t xml:space="preserve"> </w:t>
      </w:r>
      <w:r>
        <w:tab/>
      </w:r>
      <w:r w:rsidRPr="005B3DA8">
        <w:t>An Energy Policy for Canada, Ottawa, 1973</w:t>
      </w:r>
      <w:r w:rsidRPr="007D2A63">
        <w:t xml:space="preserve"> et </w:t>
      </w:r>
      <w:r w:rsidRPr="005B3DA8">
        <w:t>Canadian Annual Review of Politics and Public Affairs 1973,</w:t>
      </w:r>
      <w:r w:rsidRPr="007D2A63">
        <w:t xml:space="preserve"> University of Toronto Press, 1974, p</w:t>
      </w:r>
      <w:r w:rsidRPr="007D2A63">
        <w:t>a</w:t>
      </w:r>
      <w:r w:rsidRPr="007D2A63">
        <w:t>ge 228.</w:t>
      </w:r>
    </w:p>
  </w:footnote>
  <w:footnote w:id="309">
    <w:p w:rsidR="00AD690E" w:rsidRDefault="00AD690E" w:rsidP="00AD690E">
      <w:pPr>
        <w:pStyle w:val="Notedebasdepage"/>
      </w:pPr>
      <w:r>
        <w:rPr>
          <w:rStyle w:val="Appelnotedebasdep"/>
        </w:rPr>
        <w:footnoteRef/>
      </w:r>
      <w:r>
        <w:t xml:space="preserve"> </w:t>
      </w:r>
      <w:r>
        <w:tab/>
      </w:r>
      <w:r w:rsidRPr="00306A53">
        <w:t>Canadian Annual Review of Politics and Public Affairs 1975</w:t>
      </w:r>
      <w:r w:rsidRPr="00C93333">
        <w:t>, Unive</w:t>
      </w:r>
      <w:r w:rsidRPr="00C93333">
        <w:t>r</w:t>
      </w:r>
      <w:r w:rsidRPr="00C93333">
        <w:t>sity of Toronto Press, 1976, page 317.</w:t>
      </w:r>
    </w:p>
  </w:footnote>
  <w:footnote w:id="310">
    <w:p w:rsidR="00AD690E" w:rsidRDefault="00AD690E" w:rsidP="00AD690E">
      <w:pPr>
        <w:pStyle w:val="Notedebasdepage"/>
      </w:pPr>
      <w:r>
        <w:rPr>
          <w:rStyle w:val="Appelnotedebasdep"/>
        </w:rPr>
        <w:footnoteRef/>
      </w:r>
      <w:r>
        <w:t xml:space="preserve"> </w:t>
      </w:r>
      <w:r>
        <w:tab/>
      </w:r>
      <w:r w:rsidRPr="00C93333">
        <w:rPr>
          <w:i/>
        </w:rPr>
        <w:t>House of Commons Debates</w:t>
      </w:r>
      <w:r w:rsidRPr="00C93333">
        <w:t>, 27 février 1969, p. 6016. Cité par SAVOIE, D.J., « The Toppling of DREE and Prospects for Regional Economic Dev</w:t>
      </w:r>
      <w:r w:rsidRPr="00C93333">
        <w:t>e</w:t>
      </w:r>
      <w:r w:rsidRPr="00C93333">
        <w:t>lo</w:t>
      </w:r>
      <w:r w:rsidRPr="00C93333">
        <w:t>p</w:t>
      </w:r>
      <w:r w:rsidRPr="00C93333">
        <w:t xml:space="preserve">ment », dans </w:t>
      </w:r>
      <w:r w:rsidRPr="00C93333">
        <w:rPr>
          <w:i/>
        </w:rPr>
        <w:t>Analyse de politiques</w:t>
      </w:r>
      <w:r w:rsidRPr="00C93333">
        <w:t>, X, 3, 1984, pp. 328-337.</w:t>
      </w:r>
    </w:p>
  </w:footnote>
  <w:footnote w:id="311">
    <w:p w:rsidR="00AD690E" w:rsidRDefault="00AD690E" w:rsidP="00AD690E">
      <w:pPr>
        <w:pStyle w:val="Notedebasdepage"/>
      </w:pPr>
      <w:r>
        <w:rPr>
          <w:rStyle w:val="Appelnotedebasdep"/>
        </w:rPr>
        <w:footnoteRef/>
      </w:r>
      <w:r>
        <w:t xml:space="preserve"> </w:t>
      </w:r>
      <w:r>
        <w:tab/>
      </w:r>
      <w:r w:rsidRPr="00C93333">
        <w:t xml:space="preserve">HIGGINS, B. H., MARTIN, F., et RAYNAULD, A., </w:t>
      </w:r>
      <w:r w:rsidRPr="00C93333">
        <w:rPr>
          <w:i/>
        </w:rPr>
        <w:t>Les orient</w:t>
      </w:r>
      <w:r w:rsidRPr="00C93333">
        <w:rPr>
          <w:i/>
        </w:rPr>
        <w:t>a</w:t>
      </w:r>
      <w:r w:rsidRPr="00C93333">
        <w:rPr>
          <w:i/>
        </w:rPr>
        <w:t>tions de développement économique régional dans la province de Québec</w:t>
      </w:r>
      <w:r w:rsidRPr="00C93333">
        <w:t>, Ottawa, mini</w:t>
      </w:r>
      <w:r w:rsidRPr="00C93333">
        <w:t>s</w:t>
      </w:r>
      <w:r w:rsidRPr="00C93333">
        <w:t>tère de l'Expansion économique régionale, 1970.</w:t>
      </w:r>
    </w:p>
  </w:footnote>
  <w:footnote w:id="312">
    <w:p w:rsidR="00AD690E" w:rsidRDefault="00AD690E" w:rsidP="00AD690E">
      <w:pPr>
        <w:pStyle w:val="Notedebasdepage"/>
      </w:pPr>
      <w:r>
        <w:rPr>
          <w:rStyle w:val="Appelnotedebasdep"/>
        </w:rPr>
        <w:footnoteRef/>
      </w:r>
      <w:r>
        <w:t xml:space="preserve"> </w:t>
      </w:r>
      <w:r>
        <w:tab/>
      </w:r>
      <w:r w:rsidRPr="00EF01F1">
        <w:t xml:space="preserve">GRAFTEY, H, « Are Designated Areas the Right Answer ? », dans </w:t>
      </w:r>
      <w:r w:rsidRPr="00EF01F1">
        <w:rPr>
          <w:i/>
        </w:rPr>
        <w:t>Can</w:t>
      </w:r>
      <w:r w:rsidRPr="00EF01F1">
        <w:rPr>
          <w:i/>
        </w:rPr>
        <w:t>a</w:t>
      </w:r>
      <w:r w:rsidRPr="00EF01F1">
        <w:rPr>
          <w:i/>
        </w:rPr>
        <w:t>dian Business</w:t>
      </w:r>
      <w:r w:rsidRPr="00EF01F1">
        <w:t>, juin 1982, p. 27.</w:t>
      </w:r>
    </w:p>
  </w:footnote>
  <w:footnote w:id="313">
    <w:p w:rsidR="00AD690E" w:rsidRDefault="00AD690E" w:rsidP="00AD690E">
      <w:pPr>
        <w:pStyle w:val="Notedebasdepage"/>
      </w:pPr>
      <w:r>
        <w:rPr>
          <w:rStyle w:val="Appelnotedebasdep"/>
        </w:rPr>
        <w:footnoteRef/>
      </w:r>
      <w:r>
        <w:t xml:space="preserve"> </w:t>
      </w:r>
      <w:r>
        <w:tab/>
      </w:r>
      <w:r w:rsidRPr="00EF01F1">
        <w:t>TELLIER, M.-A., « Développement régional. La dernière chance d'Ott</w:t>
      </w:r>
      <w:r w:rsidRPr="00EF01F1">
        <w:t>a</w:t>
      </w:r>
      <w:r w:rsidRPr="00EF01F1">
        <w:t xml:space="preserve">wa : l'énergie », dans </w:t>
      </w:r>
      <w:r w:rsidRPr="00EF01F1">
        <w:rPr>
          <w:i/>
        </w:rPr>
        <w:t>Le Devoir</w:t>
      </w:r>
      <w:r w:rsidRPr="00EF01F1">
        <w:t>, 29 avril 1982.</w:t>
      </w:r>
    </w:p>
  </w:footnote>
  <w:footnote w:id="314">
    <w:p w:rsidR="00AD690E" w:rsidRDefault="00AD690E" w:rsidP="00AD690E">
      <w:pPr>
        <w:pStyle w:val="Notedebasdepage"/>
      </w:pPr>
      <w:r>
        <w:rPr>
          <w:rStyle w:val="Appelnotedebasdep"/>
        </w:rPr>
        <w:footnoteRef/>
      </w:r>
      <w:r>
        <w:t xml:space="preserve"> </w:t>
      </w:r>
      <w:r>
        <w:tab/>
      </w:r>
      <w:r w:rsidRPr="00EF01F1">
        <w:t>DESCOTEAUX, B., « Ottawa entend désormais demeurer le maître d'</w:t>
      </w:r>
      <w:r>
        <w:t>œ</w:t>
      </w:r>
      <w:r>
        <w:t>u</w:t>
      </w:r>
      <w:r w:rsidRPr="00EF01F1">
        <w:t>vre de ses interventions dans le domaine du développement r</w:t>
      </w:r>
      <w:r w:rsidRPr="00EF01F1">
        <w:t>é</w:t>
      </w:r>
      <w:r w:rsidRPr="00EF01F1">
        <w:t xml:space="preserve">gional », dans </w:t>
      </w:r>
      <w:r w:rsidRPr="00EF01F1">
        <w:rPr>
          <w:i/>
        </w:rPr>
        <w:t>Le Devoir</w:t>
      </w:r>
      <w:r w:rsidRPr="00EF01F1">
        <w:t>, 12 mars 1984, p. 6.</w:t>
      </w:r>
    </w:p>
  </w:footnote>
  <w:footnote w:id="315">
    <w:p w:rsidR="00AD690E" w:rsidRDefault="00AD690E" w:rsidP="00AD690E">
      <w:pPr>
        <w:pStyle w:val="Notedebasdepage"/>
      </w:pPr>
      <w:r>
        <w:rPr>
          <w:rStyle w:val="Appelnotedebasdep"/>
        </w:rPr>
        <w:footnoteRef/>
      </w:r>
      <w:r>
        <w:t xml:space="preserve"> </w:t>
      </w:r>
      <w:r>
        <w:tab/>
      </w:r>
      <w:r w:rsidRPr="00EF01F1">
        <w:t>DOERN, B., « The Mega-project episode and the formulation of C</w:t>
      </w:r>
      <w:r w:rsidRPr="00EF01F1">
        <w:t>a</w:t>
      </w:r>
      <w:r w:rsidRPr="00EF01F1">
        <w:t xml:space="preserve">nadian economic development policy », dans </w:t>
      </w:r>
      <w:r w:rsidRPr="00EF01F1">
        <w:rPr>
          <w:i/>
        </w:rPr>
        <w:t>Canadian Public Adm</w:t>
      </w:r>
      <w:r w:rsidRPr="00EF01F1">
        <w:rPr>
          <w:i/>
        </w:rPr>
        <w:t>i</w:t>
      </w:r>
      <w:r w:rsidRPr="00EF01F1">
        <w:rPr>
          <w:i/>
        </w:rPr>
        <w:t>nistration</w:t>
      </w:r>
      <w:r w:rsidRPr="00EF01F1">
        <w:t>, 26, 2, été 1983, p. 219-238.</w:t>
      </w:r>
    </w:p>
  </w:footnote>
  <w:footnote w:id="316">
    <w:p w:rsidR="00AD690E" w:rsidRDefault="00AD690E" w:rsidP="00AD690E">
      <w:pPr>
        <w:pStyle w:val="Notedebasdepage"/>
      </w:pPr>
      <w:r>
        <w:rPr>
          <w:rStyle w:val="Appelnotedebasdep"/>
        </w:rPr>
        <w:footnoteRef/>
      </w:r>
      <w:r>
        <w:t xml:space="preserve"> </w:t>
      </w:r>
      <w:r>
        <w:tab/>
      </w:r>
      <w:r w:rsidRPr="002E4137">
        <w:rPr>
          <w:i/>
        </w:rPr>
        <w:t>Idem</w:t>
      </w:r>
      <w:r w:rsidRPr="002E4137">
        <w:t>, p. 221.</w:t>
      </w:r>
    </w:p>
  </w:footnote>
  <w:footnote w:id="317">
    <w:p w:rsidR="00AD690E" w:rsidRDefault="00AD690E" w:rsidP="00AD690E">
      <w:pPr>
        <w:pStyle w:val="Notedebasdepage"/>
      </w:pPr>
      <w:r>
        <w:rPr>
          <w:rStyle w:val="Appelnotedebasdep"/>
        </w:rPr>
        <w:footnoteRef/>
      </w:r>
      <w:r>
        <w:t xml:space="preserve"> </w:t>
      </w:r>
      <w:r>
        <w:tab/>
      </w:r>
      <w:r w:rsidRPr="002E4137">
        <w:t xml:space="preserve">CANADA, ministère des Finances, </w:t>
      </w:r>
      <w:r w:rsidRPr="002E4137">
        <w:rPr>
          <w:i/>
        </w:rPr>
        <w:t>Revue économique, perspect</w:t>
      </w:r>
      <w:r w:rsidRPr="002E4137">
        <w:rPr>
          <w:i/>
        </w:rPr>
        <w:t>i</w:t>
      </w:r>
      <w:r w:rsidRPr="002E4137">
        <w:rPr>
          <w:i/>
        </w:rPr>
        <w:t>ve sur la décennie</w:t>
      </w:r>
      <w:r w:rsidRPr="002E4137">
        <w:t>, avril 1980, Ottawa, Approvisionnements et Serv</w:t>
      </w:r>
      <w:r w:rsidRPr="002E4137">
        <w:t>i</w:t>
      </w:r>
      <w:r w:rsidRPr="002E4137">
        <w:t>ces, p. 1.</w:t>
      </w:r>
    </w:p>
  </w:footnote>
  <w:footnote w:id="318">
    <w:p w:rsidR="00AD690E" w:rsidRDefault="00AD690E" w:rsidP="00AD690E">
      <w:pPr>
        <w:pStyle w:val="Notedebasdepage"/>
      </w:pPr>
      <w:r>
        <w:rPr>
          <w:rStyle w:val="Appelnotedebasdep"/>
        </w:rPr>
        <w:footnoteRef/>
      </w:r>
      <w:r>
        <w:t xml:space="preserve"> </w:t>
      </w:r>
      <w:r>
        <w:tab/>
      </w:r>
      <w:r w:rsidRPr="002E4137">
        <w:t>Voir à ce sujet, DOERN, B.G., « Economic-Policy Processes and organiz</w:t>
      </w:r>
      <w:r w:rsidRPr="002E4137">
        <w:t>a</w:t>
      </w:r>
      <w:r w:rsidRPr="002E4137">
        <w:t xml:space="preserve">tion », dans DOERN, B.G. et AUCOIN, P. (sous la direction de), </w:t>
      </w:r>
      <w:r w:rsidRPr="002E4137">
        <w:rPr>
          <w:i/>
        </w:rPr>
        <w:t>Public P</w:t>
      </w:r>
      <w:r w:rsidRPr="002E4137">
        <w:rPr>
          <w:i/>
        </w:rPr>
        <w:t>o</w:t>
      </w:r>
      <w:r w:rsidRPr="002E4137">
        <w:rPr>
          <w:i/>
        </w:rPr>
        <w:t>licy in Canada</w:t>
      </w:r>
      <w:r w:rsidRPr="002E4137">
        <w:t xml:space="preserve">, </w:t>
      </w:r>
      <w:r w:rsidRPr="00690D53">
        <w:rPr>
          <w:i/>
        </w:rPr>
        <w:t>Toronto</w:t>
      </w:r>
      <w:r w:rsidRPr="002E4137">
        <w:t>, Macmillan of Canada, 1979, pp. 62-105.</w:t>
      </w:r>
    </w:p>
  </w:footnote>
  <w:footnote w:id="319">
    <w:p w:rsidR="00AD690E" w:rsidRDefault="00AD690E" w:rsidP="00AD690E">
      <w:pPr>
        <w:pStyle w:val="Notedebasdepage"/>
      </w:pPr>
      <w:r>
        <w:rPr>
          <w:rStyle w:val="Appelnotedebasdep"/>
        </w:rPr>
        <w:footnoteRef/>
      </w:r>
      <w:r>
        <w:t xml:space="preserve"> </w:t>
      </w:r>
      <w:r>
        <w:tab/>
      </w:r>
      <w:r w:rsidRPr="002E4137">
        <w:t xml:space="preserve">Voir à ce sujet, DEWITT, D.B. et K1RTON, J.J., </w:t>
      </w:r>
      <w:r w:rsidRPr="002E4137">
        <w:rPr>
          <w:i/>
        </w:rPr>
        <w:t>Canada as a Princ</w:t>
      </w:r>
      <w:r w:rsidRPr="002E4137">
        <w:rPr>
          <w:i/>
        </w:rPr>
        <w:t>i</w:t>
      </w:r>
      <w:r w:rsidRPr="002E4137">
        <w:rPr>
          <w:i/>
        </w:rPr>
        <w:t>pal Power</w:t>
      </w:r>
      <w:r w:rsidRPr="002E4137">
        <w:t>, Toronto, John Wiley and Sons, 1983.</w:t>
      </w:r>
    </w:p>
  </w:footnote>
  <w:footnote w:id="320">
    <w:p w:rsidR="00AD690E" w:rsidRDefault="00AD690E" w:rsidP="00AD690E">
      <w:pPr>
        <w:pStyle w:val="Notedebasdepage"/>
      </w:pPr>
      <w:r>
        <w:rPr>
          <w:rStyle w:val="Appelnotedebasdep"/>
        </w:rPr>
        <w:footnoteRef/>
      </w:r>
      <w:r>
        <w:t xml:space="preserve"> </w:t>
      </w:r>
      <w:r>
        <w:tab/>
        <w:t>C</w:t>
      </w:r>
      <w:r w:rsidRPr="0080127E">
        <w:t xml:space="preserve">ANADA, Secrétaire d'État aux Affaires extérieures, </w:t>
      </w:r>
      <w:r w:rsidRPr="0080127E">
        <w:rPr>
          <w:i/>
        </w:rPr>
        <w:t>Politique étra</w:t>
      </w:r>
      <w:r w:rsidRPr="0080127E">
        <w:rPr>
          <w:i/>
        </w:rPr>
        <w:t>n</w:t>
      </w:r>
      <w:r w:rsidRPr="0080127E">
        <w:rPr>
          <w:i/>
        </w:rPr>
        <w:t>gère au service des Canadiens</w:t>
      </w:r>
      <w:r w:rsidRPr="0080127E">
        <w:t>, Ottawa, Approvisionnements et Serv</w:t>
      </w:r>
      <w:r w:rsidRPr="0080127E">
        <w:t>i</w:t>
      </w:r>
      <w:r w:rsidRPr="0080127E">
        <w:t>ces, 1970.</w:t>
      </w:r>
    </w:p>
  </w:footnote>
  <w:footnote w:id="321">
    <w:p w:rsidR="00AD690E" w:rsidRDefault="00AD690E" w:rsidP="00AD690E">
      <w:pPr>
        <w:pStyle w:val="Notedebasdepage"/>
      </w:pPr>
      <w:r>
        <w:rPr>
          <w:rStyle w:val="Appelnotedebasdep"/>
        </w:rPr>
        <w:footnoteRef/>
      </w:r>
      <w:r>
        <w:t xml:space="preserve"> </w:t>
      </w:r>
      <w:r>
        <w:tab/>
      </w:r>
      <w:r w:rsidRPr="0080127E">
        <w:t>SHARP, M., « Relations Canada/États-Unis : choix pour l'av</w:t>
      </w:r>
      <w:r w:rsidRPr="0080127E">
        <w:t>e</w:t>
      </w:r>
      <w:r w:rsidRPr="0080127E">
        <w:t xml:space="preserve">nir », dans </w:t>
      </w:r>
      <w:r w:rsidRPr="0080127E">
        <w:rPr>
          <w:i/>
        </w:rPr>
        <w:t>Perspectives internationales</w:t>
      </w:r>
      <w:r w:rsidRPr="0080127E">
        <w:t>, numéro spécial, automne 1972.</w:t>
      </w:r>
    </w:p>
  </w:footnote>
  <w:footnote w:id="322">
    <w:p w:rsidR="00AD690E" w:rsidRDefault="00AD690E" w:rsidP="00AD690E">
      <w:pPr>
        <w:pStyle w:val="Notedebasdepage"/>
      </w:pPr>
      <w:r>
        <w:rPr>
          <w:rStyle w:val="Appelnotedebasdep"/>
        </w:rPr>
        <w:footnoteRef/>
      </w:r>
      <w:r>
        <w:t xml:space="preserve"> </w:t>
      </w:r>
      <w:r>
        <w:tab/>
      </w:r>
      <w:r w:rsidRPr="0080127E">
        <w:t>Voir à ce sujet, HERVOUET, G., HUDON, R. et MACE, G., « La tro</w:t>
      </w:r>
      <w:r w:rsidRPr="0080127E">
        <w:t>i</w:t>
      </w:r>
      <w:r w:rsidRPr="0080127E">
        <w:t>sième option : la politique commerciale et au-delà », dans CAM</w:t>
      </w:r>
      <w:r w:rsidRPr="0080127E">
        <w:t>E</w:t>
      </w:r>
      <w:r w:rsidRPr="0080127E">
        <w:t xml:space="preserve">RON, D. et HOULE, F. (sous la direction de), </w:t>
      </w:r>
      <w:r w:rsidRPr="0080127E">
        <w:rPr>
          <w:i/>
        </w:rPr>
        <w:t>Le Canada et la nouvelle division inte</w:t>
      </w:r>
      <w:r w:rsidRPr="0080127E">
        <w:rPr>
          <w:i/>
        </w:rPr>
        <w:t>r</w:t>
      </w:r>
      <w:r w:rsidRPr="0080127E">
        <w:rPr>
          <w:i/>
        </w:rPr>
        <w:t>nationale du travail</w:t>
      </w:r>
      <w:r w:rsidRPr="0080127E">
        <w:t xml:space="preserve">, Ottawa, Éditions de l'Université d'Ottawa, 1985, pp. 145-180 ; et CLARKSON, S., </w:t>
      </w:r>
      <w:r w:rsidRPr="0080127E">
        <w:rPr>
          <w:i/>
        </w:rPr>
        <w:t>C</w:t>
      </w:r>
      <w:r w:rsidRPr="0080127E">
        <w:rPr>
          <w:i/>
        </w:rPr>
        <w:t>a</w:t>
      </w:r>
      <w:r w:rsidRPr="0080127E">
        <w:rPr>
          <w:i/>
        </w:rPr>
        <w:t>nada and the Reagan Challenge, Crisis and Adjustment</w:t>
      </w:r>
      <w:r w:rsidRPr="0080127E">
        <w:t>, Totonto, James Lor</w:t>
      </w:r>
      <w:r w:rsidRPr="0080127E">
        <w:t>i</w:t>
      </w:r>
      <w:r w:rsidRPr="0080127E">
        <w:t>mer, 1985</w:t>
      </w:r>
      <w:r>
        <w:t>.</w:t>
      </w:r>
    </w:p>
  </w:footnote>
  <w:footnote w:id="323">
    <w:p w:rsidR="00AD690E" w:rsidRDefault="00AD690E" w:rsidP="00AD690E">
      <w:pPr>
        <w:pStyle w:val="Notedebasdepage"/>
      </w:pPr>
      <w:r>
        <w:rPr>
          <w:rStyle w:val="Appelnotedebasdep"/>
        </w:rPr>
        <w:footnoteRef/>
      </w:r>
      <w:r>
        <w:t xml:space="preserve"> </w:t>
      </w:r>
      <w:r>
        <w:tab/>
      </w:r>
      <w:r w:rsidRPr="00851184">
        <w:t xml:space="preserve">Sur les débats sur la politique industrielle, voir notamment, FRENCH, R.D., </w:t>
      </w:r>
      <w:r w:rsidRPr="00851184">
        <w:rPr>
          <w:i/>
        </w:rPr>
        <w:t>How Ottawa Decides : Planning and Industrial Pol</w:t>
      </w:r>
      <w:r w:rsidRPr="00851184">
        <w:rPr>
          <w:i/>
        </w:rPr>
        <w:t>i</w:t>
      </w:r>
      <w:r w:rsidRPr="00851184">
        <w:rPr>
          <w:i/>
        </w:rPr>
        <w:t>cy Making, 1968-1980</w:t>
      </w:r>
      <w:r w:rsidRPr="00851184">
        <w:t xml:space="preserve">, Toronto, James Lorimer, 1980 ; et BOERN, B.D. et PHIDD, R.W., </w:t>
      </w:r>
      <w:r w:rsidRPr="00851184">
        <w:rPr>
          <w:i/>
        </w:rPr>
        <w:t>Can</w:t>
      </w:r>
      <w:r w:rsidRPr="00851184">
        <w:rPr>
          <w:i/>
        </w:rPr>
        <w:t>a</w:t>
      </w:r>
      <w:r w:rsidRPr="00851184">
        <w:rPr>
          <w:i/>
        </w:rPr>
        <w:t>dian Public Policy : Ideas, Structure, Process</w:t>
      </w:r>
      <w:r w:rsidRPr="00851184">
        <w:t>, Toronto, M</w:t>
      </w:r>
      <w:r w:rsidRPr="00851184">
        <w:t>e</w:t>
      </w:r>
      <w:r w:rsidRPr="00851184">
        <w:t>thuen, 1983.</w:t>
      </w:r>
    </w:p>
  </w:footnote>
  <w:footnote w:id="324">
    <w:p w:rsidR="00AD690E" w:rsidRDefault="00AD690E" w:rsidP="00AD690E">
      <w:pPr>
        <w:pStyle w:val="Notedebasdepage"/>
      </w:pPr>
      <w:r>
        <w:rPr>
          <w:rStyle w:val="Appelnotedebasdep"/>
        </w:rPr>
        <w:footnoteRef/>
      </w:r>
      <w:r>
        <w:t xml:space="preserve"> </w:t>
      </w:r>
      <w:r>
        <w:tab/>
      </w:r>
      <w:r w:rsidRPr="00851184">
        <w:t>Durant son dernier mandat, le gouvernement Trudeau tentera de renouer avec l'idée de gestion des relations commerciales, mais sans plus de succès qu'auparavant en raison, notamment, du refus de la part des États-Unis d'e</w:t>
      </w:r>
      <w:r w:rsidRPr="00851184">
        <w:t>n</w:t>
      </w:r>
      <w:r w:rsidRPr="00851184">
        <w:t>gager des négociations commerciales sur une base sectorielle comme le souhaitait celui-ci. (Voir à ce s</w:t>
      </w:r>
      <w:r w:rsidRPr="00851184">
        <w:t>u</w:t>
      </w:r>
      <w:r w:rsidRPr="00851184">
        <w:t xml:space="preserve">jet, DEWITT, D.B. et KIRTON, J., </w:t>
      </w:r>
      <w:r w:rsidRPr="00851184">
        <w:rPr>
          <w:i/>
        </w:rPr>
        <w:t>op. cit</w:t>
      </w:r>
      <w:r w:rsidRPr="00851184">
        <w:t xml:space="preserve">. ; et CANADA, Affaires extérieures, </w:t>
      </w:r>
      <w:r w:rsidRPr="00851184">
        <w:rPr>
          <w:i/>
        </w:rPr>
        <w:t>La politique commerciale du C</w:t>
      </w:r>
      <w:r w:rsidRPr="00851184">
        <w:rPr>
          <w:i/>
        </w:rPr>
        <w:t>a</w:t>
      </w:r>
      <w:r w:rsidRPr="00851184">
        <w:rPr>
          <w:i/>
        </w:rPr>
        <w:t>nada pour les années 80</w:t>
      </w:r>
      <w:r w:rsidRPr="00851184">
        <w:t xml:space="preserve">, </w:t>
      </w:r>
      <w:r w:rsidRPr="00690D53">
        <w:rPr>
          <w:i/>
        </w:rPr>
        <w:t>Document de travail,</w:t>
      </w:r>
      <w:r w:rsidRPr="00851184">
        <w:t xml:space="preserve"> Ottawa, Approvisionn</w:t>
      </w:r>
      <w:r w:rsidRPr="00851184">
        <w:t>e</w:t>
      </w:r>
      <w:r w:rsidRPr="00851184">
        <w:t>ments et services Canada, 1983.)</w:t>
      </w:r>
    </w:p>
  </w:footnote>
  <w:footnote w:id="325">
    <w:p w:rsidR="00AD690E" w:rsidRDefault="00AD690E" w:rsidP="00AD690E">
      <w:pPr>
        <w:pStyle w:val="Notedebasdepage"/>
      </w:pPr>
      <w:r>
        <w:rPr>
          <w:rStyle w:val="Appelnotedebasdep"/>
        </w:rPr>
        <w:footnoteRef/>
      </w:r>
      <w:r>
        <w:t xml:space="preserve"> </w:t>
      </w:r>
      <w:r>
        <w:tab/>
      </w:r>
      <w:r w:rsidRPr="00851184">
        <w:t xml:space="preserve">Un livre blanc, </w:t>
      </w:r>
      <w:r w:rsidRPr="00851184">
        <w:rPr>
          <w:i/>
        </w:rPr>
        <w:t>Offensive contre l'inflation</w:t>
      </w:r>
      <w:r w:rsidRPr="00851184">
        <w:t>, sera présenté en même temps que le bill C-73. Le bill C-73 imposait des limites aux augme</w:t>
      </w:r>
      <w:r w:rsidRPr="00851184">
        <w:t>n</w:t>
      </w:r>
      <w:r w:rsidRPr="00851184">
        <w:t>tations des marges bénéficiaires, des prix, des dividendes et surtout des rémunérations du travail. Il prévoyait également la mise sur pied d'une Commission cha</w:t>
      </w:r>
      <w:r w:rsidRPr="00851184">
        <w:t>r</w:t>
      </w:r>
      <w:r w:rsidRPr="00851184">
        <w:t>gée de surveiller l'application de la loi durant la durée prévue de son appl</w:t>
      </w:r>
      <w:r w:rsidRPr="00851184">
        <w:t>i</w:t>
      </w:r>
      <w:r w:rsidRPr="00851184">
        <w:t>cation.</w:t>
      </w:r>
    </w:p>
  </w:footnote>
  <w:footnote w:id="326">
    <w:p w:rsidR="00AD690E" w:rsidRDefault="00AD690E" w:rsidP="00AD690E">
      <w:pPr>
        <w:pStyle w:val="Notedebasdepage"/>
      </w:pPr>
      <w:r>
        <w:rPr>
          <w:rStyle w:val="Appelnotedebasdep"/>
        </w:rPr>
        <w:footnoteRef/>
      </w:r>
      <w:r>
        <w:t xml:space="preserve"> </w:t>
      </w:r>
      <w:r>
        <w:tab/>
      </w:r>
      <w:r w:rsidRPr="00851184">
        <w:t>Sur le tournant dans les politiques, voir notamment l'introdu</w:t>
      </w:r>
      <w:r w:rsidRPr="00851184">
        <w:t>c</w:t>
      </w:r>
      <w:r w:rsidRPr="00851184">
        <w:t xml:space="preserve">tion du livre de LAMONTAGNE, M., </w:t>
      </w:r>
      <w:r w:rsidRPr="00851184">
        <w:rPr>
          <w:i/>
        </w:rPr>
        <w:t>Business</w:t>
      </w:r>
      <w:r w:rsidRPr="00851184">
        <w:t xml:space="preserve"> </w:t>
      </w:r>
      <w:r w:rsidRPr="00851184">
        <w:rPr>
          <w:i/>
        </w:rPr>
        <w:t>Cycles in Canada, the Postwar Exp</w:t>
      </w:r>
      <w:r w:rsidRPr="00851184">
        <w:rPr>
          <w:i/>
        </w:rPr>
        <w:t>e</w:t>
      </w:r>
      <w:r w:rsidRPr="00851184">
        <w:rPr>
          <w:i/>
        </w:rPr>
        <w:t>rience and Policy Directions</w:t>
      </w:r>
      <w:r w:rsidRPr="00851184">
        <w:t>, Ottawa, Canadian Instit</w:t>
      </w:r>
      <w:r w:rsidRPr="00851184">
        <w:t>u</w:t>
      </w:r>
      <w:r w:rsidRPr="00851184">
        <w:t>te for Economic Policy, 1984.</w:t>
      </w:r>
    </w:p>
  </w:footnote>
  <w:footnote w:id="327">
    <w:p w:rsidR="00AD690E" w:rsidRDefault="00AD690E" w:rsidP="00AD690E">
      <w:pPr>
        <w:pStyle w:val="Notedebasdepage"/>
      </w:pPr>
      <w:r>
        <w:rPr>
          <w:rStyle w:val="Appelnotedebasdep"/>
        </w:rPr>
        <w:footnoteRef/>
      </w:r>
      <w:r>
        <w:t xml:space="preserve"> </w:t>
      </w:r>
      <w:r>
        <w:tab/>
      </w:r>
      <w:r w:rsidRPr="00851184">
        <w:t>Le Programme limitait les hausses salariales dans le secteur public à 6 et 5% par année et invitait le secteur privé à se conformer volontairement à ses no</w:t>
      </w:r>
      <w:r w:rsidRPr="00851184">
        <w:t>r</w:t>
      </w:r>
      <w:r w:rsidRPr="00851184">
        <w:t>mes</w:t>
      </w:r>
      <w:r>
        <w:t>.</w:t>
      </w:r>
    </w:p>
  </w:footnote>
  <w:footnote w:id="328">
    <w:p w:rsidR="00AD690E" w:rsidRDefault="00AD690E" w:rsidP="00AD690E">
      <w:pPr>
        <w:pStyle w:val="Notedebasdepage"/>
      </w:pPr>
      <w:r>
        <w:rPr>
          <w:rStyle w:val="Appelnotedebasdep"/>
        </w:rPr>
        <w:footnoteRef/>
      </w:r>
      <w:r>
        <w:t xml:space="preserve"> </w:t>
      </w:r>
      <w:r>
        <w:tab/>
      </w:r>
      <w:r w:rsidRPr="00851184">
        <w:t>LE COLLECTIF, « Emploi et politiques économiques au Can</w:t>
      </w:r>
      <w:r w:rsidRPr="00851184">
        <w:t>a</w:t>
      </w:r>
      <w:r w:rsidRPr="00851184">
        <w:t xml:space="preserve">da », dans </w:t>
      </w:r>
      <w:r w:rsidRPr="00851184">
        <w:rPr>
          <w:i/>
        </w:rPr>
        <w:t>Interventions économiques</w:t>
      </w:r>
      <w:r w:rsidRPr="00851184">
        <w:t>, printemps 1984, pp. 91-108.</w:t>
      </w:r>
    </w:p>
  </w:footnote>
  <w:footnote w:id="329">
    <w:p w:rsidR="00AD690E" w:rsidRDefault="00AD690E" w:rsidP="00AD690E">
      <w:pPr>
        <w:pStyle w:val="Notedebasdepage"/>
      </w:pPr>
      <w:r>
        <w:rPr>
          <w:rStyle w:val="Appelnotedebasdep"/>
        </w:rPr>
        <w:footnoteRef/>
      </w:r>
      <w:r>
        <w:t xml:space="preserve"> </w:t>
      </w:r>
      <w:r>
        <w:tab/>
      </w:r>
      <w:r w:rsidRPr="002D08D4">
        <w:t>Voir à ce sujet, DEBLOCK, C, « La politique économique can</w:t>
      </w:r>
      <w:r w:rsidRPr="002D08D4">
        <w:t>a</w:t>
      </w:r>
      <w:r w:rsidRPr="002D08D4">
        <w:t>dienne, une rétrospective », dans DEBLOCK, C. et ARTEAU, R. (sous la dire</w:t>
      </w:r>
      <w:r w:rsidRPr="002D08D4">
        <w:t>c</w:t>
      </w:r>
      <w:r w:rsidRPr="002D08D4">
        <w:t xml:space="preserve">tion de), La </w:t>
      </w:r>
      <w:r w:rsidRPr="002D08D4">
        <w:rPr>
          <w:i/>
        </w:rPr>
        <w:t>politique économique canadienne à l'épreuve du continentalisme</w:t>
      </w:r>
      <w:r w:rsidRPr="002D08D4">
        <w:t>, Mo</w:t>
      </w:r>
      <w:r w:rsidRPr="002D08D4">
        <w:t>n</w:t>
      </w:r>
      <w:r w:rsidRPr="002D08D4">
        <w:t>tréal, GRÉTSÉ/ACFAS, Politique et écon</w:t>
      </w:r>
      <w:r w:rsidRPr="002D08D4">
        <w:t>o</w:t>
      </w:r>
      <w:r w:rsidRPr="002D08D4">
        <w:t>mie, n° 8, pp. 15-40</w:t>
      </w:r>
      <w:r>
        <w:t>.</w:t>
      </w:r>
    </w:p>
  </w:footnote>
  <w:footnote w:id="330">
    <w:p w:rsidR="00AD690E" w:rsidRDefault="00AD690E" w:rsidP="00AD690E">
      <w:pPr>
        <w:pStyle w:val="Notedebasdepage"/>
      </w:pPr>
      <w:r>
        <w:rPr>
          <w:rStyle w:val="Appelnotedebasdep"/>
        </w:rPr>
        <w:footnoteRef/>
      </w:r>
      <w:r>
        <w:t xml:space="preserve"> </w:t>
      </w:r>
      <w:r>
        <w:tab/>
      </w:r>
      <w:r w:rsidRPr="002D08D4">
        <w:t>CANADA, ministère des Finances, novembre 1981.</w:t>
      </w:r>
    </w:p>
  </w:footnote>
  <w:footnote w:id="331">
    <w:p w:rsidR="00AD690E" w:rsidRDefault="00AD690E" w:rsidP="00AD690E">
      <w:pPr>
        <w:pStyle w:val="Notedebasdepage"/>
      </w:pPr>
      <w:r>
        <w:rPr>
          <w:rStyle w:val="Appelnotedebasdep"/>
        </w:rPr>
        <w:footnoteRef/>
      </w:r>
      <w:r>
        <w:t xml:space="preserve"> </w:t>
      </w:r>
      <w:r>
        <w:tab/>
      </w:r>
      <w:r w:rsidRPr="002D08D4">
        <w:t>Voir à ce sujet, DOERN, B., « The Mega-project episode and the formul</w:t>
      </w:r>
      <w:r w:rsidRPr="002D08D4">
        <w:t>a</w:t>
      </w:r>
      <w:r w:rsidRPr="002D08D4">
        <w:t xml:space="preserve">tion of Canadian economic development policy », dans </w:t>
      </w:r>
      <w:r w:rsidRPr="002D08D4">
        <w:rPr>
          <w:i/>
        </w:rPr>
        <w:t>Can</w:t>
      </w:r>
      <w:r w:rsidRPr="002D08D4">
        <w:rPr>
          <w:i/>
        </w:rPr>
        <w:t>a</w:t>
      </w:r>
      <w:r w:rsidRPr="002D08D4">
        <w:rPr>
          <w:i/>
        </w:rPr>
        <w:t>dian Public Administration</w:t>
      </w:r>
      <w:r w:rsidRPr="002D08D4">
        <w:t>, 26, 2, été 1983, pp. 219-238.</w:t>
      </w:r>
    </w:p>
  </w:footnote>
  <w:footnote w:id="332">
    <w:p w:rsidR="00AD690E" w:rsidRDefault="00AD690E" w:rsidP="00AD690E">
      <w:pPr>
        <w:pStyle w:val="Notedebasdepage"/>
      </w:pPr>
      <w:r>
        <w:rPr>
          <w:rStyle w:val="Appelnotedebasdep"/>
        </w:rPr>
        <w:footnoteRef/>
      </w:r>
      <w:r>
        <w:t xml:space="preserve"> </w:t>
      </w:r>
      <w:r>
        <w:tab/>
      </w:r>
      <w:r w:rsidRPr="002D08D4">
        <w:t>CANADA, Groupe de travail consultatif sur les avantages industriels et r</w:t>
      </w:r>
      <w:r w:rsidRPr="002D08D4">
        <w:t>é</w:t>
      </w:r>
      <w:r w:rsidRPr="002D08D4">
        <w:t xml:space="preserve">gionaux de certains grands projets canadiens, </w:t>
      </w:r>
      <w:r w:rsidRPr="002D08D4">
        <w:rPr>
          <w:i/>
        </w:rPr>
        <w:t>Mégaprojets canadiens : av</w:t>
      </w:r>
      <w:r w:rsidRPr="002D08D4">
        <w:rPr>
          <w:i/>
        </w:rPr>
        <w:t>e</w:t>
      </w:r>
      <w:r w:rsidRPr="002D08D4">
        <w:rPr>
          <w:i/>
        </w:rPr>
        <w:t>nir prometteur pour le Canada</w:t>
      </w:r>
      <w:r w:rsidRPr="002D08D4">
        <w:t>, Ottawa, 1981.</w:t>
      </w:r>
    </w:p>
  </w:footnote>
  <w:footnote w:id="333">
    <w:p w:rsidR="00AD690E" w:rsidRDefault="00AD690E" w:rsidP="00AD690E">
      <w:pPr>
        <w:pStyle w:val="Notedebasdepage"/>
      </w:pPr>
      <w:r>
        <w:rPr>
          <w:rStyle w:val="Appelnotedebasdep"/>
        </w:rPr>
        <w:footnoteRef/>
      </w:r>
      <w:r>
        <w:t xml:space="preserve"> </w:t>
      </w:r>
      <w:r>
        <w:tab/>
      </w:r>
      <w:r w:rsidRPr="00294D1A">
        <w:rPr>
          <w:szCs w:val="18"/>
        </w:rPr>
        <w:t>LESLIE, P.,</w:t>
      </w:r>
      <w:r>
        <w:rPr>
          <w:szCs w:val="18"/>
        </w:rPr>
        <w:t xml:space="preserve"> </w:t>
      </w:r>
      <w:r w:rsidRPr="00082DA2">
        <w:rPr>
          <w:i/>
        </w:rPr>
        <w:t>Federal State, national Economy,</w:t>
      </w:r>
      <w:r>
        <w:t xml:space="preserve"> Toronto University of Toro</w:t>
      </w:r>
      <w:r>
        <w:t>n</w:t>
      </w:r>
      <w:r>
        <w:t>to Press, 1987</w:t>
      </w:r>
    </w:p>
  </w:footnote>
  <w:footnote w:id="334">
    <w:p w:rsidR="00AD690E" w:rsidRDefault="00AD690E" w:rsidP="00AD690E">
      <w:pPr>
        <w:pStyle w:val="Notedebasdepage"/>
      </w:pPr>
      <w:r>
        <w:rPr>
          <w:rStyle w:val="Appelnotedebasdep"/>
        </w:rPr>
        <w:footnoteRef/>
      </w:r>
      <w:r>
        <w:t xml:space="preserve"> </w:t>
      </w:r>
      <w:r>
        <w:tab/>
      </w:r>
      <w:r w:rsidRPr="0087256D">
        <w:t>TREBILCOCK, M.J., PRICHARD, J.R.S., COURCHESNE T.J., WHA</w:t>
      </w:r>
      <w:r w:rsidRPr="0087256D">
        <w:t>L</w:t>
      </w:r>
      <w:r w:rsidRPr="0087256D">
        <w:t xml:space="preserve">LEY, J., </w:t>
      </w:r>
      <w:r w:rsidRPr="0087256D">
        <w:rPr>
          <w:i/>
        </w:rPr>
        <w:t>Federalism and the Canadian Economic Union</w:t>
      </w:r>
      <w:r w:rsidRPr="0087256D">
        <w:t>, T</w:t>
      </w:r>
      <w:r w:rsidRPr="0087256D">
        <w:t>o</w:t>
      </w:r>
      <w:r w:rsidRPr="0087256D">
        <w:t>ronto, Ontario Economic Council, 1983, p. 48.</w:t>
      </w:r>
    </w:p>
  </w:footnote>
  <w:footnote w:id="335">
    <w:p w:rsidR="00AD690E" w:rsidRDefault="00AD690E" w:rsidP="00AD690E">
      <w:pPr>
        <w:pStyle w:val="Notedebasdepage"/>
      </w:pPr>
      <w:r>
        <w:rPr>
          <w:rStyle w:val="Appelnotedebasdep"/>
        </w:rPr>
        <w:footnoteRef/>
      </w:r>
      <w:r>
        <w:t xml:space="preserve"> </w:t>
      </w:r>
      <w:r>
        <w:tab/>
      </w:r>
      <w:r w:rsidRPr="00B04C26">
        <w:t xml:space="preserve">LAZAR, F., « The National Economy », in </w:t>
      </w:r>
      <w:r w:rsidRPr="00B04C26">
        <w:rPr>
          <w:i/>
        </w:rPr>
        <w:t>Canadian Annual R</w:t>
      </w:r>
      <w:r w:rsidRPr="00B04C26">
        <w:rPr>
          <w:i/>
        </w:rPr>
        <w:t>e</w:t>
      </w:r>
      <w:r w:rsidRPr="00B04C26">
        <w:rPr>
          <w:i/>
        </w:rPr>
        <w:t>view of Politics and Public Affairs 1977</w:t>
      </w:r>
      <w:r w:rsidRPr="00B04C26">
        <w:t>, édité par John Saywell, University of T</w:t>
      </w:r>
      <w:r w:rsidRPr="00B04C26">
        <w:t>o</w:t>
      </w:r>
      <w:r w:rsidRPr="00B04C26">
        <w:t>ronto Press, 1979, p. 335.</w:t>
      </w:r>
    </w:p>
  </w:footnote>
  <w:footnote w:id="336">
    <w:p w:rsidR="00AD690E" w:rsidRDefault="00AD690E" w:rsidP="00AD690E">
      <w:pPr>
        <w:pStyle w:val="Notedebasdepage"/>
      </w:pPr>
      <w:r>
        <w:rPr>
          <w:rStyle w:val="Appelnotedebasdep"/>
        </w:rPr>
        <w:footnoteRef/>
      </w:r>
      <w:r>
        <w:t xml:space="preserve"> </w:t>
      </w:r>
      <w:r>
        <w:tab/>
      </w:r>
      <w:r w:rsidRPr="0092495C">
        <w:t xml:space="preserve">HODGINS, B., </w:t>
      </w:r>
      <w:r w:rsidRPr="0092495C">
        <w:rPr>
          <w:i/>
        </w:rPr>
        <w:t>Where the Economy and the Constitution Meet in Can</w:t>
      </w:r>
      <w:r w:rsidRPr="0092495C">
        <w:rPr>
          <w:i/>
        </w:rPr>
        <w:t>a</w:t>
      </w:r>
      <w:r w:rsidRPr="0092495C">
        <w:rPr>
          <w:i/>
        </w:rPr>
        <w:t>da</w:t>
      </w:r>
      <w:r w:rsidRPr="0092495C">
        <w:t>, Montréal, CD. Howe Institute, 1981, p. 44.</w:t>
      </w:r>
    </w:p>
  </w:footnote>
  <w:footnote w:id="337">
    <w:p w:rsidR="00AD690E" w:rsidRDefault="00AD690E" w:rsidP="00AD690E">
      <w:pPr>
        <w:pStyle w:val="Notedebasdepage"/>
      </w:pPr>
      <w:r>
        <w:rPr>
          <w:rStyle w:val="Appelnotedebasdep"/>
        </w:rPr>
        <w:footnoteRef/>
      </w:r>
      <w:r>
        <w:t xml:space="preserve"> </w:t>
      </w:r>
      <w:r>
        <w:tab/>
      </w:r>
      <w:r w:rsidRPr="0092495C">
        <w:t>JENKIN, M</w:t>
      </w:r>
      <w:r w:rsidRPr="0078072E">
        <w:rPr>
          <w:i/>
        </w:rPr>
        <w:t>., Le défi de la coopération. La politique industrie</w:t>
      </w:r>
      <w:r w:rsidRPr="0078072E">
        <w:rPr>
          <w:i/>
        </w:rPr>
        <w:t>l</w:t>
      </w:r>
      <w:r w:rsidRPr="0078072E">
        <w:rPr>
          <w:i/>
        </w:rPr>
        <w:t>le dans la fédération canadienne</w:t>
      </w:r>
      <w:r w:rsidRPr="0092495C">
        <w:t>, Ottawa, Conseil des sciences du C</w:t>
      </w:r>
      <w:r w:rsidRPr="0092495C">
        <w:t>a</w:t>
      </w:r>
      <w:r w:rsidRPr="0092495C">
        <w:t>nada, Études de doc</w:t>
      </w:r>
      <w:r w:rsidRPr="0092495C">
        <w:t>u</w:t>
      </w:r>
      <w:r w:rsidRPr="0092495C">
        <w:t>mentation n° 50, 1983, p. 179.</w:t>
      </w:r>
    </w:p>
  </w:footnote>
  <w:footnote w:id="338">
    <w:p w:rsidR="00AD690E" w:rsidRDefault="00AD690E" w:rsidP="00AD690E">
      <w:pPr>
        <w:pStyle w:val="Notedebasdepage"/>
      </w:pPr>
      <w:r>
        <w:rPr>
          <w:rStyle w:val="Appelnotedebasdep"/>
        </w:rPr>
        <w:footnoteRef/>
      </w:r>
      <w:r>
        <w:t xml:space="preserve"> </w:t>
      </w:r>
      <w:r>
        <w:tab/>
      </w:r>
      <w:r w:rsidRPr="0092495C">
        <w:rPr>
          <w:i/>
        </w:rPr>
        <w:t>Idem</w:t>
      </w:r>
      <w:r w:rsidRPr="0092495C">
        <w:t>, p. 202.</w:t>
      </w:r>
    </w:p>
  </w:footnote>
  <w:footnote w:id="339">
    <w:p w:rsidR="00AD690E" w:rsidRDefault="00AD690E" w:rsidP="00AD690E">
      <w:pPr>
        <w:pStyle w:val="Notedebasdepage"/>
      </w:pPr>
      <w:r>
        <w:rPr>
          <w:rStyle w:val="Appelnotedebasdep"/>
        </w:rPr>
        <w:footnoteRef/>
      </w:r>
      <w:r>
        <w:t xml:space="preserve"> </w:t>
      </w:r>
      <w:r>
        <w:tab/>
      </w:r>
      <w:r w:rsidRPr="00C256FF">
        <w:t>DE MÉNIL, G., Les sommets économiques : les politiques nati</w:t>
      </w:r>
      <w:r w:rsidRPr="00C256FF">
        <w:t>o</w:t>
      </w:r>
      <w:r w:rsidRPr="00C256FF">
        <w:t>nales à l'heure de l'interdépendance, Paris, Ec</w:t>
      </w:r>
      <w:r w:rsidRPr="00C256FF">
        <w:rPr>
          <w:i/>
        </w:rPr>
        <w:t>o</w:t>
      </w:r>
      <w:r w:rsidRPr="00C256FF">
        <w:t>nomica, 1983, page 10.</w:t>
      </w:r>
    </w:p>
  </w:footnote>
  <w:footnote w:id="340">
    <w:p w:rsidR="00AD690E" w:rsidRDefault="00AD690E" w:rsidP="00AD690E">
      <w:pPr>
        <w:pStyle w:val="Notedebasdepage"/>
      </w:pPr>
      <w:r>
        <w:rPr>
          <w:rStyle w:val="Appelnotedebasdep"/>
        </w:rPr>
        <w:footnoteRef/>
      </w:r>
      <w:r>
        <w:t xml:space="preserve"> </w:t>
      </w:r>
      <w:r>
        <w:tab/>
      </w:r>
      <w:r w:rsidRPr="00C256FF">
        <w:rPr>
          <w:i/>
        </w:rPr>
        <w:t>Idem</w:t>
      </w:r>
      <w:r w:rsidRPr="00C256FF">
        <w:t>, pages 10-11.</w:t>
      </w:r>
    </w:p>
  </w:footnote>
  <w:footnote w:id="341">
    <w:p w:rsidR="00AD690E" w:rsidRDefault="00AD690E" w:rsidP="00AD690E">
      <w:pPr>
        <w:pStyle w:val="Notedebasdepage"/>
      </w:pPr>
      <w:r>
        <w:rPr>
          <w:rStyle w:val="Appelnotedebasdep"/>
        </w:rPr>
        <w:footnoteRef/>
      </w:r>
      <w:r>
        <w:t xml:space="preserve"> </w:t>
      </w:r>
      <w:r>
        <w:tab/>
      </w:r>
      <w:r w:rsidRPr="0081599C">
        <w:t>Rappelons, pour mémoire, les noms des pays participants : États-Unis, Fra</w:t>
      </w:r>
      <w:r w:rsidRPr="0081599C">
        <w:t>n</w:t>
      </w:r>
      <w:r w:rsidRPr="0081599C">
        <w:t>ce, Allemagne, Angleterre, Italie et Japon.</w:t>
      </w:r>
    </w:p>
  </w:footnote>
  <w:footnote w:id="342">
    <w:p w:rsidR="00AD690E" w:rsidRDefault="00AD690E" w:rsidP="00AD690E">
      <w:pPr>
        <w:pStyle w:val="Notedebasdepage"/>
      </w:pPr>
      <w:r>
        <w:rPr>
          <w:rStyle w:val="Appelnotedebasdep"/>
        </w:rPr>
        <w:footnoteRef/>
      </w:r>
      <w:r>
        <w:t xml:space="preserve"> </w:t>
      </w:r>
      <w:r>
        <w:tab/>
      </w:r>
      <w:r w:rsidRPr="0081599C">
        <w:t xml:space="preserve">DE MENIL, G., </w:t>
      </w:r>
      <w:r w:rsidRPr="0081599C">
        <w:rPr>
          <w:i/>
        </w:rPr>
        <w:t>op.cit</w:t>
      </w:r>
      <w:r w:rsidRPr="0081599C">
        <w:t>., page 23.</w:t>
      </w:r>
    </w:p>
  </w:footnote>
  <w:footnote w:id="343">
    <w:p w:rsidR="00AD690E" w:rsidRDefault="00AD690E" w:rsidP="00AD690E">
      <w:pPr>
        <w:pStyle w:val="Notedebasdepage"/>
      </w:pPr>
      <w:r>
        <w:rPr>
          <w:rStyle w:val="Appelnotedebasdep"/>
        </w:rPr>
        <w:footnoteRef/>
      </w:r>
      <w:r>
        <w:t xml:space="preserve"> </w:t>
      </w:r>
      <w:r>
        <w:tab/>
      </w:r>
      <w:r w:rsidRPr="0081599C">
        <w:rPr>
          <w:i/>
        </w:rPr>
        <w:t>Idem</w:t>
      </w:r>
      <w:r w:rsidRPr="0081599C">
        <w:t>, page 33.</w:t>
      </w:r>
    </w:p>
  </w:footnote>
  <w:footnote w:id="344">
    <w:p w:rsidR="00AD690E" w:rsidRDefault="00AD690E" w:rsidP="00AD690E">
      <w:pPr>
        <w:pStyle w:val="Notedebasdepage"/>
      </w:pPr>
      <w:r>
        <w:rPr>
          <w:rStyle w:val="Appelnotedebasdep"/>
        </w:rPr>
        <w:footnoteRef/>
      </w:r>
      <w:r>
        <w:t xml:space="preserve"> </w:t>
      </w:r>
      <w:r>
        <w:tab/>
      </w:r>
      <w:r w:rsidRPr="0078072E">
        <w:rPr>
          <w:i/>
        </w:rPr>
        <w:t>Idem</w:t>
      </w:r>
      <w:r>
        <w:t>.</w:t>
      </w:r>
    </w:p>
  </w:footnote>
  <w:footnote w:id="345">
    <w:p w:rsidR="00AD690E" w:rsidRDefault="00AD690E" w:rsidP="00AD690E">
      <w:pPr>
        <w:pStyle w:val="Notedebasdepage"/>
      </w:pPr>
      <w:r>
        <w:rPr>
          <w:rStyle w:val="Appelnotedebasdep"/>
        </w:rPr>
        <w:footnoteRef/>
      </w:r>
      <w:r>
        <w:tab/>
        <w:t xml:space="preserve"> </w:t>
      </w:r>
      <w:r w:rsidRPr="00D7275E">
        <w:rPr>
          <w:i/>
        </w:rPr>
        <w:t>Idem</w:t>
      </w:r>
      <w:r w:rsidRPr="00D7275E">
        <w:t>, page 45.</w:t>
      </w:r>
    </w:p>
  </w:footnote>
  <w:footnote w:id="346">
    <w:p w:rsidR="00AD690E" w:rsidRDefault="00AD690E" w:rsidP="00AD690E">
      <w:pPr>
        <w:pStyle w:val="Notedebasdepage"/>
      </w:pPr>
      <w:r>
        <w:rPr>
          <w:rStyle w:val="Appelnotedebasdep"/>
        </w:rPr>
        <w:footnoteRef/>
      </w:r>
      <w:r>
        <w:t xml:space="preserve"> </w:t>
      </w:r>
      <w:r>
        <w:tab/>
      </w:r>
      <w:r w:rsidRPr="001C58A8">
        <w:t>On réfère souvent à cette opposition à l'aide des concepts de « nation bui</w:t>
      </w:r>
      <w:r w:rsidRPr="001C58A8">
        <w:t>l</w:t>
      </w:r>
      <w:r w:rsidRPr="001C58A8">
        <w:t>ding » vs « province building ». Pour une discussion récente, voir LIT</w:t>
      </w:r>
      <w:r w:rsidRPr="001C58A8">
        <w:t>H</w:t>
      </w:r>
      <w:r w:rsidRPr="001C58A8">
        <w:t xml:space="preserve">WTCK, H., « Regional development policies : context and consequences » pp. 121-155 ; COFFEY, W. et POLESE, M. (éd.), </w:t>
      </w:r>
      <w:r w:rsidRPr="001C58A8">
        <w:rPr>
          <w:i/>
        </w:rPr>
        <w:t>Still living together : r</w:t>
      </w:r>
      <w:r w:rsidRPr="001C58A8">
        <w:rPr>
          <w:i/>
        </w:rPr>
        <w:t>e</w:t>
      </w:r>
      <w:r w:rsidRPr="001C58A8">
        <w:rPr>
          <w:i/>
        </w:rPr>
        <w:t>cent trends and future directions in canadian regional development</w:t>
      </w:r>
      <w:r w:rsidRPr="001C58A8">
        <w:t>, Mo</w:t>
      </w:r>
      <w:r w:rsidRPr="001C58A8">
        <w:t>n</w:t>
      </w:r>
      <w:r w:rsidRPr="001C58A8">
        <w:t>tréal : Institut de recherches p</w:t>
      </w:r>
      <w:r w:rsidRPr="001C58A8">
        <w:t>o</w:t>
      </w:r>
      <w:r w:rsidRPr="001C58A8">
        <w:t>litiques, 1987.</w:t>
      </w:r>
    </w:p>
  </w:footnote>
  <w:footnote w:id="347">
    <w:p w:rsidR="00AD690E" w:rsidRDefault="00AD690E" w:rsidP="00AD690E">
      <w:pPr>
        <w:pStyle w:val="Notedebasdepage"/>
      </w:pPr>
      <w:r>
        <w:rPr>
          <w:rStyle w:val="Appelnotedebasdep"/>
        </w:rPr>
        <w:footnoteRef/>
      </w:r>
      <w:r>
        <w:t xml:space="preserve"> </w:t>
      </w:r>
      <w:r>
        <w:tab/>
      </w:r>
      <w:r w:rsidRPr="001C58A8">
        <w:t>Pour un examen fouillé des propositions de réforme constitutionnelle déba</w:t>
      </w:r>
      <w:r w:rsidRPr="001C58A8">
        <w:t>t</w:t>
      </w:r>
      <w:r w:rsidRPr="001C58A8">
        <w:t>tues à la veille du référendum québécois de 1980, consulter Commi</w:t>
      </w:r>
      <w:r w:rsidRPr="001C58A8">
        <w:t>s</w:t>
      </w:r>
      <w:r w:rsidRPr="001C58A8">
        <w:t xml:space="preserve">sion de l'unité canadienne, Se retrouver, janvier 1979, </w:t>
      </w:r>
      <w:r w:rsidRPr="001C58A8">
        <w:rPr>
          <w:i/>
        </w:rPr>
        <w:t>Définir pour cho</w:t>
      </w:r>
      <w:r w:rsidRPr="001C58A8">
        <w:rPr>
          <w:i/>
        </w:rPr>
        <w:t>i</w:t>
      </w:r>
      <w:r w:rsidRPr="001C58A8">
        <w:rPr>
          <w:i/>
        </w:rPr>
        <w:t>sir</w:t>
      </w:r>
      <w:r w:rsidRPr="001C58A8">
        <w:t xml:space="preserve">, février 1979 et </w:t>
      </w:r>
      <w:r w:rsidRPr="001C58A8">
        <w:rPr>
          <w:i/>
        </w:rPr>
        <w:t>Un temps pour parler</w:t>
      </w:r>
      <w:r w:rsidRPr="001C58A8">
        <w:t>, mars 1979, Ott</w:t>
      </w:r>
      <w:r w:rsidRPr="001C58A8">
        <w:t>a</w:t>
      </w:r>
      <w:r w:rsidRPr="001C58A8">
        <w:t>wa.</w:t>
      </w:r>
    </w:p>
  </w:footnote>
  <w:footnote w:id="348">
    <w:p w:rsidR="00AD690E" w:rsidRDefault="00AD690E" w:rsidP="00AD690E">
      <w:pPr>
        <w:pStyle w:val="Notedebasdepage"/>
      </w:pPr>
      <w:r>
        <w:rPr>
          <w:rStyle w:val="Appelnotedebasdep"/>
        </w:rPr>
        <w:footnoteRef/>
      </w:r>
      <w:r>
        <w:t xml:space="preserve"> </w:t>
      </w:r>
      <w:r>
        <w:tab/>
      </w:r>
      <w:r w:rsidRPr="0099095D">
        <w:t>Soulignons que cette étude parue en 1977 représente le plus beau « succès de librairie » de cet organisme paragouvernemental fédéral avec trois i</w:t>
      </w:r>
      <w:r w:rsidRPr="0099095D">
        <w:t>m</w:t>
      </w:r>
      <w:r w:rsidRPr="0099095D">
        <w:t xml:space="preserve">pressions en anglais et deux en français : </w:t>
      </w:r>
      <w:r w:rsidRPr="0099095D">
        <w:rPr>
          <w:i/>
        </w:rPr>
        <w:t>Vivre ensemble une étude des di</w:t>
      </w:r>
      <w:r w:rsidRPr="0099095D">
        <w:rPr>
          <w:i/>
        </w:rPr>
        <w:t>s</w:t>
      </w:r>
      <w:r w:rsidRPr="0099095D">
        <w:rPr>
          <w:i/>
        </w:rPr>
        <w:t>parités région</w:t>
      </w:r>
      <w:r w:rsidRPr="0099095D">
        <w:rPr>
          <w:i/>
        </w:rPr>
        <w:t>a</w:t>
      </w:r>
      <w:r w:rsidRPr="0099095D">
        <w:rPr>
          <w:i/>
        </w:rPr>
        <w:t>les</w:t>
      </w:r>
      <w:r w:rsidRPr="0099095D">
        <w:t>, Ottawa, 1977.</w:t>
      </w:r>
    </w:p>
  </w:footnote>
  <w:footnote w:id="349">
    <w:p w:rsidR="00AD690E" w:rsidRDefault="00AD690E" w:rsidP="00AD690E">
      <w:pPr>
        <w:pStyle w:val="Notedebasdepage"/>
      </w:pPr>
      <w:r>
        <w:rPr>
          <w:rStyle w:val="Appelnotedebasdep"/>
        </w:rPr>
        <w:footnoteRef/>
      </w:r>
      <w:r>
        <w:t xml:space="preserve"> </w:t>
      </w:r>
      <w:r>
        <w:tab/>
      </w:r>
      <w:r w:rsidRPr="00A33793">
        <w:t>Estimé préparé par le Conseil économique du Canada et commenté par S</w:t>
      </w:r>
      <w:r w:rsidRPr="00A33793">
        <w:t>A</w:t>
      </w:r>
      <w:r w:rsidRPr="00A33793">
        <w:t xml:space="preserve">VOIE, D., </w:t>
      </w:r>
      <w:r w:rsidRPr="00A33793">
        <w:rPr>
          <w:i/>
        </w:rPr>
        <w:t>Regional Economic Development : Canada's Search for Sol</w:t>
      </w:r>
      <w:r w:rsidRPr="00A33793">
        <w:rPr>
          <w:i/>
        </w:rPr>
        <w:t>u</w:t>
      </w:r>
      <w:r w:rsidRPr="00A33793">
        <w:rPr>
          <w:i/>
        </w:rPr>
        <w:t>tions</w:t>
      </w:r>
      <w:r w:rsidRPr="00A33793">
        <w:t>, 1986, p. 110.</w:t>
      </w:r>
    </w:p>
  </w:footnote>
  <w:footnote w:id="350">
    <w:p w:rsidR="00AD690E" w:rsidRDefault="00AD690E" w:rsidP="00AD690E">
      <w:pPr>
        <w:pStyle w:val="Notedebasdepage"/>
      </w:pPr>
      <w:r>
        <w:rPr>
          <w:rStyle w:val="Appelnotedebasdep"/>
        </w:rPr>
        <w:footnoteRef/>
      </w:r>
      <w:r>
        <w:t xml:space="preserve"> </w:t>
      </w:r>
      <w:r>
        <w:tab/>
      </w:r>
      <w:r w:rsidRPr="006B4F74">
        <w:t xml:space="preserve">Pour l'analyse du rôle joué à cet égard par la structure politique du pays, consulter BOISVERT, M., </w:t>
      </w:r>
      <w:r w:rsidRPr="006B4F74">
        <w:rPr>
          <w:i/>
        </w:rPr>
        <w:t>Les implications économiques de la souverain</w:t>
      </w:r>
      <w:r w:rsidRPr="006B4F74">
        <w:rPr>
          <w:i/>
        </w:rPr>
        <w:t>e</w:t>
      </w:r>
      <w:r w:rsidRPr="006B4F74">
        <w:rPr>
          <w:i/>
        </w:rPr>
        <w:t>té-association, le Canada face à l'expérience des pays nordiques</w:t>
      </w:r>
      <w:r w:rsidRPr="006B4F74">
        <w:t>, Mo</w:t>
      </w:r>
      <w:r w:rsidRPr="006B4F74">
        <w:t>n</w:t>
      </w:r>
      <w:r w:rsidRPr="006B4F74">
        <w:t>tréal, Presses de l'Université de Montréal, 1980.</w:t>
      </w:r>
    </w:p>
  </w:footnote>
  <w:footnote w:id="351">
    <w:p w:rsidR="00AD690E" w:rsidRDefault="00AD690E" w:rsidP="00AD690E">
      <w:pPr>
        <w:pStyle w:val="Notedebasdepage"/>
      </w:pPr>
      <w:r>
        <w:rPr>
          <w:rStyle w:val="Appelnotedebasdep"/>
        </w:rPr>
        <w:footnoteRef/>
      </w:r>
      <w:r>
        <w:t xml:space="preserve"> </w:t>
      </w:r>
      <w:r>
        <w:tab/>
      </w:r>
      <w:r w:rsidRPr="006B4F74">
        <w:t>Données tirées de la publication semi-annuelle du MEIR — région du Qu</w:t>
      </w:r>
      <w:r w:rsidRPr="006B4F74">
        <w:t>é</w:t>
      </w:r>
      <w:r w:rsidRPr="006B4F74">
        <w:t xml:space="preserve">bec, </w:t>
      </w:r>
      <w:r w:rsidRPr="006B4F74">
        <w:rPr>
          <w:i/>
        </w:rPr>
        <w:t>Indicateurs économiques</w:t>
      </w:r>
      <w:r w:rsidRPr="006B4F74">
        <w:t>, juin 1986.</w:t>
      </w:r>
    </w:p>
  </w:footnote>
  <w:footnote w:id="352">
    <w:p w:rsidR="00AD690E" w:rsidRDefault="00AD690E" w:rsidP="00AD690E">
      <w:pPr>
        <w:pStyle w:val="Notedebasdepage"/>
      </w:pPr>
      <w:r>
        <w:rPr>
          <w:rStyle w:val="Appelnotedebasdep"/>
        </w:rPr>
        <w:footnoteRef/>
      </w:r>
      <w:r>
        <w:t xml:space="preserve"> </w:t>
      </w:r>
      <w:r>
        <w:tab/>
      </w:r>
      <w:r w:rsidRPr="006B4F74">
        <w:t>Pour une vision politique et outaouaise de ces orientations, mais sans la pa</w:t>
      </w:r>
      <w:r w:rsidRPr="006B4F74">
        <w:t>r</w:t>
      </w:r>
      <w:r w:rsidRPr="006B4F74">
        <w:t xml:space="preserve">tisannerie qui déteint forcément sur une auto-évaluation, consulter le </w:t>
      </w:r>
      <w:r w:rsidRPr="006B4F74">
        <w:rPr>
          <w:i/>
        </w:rPr>
        <w:t>Ra</w:t>
      </w:r>
      <w:r w:rsidRPr="006B4F74">
        <w:rPr>
          <w:i/>
        </w:rPr>
        <w:t>p</w:t>
      </w:r>
      <w:r w:rsidRPr="006B4F74">
        <w:rPr>
          <w:i/>
        </w:rPr>
        <w:t>port du comité sénatorial permanent des finances n</w:t>
      </w:r>
      <w:r w:rsidRPr="006B4F74">
        <w:rPr>
          <w:i/>
        </w:rPr>
        <w:t>a</w:t>
      </w:r>
      <w:r w:rsidRPr="006B4F74">
        <w:rPr>
          <w:i/>
        </w:rPr>
        <w:t>tionales</w:t>
      </w:r>
      <w:r w:rsidRPr="006B4F74">
        <w:t>, 1982.</w:t>
      </w:r>
    </w:p>
  </w:footnote>
  <w:footnote w:id="353">
    <w:p w:rsidR="00AD690E" w:rsidRDefault="00AD690E" w:rsidP="00AD690E">
      <w:pPr>
        <w:pStyle w:val="Notedebasdepage"/>
      </w:pPr>
      <w:r>
        <w:rPr>
          <w:rStyle w:val="Appelnotedebasdep"/>
        </w:rPr>
        <w:footnoteRef/>
      </w:r>
      <w:r>
        <w:tab/>
      </w:r>
      <w:r w:rsidRPr="006B4F74">
        <w:t xml:space="preserve">Citation extraite d'un document du MEER, </w:t>
      </w:r>
      <w:r w:rsidRPr="006B4F74">
        <w:rPr>
          <w:i/>
        </w:rPr>
        <w:t>La politique gouverneme</w:t>
      </w:r>
      <w:r w:rsidRPr="006B4F74">
        <w:rPr>
          <w:i/>
        </w:rPr>
        <w:t>n</w:t>
      </w:r>
      <w:r w:rsidRPr="006B4F74">
        <w:rPr>
          <w:i/>
        </w:rPr>
        <w:t>tale et le développement régional</w:t>
      </w:r>
      <w:r w:rsidRPr="006B4F74">
        <w:t>, Ottawa, 1969, p. B-13</w:t>
      </w:r>
      <w:r>
        <w:t>.</w:t>
      </w:r>
    </w:p>
  </w:footnote>
  <w:footnote w:id="354">
    <w:p w:rsidR="00AD690E" w:rsidRDefault="00AD690E" w:rsidP="00AD690E">
      <w:pPr>
        <w:pStyle w:val="Notedebasdepage"/>
      </w:pPr>
      <w:r>
        <w:rPr>
          <w:rStyle w:val="Appelnotedebasdep"/>
        </w:rPr>
        <w:footnoteRef/>
      </w:r>
      <w:r>
        <w:t xml:space="preserve"> </w:t>
      </w:r>
      <w:r>
        <w:tab/>
      </w:r>
      <w:r w:rsidRPr="006B4F74">
        <w:t>Ce document préparé par trois économistes de l'Université de Mo</w:t>
      </w:r>
      <w:r w:rsidRPr="006B4F74">
        <w:t>n</w:t>
      </w:r>
      <w:r w:rsidRPr="006B4F74">
        <w:t>tréal, B. HIGGINS, F. MARTIN et A. RAYNAULD, aura une influence détermina</w:t>
      </w:r>
      <w:r w:rsidRPr="006B4F74">
        <w:t>n</w:t>
      </w:r>
      <w:r w:rsidRPr="006B4F74">
        <w:t>te durant toutes les années 1970, tant au niveau théorique que stratég</w:t>
      </w:r>
      <w:r w:rsidRPr="006B4F74">
        <w:t>i</w:t>
      </w:r>
      <w:r w:rsidRPr="006B4F74">
        <w:t>que. 1970.</w:t>
      </w:r>
    </w:p>
  </w:footnote>
  <w:footnote w:id="355">
    <w:p w:rsidR="00AD690E" w:rsidRDefault="00AD690E" w:rsidP="00AD690E">
      <w:pPr>
        <w:pStyle w:val="Notedebasdepage"/>
      </w:pPr>
      <w:r>
        <w:rPr>
          <w:rStyle w:val="Appelnotedebasdep"/>
        </w:rPr>
        <w:footnoteRef/>
      </w:r>
      <w:r>
        <w:t xml:space="preserve"> </w:t>
      </w:r>
      <w:r>
        <w:tab/>
      </w:r>
      <w:r w:rsidRPr="004A257D">
        <w:t>Pour plus de détails sur les actions entreprises au cours de cette pr</w:t>
      </w:r>
      <w:r w:rsidRPr="004A257D">
        <w:t>e</w:t>
      </w:r>
      <w:r w:rsidRPr="004A257D">
        <w:t>mière phase du MEER ainsi que sur les résultats de l'analyse inte</w:t>
      </w:r>
      <w:r w:rsidRPr="004A257D">
        <w:t>r</w:t>
      </w:r>
      <w:r w:rsidRPr="004A257D">
        <w:t xml:space="preserve">ne qui en a été faite, consulter </w:t>
      </w:r>
      <w:r w:rsidRPr="004A257D">
        <w:rPr>
          <w:i/>
        </w:rPr>
        <w:t>La nouvelle approche</w:t>
      </w:r>
      <w:r w:rsidRPr="004A257D">
        <w:t>, Ottawa, minist</w:t>
      </w:r>
      <w:r w:rsidRPr="004A257D">
        <w:t>è</w:t>
      </w:r>
      <w:r w:rsidRPr="004A257D">
        <w:t>re de l'Expansion économique régionale, 1976.</w:t>
      </w:r>
    </w:p>
  </w:footnote>
  <w:footnote w:id="356">
    <w:p w:rsidR="00AD690E" w:rsidRDefault="00AD690E" w:rsidP="00AD690E">
      <w:pPr>
        <w:pStyle w:val="Notedebasdepage"/>
      </w:pPr>
      <w:r>
        <w:rPr>
          <w:rStyle w:val="Appelnotedebasdep"/>
        </w:rPr>
        <w:footnoteRef/>
      </w:r>
      <w:r>
        <w:t xml:space="preserve"> </w:t>
      </w:r>
      <w:r>
        <w:tab/>
      </w:r>
      <w:r w:rsidRPr="00B63A1C">
        <w:t xml:space="preserve">OCDE, </w:t>
      </w:r>
      <w:r w:rsidRPr="00953755">
        <w:t>Les politiques régionales au Canada,</w:t>
      </w:r>
      <w:r w:rsidRPr="00B63A1C">
        <w:t xml:space="preserve"> Paris, p. 40.</w:t>
      </w:r>
    </w:p>
  </w:footnote>
  <w:footnote w:id="357">
    <w:p w:rsidR="00AD690E" w:rsidRDefault="00AD690E" w:rsidP="00AD690E">
      <w:pPr>
        <w:pStyle w:val="Notedebasdepage"/>
      </w:pPr>
      <w:r>
        <w:rPr>
          <w:rStyle w:val="Appelnotedebasdep"/>
        </w:rPr>
        <w:footnoteRef/>
      </w:r>
      <w:r>
        <w:t xml:space="preserve"> </w:t>
      </w:r>
      <w:r>
        <w:tab/>
      </w:r>
      <w:r w:rsidRPr="00B571D9">
        <w:t>Des détails sur les fondements et l'opérationnalisation de ce progra</w:t>
      </w:r>
      <w:r w:rsidRPr="00B571D9">
        <w:t>m</w:t>
      </w:r>
      <w:r w:rsidRPr="00B571D9">
        <w:t>me sont fournis par Pierre-Paul PROULX, « Redéploiement industriel et dévelo</w:t>
      </w:r>
      <w:r w:rsidRPr="00B571D9">
        <w:t>p</w:t>
      </w:r>
      <w:r w:rsidRPr="00B571D9">
        <w:t>pement régional : une perspective canadienne », pp. 9-18 ; BOI</w:t>
      </w:r>
      <w:r w:rsidRPr="00B571D9">
        <w:t>S</w:t>
      </w:r>
      <w:r w:rsidRPr="00B571D9">
        <w:t xml:space="preserve">VERT, M. et HAMEL, P. (éd.), </w:t>
      </w:r>
      <w:r w:rsidRPr="00B571D9">
        <w:rPr>
          <w:i/>
        </w:rPr>
        <w:t>Redéploiement industriel et pl</w:t>
      </w:r>
      <w:r w:rsidRPr="00B571D9">
        <w:rPr>
          <w:i/>
        </w:rPr>
        <w:t>a</w:t>
      </w:r>
      <w:r w:rsidRPr="00B571D9">
        <w:rPr>
          <w:i/>
        </w:rPr>
        <w:t>nification régionale</w:t>
      </w:r>
      <w:r w:rsidRPr="00B571D9">
        <w:t>, 1985.</w:t>
      </w:r>
    </w:p>
  </w:footnote>
  <w:footnote w:id="358">
    <w:p w:rsidR="00AD690E" w:rsidRDefault="00AD690E" w:rsidP="00AD690E">
      <w:pPr>
        <w:pStyle w:val="Notedebasdepage"/>
      </w:pPr>
      <w:r>
        <w:rPr>
          <w:rStyle w:val="Appelnotedebasdep"/>
        </w:rPr>
        <w:footnoteRef/>
      </w:r>
      <w:r>
        <w:t xml:space="preserve"> </w:t>
      </w:r>
      <w:r>
        <w:tab/>
      </w:r>
      <w:r w:rsidRPr="0077615B">
        <w:t>COMITÉ NATIONAL PERMANENT DES FINANCES NATI</w:t>
      </w:r>
      <w:r w:rsidRPr="0077615B">
        <w:t>O</w:t>
      </w:r>
      <w:r w:rsidRPr="0077615B">
        <w:t xml:space="preserve">NALES, </w:t>
      </w:r>
      <w:r w:rsidRPr="00D51607">
        <w:rPr>
          <w:i/>
        </w:rPr>
        <w:t>La politique gouvernementale et le développement</w:t>
      </w:r>
      <w:r w:rsidRPr="0077615B">
        <w:t>, Ott</w:t>
      </w:r>
      <w:r w:rsidRPr="0077615B">
        <w:t>a</w:t>
      </w:r>
      <w:r w:rsidRPr="0077615B">
        <w:t>wa, 1982.</w:t>
      </w:r>
    </w:p>
  </w:footnote>
  <w:footnote w:id="359">
    <w:p w:rsidR="00AD690E" w:rsidRDefault="00AD690E" w:rsidP="00AD690E">
      <w:pPr>
        <w:pStyle w:val="Notedebasdepage"/>
      </w:pPr>
      <w:r>
        <w:rPr>
          <w:rStyle w:val="Appelnotedebasdep"/>
        </w:rPr>
        <w:footnoteRef/>
      </w:r>
      <w:r>
        <w:t xml:space="preserve"> </w:t>
      </w:r>
      <w:r>
        <w:tab/>
      </w:r>
      <w:r w:rsidRPr="001527EC">
        <w:t>Un long chapitre est consacré à la régionalisation des politiques de stabilis</w:t>
      </w:r>
      <w:r w:rsidRPr="001527EC">
        <w:t>a</w:t>
      </w:r>
      <w:r w:rsidRPr="001527EC">
        <w:t>tion dans Vivre ensemble, une étude des disparités région</w:t>
      </w:r>
      <w:r w:rsidRPr="001527EC">
        <w:t>a</w:t>
      </w:r>
      <w:r w:rsidRPr="001527EC">
        <w:t xml:space="preserve">les, reproduit dans D. Savoie et A. Raynauld, </w:t>
      </w:r>
      <w:r w:rsidRPr="001527EC">
        <w:rPr>
          <w:i/>
        </w:rPr>
        <w:t>Essais sur le dév</w:t>
      </w:r>
      <w:r w:rsidRPr="001527EC">
        <w:rPr>
          <w:i/>
        </w:rPr>
        <w:t>e</w:t>
      </w:r>
      <w:r w:rsidRPr="001527EC">
        <w:rPr>
          <w:i/>
        </w:rPr>
        <w:t>loppement régional</w:t>
      </w:r>
      <w:r w:rsidRPr="001527EC">
        <w:t>, chap. X, 1981.</w:t>
      </w:r>
    </w:p>
  </w:footnote>
  <w:footnote w:id="360">
    <w:p w:rsidR="00AD690E" w:rsidRDefault="00AD690E" w:rsidP="00AD690E">
      <w:pPr>
        <w:pStyle w:val="Notedebasdepage"/>
      </w:pPr>
      <w:r>
        <w:rPr>
          <w:rStyle w:val="Appelnotedebasdep"/>
        </w:rPr>
        <w:footnoteRef/>
      </w:r>
      <w:r>
        <w:t xml:space="preserve"> </w:t>
      </w:r>
      <w:r>
        <w:tab/>
      </w:r>
      <w:r w:rsidRPr="001527EC">
        <w:t xml:space="preserve">LACROIX, R. et RABEAU, Y., </w:t>
      </w:r>
      <w:r w:rsidRPr="001527EC">
        <w:rPr>
          <w:i/>
        </w:rPr>
        <w:t>Politiques nationales, conjonctures régi</w:t>
      </w:r>
      <w:r w:rsidRPr="001527EC">
        <w:rPr>
          <w:i/>
        </w:rPr>
        <w:t>o</w:t>
      </w:r>
      <w:r w:rsidRPr="001527EC">
        <w:rPr>
          <w:i/>
        </w:rPr>
        <w:t>nales : la stabilisation économique</w:t>
      </w:r>
      <w:r w:rsidRPr="001527EC">
        <w:t>, Montréal, Presses de l'Université de Mo</w:t>
      </w:r>
      <w:r w:rsidRPr="001527EC">
        <w:t>n</w:t>
      </w:r>
      <w:r w:rsidRPr="001527EC">
        <w:t>tréal, 1981, p. 92.</w:t>
      </w:r>
    </w:p>
  </w:footnote>
  <w:footnote w:id="361">
    <w:p w:rsidR="00AD690E" w:rsidRDefault="00AD690E" w:rsidP="00AD690E">
      <w:pPr>
        <w:pStyle w:val="Notedebasdepage"/>
      </w:pPr>
      <w:r>
        <w:rPr>
          <w:rStyle w:val="Appelnotedebasdep"/>
        </w:rPr>
        <w:footnoteRef/>
      </w:r>
      <w:r>
        <w:t xml:space="preserve"> </w:t>
      </w:r>
      <w:r>
        <w:tab/>
      </w:r>
      <w:r w:rsidRPr="001527EC">
        <w:t>RAYNAULD, A., « Pour une politique de stabilisation régi</w:t>
      </w:r>
      <w:r w:rsidRPr="001527EC">
        <w:t>o</w:t>
      </w:r>
      <w:r w:rsidRPr="001527EC">
        <w:t xml:space="preserve">nale », dans </w:t>
      </w:r>
      <w:r w:rsidRPr="001527EC">
        <w:rPr>
          <w:i/>
        </w:rPr>
        <w:t>Administration publique du Canada</w:t>
      </w:r>
      <w:r w:rsidRPr="001527EC">
        <w:t>, 1971, 14-3.</w:t>
      </w:r>
    </w:p>
  </w:footnote>
  <w:footnote w:id="362">
    <w:p w:rsidR="00AD690E" w:rsidRDefault="00AD690E" w:rsidP="00AD690E">
      <w:pPr>
        <w:pStyle w:val="Notedebasdepage"/>
      </w:pPr>
      <w:r>
        <w:rPr>
          <w:rStyle w:val="Appelnotedebasdep"/>
        </w:rPr>
        <w:footnoteRef/>
      </w:r>
      <w:r>
        <w:t xml:space="preserve"> </w:t>
      </w:r>
      <w:r>
        <w:tab/>
      </w:r>
      <w:r w:rsidRPr="00C93E0C">
        <w:t xml:space="preserve">OCDE, </w:t>
      </w:r>
      <w:r w:rsidRPr="00C93E0C">
        <w:rPr>
          <w:i/>
        </w:rPr>
        <w:t>op. cit</w:t>
      </w:r>
      <w:r w:rsidRPr="00C93E0C">
        <w:t>., p. 43.</w:t>
      </w:r>
    </w:p>
  </w:footnote>
  <w:footnote w:id="363">
    <w:p w:rsidR="00AD690E" w:rsidRDefault="00AD690E" w:rsidP="00AD690E">
      <w:pPr>
        <w:pStyle w:val="Notedebasdepage"/>
      </w:pPr>
      <w:r>
        <w:rPr>
          <w:rStyle w:val="Appelnotedebasdep"/>
        </w:rPr>
        <w:footnoteRef/>
      </w:r>
      <w:r>
        <w:t xml:space="preserve"> </w:t>
      </w:r>
      <w:r>
        <w:tab/>
      </w:r>
      <w:r w:rsidRPr="00244D27">
        <w:t>Tiré de FERNAND, M., « Impact régional de certaines décisions du go</w:t>
      </w:r>
      <w:r w:rsidRPr="00244D27">
        <w:t>u</w:t>
      </w:r>
      <w:r w:rsidRPr="00244D27">
        <w:t xml:space="preserve">vernement fédéral du Canada qui n'engagent pas de dépenses », dans </w:t>
      </w:r>
      <w:r w:rsidRPr="00244D27">
        <w:rPr>
          <w:i/>
        </w:rPr>
        <w:t>L'éc</w:t>
      </w:r>
      <w:r w:rsidRPr="00244D27">
        <w:rPr>
          <w:i/>
        </w:rPr>
        <w:t>o</w:t>
      </w:r>
      <w:r w:rsidRPr="00244D27">
        <w:rPr>
          <w:i/>
        </w:rPr>
        <w:t>nomie politique de la Confédération</w:t>
      </w:r>
      <w:r w:rsidRPr="00244D27">
        <w:t>, compte-rendu d'un colloque o</w:t>
      </w:r>
      <w:r w:rsidRPr="00244D27">
        <w:t>r</w:t>
      </w:r>
      <w:r w:rsidRPr="00244D27">
        <w:t>ganisé conjointement par l'Institut des relations intergouvernementales de l'Unive</w:t>
      </w:r>
      <w:r w:rsidRPr="00244D27">
        <w:t>r</w:t>
      </w:r>
      <w:r w:rsidRPr="00244D27">
        <w:t>sité Queen's et le Conseil économ</w:t>
      </w:r>
      <w:r w:rsidRPr="00244D27">
        <w:t>i</w:t>
      </w:r>
      <w:r w:rsidRPr="00244D27">
        <w:t>que du Canada, 1978, p. 400.</w:t>
      </w:r>
    </w:p>
  </w:footnote>
  <w:footnote w:id="364">
    <w:p w:rsidR="00AD690E" w:rsidRDefault="00AD690E" w:rsidP="00AD690E">
      <w:pPr>
        <w:pStyle w:val="Notedebasdepage"/>
      </w:pPr>
      <w:r>
        <w:rPr>
          <w:rStyle w:val="Appelnotedebasdep"/>
        </w:rPr>
        <w:footnoteRef/>
      </w:r>
      <w:r>
        <w:t xml:space="preserve"> </w:t>
      </w:r>
      <w:r>
        <w:tab/>
      </w:r>
      <w:r w:rsidRPr="00244D27">
        <w:rPr>
          <w:i/>
        </w:rPr>
        <w:t>Ibid</w:t>
      </w:r>
      <w:r w:rsidRPr="00244D27">
        <w:t>., p. 392.</w:t>
      </w:r>
    </w:p>
  </w:footnote>
  <w:footnote w:id="365">
    <w:p w:rsidR="00AD690E" w:rsidRDefault="00AD690E" w:rsidP="00AD690E">
      <w:pPr>
        <w:pStyle w:val="Notedebasdepage"/>
      </w:pPr>
      <w:r>
        <w:rPr>
          <w:rStyle w:val="Appelnotedebasdep"/>
        </w:rPr>
        <w:footnoteRef/>
      </w:r>
      <w:r>
        <w:t xml:space="preserve"> </w:t>
      </w:r>
      <w:r>
        <w:tab/>
      </w:r>
      <w:r w:rsidRPr="00CB6AC5">
        <w:rPr>
          <w:i/>
        </w:rPr>
        <w:t>Pourquoi des bilans différents</w:t>
      </w:r>
      <w:r w:rsidRPr="00CB6AC5">
        <w:t>, Montréal, Institut de recherches CD. H</w:t>
      </w:r>
      <w:r w:rsidRPr="00CB6AC5">
        <w:t>o</w:t>
      </w:r>
      <w:r w:rsidRPr="00CB6AC5">
        <w:t>we, 1977.</w:t>
      </w:r>
    </w:p>
  </w:footnote>
  <w:footnote w:id="366">
    <w:p w:rsidR="00AD690E" w:rsidRDefault="00AD690E" w:rsidP="00AD690E">
      <w:pPr>
        <w:pStyle w:val="Notedebasdepage"/>
      </w:pPr>
      <w:r>
        <w:rPr>
          <w:rStyle w:val="Appelnotedebasdep"/>
        </w:rPr>
        <w:footnoteRef/>
      </w:r>
      <w:r>
        <w:t xml:space="preserve"> </w:t>
      </w:r>
      <w:r>
        <w:tab/>
      </w:r>
      <w:r w:rsidRPr="00CB6AC5">
        <w:rPr>
          <w:i/>
        </w:rPr>
        <w:t>Idem</w:t>
      </w:r>
      <w:r w:rsidRPr="00CB6AC5">
        <w:t>, p. 25.</w:t>
      </w:r>
    </w:p>
  </w:footnote>
  <w:footnote w:id="367">
    <w:p w:rsidR="00AD690E" w:rsidRDefault="00AD690E" w:rsidP="00AD690E">
      <w:pPr>
        <w:pStyle w:val="Notedebasdepage"/>
      </w:pPr>
      <w:r>
        <w:rPr>
          <w:rStyle w:val="Appelnotedebasdep"/>
        </w:rPr>
        <w:footnoteRef/>
      </w:r>
      <w:r>
        <w:tab/>
        <w:t>Avec les politiques précédentes, les gouvernements provinciaux recevaient plus de 75 % des revenus tirés du gaz et du pétrole sur le sol national. Avec moins de 10 % de la population, la seule Alberta accaparait 80 % de cette somme. Canada, Énergie, Mines et Ressources Canada, The National Ene</w:t>
      </w:r>
      <w:r>
        <w:t>r</w:t>
      </w:r>
      <w:r>
        <w:t>gy Program, ministère de l’approvisionnement et des Services, 1980, p 16 à 22.</w:t>
      </w:r>
    </w:p>
  </w:footnote>
  <w:footnote w:id="368">
    <w:p w:rsidR="00AD690E" w:rsidRDefault="00AD690E" w:rsidP="00AD690E">
      <w:pPr>
        <w:pStyle w:val="Notedebasdepage"/>
      </w:pPr>
      <w:r>
        <w:rPr>
          <w:rStyle w:val="Appelnotedebasdep"/>
        </w:rPr>
        <w:footnoteRef/>
      </w:r>
      <w:r>
        <w:tab/>
        <w:t xml:space="preserve"> </w:t>
      </w:r>
      <w:r w:rsidRPr="00585E14">
        <w:t>C'est la PHASE 2 (</w:t>
      </w:r>
      <w:r w:rsidRPr="00585E14">
        <w:rPr>
          <w:i/>
        </w:rPr>
        <w:t>early</w:t>
      </w:r>
      <w:r w:rsidRPr="00585E14">
        <w:t xml:space="preserve"> ) : des changement quantitatifs avec le </w:t>
      </w:r>
      <w:r w:rsidRPr="00585E14">
        <w:rPr>
          <w:i/>
        </w:rPr>
        <w:t>scale-up</w:t>
      </w:r>
      <w:r w:rsidRPr="00585E14">
        <w:t xml:space="preserve"> des unités de production énergétique via l'essor des </w:t>
      </w:r>
      <w:r w:rsidRPr="00585E14">
        <w:rPr>
          <w:i/>
        </w:rPr>
        <w:t>Utilities</w:t>
      </w:r>
      <w:r w:rsidRPr="00585E14">
        <w:t xml:space="preserve"> (premiers ba</w:t>
      </w:r>
      <w:r w:rsidRPr="00585E14">
        <w:t>r</w:t>
      </w:r>
      <w:r w:rsidRPr="00585E14">
        <w:t>rages), le démarrage du complexe automobile/pétrole, le soutien à l'appar</w:t>
      </w:r>
      <w:r w:rsidRPr="00585E14">
        <w:t>i</w:t>
      </w:r>
      <w:r w:rsidRPr="00585E14">
        <w:t>tion des industries énergivores de traitement des minéraux (aluminium), etc.</w:t>
      </w:r>
    </w:p>
  </w:footnote>
  <w:footnote w:id="369">
    <w:p w:rsidR="00AD690E" w:rsidRDefault="00AD690E" w:rsidP="00AD690E">
      <w:pPr>
        <w:pStyle w:val="Notedebasdepage"/>
      </w:pPr>
      <w:r>
        <w:rPr>
          <w:rStyle w:val="Appelnotedebasdep"/>
        </w:rPr>
        <w:footnoteRef/>
      </w:r>
      <w:r>
        <w:t xml:space="preserve"> </w:t>
      </w:r>
      <w:r>
        <w:tab/>
      </w:r>
      <w:r w:rsidRPr="00585E14">
        <w:t>Nous l'appelons théorique dans la mesure où, dans le secteur énergétique, il n'y a pas d'intégration. Chacune des régions s'alimentant de manière ind</w:t>
      </w:r>
      <w:r w:rsidRPr="00585E14">
        <w:t>é</w:t>
      </w:r>
      <w:r w:rsidRPr="00585E14">
        <w:t>pendante, tantôt sur place via l'hydroélectricité, le bois et le charbon, tantôt aux États-Unis et outre-mer en ce qui concerne le pétrole.</w:t>
      </w:r>
    </w:p>
  </w:footnote>
  <w:footnote w:id="370">
    <w:p w:rsidR="00AD690E" w:rsidRDefault="00AD690E" w:rsidP="00AD690E">
      <w:pPr>
        <w:pStyle w:val="Notedebasdepage"/>
      </w:pPr>
      <w:r>
        <w:rPr>
          <w:rStyle w:val="Appelnotedebasdep"/>
        </w:rPr>
        <w:footnoteRef/>
      </w:r>
      <w:r>
        <w:t xml:space="preserve"> </w:t>
      </w:r>
      <w:r>
        <w:tab/>
      </w:r>
      <w:r w:rsidRPr="00721572">
        <w:t>Tels la tendance aux disparités régionales et à l'inflation galopante causées par la crise de l'énergie entre provinces productrices et consommatrices d'énergie, tendance à la dénationalisation de l'industrie pétrolière, isol</w:t>
      </w:r>
      <w:r w:rsidRPr="00721572">
        <w:t>e</w:t>
      </w:r>
      <w:r w:rsidRPr="00721572">
        <w:t>ment croissant de l'Est du pays, dépendant du pétrole importé. Bref, tous les i</w:t>
      </w:r>
      <w:r w:rsidRPr="00721572">
        <w:t>n</w:t>
      </w:r>
      <w:r w:rsidRPr="00721572">
        <w:t>grédients qui peuvent militer en faveur de la recherche de « l'autosuffisance », donc de l'unification de l'espace national avec une pol</w:t>
      </w:r>
      <w:r w:rsidRPr="00721572">
        <w:t>i</w:t>
      </w:r>
      <w:r w:rsidRPr="00721572">
        <w:t>tique de l'énergie.</w:t>
      </w:r>
    </w:p>
  </w:footnote>
  <w:footnote w:id="371">
    <w:p w:rsidR="00AD690E" w:rsidRDefault="00AD690E" w:rsidP="00AD690E">
      <w:pPr>
        <w:pStyle w:val="Notedebasdepage"/>
      </w:pPr>
      <w:r>
        <w:rPr>
          <w:rStyle w:val="Appelnotedebasdep"/>
        </w:rPr>
        <w:footnoteRef/>
      </w:r>
      <w:r>
        <w:t xml:space="preserve"> </w:t>
      </w:r>
      <w:r>
        <w:tab/>
      </w:r>
      <w:r w:rsidRPr="002E69D4">
        <w:t>C'est la phase 4, qui fait écho aux chocs pétroliers de 1973-1980.</w:t>
      </w:r>
    </w:p>
  </w:footnote>
  <w:footnote w:id="372">
    <w:p w:rsidR="00AD690E" w:rsidRDefault="00AD690E" w:rsidP="00AD690E">
      <w:pPr>
        <w:pStyle w:val="Notedebasdepage"/>
      </w:pPr>
      <w:r>
        <w:rPr>
          <w:rStyle w:val="Appelnotedebasdep"/>
        </w:rPr>
        <w:footnoteRef/>
      </w:r>
      <w:r>
        <w:t xml:space="preserve"> </w:t>
      </w:r>
      <w:r>
        <w:tab/>
      </w:r>
      <w:r w:rsidRPr="002E69D4">
        <w:t>La croissance de la demande pour le pétrole, qui avait atteint un taux moyen annuel de 11,6% durant la décennie 1945-1955, chutait à des moyennes de seulement 4,5% pour les quatre années suivantes</w:t>
      </w:r>
    </w:p>
  </w:footnote>
  <w:footnote w:id="373">
    <w:p w:rsidR="00AD690E" w:rsidRDefault="00AD690E" w:rsidP="00AD690E">
      <w:pPr>
        <w:pStyle w:val="Notedebasdepage"/>
      </w:pPr>
      <w:r>
        <w:rPr>
          <w:rStyle w:val="Appelnotedebasdep"/>
        </w:rPr>
        <w:footnoteRef/>
      </w:r>
      <w:r>
        <w:t xml:space="preserve"> </w:t>
      </w:r>
      <w:r>
        <w:tab/>
      </w:r>
      <w:r w:rsidRPr="00873110">
        <w:t>Cette politique de contingentement volontaire semble avoir été reprise à plusieurs reprises par l'Alberta devant la menace de saturation du marché et de fléchissement des prix, de la même façon que les pays producteurs de p</w:t>
      </w:r>
      <w:r w:rsidRPr="00873110">
        <w:t>é</w:t>
      </w:r>
      <w:r w:rsidRPr="00873110">
        <w:t>trole réunis au sein de l'OPEP. La contraction de l'offre constitue une appl</w:t>
      </w:r>
      <w:r w:rsidRPr="00873110">
        <w:t>i</w:t>
      </w:r>
      <w:r w:rsidRPr="00873110">
        <w:t>cation « classique » de la loi de l'offre et de la demande au contexte partic</w:t>
      </w:r>
      <w:r w:rsidRPr="00873110">
        <w:t>u</w:t>
      </w:r>
      <w:r w:rsidRPr="00873110">
        <w:t>lier du pétrole</w:t>
      </w:r>
    </w:p>
  </w:footnote>
  <w:footnote w:id="374">
    <w:p w:rsidR="00AD690E" w:rsidRDefault="00AD690E" w:rsidP="00AD690E">
      <w:pPr>
        <w:pStyle w:val="Notedebasdepage"/>
      </w:pPr>
      <w:r>
        <w:rPr>
          <w:rStyle w:val="Appelnotedebasdep"/>
        </w:rPr>
        <w:footnoteRef/>
      </w:r>
      <w:r>
        <w:t xml:space="preserve"> </w:t>
      </w:r>
      <w:r>
        <w:tab/>
      </w:r>
      <w:r w:rsidRPr="00EC72AB">
        <w:t>Devant les contingentements à l'importation imposés par les États-Unis, les firmes pétrolières avaient besoin de nouveaux débouchés pour leur p</w:t>
      </w:r>
      <w:r w:rsidRPr="00EC72AB">
        <w:t>é</w:t>
      </w:r>
      <w:r w:rsidRPr="00EC72AB">
        <w:t>trole produit au Venezuela et au Moyen-Orient. Avec son marché en e</w:t>
      </w:r>
      <w:r w:rsidRPr="00EC72AB">
        <w:t>x</w:t>
      </w:r>
      <w:r w:rsidRPr="00EC72AB">
        <w:t>pansion, le Canada pouvait représenter un élément de solution dans ce sens.</w:t>
      </w:r>
    </w:p>
  </w:footnote>
  <w:footnote w:id="375">
    <w:p w:rsidR="00AD690E" w:rsidRDefault="00AD690E" w:rsidP="00AD690E">
      <w:pPr>
        <w:pStyle w:val="Notedebasdepage"/>
      </w:pPr>
      <w:r>
        <w:rPr>
          <w:rStyle w:val="Appelnotedebasdep"/>
        </w:rPr>
        <w:footnoteRef/>
      </w:r>
      <w:r>
        <w:t xml:space="preserve"> </w:t>
      </w:r>
      <w:r>
        <w:tab/>
      </w:r>
      <w:r w:rsidRPr="00EC72AB">
        <w:t>Ce trait lui valut d'ailleurs d'être qualifiée de politique énergétique « spontanée » par la littérature spécialisée. On voulait dire sans doute « une politique capable de répondre « spontanément » et sans résistance, comme le reste des consommateurs, à l'impulsion du « marché », qui di</w:t>
      </w:r>
      <w:r w:rsidRPr="00EC72AB">
        <w:t>c</w:t>
      </w:r>
      <w:r w:rsidRPr="00EC72AB">
        <w:t>tait tout aussi « spontanément » aux multinationales la stratégie qu'elles devaient suivre pour rétablir leurs finances et ipso facto « relancer l'éc</w:t>
      </w:r>
      <w:r w:rsidRPr="00EC72AB">
        <w:t>o</w:t>
      </w:r>
      <w:r w:rsidRPr="00EC72AB">
        <w:t>nomie ». Jamais le concept de firme multinationale comme « moteur du développement » n'a</w:t>
      </w:r>
      <w:r w:rsidRPr="00EC72AB">
        <w:t>u</w:t>
      </w:r>
      <w:r w:rsidRPr="00EC72AB">
        <w:t>ra été si fort qu'à cette époque de l'après-guerre et de la première récession importante, celle de 1957-1962</w:t>
      </w:r>
      <w:r>
        <w:t>.</w:t>
      </w:r>
    </w:p>
  </w:footnote>
  <w:footnote w:id="376">
    <w:p w:rsidR="00AD690E" w:rsidRDefault="00AD690E" w:rsidP="00AD690E">
      <w:pPr>
        <w:pStyle w:val="Notedebasdepage"/>
      </w:pPr>
      <w:r>
        <w:rPr>
          <w:rStyle w:val="Appelnotedebasdep"/>
        </w:rPr>
        <w:footnoteRef/>
      </w:r>
      <w:r>
        <w:t xml:space="preserve"> </w:t>
      </w:r>
      <w:r>
        <w:tab/>
      </w:r>
      <w:r w:rsidRPr="005814A5">
        <w:t>Ce dernier prix était en fait calqué sur celui du pétrole texan vendu à Chic</w:t>
      </w:r>
      <w:r w:rsidRPr="005814A5">
        <w:t>a</w:t>
      </w:r>
      <w:r w:rsidRPr="005814A5">
        <w:t>go, puisqu'il s'agissait d'être concurrentiel sur cet important marché de l'int</w:t>
      </w:r>
      <w:r w:rsidRPr="005814A5">
        <w:t>é</w:t>
      </w:r>
      <w:r w:rsidRPr="005814A5">
        <w:t>rieur.</w:t>
      </w:r>
    </w:p>
  </w:footnote>
  <w:footnote w:id="377">
    <w:p w:rsidR="00AD690E" w:rsidRDefault="00AD690E" w:rsidP="00AD690E">
      <w:pPr>
        <w:pStyle w:val="Notedebasdepage"/>
      </w:pPr>
      <w:r>
        <w:rPr>
          <w:rStyle w:val="Appelnotedebasdep"/>
        </w:rPr>
        <w:footnoteRef/>
      </w:r>
      <w:r>
        <w:t xml:space="preserve"> </w:t>
      </w:r>
      <w:r>
        <w:tab/>
      </w:r>
      <w:r w:rsidRPr="005814A5">
        <w:t>Croissance de la production de l'ordre de 8% par an, apparition sur le ma</w:t>
      </w:r>
      <w:r w:rsidRPr="005814A5">
        <w:t>r</w:t>
      </w:r>
      <w:r w:rsidRPr="005814A5">
        <w:t>ché du brut synthétique tiré des sables bitumineux de l'Athabaska et ajouts importants à la capacité des pipelines et des raffineries. La capacité des oléoducs double durant les années 60, pour relier l'Alberta, l'Ontario et le marché du Centre américain (Chicago). La capacité de raffinage augmente pour sa part de 36%. C'est toutefois au début des années 70 que les cons</w:t>
      </w:r>
      <w:r w:rsidRPr="005814A5">
        <w:t>é</w:t>
      </w:r>
      <w:r w:rsidRPr="005814A5">
        <w:t>quences à long terme de la PPN se feront sentir, avec le déplacement ma</w:t>
      </w:r>
      <w:r w:rsidRPr="005814A5">
        <w:t>s</w:t>
      </w:r>
      <w:r w:rsidRPr="005814A5">
        <w:t>sif de l'industrie pétrolière vers l'Ouest et le démantèlement des raffineries montréalaises.</w:t>
      </w:r>
    </w:p>
  </w:footnote>
  <w:footnote w:id="378">
    <w:p w:rsidR="00AD690E" w:rsidRDefault="00AD690E" w:rsidP="00AD690E">
      <w:pPr>
        <w:pStyle w:val="Notedebasdepage"/>
      </w:pPr>
      <w:r>
        <w:rPr>
          <w:rStyle w:val="Appelnotedebasdep"/>
        </w:rPr>
        <w:footnoteRef/>
      </w:r>
      <w:r>
        <w:t xml:space="preserve"> </w:t>
      </w:r>
      <w:r>
        <w:tab/>
      </w:r>
      <w:r w:rsidRPr="005814A5">
        <w:t>Et en un sens, l'intention des législateurs du PEN, avec leur approche « volontariste » et « planificatrice » fut de s'attaquer à cette distorsion régi</w:t>
      </w:r>
      <w:r w:rsidRPr="005814A5">
        <w:t>o</w:t>
      </w:r>
      <w:r w:rsidRPr="005814A5">
        <w:t>nale grandissante, en réunifiant l'espace national en face de la menace que la hausse des coûts du brut importé faisait courir à l'Est, déjà en perte de vite</w:t>
      </w:r>
      <w:r w:rsidRPr="005814A5">
        <w:t>s</w:t>
      </w:r>
      <w:r w:rsidRPr="005814A5">
        <w:t>se.</w:t>
      </w:r>
    </w:p>
  </w:footnote>
  <w:footnote w:id="379">
    <w:p w:rsidR="00AD690E" w:rsidRDefault="00AD690E" w:rsidP="00AD690E">
      <w:pPr>
        <w:pStyle w:val="Notedebasdepage"/>
      </w:pPr>
      <w:r>
        <w:rPr>
          <w:rStyle w:val="Appelnotedebasdep"/>
        </w:rPr>
        <w:footnoteRef/>
      </w:r>
      <w:r>
        <w:tab/>
        <w:t xml:space="preserve"> </w:t>
      </w:r>
      <w:r w:rsidRPr="005561D5">
        <w:t>Department of Municipal Affairs.</w:t>
      </w:r>
    </w:p>
  </w:footnote>
  <w:footnote w:id="380">
    <w:p w:rsidR="00AD690E" w:rsidRDefault="00AD690E" w:rsidP="00AD690E">
      <w:pPr>
        <w:pStyle w:val="Notedebasdepage"/>
      </w:pPr>
      <w:r>
        <w:rPr>
          <w:rStyle w:val="Appelnotedebasdep"/>
        </w:rPr>
        <w:footnoteRef/>
      </w:r>
      <w:r>
        <w:t xml:space="preserve"> </w:t>
      </w:r>
      <w:r>
        <w:tab/>
      </w:r>
      <w:r w:rsidRPr="005561D5">
        <w:t>Energy Resources Conservation Board.</w:t>
      </w:r>
    </w:p>
  </w:footnote>
  <w:footnote w:id="381">
    <w:p w:rsidR="00AD690E" w:rsidRDefault="00AD690E" w:rsidP="00AD690E">
      <w:pPr>
        <w:pStyle w:val="Notedebasdepage"/>
      </w:pPr>
      <w:r>
        <w:rPr>
          <w:rStyle w:val="Appelnotedebasdep"/>
        </w:rPr>
        <w:footnoteRef/>
      </w:r>
      <w:r>
        <w:t xml:space="preserve"> </w:t>
      </w:r>
      <w:r>
        <w:tab/>
      </w:r>
      <w:r w:rsidRPr="005561D5">
        <w:t>Alberta Northeast Regional Comission.</w:t>
      </w:r>
    </w:p>
  </w:footnote>
  <w:footnote w:id="382">
    <w:p w:rsidR="00AD690E" w:rsidRDefault="00AD690E" w:rsidP="00AD690E">
      <w:pPr>
        <w:pStyle w:val="Notedebasdepage"/>
      </w:pPr>
      <w:r>
        <w:rPr>
          <w:rStyle w:val="Appelnotedebasdep"/>
        </w:rPr>
        <w:footnoteRef/>
      </w:r>
      <w:r>
        <w:t xml:space="preserve"> </w:t>
      </w:r>
      <w:r>
        <w:tab/>
      </w:r>
      <w:r w:rsidRPr="005561D5">
        <w:t xml:space="preserve">MATHESON, S.M., « The Evolution of Federal, State, and Provincial Energy Policy in the Western United-States and Canada » dans FRY, E.H., </w:t>
      </w:r>
      <w:r w:rsidRPr="005561D5">
        <w:rPr>
          <w:i/>
        </w:rPr>
        <w:t>Energy Development in Canada, The Political, Economic, and Continental Dimensions</w:t>
      </w:r>
      <w:r w:rsidRPr="005561D5">
        <w:t>, Canadian Studies Program, Center for Intern</w:t>
      </w:r>
      <w:r w:rsidRPr="005561D5">
        <w:t>a</w:t>
      </w:r>
      <w:r w:rsidRPr="005561D5">
        <w:t>tional and Area Studies, Brigham Young University, Provo (Utah), 1981, p. 42 et suiv.</w:t>
      </w:r>
    </w:p>
  </w:footnote>
  <w:footnote w:id="383">
    <w:p w:rsidR="00AD690E" w:rsidRDefault="00AD690E" w:rsidP="00AD690E">
      <w:pPr>
        <w:pStyle w:val="Notedebasdepage"/>
      </w:pPr>
      <w:r>
        <w:rPr>
          <w:rStyle w:val="Appelnotedebasdep"/>
        </w:rPr>
        <w:footnoteRef/>
      </w:r>
      <w:r>
        <w:t xml:space="preserve"> </w:t>
      </w:r>
      <w:r>
        <w:tab/>
      </w:r>
      <w:r w:rsidRPr="005561D5">
        <w:t>Les prêts aux autres provinces se feraient sur la base d'un taux d'intérêt un</w:t>
      </w:r>
      <w:r w:rsidRPr="005561D5">
        <w:t>i</w:t>
      </w:r>
      <w:r w:rsidRPr="005561D5">
        <w:t>que, équivalant au taux privilégié accordé à la province disposant de la mei</w:t>
      </w:r>
      <w:r w:rsidRPr="005561D5">
        <w:t>l</w:t>
      </w:r>
      <w:r w:rsidRPr="005561D5">
        <w:t>leure cote de crédit.</w:t>
      </w:r>
    </w:p>
  </w:footnote>
  <w:footnote w:id="384">
    <w:p w:rsidR="00AD690E" w:rsidRDefault="00AD690E" w:rsidP="00AD690E">
      <w:pPr>
        <w:pStyle w:val="Notedebasdepage"/>
      </w:pPr>
      <w:r>
        <w:rPr>
          <w:rStyle w:val="Appelnotedebasdep"/>
        </w:rPr>
        <w:footnoteRef/>
      </w:r>
      <w:r>
        <w:t xml:space="preserve"> </w:t>
      </w:r>
      <w:r>
        <w:tab/>
      </w:r>
      <w:r w:rsidRPr="005561D5">
        <w:t>Cette problématique est indissociable de la discussion, qui s'envenime d'ai</w:t>
      </w:r>
      <w:r w:rsidRPr="005561D5">
        <w:t>l</w:t>
      </w:r>
      <w:r w:rsidRPr="005561D5">
        <w:t>leurs dans les années 70, entre le gouvernement central et les provi</w:t>
      </w:r>
      <w:r w:rsidRPr="005561D5">
        <w:t>n</w:t>
      </w:r>
      <w:r w:rsidRPr="005561D5">
        <w:t>ces, sur les paiements de transferts ou de « péréquation ». Ce mécanisme fait en so</w:t>
      </w:r>
      <w:r w:rsidRPr="005561D5">
        <w:t>r</w:t>
      </w:r>
      <w:r w:rsidRPr="005561D5">
        <w:t>te, dans le cas précis de l'Alberta, que l'élévation graduelle des prix des h</w:t>
      </w:r>
      <w:r w:rsidRPr="005561D5">
        <w:t>y</w:t>
      </w:r>
      <w:r w:rsidRPr="005561D5">
        <w:t>drocarbures sur le marché local dans les années 1973-1980, se traduit en ponctions accrues de la taxation fédérale sur les revenus de la province, e</w:t>
      </w:r>
      <w:r w:rsidRPr="005561D5">
        <w:t>n</w:t>
      </w:r>
      <w:r w:rsidRPr="005561D5">
        <w:t>suite redistribuées aux provinces pauvres, qui sont aussi souvent les provi</w:t>
      </w:r>
      <w:r w:rsidRPr="005561D5">
        <w:t>n</w:t>
      </w:r>
      <w:r w:rsidRPr="005561D5">
        <w:t xml:space="preserve">ces consommatrices. Le second mécanisme en cause est, bien entendu, la fixation des prix elle-même. Depuis 1973, ceux-ci sont maintenus en-dessous des prix internationaux. Ceci avantage encore les provinces consommatrices. Pour une analyse plus détaillée, </w:t>
      </w:r>
      <w:r w:rsidRPr="005561D5">
        <w:rPr>
          <w:i/>
        </w:rPr>
        <w:t>voir</w:t>
      </w:r>
    </w:p>
  </w:footnote>
  <w:footnote w:id="385">
    <w:p w:rsidR="00AD690E" w:rsidRDefault="00AD690E" w:rsidP="00AD690E">
      <w:pPr>
        <w:pStyle w:val="Notedebasdepage"/>
      </w:pPr>
    </w:p>
    <w:p w:rsidR="00AD690E" w:rsidRDefault="00AD690E" w:rsidP="00AD690E">
      <w:pPr>
        <w:pStyle w:val="Notedebasdepage"/>
      </w:pPr>
      <w:r w:rsidRPr="00874059">
        <w:t xml:space="preserve">COURCHENE, T.J., </w:t>
      </w:r>
      <w:r w:rsidRPr="003F1433">
        <w:t>Refinancing the Canadian Federation : A Survey of the 1977 Fiscal Arrangements Act</w:t>
      </w:r>
      <w:r w:rsidRPr="00874059">
        <w:t>, Montréal, Institut CD. Howe, 1979.</w:t>
      </w:r>
    </w:p>
    <w:p w:rsidR="00AD690E" w:rsidRDefault="00AD690E" w:rsidP="00AD690E">
      <w:pPr>
        <w:pStyle w:val="Notedebasdepage"/>
      </w:pPr>
      <w:r>
        <w:rPr>
          <w:rStyle w:val="Appelnotedebasdep"/>
        </w:rPr>
        <w:footnoteRef/>
      </w:r>
      <w:r>
        <w:t xml:space="preserve"> </w:t>
      </w:r>
      <w:r>
        <w:tab/>
      </w:r>
      <w:r w:rsidRPr="00874059">
        <w:t>Dès cette époque, l'Alberta prêtait généreusement aux gouvernements des provinces maritimes, ce qui était fort apprécié de ces provinces pauvres, très dépendantes de l'extérieur sur le plan énergétique. L'Alberta ne fit pas faute de s'en servir pour élaborer des alliances intergouvernementales, dont le f</w:t>
      </w:r>
      <w:r w:rsidRPr="00874059">
        <w:t>é</w:t>
      </w:r>
      <w:r w:rsidRPr="00874059">
        <w:t>déral fut à même d'« apprécier » le caractère contestataire lors des confére</w:t>
      </w:r>
      <w:r w:rsidRPr="00874059">
        <w:t>n</w:t>
      </w:r>
      <w:r w:rsidRPr="00874059">
        <w:t>ces fédérales-provinciales.</w:t>
      </w:r>
    </w:p>
  </w:footnote>
  <w:footnote w:id="386">
    <w:p w:rsidR="00AD690E" w:rsidRDefault="00AD690E" w:rsidP="00AD690E">
      <w:pPr>
        <w:spacing w:before="120" w:after="120"/>
        <w:ind w:left="567" w:hanging="567"/>
        <w:jc w:val="both"/>
      </w:pPr>
      <w:r>
        <w:rPr>
          <w:rStyle w:val="Appelnotedebasdep"/>
        </w:rPr>
        <w:footnoteRef/>
      </w:r>
      <w:r>
        <w:t xml:space="preserve"> </w:t>
      </w:r>
      <w:r>
        <w:tab/>
      </w:r>
      <w:r w:rsidRPr="000F27CA">
        <w:rPr>
          <w:color w:val="000000"/>
          <w:sz w:val="24"/>
          <w:szCs w:val="18"/>
        </w:rPr>
        <w:t>Il était inévitable que le Québec, porte d'entrée en Amérique du Nord du pétrole bon marché du Venezuela et du Moyen-Orient serait le premier g</w:t>
      </w:r>
      <w:r w:rsidRPr="000F27CA">
        <w:rPr>
          <w:color w:val="000000"/>
          <w:sz w:val="24"/>
          <w:szCs w:val="18"/>
        </w:rPr>
        <w:t>a</w:t>
      </w:r>
      <w:r w:rsidRPr="000F27CA">
        <w:rPr>
          <w:color w:val="000000"/>
          <w:sz w:val="24"/>
          <w:szCs w:val="18"/>
        </w:rPr>
        <w:t>gnant d'un prix mondial bas et la première victime des chocs pétroliers.</w:t>
      </w:r>
    </w:p>
  </w:footnote>
  <w:footnote w:id="387">
    <w:p w:rsidR="00AD690E" w:rsidRDefault="00AD690E" w:rsidP="00AD690E">
      <w:pPr>
        <w:pStyle w:val="Notedebasdepage"/>
      </w:pPr>
      <w:r>
        <w:rPr>
          <w:rStyle w:val="Appelnotedebasdep"/>
        </w:rPr>
        <w:footnoteRef/>
      </w:r>
      <w:r>
        <w:tab/>
        <w:t xml:space="preserve"> </w:t>
      </w:r>
      <w:r w:rsidRPr="000F27CA">
        <w:t>En 1969, le président d'Impérial Oil émettait le commentaire suivant : « On nous a demandé confidentiellement d'aider l'Office national de l'énergie à mettre au point un système de licences discriminatoires ». Il semble d'ai</w:t>
      </w:r>
      <w:r w:rsidRPr="000F27CA">
        <w:t>l</w:t>
      </w:r>
      <w:r w:rsidRPr="000F27CA">
        <w:t xml:space="preserve">leurs que la compagnie Exxon jouait aux États-Unis ce même rôle de conseiller du gouvernement qu'Impérial Oil au Canada. (Document interne de l'Impérial, n° 101184-5, le 6 février 1961. Voir à ce sujet : BERTRAND, R.J., </w:t>
      </w:r>
      <w:r w:rsidRPr="000F27CA">
        <w:rPr>
          <w:i/>
        </w:rPr>
        <w:t>op. cit</w:t>
      </w:r>
      <w:r w:rsidRPr="000F27CA">
        <w:t>. volume II, p. 35</w:t>
      </w:r>
    </w:p>
  </w:footnote>
  <w:footnote w:id="388">
    <w:p w:rsidR="00AD690E" w:rsidRDefault="00AD690E" w:rsidP="00AD690E">
      <w:pPr>
        <w:pStyle w:val="Notedebasdepage"/>
      </w:pPr>
      <w:r>
        <w:rPr>
          <w:rStyle w:val="Appelnotedebasdep"/>
        </w:rPr>
        <w:footnoteRef/>
      </w:r>
      <w:r>
        <w:t xml:space="preserve"> </w:t>
      </w:r>
      <w:r>
        <w:tab/>
      </w:r>
      <w:r w:rsidRPr="000F27CA">
        <w:t xml:space="preserve">Document n° 96546, le 28 novembre 1969, l'Impériale, </w:t>
      </w:r>
      <w:r w:rsidRPr="000F27CA">
        <w:rPr>
          <w:i/>
        </w:rPr>
        <w:t>ibid</w:t>
      </w:r>
      <w:r w:rsidRPr="000F27CA">
        <w:t>.</w:t>
      </w:r>
    </w:p>
  </w:footnote>
  <w:footnote w:id="389">
    <w:p w:rsidR="00AD690E" w:rsidRDefault="00AD690E" w:rsidP="00AD690E">
      <w:pPr>
        <w:pStyle w:val="Notedebasdepage"/>
      </w:pPr>
      <w:r>
        <w:rPr>
          <w:rStyle w:val="Appelnotedebasdep"/>
        </w:rPr>
        <w:footnoteRef/>
      </w:r>
      <w:r>
        <w:t xml:space="preserve"> </w:t>
      </w:r>
      <w:r>
        <w:tab/>
      </w:r>
      <w:r w:rsidRPr="003954FF">
        <w:t>Sur le développement des revendeurs indépendants, les conflits qui les o</w:t>
      </w:r>
      <w:r w:rsidRPr="003954FF">
        <w:t>p</w:t>
      </w:r>
      <w:r w:rsidRPr="003954FF">
        <w:t>posèrent aux multinationales et les stratégies de ces dernières, destinées à a</w:t>
      </w:r>
      <w:r w:rsidRPr="003954FF">
        <w:t>f</w:t>
      </w:r>
      <w:r w:rsidRPr="003954FF">
        <w:t>faiblir ces modestes concurrents, on lira avec profit le premier volume du Rapport Bertrand, et notamment les pages 90 à 137.</w:t>
      </w:r>
    </w:p>
  </w:footnote>
  <w:footnote w:id="390">
    <w:p w:rsidR="00AD690E" w:rsidRDefault="00AD690E" w:rsidP="00AD690E">
      <w:pPr>
        <w:pStyle w:val="Notedebasdepage"/>
      </w:pPr>
      <w:r>
        <w:rPr>
          <w:rStyle w:val="Appelnotedebasdep"/>
        </w:rPr>
        <w:footnoteRef/>
      </w:r>
      <w:r>
        <w:t xml:space="preserve"> </w:t>
      </w:r>
      <w:r>
        <w:tab/>
      </w:r>
      <w:r w:rsidRPr="003954FF">
        <w:t>Après la hausse brusque des prix du brut en 1974, les prix canadiens furent fixés sous les niveaux des premiers afin, notamment, de maintenir les indu</w:t>
      </w:r>
      <w:r w:rsidRPr="003954FF">
        <w:t>s</w:t>
      </w:r>
      <w:r w:rsidRPr="003954FF">
        <w:t>tries canadiennes de transformation concurrentielles par rapport à ce</w:t>
      </w:r>
      <w:r w:rsidRPr="003954FF">
        <w:t>l</w:t>
      </w:r>
      <w:r w:rsidRPr="003954FF">
        <w:t>les des États-Unis, où les prix faisaient également l'objet d'un contrôle. Désormais, le prix du brut ne pouvait s'accroître qu'avec l'autorisation expresse du go</w:t>
      </w:r>
      <w:r w:rsidRPr="003954FF">
        <w:t>u</w:t>
      </w:r>
      <w:r w:rsidRPr="003954FF">
        <w:t>vernement. On peut donc parler d'une prémisse au PEN, à sa nature « interventionniste ». Sauf qu'en 1973, il ne serait venu à l'esprit de personne de critiquer une forme d'interventionnisme qui aurait cherché justement à consolider une industrie pétrolière aux prises avec des diff</w:t>
      </w:r>
      <w:r w:rsidRPr="003954FF">
        <w:t>i</w:t>
      </w:r>
      <w:r w:rsidRPr="003954FF">
        <w:t>cultés nouvelles.</w:t>
      </w:r>
    </w:p>
  </w:footnote>
  <w:footnote w:id="391">
    <w:p w:rsidR="00AD690E" w:rsidRDefault="00AD690E" w:rsidP="00AD690E">
      <w:pPr>
        <w:pStyle w:val="Notedebasdepage"/>
      </w:pPr>
      <w:r>
        <w:rPr>
          <w:rStyle w:val="Appelnotedebasdep"/>
        </w:rPr>
        <w:footnoteRef/>
      </w:r>
      <w:r>
        <w:t xml:space="preserve"> </w:t>
      </w:r>
      <w:r>
        <w:tab/>
      </w:r>
      <w:r w:rsidRPr="003954FF">
        <w:t xml:space="preserve">PRATT, L., « Petro-Canada », dans TUPPER, A. et DOERN, G. B. eds., </w:t>
      </w:r>
      <w:r w:rsidRPr="003954FF">
        <w:rPr>
          <w:i/>
        </w:rPr>
        <w:t>Public Corporations and Public Policy in Canada</w:t>
      </w:r>
      <w:r w:rsidRPr="003954FF">
        <w:t>, Montréal, Institute for Research on Public Policy, 1981, p. 109</w:t>
      </w:r>
      <w:r>
        <w:t>.</w:t>
      </w:r>
    </w:p>
  </w:footnote>
  <w:footnote w:id="392">
    <w:p w:rsidR="00AD690E" w:rsidRDefault="00AD690E" w:rsidP="00AD690E">
      <w:pPr>
        <w:pStyle w:val="Notedebasdepage"/>
      </w:pPr>
      <w:r>
        <w:rPr>
          <w:rStyle w:val="Appelnotedebasdep"/>
        </w:rPr>
        <w:footnoteRef/>
      </w:r>
      <w:r>
        <w:t xml:space="preserve"> </w:t>
      </w:r>
      <w:r>
        <w:tab/>
      </w:r>
      <w:r w:rsidRPr="00DA5364">
        <w:t>Esso Impérial, le meneur, ainsi que Shell, Gulf, British Petroleum et Tex</w:t>
      </w:r>
      <w:r w:rsidRPr="00DA5364">
        <w:t>a</w:t>
      </w:r>
      <w:r w:rsidRPr="00DA5364">
        <w:t>co.</w:t>
      </w:r>
    </w:p>
  </w:footnote>
  <w:footnote w:id="393">
    <w:p w:rsidR="00AD690E" w:rsidRDefault="00AD690E" w:rsidP="00AD690E">
      <w:pPr>
        <w:pStyle w:val="Notedebasdepage"/>
      </w:pPr>
      <w:r>
        <w:rPr>
          <w:rStyle w:val="Appelnotedebasdep"/>
        </w:rPr>
        <w:footnoteRef/>
      </w:r>
      <w:r>
        <w:t xml:space="preserve"> </w:t>
      </w:r>
      <w:r>
        <w:tab/>
      </w:r>
      <w:r w:rsidRPr="00DA5364">
        <w:t>Nova dirigée alors par Robert Blair, un nationaliste canadien ardent.</w:t>
      </w:r>
    </w:p>
  </w:footnote>
  <w:footnote w:id="394">
    <w:p w:rsidR="00AD690E" w:rsidRDefault="00AD690E" w:rsidP="00AD690E">
      <w:pPr>
        <w:pStyle w:val="Notedebasdepage"/>
      </w:pPr>
      <w:r>
        <w:rPr>
          <w:rStyle w:val="Appelnotedebasdep"/>
        </w:rPr>
        <w:footnoteRef/>
      </w:r>
      <w:r>
        <w:t xml:space="preserve"> </w:t>
      </w:r>
      <w:r>
        <w:tab/>
      </w:r>
      <w:r w:rsidRPr="009F0C23">
        <w:t>La querelle s'était envenimée entre conservateurs albertains, libéraux et néo-démocrates autour de la question énergétique. Avec les énoncés en faveur de l'autosuffisance, qui se font de plus en plus répétés avec le deuxième choc pétrolier, l'Alberta voit l'occasion d'imposer son « modèle » en face d'un gouvernement fédéral relativement peu informé des contraintes économ</w:t>
      </w:r>
      <w:r w:rsidRPr="009F0C23">
        <w:t>i</w:t>
      </w:r>
      <w:r w:rsidRPr="009F0C23">
        <w:t>ques de la région et du secteur des hydrocarbures. En 1979, la dispute s'était encore envenimée et même le gouvernement Clark, qui avait des racines profondes dans cette province, ne parvenait pas à un accord avec Edmonton sur la tarification et le régime fiscal de l'industrie pétrolière et gazière. À cette date, il y avait l'essor d'un vaste pan de l'industrie de propriété can</w:t>
      </w:r>
      <w:r w:rsidRPr="009F0C23">
        <w:t>a</w:t>
      </w:r>
      <w:r w:rsidRPr="009F0C23">
        <w:t>dienne, qui vivait de ses exportations de gaz naturel vers les États-Unis, sous licence de la province qui en tirait à son tour de généreuses royautés. Avec le retour au pouvoir de Trudeau en février 1980, on ne se donna même pas la peine de reprendre le dial</w:t>
      </w:r>
      <w:r w:rsidRPr="009F0C23">
        <w:t>o</w:t>
      </w:r>
      <w:r w:rsidRPr="009F0C23">
        <w:t>gue.</w:t>
      </w:r>
    </w:p>
  </w:footnote>
  <w:footnote w:id="395">
    <w:p w:rsidR="00AD690E" w:rsidRPr="00873110" w:rsidRDefault="00AD690E" w:rsidP="00AD690E">
      <w:pPr>
        <w:spacing w:before="120" w:after="120"/>
        <w:ind w:left="567" w:hanging="709"/>
        <w:jc w:val="both"/>
        <w:rPr>
          <w:color w:val="000000"/>
          <w:szCs w:val="18"/>
        </w:rPr>
      </w:pPr>
      <w:r>
        <w:rPr>
          <w:rStyle w:val="Appelnotedebasdep"/>
        </w:rPr>
        <w:footnoteRef/>
      </w:r>
      <w:r>
        <w:tab/>
      </w:r>
      <w:r w:rsidRPr="009F0C23">
        <w:rPr>
          <w:color w:val="000000"/>
          <w:sz w:val="24"/>
          <w:szCs w:val="18"/>
        </w:rPr>
        <w:t>« Les Canadiens doivent prendre le contrôle de leur propre avenir énergét</w:t>
      </w:r>
      <w:r w:rsidRPr="009F0C23">
        <w:rPr>
          <w:color w:val="000000"/>
          <w:sz w:val="24"/>
          <w:szCs w:val="18"/>
        </w:rPr>
        <w:t>i</w:t>
      </w:r>
      <w:r w:rsidRPr="009F0C23">
        <w:rPr>
          <w:color w:val="000000"/>
          <w:sz w:val="24"/>
          <w:szCs w:val="18"/>
        </w:rPr>
        <w:t>que en établissant la sécurité de leurs approvisionnements et une indépe</w:t>
      </w:r>
      <w:r w:rsidRPr="009F0C23">
        <w:rPr>
          <w:color w:val="000000"/>
          <w:sz w:val="24"/>
          <w:szCs w:val="18"/>
        </w:rPr>
        <w:t>n</w:t>
      </w:r>
      <w:r w:rsidRPr="009F0C23">
        <w:rPr>
          <w:color w:val="000000"/>
          <w:sz w:val="24"/>
          <w:szCs w:val="18"/>
        </w:rPr>
        <w:t>dance totale du marché international dès 1990.</w:t>
      </w:r>
    </w:p>
    <w:p w:rsidR="00AD690E" w:rsidRPr="008A3A60" w:rsidRDefault="00AD690E" w:rsidP="00AD690E">
      <w:pPr>
        <w:spacing w:before="120" w:after="120"/>
        <w:ind w:left="567" w:firstLine="0"/>
        <w:jc w:val="both"/>
        <w:rPr>
          <w:sz w:val="24"/>
        </w:rPr>
      </w:pPr>
      <w:r w:rsidRPr="008A3A60">
        <w:rPr>
          <w:color w:val="000000"/>
          <w:sz w:val="24"/>
          <w:szCs w:val="18"/>
        </w:rPr>
        <w:t>Les Canadiens doivent participer plus activement à la mise en valeur et à l'expansion de l'industrie énergétique et en particulier, de celle du gaz nat</w:t>
      </w:r>
      <w:r w:rsidRPr="008A3A60">
        <w:rPr>
          <w:color w:val="000000"/>
          <w:sz w:val="24"/>
          <w:szCs w:val="18"/>
        </w:rPr>
        <w:t>u</w:t>
      </w:r>
      <w:r w:rsidRPr="008A3A60">
        <w:rPr>
          <w:color w:val="000000"/>
          <w:sz w:val="24"/>
          <w:szCs w:val="18"/>
        </w:rPr>
        <w:t>rel et du pétrole. Le taux de participation médiocre des Canadiens dans les entreprises tant La tarification du pétrole et la répartition des revenus do</w:t>
      </w:r>
      <w:r w:rsidRPr="008A3A60">
        <w:rPr>
          <w:color w:val="000000"/>
          <w:sz w:val="24"/>
          <w:szCs w:val="18"/>
        </w:rPr>
        <w:t>i</w:t>
      </w:r>
      <w:r w:rsidRPr="008A3A60">
        <w:rPr>
          <w:color w:val="000000"/>
          <w:sz w:val="24"/>
          <w:szCs w:val="18"/>
        </w:rPr>
        <w:t>vent être équitable pour tous les Canadiens, qu'ils vivent ou non dans une province productrice d'hydrocarbures. Le système fiscal actuel a tendance à concentrer la richesse issue du pétrole dans quelques régions et prive le gouvernement fédéral de ressources qui lui sont essentielles à la coordin</w:t>
      </w:r>
      <w:r w:rsidRPr="008A3A60">
        <w:rPr>
          <w:color w:val="000000"/>
          <w:sz w:val="24"/>
          <w:szCs w:val="18"/>
        </w:rPr>
        <w:t>a</w:t>
      </w:r>
      <w:r w:rsidRPr="008A3A60">
        <w:rPr>
          <w:color w:val="000000"/>
          <w:sz w:val="24"/>
          <w:szCs w:val="18"/>
        </w:rPr>
        <w:t>tion de l'économie canadienne ».</w:t>
      </w:r>
    </w:p>
    <w:p w:rsidR="00AD690E" w:rsidRDefault="00AD690E" w:rsidP="00AD690E">
      <w:pPr>
        <w:pStyle w:val="Notedebasdepage"/>
      </w:pPr>
      <w:r>
        <w:tab/>
      </w:r>
      <w:r>
        <w:tab/>
      </w:r>
      <w:r w:rsidRPr="00873110">
        <w:t xml:space="preserve">Gouvernement du Canada, </w:t>
      </w:r>
      <w:r w:rsidRPr="00102130">
        <w:rPr>
          <w:i/>
        </w:rPr>
        <w:t>Programme énergétique national</w:t>
      </w:r>
      <w:r w:rsidRPr="00873110">
        <w:t>, Communic</w:t>
      </w:r>
      <w:r w:rsidRPr="00873110">
        <w:t>a</w:t>
      </w:r>
      <w:r w:rsidRPr="00873110">
        <w:t>tion Canada, 1980, p. 3 et suiv.</w:t>
      </w:r>
      <w:r>
        <w:t xml:space="preserve"> </w:t>
      </w:r>
    </w:p>
  </w:footnote>
  <w:footnote w:id="396">
    <w:p w:rsidR="00AD690E" w:rsidRDefault="00AD690E" w:rsidP="00AD690E">
      <w:pPr>
        <w:pStyle w:val="Notedebasdepage"/>
      </w:pPr>
      <w:r>
        <w:rPr>
          <w:rStyle w:val="Appelnotedebasdep"/>
        </w:rPr>
        <w:footnoteRef/>
      </w:r>
      <w:r>
        <w:t xml:space="preserve"> </w:t>
      </w:r>
      <w:r>
        <w:tab/>
      </w:r>
      <w:r w:rsidRPr="008A3A60">
        <w:t>Le plan initial envisageait la distribution de revenus pétroliers de l'ordre de 100 à 200 milliards de dollars, sur une période de cinq ans avec, bien ente</w:t>
      </w:r>
      <w:r w:rsidRPr="008A3A60">
        <w:t>n</w:t>
      </w:r>
      <w:r w:rsidRPr="008A3A60">
        <w:t>du, des clauses discriminatoires contre les « non-Canadiens ».</w:t>
      </w:r>
    </w:p>
  </w:footnote>
  <w:footnote w:id="397">
    <w:p w:rsidR="00AD690E" w:rsidRDefault="00AD690E" w:rsidP="00AD690E">
      <w:pPr>
        <w:pStyle w:val="Notedebasdepage"/>
      </w:pPr>
      <w:r>
        <w:rPr>
          <w:rStyle w:val="Appelnotedebasdep"/>
        </w:rPr>
        <w:footnoteRef/>
      </w:r>
      <w:r>
        <w:t xml:space="preserve"> </w:t>
      </w:r>
      <w:r>
        <w:tab/>
      </w:r>
      <w:r w:rsidRPr="00B71128">
        <w:t>L</w:t>
      </w:r>
      <w:r w:rsidRPr="008A3A60">
        <w:rPr>
          <w:i/>
        </w:rPr>
        <w:t>'Entente sur les prix et la taxation de l'énergie</w:t>
      </w:r>
      <w:r w:rsidRPr="008A3A60">
        <w:t xml:space="preserve"> (EPTE), signée par Ott</w:t>
      </w:r>
      <w:r w:rsidRPr="008A3A60">
        <w:t>a</w:t>
      </w:r>
      <w:r w:rsidRPr="008A3A60">
        <w:t>wa et les provinces productrices : l'Alberta, la Saskatchewan et la Colo</w:t>
      </w:r>
      <w:r w:rsidRPr="008A3A60">
        <w:t>m</w:t>
      </w:r>
      <w:r w:rsidRPr="008A3A60">
        <w:t>bie-Britannique en 1981-1982. Source : Énergie, Mines et Ressources C</w:t>
      </w:r>
      <w:r w:rsidRPr="008A3A60">
        <w:t>a</w:t>
      </w:r>
      <w:r w:rsidRPr="008A3A60">
        <w:t xml:space="preserve">nada, Institut CD. Howe, dans CARMICHAEL, E. et STEWART, J.K., </w:t>
      </w:r>
      <w:r w:rsidRPr="008A3A60">
        <w:rPr>
          <w:i/>
        </w:rPr>
        <w:t>Lessons from the National Energy Program</w:t>
      </w:r>
      <w:r w:rsidRPr="008A3A60">
        <w:t>, Institut CD. Howe, Toronto, Montréal et Calgary, mai 1983, p. 19.</w:t>
      </w:r>
    </w:p>
  </w:footnote>
  <w:footnote w:id="398">
    <w:p w:rsidR="00AD690E" w:rsidRDefault="00AD690E" w:rsidP="00AD690E">
      <w:pPr>
        <w:pStyle w:val="Notedebasdepage"/>
      </w:pPr>
      <w:r>
        <w:rPr>
          <w:rStyle w:val="Appelnotedebasdep"/>
        </w:rPr>
        <w:footnoteRef/>
      </w:r>
      <w:r>
        <w:t xml:space="preserve"> </w:t>
      </w:r>
      <w:r>
        <w:tab/>
      </w:r>
      <w:r w:rsidRPr="008A3A60">
        <w:t>C'est-à-dire du pétrole découvert et exploité avant le PEN.</w:t>
      </w:r>
    </w:p>
  </w:footnote>
  <w:footnote w:id="399">
    <w:p w:rsidR="00AD690E" w:rsidRDefault="00AD690E" w:rsidP="00AD690E">
      <w:pPr>
        <w:pStyle w:val="Notedebasdepage"/>
      </w:pPr>
      <w:r>
        <w:rPr>
          <w:rStyle w:val="Appelnotedebasdep"/>
        </w:rPr>
        <w:footnoteRef/>
      </w:r>
      <w:r>
        <w:t xml:space="preserve"> </w:t>
      </w:r>
      <w:r>
        <w:tab/>
      </w:r>
      <w:r w:rsidRPr="00EF1BA3">
        <w:t>À la suite d'un calcul plus complexe se faisant comme suit ; le 1</w:t>
      </w:r>
      <w:r w:rsidRPr="00EF1BA3">
        <w:rPr>
          <w:vertAlign w:val="superscript"/>
        </w:rPr>
        <w:t>er</w:t>
      </w:r>
      <w:r w:rsidRPr="00EF1BA3">
        <w:t xml:space="preserve"> février 1982, une hausse de 4 fois 15 cents le mille pieds cube pour atteindre 3,20 $ en août 1983, puis par la suite, un réajustement de 15 cents le mille pieds cube pour chaque dollar de hausse du prix du baril de pétrole</w:t>
      </w:r>
      <w:r>
        <w:t>.</w:t>
      </w:r>
    </w:p>
  </w:footnote>
  <w:footnote w:id="400">
    <w:p w:rsidR="00AD690E" w:rsidRDefault="00AD690E" w:rsidP="00AD690E">
      <w:pPr>
        <w:pStyle w:val="Notedebasdepage"/>
      </w:pPr>
      <w:r>
        <w:rPr>
          <w:rStyle w:val="Appelnotedebasdep"/>
        </w:rPr>
        <w:footnoteRef/>
      </w:r>
      <w:r>
        <w:t xml:space="preserve"> </w:t>
      </w:r>
      <w:r>
        <w:tab/>
        <w:t xml:space="preserve"> </w:t>
      </w:r>
      <w:r w:rsidRPr="00873110">
        <w:t xml:space="preserve">PALMER, J.D., « An Overview of Canada's National Energy Program », dans FRY, E.H., éd., </w:t>
      </w:r>
      <w:r w:rsidRPr="00102130">
        <w:rPr>
          <w:i/>
        </w:rPr>
        <w:t>Energy Development in Canada, The Political, Ec</w:t>
      </w:r>
      <w:r w:rsidRPr="00102130">
        <w:rPr>
          <w:i/>
        </w:rPr>
        <w:t>o</w:t>
      </w:r>
      <w:r w:rsidRPr="00102130">
        <w:rPr>
          <w:i/>
        </w:rPr>
        <w:t>nomi</w:t>
      </w:r>
      <w:r>
        <w:rPr>
          <w:i/>
        </w:rPr>
        <w:t>c</w:t>
      </w:r>
      <w:r w:rsidRPr="00102130">
        <w:rPr>
          <w:i/>
        </w:rPr>
        <w:t>, and Continental Dimensions</w:t>
      </w:r>
      <w:r w:rsidRPr="00873110">
        <w:t>, Canadian Studies Program, Center for International and Area Studies, Brigham Young University, Provo Utah, 1981, p. 80.</w:t>
      </w:r>
    </w:p>
  </w:footnote>
  <w:footnote w:id="401">
    <w:p w:rsidR="00AD690E" w:rsidRDefault="00AD690E" w:rsidP="00AD690E">
      <w:pPr>
        <w:pStyle w:val="Notedebasdepage"/>
      </w:pPr>
      <w:r>
        <w:rPr>
          <w:rStyle w:val="Appelnotedebasdep"/>
        </w:rPr>
        <w:footnoteRef/>
      </w:r>
      <w:r>
        <w:t xml:space="preserve"> </w:t>
      </w:r>
      <w:r>
        <w:tab/>
      </w:r>
      <w:r w:rsidRPr="0001132A">
        <w:t>La Cour suprême a statué, en 1969, que les taxes directes étaient celles qui étaient imposées à un producteur afin que ce producteur seul en porte le fa</w:t>
      </w:r>
      <w:r w:rsidRPr="0001132A">
        <w:t>r</w:t>
      </w:r>
      <w:r w:rsidRPr="0001132A">
        <w:t>deau. Si cette taxe peut être repassée aux consommateurs, via la fix</w:t>
      </w:r>
      <w:r w:rsidRPr="0001132A">
        <w:t>a</w:t>
      </w:r>
      <w:r w:rsidRPr="0001132A">
        <w:t>tion des prix, il s'agira alors d'une taxe indirecte, telles la taxe de vente et les taxes d'accise.</w:t>
      </w:r>
    </w:p>
  </w:footnote>
  <w:footnote w:id="402">
    <w:p w:rsidR="00AD690E" w:rsidRDefault="00AD690E" w:rsidP="00AD690E">
      <w:pPr>
        <w:pStyle w:val="Notedebasdepage"/>
      </w:pPr>
      <w:r>
        <w:rPr>
          <w:rStyle w:val="Appelnotedebasdep"/>
        </w:rPr>
        <w:footnoteRef/>
      </w:r>
      <w:r>
        <w:t xml:space="preserve"> </w:t>
      </w:r>
      <w:r>
        <w:tab/>
      </w:r>
      <w:r w:rsidRPr="0001132A">
        <w:t>Bien sûr, le Québec échappe en partie à cette logique, ayant rapatrié au d</w:t>
      </w:r>
      <w:r w:rsidRPr="0001132A">
        <w:t>é</w:t>
      </w:r>
      <w:r w:rsidRPr="0001132A">
        <w:t>but des années 60 d'autres pouvoirs de taxation sur ses citoyens.</w:t>
      </w:r>
    </w:p>
  </w:footnote>
  <w:footnote w:id="403">
    <w:p w:rsidR="00AD690E" w:rsidRDefault="00AD690E" w:rsidP="00AD690E">
      <w:pPr>
        <w:pStyle w:val="Notedebasdepage"/>
      </w:pPr>
      <w:r>
        <w:rPr>
          <w:rStyle w:val="Appelnotedebasdep"/>
        </w:rPr>
        <w:footnoteRef/>
      </w:r>
      <w:r>
        <w:t xml:space="preserve"> </w:t>
      </w:r>
      <w:r>
        <w:tab/>
      </w:r>
      <w:r w:rsidRPr="0001132A">
        <w:t>En 1980, les coûts de ces subsides se montaient déjà à plus de $3 mi</w:t>
      </w:r>
      <w:r w:rsidRPr="0001132A">
        <w:t>l</w:t>
      </w:r>
      <w:r w:rsidRPr="0001132A">
        <w:t>liards, soit près de 30% du déficit du gouvernement fédéral pour cette se</w:t>
      </w:r>
      <w:r w:rsidRPr="0001132A">
        <w:t>u</w:t>
      </w:r>
      <w:r w:rsidRPr="0001132A">
        <w:t xml:space="preserve">le année. Lire à ce sujet DOBSON, W., </w:t>
      </w:r>
      <w:r w:rsidRPr="0001132A">
        <w:rPr>
          <w:i/>
        </w:rPr>
        <w:t>Canada's Energy Policy Debate, op. cit</w:t>
      </w:r>
      <w:r w:rsidRPr="0001132A">
        <w:t>. p. 22.</w:t>
      </w:r>
    </w:p>
  </w:footnote>
  <w:footnote w:id="404">
    <w:p w:rsidR="00AD690E" w:rsidRDefault="00AD690E" w:rsidP="00AD690E">
      <w:pPr>
        <w:pStyle w:val="Notedebasdepage"/>
      </w:pPr>
      <w:r>
        <w:rPr>
          <w:rStyle w:val="Appelnotedebasdep"/>
        </w:rPr>
        <w:footnoteRef/>
      </w:r>
      <w:r>
        <w:t xml:space="preserve"> </w:t>
      </w:r>
      <w:r>
        <w:tab/>
      </w:r>
      <w:r w:rsidRPr="0001132A">
        <w:t xml:space="preserve">Ainsi les </w:t>
      </w:r>
      <w:r w:rsidRPr="0086627F">
        <w:rPr>
          <w:i/>
        </w:rPr>
        <w:t>royalties</w:t>
      </w:r>
      <w:r w:rsidRPr="0001132A">
        <w:t xml:space="preserve"> payées par les entreprises aux provinces étaient déduct</w:t>
      </w:r>
      <w:r w:rsidRPr="0001132A">
        <w:t>i</w:t>
      </w:r>
      <w:r w:rsidRPr="0001132A">
        <w:t>bles au titre de l'impôt fédéral, de même que la totalité des frais de prospe</w:t>
      </w:r>
      <w:r w:rsidRPr="0001132A">
        <w:t>c</w:t>
      </w:r>
      <w:r w:rsidRPr="0001132A">
        <w:t>tion encourus pendant l'année, 30% des dépenses en développement, alors qu'un bonus de 10% sur les paiements de concessions allouées était dispon</w:t>
      </w:r>
      <w:r w:rsidRPr="0001132A">
        <w:t>i</w:t>
      </w:r>
      <w:r w:rsidRPr="0001132A">
        <w:t>ble. Enfin, 33 1/3 % des frais d'utilisation de certains équipements d'explor</w:t>
      </w:r>
      <w:r w:rsidRPr="0001132A">
        <w:t>a</w:t>
      </w:r>
      <w:r w:rsidRPr="0001132A">
        <w:t>tion pouvaient être réclamés.</w:t>
      </w:r>
    </w:p>
  </w:footnote>
  <w:footnote w:id="405">
    <w:p w:rsidR="00AD690E" w:rsidRDefault="00AD690E" w:rsidP="00AD690E">
      <w:pPr>
        <w:pStyle w:val="Notedebasdepage"/>
      </w:pPr>
      <w:r>
        <w:rPr>
          <w:rStyle w:val="Appelnotedebasdep"/>
        </w:rPr>
        <w:footnoteRef/>
      </w:r>
      <w:r>
        <w:t xml:space="preserve"> </w:t>
      </w:r>
      <w:r>
        <w:tab/>
      </w:r>
      <w:r w:rsidRPr="0001132A">
        <w:t>On pense évidemment à l'Accord général sur le commerce et les tarifs, en anglais GATT, qui est à la base des comportements commerciaux dans la zone de l'OCDE.</w:t>
      </w:r>
    </w:p>
  </w:footnote>
  <w:footnote w:id="406">
    <w:p w:rsidR="00AD690E" w:rsidRDefault="00AD690E" w:rsidP="00AD690E">
      <w:pPr>
        <w:pStyle w:val="Notedebasdepage"/>
      </w:pPr>
      <w:r>
        <w:rPr>
          <w:rStyle w:val="Appelnotedebasdep"/>
        </w:rPr>
        <w:footnoteRef/>
      </w:r>
      <w:r>
        <w:t xml:space="preserve"> </w:t>
      </w:r>
      <w:r>
        <w:tab/>
      </w:r>
      <w:r w:rsidRPr="00067F32">
        <w:t xml:space="preserve">DOERN, G. B. et TONER, G. </w:t>
      </w:r>
      <w:r w:rsidRPr="00067F32">
        <w:rPr>
          <w:i/>
        </w:rPr>
        <w:t>op. cit</w:t>
      </w:r>
      <w:r w:rsidRPr="00067F32">
        <w:t>. pp. 48-49.</w:t>
      </w:r>
    </w:p>
  </w:footnote>
  <w:footnote w:id="407">
    <w:p w:rsidR="00AD690E" w:rsidRDefault="00AD690E" w:rsidP="00AD690E">
      <w:pPr>
        <w:pStyle w:val="Notedebasdepage"/>
      </w:pPr>
      <w:r>
        <w:rPr>
          <w:rStyle w:val="Appelnotedebasdep"/>
        </w:rPr>
        <w:footnoteRef/>
      </w:r>
      <w:r>
        <w:t xml:space="preserve"> </w:t>
      </w:r>
      <w:r>
        <w:tab/>
      </w:r>
      <w:r w:rsidRPr="00067F32">
        <w:t>Les arguments des firmes canadiennes engagées dans ces activités de ve</w:t>
      </w:r>
      <w:r w:rsidRPr="00067F32">
        <w:t>n</w:t>
      </w:r>
      <w:r w:rsidRPr="00067F32">
        <w:t>te différaient d'ailleurs à ce chapitre de ceux des firmes transnationales opérant ici. Les premières arguèrent que les secondes, totalement vertical</w:t>
      </w:r>
      <w:r w:rsidRPr="00067F32">
        <w:t>i</w:t>
      </w:r>
      <w:r w:rsidRPr="00067F32">
        <w:t>sées et posssédant une infrastructure de raffinage et de distribution plus complète, étaient en mesure de soustraire à la TRPG un grand nombre de leurs activ</w:t>
      </w:r>
      <w:r w:rsidRPr="00067F32">
        <w:t>i</w:t>
      </w:r>
      <w:r w:rsidRPr="00067F32">
        <w:t xml:space="preserve">tés lucratives, ce qui n'était pas leur cas à elles. Voir à ce sujet JOUDRIE, E., Association pétrolière indépendante du Canada à Calgary, « Notes for Remarks to the Men's Canadian Club of Ottawa », 13 janvier 1981 dans DOBSON W., </w:t>
      </w:r>
      <w:r w:rsidRPr="00067F32">
        <w:rPr>
          <w:i/>
        </w:rPr>
        <w:t>op. cit</w:t>
      </w:r>
      <w:r w:rsidRPr="00067F32">
        <w:t>. p. 24</w:t>
      </w:r>
    </w:p>
  </w:footnote>
  <w:footnote w:id="408">
    <w:p w:rsidR="00AD690E" w:rsidRPr="00067F32" w:rsidRDefault="00AD690E" w:rsidP="00AD690E">
      <w:pPr>
        <w:pStyle w:val="Notedebasdepage"/>
      </w:pPr>
      <w:r>
        <w:rPr>
          <w:rStyle w:val="Appelnotedebasdep"/>
        </w:rPr>
        <w:footnoteRef/>
      </w:r>
      <w:r>
        <w:t xml:space="preserve"> </w:t>
      </w:r>
      <w:r>
        <w:tab/>
      </w:r>
      <w:r w:rsidRPr="00067F32">
        <w:t>Frais admissibles rajustés =</w:t>
      </w:r>
    </w:p>
    <w:p w:rsidR="00AD690E" w:rsidRPr="00067F32" w:rsidRDefault="00AD690E" w:rsidP="00AD690E">
      <w:pPr>
        <w:pStyle w:val="Notedebasdepage"/>
      </w:pPr>
    </w:p>
    <w:tbl>
      <w:tblPr>
        <w:tblW w:w="0" w:type="auto"/>
        <w:tblInd w:w="648" w:type="dxa"/>
        <w:tblLook w:val="00BF" w:firstRow="1" w:lastRow="0" w:firstColumn="1" w:lastColumn="0" w:noHBand="0" w:noVBand="0"/>
      </w:tblPr>
      <w:tblGrid>
        <w:gridCol w:w="1592"/>
        <w:gridCol w:w="907"/>
        <w:gridCol w:w="1833"/>
        <w:gridCol w:w="423"/>
        <w:gridCol w:w="2733"/>
      </w:tblGrid>
      <w:tr w:rsidR="00AD690E" w:rsidRPr="00067F32">
        <w:tc>
          <w:tcPr>
            <w:tcW w:w="1592" w:type="dxa"/>
            <w:vMerge w:val="restart"/>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Frais</w:t>
            </w:r>
            <w:r>
              <w:rPr>
                <w:rFonts w:eastAsia="Times"/>
                <w:color w:val="000000"/>
                <w:sz w:val="24"/>
                <w:szCs w:val="18"/>
              </w:rPr>
              <w:br/>
            </w:r>
            <w:r w:rsidRPr="00067F32">
              <w:rPr>
                <w:rFonts w:eastAsia="Times"/>
                <w:color w:val="000000"/>
                <w:sz w:val="24"/>
                <w:szCs w:val="18"/>
              </w:rPr>
              <w:t>admiss</w:t>
            </w:r>
            <w:r w:rsidRPr="00067F32">
              <w:rPr>
                <w:rFonts w:eastAsia="Times"/>
                <w:color w:val="000000"/>
                <w:sz w:val="24"/>
                <w:szCs w:val="18"/>
              </w:rPr>
              <w:t>i</w:t>
            </w:r>
            <w:r w:rsidRPr="00067F32">
              <w:rPr>
                <w:rFonts w:eastAsia="Times"/>
                <w:color w:val="000000"/>
                <w:sz w:val="24"/>
                <w:szCs w:val="18"/>
              </w:rPr>
              <w:t xml:space="preserve">bles </w:t>
            </w:r>
          </w:p>
        </w:tc>
        <w:tc>
          <w:tcPr>
            <w:tcW w:w="907" w:type="dxa"/>
            <w:vMerge w:val="restart"/>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x 2 x</w:t>
            </w:r>
          </w:p>
        </w:tc>
        <w:tc>
          <w:tcPr>
            <w:tcW w:w="1833" w:type="dxa"/>
            <w:tcBorders>
              <w:bottom w:val="single" w:sz="4" w:space="0" w:color="auto"/>
            </w:tcBorders>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 d'intérêt</w:t>
            </w:r>
            <w:r>
              <w:rPr>
                <w:rFonts w:eastAsia="Times"/>
                <w:color w:val="000000"/>
                <w:sz w:val="24"/>
                <w:szCs w:val="18"/>
              </w:rPr>
              <w:br/>
            </w:r>
            <w:r w:rsidRPr="00067F32">
              <w:rPr>
                <w:rFonts w:eastAsia="Times"/>
                <w:color w:val="000000"/>
                <w:sz w:val="24"/>
                <w:szCs w:val="18"/>
              </w:rPr>
              <w:t>actif net</w:t>
            </w:r>
          </w:p>
        </w:tc>
        <w:tc>
          <w:tcPr>
            <w:tcW w:w="423" w:type="dxa"/>
            <w:vMerge w:val="restart"/>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x</w:t>
            </w:r>
          </w:p>
        </w:tc>
        <w:tc>
          <w:tcPr>
            <w:tcW w:w="2733" w:type="dxa"/>
            <w:tcBorders>
              <w:bottom w:val="single" w:sz="4" w:space="0" w:color="auto"/>
            </w:tcBorders>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 xml:space="preserve">Superficie de </w:t>
            </w:r>
            <w:r>
              <w:rPr>
                <w:rFonts w:eastAsia="Times"/>
                <w:color w:val="000000"/>
                <w:sz w:val="24"/>
                <w:szCs w:val="18"/>
              </w:rPr>
              <w:br/>
            </w:r>
            <w:r w:rsidRPr="00067F32">
              <w:rPr>
                <w:rFonts w:eastAsia="Times"/>
                <w:color w:val="000000"/>
                <w:sz w:val="24"/>
                <w:szCs w:val="18"/>
              </w:rPr>
              <w:t>l'intérêt actif net</w:t>
            </w:r>
          </w:p>
        </w:tc>
      </w:tr>
      <w:tr w:rsidR="00AD690E" w:rsidRPr="00067F32">
        <w:tc>
          <w:tcPr>
            <w:tcW w:w="1592" w:type="dxa"/>
            <w:vMerge/>
            <w:vAlign w:val="center"/>
          </w:tcPr>
          <w:p w:rsidR="00AD690E" w:rsidRPr="00067F32" w:rsidRDefault="00AD690E" w:rsidP="00AD690E">
            <w:pPr>
              <w:spacing w:before="120" w:after="120"/>
              <w:ind w:firstLine="0"/>
              <w:jc w:val="center"/>
              <w:rPr>
                <w:rFonts w:eastAsia="Times"/>
                <w:color w:val="000000"/>
                <w:sz w:val="24"/>
                <w:szCs w:val="18"/>
              </w:rPr>
            </w:pPr>
          </w:p>
        </w:tc>
        <w:tc>
          <w:tcPr>
            <w:tcW w:w="907" w:type="dxa"/>
            <w:vMerge/>
            <w:vAlign w:val="center"/>
          </w:tcPr>
          <w:p w:rsidR="00AD690E" w:rsidRPr="00067F32" w:rsidRDefault="00AD690E" w:rsidP="00AD690E">
            <w:pPr>
              <w:spacing w:before="120" w:after="120"/>
              <w:ind w:firstLine="0"/>
              <w:jc w:val="center"/>
              <w:rPr>
                <w:rFonts w:eastAsia="Times"/>
                <w:color w:val="000000"/>
                <w:sz w:val="24"/>
                <w:szCs w:val="18"/>
              </w:rPr>
            </w:pPr>
          </w:p>
        </w:tc>
        <w:tc>
          <w:tcPr>
            <w:tcW w:w="1833" w:type="dxa"/>
            <w:tcBorders>
              <w:top w:val="single" w:sz="4" w:space="0" w:color="auto"/>
            </w:tcBorders>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 des frais</w:t>
            </w:r>
          </w:p>
        </w:tc>
        <w:tc>
          <w:tcPr>
            <w:tcW w:w="423" w:type="dxa"/>
            <w:vMerge/>
            <w:vAlign w:val="center"/>
          </w:tcPr>
          <w:p w:rsidR="00AD690E" w:rsidRPr="00067F32" w:rsidRDefault="00AD690E" w:rsidP="00AD690E">
            <w:pPr>
              <w:spacing w:before="120" w:after="120"/>
              <w:ind w:firstLine="0"/>
              <w:jc w:val="center"/>
              <w:rPr>
                <w:rFonts w:eastAsia="Times"/>
                <w:color w:val="000000"/>
                <w:sz w:val="24"/>
                <w:szCs w:val="18"/>
              </w:rPr>
            </w:pPr>
          </w:p>
        </w:tc>
        <w:tc>
          <w:tcPr>
            <w:tcW w:w="2733" w:type="dxa"/>
            <w:tcBorders>
              <w:top w:val="single" w:sz="4" w:space="0" w:color="auto"/>
            </w:tcBorders>
            <w:vAlign w:val="center"/>
          </w:tcPr>
          <w:p w:rsidR="00AD690E" w:rsidRPr="00067F32" w:rsidRDefault="00AD690E" w:rsidP="00AD690E">
            <w:pPr>
              <w:spacing w:before="120" w:after="120"/>
              <w:ind w:firstLine="0"/>
              <w:jc w:val="center"/>
              <w:rPr>
                <w:rFonts w:eastAsia="Times"/>
                <w:color w:val="000000"/>
                <w:sz w:val="24"/>
                <w:szCs w:val="18"/>
              </w:rPr>
            </w:pPr>
            <w:r w:rsidRPr="00067F32">
              <w:rPr>
                <w:rFonts w:eastAsia="Times"/>
                <w:color w:val="000000"/>
                <w:sz w:val="24"/>
                <w:szCs w:val="18"/>
              </w:rPr>
              <w:t>Superficie minimale</w:t>
            </w:r>
          </w:p>
        </w:tc>
      </w:tr>
    </w:tbl>
    <w:p w:rsidR="00AD690E" w:rsidRPr="00067F32" w:rsidRDefault="00AD690E" w:rsidP="00AD690E">
      <w:pPr>
        <w:pStyle w:val="Notedebasdepage"/>
      </w:pPr>
    </w:p>
    <w:p w:rsidR="00AD690E" w:rsidRDefault="00AD690E" w:rsidP="00AD690E">
      <w:pPr>
        <w:pStyle w:val="Notedebasdepage"/>
      </w:pPr>
      <w:r>
        <w:tab/>
      </w:r>
      <w:r w:rsidRPr="00067F32">
        <w:t xml:space="preserve">Dans le Programme d'encouragement du secteur pétrolier, </w:t>
      </w:r>
      <w:r w:rsidRPr="0086627F">
        <w:rPr>
          <w:i/>
        </w:rPr>
        <w:t>op. cit.,</w:t>
      </w:r>
      <w:r w:rsidRPr="00067F32">
        <w:t xml:space="preserve"> p. 3.</w:t>
      </w:r>
    </w:p>
  </w:footnote>
  <w:footnote w:id="409">
    <w:p w:rsidR="00AD690E" w:rsidRDefault="00AD690E" w:rsidP="00AD690E">
      <w:pPr>
        <w:pStyle w:val="Notedebasdepage"/>
      </w:pPr>
      <w:r>
        <w:rPr>
          <w:rStyle w:val="Appelnotedebasdep"/>
        </w:rPr>
        <w:footnoteRef/>
      </w:r>
      <w:r>
        <w:t xml:space="preserve"> </w:t>
      </w:r>
      <w:r>
        <w:tab/>
      </w:r>
      <w:r w:rsidRPr="00067F32">
        <w:t>Incluant la subvention de participation obligatoire de la Couronne de 25%.</w:t>
      </w:r>
    </w:p>
  </w:footnote>
  <w:footnote w:id="410">
    <w:p w:rsidR="00AD690E" w:rsidRDefault="00AD690E" w:rsidP="00AD690E">
      <w:pPr>
        <w:pStyle w:val="Notedebasdepage"/>
      </w:pPr>
      <w:r>
        <w:rPr>
          <w:rStyle w:val="Appelnotedebasdep"/>
        </w:rPr>
        <w:footnoteRef/>
      </w:r>
      <w:r>
        <w:t xml:space="preserve"> </w:t>
      </w:r>
      <w:r>
        <w:tab/>
      </w:r>
      <w:r w:rsidRPr="00067F32">
        <w:t>Sur les terres provinciales, il s'agit de surfaces de l'ordre de 130 hectares dans la zone de Lloydminster, à 18 000 hectares dans celle de la baie de Fundy et du Saint-Laurent. Sur les terres du Canada, de 4 000 hectares dans la zone de la Liard à 8 000 hectares dans la vallée du Mackenzie et du Y</w:t>
      </w:r>
      <w:r w:rsidRPr="00067F32">
        <w:t>u</w:t>
      </w:r>
      <w:r w:rsidRPr="00067F32">
        <w:t>kon et à 18</w:t>
      </w:r>
      <w:r>
        <w:t> </w:t>
      </w:r>
      <w:r w:rsidRPr="00067F32">
        <w:t>000 hectares dans toutes les autres zones.</w:t>
      </w:r>
    </w:p>
  </w:footnote>
  <w:footnote w:id="411">
    <w:p w:rsidR="00AD690E" w:rsidRDefault="00AD690E" w:rsidP="00AD690E">
      <w:pPr>
        <w:pStyle w:val="Notedebasdepage"/>
      </w:pPr>
      <w:r>
        <w:rPr>
          <w:rStyle w:val="Appelnotedebasdep"/>
        </w:rPr>
        <w:footnoteRef/>
      </w:r>
      <w:r>
        <w:t xml:space="preserve"> </w:t>
      </w:r>
      <w:r>
        <w:tab/>
      </w:r>
      <w:r w:rsidRPr="000D0AF5">
        <w:t>De toute façon, une profonde antipathie séparait Reagan et Trudeau, tant au niveau du tempérament que des idées qu'ils défendaient.</w:t>
      </w:r>
    </w:p>
  </w:footnote>
  <w:footnote w:id="412">
    <w:p w:rsidR="00AD690E" w:rsidRDefault="00AD690E" w:rsidP="00AD690E">
      <w:pPr>
        <w:pStyle w:val="Notedebasdepage"/>
      </w:pPr>
      <w:r>
        <w:rPr>
          <w:rStyle w:val="Appelnotedebasdep"/>
        </w:rPr>
        <w:footnoteRef/>
      </w:r>
      <w:r>
        <w:t xml:space="preserve"> </w:t>
      </w:r>
      <w:r>
        <w:tab/>
      </w:r>
      <w:r w:rsidRPr="00A13725">
        <w:t>STOIK, J. L., « Notes for a Presentation to the Canadian Association of P</w:t>
      </w:r>
      <w:r w:rsidRPr="00A13725">
        <w:t>e</w:t>
      </w:r>
      <w:r w:rsidRPr="00A13725">
        <w:t>troleum Investment Analysts », Toronto, le 2 décembre 1980, pp. 4-7.</w:t>
      </w:r>
    </w:p>
  </w:footnote>
  <w:footnote w:id="413">
    <w:p w:rsidR="00AD690E" w:rsidRDefault="00AD690E" w:rsidP="00AD690E">
      <w:pPr>
        <w:pStyle w:val="Notedebasdepage"/>
      </w:pPr>
      <w:r>
        <w:rPr>
          <w:rStyle w:val="Appelnotedebasdep"/>
        </w:rPr>
        <w:footnoteRef/>
      </w:r>
      <w:r>
        <w:t xml:space="preserve"> </w:t>
      </w:r>
      <w:r>
        <w:tab/>
      </w:r>
      <w:r w:rsidRPr="00A13725">
        <w:t xml:space="preserve">GALLAGHER, J. et RICHARDS, B., « Report to the Shareholders », dans </w:t>
      </w:r>
      <w:r w:rsidRPr="00A13725">
        <w:rPr>
          <w:i/>
        </w:rPr>
        <w:t>Dome Petroleum Annual Report 1980</w:t>
      </w:r>
      <w:r w:rsidRPr="00A13725">
        <w:t>, avril 1981, p. 4.</w:t>
      </w:r>
    </w:p>
  </w:footnote>
  <w:footnote w:id="414">
    <w:p w:rsidR="00AD690E" w:rsidRDefault="00AD690E" w:rsidP="00AD690E">
      <w:pPr>
        <w:pStyle w:val="Notedebasdepage"/>
      </w:pPr>
      <w:r>
        <w:rPr>
          <w:rStyle w:val="Appelnotedebasdep"/>
        </w:rPr>
        <w:footnoteRef/>
      </w:r>
      <w:r>
        <w:t xml:space="preserve"> </w:t>
      </w:r>
      <w:r>
        <w:tab/>
      </w:r>
      <w:r w:rsidRPr="00CB59FD">
        <w:t>Voilà sans doute pourquoi Robert Blair, son président, pouvait écrire avec fierté : « [...] We have good reasons to expect that throughout 1982 and 1983 Husky (contrôlée par Nova) will emerge as one of the half dozen le</w:t>
      </w:r>
      <w:r w:rsidRPr="00CB59FD">
        <w:t>a</w:t>
      </w:r>
      <w:r w:rsidRPr="00CB59FD">
        <w:t>ding investors vehicles for exploration off the West coast of Canada and with some participation in the Canadian Arctic [...] A shortage of semi-submersible vessels is anticipated, and we believe has provided Hu</w:t>
      </w:r>
      <w:r w:rsidRPr="00CB59FD">
        <w:t>s</w:t>
      </w:r>
      <w:r w:rsidRPr="00CB59FD">
        <w:t>ky/Bow Valley the opportunity to put ourselves forward to the fédéral and provincial governments having jurisdiction and desiring exploration action and to the major companies who have the main land spreads, as business-like partic</w:t>
      </w:r>
      <w:r w:rsidRPr="00CB59FD">
        <w:t>i</w:t>
      </w:r>
      <w:r w:rsidRPr="00CB59FD">
        <w:t>pants who will bring the indicated contribution of Canadian Ownership R</w:t>
      </w:r>
      <w:r w:rsidRPr="00CB59FD">
        <w:t>a</w:t>
      </w:r>
      <w:r w:rsidRPr="00CB59FD">
        <w:t>ting and a special element of Canadian content to the providsion of equi</w:t>
      </w:r>
      <w:r w:rsidRPr="00CB59FD">
        <w:t>p</w:t>
      </w:r>
      <w:r w:rsidRPr="00CB59FD">
        <w:t>ment and services », BLAIR, R., « Notes for a Speech to the Financial An</w:t>
      </w:r>
      <w:r w:rsidRPr="00CB59FD">
        <w:t>a</w:t>
      </w:r>
      <w:r w:rsidRPr="00CB59FD">
        <w:t>lysts Federation Seminar », Calgary, 27 janvier 1982, p. 6. Notons que R</w:t>
      </w:r>
      <w:r w:rsidRPr="00CB59FD">
        <w:t>o</w:t>
      </w:r>
      <w:r w:rsidRPr="00CB59FD">
        <w:t>bert Blair faisait partie à ce moment-là du Comité spécial chargé de l'alloc</w:t>
      </w:r>
      <w:r w:rsidRPr="00CB59FD">
        <w:t>a</w:t>
      </w:r>
      <w:r w:rsidRPr="00CB59FD">
        <w:t>tion des ressources aux entreprises engagées dans la prospection, et qu'il y défendit constamment le recours à la technologie, aux ressources et aux se</w:t>
      </w:r>
      <w:r w:rsidRPr="00CB59FD">
        <w:t>r</w:t>
      </w:r>
      <w:r w:rsidRPr="00CB59FD">
        <w:t>vices émanant des firmes canadiennes, dans la l</w:t>
      </w:r>
      <w:r w:rsidRPr="00CB59FD">
        <w:t>o</w:t>
      </w:r>
      <w:r w:rsidRPr="00CB59FD">
        <w:t>gique de ses interventions dans le dossier Foothills huit ans auparavant.</w:t>
      </w:r>
    </w:p>
  </w:footnote>
  <w:footnote w:id="415">
    <w:p w:rsidR="00AD690E" w:rsidRDefault="00AD690E" w:rsidP="00AD690E">
      <w:pPr>
        <w:pStyle w:val="Notedebasdepage"/>
      </w:pPr>
      <w:r>
        <w:rPr>
          <w:rStyle w:val="Appelnotedebasdep"/>
        </w:rPr>
        <w:footnoteRef/>
      </w:r>
      <w:r>
        <w:t xml:space="preserve"> </w:t>
      </w:r>
      <w:r>
        <w:tab/>
      </w:r>
      <w:r w:rsidRPr="00BA0EA5">
        <w:t xml:space="preserve">Voir à ce sujet le </w:t>
      </w:r>
      <w:r w:rsidRPr="00BA0EA5">
        <w:rPr>
          <w:i/>
        </w:rPr>
        <w:t>Globe and Mail</w:t>
      </w:r>
      <w:r w:rsidRPr="00BA0EA5">
        <w:t>, Toronto, 27 décembre 1983, p. Bl.</w:t>
      </w:r>
    </w:p>
  </w:footnote>
  <w:footnote w:id="416">
    <w:p w:rsidR="00AD690E" w:rsidRDefault="00AD690E" w:rsidP="00AD690E">
      <w:pPr>
        <w:pStyle w:val="Notedebasdepage"/>
      </w:pPr>
      <w:r>
        <w:rPr>
          <w:rStyle w:val="Appelnotedebasdep"/>
        </w:rPr>
        <w:footnoteRef/>
      </w:r>
      <w:r>
        <w:t xml:space="preserve"> </w:t>
      </w:r>
      <w:r>
        <w:tab/>
      </w:r>
      <w:r w:rsidRPr="002F38B3">
        <w:t>Le banc de George, situé dans le golfe du Maine entre Boston et Ya</w:t>
      </w:r>
      <w:r w:rsidRPr="002F38B3">
        <w:t>r</w:t>
      </w:r>
      <w:r w:rsidRPr="002F38B3">
        <w:t>mouth, fut l'occasion d'un litige entre le Canada et les États-Unis. La Cour intern</w:t>
      </w:r>
      <w:r w:rsidRPr="002F38B3">
        <w:t>a</w:t>
      </w:r>
      <w:r w:rsidRPr="002F38B3">
        <w:t>tionale de justice de La Haye répartit en 1985 ce territoire marin e</w:t>
      </w:r>
      <w:r w:rsidRPr="002F38B3">
        <w:t>n</w:t>
      </w:r>
      <w:r w:rsidRPr="002F38B3">
        <w:t>tre les deux pays mais les pêcheurs de la Nouvelle-Angleterre ne respectèrent j</w:t>
      </w:r>
      <w:r w:rsidRPr="002F38B3">
        <w:t>a</w:t>
      </w:r>
      <w:r w:rsidRPr="002F38B3">
        <w:t>mais cette décision. Cet épisode permit d'ailleurs à l'administration amér</w:t>
      </w:r>
      <w:r w:rsidRPr="002F38B3">
        <w:t>i</w:t>
      </w:r>
      <w:r w:rsidRPr="002F38B3">
        <w:t>caine d'affirmer que la Cour internationale n'avait pas compétence sur ces matières, un procédé repris depuis lors à maintes occasions</w:t>
      </w:r>
      <w:r>
        <w:t>.</w:t>
      </w:r>
    </w:p>
  </w:footnote>
  <w:footnote w:id="417">
    <w:p w:rsidR="00AD690E" w:rsidRDefault="00AD690E" w:rsidP="00AD690E">
      <w:pPr>
        <w:pStyle w:val="Notedebasdepage"/>
      </w:pPr>
      <w:r>
        <w:rPr>
          <w:rStyle w:val="Appelnotedebasdep"/>
        </w:rPr>
        <w:footnoteRef/>
      </w:r>
      <w:r>
        <w:t xml:space="preserve"> </w:t>
      </w:r>
      <w:r>
        <w:tab/>
      </w:r>
      <w:r w:rsidRPr="002F38B3">
        <w:t>C'était particulièrement vrai dans le cas de l'APGTC/COGLA, qui faisait une intense campagne en faveur de l'exploration en zone pétrolière et lai</w:t>
      </w:r>
      <w:r w:rsidRPr="002F38B3">
        <w:t>s</w:t>
      </w:r>
      <w:r w:rsidRPr="002F38B3">
        <w:t>sait d'autant plus miroiter aux firmes les avantages qu'il y avait à se prév</w:t>
      </w:r>
      <w:r w:rsidRPr="002F38B3">
        <w:t>a</w:t>
      </w:r>
      <w:r w:rsidRPr="002F38B3">
        <w:t>loir des subventions du PESP, qu'elle n'en était pas l'administratrice i</w:t>
      </w:r>
      <w:r w:rsidRPr="002F38B3">
        <w:t>m</w:t>
      </w:r>
      <w:r w:rsidRPr="002F38B3">
        <w:t>médiate.</w:t>
      </w:r>
    </w:p>
  </w:footnote>
  <w:footnote w:id="418">
    <w:p w:rsidR="00AD690E" w:rsidRDefault="00AD690E" w:rsidP="00AD690E">
      <w:pPr>
        <w:pStyle w:val="Notedebasdepage"/>
      </w:pPr>
      <w:r>
        <w:rPr>
          <w:rStyle w:val="Appelnotedebasdep"/>
        </w:rPr>
        <w:footnoteRef/>
      </w:r>
      <w:r>
        <w:t xml:space="preserve"> </w:t>
      </w:r>
      <w:r>
        <w:tab/>
      </w:r>
      <w:r w:rsidRPr="00C6531B">
        <w:t>Entrevue avec Robert Toupin, fiscaliste et député de Terrebonne aux Co</w:t>
      </w:r>
      <w:r w:rsidRPr="00C6531B">
        <w:t>m</w:t>
      </w:r>
      <w:r w:rsidRPr="00C6531B">
        <w:t>munes, anciennement du Parti conservateur, le 26 juin 1986.</w:t>
      </w:r>
    </w:p>
  </w:footnote>
  <w:footnote w:id="419">
    <w:p w:rsidR="00AD690E" w:rsidRDefault="00AD690E" w:rsidP="00AD690E">
      <w:pPr>
        <w:pStyle w:val="Notedebasdepage"/>
      </w:pPr>
      <w:r>
        <w:rPr>
          <w:rStyle w:val="Appelnotedebasdep"/>
        </w:rPr>
        <w:footnoteRef/>
      </w:r>
      <w:r>
        <w:t xml:space="preserve"> </w:t>
      </w:r>
      <w:r>
        <w:tab/>
      </w:r>
      <w:r w:rsidRPr="00C6531B">
        <w:t>Dont le rôle est au moins double : alimenter les processus productifs, n</w:t>
      </w:r>
      <w:r w:rsidRPr="00C6531B">
        <w:t>o</w:t>
      </w:r>
      <w:r w:rsidRPr="00C6531B">
        <w:t>tamment industriels lourds, et constituer via les exportations, un levier pui</w:t>
      </w:r>
      <w:r w:rsidRPr="00C6531B">
        <w:t>s</w:t>
      </w:r>
      <w:r w:rsidRPr="00C6531B">
        <w:t>sant d'accumulation de capital dans les frontières, utile dans la con</w:t>
      </w:r>
      <w:r w:rsidRPr="00C6531B">
        <w:t>s</w:t>
      </w:r>
      <w:r w:rsidRPr="00C6531B">
        <w:t>truction de l'économie. Effets secondaires aussi : tisser des liens avec les sociétés clientes, dans le cadre d'une complémentarité économique inte</w:t>
      </w:r>
      <w:r w:rsidRPr="00C6531B">
        <w:t>r</w:t>
      </w:r>
      <w:r w:rsidRPr="00C6531B">
        <w:t>nationale, et aller dans le sens de dispositifs stratégiques d'approvisionnement en mati</w:t>
      </w:r>
      <w:r w:rsidRPr="00C6531B">
        <w:t>è</w:t>
      </w:r>
      <w:r w:rsidRPr="00C6531B">
        <w:t>res premières, dont les combustibles et carburants.</w:t>
      </w:r>
    </w:p>
  </w:footnote>
  <w:footnote w:id="420">
    <w:p w:rsidR="00AD690E" w:rsidRDefault="00AD690E" w:rsidP="00AD690E">
      <w:pPr>
        <w:pStyle w:val="Notedebasdepage"/>
      </w:pPr>
      <w:r>
        <w:rPr>
          <w:rStyle w:val="Appelnotedebasdep"/>
        </w:rPr>
        <w:footnoteRef/>
      </w:r>
      <w:r>
        <w:t xml:space="preserve"> </w:t>
      </w:r>
      <w:r>
        <w:tab/>
      </w:r>
      <w:r w:rsidRPr="008A58DE">
        <w:t>Elle ne traduit au fond, par-delà les mécanismes réflexes de l'économie que sont l'action des entreprises, que cette tranche de l'action sociale « consciente d'elle-même », dispensatrice de « règles » et de « normes », qu'elle défendra au nom d'un « intérêt national », d'une « raison d'état » qui se place au-dessus des autres intérêts. Ces normes visent le maintien théor</w:t>
      </w:r>
      <w:r w:rsidRPr="008A58DE">
        <w:t>i</w:t>
      </w:r>
      <w:r w:rsidRPr="008A58DE">
        <w:t>que de l'unité du pays et un minimum d'intégration entre les acteurs de la s</w:t>
      </w:r>
      <w:r w:rsidRPr="008A58DE">
        <w:t>o</w:t>
      </w:r>
      <w:r w:rsidRPr="008A58DE">
        <w:t>ciété, particuliers et corporatifs.</w:t>
      </w:r>
    </w:p>
  </w:footnote>
  <w:footnote w:id="421">
    <w:p w:rsidR="00AD690E" w:rsidRDefault="00AD690E" w:rsidP="00AD690E">
      <w:pPr>
        <w:pStyle w:val="Notedebasdepage"/>
      </w:pPr>
      <w:r>
        <w:rPr>
          <w:rStyle w:val="Appelnotedebasdep"/>
        </w:rPr>
        <w:footnoteRef/>
      </w:r>
      <w:r>
        <w:t xml:space="preserve"> </w:t>
      </w:r>
      <w:r>
        <w:tab/>
      </w:r>
      <w:r w:rsidRPr="008A58DE">
        <w:t>Cette action ne peut se faire que dans le cadre des juridictions attribuées par l'instance suprême à chacun des niveaux de gouvernement : provinces, États, gouvernements centraux fédérés ou unitaires. D'où le poids partic</w:t>
      </w:r>
      <w:r w:rsidRPr="008A58DE">
        <w:t>u</w:t>
      </w:r>
      <w:r w:rsidRPr="008A58DE">
        <w:t>lier d'une « tradition » politique en ce sens, propre aux États et groupes d'États féd</w:t>
      </w:r>
      <w:r w:rsidRPr="008A58DE">
        <w:t>é</w:t>
      </w:r>
      <w:r w:rsidRPr="008A58DE">
        <w:t xml:space="preserve">rés. Il ressort de cette constante interaction entre secteurs privé et public ce domaine central qu'on appelle la </w:t>
      </w:r>
      <w:r w:rsidRPr="008A58DE">
        <w:rPr>
          <w:i/>
        </w:rPr>
        <w:t>réglementation</w:t>
      </w:r>
      <w:r w:rsidRPr="008A58DE">
        <w:t>.</w:t>
      </w:r>
    </w:p>
  </w:footnote>
  <w:footnote w:id="422">
    <w:p w:rsidR="00AD690E" w:rsidRDefault="00AD690E" w:rsidP="00AD690E">
      <w:pPr>
        <w:pStyle w:val="Notedebasdepage"/>
      </w:pPr>
      <w:r>
        <w:rPr>
          <w:rStyle w:val="Appelnotedebasdep"/>
        </w:rPr>
        <w:footnoteRef/>
      </w:r>
      <w:r>
        <w:t xml:space="preserve"> </w:t>
      </w:r>
      <w:r>
        <w:tab/>
      </w:r>
      <w:r w:rsidRPr="008A58DE">
        <w:t>Un autre exemple, postérieur à la fin du régime libéral, est représenté par le sauvetage, au coût de 3 milliards, de la Norbanque albertaine par le gouve</w:t>
      </w:r>
      <w:r w:rsidRPr="008A58DE">
        <w:t>r</w:t>
      </w:r>
      <w:r w:rsidRPr="008A58DE">
        <w:t>nement Mulroney, à l'été 1985.</w:t>
      </w:r>
    </w:p>
  </w:footnote>
  <w:footnote w:id="423">
    <w:p w:rsidR="00AD690E" w:rsidRDefault="00AD690E" w:rsidP="00AD690E">
      <w:pPr>
        <w:pStyle w:val="Notedebasdepage"/>
      </w:pPr>
      <w:r>
        <w:rPr>
          <w:rStyle w:val="Appelnotedebasdep"/>
        </w:rPr>
        <w:footnoteRef/>
      </w:r>
      <w:r>
        <w:t xml:space="preserve"> </w:t>
      </w:r>
      <w:r>
        <w:tab/>
      </w:r>
      <w:r w:rsidRPr="008A58DE">
        <w:t>Encore faut-il pour cela qu'il y ait, chez les décideurs publics, une conce</w:t>
      </w:r>
      <w:r w:rsidRPr="008A58DE">
        <w:t>p</w:t>
      </w:r>
      <w:r w:rsidRPr="008A58DE">
        <w:t>tion d'ensemble {</w:t>
      </w:r>
      <w:r w:rsidRPr="008A58DE">
        <w:rPr>
          <w:i/>
        </w:rPr>
        <w:t>comprehensive approach</w:t>
      </w:r>
      <w:r w:rsidRPr="008A58DE">
        <w:t>) des conséquences de la fiscal</w:t>
      </w:r>
      <w:r w:rsidRPr="008A58DE">
        <w:t>i</w:t>
      </w:r>
      <w:r w:rsidRPr="008A58DE">
        <w:t>té sur le secteur, et la volonté de mettre sur pied des institutions de reche</w:t>
      </w:r>
      <w:r w:rsidRPr="008A58DE">
        <w:t>r</w:t>
      </w:r>
      <w:r w:rsidRPr="008A58DE">
        <w:t>che, des bureaucraties développementalistes spécialisées et des pratiques inédites dans la conduite des affaires extérieures et du commerce intern</w:t>
      </w:r>
      <w:r w:rsidRPr="008A58DE">
        <w:t>a</w:t>
      </w:r>
      <w:r w:rsidRPr="008A58DE">
        <w:t>tional</w:t>
      </w:r>
      <w:r>
        <w:t>.</w:t>
      </w:r>
    </w:p>
  </w:footnote>
  <w:footnote w:id="424">
    <w:p w:rsidR="00AD690E" w:rsidRPr="00192D12" w:rsidRDefault="00AD690E" w:rsidP="00AD690E">
      <w:pPr>
        <w:pStyle w:val="Notedebasdepage"/>
        <w:rPr>
          <w:lang w:val="fr-FR"/>
        </w:rPr>
      </w:pPr>
      <w:r>
        <w:rPr>
          <w:rStyle w:val="Appelnotedebasdep"/>
        </w:rPr>
        <w:footnoteRef/>
      </w:r>
      <w:r>
        <w:t xml:space="preserve"> </w:t>
      </w:r>
      <w:r>
        <w:tab/>
      </w:r>
      <w:r w:rsidRPr="00A46E9D">
        <w:t>Suite aux travaux de la Commission Rowell-Sirois. Voir à ce chapitre VAN SCHENDEL, V., « Les débats sur le plein-emploi au Canada : per</w:t>
      </w:r>
      <w:r w:rsidRPr="00A46E9D">
        <w:t>s</w:t>
      </w:r>
      <w:r w:rsidRPr="00A46E9D">
        <w:t xml:space="preserve">pectives historiques », dans </w:t>
      </w:r>
      <w:r w:rsidRPr="00A46E9D">
        <w:rPr>
          <w:i/>
        </w:rPr>
        <w:t>Interventions économiques</w:t>
      </w:r>
      <w:r w:rsidRPr="00A46E9D">
        <w:t>, n° 12-13, pri</w:t>
      </w:r>
      <w:r w:rsidRPr="00A46E9D">
        <w:t>n</w:t>
      </w:r>
      <w:r w:rsidRPr="00A46E9D">
        <w:t>temps 1984, p. 125 et s.</w:t>
      </w:r>
    </w:p>
  </w:footnote>
  <w:footnote w:id="425">
    <w:p w:rsidR="00AD690E" w:rsidRPr="00AF721C" w:rsidRDefault="00AD690E" w:rsidP="00AD690E">
      <w:pPr>
        <w:pStyle w:val="Notedebasdepage"/>
        <w:rPr>
          <w:lang w:val="fr-FR"/>
        </w:rPr>
      </w:pPr>
      <w:r>
        <w:rPr>
          <w:rStyle w:val="Appelnotedebasdep"/>
        </w:rPr>
        <w:footnoteRef/>
      </w:r>
      <w:r>
        <w:t xml:space="preserve"> </w:t>
      </w:r>
      <w:r>
        <w:tab/>
      </w:r>
      <w:r w:rsidRPr="00AF721C">
        <w:t>Commission royale d'enquête sur les perspectives économiques du Can</w:t>
      </w:r>
      <w:r w:rsidRPr="00AF721C">
        <w:t>a</w:t>
      </w:r>
      <w:r w:rsidRPr="00AF721C">
        <w:t xml:space="preserve">da, </w:t>
      </w:r>
      <w:r w:rsidRPr="00AF721C">
        <w:rPr>
          <w:i/>
        </w:rPr>
        <w:t>Rapport préliminaire</w:t>
      </w:r>
      <w:r w:rsidRPr="00AF721C">
        <w:t>, Ottawa, 1956.</w:t>
      </w:r>
    </w:p>
  </w:footnote>
  <w:footnote w:id="426">
    <w:p w:rsidR="00AD690E" w:rsidRPr="00AF721C" w:rsidRDefault="00AD690E" w:rsidP="00AD690E">
      <w:pPr>
        <w:pStyle w:val="Notedebasdepage"/>
        <w:rPr>
          <w:lang w:val="fr-FR"/>
        </w:rPr>
      </w:pPr>
      <w:r>
        <w:rPr>
          <w:rStyle w:val="Appelnotedebasdep"/>
        </w:rPr>
        <w:footnoteRef/>
      </w:r>
      <w:r>
        <w:t xml:space="preserve"> </w:t>
      </w:r>
      <w:r>
        <w:tab/>
      </w:r>
      <w:r w:rsidRPr="00AF721C">
        <w:t xml:space="preserve">CANADA, Sénat, Commission spéciale du Sénat sur la main-d'oeuvre et l'emploi, </w:t>
      </w:r>
      <w:r w:rsidRPr="00AF721C">
        <w:rPr>
          <w:i/>
        </w:rPr>
        <w:t>Rapport</w:t>
      </w:r>
      <w:r w:rsidRPr="00AF721C">
        <w:t>, Ottawa, 1961.</w:t>
      </w:r>
    </w:p>
  </w:footnote>
  <w:footnote w:id="427">
    <w:p w:rsidR="00AD690E" w:rsidRPr="00AF721C" w:rsidRDefault="00AD690E" w:rsidP="00AD690E">
      <w:pPr>
        <w:pStyle w:val="Notedebasdepage"/>
        <w:rPr>
          <w:lang w:val="fr-FR"/>
        </w:rPr>
      </w:pPr>
      <w:r>
        <w:rPr>
          <w:rStyle w:val="Appelnotedebasdep"/>
        </w:rPr>
        <w:footnoteRef/>
      </w:r>
      <w:r>
        <w:t xml:space="preserve"> </w:t>
      </w:r>
      <w:r>
        <w:tab/>
      </w:r>
      <w:r w:rsidRPr="00AF721C">
        <w:t xml:space="preserve">CANADA, ministère du Travail, </w:t>
      </w:r>
      <w:r w:rsidRPr="00AF721C">
        <w:rPr>
          <w:i/>
        </w:rPr>
        <w:t>Rapport annuel 1962-1963</w:t>
      </w:r>
      <w:r w:rsidRPr="00AF721C">
        <w:t>, p. 17.</w:t>
      </w:r>
    </w:p>
  </w:footnote>
  <w:footnote w:id="428">
    <w:p w:rsidR="00AD690E" w:rsidRPr="00AF721C" w:rsidRDefault="00AD690E" w:rsidP="00AD690E">
      <w:pPr>
        <w:pStyle w:val="Notedebasdepage"/>
        <w:rPr>
          <w:lang w:val="fr-FR"/>
        </w:rPr>
      </w:pPr>
      <w:r>
        <w:rPr>
          <w:rStyle w:val="Appelnotedebasdep"/>
        </w:rPr>
        <w:footnoteRef/>
      </w:r>
      <w:r>
        <w:t xml:space="preserve"> </w:t>
      </w:r>
      <w:r>
        <w:rPr>
          <w:lang w:val="fr-FR"/>
        </w:rPr>
        <w:tab/>
      </w:r>
      <w:r w:rsidRPr="00AF721C">
        <w:t>L'accord sur la formation technique et professionnelle de 1961 prévoit e</w:t>
      </w:r>
      <w:r w:rsidRPr="00AF721C">
        <w:t>x</w:t>
      </w:r>
      <w:r w:rsidRPr="00AF721C">
        <w:t>plicitement neuf champs d'intervention : — Formation de techn</w:t>
      </w:r>
      <w:r w:rsidRPr="00AF721C">
        <w:t>i</w:t>
      </w:r>
      <w:r w:rsidRPr="00AF721C">
        <w:t>ciens ;— Formation aux métiers et autres occupations ; — Formation en collaboration avec l'industrie ; — Formation des sans-emploi ; — Formation des inval</w:t>
      </w:r>
      <w:r w:rsidRPr="00AF721C">
        <w:t>i</w:t>
      </w:r>
      <w:r w:rsidRPr="00AF721C">
        <w:t>des ; — Formation d'instituteurs ; — Formation à l'intention des ministères et organismes fédéraux ; — Aide aux étudiants.</w:t>
      </w:r>
    </w:p>
  </w:footnote>
  <w:footnote w:id="429">
    <w:p w:rsidR="00AD690E" w:rsidRPr="00987386" w:rsidRDefault="00AD690E" w:rsidP="00AD690E">
      <w:pPr>
        <w:pStyle w:val="Notedebasdepage"/>
        <w:rPr>
          <w:lang w:val="fr-FR"/>
        </w:rPr>
      </w:pPr>
      <w:r>
        <w:rPr>
          <w:rStyle w:val="Appelnotedebasdep"/>
        </w:rPr>
        <w:footnoteRef/>
      </w:r>
      <w:r>
        <w:t xml:space="preserve"> </w:t>
      </w:r>
      <w:r>
        <w:rPr>
          <w:lang w:val="fr-FR"/>
        </w:rPr>
        <w:tab/>
      </w:r>
      <w:r w:rsidRPr="00987386">
        <w:t>Cette philosophie présida notamment à la mise sur pied du Conseil nati</w:t>
      </w:r>
      <w:r w:rsidRPr="00987386">
        <w:t>o</w:t>
      </w:r>
      <w:r w:rsidRPr="00987386">
        <w:t>nal de la productivité en 1961 (ancêtre du Conseil économique du Can</w:t>
      </w:r>
      <w:r w:rsidRPr="00987386">
        <w:t>a</w:t>
      </w:r>
      <w:r w:rsidRPr="00987386">
        <w:t>da).</w:t>
      </w:r>
    </w:p>
  </w:footnote>
  <w:footnote w:id="430">
    <w:p w:rsidR="00AD690E" w:rsidRPr="00987386" w:rsidRDefault="00AD690E" w:rsidP="00AD690E">
      <w:pPr>
        <w:pStyle w:val="Notedebasdepage"/>
        <w:rPr>
          <w:lang w:val="fr-FR"/>
        </w:rPr>
      </w:pPr>
      <w:r>
        <w:rPr>
          <w:rStyle w:val="Appelnotedebasdep"/>
        </w:rPr>
        <w:footnoteRef/>
      </w:r>
      <w:r>
        <w:t xml:space="preserve"> </w:t>
      </w:r>
      <w:r>
        <w:rPr>
          <w:lang w:val="fr-FR"/>
        </w:rPr>
        <w:tab/>
      </w:r>
      <w:r w:rsidRPr="00873110">
        <w:t>Commission spéciale du Sénat sur la main-d'</w:t>
      </w:r>
      <w:r>
        <w:t>œuvre</w:t>
      </w:r>
      <w:r w:rsidRPr="00873110">
        <w:t xml:space="preserve"> et l'emploi, </w:t>
      </w:r>
      <w:r w:rsidRPr="00825548">
        <w:rPr>
          <w:i/>
        </w:rPr>
        <w:t>op. cit</w:t>
      </w:r>
      <w:r w:rsidRPr="00873110">
        <w:t>.</w:t>
      </w:r>
    </w:p>
  </w:footnote>
  <w:footnote w:id="431">
    <w:p w:rsidR="00AD690E" w:rsidRPr="00987386" w:rsidRDefault="00AD690E" w:rsidP="00AD690E">
      <w:pPr>
        <w:pStyle w:val="Notedebasdepage"/>
        <w:rPr>
          <w:lang w:val="fr-FR"/>
        </w:rPr>
      </w:pPr>
      <w:r>
        <w:rPr>
          <w:rStyle w:val="Appelnotedebasdep"/>
        </w:rPr>
        <w:footnoteRef/>
      </w:r>
      <w:r>
        <w:t xml:space="preserve"> </w:t>
      </w:r>
      <w:r>
        <w:tab/>
      </w:r>
      <w:r w:rsidRPr="00987386">
        <w:t xml:space="preserve">Conseil économique du Canada, </w:t>
      </w:r>
      <w:r w:rsidRPr="00987386">
        <w:rPr>
          <w:i/>
        </w:rPr>
        <w:t>Premier exposé annuel</w:t>
      </w:r>
      <w:r w:rsidRPr="00987386">
        <w:t>, Ottawa, 1964.</w:t>
      </w:r>
    </w:p>
  </w:footnote>
  <w:footnote w:id="432">
    <w:p w:rsidR="00AD690E" w:rsidRPr="00987386" w:rsidRDefault="00AD690E" w:rsidP="00AD690E">
      <w:pPr>
        <w:pStyle w:val="Notedebasdepage"/>
        <w:rPr>
          <w:lang w:val="fr-FR"/>
        </w:rPr>
      </w:pPr>
      <w:r>
        <w:rPr>
          <w:rStyle w:val="Appelnotedebasdep"/>
        </w:rPr>
        <w:footnoteRef/>
      </w:r>
      <w:r>
        <w:t xml:space="preserve"> </w:t>
      </w:r>
      <w:r>
        <w:tab/>
      </w:r>
      <w:r w:rsidRPr="00987386">
        <w:t xml:space="preserve">CANADA, ministère de l'Emploi et de l'Immigration Canada, </w:t>
      </w:r>
      <w:r w:rsidRPr="00987386">
        <w:rPr>
          <w:i/>
        </w:rPr>
        <w:t>Rapport a</w:t>
      </w:r>
      <w:r w:rsidRPr="00987386">
        <w:rPr>
          <w:i/>
        </w:rPr>
        <w:t>n</w:t>
      </w:r>
      <w:r w:rsidRPr="00987386">
        <w:rPr>
          <w:i/>
        </w:rPr>
        <w:t>nuel 1966-1967</w:t>
      </w:r>
      <w:r w:rsidRPr="00987386">
        <w:t>.</w:t>
      </w:r>
    </w:p>
  </w:footnote>
  <w:footnote w:id="433">
    <w:p w:rsidR="00AD690E" w:rsidRPr="00987386" w:rsidRDefault="00AD690E" w:rsidP="00AD690E">
      <w:pPr>
        <w:pStyle w:val="Notedebasdepage"/>
        <w:rPr>
          <w:lang w:val="fr-FR"/>
        </w:rPr>
      </w:pPr>
      <w:r>
        <w:rPr>
          <w:rStyle w:val="Appelnotedebasdep"/>
        </w:rPr>
        <w:footnoteRef/>
      </w:r>
      <w:r>
        <w:t xml:space="preserve"> </w:t>
      </w:r>
      <w:r>
        <w:tab/>
      </w:r>
      <w:r w:rsidRPr="00987386">
        <w:t>Autorisé le 13 décembre 1965 (P.C. 1965-2215).</w:t>
      </w:r>
    </w:p>
  </w:footnote>
  <w:footnote w:id="434">
    <w:p w:rsidR="00AD690E" w:rsidRPr="00D23709" w:rsidRDefault="00AD690E" w:rsidP="00AD690E">
      <w:pPr>
        <w:pStyle w:val="Notedebasdepage"/>
        <w:rPr>
          <w:lang w:val="fr-FR"/>
        </w:rPr>
      </w:pPr>
      <w:r>
        <w:rPr>
          <w:rStyle w:val="Appelnotedebasdep"/>
        </w:rPr>
        <w:footnoteRef/>
      </w:r>
      <w:r>
        <w:t xml:space="preserve"> </w:t>
      </w:r>
      <w:r>
        <w:rPr>
          <w:lang w:val="fr-FR"/>
        </w:rPr>
        <w:tab/>
      </w:r>
      <w:r w:rsidRPr="00D23709">
        <w:t xml:space="preserve">BELLEMARE, D. et SIMON-POULIN, L., </w:t>
      </w:r>
      <w:r w:rsidRPr="00D23709">
        <w:rPr>
          <w:i/>
        </w:rPr>
        <w:t>Le défi du plein-emploi, Mo</w:t>
      </w:r>
      <w:r w:rsidRPr="00D23709">
        <w:rPr>
          <w:i/>
        </w:rPr>
        <w:t>n</w:t>
      </w:r>
      <w:r w:rsidRPr="00D23709">
        <w:rPr>
          <w:i/>
        </w:rPr>
        <w:t>tréal</w:t>
      </w:r>
      <w:r w:rsidRPr="00D23709">
        <w:t>, Éditions coopératives Albert St-Martin, 1986, p. 160 et s.</w:t>
      </w:r>
    </w:p>
  </w:footnote>
  <w:footnote w:id="435">
    <w:p w:rsidR="00AD690E" w:rsidRPr="00D23709" w:rsidRDefault="00AD690E" w:rsidP="00AD690E">
      <w:pPr>
        <w:pStyle w:val="Notedebasdepage"/>
        <w:rPr>
          <w:lang w:val="fr-FR"/>
        </w:rPr>
      </w:pPr>
      <w:r>
        <w:rPr>
          <w:rStyle w:val="Appelnotedebasdep"/>
        </w:rPr>
        <w:footnoteRef/>
      </w:r>
      <w:r>
        <w:t xml:space="preserve"> </w:t>
      </w:r>
      <w:r>
        <w:tab/>
      </w:r>
      <w:r w:rsidRPr="00D23709">
        <w:t>Soit 80 %.</w:t>
      </w:r>
    </w:p>
  </w:footnote>
  <w:footnote w:id="436">
    <w:p w:rsidR="00AD690E" w:rsidRPr="00D23709" w:rsidRDefault="00AD690E" w:rsidP="00AD690E">
      <w:pPr>
        <w:pStyle w:val="Notedebasdepage"/>
        <w:rPr>
          <w:lang w:val="fr-FR"/>
        </w:rPr>
      </w:pPr>
      <w:r>
        <w:rPr>
          <w:rStyle w:val="Appelnotedebasdep"/>
        </w:rPr>
        <w:footnoteRef/>
      </w:r>
      <w:r>
        <w:t xml:space="preserve"> </w:t>
      </w:r>
      <w:r>
        <w:tab/>
      </w:r>
      <w:r w:rsidRPr="00D23709">
        <w:t>En 1975, ces programmes étaient au nombre de 20 pour un budget total de plus de 500 millions.</w:t>
      </w:r>
    </w:p>
  </w:footnote>
  <w:footnote w:id="437">
    <w:p w:rsidR="00AD690E" w:rsidRPr="00D23709" w:rsidRDefault="00AD690E" w:rsidP="00AD690E">
      <w:pPr>
        <w:pStyle w:val="Notedebasdepage"/>
        <w:rPr>
          <w:lang w:val="fr-FR"/>
        </w:rPr>
      </w:pPr>
      <w:r>
        <w:rPr>
          <w:rStyle w:val="Appelnotedebasdep"/>
        </w:rPr>
        <w:footnoteRef/>
      </w:r>
      <w:r>
        <w:t xml:space="preserve"> </w:t>
      </w:r>
      <w:r>
        <w:rPr>
          <w:lang w:val="fr-FR"/>
        </w:rPr>
        <w:tab/>
      </w:r>
      <w:r w:rsidRPr="00D23709">
        <w:t>Voir le texte de P. HAMEL et M. BOISVERT dans le présent recueil.</w:t>
      </w:r>
    </w:p>
  </w:footnote>
  <w:footnote w:id="438">
    <w:p w:rsidR="00AD690E" w:rsidRPr="00D23709" w:rsidRDefault="00AD690E" w:rsidP="00AD690E">
      <w:pPr>
        <w:pStyle w:val="Notedebasdepage"/>
        <w:rPr>
          <w:lang w:val="fr-FR"/>
        </w:rPr>
      </w:pPr>
      <w:r>
        <w:rPr>
          <w:rStyle w:val="Appelnotedebasdep"/>
        </w:rPr>
        <w:footnoteRef/>
      </w:r>
      <w:r>
        <w:t xml:space="preserve"> </w:t>
      </w:r>
      <w:r>
        <w:rPr>
          <w:lang w:val="fr-FR"/>
        </w:rPr>
        <w:tab/>
      </w:r>
      <w:r w:rsidRPr="00D23709">
        <w:t>Visant l'application du Programme d'aide à la création locale d'emploi (P</w:t>
      </w:r>
      <w:r w:rsidRPr="00D23709">
        <w:t>A</w:t>
      </w:r>
      <w:r w:rsidRPr="00D23709">
        <w:t>CLE) institué en 1973 sur une base expérimentale.</w:t>
      </w:r>
    </w:p>
  </w:footnote>
  <w:footnote w:id="439">
    <w:p w:rsidR="00AD690E" w:rsidRPr="00AD56CC" w:rsidRDefault="00AD690E" w:rsidP="00AD690E">
      <w:pPr>
        <w:pStyle w:val="Notedebasdepage"/>
        <w:rPr>
          <w:lang w:val="fr-FR"/>
        </w:rPr>
      </w:pPr>
      <w:r>
        <w:rPr>
          <w:rStyle w:val="Appelnotedebasdep"/>
        </w:rPr>
        <w:footnoteRef/>
      </w:r>
      <w:r>
        <w:t xml:space="preserve"> </w:t>
      </w:r>
      <w:r>
        <w:rPr>
          <w:lang w:val="fr-FR"/>
        </w:rPr>
        <w:tab/>
      </w:r>
      <w:r w:rsidRPr="00AD56CC">
        <w:t xml:space="preserve">Canada, Comité sénatorial permanent des finances nationales, </w:t>
      </w:r>
      <w:r w:rsidRPr="00AD56CC">
        <w:rPr>
          <w:i/>
        </w:rPr>
        <w:t>Main-d'oeuvre du Canada</w:t>
      </w:r>
      <w:r w:rsidRPr="00AD56CC">
        <w:t>, Sénat du Canada, août 1976.</w:t>
      </w:r>
    </w:p>
  </w:footnote>
  <w:footnote w:id="440">
    <w:p w:rsidR="00AD690E" w:rsidRPr="00AD56CC" w:rsidRDefault="00AD690E" w:rsidP="00AD690E">
      <w:pPr>
        <w:pStyle w:val="Notedebasdepage"/>
        <w:rPr>
          <w:lang w:val="fr-FR"/>
        </w:rPr>
      </w:pPr>
      <w:r>
        <w:rPr>
          <w:rStyle w:val="Appelnotedebasdep"/>
        </w:rPr>
        <w:footnoteRef/>
      </w:r>
      <w:r>
        <w:t xml:space="preserve"> </w:t>
      </w:r>
      <w:r>
        <w:tab/>
      </w:r>
      <w:r w:rsidRPr="00AD56CC">
        <w:t xml:space="preserve">Voir notamment Assurance-chômage Canada, </w:t>
      </w:r>
      <w:r w:rsidRPr="00AD56CC">
        <w:rPr>
          <w:i/>
        </w:rPr>
        <w:t>Étude d'ensemble du régime d'assurance-chômage au Canada</w:t>
      </w:r>
      <w:r w:rsidRPr="00AD56CC">
        <w:t>, Ottawa, 1977. La réforme du progra</w:t>
      </w:r>
      <w:r w:rsidRPr="00AD56CC">
        <w:t>m</w:t>
      </w:r>
      <w:r w:rsidRPr="00AD56CC">
        <w:t xml:space="preserve">me de chômage est étudiée en détail par M. PELLETIER dans </w:t>
      </w:r>
      <w:r w:rsidRPr="00AD56CC">
        <w:rPr>
          <w:i/>
        </w:rPr>
        <w:t>De la séc</w:t>
      </w:r>
      <w:r w:rsidRPr="00AD56CC">
        <w:rPr>
          <w:i/>
        </w:rPr>
        <w:t>u</w:t>
      </w:r>
      <w:r w:rsidRPr="00AD56CC">
        <w:rPr>
          <w:i/>
        </w:rPr>
        <w:t>rité sociale à la sécurité du revenu</w:t>
      </w:r>
      <w:r w:rsidRPr="00AD56CC">
        <w:t>, Montréal, 1982.</w:t>
      </w:r>
    </w:p>
  </w:footnote>
  <w:footnote w:id="441">
    <w:p w:rsidR="00AD690E" w:rsidRPr="00AD56CC" w:rsidRDefault="00AD690E" w:rsidP="00AD690E">
      <w:pPr>
        <w:pStyle w:val="Notedebasdepage"/>
        <w:rPr>
          <w:lang w:val="fr-FR"/>
        </w:rPr>
      </w:pPr>
      <w:r>
        <w:rPr>
          <w:rStyle w:val="Appelnotedebasdep"/>
        </w:rPr>
        <w:footnoteRef/>
      </w:r>
      <w:r>
        <w:t xml:space="preserve"> </w:t>
      </w:r>
      <w:r>
        <w:rPr>
          <w:lang w:val="fr-FR"/>
        </w:rPr>
        <w:tab/>
      </w:r>
      <w:r w:rsidRPr="00AD56CC">
        <w:t>Qui atteignirent 1 milliard de dollars à la fin de l'exercice financier 1976-1977.</w:t>
      </w:r>
    </w:p>
  </w:footnote>
  <w:footnote w:id="442">
    <w:p w:rsidR="00AD690E" w:rsidRPr="00AD56CC" w:rsidRDefault="00AD690E" w:rsidP="00AD690E">
      <w:pPr>
        <w:pStyle w:val="Notedebasdepage"/>
        <w:rPr>
          <w:lang w:val="fr-FR"/>
        </w:rPr>
      </w:pPr>
      <w:r>
        <w:rPr>
          <w:rStyle w:val="Appelnotedebasdep"/>
        </w:rPr>
        <w:footnoteRef/>
      </w:r>
      <w:r>
        <w:t xml:space="preserve"> </w:t>
      </w:r>
      <w:r>
        <w:rPr>
          <w:lang w:val="fr-FR"/>
        </w:rPr>
        <w:tab/>
      </w:r>
      <w:r w:rsidRPr="00AD56CC">
        <w:t>Différents programmes d'accès à l'égalité et d'action positive seront ado</w:t>
      </w:r>
      <w:r w:rsidRPr="00AD56CC">
        <w:t>p</w:t>
      </w:r>
      <w:r w:rsidRPr="00AD56CC">
        <w:t>tés entre 1976 et 1980.</w:t>
      </w:r>
    </w:p>
  </w:footnote>
  <w:footnote w:id="443">
    <w:p w:rsidR="00AD690E" w:rsidRPr="002340F8" w:rsidRDefault="00AD690E" w:rsidP="00AD690E">
      <w:pPr>
        <w:pStyle w:val="Notedebasdepage"/>
        <w:rPr>
          <w:lang w:val="fr-FR"/>
        </w:rPr>
      </w:pPr>
      <w:r>
        <w:rPr>
          <w:rStyle w:val="Appelnotedebasdep"/>
        </w:rPr>
        <w:footnoteRef/>
      </w:r>
      <w:r>
        <w:t xml:space="preserve"> </w:t>
      </w:r>
      <w:r>
        <w:tab/>
      </w:r>
      <w:r w:rsidRPr="002340F8">
        <w:t xml:space="preserve">CANADA, ministère de l'Emploi et de l'Immigration Canada, </w:t>
      </w:r>
      <w:r w:rsidRPr="002340F8">
        <w:rPr>
          <w:i/>
        </w:rPr>
        <w:t>Rapport a</w:t>
      </w:r>
      <w:r w:rsidRPr="002340F8">
        <w:rPr>
          <w:i/>
        </w:rPr>
        <w:t>n</w:t>
      </w:r>
      <w:r w:rsidRPr="002340F8">
        <w:rPr>
          <w:i/>
        </w:rPr>
        <w:t>nuel 1977-1978</w:t>
      </w:r>
      <w:r w:rsidRPr="002340F8">
        <w:t>, p. xiii.</w:t>
      </w:r>
    </w:p>
  </w:footnote>
  <w:footnote w:id="444">
    <w:p w:rsidR="00AD690E" w:rsidRPr="002340F8" w:rsidRDefault="00AD690E" w:rsidP="00AD690E">
      <w:pPr>
        <w:pStyle w:val="Notedebasdepage"/>
        <w:rPr>
          <w:lang w:val="fr-FR"/>
        </w:rPr>
      </w:pPr>
      <w:r>
        <w:rPr>
          <w:rStyle w:val="Appelnotedebasdep"/>
        </w:rPr>
        <w:footnoteRef/>
      </w:r>
      <w:r>
        <w:t xml:space="preserve"> </w:t>
      </w:r>
      <w:r>
        <w:rPr>
          <w:lang w:val="fr-FR"/>
        </w:rPr>
        <w:tab/>
      </w:r>
      <w:r w:rsidRPr="002340F8">
        <w:t>DEBLOCK, C. et PERREAULT, D., « La politique économique canadie</w:t>
      </w:r>
      <w:r w:rsidRPr="002340F8">
        <w:t>n</w:t>
      </w:r>
      <w:r w:rsidRPr="002340F8">
        <w:t xml:space="preserve">ne », dans </w:t>
      </w:r>
      <w:r w:rsidRPr="002340F8">
        <w:rPr>
          <w:i/>
        </w:rPr>
        <w:t>Conjoncture et politique</w:t>
      </w:r>
      <w:r w:rsidRPr="002340F8">
        <w:t>, n° 6-7, 1986.</w:t>
      </w:r>
    </w:p>
  </w:footnote>
  <w:footnote w:id="445">
    <w:p w:rsidR="00AD690E" w:rsidRPr="00FB4BC8" w:rsidRDefault="00AD690E" w:rsidP="00AD690E">
      <w:pPr>
        <w:pStyle w:val="Notedebasdepage"/>
        <w:rPr>
          <w:lang w:val="fr-FR"/>
        </w:rPr>
      </w:pPr>
      <w:r>
        <w:rPr>
          <w:rStyle w:val="Appelnotedebasdep"/>
        </w:rPr>
        <w:footnoteRef/>
      </w:r>
      <w:r>
        <w:t xml:space="preserve"> </w:t>
      </w:r>
      <w:r>
        <w:rPr>
          <w:lang w:val="fr-FR"/>
        </w:rPr>
        <w:tab/>
      </w:r>
      <w:r w:rsidRPr="00D518E0">
        <w:t xml:space="preserve">Groupe d'étude sur l'évolution du marché du travail, </w:t>
      </w:r>
      <w:r w:rsidRPr="00D518E0">
        <w:rPr>
          <w:i/>
        </w:rPr>
        <w:t>L'évolution du ma</w:t>
      </w:r>
      <w:r w:rsidRPr="00D518E0">
        <w:rPr>
          <w:i/>
        </w:rPr>
        <w:t>r</w:t>
      </w:r>
      <w:r w:rsidRPr="00D518E0">
        <w:rPr>
          <w:i/>
        </w:rPr>
        <w:t>ché du travail dans les années 1980</w:t>
      </w:r>
      <w:r w:rsidRPr="00D518E0">
        <w:t>, Emploi et Immigration Canada, p. 38.</w:t>
      </w:r>
    </w:p>
  </w:footnote>
  <w:footnote w:id="446">
    <w:p w:rsidR="00AD690E" w:rsidRPr="00D518E0" w:rsidRDefault="00AD690E" w:rsidP="00AD690E">
      <w:pPr>
        <w:pStyle w:val="Notedebasdepage"/>
        <w:rPr>
          <w:lang w:val="fr-FR"/>
        </w:rPr>
      </w:pPr>
      <w:r>
        <w:rPr>
          <w:rStyle w:val="Appelnotedebasdep"/>
        </w:rPr>
        <w:footnoteRef/>
      </w:r>
      <w:r>
        <w:t xml:space="preserve"> </w:t>
      </w:r>
      <w:r>
        <w:rPr>
          <w:lang w:val="fr-FR"/>
        </w:rPr>
        <w:tab/>
      </w:r>
      <w:r w:rsidRPr="00D518E0">
        <w:rPr>
          <w:i/>
        </w:rPr>
        <w:t>Idem</w:t>
      </w:r>
      <w:r w:rsidRPr="00D518E0">
        <w:t>. p. 38.</w:t>
      </w:r>
    </w:p>
  </w:footnote>
  <w:footnote w:id="447">
    <w:p w:rsidR="00AD690E" w:rsidRPr="00D518E0" w:rsidRDefault="00AD690E" w:rsidP="00AD690E">
      <w:pPr>
        <w:pStyle w:val="Notedebasdepage"/>
        <w:rPr>
          <w:lang w:val="fr-FR"/>
        </w:rPr>
      </w:pPr>
      <w:r>
        <w:rPr>
          <w:rStyle w:val="Appelnotedebasdep"/>
        </w:rPr>
        <w:footnoteRef/>
      </w:r>
      <w:r>
        <w:t xml:space="preserve"> </w:t>
      </w:r>
      <w:r>
        <w:tab/>
      </w:r>
      <w:r w:rsidRPr="00D518E0">
        <w:t xml:space="preserve">Groupe de travail sur les perspectives d'emplois pour les années 1980, </w:t>
      </w:r>
      <w:r w:rsidRPr="00D518E0">
        <w:rPr>
          <w:i/>
        </w:rPr>
        <w:t>Du travail pour demain</w:t>
      </w:r>
      <w:r w:rsidRPr="00D518E0">
        <w:t>, Ottawa, 1981, p. 165.</w:t>
      </w:r>
    </w:p>
  </w:footnote>
  <w:footnote w:id="448">
    <w:p w:rsidR="00AD690E" w:rsidRPr="00D518E0" w:rsidRDefault="00AD690E" w:rsidP="00AD690E">
      <w:pPr>
        <w:pStyle w:val="Notedebasdepage"/>
        <w:rPr>
          <w:lang w:val="fr-FR"/>
        </w:rPr>
      </w:pPr>
      <w:r>
        <w:rPr>
          <w:rStyle w:val="Appelnotedebasdep"/>
        </w:rPr>
        <w:footnoteRef/>
      </w:r>
      <w:r>
        <w:t xml:space="preserve"> </w:t>
      </w:r>
      <w:r>
        <w:rPr>
          <w:lang w:val="fr-FR"/>
        </w:rPr>
        <w:tab/>
      </w:r>
      <w:r w:rsidRPr="00D518E0">
        <w:rPr>
          <w:i/>
        </w:rPr>
        <w:t>Idem</w:t>
      </w:r>
      <w:r w:rsidRPr="00D518E0">
        <w:t>, p. 220.</w:t>
      </w:r>
    </w:p>
  </w:footnote>
  <w:footnote w:id="449">
    <w:p w:rsidR="00AD690E" w:rsidRPr="00D518E0" w:rsidRDefault="00AD690E" w:rsidP="00AD690E">
      <w:pPr>
        <w:pStyle w:val="Notedebasdepage"/>
        <w:rPr>
          <w:lang w:val="fr-FR"/>
        </w:rPr>
      </w:pPr>
      <w:r>
        <w:rPr>
          <w:rStyle w:val="Appelnotedebasdep"/>
        </w:rPr>
        <w:footnoteRef/>
      </w:r>
      <w:r>
        <w:t xml:space="preserve"> </w:t>
      </w:r>
      <w:r>
        <w:rPr>
          <w:lang w:val="fr-FR"/>
        </w:rPr>
        <w:tab/>
      </w:r>
      <w:r w:rsidRPr="00D518E0">
        <w:t>Parti libéral, Parti progressiste conservateur et NPD.</w:t>
      </w:r>
    </w:p>
  </w:footnote>
  <w:footnote w:id="450">
    <w:p w:rsidR="00AD690E" w:rsidRPr="00210FA9" w:rsidRDefault="00AD690E" w:rsidP="00AD690E">
      <w:pPr>
        <w:pStyle w:val="Notedebasdepage"/>
        <w:rPr>
          <w:lang w:val="fr-FR"/>
        </w:rPr>
      </w:pPr>
      <w:r>
        <w:rPr>
          <w:rStyle w:val="Appelnotedebasdep"/>
        </w:rPr>
        <w:footnoteRef/>
      </w:r>
      <w:r>
        <w:t xml:space="preserve"> </w:t>
      </w:r>
      <w:r>
        <w:tab/>
      </w:r>
      <w:r w:rsidRPr="00210FA9">
        <w:t xml:space="preserve">Groupe de travail sur les perspectives d'emploi pour les années 1980, </w:t>
      </w:r>
      <w:r w:rsidRPr="00210FA9">
        <w:rPr>
          <w:i/>
        </w:rPr>
        <w:t>Du travail pour demain</w:t>
      </w:r>
      <w:r w:rsidRPr="00210FA9">
        <w:t>, p. 137.</w:t>
      </w:r>
    </w:p>
  </w:footnote>
  <w:footnote w:id="451">
    <w:p w:rsidR="00AD690E" w:rsidRPr="00210FA9" w:rsidRDefault="00AD690E" w:rsidP="00AD690E">
      <w:pPr>
        <w:pStyle w:val="Notedebasdepage"/>
        <w:rPr>
          <w:lang w:val="fr-FR"/>
        </w:rPr>
      </w:pPr>
      <w:r>
        <w:rPr>
          <w:rStyle w:val="Appelnotedebasdep"/>
        </w:rPr>
        <w:footnoteRef/>
      </w:r>
      <w:r>
        <w:t xml:space="preserve"> </w:t>
      </w:r>
      <w:r>
        <w:tab/>
      </w:r>
      <w:r w:rsidRPr="00D2087A">
        <w:rPr>
          <w:i/>
        </w:rPr>
        <w:t>Idem</w:t>
      </w:r>
      <w:r w:rsidRPr="00873110">
        <w:t>, p. 5.</w:t>
      </w:r>
    </w:p>
  </w:footnote>
  <w:footnote w:id="452">
    <w:p w:rsidR="00AD690E" w:rsidRPr="00210FA9" w:rsidRDefault="00AD690E" w:rsidP="00AD690E">
      <w:pPr>
        <w:pStyle w:val="Notedebasdepage"/>
        <w:rPr>
          <w:lang w:val="fr-FR"/>
        </w:rPr>
      </w:pPr>
      <w:r>
        <w:rPr>
          <w:rStyle w:val="Appelnotedebasdep"/>
        </w:rPr>
        <w:footnoteRef/>
      </w:r>
      <w:r>
        <w:t xml:space="preserve"> </w:t>
      </w:r>
      <w:r>
        <w:tab/>
      </w:r>
      <w:r w:rsidRPr="00210FA9">
        <w:t>MEIC, Pour réaliser notre plein potentiel, Québec aperçu, octobre 1985, p. 5.</w:t>
      </w:r>
    </w:p>
  </w:footnote>
  <w:footnote w:id="453">
    <w:p w:rsidR="00AD690E" w:rsidRPr="00217C0C" w:rsidRDefault="00AD690E" w:rsidP="00AD690E">
      <w:pPr>
        <w:pStyle w:val="Notedebasdepage"/>
        <w:rPr>
          <w:lang w:val="fr-FR"/>
        </w:rPr>
      </w:pPr>
      <w:r>
        <w:rPr>
          <w:rStyle w:val="Appelnotedebasdep"/>
        </w:rPr>
        <w:footnoteRef/>
      </w:r>
      <w:r>
        <w:t xml:space="preserve"> </w:t>
      </w:r>
      <w:r>
        <w:rPr>
          <w:lang w:val="fr-FR"/>
        </w:rPr>
        <w:tab/>
      </w:r>
      <w:r w:rsidRPr="00217C0C">
        <w:t xml:space="preserve">MEIC, </w:t>
      </w:r>
      <w:r w:rsidRPr="00217C0C">
        <w:rPr>
          <w:i/>
        </w:rPr>
        <w:t>Ibid</w:t>
      </w:r>
      <w:r w:rsidRPr="00217C0C">
        <w:t>., p. 5.</w:t>
      </w:r>
    </w:p>
  </w:footnote>
  <w:footnote w:id="454">
    <w:p w:rsidR="00AD690E" w:rsidRPr="00217C0C" w:rsidRDefault="00AD690E" w:rsidP="00AD690E">
      <w:pPr>
        <w:pStyle w:val="Notedebasdepage"/>
        <w:rPr>
          <w:lang w:val="fr-FR"/>
        </w:rPr>
      </w:pPr>
      <w:r>
        <w:rPr>
          <w:rStyle w:val="Appelnotedebasdep"/>
        </w:rPr>
        <w:footnoteRef/>
      </w:r>
      <w:r>
        <w:t xml:space="preserve"> </w:t>
      </w:r>
      <w:r>
        <w:tab/>
      </w:r>
      <w:r w:rsidRPr="00217C0C">
        <w:t xml:space="preserve">MEIC, </w:t>
      </w:r>
      <w:r w:rsidRPr="00217C0C">
        <w:rPr>
          <w:i/>
        </w:rPr>
        <w:t>Ibid</w:t>
      </w:r>
      <w:r w:rsidRPr="00217C0C">
        <w:t>., p. 5.</w:t>
      </w:r>
    </w:p>
  </w:footnote>
  <w:footnote w:id="455">
    <w:p w:rsidR="00AD690E" w:rsidRPr="00217C0C" w:rsidRDefault="00AD690E" w:rsidP="00AD690E">
      <w:pPr>
        <w:pStyle w:val="Notedebasdepage"/>
        <w:rPr>
          <w:lang w:val="fr-FR"/>
        </w:rPr>
      </w:pPr>
      <w:r>
        <w:rPr>
          <w:rStyle w:val="Appelnotedebasdep"/>
        </w:rPr>
        <w:footnoteRef/>
      </w:r>
      <w:r>
        <w:tab/>
        <w:t xml:space="preserve"> </w:t>
      </w:r>
      <w:r w:rsidRPr="00217C0C">
        <w:t>MEQ, DGEA, Formation sur mesure dans le cadre de la formation en ét</w:t>
      </w:r>
      <w:r w:rsidRPr="00217C0C">
        <w:t>a</w:t>
      </w:r>
      <w:r w:rsidRPr="00217C0C">
        <w:t>blissement, accord Canada/Québec, document d'information, avril 1987, p. 7.</w:t>
      </w:r>
    </w:p>
  </w:footnote>
  <w:footnote w:id="456">
    <w:p w:rsidR="00AD690E" w:rsidRPr="00217C0C" w:rsidRDefault="00AD690E" w:rsidP="00AD690E">
      <w:pPr>
        <w:pStyle w:val="Notedebasdepage"/>
        <w:rPr>
          <w:lang w:val="fr-FR"/>
        </w:rPr>
      </w:pPr>
      <w:r>
        <w:rPr>
          <w:rStyle w:val="Appelnotedebasdep"/>
        </w:rPr>
        <w:footnoteRef/>
      </w:r>
      <w:r>
        <w:t xml:space="preserve"> </w:t>
      </w:r>
      <w:r>
        <w:tab/>
      </w:r>
      <w:r w:rsidRPr="00217C0C">
        <w:rPr>
          <w:i/>
        </w:rPr>
        <w:t>Idem</w:t>
      </w:r>
      <w:r w:rsidRPr="00217C0C">
        <w:t>.</w:t>
      </w:r>
    </w:p>
  </w:footnote>
  <w:footnote w:id="457">
    <w:p w:rsidR="00AD690E" w:rsidRPr="00EB3A39" w:rsidRDefault="00AD690E" w:rsidP="00AD690E">
      <w:pPr>
        <w:pStyle w:val="Notedebasdepage"/>
        <w:rPr>
          <w:lang w:val="fr-FR"/>
        </w:rPr>
      </w:pPr>
      <w:r>
        <w:rPr>
          <w:rStyle w:val="Appelnotedebasdep"/>
        </w:rPr>
        <w:footnoteRef/>
      </w:r>
      <w:r>
        <w:t xml:space="preserve"> </w:t>
      </w:r>
      <w:r>
        <w:tab/>
      </w:r>
      <w:r w:rsidRPr="00DB30C8">
        <w:t>CHAMBRE DE COMMERCE DU Canada, «Mémoires» présenté à l’Équipe spécialisée en relations de travail. Montréal avril 1968, dans b</w:t>
      </w:r>
      <w:r w:rsidRPr="00DB30C8">
        <w:t>u</w:t>
      </w:r>
      <w:r w:rsidRPr="00DB30C8">
        <w:t>reau du Conseil privé. Les relations de travail au Canada, rapport de l’Équipe spécialisée, Ottawa, impr</w:t>
      </w:r>
      <w:r w:rsidRPr="00DB30C8">
        <w:t>i</w:t>
      </w:r>
      <w:r w:rsidRPr="00DB30C8">
        <w:t>meur  de la reine, décembre 1968, p. 102.</w:t>
      </w:r>
    </w:p>
  </w:footnote>
  <w:footnote w:id="458">
    <w:p w:rsidR="00AD690E" w:rsidRPr="00C61161" w:rsidRDefault="00AD690E" w:rsidP="00AD690E">
      <w:pPr>
        <w:pStyle w:val="Notedebasdepage"/>
        <w:rPr>
          <w:lang w:val="fr-FR"/>
        </w:rPr>
      </w:pPr>
      <w:r>
        <w:rPr>
          <w:rStyle w:val="Appelnotedebasdep"/>
        </w:rPr>
        <w:footnoteRef/>
      </w:r>
      <w:r>
        <w:t xml:space="preserve"> </w:t>
      </w:r>
      <w:r>
        <w:rPr>
          <w:lang w:val="fr-FR"/>
        </w:rPr>
        <w:tab/>
      </w:r>
      <w:r w:rsidRPr="00C61161">
        <w:t xml:space="preserve">KUMAR, P., « La croissance des syndicats au Canada », dans RIDDELL, W.C., </w:t>
      </w:r>
      <w:r w:rsidRPr="00C61161">
        <w:rPr>
          <w:i/>
        </w:rPr>
        <w:t>Les relations de travail au Canada</w:t>
      </w:r>
      <w:r w:rsidRPr="00C61161">
        <w:t>, 367 p., Étude n° 16 réalisée pour la Commission royale sur l'union économique et les perspectives de dév</w:t>
      </w:r>
      <w:r w:rsidRPr="00C61161">
        <w:t>e</w:t>
      </w:r>
      <w:r w:rsidRPr="00C61161">
        <w:t>loppement du Canada, Ottawa, 1986, ministère des Approvisionn</w:t>
      </w:r>
      <w:r w:rsidRPr="00C61161">
        <w:t>e</w:t>
      </w:r>
      <w:r w:rsidRPr="00C61161">
        <w:t>ments et des Services, p. 145.</w:t>
      </w:r>
    </w:p>
  </w:footnote>
  <w:footnote w:id="459">
    <w:p w:rsidR="00AD690E" w:rsidRPr="00952E3A" w:rsidRDefault="00AD690E" w:rsidP="00AD690E">
      <w:pPr>
        <w:pStyle w:val="Notedebasdepage"/>
        <w:rPr>
          <w:lang w:val="fr-FR"/>
        </w:rPr>
      </w:pPr>
      <w:r>
        <w:rPr>
          <w:rStyle w:val="Appelnotedebasdep"/>
        </w:rPr>
        <w:footnoteRef/>
      </w:r>
      <w:r>
        <w:t xml:space="preserve"> </w:t>
      </w:r>
      <w:r>
        <w:rPr>
          <w:lang w:val="fr-FR"/>
        </w:rPr>
        <w:tab/>
      </w:r>
      <w:r w:rsidRPr="00952E3A">
        <w:t xml:space="preserve">KUMAR, P., </w:t>
      </w:r>
      <w:r w:rsidRPr="00952E3A">
        <w:rPr>
          <w:i/>
        </w:rPr>
        <w:t>Idem</w:t>
      </w:r>
      <w:r w:rsidRPr="00952E3A">
        <w:t>. p. 149.</w:t>
      </w:r>
    </w:p>
  </w:footnote>
  <w:footnote w:id="460">
    <w:p w:rsidR="00AD690E" w:rsidRPr="00726192" w:rsidRDefault="00AD690E" w:rsidP="00AD690E">
      <w:pPr>
        <w:pStyle w:val="Notedebasdepage"/>
        <w:rPr>
          <w:lang w:val="fr-FR"/>
        </w:rPr>
      </w:pPr>
      <w:r>
        <w:rPr>
          <w:rStyle w:val="Appelnotedebasdep"/>
        </w:rPr>
        <w:footnoteRef/>
      </w:r>
      <w:r>
        <w:t xml:space="preserve"> </w:t>
      </w:r>
      <w:r>
        <w:rPr>
          <w:lang w:val="fr-FR"/>
        </w:rPr>
        <w:tab/>
      </w:r>
      <w:r w:rsidRPr="00726192">
        <w:t>RIDDELL, W.C., « Les relations de travail au Canada : un aperçu gén</w:t>
      </w:r>
      <w:r w:rsidRPr="00726192">
        <w:t>é</w:t>
      </w:r>
      <w:r w:rsidRPr="00726192">
        <w:t xml:space="preserve">ral », dans RIDDELL, W.C., </w:t>
      </w:r>
      <w:r w:rsidRPr="00726192">
        <w:rPr>
          <w:i/>
        </w:rPr>
        <w:t>Les relations de travail au Canada</w:t>
      </w:r>
      <w:r w:rsidRPr="00726192">
        <w:t xml:space="preserve">, </w:t>
      </w:r>
      <w:r w:rsidRPr="00726192">
        <w:rPr>
          <w:i/>
        </w:rPr>
        <w:t>op. cit.,</w:t>
      </w:r>
      <w:r w:rsidRPr="00726192">
        <w:t xml:space="preserve"> p. 34.</w:t>
      </w:r>
    </w:p>
  </w:footnote>
  <w:footnote w:id="461">
    <w:p w:rsidR="00AD690E" w:rsidRPr="00726192" w:rsidRDefault="00AD690E" w:rsidP="00AD690E">
      <w:pPr>
        <w:pStyle w:val="Notedebasdepage"/>
        <w:rPr>
          <w:lang w:val="fr-FR"/>
        </w:rPr>
      </w:pPr>
      <w:r>
        <w:rPr>
          <w:rStyle w:val="Appelnotedebasdep"/>
        </w:rPr>
        <w:footnoteRef/>
      </w:r>
      <w:r>
        <w:t xml:space="preserve"> </w:t>
      </w:r>
      <w:r>
        <w:tab/>
      </w:r>
      <w:r w:rsidRPr="00726192">
        <w:t xml:space="preserve">PANITCH, L., SWARTZ D., </w:t>
      </w:r>
      <w:r w:rsidRPr="00726192">
        <w:rPr>
          <w:i/>
        </w:rPr>
        <w:t>From Consent to Coercion</w:t>
      </w:r>
      <w:r w:rsidRPr="00726192">
        <w:t>, Toronto, Gar</w:t>
      </w:r>
      <w:r w:rsidRPr="00726192">
        <w:t>a</w:t>
      </w:r>
      <w:r w:rsidRPr="00726192">
        <w:t xml:space="preserve">mond Press, 1985, pp. 18-19. Les données présentées ici sont tirées de : </w:t>
      </w:r>
      <w:r w:rsidRPr="00726192">
        <w:rPr>
          <w:i/>
        </w:rPr>
        <w:t>L</w:t>
      </w:r>
      <w:r w:rsidRPr="00726192">
        <w:rPr>
          <w:i/>
        </w:rPr>
        <w:t>a</w:t>
      </w:r>
      <w:r w:rsidRPr="00726192">
        <w:rPr>
          <w:i/>
        </w:rPr>
        <w:t>bour Organisation in Canada</w:t>
      </w:r>
      <w:r w:rsidRPr="00726192">
        <w:t>, Ottawa, 1975, pp. 28-29.</w:t>
      </w:r>
    </w:p>
  </w:footnote>
  <w:footnote w:id="462">
    <w:p w:rsidR="00AD690E" w:rsidRPr="00726192" w:rsidRDefault="00AD690E" w:rsidP="00AD690E">
      <w:pPr>
        <w:pStyle w:val="Notedebasdepage"/>
        <w:rPr>
          <w:lang w:val="fr-FR"/>
        </w:rPr>
      </w:pPr>
      <w:r>
        <w:rPr>
          <w:rStyle w:val="Appelnotedebasdep"/>
        </w:rPr>
        <w:footnoteRef/>
      </w:r>
      <w:r>
        <w:t xml:space="preserve"> </w:t>
      </w:r>
      <w:r>
        <w:tab/>
      </w:r>
      <w:r w:rsidRPr="00726192">
        <w:t xml:space="preserve">BLANCHARD, F., (directeur général du Bureau international du travail), « Les relations professionnelles et les défis des années 80 », </w:t>
      </w:r>
      <w:r w:rsidRPr="00726192">
        <w:rPr>
          <w:i/>
        </w:rPr>
        <w:t>Relations indu</w:t>
      </w:r>
      <w:r w:rsidRPr="00726192">
        <w:rPr>
          <w:i/>
        </w:rPr>
        <w:t>s</w:t>
      </w:r>
      <w:r w:rsidRPr="00726192">
        <w:rPr>
          <w:i/>
        </w:rPr>
        <w:t>trielles</w:t>
      </w:r>
      <w:r w:rsidRPr="00726192">
        <w:t>, vol. 37, n° 1, 1982, pp. 3-12. F. Blanchard note que sur ce plan, le Canada se place en tête avec la Suède.</w:t>
      </w:r>
    </w:p>
  </w:footnote>
  <w:footnote w:id="463">
    <w:p w:rsidR="00AD690E" w:rsidRPr="00383220" w:rsidRDefault="00AD690E" w:rsidP="00AD690E">
      <w:pPr>
        <w:pStyle w:val="Notedebasdepage"/>
        <w:rPr>
          <w:lang w:val="fr-FR"/>
        </w:rPr>
      </w:pPr>
      <w:r>
        <w:rPr>
          <w:rStyle w:val="Appelnotedebasdep"/>
        </w:rPr>
        <w:footnoteRef/>
      </w:r>
      <w:r>
        <w:t xml:space="preserve"> </w:t>
      </w:r>
      <w:r>
        <w:tab/>
      </w:r>
      <w:r w:rsidRPr="00383220">
        <w:t xml:space="preserve">CANADA, ministère du Travail, </w:t>
      </w:r>
      <w:r w:rsidRPr="00383220">
        <w:rPr>
          <w:i/>
        </w:rPr>
        <w:t>Grèves et lock-out au Canada</w:t>
      </w:r>
      <w:r w:rsidRPr="00383220">
        <w:t xml:space="preserve">, Ottawa, 1975, tableau 1, p. 6. Cité par PANITCH, L. et SWARTZ, D., </w:t>
      </w:r>
      <w:r w:rsidRPr="00383220">
        <w:rPr>
          <w:i/>
        </w:rPr>
        <w:t>op. cit</w:t>
      </w:r>
      <w:r w:rsidRPr="00383220">
        <w:t>. p. 24.</w:t>
      </w:r>
    </w:p>
  </w:footnote>
  <w:footnote w:id="464">
    <w:p w:rsidR="00AD690E" w:rsidRPr="00383220" w:rsidRDefault="00AD690E" w:rsidP="00AD690E">
      <w:pPr>
        <w:pStyle w:val="Notedebasdepage"/>
        <w:rPr>
          <w:lang w:val="fr-FR"/>
        </w:rPr>
      </w:pPr>
      <w:r>
        <w:rPr>
          <w:rStyle w:val="Appelnotedebasdep"/>
        </w:rPr>
        <w:footnoteRef/>
      </w:r>
      <w:r>
        <w:t xml:space="preserve"> </w:t>
      </w:r>
      <w:r>
        <w:rPr>
          <w:lang w:val="fr-FR"/>
        </w:rPr>
        <w:tab/>
      </w:r>
      <w:r w:rsidRPr="00383220">
        <w:t xml:space="preserve">RIDDELL, W.C., </w:t>
      </w:r>
      <w:r w:rsidRPr="00383220">
        <w:rPr>
          <w:i/>
        </w:rPr>
        <w:t>op. cit</w:t>
      </w:r>
      <w:r w:rsidRPr="00383220">
        <w:t>. p. 37.</w:t>
      </w:r>
    </w:p>
  </w:footnote>
  <w:footnote w:id="465">
    <w:p w:rsidR="00AD690E" w:rsidRPr="00383220" w:rsidRDefault="00AD690E" w:rsidP="00AD690E">
      <w:pPr>
        <w:pStyle w:val="Notedebasdepage"/>
        <w:rPr>
          <w:lang w:val="fr-FR"/>
        </w:rPr>
      </w:pPr>
      <w:r>
        <w:rPr>
          <w:rStyle w:val="Appelnotedebasdep"/>
        </w:rPr>
        <w:footnoteRef/>
      </w:r>
      <w:r>
        <w:t xml:space="preserve"> </w:t>
      </w:r>
      <w:r>
        <w:tab/>
      </w:r>
      <w:r w:rsidRPr="00383220">
        <w:t xml:space="preserve">LACROIX, R., « L'activité de grève au Canada », dans Riddell, W.C., </w:t>
      </w:r>
      <w:r w:rsidRPr="00383220">
        <w:rPr>
          <w:i/>
        </w:rPr>
        <w:t>op. cit</w:t>
      </w:r>
      <w:r w:rsidRPr="00383220">
        <w:t>., pp. 204-205.</w:t>
      </w:r>
    </w:p>
  </w:footnote>
  <w:footnote w:id="466">
    <w:p w:rsidR="00AD690E" w:rsidRPr="00A54E26" w:rsidRDefault="00AD690E" w:rsidP="00AD690E">
      <w:pPr>
        <w:pStyle w:val="Notedebasdepage"/>
        <w:rPr>
          <w:lang w:val="fr-FR"/>
        </w:rPr>
      </w:pPr>
      <w:r>
        <w:rPr>
          <w:rStyle w:val="Appelnotedebasdep"/>
        </w:rPr>
        <w:footnoteRef/>
      </w:r>
      <w:r>
        <w:t xml:space="preserve"> </w:t>
      </w:r>
      <w:r>
        <w:rPr>
          <w:lang w:val="fr-FR"/>
        </w:rPr>
        <w:tab/>
      </w:r>
      <w:r>
        <w:t xml:space="preserve">RIDDELL, W. C., </w:t>
      </w:r>
      <w:r>
        <w:rPr>
          <w:i/>
        </w:rPr>
        <w:t>op. cit</w:t>
      </w:r>
      <w:r>
        <w:t>, pp. 39-40.</w:t>
      </w:r>
    </w:p>
  </w:footnote>
  <w:footnote w:id="467">
    <w:p w:rsidR="00AD690E" w:rsidRPr="00A54E26" w:rsidRDefault="00AD690E" w:rsidP="00AD690E">
      <w:pPr>
        <w:pStyle w:val="Notedebasdepage"/>
        <w:rPr>
          <w:lang w:val="fr-FR"/>
        </w:rPr>
      </w:pPr>
      <w:r>
        <w:rPr>
          <w:rStyle w:val="Appelnotedebasdep"/>
        </w:rPr>
        <w:footnoteRef/>
      </w:r>
      <w:r>
        <w:t xml:space="preserve"> </w:t>
      </w:r>
      <w:r>
        <w:rPr>
          <w:lang w:val="fr-FR"/>
        </w:rPr>
        <w:tab/>
      </w:r>
      <w:r w:rsidRPr="00A54E26">
        <w:t xml:space="preserve">Cité par RIDDELL, W.C., </w:t>
      </w:r>
      <w:r w:rsidRPr="00A54E26">
        <w:rPr>
          <w:i/>
        </w:rPr>
        <w:t>op. cit</w:t>
      </w:r>
      <w:r w:rsidRPr="00A54E26">
        <w:t>, p. 34.</w:t>
      </w:r>
    </w:p>
  </w:footnote>
  <w:footnote w:id="468">
    <w:p w:rsidR="00AD690E" w:rsidRPr="00A54E26" w:rsidRDefault="00AD690E" w:rsidP="00AD690E">
      <w:pPr>
        <w:pStyle w:val="Notedebasdepage"/>
        <w:rPr>
          <w:lang w:val="fr-FR"/>
        </w:rPr>
      </w:pPr>
      <w:r>
        <w:rPr>
          <w:rStyle w:val="Appelnotedebasdep"/>
        </w:rPr>
        <w:footnoteRef/>
      </w:r>
      <w:r>
        <w:t xml:space="preserve"> </w:t>
      </w:r>
      <w:r>
        <w:tab/>
      </w:r>
      <w:r w:rsidRPr="00873110">
        <w:t xml:space="preserve">PANITCH, L., SWARTZ, D., </w:t>
      </w:r>
      <w:r w:rsidRPr="00D2087A">
        <w:rPr>
          <w:i/>
        </w:rPr>
        <w:t>op. cit</w:t>
      </w:r>
      <w:r w:rsidRPr="00873110">
        <w:t>., p. 9.</w:t>
      </w:r>
    </w:p>
  </w:footnote>
  <w:footnote w:id="469">
    <w:p w:rsidR="00AD690E" w:rsidRPr="00A54E26" w:rsidRDefault="00AD690E" w:rsidP="00AD690E">
      <w:pPr>
        <w:pStyle w:val="Notedebasdepage"/>
        <w:rPr>
          <w:lang w:val="fr-FR"/>
        </w:rPr>
      </w:pPr>
      <w:r>
        <w:rPr>
          <w:rStyle w:val="Appelnotedebasdep"/>
        </w:rPr>
        <w:footnoteRef/>
      </w:r>
      <w:r>
        <w:t xml:space="preserve"> </w:t>
      </w:r>
      <w:r>
        <w:rPr>
          <w:lang w:val="fr-FR"/>
        </w:rPr>
        <w:tab/>
      </w:r>
      <w:r w:rsidRPr="00A54E26">
        <w:t xml:space="preserve">Notamment : CARTER, D.D., </w:t>
      </w:r>
      <w:r w:rsidRPr="00A54E26">
        <w:rPr>
          <w:i/>
        </w:rPr>
        <w:t>Has government contributed to a crisis in industrial relations ?,</w:t>
      </w:r>
      <w:r w:rsidRPr="00A54E26">
        <w:t xml:space="preserve"> Centre for industrial Relations, University of Toro</w:t>
      </w:r>
      <w:r w:rsidRPr="00A54E26">
        <w:t>n</w:t>
      </w:r>
      <w:r w:rsidRPr="00A54E26">
        <w:t>to, Special lecture Series 7803, 1978, p. 7.</w:t>
      </w:r>
    </w:p>
  </w:footnote>
  <w:footnote w:id="470">
    <w:p w:rsidR="00AD690E" w:rsidRPr="00E35DC9" w:rsidRDefault="00AD690E" w:rsidP="00AD690E">
      <w:pPr>
        <w:pStyle w:val="Notedebasdepage"/>
        <w:rPr>
          <w:lang w:val="fr-FR"/>
        </w:rPr>
      </w:pPr>
      <w:r>
        <w:rPr>
          <w:rStyle w:val="Appelnotedebasdep"/>
        </w:rPr>
        <w:footnoteRef/>
      </w:r>
      <w:r>
        <w:t xml:space="preserve"> </w:t>
      </w:r>
      <w:r>
        <w:tab/>
      </w:r>
      <w:r w:rsidRPr="00E35DC9">
        <w:t xml:space="preserve">DION, G., </w:t>
      </w:r>
      <w:r w:rsidRPr="00E35DC9">
        <w:rPr>
          <w:i/>
        </w:rPr>
        <w:t>Dictionnaire canadien des relations du travail</w:t>
      </w:r>
      <w:r w:rsidRPr="00E35DC9">
        <w:t>, annexe 6, Qu</w:t>
      </w:r>
      <w:r w:rsidRPr="00E35DC9">
        <w:t>é</w:t>
      </w:r>
      <w:r w:rsidRPr="00E35DC9">
        <w:t>bec, P.U.L., 1986, 993 p.</w:t>
      </w:r>
    </w:p>
  </w:footnote>
  <w:footnote w:id="471">
    <w:p w:rsidR="00AD690E" w:rsidRPr="00363111" w:rsidRDefault="00AD690E" w:rsidP="00AD690E">
      <w:pPr>
        <w:pStyle w:val="Notedebasdepage"/>
        <w:rPr>
          <w:lang w:val="fr-FR"/>
        </w:rPr>
      </w:pPr>
      <w:r>
        <w:rPr>
          <w:rStyle w:val="Appelnotedebasdep"/>
        </w:rPr>
        <w:footnoteRef/>
      </w:r>
      <w:r>
        <w:t xml:space="preserve"> </w:t>
      </w:r>
      <w:r>
        <w:tab/>
      </w:r>
      <w:r w:rsidRPr="00873110">
        <w:t xml:space="preserve">CANADA, </w:t>
      </w:r>
      <w:r w:rsidRPr="00D2087A">
        <w:rPr>
          <w:i/>
        </w:rPr>
        <w:t>Débats de la Chambre des communes</w:t>
      </w:r>
      <w:r w:rsidRPr="00873110">
        <w:t>, deuxième session de la vingt-neuvième législature, 27 février 1974, p. 1-2.</w:t>
      </w:r>
    </w:p>
  </w:footnote>
  <w:footnote w:id="472">
    <w:p w:rsidR="00AD690E" w:rsidRPr="00363111" w:rsidRDefault="00AD690E" w:rsidP="00AD690E">
      <w:pPr>
        <w:pStyle w:val="Notedebasdepage"/>
        <w:rPr>
          <w:lang w:val="fr-FR"/>
        </w:rPr>
      </w:pPr>
      <w:r>
        <w:rPr>
          <w:rStyle w:val="Appelnotedebasdep"/>
        </w:rPr>
        <w:footnoteRef/>
      </w:r>
      <w:r>
        <w:t xml:space="preserve"> </w:t>
      </w:r>
      <w:r>
        <w:rPr>
          <w:lang w:val="fr-FR"/>
        </w:rPr>
        <w:tab/>
      </w:r>
      <w:r w:rsidRPr="00363111">
        <w:t xml:space="preserve">CANADA, </w:t>
      </w:r>
      <w:r w:rsidRPr="00363111">
        <w:rPr>
          <w:i/>
        </w:rPr>
        <w:t>Débats de la Chambre des communes</w:t>
      </w:r>
      <w:r w:rsidRPr="00363111">
        <w:t>, première session de la trentième législature, 30 septembre 1974, p. 5.</w:t>
      </w:r>
    </w:p>
  </w:footnote>
  <w:footnote w:id="473">
    <w:p w:rsidR="00AD690E" w:rsidRPr="00550687" w:rsidRDefault="00AD690E" w:rsidP="00AD690E">
      <w:pPr>
        <w:pStyle w:val="Notedebasdepage"/>
        <w:rPr>
          <w:lang w:val="fr-FR"/>
        </w:rPr>
      </w:pPr>
      <w:r>
        <w:rPr>
          <w:rStyle w:val="Appelnotedebasdep"/>
        </w:rPr>
        <w:footnoteRef/>
      </w:r>
      <w:r>
        <w:t xml:space="preserve"> </w:t>
      </w:r>
      <w:r>
        <w:rPr>
          <w:lang w:val="fr-FR"/>
        </w:rPr>
        <w:tab/>
      </w:r>
      <w:r w:rsidRPr="00550687">
        <w:rPr>
          <w:i/>
        </w:rPr>
        <w:t>Idem</w:t>
      </w:r>
      <w:r w:rsidRPr="00550687">
        <w:t>, pp. 5-6.</w:t>
      </w:r>
    </w:p>
  </w:footnote>
  <w:footnote w:id="474">
    <w:p w:rsidR="00AD690E" w:rsidRPr="00550687" w:rsidRDefault="00AD690E" w:rsidP="00AD690E">
      <w:pPr>
        <w:pStyle w:val="Notedebasdepage"/>
        <w:rPr>
          <w:lang w:val="fr-FR"/>
        </w:rPr>
      </w:pPr>
      <w:r>
        <w:rPr>
          <w:rStyle w:val="Appelnotedebasdep"/>
        </w:rPr>
        <w:footnoteRef/>
      </w:r>
      <w:r>
        <w:t xml:space="preserve"> </w:t>
      </w:r>
      <w:r>
        <w:tab/>
      </w:r>
      <w:r w:rsidRPr="00E60749">
        <w:rPr>
          <w:i/>
        </w:rPr>
        <w:t>Idem</w:t>
      </w:r>
      <w:r w:rsidRPr="00E60749">
        <w:t>. p. 6.</w:t>
      </w:r>
    </w:p>
  </w:footnote>
  <w:footnote w:id="475">
    <w:p w:rsidR="00AD690E" w:rsidRPr="00E60749" w:rsidRDefault="00AD690E" w:rsidP="00AD690E">
      <w:pPr>
        <w:pStyle w:val="Notedebasdepage"/>
        <w:rPr>
          <w:lang w:val="fr-FR"/>
        </w:rPr>
      </w:pPr>
      <w:r>
        <w:rPr>
          <w:rStyle w:val="Appelnotedebasdep"/>
        </w:rPr>
        <w:footnoteRef/>
      </w:r>
      <w:r>
        <w:t xml:space="preserve"> </w:t>
      </w:r>
      <w:r>
        <w:tab/>
      </w:r>
      <w:r w:rsidRPr="00E60749">
        <w:t xml:space="preserve">CANADA, (gouv.) </w:t>
      </w:r>
      <w:r w:rsidRPr="00E60749">
        <w:rPr>
          <w:i/>
        </w:rPr>
        <w:t>Offensive contre l'inflation</w:t>
      </w:r>
      <w:r w:rsidRPr="00E60749">
        <w:t>, le 14 octobre 1975, 27 p</w:t>
      </w:r>
      <w:r>
        <w:t>.</w:t>
      </w:r>
    </w:p>
  </w:footnote>
  <w:footnote w:id="476">
    <w:p w:rsidR="00AD690E" w:rsidRPr="00E60749" w:rsidRDefault="00AD690E" w:rsidP="00AD690E">
      <w:pPr>
        <w:pStyle w:val="Notedebasdepage"/>
        <w:rPr>
          <w:lang w:val="fr-FR"/>
        </w:rPr>
      </w:pPr>
      <w:r>
        <w:rPr>
          <w:rStyle w:val="Appelnotedebasdep"/>
        </w:rPr>
        <w:footnoteRef/>
      </w:r>
      <w:r>
        <w:t xml:space="preserve"> </w:t>
      </w:r>
      <w:r>
        <w:rPr>
          <w:lang w:val="fr-FR"/>
        </w:rPr>
        <w:tab/>
      </w:r>
      <w:r w:rsidRPr="00E60749">
        <w:t xml:space="preserve">GILES, A., « The Canadian Labour Congress and Tripartism », dans </w:t>
      </w:r>
      <w:r w:rsidRPr="00E60749">
        <w:rPr>
          <w:i/>
        </w:rPr>
        <w:t>Rel</w:t>
      </w:r>
      <w:r w:rsidRPr="00E60749">
        <w:rPr>
          <w:i/>
        </w:rPr>
        <w:t>a</w:t>
      </w:r>
      <w:r w:rsidRPr="00E60749">
        <w:rPr>
          <w:i/>
        </w:rPr>
        <w:t>tions industrielles</w:t>
      </w:r>
      <w:r w:rsidRPr="00E60749">
        <w:t>, vol. 37, n° 1. 1982, pp. 101 et 103.</w:t>
      </w:r>
    </w:p>
  </w:footnote>
  <w:footnote w:id="477">
    <w:p w:rsidR="00AD690E" w:rsidRPr="00E60749" w:rsidRDefault="00AD690E" w:rsidP="00AD690E">
      <w:pPr>
        <w:pStyle w:val="Notedebasdepage"/>
        <w:rPr>
          <w:lang w:val="fr-FR"/>
        </w:rPr>
      </w:pPr>
      <w:r>
        <w:rPr>
          <w:rStyle w:val="Appelnotedebasdep"/>
        </w:rPr>
        <w:footnoteRef/>
      </w:r>
      <w:r>
        <w:t xml:space="preserve"> </w:t>
      </w:r>
      <w:r>
        <w:rPr>
          <w:lang w:val="fr-FR"/>
        </w:rPr>
        <w:tab/>
      </w:r>
      <w:r w:rsidRPr="00E60749">
        <w:t xml:space="preserve">ADAMS, R.J., « The Federal Government and Tripartism », </w:t>
      </w:r>
      <w:r w:rsidRPr="00E60749">
        <w:rPr>
          <w:i/>
        </w:rPr>
        <w:t>Relations I</w:t>
      </w:r>
      <w:r w:rsidRPr="00E60749">
        <w:rPr>
          <w:i/>
        </w:rPr>
        <w:t>n</w:t>
      </w:r>
      <w:r w:rsidRPr="00E60749">
        <w:rPr>
          <w:i/>
        </w:rPr>
        <w:t>dustrielles</w:t>
      </w:r>
      <w:r w:rsidRPr="00E60749">
        <w:t>, vol. 37, n° 3, 1982, p. 611.</w:t>
      </w:r>
    </w:p>
  </w:footnote>
  <w:footnote w:id="478">
    <w:p w:rsidR="00AD690E" w:rsidRPr="00E60749" w:rsidRDefault="00AD690E" w:rsidP="00AD690E">
      <w:pPr>
        <w:pStyle w:val="Notedebasdepage"/>
        <w:rPr>
          <w:lang w:val="fr-FR"/>
        </w:rPr>
      </w:pPr>
      <w:r>
        <w:rPr>
          <w:rStyle w:val="Appelnotedebasdep"/>
        </w:rPr>
        <w:footnoteRef/>
      </w:r>
      <w:r>
        <w:t xml:space="preserve"> </w:t>
      </w:r>
      <w:r>
        <w:rPr>
          <w:lang w:val="fr-FR"/>
        </w:rPr>
        <w:tab/>
      </w:r>
      <w:r w:rsidRPr="00E60749">
        <w:t xml:space="preserve">CANADA, (gouv.) </w:t>
      </w:r>
      <w:r w:rsidRPr="00E60749">
        <w:rPr>
          <w:i/>
        </w:rPr>
        <w:t>La voie à suivre : un cadre de discussion</w:t>
      </w:r>
      <w:r w:rsidRPr="00E60749">
        <w:t>, Ottawa, m</w:t>
      </w:r>
      <w:r w:rsidRPr="00E60749">
        <w:t>i</w:t>
      </w:r>
      <w:r w:rsidRPr="00E60749">
        <w:t>nistère des Approvisionnements et des Services, octobre 1976.</w:t>
      </w:r>
    </w:p>
  </w:footnote>
  <w:footnote w:id="479">
    <w:p w:rsidR="00AD690E" w:rsidRPr="00E60749" w:rsidRDefault="00AD690E" w:rsidP="00AD690E">
      <w:pPr>
        <w:pStyle w:val="Notedebasdepage"/>
        <w:rPr>
          <w:lang w:val="fr-FR"/>
        </w:rPr>
      </w:pPr>
      <w:r>
        <w:rPr>
          <w:rStyle w:val="Appelnotedebasdep"/>
        </w:rPr>
        <w:footnoteRef/>
      </w:r>
      <w:r>
        <w:t xml:space="preserve"> </w:t>
      </w:r>
      <w:r>
        <w:tab/>
      </w:r>
      <w:r w:rsidRPr="005E5B81">
        <w:t>CANADA, (gouv.) Programme de coopération : un document d'étude po</w:t>
      </w:r>
      <w:r w:rsidRPr="005E5B81">
        <w:t>r</w:t>
      </w:r>
      <w:r w:rsidRPr="005E5B81">
        <w:t>tant sur les questions du décontrôle et de l'après-contrôle, Ottawa, minist</w:t>
      </w:r>
      <w:r w:rsidRPr="005E5B81">
        <w:t>è</w:t>
      </w:r>
      <w:r w:rsidRPr="005E5B81">
        <w:t>re des Approvisionnements et des Services, mai 1977.</w:t>
      </w:r>
    </w:p>
  </w:footnote>
  <w:footnote w:id="480">
    <w:p w:rsidR="00AD690E" w:rsidRPr="005E5B81" w:rsidRDefault="00AD690E" w:rsidP="00AD690E">
      <w:pPr>
        <w:pStyle w:val="Notedebasdepage"/>
        <w:rPr>
          <w:lang w:val="fr-FR"/>
        </w:rPr>
      </w:pPr>
      <w:r>
        <w:rPr>
          <w:rStyle w:val="Appelnotedebasdep"/>
        </w:rPr>
        <w:footnoteRef/>
      </w:r>
      <w:r>
        <w:t xml:space="preserve"> </w:t>
      </w:r>
      <w:r>
        <w:rPr>
          <w:lang w:val="fr-FR"/>
        </w:rPr>
        <w:tab/>
      </w:r>
      <w:r w:rsidRPr="005E5B81">
        <w:t xml:space="preserve">MUNRO, J., </w:t>
      </w:r>
      <w:r w:rsidRPr="005E5B81">
        <w:rPr>
          <w:i/>
        </w:rPr>
        <w:t>Discours</w:t>
      </w:r>
      <w:r w:rsidRPr="005E5B81">
        <w:t xml:space="preserve"> prononcé devant la Fraternité internationale des chaudronniers, constructeurs de navires en fer, forgerons, forgeurs et aides (AFL-CIO-CTC), 11 août 1977, Ottawa, Travail Canada, 1977.</w:t>
      </w:r>
    </w:p>
  </w:footnote>
  <w:footnote w:id="481">
    <w:p w:rsidR="00AD690E" w:rsidRPr="005E5B81" w:rsidRDefault="00AD690E" w:rsidP="00AD690E">
      <w:pPr>
        <w:pStyle w:val="Notedebasdepage"/>
        <w:rPr>
          <w:lang w:val="fr-FR"/>
        </w:rPr>
      </w:pPr>
      <w:r>
        <w:rPr>
          <w:rStyle w:val="Appelnotedebasdep"/>
        </w:rPr>
        <w:footnoteRef/>
      </w:r>
      <w:r>
        <w:t xml:space="preserve"> </w:t>
      </w:r>
      <w:r>
        <w:rPr>
          <w:lang w:val="fr-FR"/>
        </w:rPr>
        <w:tab/>
      </w:r>
      <w:r w:rsidRPr="005E5B81">
        <w:t>Ibidem.</w:t>
      </w:r>
    </w:p>
  </w:footnote>
  <w:footnote w:id="482">
    <w:p w:rsidR="00AD690E" w:rsidRPr="00D7614C" w:rsidRDefault="00AD690E" w:rsidP="00AD690E">
      <w:pPr>
        <w:pStyle w:val="Notedebasdepage"/>
        <w:rPr>
          <w:lang w:val="fr-FR"/>
        </w:rPr>
      </w:pPr>
      <w:r>
        <w:rPr>
          <w:rStyle w:val="Appelnotedebasdep"/>
        </w:rPr>
        <w:footnoteRef/>
      </w:r>
      <w:r>
        <w:t xml:space="preserve"> </w:t>
      </w:r>
      <w:r>
        <w:rPr>
          <w:lang w:val="fr-FR"/>
        </w:rPr>
        <w:tab/>
      </w:r>
      <w:r w:rsidRPr="00D7614C">
        <w:t xml:space="preserve">PANITCH, L. et SWARTZ, D., </w:t>
      </w:r>
      <w:r w:rsidRPr="00D7614C">
        <w:rPr>
          <w:i/>
        </w:rPr>
        <w:t>op. cit</w:t>
      </w:r>
      <w:r w:rsidRPr="00D7614C">
        <w:t>., p. 45.</w:t>
      </w:r>
    </w:p>
  </w:footnote>
  <w:footnote w:id="483">
    <w:p w:rsidR="00AD690E" w:rsidRPr="00D7614C" w:rsidRDefault="00AD690E" w:rsidP="00AD690E">
      <w:pPr>
        <w:pStyle w:val="Notedebasdepage"/>
        <w:rPr>
          <w:lang w:val="fr-FR"/>
        </w:rPr>
      </w:pPr>
      <w:r>
        <w:rPr>
          <w:rStyle w:val="Appelnotedebasdep"/>
        </w:rPr>
        <w:footnoteRef/>
      </w:r>
      <w:r>
        <w:t xml:space="preserve"> </w:t>
      </w:r>
      <w:r>
        <w:tab/>
      </w:r>
      <w:r w:rsidRPr="00D7614C">
        <w:t xml:space="preserve">CANADA, </w:t>
      </w:r>
      <w:r w:rsidRPr="00D7614C">
        <w:rPr>
          <w:i/>
        </w:rPr>
        <w:t>Débats de la Chambre des communes</w:t>
      </w:r>
      <w:r w:rsidRPr="00D7614C">
        <w:t>, « Le Discours du Tr</w:t>
      </w:r>
      <w:r w:rsidRPr="00D7614C">
        <w:t>ô</w:t>
      </w:r>
      <w:r w:rsidRPr="00D7614C">
        <w:t>ne », deuxième session de la trentième législature, 7 décembre 1983, p.</w:t>
      </w:r>
      <w:r>
        <w:t> </w:t>
      </w:r>
      <w:r w:rsidRPr="00D7614C">
        <w:t>1.</w:t>
      </w:r>
    </w:p>
  </w:footnote>
  <w:footnote w:id="484">
    <w:p w:rsidR="00AD690E" w:rsidRPr="00D7614C" w:rsidRDefault="00AD690E" w:rsidP="00AD690E">
      <w:pPr>
        <w:pStyle w:val="Notedebasdepage"/>
        <w:rPr>
          <w:lang w:val="fr-FR"/>
        </w:rPr>
      </w:pPr>
      <w:r>
        <w:rPr>
          <w:rStyle w:val="Appelnotedebasdep"/>
        </w:rPr>
        <w:footnoteRef/>
      </w:r>
      <w:r>
        <w:t xml:space="preserve"> </w:t>
      </w:r>
      <w:r>
        <w:tab/>
      </w:r>
      <w:r w:rsidRPr="00BE28A3">
        <w:rPr>
          <w:i/>
        </w:rPr>
        <w:t>Idem</w:t>
      </w:r>
      <w:r w:rsidRPr="00BE28A3">
        <w:t>, pp. 2-4.</w:t>
      </w:r>
    </w:p>
  </w:footnote>
  <w:footnote w:id="485">
    <w:p w:rsidR="00AD690E" w:rsidRPr="00BE28A3" w:rsidRDefault="00AD690E" w:rsidP="00AD690E">
      <w:pPr>
        <w:pStyle w:val="Notedebasdepage"/>
        <w:rPr>
          <w:lang w:val="fr-FR"/>
        </w:rPr>
      </w:pPr>
      <w:r>
        <w:rPr>
          <w:rStyle w:val="Appelnotedebasdep"/>
        </w:rPr>
        <w:footnoteRef/>
      </w:r>
      <w:r>
        <w:t xml:space="preserve"> </w:t>
      </w:r>
      <w:r>
        <w:rPr>
          <w:lang w:val="fr-FR"/>
        </w:rPr>
        <w:tab/>
      </w:r>
      <w:r w:rsidRPr="00BE28A3">
        <w:t xml:space="preserve">LABERGE, R., « Journée nationale de protestation », dans </w:t>
      </w:r>
      <w:r w:rsidRPr="00BE28A3">
        <w:rPr>
          <w:i/>
        </w:rPr>
        <w:t>Le travailleur canadien</w:t>
      </w:r>
      <w:r w:rsidRPr="00BE28A3">
        <w:t>, organe du CTC, décembre 1976, p.16-19.</w:t>
      </w:r>
    </w:p>
  </w:footnote>
  <w:footnote w:id="486">
    <w:p w:rsidR="00AD690E" w:rsidRPr="00BE28A3" w:rsidRDefault="00AD690E" w:rsidP="00AD690E">
      <w:pPr>
        <w:pStyle w:val="Notedebasdepage"/>
        <w:rPr>
          <w:lang w:val="fr-FR"/>
        </w:rPr>
      </w:pPr>
      <w:r>
        <w:rPr>
          <w:rStyle w:val="Appelnotedebasdep"/>
        </w:rPr>
        <w:footnoteRef/>
      </w:r>
      <w:r>
        <w:t xml:space="preserve"> </w:t>
      </w:r>
      <w:r>
        <w:rPr>
          <w:lang w:val="fr-FR"/>
        </w:rPr>
        <w:tab/>
      </w:r>
      <w:r w:rsidRPr="00BE28A3">
        <w:t>CONGRÈS DU TRAVAIL DU CANADA, « Manifeste du monde du tr</w:t>
      </w:r>
      <w:r w:rsidRPr="00BE28A3">
        <w:t>a</w:t>
      </w:r>
      <w:r w:rsidRPr="00BE28A3">
        <w:t xml:space="preserve">vail pour le Canada », Onzième Assemblée biennale, Québec, 17-21 mai 1976. Publié dans </w:t>
      </w:r>
      <w:r w:rsidRPr="00BE28A3">
        <w:rPr>
          <w:i/>
        </w:rPr>
        <w:t>Le travailleur canadien</w:t>
      </w:r>
      <w:r w:rsidRPr="00BE28A3">
        <w:t>, juin 1976, pp. 2-10.</w:t>
      </w:r>
    </w:p>
  </w:footnote>
  <w:footnote w:id="487">
    <w:p w:rsidR="00AD690E" w:rsidRPr="0097552C" w:rsidRDefault="00AD690E" w:rsidP="00AD690E">
      <w:pPr>
        <w:pStyle w:val="Notedebasdepage"/>
        <w:rPr>
          <w:lang w:val="fr-FR"/>
        </w:rPr>
      </w:pPr>
      <w:r>
        <w:rPr>
          <w:rStyle w:val="Appelnotedebasdep"/>
        </w:rPr>
        <w:footnoteRef/>
      </w:r>
      <w:r>
        <w:t xml:space="preserve"> </w:t>
      </w:r>
      <w:r>
        <w:tab/>
      </w:r>
      <w:r w:rsidRPr="0097552C">
        <w:t>MORRIS J., « Vers un État corporatif ? », Déclaration de principe, 10 ja</w:t>
      </w:r>
      <w:r w:rsidRPr="0097552C">
        <w:t>n</w:t>
      </w:r>
      <w:r w:rsidRPr="0097552C">
        <w:t xml:space="preserve">vier 1976, dans </w:t>
      </w:r>
      <w:r w:rsidRPr="0097552C">
        <w:rPr>
          <w:i/>
        </w:rPr>
        <w:t>Le travailleur canadien</w:t>
      </w:r>
      <w:r w:rsidRPr="0097552C">
        <w:t>, mars 1976, pp. 2-9.</w:t>
      </w:r>
    </w:p>
  </w:footnote>
  <w:footnote w:id="488">
    <w:p w:rsidR="00AD690E" w:rsidRPr="0097552C" w:rsidRDefault="00AD690E" w:rsidP="00AD690E">
      <w:pPr>
        <w:pStyle w:val="Notedebasdepage"/>
        <w:rPr>
          <w:lang w:val="fr-FR"/>
        </w:rPr>
      </w:pPr>
      <w:r>
        <w:rPr>
          <w:rStyle w:val="Appelnotedebasdep"/>
        </w:rPr>
        <w:footnoteRef/>
      </w:r>
      <w:r>
        <w:t xml:space="preserve"> </w:t>
      </w:r>
      <w:r>
        <w:tab/>
      </w:r>
      <w:r w:rsidRPr="0097552C">
        <w:t>CONGRÈS DU TRAVAIL DU CANADA, « Les politiques du revenu », Énoncé adopté et présenté par le Conseil exécutif du CTC lors d'une r</w:t>
      </w:r>
      <w:r w:rsidRPr="0097552C">
        <w:t>é</w:t>
      </w:r>
      <w:r w:rsidRPr="0097552C">
        <w:t xml:space="preserve">union extraordinaire des dirigeants des syndicats affiliés, Toronto, 7 mai 1975. </w:t>
      </w:r>
      <w:r w:rsidRPr="0097552C">
        <w:rPr>
          <w:i/>
        </w:rPr>
        <w:t>Le travailleur canadien</w:t>
      </w:r>
      <w:r w:rsidRPr="0097552C">
        <w:t>, juin 1975, pp. 30-36.</w:t>
      </w:r>
    </w:p>
  </w:footnote>
  <w:footnote w:id="489">
    <w:p w:rsidR="00AD690E" w:rsidRPr="0097552C" w:rsidRDefault="00AD690E" w:rsidP="00AD690E">
      <w:pPr>
        <w:pStyle w:val="Notedebasdepage"/>
        <w:rPr>
          <w:lang w:val="fr-FR"/>
        </w:rPr>
      </w:pPr>
      <w:r>
        <w:rPr>
          <w:rStyle w:val="Appelnotedebasdep"/>
        </w:rPr>
        <w:footnoteRef/>
      </w:r>
      <w:r>
        <w:t xml:space="preserve"> </w:t>
      </w:r>
      <w:r>
        <w:rPr>
          <w:lang w:val="fr-FR"/>
        </w:rPr>
        <w:tab/>
      </w:r>
      <w:r w:rsidRPr="00742811">
        <w:rPr>
          <w:i/>
        </w:rPr>
        <w:t>Idem.</w:t>
      </w:r>
      <w:r w:rsidRPr="00742811">
        <w:t xml:space="preserve">, « Réglementation des salaires et des prix », Énoncé adopté par le Conseil exécutif du CTC, le 24 octobre 1975. </w:t>
      </w:r>
      <w:r w:rsidRPr="00742811">
        <w:rPr>
          <w:i/>
        </w:rPr>
        <w:t>Le travailleur canadien</w:t>
      </w:r>
      <w:r w:rsidRPr="00742811">
        <w:t>, d</w:t>
      </w:r>
      <w:r w:rsidRPr="00742811">
        <w:t>é</w:t>
      </w:r>
      <w:r w:rsidRPr="00742811">
        <w:t>cembre 1975, pp. 28-33.</w:t>
      </w:r>
    </w:p>
  </w:footnote>
  <w:footnote w:id="490">
    <w:p w:rsidR="00AD690E" w:rsidRPr="00742811" w:rsidRDefault="00AD690E" w:rsidP="00AD690E">
      <w:pPr>
        <w:pStyle w:val="Notedebasdepage"/>
        <w:rPr>
          <w:lang w:val="fr-FR"/>
        </w:rPr>
      </w:pPr>
      <w:r>
        <w:rPr>
          <w:rStyle w:val="Appelnotedebasdep"/>
        </w:rPr>
        <w:footnoteRef/>
      </w:r>
      <w:r>
        <w:t xml:space="preserve"> </w:t>
      </w:r>
      <w:r>
        <w:rPr>
          <w:lang w:val="fr-FR"/>
        </w:rPr>
        <w:tab/>
      </w:r>
      <w:r w:rsidRPr="00742811">
        <w:t xml:space="preserve">MORRIS, Joe, </w:t>
      </w:r>
      <w:r w:rsidRPr="00742811">
        <w:rPr>
          <w:i/>
        </w:rPr>
        <w:t>op.cit</w:t>
      </w:r>
      <w:r w:rsidRPr="00742811">
        <w:t>., pp. 2-9.</w:t>
      </w:r>
    </w:p>
  </w:footnote>
  <w:footnote w:id="491">
    <w:p w:rsidR="00AD690E" w:rsidRPr="00742811" w:rsidRDefault="00AD690E" w:rsidP="00AD690E">
      <w:pPr>
        <w:pStyle w:val="Notedebasdepage"/>
        <w:rPr>
          <w:lang w:val="fr-FR"/>
        </w:rPr>
      </w:pPr>
      <w:r>
        <w:rPr>
          <w:rStyle w:val="Appelnotedebasdep"/>
        </w:rPr>
        <w:footnoteRef/>
      </w:r>
      <w:r>
        <w:t xml:space="preserve"> </w:t>
      </w:r>
      <w:r>
        <w:tab/>
        <w:t xml:space="preserve">GILES, A., </w:t>
      </w:r>
      <w:r>
        <w:rPr>
          <w:i/>
        </w:rPr>
        <w:t>op. cit</w:t>
      </w:r>
      <w:r>
        <w:t>., p. 119.</w:t>
      </w:r>
    </w:p>
  </w:footnote>
  <w:footnote w:id="492">
    <w:p w:rsidR="00AD690E" w:rsidRPr="00BB5B20" w:rsidRDefault="00AD690E" w:rsidP="00AD690E">
      <w:pPr>
        <w:pStyle w:val="Notedebasdepage"/>
        <w:rPr>
          <w:lang w:val="fr-FR"/>
        </w:rPr>
      </w:pPr>
      <w:r>
        <w:rPr>
          <w:rStyle w:val="Appelnotedebasdep"/>
        </w:rPr>
        <w:footnoteRef/>
      </w:r>
      <w:r>
        <w:t xml:space="preserve"> </w:t>
      </w:r>
      <w:r>
        <w:rPr>
          <w:lang w:val="fr-FR"/>
        </w:rPr>
        <w:tab/>
      </w:r>
      <w:r w:rsidRPr="00BB5B20">
        <w:t xml:space="preserve">TRUDEAU, P.E., cité par </w:t>
      </w:r>
      <w:r w:rsidRPr="00BB5B20">
        <w:rPr>
          <w:i/>
        </w:rPr>
        <w:t>The Labour Scene</w:t>
      </w:r>
      <w:r w:rsidRPr="00BB5B20">
        <w:t>, avril-mai 1982</w:t>
      </w:r>
      <w:r>
        <w:t>.</w:t>
      </w:r>
    </w:p>
  </w:footnote>
  <w:footnote w:id="493">
    <w:p w:rsidR="00AD690E" w:rsidRPr="00BB5B20" w:rsidRDefault="00AD690E" w:rsidP="00AD690E">
      <w:pPr>
        <w:pStyle w:val="Notedebasdepage"/>
        <w:rPr>
          <w:lang w:val="fr-FR"/>
        </w:rPr>
      </w:pPr>
      <w:r>
        <w:rPr>
          <w:rStyle w:val="Appelnotedebasdep"/>
        </w:rPr>
        <w:footnoteRef/>
      </w:r>
      <w:r>
        <w:t xml:space="preserve"> </w:t>
      </w:r>
      <w:r>
        <w:tab/>
      </w:r>
      <w:r w:rsidRPr="00BB5B20">
        <w:t xml:space="preserve">ADAMS, R.J., </w:t>
      </w:r>
      <w:r w:rsidRPr="00BB5B20">
        <w:rPr>
          <w:i/>
        </w:rPr>
        <w:t>op. cit</w:t>
      </w:r>
      <w:r w:rsidRPr="00BB5B20">
        <w:t>., p. 615.</w:t>
      </w:r>
    </w:p>
  </w:footnote>
  <w:footnote w:id="494">
    <w:p w:rsidR="00AD690E" w:rsidRPr="00E61394" w:rsidRDefault="00AD690E" w:rsidP="00AD690E">
      <w:pPr>
        <w:pStyle w:val="Notedebasdepage"/>
        <w:rPr>
          <w:lang w:val="fr-FR"/>
        </w:rPr>
      </w:pPr>
      <w:r>
        <w:rPr>
          <w:rStyle w:val="Appelnotedebasdep"/>
        </w:rPr>
        <w:footnoteRef/>
      </w:r>
      <w:r>
        <w:t xml:space="preserve"> </w:t>
      </w:r>
      <w:r>
        <w:rPr>
          <w:lang w:val="fr-FR"/>
        </w:rPr>
        <w:tab/>
      </w:r>
      <w:r w:rsidRPr="00E61394">
        <w:t>LIPSIG-MUMMÉ, C., « La crise du syndicalisme nord-américain, él</w:t>
      </w:r>
      <w:r w:rsidRPr="00E61394">
        <w:t>é</w:t>
      </w:r>
      <w:r w:rsidRPr="00E61394">
        <w:t xml:space="preserve">ments d'interprétation », </w:t>
      </w:r>
      <w:r w:rsidRPr="00E61394">
        <w:rPr>
          <w:i/>
        </w:rPr>
        <w:t>Relations industrielles</w:t>
      </w:r>
      <w:r w:rsidRPr="00E61394">
        <w:t>, vol. 39, n° 2, 1984, p.275-284.</w:t>
      </w:r>
    </w:p>
  </w:footnote>
  <w:footnote w:id="495">
    <w:p w:rsidR="00AD690E" w:rsidRPr="00E61394" w:rsidRDefault="00AD690E" w:rsidP="00AD690E">
      <w:pPr>
        <w:pStyle w:val="Notedebasdepage"/>
        <w:rPr>
          <w:lang w:val="fr-FR"/>
        </w:rPr>
      </w:pPr>
      <w:r>
        <w:rPr>
          <w:rStyle w:val="Appelnotedebasdep"/>
        </w:rPr>
        <w:footnoteRef/>
      </w:r>
      <w:r>
        <w:t xml:space="preserve"> </w:t>
      </w:r>
      <w:r>
        <w:rPr>
          <w:lang w:val="fr-FR"/>
        </w:rPr>
        <w:tab/>
      </w:r>
      <w:r w:rsidRPr="000A70C7">
        <w:rPr>
          <w:i/>
        </w:rPr>
        <w:t>Idem</w:t>
      </w:r>
      <w:r w:rsidRPr="000A70C7">
        <w:t>, p. 284.</w:t>
      </w:r>
    </w:p>
  </w:footnote>
  <w:footnote w:id="496">
    <w:p w:rsidR="00AD690E" w:rsidRPr="00BF44CC" w:rsidRDefault="00AD690E" w:rsidP="00AD690E">
      <w:pPr>
        <w:pStyle w:val="Notedebasdepage"/>
        <w:rPr>
          <w:lang w:val="fr-FR"/>
        </w:rPr>
      </w:pPr>
      <w:r>
        <w:rPr>
          <w:rStyle w:val="Appelnotedebasdep"/>
        </w:rPr>
        <w:footnoteRef/>
      </w:r>
      <w:r>
        <w:t xml:space="preserve"> </w:t>
      </w:r>
      <w:r>
        <w:rPr>
          <w:lang w:val="fr-FR"/>
        </w:rPr>
        <w:tab/>
      </w:r>
      <w:r w:rsidRPr="00F8178C">
        <w:t xml:space="preserve">Cité par RIDDELL, W.C., </w:t>
      </w:r>
      <w:r w:rsidRPr="00F8178C">
        <w:rPr>
          <w:i/>
        </w:rPr>
        <w:t>La coopération ouvrière-patronale au Canada</w:t>
      </w:r>
      <w:r w:rsidRPr="00F8178C">
        <w:t xml:space="preserve">, Étude n° 15 réalisée pour la Commission royale sur l'union économique ..., </w:t>
      </w:r>
      <w:r w:rsidRPr="00F8178C">
        <w:rPr>
          <w:i/>
        </w:rPr>
        <w:t>op. cit</w:t>
      </w:r>
      <w:r w:rsidRPr="00F8178C">
        <w:t>., Ottawa, 1985, p. 49</w:t>
      </w:r>
      <w:r>
        <w:t>.</w:t>
      </w:r>
    </w:p>
  </w:footnote>
  <w:footnote w:id="497">
    <w:p w:rsidR="00AD690E" w:rsidRPr="00F8178C" w:rsidRDefault="00AD690E" w:rsidP="00AD690E">
      <w:pPr>
        <w:pStyle w:val="Notedebasdepage"/>
        <w:rPr>
          <w:lang w:val="fr-FR"/>
        </w:rPr>
      </w:pPr>
      <w:r>
        <w:rPr>
          <w:rStyle w:val="Appelnotedebasdep"/>
        </w:rPr>
        <w:footnoteRef/>
      </w:r>
      <w:r>
        <w:t xml:space="preserve"> </w:t>
      </w:r>
      <w:r>
        <w:rPr>
          <w:lang w:val="fr-FR"/>
        </w:rPr>
        <w:tab/>
      </w:r>
      <w:r w:rsidRPr="00F8178C">
        <w:t>INGERMAN, S., « 6 &amp; 5, The Bankruptcy of Liberal Economic Policy », Canadian Centre for Policy Alternatives, 1982, p. 31.</w:t>
      </w:r>
    </w:p>
  </w:footnote>
  <w:footnote w:id="498">
    <w:p w:rsidR="00AD690E" w:rsidRPr="007D078C" w:rsidRDefault="00AD690E" w:rsidP="00AD690E">
      <w:pPr>
        <w:pStyle w:val="Notedebasdepage"/>
        <w:rPr>
          <w:lang w:val="fr-FR"/>
        </w:rPr>
      </w:pPr>
      <w:r>
        <w:rPr>
          <w:rStyle w:val="Appelnotedebasdep"/>
        </w:rPr>
        <w:footnoteRef/>
      </w:r>
      <w:r>
        <w:t xml:space="preserve"> </w:t>
      </w:r>
      <w:r>
        <w:tab/>
        <w:t>JURISPRUDENCE-EXPRESS, n</w:t>
      </w:r>
      <w:r w:rsidRPr="006332E6">
        <w:rPr>
          <w:vertAlign w:val="superscript"/>
        </w:rPr>
        <w:t>o</w:t>
      </w:r>
      <w:r>
        <w:t>. 19, le 8 mai ,1987,p.189-194.</w:t>
      </w:r>
    </w:p>
  </w:footnote>
  <w:footnote w:id="499">
    <w:p w:rsidR="00AD690E" w:rsidRDefault="00AD690E" w:rsidP="00AD690E">
      <w:pPr>
        <w:pStyle w:val="Notedebasdepage"/>
      </w:pPr>
      <w:r>
        <w:rPr>
          <w:rStyle w:val="Appelnotedebasdep"/>
        </w:rPr>
        <w:footnoteRef/>
      </w:r>
      <w:r>
        <w:t xml:space="preserve"> </w:t>
      </w:r>
      <w:r>
        <w:tab/>
      </w:r>
      <w:r w:rsidRPr="00E046F5">
        <w:t>Voir « De l'assurance-chômage à la garantie d'un revenu annuel... par l'e</w:t>
      </w:r>
      <w:r w:rsidRPr="00E046F5">
        <w:t>m</w:t>
      </w:r>
      <w:r w:rsidRPr="00E046F5">
        <w:t>ploi ou « Comment procéder à un détournement dans la plus stricte légal</w:t>
      </w:r>
      <w:r w:rsidRPr="00E046F5">
        <w:t>i</w:t>
      </w:r>
      <w:r w:rsidRPr="00E046F5">
        <w:t xml:space="preserve">té », dans M. PELLETIER, </w:t>
      </w:r>
      <w:r w:rsidRPr="00E046F5">
        <w:rPr>
          <w:i/>
          <w:iCs/>
        </w:rPr>
        <w:t xml:space="preserve">De la sécurité sociale à la sécurité du revenu : Essais sur la politique économique et sociale contemporaine, </w:t>
      </w:r>
      <w:r w:rsidRPr="00E046F5">
        <w:t>Mo</w:t>
      </w:r>
      <w:r w:rsidRPr="00E046F5">
        <w:t>n</w:t>
      </w:r>
      <w:r w:rsidRPr="00E046F5">
        <w:t>tréal, 1982, (M. Pelletier, éd.). p. 105-373.</w:t>
      </w:r>
    </w:p>
  </w:footnote>
  <w:footnote w:id="500">
    <w:p w:rsidR="00AD690E" w:rsidRDefault="00AD690E" w:rsidP="00AD690E">
      <w:pPr>
        <w:pStyle w:val="Notedebasdepage"/>
      </w:pPr>
      <w:r>
        <w:rPr>
          <w:rStyle w:val="Appelnotedebasdep"/>
        </w:rPr>
        <w:footnoteRef/>
      </w:r>
      <w:r>
        <w:t xml:space="preserve"> </w:t>
      </w:r>
      <w:r>
        <w:tab/>
      </w:r>
      <w:r w:rsidRPr="00D55147">
        <w:t>Voir par exemple, le Livre blanc publié par l'honorable John MUNRO, m</w:t>
      </w:r>
      <w:r w:rsidRPr="00D55147">
        <w:t>i</w:t>
      </w:r>
      <w:r w:rsidRPr="00D55147">
        <w:t xml:space="preserve">nistre de la Santé nationale et du Bien-être social, </w:t>
      </w:r>
      <w:r w:rsidRPr="00D55147">
        <w:rPr>
          <w:i/>
          <w:iCs/>
        </w:rPr>
        <w:t xml:space="preserve">La sécurité du revenu au Canada, </w:t>
      </w:r>
      <w:r w:rsidRPr="00D55147">
        <w:t xml:space="preserve">Ottawa, 1970, ou encore le </w:t>
      </w:r>
      <w:r w:rsidRPr="00D55147">
        <w:rPr>
          <w:i/>
          <w:iCs/>
        </w:rPr>
        <w:t>Document de travail sur la sécurité s</w:t>
      </w:r>
      <w:r w:rsidRPr="00D55147">
        <w:rPr>
          <w:i/>
          <w:iCs/>
        </w:rPr>
        <w:t>o</w:t>
      </w:r>
      <w:r w:rsidRPr="00D55147">
        <w:rPr>
          <w:i/>
          <w:iCs/>
        </w:rPr>
        <w:t xml:space="preserve">ciale au Canada, </w:t>
      </w:r>
      <w:r w:rsidRPr="00D55147">
        <w:t>publié par l'honorable Marc L</w:t>
      </w:r>
      <w:r w:rsidRPr="00D55147">
        <w:t>A</w:t>
      </w:r>
      <w:r w:rsidRPr="00D55147">
        <w:t>LONDE, ministre de la Santé nationale et du Bien-être social, le 18 avril 1973, ainsi que la déclar</w:t>
      </w:r>
      <w:r w:rsidRPr="00D55147">
        <w:t>a</w:t>
      </w:r>
      <w:r w:rsidRPr="00D55147">
        <w:t>tion du même ministre à la Conférence fédérale-provinciale des 18 et 19 f</w:t>
      </w:r>
      <w:r w:rsidRPr="00D55147">
        <w:t>é</w:t>
      </w:r>
      <w:r w:rsidRPr="00D55147">
        <w:t>vrier 1975 : « Prochaines étapes importantes de la réforme du sy</w:t>
      </w:r>
      <w:r w:rsidRPr="00D55147">
        <w:t>s</w:t>
      </w:r>
      <w:r w:rsidRPr="00D55147">
        <w:t>tème de sécurité sociale au Canada ».</w:t>
      </w:r>
    </w:p>
  </w:footnote>
  <w:footnote w:id="501">
    <w:p w:rsidR="00AD690E" w:rsidRDefault="00AD690E" w:rsidP="00AD690E">
      <w:pPr>
        <w:pStyle w:val="Notedebasdepage"/>
      </w:pPr>
      <w:r>
        <w:rPr>
          <w:rStyle w:val="Appelnotedebasdep"/>
        </w:rPr>
        <w:footnoteRef/>
      </w:r>
      <w:r>
        <w:t xml:space="preserve"> </w:t>
      </w:r>
      <w:r>
        <w:tab/>
      </w:r>
      <w:r w:rsidRPr="00D55147">
        <w:t>Voir l'énoncé des implications pratiques de la nouvelle politique, dans le Livre blanc ci-haut mentionné : « Premièrement mise au point de la fo</w:t>
      </w:r>
      <w:r w:rsidRPr="00D55147">
        <w:t>r</w:t>
      </w:r>
      <w:r w:rsidRPr="00D55147">
        <w:t>mule du revenu garanti pour en faire un instrument principal de lutte contre la pauvreté. Deuxièmement, par voie de conséquence, réforme des démo su</w:t>
      </w:r>
      <w:r w:rsidRPr="00D55147">
        <w:t>b</w:t>
      </w:r>
      <w:r w:rsidRPr="00D55147">
        <w:t>ventions, y compris l'établissement d'un nouveau régime de sécurité du r</w:t>
      </w:r>
      <w:r w:rsidRPr="00D55147">
        <w:t>e</w:t>
      </w:r>
      <w:r w:rsidRPr="00D55147">
        <w:t>venu familial (en remplacement des allocations familiales exi</w:t>
      </w:r>
      <w:r w:rsidRPr="00D55147">
        <w:t>s</w:t>
      </w:r>
      <w:r w:rsidRPr="00D55147">
        <w:t>tantes) et la modification de la Loi sur la sécurité de la vieillesse (en vue de geler les prestations de sécurité de la vieillesse à 80 $). Troisièmement, la consolid</w:t>
      </w:r>
      <w:r w:rsidRPr="00D55147">
        <w:t>a</w:t>
      </w:r>
      <w:r w:rsidRPr="00D55147">
        <w:t>tion et l'extension des assurances sociales (c'est-à-dire ass</w:t>
      </w:r>
      <w:r w:rsidRPr="00D55147">
        <w:t>u</w:t>
      </w:r>
      <w:r w:rsidRPr="00D55147">
        <w:t>rance chômage et RPC/RRQ) (lesquelles), alliées aux revenus et aux épa</w:t>
      </w:r>
      <w:r w:rsidRPr="00D55147">
        <w:t>r</w:t>
      </w:r>
      <w:r w:rsidRPr="00D55147">
        <w:t>gnes individuels, protégeront le gros de la population contre la pauvreté. Quatrièmement, d</w:t>
      </w:r>
      <w:r w:rsidRPr="00D55147">
        <w:t>i</w:t>
      </w:r>
      <w:r w:rsidRPr="00D55147">
        <w:t>minution de l'importance accordée à l'assi</w:t>
      </w:r>
      <w:r w:rsidRPr="00D55147">
        <w:t>s</w:t>
      </w:r>
      <w:r w:rsidRPr="00D55147">
        <w:t xml:space="preserve">tance sociale en </w:t>
      </w:r>
      <w:r w:rsidRPr="00D55147">
        <w:rPr>
          <w:i/>
          <w:iCs/>
        </w:rPr>
        <w:t xml:space="preserve">cit., </w:t>
      </w:r>
      <w:r w:rsidRPr="00D55147">
        <w:t xml:space="preserve">p. 33.) Pour une analyse de cet énoncé, voir M. PELLETIER, </w:t>
      </w:r>
      <w:r w:rsidRPr="00D55147">
        <w:rPr>
          <w:i/>
          <w:iCs/>
        </w:rPr>
        <w:t xml:space="preserve">op. cit., </w:t>
      </w:r>
      <w:r w:rsidRPr="00D55147">
        <w:t>pp. 179 et suiv.</w:t>
      </w:r>
      <w:r>
        <w:t xml:space="preserve"> </w:t>
      </w:r>
      <w:r w:rsidRPr="00D55147">
        <w:t>i</w:t>
      </w:r>
      <w:r w:rsidRPr="00D55147">
        <w:t>n</w:t>
      </w:r>
      <w:r w:rsidRPr="00D55147">
        <w:t>sistant davantage sur le revenu garanti et l'assura</w:t>
      </w:r>
      <w:r w:rsidRPr="00D55147">
        <w:t>n</w:t>
      </w:r>
      <w:r w:rsidRPr="00D55147">
        <w:t>ce-sociale. » (</w:t>
      </w:r>
      <w:r w:rsidRPr="00D55147">
        <w:rPr>
          <w:i/>
          <w:iCs/>
        </w:rPr>
        <w:t>op.</w:t>
      </w:r>
      <w:r>
        <w:rPr>
          <w:i/>
          <w:iCs/>
        </w:rPr>
        <w:t xml:space="preserve"> cit, </w:t>
      </w:r>
      <w:r w:rsidRPr="00ED3CC7">
        <w:rPr>
          <w:iCs/>
        </w:rPr>
        <w:t>pp</w:t>
      </w:r>
      <w:r>
        <w:rPr>
          <w:iCs/>
        </w:rPr>
        <w:t>. 179 et suiv.</w:t>
      </w:r>
    </w:p>
  </w:footnote>
  <w:footnote w:id="502">
    <w:p w:rsidR="00AD690E" w:rsidRDefault="00AD690E" w:rsidP="00AD690E">
      <w:pPr>
        <w:pStyle w:val="Notedebasdepage"/>
      </w:pPr>
      <w:r>
        <w:rPr>
          <w:rStyle w:val="Appelnotedebasdep"/>
        </w:rPr>
        <w:footnoteRef/>
      </w:r>
      <w:r>
        <w:t xml:space="preserve"> </w:t>
      </w:r>
      <w:r>
        <w:tab/>
      </w:r>
      <w:r w:rsidRPr="007B71FD">
        <w:t xml:space="preserve">Voir par exemple, M. Pelletier, </w:t>
      </w:r>
      <w:r w:rsidRPr="007B71FD">
        <w:rPr>
          <w:i/>
          <w:iCs/>
        </w:rPr>
        <w:t xml:space="preserve">op. cit., </w:t>
      </w:r>
      <w:r w:rsidRPr="007B71FD">
        <w:t>p. 67, note 2, pour des énoncés e</w:t>
      </w:r>
      <w:r w:rsidRPr="007B71FD">
        <w:t>x</w:t>
      </w:r>
      <w:r w:rsidRPr="007B71FD">
        <w:t>plicites à cet égard.</w:t>
      </w:r>
    </w:p>
  </w:footnote>
  <w:footnote w:id="503">
    <w:p w:rsidR="00AD690E" w:rsidRDefault="00AD690E" w:rsidP="00AD690E">
      <w:pPr>
        <w:pStyle w:val="Notedebasdepage"/>
      </w:pPr>
      <w:r>
        <w:rPr>
          <w:rStyle w:val="Appelnotedebasdep"/>
        </w:rPr>
        <w:footnoteRef/>
      </w:r>
      <w:r>
        <w:t xml:space="preserve"> </w:t>
      </w:r>
      <w:r>
        <w:tab/>
      </w:r>
      <w:r w:rsidRPr="00431FF2">
        <w:t>Le Conseil économique du Canada, présentant les grandes lignes de la no</w:t>
      </w:r>
      <w:r w:rsidRPr="00431FF2">
        <w:t>u</w:t>
      </w:r>
      <w:r w:rsidRPr="00431FF2">
        <w:t>velle str</w:t>
      </w:r>
      <w:r w:rsidRPr="00431FF2">
        <w:t>a</w:t>
      </w:r>
      <w:r w:rsidRPr="00431FF2">
        <w:t>tégie, a dit euphémiquement, en 1968, que l'objectif était « d'aider les gens à s'a</w:t>
      </w:r>
      <w:r w:rsidRPr="00431FF2">
        <w:t>i</w:t>
      </w:r>
      <w:r w:rsidRPr="00431FF2">
        <w:t xml:space="preserve">der eux-mêmes », Conseil économique du Canada, </w:t>
      </w:r>
      <w:r w:rsidRPr="00431FF2">
        <w:rPr>
          <w:i/>
          <w:iCs/>
        </w:rPr>
        <w:t xml:space="preserve">Défi posé par la croissance et le changement </w:t>
      </w:r>
      <w:r w:rsidRPr="00431FF2">
        <w:t xml:space="preserve">(Rapport annuel), 1968, pp. 149 et suiv. Pour une discussion détaillée, voir M. Pelletier, </w:t>
      </w:r>
      <w:r w:rsidRPr="00431FF2">
        <w:rPr>
          <w:i/>
          <w:iCs/>
        </w:rPr>
        <w:t xml:space="preserve">op. cit., </w:t>
      </w:r>
      <w:r w:rsidRPr="00431FF2">
        <w:t>pp. 173 et suiv.</w:t>
      </w:r>
    </w:p>
  </w:footnote>
  <w:footnote w:id="504">
    <w:p w:rsidR="00AD690E" w:rsidRDefault="00AD690E" w:rsidP="00AD690E">
      <w:pPr>
        <w:pStyle w:val="Notedebasdepage"/>
      </w:pPr>
      <w:r>
        <w:rPr>
          <w:rStyle w:val="Appelnotedebasdep"/>
        </w:rPr>
        <w:footnoteRef/>
      </w:r>
      <w:r>
        <w:t xml:space="preserve"> </w:t>
      </w:r>
      <w:r>
        <w:tab/>
      </w:r>
      <w:r w:rsidRPr="00431FF2">
        <w:t>Ainsi qu'on pouvait le lire dans le Rapport du Groupe de travail sur l'ass</w:t>
      </w:r>
      <w:r w:rsidRPr="00431FF2">
        <w:t>u</w:t>
      </w:r>
      <w:r w:rsidRPr="00431FF2">
        <w:t>rance-chômage publié en juillet 1981 : « Le remaniement des caractérist</w:t>
      </w:r>
      <w:r w:rsidRPr="00431FF2">
        <w:t>i</w:t>
      </w:r>
      <w:r w:rsidRPr="00431FF2">
        <w:t>ques du Régime en vue de lui faire jouer un plus grand rôle relativement à la réalisation des objectifs du marché du travail s'inscrit dans une suite de m</w:t>
      </w:r>
      <w:r w:rsidRPr="00431FF2">
        <w:t>o</w:t>
      </w:r>
      <w:r w:rsidRPr="00431FF2">
        <w:t>difications conceptuelles qui ont été apportées presque sans interruption d</w:t>
      </w:r>
      <w:r w:rsidRPr="00431FF2">
        <w:t>e</w:t>
      </w:r>
      <w:r w:rsidRPr="00431FF2">
        <w:t xml:space="preserve">puis 1975. » </w:t>
      </w:r>
      <w:r w:rsidRPr="00431FF2">
        <w:rPr>
          <w:i/>
          <w:iCs/>
        </w:rPr>
        <w:t>L'ass</w:t>
      </w:r>
      <w:r w:rsidRPr="00431FF2">
        <w:rPr>
          <w:i/>
          <w:iCs/>
        </w:rPr>
        <w:t>u</w:t>
      </w:r>
      <w:r w:rsidRPr="00431FF2">
        <w:rPr>
          <w:i/>
          <w:iCs/>
        </w:rPr>
        <w:t xml:space="preserve">rance-chômage dans les années 1980, </w:t>
      </w:r>
      <w:r w:rsidRPr="00431FF2">
        <w:t>Ottawa, Emploi et Immigration Canada, juillet 1981, p. 44.</w:t>
      </w:r>
    </w:p>
  </w:footnote>
  <w:footnote w:id="505">
    <w:p w:rsidR="00AD690E" w:rsidRDefault="00AD690E" w:rsidP="00AD690E">
      <w:pPr>
        <w:pStyle w:val="Notedebasdepage"/>
      </w:pPr>
      <w:r>
        <w:rPr>
          <w:rStyle w:val="Appelnotedebasdep"/>
        </w:rPr>
        <w:footnoteRef/>
      </w:r>
      <w:r>
        <w:t xml:space="preserve"> </w:t>
      </w:r>
      <w:r>
        <w:tab/>
        <w:t xml:space="preserve">M. BÉGIN, </w:t>
      </w:r>
      <w:r w:rsidRPr="00F04D7A">
        <w:rPr>
          <w:i/>
        </w:rPr>
        <w:t>L’assurance santé : Plaidoyer pour le modèle canadien</w:t>
      </w:r>
      <w:r>
        <w:t>, Mo</w:t>
      </w:r>
      <w:r>
        <w:t>n</w:t>
      </w:r>
      <w:r>
        <w:t xml:space="preserve">tréal., Boréal, 1987, Voir également mon compte-rendu à paraître dans </w:t>
      </w:r>
      <w:r w:rsidRPr="00F04D7A">
        <w:rPr>
          <w:i/>
        </w:rPr>
        <w:t>Pol</w:t>
      </w:r>
      <w:r w:rsidRPr="00F04D7A">
        <w:rPr>
          <w:i/>
        </w:rPr>
        <w:t>i</w:t>
      </w:r>
      <w:r w:rsidRPr="00F04D7A">
        <w:rPr>
          <w:i/>
        </w:rPr>
        <w:t>tique</w:t>
      </w:r>
      <w:r>
        <w:t>, Revue de la société québécoise de science politique.</w:t>
      </w:r>
    </w:p>
  </w:footnote>
  <w:footnote w:id="506">
    <w:p w:rsidR="00AD690E" w:rsidRDefault="00AD690E" w:rsidP="00AD690E">
      <w:pPr>
        <w:pStyle w:val="Notedebasdepage"/>
      </w:pPr>
      <w:r>
        <w:rPr>
          <w:rStyle w:val="Appelnotedebasdep"/>
        </w:rPr>
        <w:footnoteRef/>
      </w:r>
      <w:r>
        <w:t xml:space="preserve"> </w:t>
      </w:r>
      <w:r>
        <w:tab/>
      </w:r>
      <w:r w:rsidRPr="0081479B">
        <w:t>Voir par exemple, « La greffe des HMO pourrait-elle r</w:t>
      </w:r>
      <w:r w:rsidRPr="0081479B">
        <w:t>é</w:t>
      </w:r>
      <w:r w:rsidRPr="0081479B">
        <w:t>ussir au Québec ? Le mini</w:t>
      </w:r>
      <w:r w:rsidRPr="0081479B">
        <w:t>s</w:t>
      </w:r>
      <w:r w:rsidRPr="0081479B">
        <w:t xml:space="preserve">tère a multiplié les études, mais seule l'expérimentation permettra d'en juger », dans </w:t>
      </w:r>
      <w:r w:rsidRPr="0081479B">
        <w:rPr>
          <w:i/>
          <w:iCs/>
        </w:rPr>
        <w:t xml:space="preserve">Le Devoir, </w:t>
      </w:r>
      <w:r w:rsidRPr="0081479B">
        <w:t>premier octobre 1988, p. A-11.</w:t>
      </w:r>
    </w:p>
  </w:footnote>
  <w:footnote w:id="507">
    <w:p w:rsidR="00AD690E" w:rsidRDefault="00AD690E" w:rsidP="00AD690E">
      <w:pPr>
        <w:pStyle w:val="Notedebasdepage"/>
      </w:pPr>
      <w:r>
        <w:rPr>
          <w:rStyle w:val="Appelnotedebasdep"/>
        </w:rPr>
        <w:footnoteRef/>
      </w:r>
      <w:r>
        <w:t xml:space="preserve"> </w:t>
      </w:r>
      <w:r>
        <w:tab/>
      </w:r>
      <w:r w:rsidRPr="006C5B4F">
        <w:t xml:space="preserve">Comité d'enquête relatif à la Loi sur l'assurance-chômage (Gill), </w:t>
      </w:r>
      <w:r w:rsidRPr="006C5B4F">
        <w:rPr>
          <w:i/>
          <w:iCs/>
        </w:rPr>
        <w:t xml:space="preserve">Rapport, </w:t>
      </w:r>
      <w:r w:rsidRPr="006C5B4F">
        <w:t>Ottawa, 1962. Voir l'analyse que je fais de cette question dans mon ouvr</w:t>
      </w:r>
      <w:r w:rsidRPr="006C5B4F">
        <w:t>a</w:t>
      </w:r>
      <w:r w:rsidRPr="006C5B4F">
        <w:t>ge précité aux pp. 147 et suiv. On cherchera en vain une quelconque réf</w:t>
      </w:r>
      <w:r w:rsidRPr="006C5B4F">
        <w:t>é</w:t>
      </w:r>
      <w:r w:rsidRPr="006C5B4F">
        <w:t>rence à ce Rapport dans les livres blancs de 1970 où le gouvernement pr</w:t>
      </w:r>
      <w:r w:rsidRPr="006C5B4F">
        <w:t>é</w:t>
      </w:r>
      <w:r w:rsidRPr="006C5B4F">
        <w:t>sentait sa nouvelle politique sociale (Livre blanc publié par l'honorable John MU</w:t>
      </w:r>
      <w:r w:rsidRPr="006C5B4F">
        <w:t>N</w:t>
      </w:r>
      <w:r w:rsidRPr="006C5B4F">
        <w:t xml:space="preserve">RO, </w:t>
      </w:r>
      <w:r w:rsidRPr="006C5B4F">
        <w:rPr>
          <w:i/>
          <w:iCs/>
        </w:rPr>
        <w:t xml:space="preserve">op. cit., </w:t>
      </w:r>
      <w:r w:rsidRPr="006C5B4F">
        <w:t xml:space="preserve">et </w:t>
      </w:r>
      <w:r w:rsidRPr="006C5B4F">
        <w:rPr>
          <w:i/>
          <w:iCs/>
        </w:rPr>
        <w:t xml:space="preserve">L'assurance-chômage au cours des années 1970, </w:t>
      </w:r>
      <w:r w:rsidRPr="006C5B4F">
        <w:t>livre blanc déposé par l'honorable Brice MACKASEY, ministre du Travail, Ottawa, 1970).</w:t>
      </w:r>
    </w:p>
  </w:footnote>
  <w:footnote w:id="508">
    <w:p w:rsidR="00AD690E" w:rsidRDefault="00AD690E" w:rsidP="00AD690E">
      <w:pPr>
        <w:pStyle w:val="Notedebasdepage"/>
      </w:pPr>
      <w:r>
        <w:rPr>
          <w:rStyle w:val="Appelnotedebasdep"/>
        </w:rPr>
        <w:footnoteRef/>
      </w:r>
      <w:r>
        <w:t xml:space="preserve"> </w:t>
      </w:r>
      <w:r>
        <w:tab/>
      </w:r>
      <w:r w:rsidRPr="006C5B4F">
        <w:t>À titre d'illustration de cette thèse, voir Y. Sénécal, « Les élections du 2 d</w:t>
      </w:r>
      <w:r w:rsidRPr="006C5B4F">
        <w:t>é</w:t>
      </w:r>
      <w:r w:rsidRPr="006C5B4F">
        <w:t xml:space="preserve">cembre : un bipartisme à écart idéologique réduit », dans </w:t>
      </w:r>
      <w:r w:rsidRPr="006C5B4F">
        <w:rPr>
          <w:i/>
          <w:iCs/>
        </w:rPr>
        <w:t xml:space="preserve">Le Devoir, </w:t>
      </w:r>
      <w:r w:rsidRPr="006C5B4F">
        <w:t>16 ja</w:t>
      </w:r>
      <w:r w:rsidRPr="006C5B4F">
        <w:t>n</w:t>
      </w:r>
      <w:r w:rsidRPr="006C5B4F">
        <w:t>vier 1986, p. 7.</w:t>
      </w:r>
    </w:p>
  </w:footnote>
  <w:footnote w:id="509">
    <w:p w:rsidR="00AD690E" w:rsidRDefault="00AD690E" w:rsidP="00AD690E">
      <w:pPr>
        <w:pStyle w:val="Notedebasdepage"/>
      </w:pPr>
      <w:r>
        <w:rPr>
          <w:rStyle w:val="Appelnotedebasdep"/>
        </w:rPr>
        <w:footnoteRef/>
      </w:r>
      <w:r>
        <w:t xml:space="preserve"> </w:t>
      </w:r>
      <w:r>
        <w:tab/>
      </w:r>
      <w:r w:rsidRPr="006C5B4F">
        <w:t xml:space="preserve">Conférence fédérale-provinciale, </w:t>
      </w:r>
      <w:r w:rsidRPr="006C5B4F">
        <w:rPr>
          <w:i/>
          <w:iCs/>
        </w:rPr>
        <w:t xml:space="preserve">Mémoire du Dominion et des provinces et délibérations de la conférence plénière, </w:t>
      </w:r>
      <w:r w:rsidRPr="006C5B4F">
        <w:t>Ottawa, 1946, Edouard CLO</w:t>
      </w:r>
      <w:r w:rsidRPr="006C5B4F">
        <w:t>U</w:t>
      </w:r>
      <w:r w:rsidRPr="006C5B4F">
        <w:t>TIER, Imprimeur de sa très excellente majesté le roi, 1945, p. 91. Cité dans PELLETIER, 1982, p. 379.</w:t>
      </w:r>
    </w:p>
  </w:footnote>
  <w:footnote w:id="510">
    <w:p w:rsidR="00AD690E" w:rsidRDefault="00AD690E" w:rsidP="00AD690E">
      <w:pPr>
        <w:pStyle w:val="Notedebasdepage"/>
      </w:pPr>
      <w:r>
        <w:rPr>
          <w:rStyle w:val="Appelnotedebasdep"/>
        </w:rPr>
        <w:footnoteRef/>
      </w:r>
      <w:r>
        <w:t xml:space="preserve"> </w:t>
      </w:r>
      <w:r>
        <w:tab/>
      </w:r>
      <w:r w:rsidRPr="009F296A">
        <w:t>Le préambule de la Loi anti-inflation invoquait l'incompatibilité de l'actuel taux d'inflation avec l'intérêt général, ainsi que la gravité du problème nati</w:t>
      </w:r>
      <w:r w:rsidRPr="009F296A">
        <w:t>o</w:t>
      </w:r>
      <w:r w:rsidRPr="009F296A">
        <w:t>nal posé par sa réduction et son endiguement. Comme le notait le mini</w:t>
      </w:r>
      <w:r w:rsidRPr="009F296A">
        <w:t>s</w:t>
      </w:r>
      <w:r w:rsidRPr="009F296A">
        <w:t>tre des Finances de l'époque, D</w:t>
      </w:r>
      <w:r w:rsidRPr="009F296A">
        <w:t>o</w:t>
      </w:r>
      <w:r w:rsidRPr="009F296A">
        <w:t>nald MACDONALD, quelques semaines avant son adoption : « Le type de contraintes auxquelles nous songeons n'a jamais eu son équivalent en période de paix. Nous nous engageons dans une ère d'intervention gouvernementale au sein de l'économie. Si vous ne trouvez pas cela aussi effrayant que moi, alors faites-le moi savoir ». Voir M. PE</w:t>
      </w:r>
      <w:r w:rsidRPr="009F296A">
        <w:t>L</w:t>
      </w:r>
      <w:r w:rsidRPr="009F296A">
        <w:t xml:space="preserve">LETIER, </w:t>
      </w:r>
      <w:r w:rsidRPr="009F296A">
        <w:rPr>
          <w:i/>
          <w:iCs/>
        </w:rPr>
        <w:t xml:space="preserve">De la sécurité sociale à la sécurité du revenu, op. cit., </w:t>
      </w:r>
      <w:r w:rsidRPr="009F296A">
        <w:t>p. 408, note 152.</w:t>
      </w:r>
    </w:p>
  </w:footnote>
  <w:footnote w:id="511">
    <w:p w:rsidR="00AD690E" w:rsidRDefault="00AD690E" w:rsidP="00AD690E">
      <w:pPr>
        <w:pStyle w:val="Notedebasdepage"/>
      </w:pPr>
      <w:r>
        <w:rPr>
          <w:rStyle w:val="Appelnotedebasdep"/>
        </w:rPr>
        <w:footnoteRef/>
      </w:r>
      <w:r>
        <w:t xml:space="preserve"> </w:t>
      </w:r>
      <w:r>
        <w:tab/>
      </w:r>
      <w:r w:rsidRPr="004D56B0">
        <w:t xml:space="preserve">Voir M. PELLETIER, « Dans le contexte social et politique : le maillon et la chaîne », dans </w:t>
      </w:r>
      <w:r w:rsidRPr="004D56B0">
        <w:rPr>
          <w:i/>
          <w:iCs/>
        </w:rPr>
        <w:t xml:space="preserve">Relations, </w:t>
      </w:r>
      <w:r w:rsidRPr="004D56B0">
        <w:t>numéro spécial : « Les chartes, l'individu et le lib</w:t>
      </w:r>
      <w:r w:rsidRPr="004D56B0">
        <w:t>é</w:t>
      </w:r>
      <w:r w:rsidRPr="004D56B0">
        <w:t>ralisme », mai 1987, n° 530, p. 115-118.</w:t>
      </w:r>
    </w:p>
  </w:footnote>
  <w:footnote w:id="512">
    <w:p w:rsidR="00AD690E" w:rsidRDefault="00AD690E" w:rsidP="00AD690E">
      <w:pPr>
        <w:pStyle w:val="Notedebasdepage"/>
      </w:pPr>
      <w:r>
        <w:rPr>
          <w:rStyle w:val="Appelnotedebasdep"/>
        </w:rPr>
        <w:footnoteRef/>
      </w:r>
      <w:r>
        <w:t xml:space="preserve"> </w:t>
      </w:r>
      <w:r>
        <w:tab/>
      </w:r>
      <w:r w:rsidRPr="004D56B0">
        <w:t xml:space="preserve">Voir par exemple CANADA, </w:t>
      </w:r>
      <w:r w:rsidRPr="004D56B0">
        <w:rPr>
          <w:i/>
          <w:iCs/>
        </w:rPr>
        <w:t xml:space="preserve">Sécurité du revenu et services sociaux, </w:t>
      </w:r>
      <w:r w:rsidRPr="004D56B0">
        <w:t>doc</w:t>
      </w:r>
      <w:r w:rsidRPr="004D56B0">
        <w:t>u</w:t>
      </w:r>
      <w:r w:rsidRPr="004D56B0">
        <w:t>ment de travail du gouvernement canadien sur la Constitution, Ottawa, I</w:t>
      </w:r>
      <w:r w:rsidRPr="004D56B0">
        <w:t>m</w:t>
      </w:r>
      <w:r w:rsidRPr="004D56B0">
        <w:t>primeur de la Reine, 1969.</w:t>
      </w:r>
    </w:p>
  </w:footnote>
  <w:footnote w:id="513">
    <w:p w:rsidR="00AD690E" w:rsidRDefault="00AD690E" w:rsidP="00AD690E">
      <w:pPr>
        <w:pStyle w:val="Notedebasdepage"/>
      </w:pPr>
      <w:r>
        <w:rPr>
          <w:rStyle w:val="Appelnotedebasdep"/>
        </w:rPr>
        <w:footnoteRef/>
      </w:r>
      <w:r>
        <w:t xml:space="preserve"> </w:t>
      </w:r>
      <w:r>
        <w:tab/>
      </w:r>
      <w:r w:rsidRPr="004D56B0">
        <w:t>M. PELLETIER, De la sécurité sociale à la sécurité du revenu, op. cit., p. 279 et suiv.</w:t>
      </w:r>
    </w:p>
  </w:footnote>
  <w:footnote w:id="514">
    <w:p w:rsidR="00AD690E" w:rsidRDefault="00AD690E" w:rsidP="00AD690E">
      <w:pPr>
        <w:pStyle w:val="Notedebasdepage"/>
      </w:pPr>
      <w:r>
        <w:rPr>
          <w:rStyle w:val="Appelnotedebasdep"/>
        </w:rPr>
        <w:footnoteRef/>
      </w:r>
      <w:r>
        <w:t xml:space="preserve"> </w:t>
      </w:r>
      <w:r>
        <w:tab/>
      </w:r>
      <w:r w:rsidRPr="00BC2EE8">
        <w:t xml:space="preserve">Extrait des Débats de la Chambre, dans </w:t>
      </w:r>
      <w:r w:rsidRPr="00BC2EE8">
        <w:rPr>
          <w:i/>
          <w:iCs/>
        </w:rPr>
        <w:t xml:space="preserve">Le programme d'immigration, </w:t>
      </w:r>
      <w:r w:rsidRPr="00BC2EE8">
        <w:t xml:space="preserve">vol. 2 de : CANADA, </w:t>
      </w:r>
      <w:r w:rsidRPr="00BC2EE8">
        <w:rPr>
          <w:i/>
          <w:iCs/>
        </w:rPr>
        <w:t>Étude sur l'immigration et les objectifs démographiques du Can</w:t>
      </w:r>
      <w:r w:rsidRPr="00BC2EE8">
        <w:rPr>
          <w:i/>
          <w:iCs/>
        </w:rPr>
        <w:t>a</w:t>
      </w:r>
      <w:r w:rsidRPr="00BC2EE8">
        <w:rPr>
          <w:i/>
          <w:iCs/>
        </w:rPr>
        <w:t xml:space="preserve">da ; </w:t>
      </w:r>
      <w:r w:rsidRPr="00BC2EE8">
        <w:t>Ottawa, Information Canada, 1974, p. 221-227.</w:t>
      </w:r>
    </w:p>
  </w:footnote>
  <w:footnote w:id="515">
    <w:p w:rsidR="00AD690E" w:rsidRDefault="00AD690E" w:rsidP="00AD690E">
      <w:pPr>
        <w:pStyle w:val="Notedebasdepage"/>
      </w:pPr>
      <w:r>
        <w:rPr>
          <w:rStyle w:val="Appelnotedebasdep"/>
        </w:rPr>
        <w:footnoteRef/>
      </w:r>
      <w:r>
        <w:t xml:space="preserve"> </w:t>
      </w:r>
      <w:r>
        <w:tab/>
      </w:r>
      <w:r w:rsidRPr="00A803AF">
        <w:t xml:space="preserve">DIRKS, G.E., </w:t>
      </w:r>
      <w:r>
        <w:rPr>
          <w:i/>
          <w:iCs/>
        </w:rPr>
        <w:t>Canadas Refugee Policy. Indiffe</w:t>
      </w:r>
      <w:r w:rsidRPr="00A803AF">
        <w:rPr>
          <w:i/>
          <w:iCs/>
        </w:rPr>
        <w:t xml:space="preserve">rence or Opportunism, </w:t>
      </w:r>
      <w:r w:rsidRPr="00A803AF">
        <w:t>Mo</w:t>
      </w:r>
      <w:r w:rsidRPr="00A803AF">
        <w:t>n</w:t>
      </w:r>
      <w:r w:rsidRPr="00A803AF">
        <w:t>tréal et Londres, McGill-Queen's University Press, 1977, pp. 151 et 193. (Voir le tableau 1).</w:t>
      </w:r>
    </w:p>
  </w:footnote>
  <w:footnote w:id="516">
    <w:p w:rsidR="00AD690E" w:rsidRDefault="00AD690E" w:rsidP="00AD690E">
      <w:pPr>
        <w:pStyle w:val="Notedebasdepage"/>
      </w:pPr>
      <w:r>
        <w:rPr>
          <w:rStyle w:val="Appelnotedebasdep"/>
        </w:rPr>
        <w:footnoteRef/>
      </w:r>
      <w:r>
        <w:t xml:space="preserve"> </w:t>
      </w:r>
      <w:r>
        <w:tab/>
      </w:r>
      <w:r w:rsidRPr="00A803AF">
        <w:t>Le parrainage implique qu'un candidat à l'immigration puisse être admis en autant qu'un parent, résident ou citoyen canadien, agisse comme parrain et assume, à ce titre, la responsabilité entière de son établissement au pays, pour une période déterminée.</w:t>
      </w:r>
    </w:p>
  </w:footnote>
  <w:footnote w:id="517">
    <w:p w:rsidR="00AD690E" w:rsidRDefault="00AD690E" w:rsidP="00AD690E">
      <w:pPr>
        <w:pStyle w:val="Notedebasdepage"/>
      </w:pPr>
      <w:r>
        <w:rPr>
          <w:rStyle w:val="Appelnotedebasdep"/>
        </w:rPr>
        <w:footnoteRef/>
      </w:r>
      <w:r>
        <w:t xml:space="preserve"> </w:t>
      </w:r>
      <w:r>
        <w:tab/>
      </w:r>
      <w:r w:rsidRPr="00B82E34">
        <w:t xml:space="preserve">PARAI, L., « Canada's Immigration Policy, 1962-1974 », dans </w:t>
      </w:r>
      <w:r w:rsidRPr="00B82E34">
        <w:rPr>
          <w:i/>
          <w:iCs/>
        </w:rPr>
        <w:t>Internati</w:t>
      </w:r>
      <w:r w:rsidRPr="00B82E34">
        <w:rPr>
          <w:i/>
          <w:iCs/>
        </w:rPr>
        <w:t>o</w:t>
      </w:r>
      <w:r w:rsidRPr="00B82E34">
        <w:rPr>
          <w:i/>
          <w:iCs/>
        </w:rPr>
        <w:t>nal Migr</w:t>
      </w:r>
      <w:r w:rsidRPr="00B82E34">
        <w:rPr>
          <w:i/>
          <w:iCs/>
        </w:rPr>
        <w:t>a</w:t>
      </w:r>
      <w:r w:rsidRPr="00B82E34">
        <w:rPr>
          <w:i/>
          <w:iCs/>
        </w:rPr>
        <w:t xml:space="preserve">tion Review, </w:t>
      </w:r>
      <w:r w:rsidRPr="00B82E34">
        <w:t>vol. 4, n° 4, 1975, p. 453.</w:t>
      </w:r>
    </w:p>
  </w:footnote>
  <w:footnote w:id="518">
    <w:p w:rsidR="00AD690E" w:rsidRDefault="00AD690E" w:rsidP="00AD690E">
      <w:pPr>
        <w:pStyle w:val="Notedebasdepage"/>
      </w:pPr>
      <w:r>
        <w:rPr>
          <w:rStyle w:val="Appelnotedebasdep"/>
        </w:rPr>
        <w:footnoteRef/>
      </w:r>
      <w:r>
        <w:t xml:space="preserve"> </w:t>
      </w:r>
      <w:r>
        <w:tab/>
      </w:r>
      <w:r w:rsidRPr="00F14FC8">
        <w:t>PASSARIS, CE.A., « Absorptive Capacity and Canada's Post-War Immigr</w:t>
      </w:r>
      <w:r w:rsidRPr="00F14FC8">
        <w:t>a</w:t>
      </w:r>
      <w:r w:rsidRPr="00F14FC8">
        <w:t>tion P</w:t>
      </w:r>
      <w:r w:rsidRPr="00F14FC8">
        <w:t>o</w:t>
      </w:r>
      <w:r w:rsidRPr="00F14FC8">
        <w:t xml:space="preserve">licy », dans </w:t>
      </w:r>
      <w:r w:rsidRPr="00F14FC8">
        <w:rPr>
          <w:i/>
          <w:iCs/>
        </w:rPr>
        <w:t xml:space="preserve">International Migrations, </w:t>
      </w:r>
      <w:r w:rsidRPr="00F14FC8">
        <w:t>vol. 17, n° 3-4, 1974, p. 300.</w:t>
      </w:r>
    </w:p>
  </w:footnote>
  <w:footnote w:id="519">
    <w:p w:rsidR="00AD690E" w:rsidRDefault="00AD690E" w:rsidP="00AD690E">
      <w:pPr>
        <w:pStyle w:val="Notedebasdepage"/>
      </w:pPr>
      <w:r>
        <w:rPr>
          <w:rStyle w:val="Appelnotedebasdep"/>
        </w:rPr>
        <w:footnoteRef/>
      </w:r>
      <w:r>
        <w:t xml:space="preserve"> </w:t>
      </w:r>
      <w:r>
        <w:tab/>
      </w:r>
      <w:r w:rsidRPr="001F6349">
        <w:t xml:space="preserve">HAWKTNS, F., </w:t>
      </w:r>
      <w:r w:rsidRPr="001F6349">
        <w:rPr>
          <w:i/>
          <w:iCs/>
        </w:rPr>
        <w:t xml:space="preserve">Canada and Immigration Public Policy and Public Concern, </w:t>
      </w:r>
      <w:r w:rsidRPr="001F6349">
        <w:t>Mo</w:t>
      </w:r>
      <w:r w:rsidRPr="001F6349">
        <w:t>n</w:t>
      </w:r>
      <w:r w:rsidRPr="001F6349">
        <w:t>tréal et Londres, McGill-Queen's University Press, 1972, p. 102.</w:t>
      </w:r>
    </w:p>
  </w:footnote>
  <w:footnote w:id="520">
    <w:p w:rsidR="00AD690E" w:rsidRDefault="00AD690E" w:rsidP="00AD690E">
      <w:pPr>
        <w:pStyle w:val="Notedebasdepage"/>
      </w:pPr>
      <w:r>
        <w:rPr>
          <w:rStyle w:val="Appelnotedebasdep"/>
        </w:rPr>
        <w:footnoteRef/>
      </w:r>
      <w:r>
        <w:t xml:space="preserve"> </w:t>
      </w:r>
      <w:r>
        <w:tab/>
      </w:r>
      <w:r w:rsidRPr="001F6349">
        <w:t xml:space="preserve">CORBETT, D., </w:t>
      </w:r>
      <w:r w:rsidRPr="001F6349">
        <w:rPr>
          <w:i/>
          <w:iCs/>
        </w:rPr>
        <w:t xml:space="preserve">Canada's Immigration Policy, </w:t>
      </w:r>
      <w:r w:rsidRPr="001F6349">
        <w:t>Toronto, University of T</w:t>
      </w:r>
      <w:r w:rsidRPr="001F6349">
        <w:t>o</w:t>
      </w:r>
      <w:r w:rsidRPr="001F6349">
        <w:t>ronto Press, 1957, p. 46.</w:t>
      </w:r>
    </w:p>
  </w:footnote>
  <w:footnote w:id="521">
    <w:p w:rsidR="00AD690E" w:rsidRDefault="00AD690E" w:rsidP="00AD690E">
      <w:pPr>
        <w:pStyle w:val="Notedebasdepage"/>
      </w:pPr>
      <w:r>
        <w:rPr>
          <w:rStyle w:val="Appelnotedebasdep"/>
        </w:rPr>
        <w:footnoteRef/>
      </w:r>
      <w:r>
        <w:t xml:space="preserve"> </w:t>
      </w:r>
      <w:r>
        <w:tab/>
      </w:r>
      <w:r w:rsidRPr="001F6349">
        <w:t xml:space="preserve">PARAI, L., </w:t>
      </w:r>
      <w:r w:rsidRPr="001F6349">
        <w:rPr>
          <w:i/>
          <w:iCs/>
        </w:rPr>
        <w:t xml:space="preserve">op. cit., </w:t>
      </w:r>
      <w:r w:rsidRPr="001F6349">
        <w:t>p. 454.</w:t>
      </w:r>
    </w:p>
  </w:footnote>
  <w:footnote w:id="522">
    <w:p w:rsidR="00AD690E" w:rsidRDefault="00AD690E" w:rsidP="00AD690E">
      <w:pPr>
        <w:pStyle w:val="Notedebasdepage"/>
      </w:pPr>
      <w:r>
        <w:rPr>
          <w:rStyle w:val="Appelnotedebasdep"/>
        </w:rPr>
        <w:footnoteRef/>
      </w:r>
      <w:r>
        <w:t xml:space="preserve"> </w:t>
      </w:r>
      <w:r>
        <w:tab/>
      </w:r>
      <w:r w:rsidRPr="005A3F3A">
        <w:t xml:space="preserve">HAWKINS, F., </w:t>
      </w:r>
      <w:r w:rsidRPr="005A3F3A">
        <w:rPr>
          <w:i/>
          <w:iCs/>
        </w:rPr>
        <w:t xml:space="preserve">op.cit., </w:t>
      </w:r>
      <w:r w:rsidRPr="005A3F3A">
        <w:t>p. 99.</w:t>
      </w:r>
    </w:p>
  </w:footnote>
  <w:footnote w:id="523">
    <w:p w:rsidR="00AD690E" w:rsidRDefault="00AD690E" w:rsidP="00AD690E">
      <w:pPr>
        <w:pStyle w:val="Notedebasdepage"/>
      </w:pPr>
      <w:r>
        <w:rPr>
          <w:rStyle w:val="Appelnotedebasdep"/>
        </w:rPr>
        <w:footnoteRef/>
      </w:r>
      <w:r>
        <w:t xml:space="preserve"> </w:t>
      </w:r>
      <w:r>
        <w:tab/>
      </w:r>
      <w:r w:rsidRPr="005A3F3A">
        <w:t>LABELLE M., LAROSE, S. et PICHÉ V., « Politique d'immigration et i</w:t>
      </w:r>
      <w:r w:rsidRPr="005A3F3A">
        <w:t>m</w:t>
      </w:r>
      <w:r w:rsidRPr="005A3F3A">
        <w:t xml:space="preserve">migration en provenance de la Caraïbe anglophone au Canada et au Québec, 1900-1979 », </w:t>
      </w:r>
      <w:r w:rsidRPr="005A3F3A">
        <w:rPr>
          <w:i/>
          <w:iCs/>
        </w:rPr>
        <w:t>Can</w:t>
      </w:r>
      <w:r w:rsidRPr="005A3F3A">
        <w:rPr>
          <w:i/>
          <w:iCs/>
        </w:rPr>
        <w:t>a</w:t>
      </w:r>
      <w:r w:rsidRPr="005A3F3A">
        <w:rPr>
          <w:i/>
          <w:iCs/>
        </w:rPr>
        <w:t xml:space="preserve">dian Ethnic Studies, </w:t>
      </w:r>
      <w:r w:rsidRPr="005A3F3A">
        <w:t>vol. 15, n° 2, 1983, p. 8</w:t>
      </w:r>
      <w:r>
        <w:t>.</w:t>
      </w:r>
    </w:p>
  </w:footnote>
  <w:footnote w:id="524">
    <w:p w:rsidR="00AD690E" w:rsidRDefault="00AD690E" w:rsidP="00AD690E">
      <w:pPr>
        <w:pStyle w:val="Notedebasdepage"/>
      </w:pPr>
      <w:r>
        <w:rPr>
          <w:rStyle w:val="Appelnotedebasdep"/>
        </w:rPr>
        <w:footnoteRef/>
      </w:r>
      <w:r>
        <w:t xml:space="preserve"> </w:t>
      </w:r>
      <w:r>
        <w:tab/>
      </w:r>
      <w:r w:rsidRPr="005A3F3A">
        <w:t>CANADA, Le programme d'immigration, op. cit., pp. 30-31.</w:t>
      </w:r>
    </w:p>
  </w:footnote>
  <w:footnote w:id="525">
    <w:p w:rsidR="00AD690E" w:rsidRDefault="00AD690E" w:rsidP="00AD690E">
      <w:pPr>
        <w:pStyle w:val="Notedebasdepage"/>
      </w:pPr>
      <w:r>
        <w:rPr>
          <w:rStyle w:val="Appelnotedebasdep"/>
        </w:rPr>
        <w:footnoteRef/>
      </w:r>
      <w:r>
        <w:t xml:space="preserve"> </w:t>
      </w:r>
      <w:r>
        <w:tab/>
      </w:r>
      <w:r w:rsidRPr="005A3F3A">
        <w:t xml:space="preserve">PASSARIS, C.E.A., </w:t>
      </w:r>
      <w:r w:rsidRPr="005A3F3A">
        <w:rPr>
          <w:i/>
          <w:iCs/>
        </w:rPr>
        <w:t xml:space="preserve">op. cit., </w:t>
      </w:r>
      <w:r w:rsidRPr="005A3F3A">
        <w:t>p. 298.</w:t>
      </w:r>
    </w:p>
  </w:footnote>
  <w:footnote w:id="526">
    <w:p w:rsidR="00AD690E" w:rsidRDefault="00AD690E" w:rsidP="00AD690E">
      <w:pPr>
        <w:pStyle w:val="Notedebasdepage"/>
      </w:pPr>
      <w:r>
        <w:rPr>
          <w:rStyle w:val="Appelnotedebasdep"/>
        </w:rPr>
        <w:footnoteRef/>
      </w:r>
      <w:r>
        <w:t xml:space="preserve"> </w:t>
      </w:r>
      <w:r>
        <w:tab/>
      </w:r>
      <w:r w:rsidRPr="005A3F3A">
        <w:t xml:space="preserve">PARAI, L., </w:t>
      </w:r>
      <w:r w:rsidRPr="005A3F3A">
        <w:rPr>
          <w:i/>
          <w:iCs/>
        </w:rPr>
        <w:t xml:space="preserve">op. cit., </w:t>
      </w:r>
      <w:r w:rsidRPr="005A3F3A">
        <w:t xml:space="preserve">p. 456 ; HAWKINS, F., </w:t>
      </w:r>
      <w:r w:rsidRPr="005A3F3A">
        <w:rPr>
          <w:i/>
          <w:iCs/>
        </w:rPr>
        <w:t xml:space="preserve">op. cit., </w:t>
      </w:r>
      <w:r w:rsidRPr="005A3F3A">
        <w:t>p. 126.</w:t>
      </w:r>
    </w:p>
  </w:footnote>
  <w:footnote w:id="527">
    <w:p w:rsidR="00AD690E" w:rsidRDefault="00AD690E" w:rsidP="00AD690E">
      <w:pPr>
        <w:pStyle w:val="Notedebasdepage"/>
      </w:pPr>
      <w:r>
        <w:rPr>
          <w:rStyle w:val="Appelnotedebasdep"/>
        </w:rPr>
        <w:footnoteRef/>
      </w:r>
      <w:r>
        <w:t xml:space="preserve"> </w:t>
      </w:r>
      <w:r>
        <w:tab/>
      </w:r>
      <w:r w:rsidRPr="005A3F3A">
        <w:t xml:space="preserve">HAWKINS, F., « Canadian Immigration Policy and Management », dans </w:t>
      </w:r>
      <w:r w:rsidRPr="005A3F3A">
        <w:rPr>
          <w:i/>
          <w:iCs/>
        </w:rPr>
        <w:t>Intern</w:t>
      </w:r>
      <w:r w:rsidRPr="005A3F3A">
        <w:rPr>
          <w:i/>
          <w:iCs/>
        </w:rPr>
        <w:t>a</w:t>
      </w:r>
      <w:r w:rsidRPr="005A3F3A">
        <w:rPr>
          <w:i/>
          <w:iCs/>
        </w:rPr>
        <w:t xml:space="preserve">tional Migration Review, </w:t>
      </w:r>
      <w:r w:rsidRPr="005A3F3A">
        <w:t>vol. 8, 1974, p. 144.</w:t>
      </w:r>
    </w:p>
  </w:footnote>
  <w:footnote w:id="528">
    <w:p w:rsidR="00AD690E" w:rsidRDefault="00AD690E" w:rsidP="00AD690E">
      <w:pPr>
        <w:pStyle w:val="Notedebasdepage"/>
      </w:pPr>
      <w:r>
        <w:rPr>
          <w:rStyle w:val="Appelnotedebasdep"/>
        </w:rPr>
        <w:footnoteRef/>
      </w:r>
      <w:r>
        <w:t xml:space="preserve"> </w:t>
      </w:r>
      <w:r>
        <w:tab/>
      </w:r>
      <w:r w:rsidRPr="00EB5C79">
        <w:t xml:space="preserve">HAWKINS, F., </w:t>
      </w:r>
      <w:r w:rsidRPr="00EB5C79">
        <w:rPr>
          <w:i/>
          <w:iCs/>
        </w:rPr>
        <w:t xml:space="preserve">ibid, </w:t>
      </w:r>
      <w:r w:rsidRPr="00EB5C79">
        <w:t xml:space="preserve">p. 146 ; RICHMOND, A.H. et LAKSHAMANA, R.G., « Recent Developments in Immigration to Canada and Australia », dans </w:t>
      </w:r>
      <w:r w:rsidRPr="00EB5C79">
        <w:rPr>
          <w:i/>
          <w:iCs/>
        </w:rPr>
        <w:t>I</w:t>
      </w:r>
      <w:r w:rsidRPr="00EB5C79">
        <w:rPr>
          <w:i/>
          <w:iCs/>
        </w:rPr>
        <w:t>n</w:t>
      </w:r>
      <w:r w:rsidRPr="00EB5C79">
        <w:rPr>
          <w:i/>
          <w:iCs/>
        </w:rPr>
        <w:t xml:space="preserve">ternational Journal of Comparative Sociology, </w:t>
      </w:r>
      <w:r w:rsidRPr="00EB5C79">
        <w:t>vol. 17, n° 3-4, p. 188.</w:t>
      </w:r>
    </w:p>
  </w:footnote>
  <w:footnote w:id="529">
    <w:p w:rsidR="00AD690E" w:rsidRDefault="00AD690E" w:rsidP="00AD690E">
      <w:pPr>
        <w:pStyle w:val="Notedebasdepage"/>
      </w:pPr>
      <w:r>
        <w:rPr>
          <w:rStyle w:val="Appelnotedebasdep"/>
        </w:rPr>
        <w:footnoteRef/>
      </w:r>
      <w:r>
        <w:t xml:space="preserve"> </w:t>
      </w:r>
      <w:r>
        <w:tab/>
      </w:r>
      <w:r w:rsidRPr="00EB5C79">
        <w:t>HAWKINS, F., Canada and Immigration. Public Policy and Public Concern, op. cit., p. 140.</w:t>
      </w:r>
    </w:p>
  </w:footnote>
  <w:footnote w:id="530">
    <w:p w:rsidR="00AD690E" w:rsidRDefault="00AD690E" w:rsidP="00AD690E">
      <w:pPr>
        <w:pStyle w:val="Notedebasdepage"/>
      </w:pPr>
      <w:r>
        <w:rPr>
          <w:rStyle w:val="Appelnotedebasdep"/>
        </w:rPr>
        <w:footnoteRef/>
      </w:r>
      <w:r>
        <w:t xml:space="preserve"> </w:t>
      </w:r>
      <w:r>
        <w:tab/>
      </w:r>
      <w:r w:rsidRPr="004002CE">
        <w:t>CANADA, Le programme d'immigration, op. cit., p. 34.</w:t>
      </w:r>
    </w:p>
  </w:footnote>
  <w:footnote w:id="531">
    <w:p w:rsidR="00AD690E" w:rsidRDefault="00AD690E" w:rsidP="00AD690E">
      <w:pPr>
        <w:pStyle w:val="Notedebasdepage"/>
      </w:pPr>
      <w:r>
        <w:rPr>
          <w:rStyle w:val="Appelnotedebasdep"/>
        </w:rPr>
        <w:footnoteRef/>
      </w:r>
      <w:r>
        <w:tab/>
      </w:r>
      <w:r w:rsidRPr="004002CE">
        <w:t xml:space="preserve">PARAI, L., </w:t>
      </w:r>
      <w:r w:rsidRPr="004002CE">
        <w:rPr>
          <w:i/>
          <w:iCs/>
        </w:rPr>
        <w:t xml:space="preserve">op. cit., </w:t>
      </w:r>
      <w:r w:rsidRPr="004002CE">
        <w:t>p. 464.</w:t>
      </w:r>
    </w:p>
  </w:footnote>
  <w:footnote w:id="532">
    <w:p w:rsidR="00AD690E" w:rsidRDefault="00AD690E" w:rsidP="00AD690E">
      <w:pPr>
        <w:pStyle w:val="Notedebasdepage"/>
      </w:pPr>
      <w:r>
        <w:rPr>
          <w:rStyle w:val="Appelnotedebasdep"/>
        </w:rPr>
        <w:footnoteRef/>
      </w:r>
      <w:r>
        <w:t xml:space="preserve"> </w:t>
      </w:r>
      <w:r>
        <w:tab/>
      </w:r>
      <w:r w:rsidRPr="004002CE">
        <w:t>CANADA, Le programme d'immigration, op. cit., p. 134.</w:t>
      </w:r>
    </w:p>
  </w:footnote>
  <w:footnote w:id="533">
    <w:p w:rsidR="00AD690E" w:rsidRDefault="00AD690E" w:rsidP="00AD690E">
      <w:pPr>
        <w:pStyle w:val="Notedebasdepage"/>
      </w:pPr>
      <w:r>
        <w:rPr>
          <w:rStyle w:val="Appelnotedebasdep"/>
        </w:rPr>
        <w:footnoteRef/>
      </w:r>
      <w:r>
        <w:t xml:space="preserve"> </w:t>
      </w:r>
      <w:r>
        <w:tab/>
      </w:r>
      <w:r w:rsidRPr="004002CE">
        <w:t xml:space="preserve">PASSARIS, C.E.A., </w:t>
      </w:r>
      <w:r w:rsidRPr="004002CE">
        <w:rPr>
          <w:i/>
          <w:iCs/>
        </w:rPr>
        <w:t xml:space="preserve">op. cit., </w:t>
      </w:r>
      <w:r w:rsidRPr="004002CE">
        <w:t xml:space="preserve">p. 299. Voir également CANADA, ministère de la Main-d'oeuvre et de l'Immigration, </w:t>
      </w:r>
      <w:r w:rsidRPr="004002CE">
        <w:rPr>
          <w:i/>
          <w:iCs/>
        </w:rPr>
        <w:t>La politique d'immigration au C</w:t>
      </w:r>
      <w:r w:rsidRPr="004002CE">
        <w:rPr>
          <w:i/>
          <w:iCs/>
        </w:rPr>
        <w:t>a</w:t>
      </w:r>
      <w:r w:rsidRPr="004002CE">
        <w:rPr>
          <w:i/>
          <w:iCs/>
        </w:rPr>
        <w:t xml:space="preserve">nada, </w:t>
      </w:r>
      <w:r w:rsidRPr="004002CE">
        <w:t>Ottawa, I</w:t>
      </w:r>
      <w:r w:rsidRPr="004002CE">
        <w:t>m</w:t>
      </w:r>
      <w:r w:rsidRPr="004002CE">
        <w:t>primeur de la Reine, 1966.</w:t>
      </w:r>
    </w:p>
  </w:footnote>
  <w:footnote w:id="534">
    <w:p w:rsidR="00AD690E" w:rsidRDefault="00AD690E" w:rsidP="00AD690E">
      <w:pPr>
        <w:pStyle w:val="Notedebasdepage"/>
      </w:pPr>
      <w:r>
        <w:rPr>
          <w:rStyle w:val="Appelnotedebasdep"/>
        </w:rPr>
        <w:footnoteRef/>
      </w:r>
      <w:r>
        <w:t xml:space="preserve"> </w:t>
      </w:r>
      <w:r>
        <w:tab/>
      </w:r>
      <w:r w:rsidRPr="00981C08">
        <w:rPr>
          <w:i/>
          <w:iCs/>
        </w:rPr>
        <w:t xml:space="preserve">Ibid., </w:t>
      </w:r>
      <w:r w:rsidRPr="00981C08">
        <w:t>p. 12.</w:t>
      </w:r>
    </w:p>
  </w:footnote>
  <w:footnote w:id="535">
    <w:p w:rsidR="00AD690E" w:rsidRDefault="00AD690E" w:rsidP="00AD690E">
      <w:pPr>
        <w:pStyle w:val="Notedebasdepage"/>
      </w:pPr>
      <w:r>
        <w:rPr>
          <w:rStyle w:val="Appelnotedebasdep"/>
        </w:rPr>
        <w:footnoteRef/>
      </w:r>
      <w:r>
        <w:t xml:space="preserve"> </w:t>
      </w:r>
      <w:r>
        <w:tab/>
      </w:r>
      <w:r w:rsidRPr="00981C08">
        <w:t>CANADA, Le programme d'immigration, op. cit., p. 39.</w:t>
      </w:r>
    </w:p>
  </w:footnote>
  <w:footnote w:id="536">
    <w:p w:rsidR="00AD690E" w:rsidRDefault="00AD690E" w:rsidP="00AD690E">
      <w:pPr>
        <w:pStyle w:val="Notedebasdepage"/>
      </w:pPr>
      <w:r>
        <w:rPr>
          <w:rStyle w:val="Appelnotedebasdep"/>
        </w:rPr>
        <w:footnoteRef/>
      </w:r>
      <w:r>
        <w:t xml:space="preserve"> </w:t>
      </w:r>
      <w:r>
        <w:tab/>
      </w:r>
      <w:r w:rsidRPr="009B1BA7">
        <w:rPr>
          <w:i/>
          <w:iCs/>
        </w:rPr>
        <w:t xml:space="preserve">Ibid., </w:t>
      </w:r>
      <w:r w:rsidRPr="009B1BA7">
        <w:t>chap. 2 sur la sélection des immigrants.</w:t>
      </w:r>
    </w:p>
  </w:footnote>
  <w:footnote w:id="537">
    <w:p w:rsidR="00AD690E" w:rsidRDefault="00AD690E" w:rsidP="00AD690E">
      <w:pPr>
        <w:pStyle w:val="Notedebasdepage"/>
      </w:pPr>
      <w:r>
        <w:rPr>
          <w:rStyle w:val="Appelnotedebasdep"/>
        </w:rPr>
        <w:footnoteRef/>
      </w:r>
      <w:r>
        <w:t xml:space="preserve"> </w:t>
      </w:r>
      <w:r>
        <w:tab/>
      </w:r>
      <w:r w:rsidRPr="009B1BA7">
        <w:t xml:space="preserve">PASSARIS, C.E.A., </w:t>
      </w:r>
      <w:r w:rsidRPr="009B1BA7">
        <w:rPr>
          <w:i/>
          <w:iCs/>
        </w:rPr>
        <w:t xml:space="preserve">op. cit., </w:t>
      </w:r>
      <w:r w:rsidRPr="009B1BA7">
        <w:t>p. 300.</w:t>
      </w:r>
    </w:p>
  </w:footnote>
  <w:footnote w:id="538">
    <w:p w:rsidR="00AD690E" w:rsidRDefault="00AD690E" w:rsidP="00AD690E">
      <w:pPr>
        <w:pStyle w:val="Notedebasdepage"/>
      </w:pPr>
      <w:r>
        <w:rPr>
          <w:rStyle w:val="Appelnotedebasdep"/>
        </w:rPr>
        <w:footnoteRef/>
      </w:r>
      <w:r>
        <w:t xml:space="preserve"> </w:t>
      </w:r>
      <w:r>
        <w:tab/>
      </w:r>
      <w:r w:rsidRPr="009B1BA7">
        <w:t xml:space="preserve">PARAI, L., </w:t>
      </w:r>
      <w:r w:rsidRPr="009B1BA7">
        <w:rPr>
          <w:i/>
          <w:iCs/>
        </w:rPr>
        <w:t xml:space="preserve">op. cit., </w:t>
      </w:r>
      <w:r w:rsidRPr="009B1BA7">
        <w:t>p. 461.</w:t>
      </w:r>
    </w:p>
  </w:footnote>
  <w:footnote w:id="539">
    <w:p w:rsidR="00AD690E" w:rsidRDefault="00AD690E" w:rsidP="00AD690E">
      <w:pPr>
        <w:pStyle w:val="Notedebasdepage"/>
      </w:pPr>
      <w:r>
        <w:rPr>
          <w:rStyle w:val="Appelnotedebasdep"/>
        </w:rPr>
        <w:footnoteRef/>
      </w:r>
      <w:r>
        <w:t xml:space="preserve"> </w:t>
      </w:r>
      <w:r>
        <w:tab/>
      </w:r>
      <w:r w:rsidRPr="009B1BA7">
        <w:t xml:space="preserve">. LABELLE, M., LAROSE, S. et V. PICHÉ, </w:t>
      </w:r>
      <w:r w:rsidRPr="009B1BA7">
        <w:rPr>
          <w:i/>
          <w:iCs/>
        </w:rPr>
        <w:t xml:space="preserve">op. cit., </w:t>
      </w:r>
      <w:r w:rsidRPr="009B1BA7">
        <w:t>p. 11.</w:t>
      </w:r>
    </w:p>
  </w:footnote>
  <w:footnote w:id="540">
    <w:p w:rsidR="00AD690E" w:rsidRDefault="00AD690E" w:rsidP="00AD690E">
      <w:pPr>
        <w:pStyle w:val="Notedebasdepage"/>
      </w:pPr>
      <w:r>
        <w:rPr>
          <w:rStyle w:val="Appelnotedebasdep"/>
        </w:rPr>
        <w:footnoteRef/>
      </w:r>
      <w:r>
        <w:t xml:space="preserve"> </w:t>
      </w:r>
      <w:r>
        <w:tab/>
      </w:r>
      <w:r w:rsidRPr="009B1BA7">
        <w:t xml:space="preserve">Voir RAMCHARAN, S., </w:t>
      </w:r>
      <w:r w:rsidRPr="009B1BA7">
        <w:rPr>
          <w:i/>
          <w:iCs/>
        </w:rPr>
        <w:t xml:space="preserve">Racism. Non-White in Canada, </w:t>
      </w:r>
      <w:r w:rsidRPr="009B1BA7">
        <w:t>Toronto, Butte</w:t>
      </w:r>
      <w:r w:rsidRPr="009B1BA7">
        <w:t>r</w:t>
      </w:r>
      <w:r w:rsidRPr="009B1BA7">
        <w:t>worths, 1982, et LI, P.S. et SINGH BOLARIA, B. : « Canadian Imm</w:t>
      </w:r>
      <w:r w:rsidRPr="009B1BA7">
        <w:t>i</w:t>
      </w:r>
      <w:r w:rsidRPr="009B1BA7">
        <w:t xml:space="preserve">gration Policy and Assimilation Theories », dans FRY, J.A. (éd.), </w:t>
      </w:r>
      <w:r w:rsidRPr="009B1BA7">
        <w:rPr>
          <w:i/>
          <w:iCs/>
        </w:rPr>
        <w:t>Econ</w:t>
      </w:r>
      <w:r w:rsidRPr="009B1BA7">
        <w:rPr>
          <w:i/>
          <w:iCs/>
        </w:rPr>
        <w:t>o</w:t>
      </w:r>
      <w:r w:rsidRPr="009B1BA7">
        <w:rPr>
          <w:i/>
          <w:iCs/>
        </w:rPr>
        <w:t xml:space="preserve">my, Class and Social Reality. Issues in Contemporary Canadian Society, </w:t>
      </w:r>
      <w:r w:rsidRPr="009B1BA7">
        <w:t>Toronto, Bu</w:t>
      </w:r>
      <w:r w:rsidRPr="009B1BA7">
        <w:t>t</w:t>
      </w:r>
      <w:r w:rsidRPr="009B1BA7">
        <w:t>terworths, 1979, pp. 411-422.</w:t>
      </w:r>
    </w:p>
  </w:footnote>
  <w:footnote w:id="541">
    <w:p w:rsidR="00AD690E" w:rsidRDefault="00AD690E" w:rsidP="00AD690E">
      <w:pPr>
        <w:pStyle w:val="Notedebasdepage"/>
      </w:pPr>
      <w:r>
        <w:rPr>
          <w:rStyle w:val="Appelnotedebasdep"/>
        </w:rPr>
        <w:footnoteRef/>
      </w:r>
      <w:r>
        <w:t xml:space="preserve"> </w:t>
      </w:r>
      <w:r>
        <w:tab/>
      </w:r>
      <w:r w:rsidRPr="00687007">
        <w:t xml:space="preserve">PORTES, A., </w:t>
      </w:r>
      <w:r w:rsidRPr="00687007">
        <w:rPr>
          <w:i/>
          <w:iCs/>
        </w:rPr>
        <w:t xml:space="preserve">Labor, Class, and the International System, </w:t>
      </w:r>
      <w:r w:rsidRPr="00687007">
        <w:t>New York, Ac</w:t>
      </w:r>
      <w:r w:rsidRPr="00687007">
        <w:t>a</w:t>
      </w:r>
      <w:r w:rsidRPr="00687007">
        <w:t>demic Press, p. 39.</w:t>
      </w:r>
    </w:p>
  </w:footnote>
  <w:footnote w:id="542">
    <w:p w:rsidR="00AD690E" w:rsidRDefault="00AD690E" w:rsidP="00AD690E">
      <w:pPr>
        <w:pStyle w:val="Notedebasdepage"/>
      </w:pPr>
      <w:r>
        <w:rPr>
          <w:rStyle w:val="Appelnotedebasdep"/>
        </w:rPr>
        <w:footnoteRef/>
      </w:r>
      <w:r>
        <w:t xml:space="preserve"> </w:t>
      </w:r>
      <w:r>
        <w:tab/>
      </w:r>
      <w:r w:rsidRPr="00687007">
        <w:t xml:space="preserve">BOYD, M., « Immigration Policies and Trends : A Comparison of Canada and the United States », dans </w:t>
      </w:r>
      <w:r w:rsidRPr="00687007">
        <w:rPr>
          <w:i/>
          <w:iCs/>
        </w:rPr>
        <w:t xml:space="preserve">Demography, </w:t>
      </w:r>
      <w:r w:rsidRPr="00687007">
        <w:t>vol. 13, n° 1, 1973, p. 98.</w:t>
      </w:r>
    </w:p>
  </w:footnote>
  <w:footnote w:id="543">
    <w:p w:rsidR="00AD690E" w:rsidRDefault="00AD690E" w:rsidP="00AD690E">
      <w:pPr>
        <w:pStyle w:val="Notedebasdepage"/>
      </w:pPr>
      <w:r>
        <w:rPr>
          <w:rStyle w:val="Appelnotedebasdep"/>
        </w:rPr>
        <w:footnoteRef/>
      </w:r>
      <w:r>
        <w:t xml:space="preserve"> </w:t>
      </w:r>
      <w:r>
        <w:tab/>
      </w:r>
      <w:r w:rsidRPr="00BA7745">
        <w:t xml:space="preserve">LABELLE M., LAROSE, S. et V. PICHÉ, </w:t>
      </w:r>
      <w:r w:rsidRPr="00BA7745">
        <w:rPr>
          <w:i/>
          <w:iCs/>
        </w:rPr>
        <w:t>op. cit.,</w:t>
      </w:r>
      <w:r w:rsidRPr="00BA7745">
        <w:rPr>
          <w:iCs/>
          <w:vertAlign w:val="subscript"/>
        </w:rPr>
        <w:t xml:space="preserve"> </w:t>
      </w:r>
      <w:r w:rsidRPr="00BA7745">
        <w:rPr>
          <w:iCs/>
        </w:rPr>
        <w:t>p</w:t>
      </w:r>
      <w:r w:rsidRPr="00BA7745">
        <w:rPr>
          <w:i/>
          <w:iCs/>
        </w:rPr>
        <w:t xml:space="preserve">. </w:t>
      </w:r>
      <w:r w:rsidRPr="00BA7745">
        <w:t>11.</w:t>
      </w:r>
    </w:p>
  </w:footnote>
  <w:footnote w:id="544">
    <w:p w:rsidR="00AD690E" w:rsidRDefault="00AD690E" w:rsidP="00AD690E">
      <w:pPr>
        <w:pStyle w:val="Notedebasdepage"/>
      </w:pPr>
      <w:r>
        <w:rPr>
          <w:rStyle w:val="Appelnotedebasdep"/>
        </w:rPr>
        <w:footnoteRef/>
      </w:r>
      <w:r>
        <w:t xml:space="preserve"> </w:t>
      </w:r>
      <w:r>
        <w:tab/>
      </w:r>
      <w:r w:rsidRPr="00BA7745">
        <w:t xml:space="preserve">HAWKINS, F., « Canadian Immigration Policy and Management », </w:t>
      </w:r>
      <w:r w:rsidRPr="00BA7745">
        <w:rPr>
          <w:i/>
          <w:iCs/>
        </w:rPr>
        <w:t xml:space="preserve">op. cit., </w:t>
      </w:r>
      <w:r w:rsidRPr="00BA7745">
        <w:t>p. 149.</w:t>
      </w:r>
    </w:p>
  </w:footnote>
  <w:footnote w:id="545">
    <w:p w:rsidR="00AD690E" w:rsidRDefault="00AD690E" w:rsidP="00AD690E">
      <w:pPr>
        <w:pStyle w:val="Notedebasdepage"/>
      </w:pPr>
      <w:r>
        <w:rPr>
          <w:rStyle w:val="Appelnotedebasdep"/>
        </w:rPr>
        <w:footnoteRef/>
      </w:r>
      <w:r>
        <w:t xml:space="preserve"> </w:t>
      </w:r>
      <w:r>
        <w:tab/>
      </w:r>
      <w:r w:rsidRPr="00B15AFC">
        <w:t xml:space="preserve">SWEE-HIN, T., « Canada's Gain from Third World Brain Drain, 1962-1974 », </w:t>
      </w:r>
      <w:r w:rsidRPr="00B15AFC">
        <w:rPr>
          <w:i/>
          <w:iCs/>
        </w:rPr>
        <w:t xml:space="preserve">Studies in Comparative International Development, </w:t>
      </w:r>
      <w:r w:rsidRPr="00B15AFC">
        <w:t>vol. 12, n° 2, 1977, p. 29</w:t>
      </w:r>
      <w:r>
        <w:t>.</w:t>
      </w:r>
    </w:p>
  </w:footnote>
  <w:footnote w:id="546">
    <w:p w:rsidR="00AD690E" w:rsidRDefault="00AD690E" w:rsidP="00AD690E">
      <w:pPr>
        <w:pStyle w:val="Notedebasdepage"/>
      </w:pPr>
      <w:r>
        <w:rPr>
          <w:rStyle w:val="Appelnotedebasdep"/>
        </w:rPr>
        <w:footnoteRef/>
      </w:r>
      <w:r>
        <w:t xml:space="preserve"> </w:t>
      </w:r>
      <w:r>
        <w:tab/>
      </w:r>
      <w:r w:rsidRPr="00B15AFC">
        <w:t>CANADA, La politique d'immigration du Canada, op. cit., p. 18.</w:t>
      </w:r>
    </w:p>
  </w:footnote>
  <w:footnote w:id="547">
    <w:p w:rsidR="00AD690E" w:rsidRDefault="00AD690E" w:rsidP="00AD690E">
      <w:pPr>
        <w:pStyle w:val="Notedebasdepage"/>
      </w:pPr>
      <w:r>
        <w:rPr>
          <w:rStyle w:val="Appelnotedebasdep"/>
        </w:rPr>
        <w:footnoteRef/>
      </w:r>
      <w:r>
        <w:t xml:space="preserve"> </w:t>
      </w:r>
      <w:r>
        <w:tab/>
      </w:r>
      <w:r w:rsidRPr="000E290A">
        <w:t xml:space="preserve">DIRKS, G.E., </w:t>
      </w:r>
      <w:r w:rsidRPr="000E290A">
        <w:rPr>
          <w:i/>
          <w:iCs/>
        </w:rPr>
        <w:t xml:space="preserve">op. cit., </w:t>
      </w:r>
      <w:r w:rsidRPr="000E290A">
        <w:t>p. 233.</w:t>
      </w:r>
    </w:p>
  </w:footnote>
  <w:footnote w:id="548">
    <w:p w:rsidR="00AD690E" w:rsidRDefault="00AD690E" w:rsidP="00AD690E">
      <w:pPr>
        <w:pStyle w:val="Notedebasdepage"/>
      </w:pPr>
      <w:r>
        <w:rPr>
          <w:rStyle w:val="Appelnotedebasdep"/>
        </w:rPr>
        <w:footnoteRef/>
      </w:r>
      <w:r>
        <w:t xml:space="preserve"> </w:t>
      </w:r>
      <w:r>
        <w:tab/>
      </w:r>
      <w:r w:rsidRPr="000E290A">
        <w:rPr>
          <w:i/>
          <w:iCs/>
        </w:rPr>
        <w:t xml:space="preserve">Ibid., </w:t>
      </w:r>
      <w:r w:rsidRPr="000E290A">
        <w:t>p. 258.</w:t>
      </w:r>
    </w:p>
  </w:footnote>
  <w:footnote w:id="549">
    <w:p w:rsidR="00AD690E" w:rsidRDefault="00AD690E" w:rsidP="00AD690E">
      <w:pPr>
        <w:pStyle w:val="Notedebasdepage"/>
      </w:pPr>
      <w:r>
        <w:rPr>
          <w:rStyle w:val="Appelnotedebasdep"/>
        </w:rPr>
        <w:footnoteRef/>
      </w:r>
      <w:r>
        <w:t xml:space="preserve"> </w:t>
      </w:r>
      <w:r>
        <w:tab/>
      </w:r>
      <w:r w:rsidRPr="00F147C1">
        <w:t xml:space="preserve">LABELLE, M., LEMAY.D. et PAINCHAUD, C, </w:t>
      </w:r>
      <w:r w:rsidRPr="00F147C1">
        <w:rPr>
          <w:i/>
          <w:iCs/>
        </w:rPr>
        <w:t xml:space="preserve">Notes sur l'histoire et les conditions de vie des travailleurs immigrés au Québec, </w:t>
      </w:r>
      <w:r w:rsidRPr="00F147C1">
        <w:t>Montréal, CEQ, 1979, p. 26. Sur la question de la dualité canadienne et de l'immigr</w:t>
      </w:r>
      <w:r w:rsidRPr="00F147C1">
        <w:t>a</w:t>
      </w:r>
      <w:r w:rsidRPr="00F147C1">
        <w:t>tion, voir BRÉDIMAS ASSIMOPOULOS, N., « Le phénomène migrato</w:t>
      </w:r>
      <w:r w:rsidRPr="00F147C1">
        <w:t>i</w:t>
      </w:r>
      <w:r w:rsidRPr="00F147C1">
        <w:t xml:space="preserve">re au Canada et au Québec. Contexte et perspectives », dans </w:t>
      </w:r>
      <w:r w:rsidRPr="00F147C1">
        <w:rPr>
          <w:i/>
          <w:iCs/>
        </w:rPr>
        <w:t>L'Année sociolog</w:t>
      </w:r>
      <w:r w:rsidRPr="00F147C1">
        <w:rPr>
          <w:i/>
          <w:iCs/>
        </w:rPr>
        <w:t>i</w:t>
      </w:r>
      <w:r w:rsidRPr="00F147C1">
        <w:rPr>
          <w:i/>
          <w:iCs/>
        </w:rPr>
        <w:t xml:space="preserve">que, </w:t>
      </w:r>
      <w:r w:rsidRPr="00F147C1">
        <w:t>vol. 26, 1975, pp. 57-81.</w:t>
      </w:r>
    </w:p>
  </w:footnote>
  <w:footnote w:id="550">
    <w:p w:rsidR="00AD690E" w:rsidRDefault="00AD690E" w:rsidP="00AD690E">
      <w:pPr>
        <w:pStyle w:val="Notedebasdepage"/>
      </w:pPr>
      <w:r>
        <w:rPr>
          <w:rStyle w:val="Appelnotedebasdep"/>
        </w:rPr>
        <w:footnoteRef/>
      </w:r>
      <w:r>
        <w:t xml:space="preserve"> </w:t>
      </w:r>
      <w:r>
        <w:tab/>
      </w:r>
      <w:r w:rsidRPr="00F147C1">
        <w:t>RICHMOND, A., « Canadian Immigration : Recent Developments and F</w:t>
      </w:r>
      <w:r w:rsidRPr="00F147C1">
        <w:t>u</w:t>
      </w:r>
      <w:r w:rsidRPr="00F147C1">
        <w:t xml:space="preserve">ture Prospects », dans Driedger L. (éd.), </w:t>
      </w:r>
      <w:r w:rsidRPr="00F147C1">
        <w:rPr>
          <w:i/>
          <w:iCs/>
        </w:rPr>
        <w:t xml:space="preserve">The Canadian Ethnic Mosaic, </w:t>
      </w:r>
      <w:r w:rsidRPr="00F147C1">
        <w:t>T</w:t>
      </w:r>
      <w:r w:rsidRPr="00F147C1">
        <w:t>o</w:t>
      </w:r>
      <w:r w:rsidRPr="00F147C1">
        <w:t>ronto, McClelland et Stewart, p. 109.</w:t>
      </w:r>
    </w:p>
  </w:footnote>
  <w:footnote w:id="551">
    <w:p w:rsidR="00AD690E" w:rsidRDefault="00AD690E" w:rsidP="00AD690E">
      <w:pPr>
        <w:pStyle w:val="Notedebasdepage"/>
      </w:pPr>
      <w:r>
        <w:rPr>
          <w:rStyle w:val="Appelnotedebasdep"/>
        </w:rPr>
        <w:footnoteRef/>
      </w:r>
      <w:r>
        <w:t xml:space="preserve"> </w:t>
      </w:r>
      <w:r>
        <w:tab/>
      </w:r>
      <w:r w:rsidRPr="00F147C1">
        <w:t>CANADA, Le programme d'immigration, op. cit., p. 41.</w:t>
      </w:r>
    </w:p>
  </w:footnote>
  <w:footnote w:id="552">
    <w:p w:rsidR="00AD690E" w:rsidRDefault="00AD690E" w:rsidP="00AD690E">
      <w:pPr>
        <w:pStyle w:val="Notedebasdepage"/>
      </w:pPr>
      <w:r>
        <w:rPr>
          <w:rStyle w:val="Appelnotedebasdep"/>
        </w:rPr>
        <w:footnoteRef/>
      </w:r>
      <w:r>
        <w:t xml:space="preserve"> </w:t>
      </w:r>
      <w:r>
        <w:tab/>
      </w:r>
      <w:r w:rsidRPr="00F147C1">
        <w:t xml:space="preserve">RICHMOND, A., </w:t>
      </w:r>
      <w:r w:rsidRPr="00F147C1">
        <w:rPr>
          <w:i/>
          <w:iCs/>
        </w:rPr>
        <w:t xml:space="preserve">op. cit., </w:t>
      </w:r>
      <w:r w:rsidRPr="00F147C1">
        <w:t>p. 111.</w:t>
      </w:r>
    </w:p>
  </w:footnote>
  <w:footnote w:id="553">
    <w:p w:rsidR="00AD690E" w:rsidRDefault="00AD690E" w:rsidP="00AD690E">
      <w:pPr>
        <w:pStyle w:val="Notedebasdepage"/>
      </w:pPr>
      <w:r>
        <w:rPr>
          <w:rStyle w:val="Appelnotedebasdep"/>
        </w:rPr>
        <w:footnoteRef/>
      </w:r>
      <w:r>
        <w:t xml:space="preserve"> </w:t>
      </w:r>
      <w:r>
        <w:tab/>
      </w:r>
      <w:r w:rsidRPr="00845E9E">
        <w:t xml:space="preserve">PARAI, L., </w:t>
      </w:r>
      <w:r w:rsidRPr="00845E9E">
        <w:rPr>
          <w:i/>
          <w:iCs/>
        </w:rPr>
        <w:t xml:space="preserve">op. cit., </w:t>
      </w:r>
      <w:r w:rsidRPr="00845E9E">
        <w:t>p. 468.</w:t>
      </w:r>
    </w:p>
  </w:footnote>
  <w:footnote w:id="554">
    <w:p w:rsidR="00AD690E" w:rsidRDefault="00AD690E" w:rsidP="00AD690E">
      <w:pPr>
        <w:pStyle w:val="Notedebasdepage"/>
      </w:pPr>
      <w:r>
        <w:rPr>
          <w:rStyle w:val="Appelnotedebasdep"/>
        </w:rPr>
        <w:footnoteRef/>
      </w:r>
      <w:r>
        <w:t xml:space="preserve"> </w:t>
      </w:r>
      <w:r>
        <w:tab/>
      </w:r>
      <w:r w:rsidRPr="00845E9E">
        <w:t>CANADA, Le programme d'immigration, op. cit., p. 201.</w:t>
      </w:r>
    </w:p>
  </w:footnote>
  <w:footnote w:id="555">
    <w:p w:rsidR="00AD690E" w:rsidRDefault="00AD690E" w:rsidP="00AD690E">
      <w:pPr>
        <w:pStyle w:val="Notedebasdepage"/>
      </w:pPr>
      <w:r>
        <w:rPr>
          <w:rStyle w:val="Appelnotedebasdep"/>
        </w:rPr>
        <w:footnoteRef/>
      </w:r>
      <w:r>
        <w:t xml:space="preserve"> </w:t>
      </w:r>
      <w:r>
        <w:tab/>
      </w:r>
      <w:r w:rsidRPr="00845E9E">
        <w:t>Ibid., p. 206. CANADA, Perspectives de la politique d'immigration, vol. 1, de Canada. Etude sur l'immigration et les objectifs démographiques du C</w:t>
      </w:r>
      <w:r w:rsidRPr="00845E9E">
        <w:t>a</w:t>
      </w:r>
      <w:r w:rsidRPr="00845E9E">
        <w:t>nada, Ottawa, Information Canada, 1974, p. 34.</w:t>
      </w:r>
    </w:p>
  </w:footnote>
  <w:footnote w:id="556">
    <w:p w:rsidR="00AD690E" w:rsidRDefault="00AD690E" w:rsidP="00AD690E">
      <w:pPr>
        <w:pStyle w:val="Notedebasdepage"/>
      </w:pPr>
      <w:r>
        <w:rPr>
          <w:rStyle w:val="Appelnotedebasdep"/>
        </w:rPr>
        <w:footnoteRef/>
      </w:r>
      <w:r>
        <w:t xml:space="preserve"> </w:t>
      </w:r>
      <w:r>
        <w:tab/>
      </w:r>
      <w:r w:rsidRPr="00137323">
        <w:t>Idem.</w:t>
      </w:r>
    </w:p>
  </w:footnote>
  <w:footnote w:id="557">
    <w:p w:rsidR="00AD690E" w:rsidRDefault="00AD690E" w:rsidP="00AD690E">
      <w:pPr>
        <w:pStyle w:val="Notedebasdepage"/>
      </w:pPr>
      <w:r>
        <w:rPr>
          <w:rStyle w:val="Appelnotedebasdep"/>
        </w:rPr>
        <w:footnoteRef/>
      </w:r>
      <w:r>
        <w:t xml:space="preserve"> </w:t>
      </w:r>
      <w:r>
        <w:tab/>
      </w:r>
      <w:r w:rsidRPr="00A74690">
        <w:t xml:space="preserve">DEL NEGRO, L., </w:t>
      </w:r>
      <w:r w:rsidRPr="00A74690">
        <w:rPr>
          <w:i/>
          <w:iCs/>
        </w:rPr>
        <w:t xml:space="preserve">Canadas Immigration Policy, Immigration Legislation, and Immigrant Labour in 1970's, </w:t>
      </w:r>
      <w:r w:rsidRPr="00A74690">
        <w:t>Montréal, UQAM, Département de Scie</w:t>
      </w:r>
      <w:r w:rsidRPr="00A74690">
        <w:t>n</w:t>
      </w:r>
      <w:r w:rsidRPr="00A74690">
        <w:t>ce politique, mémoire de maîtrise, 1984.</w:t>
      </w:r>
    </w:p>
  </w:footnote>
  <w:footnote w:id="558">
    <w:p w:rsidR="00AD690E" w:rsidRDefault="00AD690E" w:rsidP="00AD690E">
      <w:pPr>
        <w:pStyle w:val="Notedebasdepage"/>
      </w:pPr>
      <w:r>
        <w:rPr>
          <w:rStyle w:val="Appelnotedebasdep"/>
        </w:rPr>
        <w:footnoteRef/>
      </w:r>
      <w:r>
        <w:t xml:space="preserve"> </w:t>
      </w:r>
      <w:r>
        <w:tab/>
      </w:r>
      <w:r w:rsidRPr="00A74690">
        <w:t>HAWKINS F., « Canadian Immigration : a New Law and a New A</w:t>
      </w:r>
      <w:r w:rsidRPr="00A74690">
        <w:t>p</w:t>
      </w:r>
      <w:r w:rsidRPr="00A74690">
        <w:t xml:space="preserve">proach to Management », dans </w:t>
      </w:r>
      <w:r w:rsidRPr="00A74690">
        <w:rPr>
          <w:i/>
          <w:iCs/>
        </w:rPr>
        <w:t xml:space="preserve">International Migration Review, </w:t>
      </w:r>
      <w:r w:rsidRPr="00A74690">
        <w:t>vol. 11, n° 1, 1977, p. 78.</w:t>
      </w:r>
    </w:p>
  </w:footnote>
  <w:footnote w:id="559">
    <w:p w:rsidR="00AD690E" w:rsidRDefault="00AD690E" w:rsidP="00AD690E">
      <w:pPr>
        <w:pStyle w:val="Notedebasdepage"/>
      </w:pPr>
      <w:r>
        <w:rPr>
          <w:rStyle w:val="Appelnotedebasdep"/>
        </w:rPr>
        <w:footnoteRef/>
      </w:r>
      <w:r>
        <w:t xml:space="preserve"> </w:t>
      </w:r>
      <w:r>
        <w:tab/>
      </w:r>
      <w:r w:rsidRPr="00943CDA">
        <w:t>CANADA. Points saillants du Livre vert sur l'immigration et les objectifs démographiques, Ottawa, Information Canada, 1975, p. 8.</w:t>
      </w:r>
    </w:p>
  </w:footnote>
  <w:footnote w:id="560">
    <w:p w:rsidR="00AD690E" w:rsidRDefault="00AD690E" w:rsidP="00AD690E">
      <w:pPr>
        <w:pStyle w:val="Notedebasdepage"/>
      </w:pPr>
      <w:r>
        <w:rPr>
          <w:rStyle w:val="Appelnotedebasdep"/>
        </w:rPr>
        <w:footnoteRef/>
      </w:r>
      <w:r>
        <w:t xml:space="preserve"> </w:t>
      </w:r>
      <w:r>
        <w:tab/>
      </w:r>
      <w:r w:rsidRPr="00943CDA">
        <w:t>HAWKINS, F., « Immigration and Population : The Canadian A</w:t>
      </w:r>
      <w:r w:rsidRPr="00943CDA">
        <w:t>p</w:t>
      </w:r>
      <w:r w:rsidRPr="00943CDA">
        <w:t xml:space="preserve">proach », dans </w:t>
      </w:r>
      <w:r w:rsidRPr="00943CDA">
        <w:rPr>
          <w:i/>
          <w:iCs/>
        </w:rPr>
        <w:t xml:space="preserve">Canadian Public Policy, </w:t>
      </w:r>
      <w:r w:rsidRPr="00943CDA">
        <w:t>vol. 1, n° 3, p. 293-294 ; voir également C</w:t>
      </w:r>
      <w:r w:rsidRPr="00943CDA">
        <w:t>A</w:t>
      </w:r>
      <w:r w:rsidRPr="00943CDA">
        <w:t xml:space="preserve">NADA, </w:t>
      </w:r>
      <w:r w:rsidRPr="00943CDA">
        <w:rPr>
          <w:i/>
          <w:iCs/>
        </w:rPr>
        <w:t>Perspectives de la politique d'immigration, op. cit.</w:t>
      </w:r>
    </w:p>
  </w:footnote>
  <w:footnote w:id="561">
    <w:p w:rsidR="00AD690E" w:rsidRDefault="00AD690E" w:rsidP="00AD690E">
      <w:pPr>
        <w:pStyle w:val="Notedebasdepage"/>
      </w:pPr>
      <w:r>
        <w:rPr>
          <w:rStyle w:val="Appelnotedebasdep"/>
        </w:rPr>
        <w:footnoteRef/>
      </w:r>
      <w:r>
        <w:t xml:space="preserve"> </w:t>
      </w:r>
      <w:r>
        <w:tab/>
      </w:r>
      <w:r w:rsidRPr="00374091">
        <w:t>CANADA. Perspectives de la politique d'immigration, op. cit. p. 29.</w:t>
      </w:r>
    </w:p>
  </w:footnote>
  <w:footnote w:id="562">
    <w:p w:rsidR="00AD690E" w:rsidRDefault="00AD690E" w:rsidP="00AD690E">
      <w:pPr>
        <w:pStyle w:val="Notedebasdepage"/>
      </w:pPr>
      <w:r>
        <w:rPr>
          <w:rStyle w:val="Appelnotedebasdep"/>
        </w:rPr>
        <w:footnoteRef/>
      </w:r>
      <w:r>
        <w:t xml:space="preserve"> </w:t>
      </w:r>
      <w:r>
        <w:tab/>
      </w:r>
      <w:r w:rsidRPr="00374091">
        <w:t>HAWKINS, F., « Immigration and Population : The Canadian A</w:t>
      </w:r>
      <w:r w:rsidRPr="00374091">
        <w:t>p</w:t>
      </w:r>
      <w:r w:rsidRPr="00374091">
        <w:t xml:space="preserve">proach », </w:t>
      </w:r>
      <w:r w:rsidRPr="00374091">
        <w:rPr>
          <w:i/>
          <w:iCs/>
        </w:rPr>
        <w:t xml:space="preserve">op. cit., </w:t>
      </w:r>
      <w:r w:rsidRPr="00374091">
        <w:t>p. 292.</w:t>
      </w:r>
    </w:p>
  </w:footnote>
  <w:footnote w:id="563">
    <w:p w:rsidR="00AD690E" w:rsidRDefault="00AD690E" w:rsidP="00AD690E">
      <w:pPr>
        <w:pStyle w:val="Notedebasdepage"/>
      </w:pPr>
      <w:r>
        <w:rPr>
          <w:rStyle w:val="Appelnotedebasdep"/>
        </w:rPr>
        <w:footnoteRef/>
      </w:r>
      <w:r>
        <w:t xml:space="preserve"> </w:t>
      </w:r>
      <w:r>
        <w:tab/>
      </w:r>
      <w:r w:rsidRPr="00374091">
        <w:t xml:space="preserve">RAMCHARAN, S., </w:t>
      </w:r>
      <w:r w:rsidRPr="00374091">
        <w:rPr>
          <w:i/>
          <w:iCs/>
        </w:rPr>
        <w:t xml:space="preserve">op. cit., </w:t>
      </w:r>
      <w:r w:rsidRPr="00374091">
        <w:t>p. 16.</w:t>
      </w:r>
    </w:p>
  </w:footnote>
  <w:footnote w:id="564">
    <w:p w:rsidR="00AD690E" w:rsidRDefault="00AD690E" w:rsidP="00AD690E">
      <w:pPr>
        <w:spacing w:before="120" w:after="120"/>
        <w:ind w:left="426" w:hanging="426"/>
        <w:jc w:val="both"/>
      </w:pPr>
      <w:r>
        <w:rPr>
          <w:rStyle w:val="Appelnotedebasdep"/>
        </w:rPr>
        <w:footnoteRef/>
      </w:r>
      <w:r>
        <w:t xml:space="preserve"> </w:t>
      </w:r>
      <w:r>
        <w:tab/>
      </w:r>
      <w:r w:rsidRPr="00374091">
        <w:t xml:space="preserve">HAWKINS, F., « Canadian Immigration : a New Law and a New Approach to Management », </w:t>
      </w:r>
      <w:r w:rsidRPr="00374091">
        <w:rPr>
          <w:i/>
          <w:iCs/>
        </w:rPr>
        <w:t xml:space="preserve">op. cit., </w:t>
      </w:r>
      <w:r w:rsidRPr="00374091">
        <w:t>p. 83. Voir également : C</w:t>
      </w:r>
      <w:r w:rsidRPr="00374091">
        <w:t>o</w:t>
      </w:r>
      <w:r w:rsidRPr="00374091">
        <w:t>mité mixte spécial du Sénat et de la Chambre des communes sur la politique de l'immigration :</w:t>
      </w:r>
      <w:r w:rsidRPr="00374091">
        <w:rPr>
          <w:i/>
          <w:iCs/>
        </w:rPr>
        <w:t xml:space="preserve"> Politique de l'immigration. Troisième rapport au Parlement, </w:t>
      </w:r>
      <w:r w:rsidRPr="00374091">
        <w:t>Ottawa, Imprimeur de la Reine, 1975.</w:t>
      </w:r>
      <w:r>
        <w:t xml:space="preserve"> </w:t>
      </w:r>
    </w:p>
  </w:footnote>
  <w:footnote w:id="565">
    <w:p w:rsidR="00AD690E" w:rsidRDefault="00AD690E" w:rsidP="00AD690E">
      <w:pPr>
        <w:pStyle w:val="Notedebasdepage"/>
      </w:pPr>
      <w:r>
        <w:rPr>
          <w:rStyle w:val="Appelnotedebasdep"/>
        </w:rPr>
        <w:footnoteRef/>
      </w:r>
      <w:r>
        <w:tab/>
      </w:r>
      <w:r w:rsidRPr="005766D3">
        <w:t xml:space="preserve">CANADA, </w:t>
      </w:r>
      <w:r w:rsidRPr="005766D3">
        <w:rPr>
          <w:i/>
          <w:iCs/>
        </w:rPr>
        <w:t xml:space="preserve">Loi de 1976 sur l'Immigration, </w:t>
      </w:r>
      <w:r w:rsidRPr="005766D3">
        <w:t>Ottawa, ministre des Approv</w:t>
      </w:r>
      <w:r w:rsidRPr="005766D3">
        <w:t>i</w:t>
      </w:r>
      <w:r w:rsidRPr="005766D3">
        <w:t>sionnements et services, 1981, p. 5.</w:t>
      </w:r>
    </w:p>
  </w:footnote>
  <w:footnote w:id="566">
    <w:p w:rsidR="00AD690E" w:rsidRDefault="00AD690E" w:rsidP="00AD690E">
      <w:pPr>
        <w:pStyle w:val="Notedebasdepage"/>
      </w:pPr>
      <w:r>
        <w:rPr>
          <w:rStyle w:val="Appelnotedebasdep"/>
        </w:rPr>
        <w:footnoteRef/>
      </w:r>
      <w:r>
        <w:tab/>
      </w:r>
      <w:r w:rsidRPr="005766D3">
        <w:t>HAWKINS, F., « Canadian Immigration : a New Law and a New A</w:t>
      </w:r>
      <w:r w:rsidRPr="005766D3">
        <w:t>p</w:t>
      </w:r>
      <w:r w:rsidRPr="005766D3">
        <w:t xml:space="preserve">proach to Management », </w:t>
      </w:r>
      <w:r w:rsidRPr="005766D3">
        <w:rPr>
          <w:i/>
          <w:iCs/>
        </w:rPr>
        <w:t xml:space="preserve">op. cit., </w:t>
      </w:r>
      <w:r w:rsidRPr="005766D3">
        <w:t>p. 87 et les suivantes.</w:t>
      </w:r>
    </w:p>
  </w:footnote>
  <w:footnote w:id="567">
    <w:p w:rsidR="00AD690E" w:rsidRDefault="00AD690E" w:rsidP="00AD690E">
      <w:pPr>
        <w:pStyle w:val="Notedebasdepage"/>
      </w:pPr>
      <w:r>
        <w:rPr>
          <w:rStyle w:val="Appelnotedebasdep"/>
        </w:rPr>
        <w:footnoteRef/>
      </w:r>
      <w:r>
        <w:t xml:space="preserve"> </w:t>
      </w:r>
      <w:r>
        <w:tab/>
      </w:r>
      <w:r w:rsidRPr="005766D3">
        <w:t xml:space="preserve">CANADA, ministère de l'Emploi et de l'Immigration : </w:t>
      </w:r>
      <w:r w:rsidRPr="005766D3">
        <w:rPr>
          <w:i/>
          <w:iCs/>
        </w:rPr>
        <w:t xml:space="preserve">Vue d'ensemble sur la législation canadienne en matière d'immigration, </w:t>
      </w:r>
      <w:r w:rsidRPr="005766D3">
        <w:t>Ottawa, ministre des Approvisionnements et Services Canada, 1983, p. 15</w:t>
      </w:r>
    </w:p>
  </w:footnote>
  <w:footnote w:id="568">
    <w:p w:rsidR="00AD690E" w:rsidRDefault="00AD690E" w:rsidP="00AD690E">
      <w:pPr>
        <w:pStyle w:val="Notedebasdepage"/>
      </w:pPr>
      <w:r>
        <w:rPr>
          <w:rStyle w:val="Appelnotedebasdep"/>
        </w:rPr>
        <w:footnoteRef/>
      </w:r>
      <w:r>
        <w:t xml:space="preserve"> </w:t>
      </w:r>
      <w:r>
        <w:tab/>
      </w:r>
      <w:r w:rsidRPr="00CD0B5D">
        <w:t xml:space="preserve">CANADA, </w:t>
      </w:r>
      <w:r w:rsidRPr="00CD0B5D">
        <w:rPr>
          <w:i/>
          <w:iCs/>
        </w:rPr>
        <w:t xml:space="preserve">Loi de 1976 sur l'Immigration, </w:t>
      </w:r>
      <w:r w:rsidRPr="00CD0B5D">
        <w:t>Ottawa, ministre des Approv</w:t>
      </w:r>
      <w:r w:rsidRPr="00CD0B5D">
        <w:t>i</w:t>
      </w:r>
      <w:r w:rsidRPr="00CD0B5D">
        <w:t>sionnements et Services, 1981, sections 14 et 15.</w:t>
      </w:r>
    </w:p>
  </w:footnote>
  <w:footnote w:id="569">
    <w:p w:rsidR="00AD690E" w:rsidRDefault="00AD690E" w:rsidP="00AD690E">
      <w:pPr>
        <w:pStyle w:val="Notedebasdepage"/>
      </w:pPr>
      <w:r>
        <w:rPr>
          <w:rStyle w:val="Appelnotedebasdep"/>
        </w:rPr>
        <w:footnoteRef/>
      </w:r>
      <w:r>
        <w:t xml:space="preserve"> </w:t>
      </w:r>
      <w:r>
        <w:tab/>
      </w:r>
      <w:r w:rsidRPr="00CD0B5D">
        <w:rPr>
          <w:i/>
          <w:iCs/>
        </w:rPr>
        <w:t xml:space="preserve">Ibid., </w:t>
      </w:r>
      <w:r w:rsidRPr="00CD0B5D">
        <w:t>article 97 de la Loi de 1976.</w:t>
      </w:r>
    </w:p>
  </w:footnote>
  <w:footnote w:id="570">
    <w:p w:rsidR="00AD690E" w:rsidRDefault="00AD690E" w:rsidP="00AD690E">
      <w:pPr>
        <w:pStyle w:val="Notedebasdepage"/>
      </w:pPr>
      <w:r>
        <w:rPr>
          <w:rStyle w:val="Appelnotedebasdep"/>
        </w:rPr>
        <w:footnoteRef/>
      </w:r>
      <w:r>
        <w:t xml:space="preserve"> </w:t>
      </w:r>
      <w:r>
        <w:tab/>
      </w:r>
      <w:r w:rsidRPr="00CD0B5D">
        <w:t>BOISVERT, D., « L'évolution récente de la politique d'immigration au C</w:t>
      </w:r>
      <w:r w:rsidRPr="00CD0B5D">
        <w:t>a</w:t>
      </w:r>
      <w:r w:rsidRPr="00CD0B5D">
        <w:t xml:space="preserve">nada », dans </w:t>
      </w:r>
      <w:r w:rsidRPr="00CD0B5D">
        <w:rPr>
          <w:i/>
          <w:iCs/>
        </w:rPr>
        <w:t xml:space="preserve">Le magazine Ovo, </w:t>
      </w:r>
      <w:r w:rsidRPr="00CD0B5D">
        <w:t>n° 27-28, 1979, p. 11, et HAWKINS, F., « Canadian Immigration : a New Law and a new Approach to Manag</w:t>
      </w:r>
      <w:r w:rsidRPr="00CD0B5D">
        <w:t>e</w:t>
      </w:r>
      <w:r w:rsidRPr="00CD0B5D">
        <w:t xml:space="preserve">ment », </w:t>
      </w:r>
      <w:r w:rsidRPr="00CD0B5D">
        <w:rPr>
          <w:i/>
          <w:iCs/>
        </w:rPr>
        <w:t xml:space="preserve">op. cit., </w:t>
      </w:r>
      <w:r w:rsidRPr="00CD0B5D">
        <w:t>p. 90.</w:t>
      </w:r>
    </w:p>
  </w:footnote>
  <w:footnote w:id="571">
    <w:p w:rsidR="00AD690E" w:rsidRDefault="00AD690E" w:rsidP="00AD690E">
      <w:pPr>
        <w:pStyle w:val="Notedebasdepage"/>
      </w:pPr>
      <w:r>
        <w:rPr>
          <w:rStyle w:val="Appelnotedebasdep"/>
        </w:rPr>
        <w:footnoteRef/>
      </w:r>
      <w:r>
        <w:t xml:space="preserve"> </w:t>
      </w:r>
      <w:r>
        <w:tab/>
      </w:r>
      <w:r w:rsidRPr="00CD0B5D">
        <w:t xml:space="preserve">KUBAT, D., </w:t>
      </w:r>
      <w:r w:rsidRPr="00CD0B5D">
        <w:rPr>
          <w:i/>
          <w:iCs/>
        </w:rPr>
        <w:t xml:space="preserve">op. cit., </w:t>
      </w:r>
      <w:r w:rsidRPr="00CD0B5D">
        <w:t>p. 29.</w:t>
      </w:r>
    </w:p>
  </w:footnote>
  <w:footnote w:id="572">
    <w:p w:rsidR="00AD690E" w:rsidRDefault="00AD690E" w:rsidP="00AD690E">
      <w:pPr>
        <w:pStyle w:val="Notedebasdepage"/>
      </w:pPr>
      <w:r>
        <w:rPr>
          <w:rStyle w:val="Appelnotedebasdep"/>
        </w:rPr>
        <w:footnoteRef/>
      </w:r>
      <w:r>
        <w:t xml:space="preserve"> </w:t>
      </w:r>
      <w:r>
        <w:tab/>
      </w:r>
      <w:r w:rsidRPr="007364E5">
        <w:t xml:space="preserve">JACKMAN, B., </w:t>
      </w:r>
      <w:r w:rsidRPr="007364E5">
        <w:rPr>
          <w:i/>
          <w:iCs/>
        </w:rPr>
        <w:t xml:space="preserve">Processing of Family Class Applications, </w:t>
      </w:r>
      <w:r w:rsidRPr="007364E5">
        <w:t>Toronto, roné</w:t>
      </w:r>
      <w:r w:rsidRPr="007364E5">
        <w:t>o</w:t>
      </w:r>
      <w:r w:rsidRPr="007364E5">
        <w:t>typé, 1981.</w:t>
      </w:r>
    </w:p>
  </w:footnote>
  <w:footnote w:id="573">
    <w:p w:rsidR="00AD690E" w:rsidRDefault="00AD690E" w:rsidP="00AD690E">
      <w:pPr>
        <w:pStyle w:val="Notedebasdepage"/>
      </w:pPr>
      <w:r>
        <w:rPr>
          <w:rStyle w:val="Appelnotedebasdep"/>
        </w:rPr>
        <w:footnoteRef/>
      </w:r>
      <w:r>
        <w:t xml:space="preserve"> </w:t>
      </w:r>
      <w:r>
        <w:tab/>
      </w:r>
      <w:r w:rsidRPr="007364E5">
        <w:t xml:space="preserve">LABELLE M., TURCOTTE G., KEMPENEERS M. et MEINTEL D., </w:t>
      </w:r>
      <w:hyperlink r:id="rId4" w:history="1">
        <w:r w:rsidRPr="007364E5">
          <w:rPr>
            <w:rStyle w:val="Lienhypertexte"/>
            <w:i/>
            <w:iCs/>
            <w:szCs w:val="18"/>
          </w:rPr>
          <w:t>Histoires d'immigrées. Itinéraires d'ouvrières Colombiennes, Grecques, Haïtiennes et Portugaises de Montréal</w:t>
        </w:r>
      </w:hyperlink>
      <w:r w:rsidRPr="007364E5">
        <w:t xml:space="preserve"> [sic], Montréal, Boréal, 1987.</w:t>
      </w:r>
    </w:p>
  </w:footnote>
  <w:footnote w:id="574">
    <w:p w:rsidR="00AD690E" w:rsidRDefault="00AD690E" w:rsidP="00AD690E">
      <w:pPr>
        <w:pStyle w:val="Notedebasdepage"/>
      </w:pPr>
      <w:r>
        <w:rPr>
          <w:rStyle w:val="Appelnotedebasdep"/>
        </w:rPr>
        <w:footnoteRef/>
      </w:r>
      <w:r>
        <w:t xml:space="preserve"> </w:t>
      </w:r>
      <w:r>
        <w:tab/>
      </w:r>
      <w:r w:rsidRPr="007364E5">
        <w:t xml:space="preserve">CANADA, ministère de l'Emploi et de l'Immigration : </w:t>
      </w:r>
      <w:r w:rsidRPr="007364E5">
        <w:rPr>
          <w:i/>
          <w:iCs/>
        </w:rPr>
        <w:t xml:space="preserve">Document de fond sur les futurs niveaux d'immigration, </w:t>
      </w:r>
      <w:r w:rsidRPr="007364E5">
        <w:t>Ottawa, ministre des Approvisionn</w:t>
      </w:r>
      <w:r w:rsidRPr="007364E5">
        <w:t>e</w:t>
      </w:r>
      <w:r w:rsidRPr="007364E5">
        <w:t>ments et services, 1984, p. 25.</w:t>
      </w:r>
    </w:p>
  </w:footnote>
  <w:footnote w:id="575">
    <w:p w:rsidR="00AD690E" w:rsidRDefault="00AD690E" w:rsidP="00AD690E">
      <w:pPr>
        <w:pStyle w:val="Notedebasdepage"/>
      </w:pPr>
      <w:r>
        <w:rPr>
          <w:rStyle w:val="Appelnotedebasdep"/>
        </w:rPr>
        <w:footnoteRef/>
      </w:r>
      <w:r>
        <w:t xml:space="preserve"> </w:t>
      </w:r>
      <w:r>
        <w:tab/>
      </w:r>
      <w:r w:rsidRPr="007364E5">
        <w:t xml:space="preserve">CANADA, Conseil consultatif canadien de l'emploi et de l'immigration : </w:t>
      </w:r>
      <w:r w:rsidRPr="007364E5">
        <w:rPr>
          <w:i/>
          <w:iCs/>
        </w:rPr>
        <w:t xml:space="preserve">Immigration : politique de croissance, </w:t>
      </w:r>
      <w:r w:rsidRPr="007364E5">
        <w:t>Hull, 1985, p. 11.</w:t>
      </w:r>
    </w:p>
  </w:footnote>
  <w:footnote w:id="576">
    <w:p w:rsidR="00AD690E" w:rsidRDefault="00AD690E" w:rsidP="00AD690E">
      <w:pPr>
        <w:pStyle w:val="Notedebasdepage"/>
      </w:pPr>
      <w:r>
        <w:rPr>
          <w:rStyle w:val="Appelnotedebasdep"/>
        </w:rPr>
        <w:footnoteRef/>
      </w:r>
      <w:r>
        <w:t xml:space="preserve"> </w:t>
      </w:r>
      <w:r>
        <w:tab/>
      </w:r>
      <w:r w:rsidRPr="006537A3">
        <w:t>CANADA, Document de fond sur les futurs niveaux d'immigration, op. cit., pp. 30-31.</w:t>
      </w:r>
    </w:p>
  </w:footnote>
  <w:footnote w:id="577">
    <w:p w:rsidR="00AD690E" w:rsidRDefault="00AD690E" w:rsidP="00AD690E">
      <w:pPr>
        <w:pStyle w:val="Notedebasdepage"/>
      </w:pPr>
      <w:r>
        <w:rPr>
          <w:rStyle w:val="Appelnotedebasdep"/>
        </w:rPr>
        <w:footnoteRef/>
      </w:r>
      <w:r>
        <w:t xml:space="preserve"> </w:t>
      </w:r>
      <w:r>
        <w:tab/>
      </w:r>
      <w:r w:rsidRPr="006537A3">
        <w:t xml:space="preserve">CANADA, ministère de l'Emploi et de l'Immigration, </w:t>
      </w:r>
      <w:r w:rsidRPr="006537A3">
        <w:rPr>
          <w:i/>
          <w:iCs/>
        </w:rPr>
        <w:t xml:space="preserve">Rapport annuel 1984-1985, </w:t>
      </w:r>
      <w:r w:rsidRPr="006537A3">
        <w:t>Ottawa, ministre des Approvisionnements et Services, 1985, p. 77.</w:t>
      </w:r>
    </w:p>
  </w:footnote>
  <w:footnote w:id="578">
    <w:p w:rsidR="00AD690E" w:rsidRDefault="00AD690E" w:rsidP="00AD690E">
      <w:pPr>
        <w:pStyle w:val="Notedebasdepage"/>
      </w:pPr>
      <w:r>
        <w:rPr>
          <w:rStyle w:val="Appelnotedebasdep"/>
        </w:rPr>
        <w:footnoteRef/>
      </w:r>
      <w:r>
        <w:t xml:space="preserve"> </w:t>
      </w:r>
      <w:r>
        <w:tab/>
      </w:r>
      <w:r w:rsidRPr="006537A3">
        <w:t xml:space="preserve">GAGNON S., « Le Canada et les réfugiés. Prendre nos responsabilités », dans </w:t>
      </w:r>
      <w:r w:rsidRPr="006537A3">
        <w:rPr>
          <w:i/>
          <w:iCs/>
        </w:rPr>
        <w:t xml:space="preserve">Relations, </w:t>
      </w:r>
      <w:r w:rsidRPr="006537A3">
        <w:t xml:space="preserve">n° 516, 1985, pp. 311-314 ; voir également « Le Canada et les réfugiés : une question de justice », dans </w:t>
      </w:r>
      <w:r w:rsidRPr="006537A3">
        <w:rPr>
          <w:i/>
          <w:iCs/>
        </w:rPr>
        <w:t xml:space="preserve">Bulletin de la Ligue des droits et libertés, </w:t>
      </w:r>
      <w:r w:rsidRPr="006537A3">
        <w:t>vol. 4, n° 6 et vol. 5, n° 1.</w:t>
      </w:r>
    </w:p>
  </w:footnote>
  <w:footnote w:id="579">
    <w:p w:rsidR="00AD690E" w:rsidRDefault="00AD690E" w:rsidP="00AD690E">
      <w:pPr>
        <w:pStyle w:val="Notedebasdepage"/>
      </w:pPr>
      <w:r>
        <w:rPr>
          <w:rStyle w:val="Appelnotedebasdep"/>
        </w:rPr>
        <w:footnoteRef/>
      </w:r>
      <w:r>
        <w:t xml:space="preserve"> </w:t>
      </w:r>
      <w:r>
        <w:tab/>
      </w:r>
      <w:r w:rsidRPr="00861571">
        <w:t xml:space="preserve">CANADA, ministère de l'Emploi et de l'Immigration, </w:t>
      </w:r>
      <w:r w:rsidRPr="00861571">
        <w:rPr>
          <w:i/>
          <w:iCs/>
        </w:rPr>
        <w:t xml:space="preserve">Rapport annuel 1980-1981, </w:t>
      </w:r>
      <w:r w:rsidRPr="00861571">
        <w:t>Ottawa, ministre des Approvisionnements et Services, 1981, p. 17.</w:t>
      </w:r>
    </w:p>
  </w:footnote>
  <w:footnote w:id="580">
    <w:p w:rsidR="00AD690E" w:rsidRDefault="00AD690E" w:rsidP="00AD690E">
      <w:pPr>
        <w:pStyle w:val="Notedebasdepage"/>
      </w:pPr>
      <w:r>
        <w:rPr>
          <w:rStyle w:val="Appelnotedebasdep"/>
        </w:rPr>
        <w:footnoteRef/>
      </w:r>
      <w:r>
        <w:t xml:space="preserve"> </w:t>
      </w:r>
      <w:r>
        <w:tab/>
      </w:r>
      <w:r w:rsidRPr="00861571">
        <w:t xml:space="preserve">CANADA, ministère de l'Emploi et de l'Immigration, </w:t>
      </w:r>
      <w:r w:rsidRPr="00861571">
        <w:rPr>
          <w:i/>
          <w:iCs/>
        </w:rPr>
        <w:t xml:space="preserve">Document de fond sur les futurs niveaux d'immigration, op. cit., </w:t>
      </w:r>
      <w:r w:rsidRPr="00861571">
        <w:t>pp. 16-17-18.</w:t>
      </w:r>
    </w:p>
  </w:footnote>
  <w:footnote w:id="581">
    <w:p w:rsidR="00AD690E" w:rsidRDefault="00AD690E" w:rsidP="00AD690E">
      <w:pPr>
        <w:pStyle w:val="Notedebasdepage"/>
      </w:pPr>
      <w:r>
        <w:rPr>
          <w:rStyle w:val="Appelnotedebasdep"/>
        </w:rPr>
        <w:footnoteRef/>
      </w:r>
      <w:r>
        <w:t xml:space="preserve"> </w:t>
      </w:r>
      <w:r>
        <w:tab/>
      </w:r>
      <w:r w:rsidRPr="00861571">
        <w:t>L'organisme s'appelle maintenant la Société canadienne d'hypothèques et de logement mais nous avons gardé le nom utilisé à l'époque</w:t>
      </w:r>
    </w:p>
  </w:footnote>
  <w:footnote w:id="582">
    <w:p w:rsidR="00AD690E" w:rsidRDefault="00AD690E" w:rsidP="00AD690E">
      <w:pPr>
        <w:pStyle w:val="Notedebasdepage"/>
      </w:pPr>
      <w:r>
        <w:rPr>
          <w:rStyle w:val="Appelnotedebasdep"/>
        </w:rPr>
        <w:footnoteRef/>
      </w:r>
      <w:r>
        <w:t xml:space="preserve"> </w:t>
      </w:r>
      <w:r>
        <w:tab/>
      </w:r>
      <w:r w:rsidRPr="00F94ADF">
        <w:rPr>
          <w:i/>
          <w:iCs/>
        </w:rPr>
        <w:t xml:space="preserve">Canada's Cities, </w:t>
      </w:r>
      <w:r w:rsidRPr="00F94ADF">
        <w:t>Ottawa, Statistique Canada, 1980, p. 5.</w:t>
      </w:r>
    </w:p>
  </w:footnote>
  <w:footnote w:id="583">
    <w:p w:rsidR="00AD690E" w:rsidRDefault="00AD690E" w:rsidP="00AD690E">
      <w:pPr>
        <w:pStyle w:val="Notedebasdepage"/>
      </w:pPr>
      <w:r>
        <w:rPr>
          <w:rStyle w:val="Appelnotedebasdep"/>
        </w:rPr>
        <w:footnoteRef/>
      </w:r>
      <w:r>
        <w:t xml:space="preserve"> </w:t>
      </w:r>
      <w:r>
        <w:tab/>
      </w:r>
      <w:r w:rsidRPr="00562808">
        <w:rPr>
          <w:bCs/>
          <w:sz w:val="28"/>
        </w:rPr>
        <w:t>L</w:t>
      </w:r>
      <w:r w:rsidRPr="00516314">
        <w:rPr>
          <w:bCs/>
        </w:rPr>
        <w:t xml:space="preserve">ITHWICK, N.H., </w:t>
      </w:r>
      <w:r w:rsidRPr="00516314">
        <w:rPr>
          <w:i/>
          <w:iCs/>
        </w:rPr>
        <w:t xml:space="preserve">Le Canada urbain, </w:t>
      </w:r>
      <w:r w:rsidRPr="00516314">
        <w:t>Ottawa, Société centrale d'hypoth</w:t>
      </w:r>
      <w:r w:rsidRPr="00516314">
        <w:t>è</w:t>
      </w:r>
      <w:r w:rsidRPr="00516314">
        <w:t>ques et de logement, 1970, p. 73.</w:t>
      </w:r>
    </w:p>
  </w:footnote>
  <w:footnote w:id="584">
    <w:p w:rsidR="00AD690E" w:rsidRDefault="00AD690E" w:rsidP="00AD690E">
      <w:pPr>
        <w:pStyle w:val="Notedebasdepage"/>
      </w:pPr>
      <w:r>
        <w:rPr>
          <w:rStyle w:val="Appelnotedebasdep"/>
        </w:rPr>
        <w:footnoteRef/>
      </w:r>
      <w:r>
        <w:tab/>
        <w:t xml:space="preserve"> </w:t>
      </w:r>
      <w:r w:rsidRPr="008E0091">
        <w:t xml:space="preserve">LITHWICK, </w:t>
      </w:r>
      <w:r w:rsidRPr="008E0091">
        <w:rPr>
          <w:i/>
          <w:iCs/>
        </w:rPr>
        <w:t xml:space="preserve">op. cit., </w:t>
      </w:r>
      <w:r w:rsidRPr="008E0091">
        <w:t>p. 41-42</w:t>
      </w:r>
      <w:r w:rsidRPr="00562808">
        <w:rPr>
          <w:sz w:val="28"/>
        </w:rPr>
        <w:t>.</w:t>
      </w:r>
    </w:p>
  </w:footnote>
  <w:footnote w:id="585">
    <w:p w:rsidR="00AD690E" w:rsidRDefault="00AD690E" w:rsidP="00AD690E">
      <w:pPr>
        <w:pStyle w:val="Notedebasdepage"/>
      </w:pPr>
      <w:r>
        <w:rPr>
          <w:rStyle w:val="Appelnotedebasdep"/>
        </w:rPr>
        <w:footnoteRef/>
      </w:r>
      <w:r>
        <w:t xml:space="preserve"> </w:t>
      </w:r>
      <w:r>
        <w:tab/>
      </w:r>
      <w:r w:rsidRPr="008E0091">
        <w:t xml:space="preserve">O'BRIEN, A., « The Ministry of State for Urban Affairs : A Municipal Perspective », dans </w:t>
      </w:r>
      <w:r w:rsidRPr="008E0091">
        <w:rPr>
          <w:i/>
          <w:iCs/>
        </w:rPr>
        <w:t xml:space="preserve">La Revue canadienne des sciences régionales, </w:t>
      </w:r>
      <w:r w:rsidRPr="008E0091">
        <w:t>V-l (1982), p. 90.</w:t>
      </w:r>
    </w:p>
  </w:footnote>
  <w:footnote w:id="586">
    <w:p w:rsidR="00AD690E" w:rsidRDefault="00AD690E" w:rsidP="00AD690E">
      <w:pPr>
        <w:pStyle w:val="Notedebasdepage"/>
      </w:pPr>
      <w:r>
        <w:rPr>
          <w:rStyle w:val="Appelnotedebasdep"/>
        </w:rPr>
        <w:footnoteRef/>
      </w:r>
      <w:r>
        <w:t xml:space="preserve"> </w:t>
      </w:r>
      <w:r>
        <w:tab/>
      </w:r>
      <w:r w:rsidRPr="008E0091">
        <w:t>Voir, entre autres, GERTLER, Len, « The Challenge of Public Policy R</w:t>
      </w:r>
      <w:r w:rsidRPr="008E0091">
        <w:t>e</w:t>
      </w:r>
      <w:r w:rsidRPr="008E0091">
        <w:t xml:space="preserve">search », dans </w:t>
      </w:r>
      <w:r w:rsidRPr="008E0091">
        <w:rPr>
          <w:i/>
          <w:iCs/>
        </w:rPr>
        <w:t xml:space="preserve">La Revue canadienne des sciences régionales, </w:t>
      </w:r>
      <w:r w:rsidRPr="008E0091">
        <w:t xml:space="preserve">11-1 (1979), p. 81 ; CROWLEY, R.W., « The Design of Government Policy Agencies : Do we learn from expérience ? », dans </w:t>
      </w:r>
      <w:r w:rsidRPr="008E0091">
        <w:rPr>
          <w:i/>
          <w:iCs/>
        </w:rPr>
        <w:t>La Revue canadienne des sciences r</w:t>
      </w:r>
      <w:r w:rsidRPr="008E0091">
        <w:rPr>
          <w:i/>
          <w:iCs/>
        </w:rPr>
        <w:t>é</w:t>
      </w:r>
      <w:r w:rsidRPr="008E0091">
        <w:rPr>
          <w:i/>
          <w:iCs/>
        </w:rPr>
        <w:t xml:space="preserve">gionales, </w:t>
      </w:r>
      <w:r w:rsidRPr="008E0091">
        <w:t>Vi-1 (1982), p. 108-109.</w:t>
      </w:r>
    </w:p>
  </w:footnote>
  <w:footnote w:id="587">
    <w:p w:rsidR="00AD690E" w:rsidRDefault="00AD690E" w:rsidP="00AD690E">
      <w:pPr>
        <w:pStyle w:val="Notedebasdepage"/>
      </w:pPr>
      <w:r>
        <w:rPr>
          <w:rStyle w:val="Appelnotedebasdep"/>
        </w:rPr>
        <w:footnoteRef/>
      </w:r>
      <w:r>
        <w:t xml:space="preserve"> </w:t>
      </w:r>
      <w:r>
        <w:tab/>
      </w:r>
      <w:r w:rsidRPr="008334B6">
        <w:t xml:space="preserve">DOERR, Andrey, « Organizing for Urban Policy : Some Comments on the Ministry of State for Urban Affairs », dans </w:t>
      </w:r>
      <w:r w:rsidRPr="008334B6">
        <w:rPr>
          <w:i/>
          <w:iCs/>
        </w:rPr>
        <w:t>La Revue canadienne des scie</w:t>
      </w:r>
      <w:r w:rsidRPr="008334B6">
        <w:rPr>
          <w:i/>
          <w:iCs/>
        </w:rPr>
        <w:t>n</w:t>
      </w:r>
      <w:r w:rsidRPr="008334B6">
        <w:rPr>
          <w:i/>
          <w:iCs/>
        </w:rPr>
        <w:t xml:space="preserve">ces régionales, </w:t>
      </w:r>
      <w:r w:rsidRPr="008334B6">
        <w:t>V-l (1982), p. 99.</w:t>
      </w:r>
    </w:p>
  </w:footnote>
  <w:footnote w:id="588">
    <w:p w:rsidR="00AD690E" w:rsidRDefault="00AD690E" w:rsidP="00AD690E">
      <w:pPr>
        <w:pStyle w:val="Notedebasdepage"/>
      </w:pPr>
      <w:r>
        <w:rPr>
          <w:rStyle w:val="Appelnotedebasdep"/>
        </w:rPr>
        <w:footnoteRef/>
      </w:r>
      <w:r>
        <w:t xml:space="preserve"> </w:t>
      </w:r>
      <w:r>
        <w:tab/>
      </w:r>
      <w:r w:rsidRPr="008334B6">
        <w:t xml:space="preserve">Voir, entre autres, FELDMAN, E. </w:t>
      </w:r>
      <w:r w:rsidRPr="008334B6">
        <w:rPr>
          <w:bCs/>
        </w:rPr>
        <w:t xml:space="preserve">L, MILCH, L, </w:t>
      </w:r>
      <w:r w:rsidRPr="008334B6">
        <w:t xml:space="preserve">« Coordination or Control ? The Life and Death of the Ministry of State for Urban Affairs », dans FELDMAN, Lionel, </w:t>
      </w:r>
      <w:r w:rsidRPr="008334B6">
        <w:rPr>
          <w:i/>
          <w:iCs/>
        </w:rPr>
        <w:t xml:space="preserve">Politics and Government of Urban Canada, </w:t>
      </w:r>
      <w:r w:rsidRPr="008334B6">
        <w:t>4</w:t>
      </w:r>
      <w:r w:rsidRPr="008334B6">
        <w:rPr>
          <w:vertAlign w:val="superscript"/>
        </w:rPr>
        <w:t>e</w:t>
      </w:r>
      <w:r w:rsidRPr="008334B6">
        <w:t xml:space="preserve"> édition, Toronto, Methuen, 1981, p. 258 ; Crowley, </w:t>
      </w:r>
      <w:r w:rsidRPr="008334B6">
        <w:rPr>
          <w:i/>
          <w:iCs/>
        </w:rPr>
        <w:t xml:space="preserve">op. cit., </w:t>
      </w:r>
      <w:r w:rsidRPr="008334B6">
        <w:t>p. 114.</w:t>
      </w:r>
    </w:p>
  </w:footnote>
  <w:footnote w:id="589">
    <w:p w:rsidR="00AD690E" w:rsidRDefault="00AD690E" w:rsidP="00AD690E">
      <w:pPr>
        <w:pStyle w:val="Notedebasdepage"/>
      </w:pPr>
      <w:r>
        <w:rPr>
          <w:rStyle w:val="Appelnotedebasdep"/>
        </w:rPr>
        <w:footnoteRef/>
      </w:r>
      <w:r>
        <w:t xml:space="preserve"> </w:t>
      </w:r>
      <w:r>
        <w:tab/>
      </w:r>
      <w:r w:rsidRPr="008334B6">
        <w:t xml:space="preserve">O'BRIEN, </w:t>
      </w:r>
      <w:r w:rsidRPr="008334B6">
        <w:rPr>
          <w:i/>
          <w:iCs/>
        </w:rPr>
        <w:t xml:space="preserve">op. cit., </w:t>
      </w:r>
      <w:r w:rsidRPr="008334B6">
        <w:t>p. 91.</w:t>
      </w:r>
    </w:p>
  </w:footnote>
  <w:footnote w:id="590">
    <w:p w:rsidR="00AD690E" w:rsidRDefault="00AD690E" w:rsidP="00AD690E">
      <w:pPr>
        <w:pStyle w:val="Notedebasdepage"/>
      </w:pPr>
      <w:r>
        <w:rPr>
          <w:rStyle w:val="Appelnotedebasdep"/>
        </w:rPr>
        <w:footnoteRef/>
      </w:r>
      <w:r>
        <w:t xml:space="preserve"> </w:t>
      </w:r>
      <w:r>
        <w:tab/>
      </w:r>
      <w:r w:rsidRPr="000B07F0">
        <w:t xml:space="preserve">TINDAL, C.R. et TINDAL, S.N., </w:t>
      </w:r>
      <w:r w:rsidRPr="000B07F0">
        <w:rPr>
          <w:i/>
          <w:iCs/>
        </w:rPr>
        <w:t xml:space="preserve">Local Government in Canada, </w:t>
      </w:r>
      <w:r w:rsidRPr="000B07F0">
        <w:t>2</w:t>
      </w:r>
      <w:r w:rsidRPr="000B07F0">
        <w:rPr>
          <w:vertAlign w:val="superscript"/>
        </w:rPr>
        <w:t>e</w:t>
      </w:r>
      <w:r w:rsidRPr="000B07F0">
        <w:t xml:space="preserve"> éd</w:t>
      </w:r>
      <w:r w:rsidRPr="000B07F0">
        <w:t>i</w:t>
      </w:r>
      <w:r w:rsidRPr="000B07F0">
        <w:t>tion, Toronto, McGraw-Hill-Ryerson, 1984, p. 177.</w:t>
      </w:r>
    </w:p>
  </w:footnote>
  <w:footnote w:id="591">
    <w:p w:rsidR="00AD690E" w:rsidRDefault="00AD690E" w:rsidP="00AD690E">
      <w:pPr>
        <w:pStyle w:val="Notedebasdepage"/>
      </w:pPr>
      <w:r>
        <w:rPr>
          <w:rStyle w:val="Appelnotedebasdep"/>
        </w:rPr>
        <w:footnoteRef/>
      </w:r>
      <w:r>
        <w:t xml:space="preserve"> </w:t>
      </w:r>
      <w:r>
        <w:tab/>
      </w:r>
      <w:r w:rsidRPr="000B07F0">
        <w:t xml:space="preserve">CROWLEY, </w:t>
      </w:r>
      <w:r w:rsidRPr="000B07F0">
        <w:rPr>
          <w:i/>
          <w:iCs/>
        </w:rPr>
        <w:t xml:space="preserve">op. cit., </w:t>
      </w:r>
      <w:r w:rsidRPr="000B07F0">
        <w:t>p. 116. La Fédération s'appelle maintenant la Fédér</w:t>
      </w:r>
      <w:r w:rsidRPr="000B07F0">
        <w:t>a</w:t>
      </w:r>
      <w:r w:rsidRPr="000B07F0">
        <w:t>tion canadienne des municipalités</w:t>
      </w:r>
      <w:r>
        <w:t>.</w:t>
      </w:r>
    </w:p>
  </w:footnote>
  <w:footnote w:id="592">
    <w:p w:rsidR="00AD690E" w:rsidRDefault="00AD690E" w:rsidP="00AD690E">
      <w:pPr>
        <w:pStyle w:val="Notedebasdepage"/>
      </w:pPr>
      <w:r>
        <w:rPr>
          <w:rStyle w:val="Appelnotedebasdep"/>
        </w:rPr>
        <w:footnoteRef/>
      </w:r>
      <w:r>
        <w:t xml:space="preserve"> </w:t>
      </w:r>
      <w:r>
        <w:tab/>
      </w:r>
      <w:r w:rsidRPr="000B07F0">
        <w:t xml:space="preserve">O'BRIEN, </w:t>
      </w:r>
      <w:r w:rsidRPr="000B07F0">
        <w:rPr>
          <w:i/>
          <w:iCs/>
        </w:rPr>
        <w:t xml:space="preserve">op. cit., </w:t>
      </w:r>
      <w:r w:rsidRPr="000B07F0">
        <w:t>p. 92.</w:t>
      </w:r>
    </w:p>
  </w:footnote>
  <w:footnote w:id="593">
    <w:p w:rsidR="00AD690E" w:rsidRDefault="00AD690E" w:rsidP="00AD690E">
      <w:pPr>
        <w:pStyle w:val="Notedebasdepage"/>
      </w:pPr>
      <w:r>
        <w:rPr>
          <w:rStyle w:val="Appelnotedebasdep"/>
        </w:rPr>
        <w:footnoteRef/>
      </w:r>
      <w:r>
        <w:tab/>
        <w:t xml:space="preserve"> </w:t>
      </w:r>
      <w:r w:rsidRPr="000B07F0">
        <w:t>PITFIELD, M., « The Origins of the Ministry of State », Discours pr</w:t>
      </w:r>
      <w:r w:rsidRPr="000B07F0">
        <w:t>o</w:t>
      </w:r>
      <w:r w:rsidRPr="000B07F0">
        <w:t>noncé au Canadian Urban Studies Conference, le 14 août, 1985, p. 19.</w:t>
      </w:r>
    </w:p>
  </w:footnote>
  <w:footnote w:id="594">
    <w:p w:rsidR="00AD690E" w:rsidRDefault="00AD690E" w:rsidP="00AD690E">
      <w:pPr>
        <w:pStyle w:val="Notedebasdepage"/>
      </w:pPr>
      <w:r>
        <w:rPr>
          <w:rStyle w:val="Appelnotedebasdep"/>
        </w:rPr>
        <w:footnoteRef/>
      </w:r>
      <w:r>
        <w:t xml:space="preserve"> </w:t>
      </w:r>
      <w:r>
        <w:tab/>
      </w:r>
      <w:r w:rsidRPr="00BF1BEE">
        <w:t>Cette situation change en septembre 1984, avec le changement de gouve</w:t>
      </w:r>
      <w:r w:rsidRPr="00BF1BEE">
        <w:t>r</w:t>
      </w:r>
      <w:r w:rsidRPr="00BF1BEE">
        <w:t>nement, quand le gouvernement fédéral décide d'inclure, sur le conseil d'administration, des représentants du gouvernement du Québec, de la Vi</w:t>
      </w:r>
      <w:r w:rsidRPr="00BF1BEE">
        <w:t>l</w:t>
      </w:r>
      <w:r w:rsidRPr="00BF1BEE">
        <w:t>le de Québec et de la Communauté urbaine de Québec.</w:t>
      </w:r>
    </w:p>
  </w:footnote>
  <w:footnote w:id="595">
    <w:p w:rsidR="00AD690E" w:rsidRDefault="00AD690E" w:rsidP="00AD690E">
      <w:pPr>
        <w:pStyle w:val="Notedebasdepage"/>
      </w:pPr>
      <w:r>
        <w:rPr>
          <w:rStyle w:val="Appelnotedebasdep"/>
        </w:rPr>
        <w:footnoteRef/>
      </w:r>
      <w:r>
        <w:t xml:space="preserve"> </w:t>
      </w:r>
      <w:r>
        <w:tab/>
      </w:r>
      <w:r w:rsidRPr="0020045F">
        <w:t>Winnipeg Core Area Initiative Policy Committee, 1981, p. 12.</w:t>
      </w:r>
    </w:p>
  </w:footnote>
  <w:footnote w:id="596">
    <w:p w:rsidR="00AD690E" w:rsidRDefault="00AD690E" w:rsidP="00AD690E">
      <w:pPr>
        <w:pStyle w:val="Notedebasdepage"/>
      </w:pPr>
      <w:r>
        <w:rPr>
          <w:rStyle w:val="Appelnotedebasdep"/>
        </w:rPr>
        <w:footnoteRef/>
      </w:r>
      <w:r>
        <w:t xml:space="preserve"> </w:t>
      </w:r>
      <w:r>
        <w:tab/>
      </w:r>
      <w:r w:rsidRPr="0020045F">
        <w:t xml:space="preserve">DIVAY, G., GAUDREAU, M., </w:t>
      </w:r>
      <w:r w:rsidRPr="0020045F">
        <w:rPr>
          <w:i/>
          <w:iCs/>
        </w:rPr>
        <w:t xml:space="preserve">La formation des espaces résidentiels, </w:t>
      </w:r>
      <w:r w:rsidRPr="0020045F">
        <w:t>Mo</w:t>
      </w:r>
      <w:r w:rsidRPr="0020045F">
        <w:t>n</w:t>
      </w:r>
      <w:r w:rsidRPr="0020045F">
        <w:t>tréal, INRS-Urbanisation et les Presses de l'Université du Québec, 1984, p. 59.</w:t>
      </w:r>
    </w:p>
  </w:footnote>
  <w:footnote w:id="597">
    <w:p w:rsidR="00AD690E" w:rsidRDefault="00AD690E" w:rsidP="00AD690E">
      <w:pPr>
        <w:pStyle w:val="Notedebasdepage"/>
      </w:pPr>
      <w:r>
        <w:rPr>
          <w:rStyle w:val="Appelnotedebasdep"/>
        </w:rPr>
        <w:footnoteRef/>
      </w:r>
      <w:r>
        <w:t xml:space="preserve"> </w:t>
      </w:r>
      <w:r>
        <w:tab/>
      </w:r>
      <w:r w:rsidRPr="0020045F">
        <w:t xml:space="preserve">Pour une analyse plus complète de l'industrie du logement au Canada, voir LORIMER, J., </w:t>
      </w:r>
      <w:r w:rsidRPr="0020045F">
        <w:rPr>
          <w:i/>
          <w:iCs/>
        </w:rPr>
        <w:t xml:space="preserve">La Cité des promoteurs, </w:t>
      </w:r>
      <w:r w:rsidRPr="0020045F">
        <w:t>Montréal, Boréal Express, 1981</w:t>
      </w:r>
      <w:r w:rsidRPr="00562808">
        <w:rPr>
          <w:sz w:val="28"/>
        </w:rPr>
        <w:t>.</w:t>
      </w:r>
    </w:p>
  </w:footnote>
  <w:footnote w:id="598">
    <w:p w:rsidR="00AD690E" w:rsidRDefault="00AD690E" w:rsidP="00AD690E">
      <w:pPr>
        <w:pStyle w:val="Notedebasdepage"/>
      </w:pPr>
      <w:r>
        <w:rPr>
          <w:rStyle w:val="Appelnotedebasdep"/>
        </w:rPr>
        <w:footnoteRef/>
      </w:r>
      <w:r>
        <w:t xml:space="preserve"> </w:t>
      </w:r>
      <w:r>
        <w:tab/>
      </w:r>
      <w:r w:rsidRPr="008D606D">
        <w:t>Pour une analyse de la transformation de l'Outaouais québécois, voir A</w:t>
      </w:r>
      <w:r w:rsidRPr="008D606D">
        <w:t>N</w:t>
      </w:r>
      <w:r w:rsidRPr="008D606D">
        <w:t xml:space="preserve">DREW, C, BLAIS, A., DESROSIERS, R., </w:t>
      </w:r>
      <w:r w:rsidRPr="008D606D">
        <w:rPr>
          <w:i/>
          <w:iCs/>
        </w:rPr>
        <w:t xml:space="preserve">Les élites politiques, les bas-salariés et la politique du logement à Hull, </w:t>
      </w:r>
      <w:r w:rsidRPr="008D606D">
        <w:t>Ottawa, Éditions de l'Univers</w:t>
      </w:r>
      <w:r w:rsidRPr="008D606D">
        <w:t>i</w:t>
      </w:r>
      <w:r w:rsidRPr="008D606D">
        <w:t xml:space="preserve">té d'Ottawa, 1976 ; et ANDREW, C, BORDELEAU, S., GUIMONT, A., </w:t>
      </w:r>
      <w:r w:rsidRPr="008D606D">
        <w:rPr>
          <w:i/>
          <w:iCs/>
        </w:rPr>
        <w:t xml:space="preserve">L'Urbanisation : une affaire, </w:t>
      </w:r>
      <w:r w:rsidRPr="008D606D">
        <w:t>Ottawa, Éditions de l'Université d'Ottawa, 1981.</w:t>
      </w:r>
    </w:p>
  </w:footnote>
  <w:footnote w:id="599">
    <w:p w:rsidR="00AD690E" w:rsidRDefault="00AD690E" w:rsidP="00AD690E">
      <w:pPr>
        <w:pStyle w:val="Notedebasdepage"/>
      </w:pPr>
      <w:r>
        <w:rPr>
          <w:rStyle w:val="Appelnotedebasdep"/>
        </w:rPr>
        <w:footnoteRef/>
      </w:r>
      <w:r>
        <w:tab/>
      </w:r>
      <w:r w:rsidRPr="008D606D">
        <w:t xml:space="preserve">Pour une analyse de ces deux cas, voir, entre autres, FELDMAN, E. L, MILCH, J., </w:t>
      </w:r>
      <w:r w:rsidRPr="008D606D">
        <w:rPr>
          <w:i/>
          <w:iCs/>
        </w:rPr>
        <w:t xml:space="preserve">The Politics of Canadian Airport Development : Lessons for Federalism, </w:t>
      </w:r>
      <w:r w:rsidRPr="008D606D">
        <w:t>Durham N.C., Duke Press Policy Studies, 1983 ; et ST</w:t>
      </w:r>
      <w:r w:rsidRPr="008D606D">
        <w:t>E</w:t>
      </w:r>
      <w:r w:rsidRPr="008D606D">
        <w:t xml:space="preserve">WART, W., </w:t>
      </w:r>
      <w:r w:rsidRPr="008D606D">
        <w:rPr>
          <w:i/>
          <w:iCs/>
        </w:rPr>
        <w:t xml:space="preserve">Paper Juggernaut : Big Government Gone Mad, </w:t>
      </w:r>
      <w:r w:rsidRPr="008D606D">
        <w:t>Toronto, McClelland and Stewart, 1970.</w:t>
      </w:r>
    </w:p>
  </w:footnote>
  <w:footnote w:id="600">
    <w:p w:rsidR="00AD690E" w:rsidRDefault="00AD690E" w:rsidP="00AD690E">
      <w:pPr>
        <w:pStyle w:val="Notedebasdepage"/>
      </w:pPr>
      <w:r>
        <w:rPr>
          <w:rStyle w:val="Appelnotedebasdep"/>
        </w:rPr>
        <w:footnoteRef/>
      </w:r>
      <w:r>
        <w:t xml:space="preserve"> </w:t>
      </w:r>
      <w:r>
        <w:tab/>
      </w:r>
      <w:r w:rsidRPr="006E4045">
        <w:t>Un historique récent du ministère des Transports insiste sur le caractère pol</w:t>
      </w:r>
      <w:r w:rsidRPr="006E4045">
        <w:t>i</w:t>
      </w:r>
      <w:r w:rsidRPr="006E4045">
        <w:t>tique de ces deux décisions, soulignant le fait même que c'était le Conseil privé, et non pas le Ministère, qui était en faveur de l'emplacement de l'a</w:t>
      </w:r>
      <w:r w:rsidRPr="006E4045">
        <w:t>é</w:t>
      </w:r>
      <w:r w:rsidRPr="006E4045">
        <w:t>roport au nord de Montréal. L'article relève « ces deux exemples d'influence politique, pour ne pas dire ingérence.... », LECLERC, W., « Transports C</w:t>
      </w:r>
      <w:r w:rsidRPr="006E4045">
        <w:t>a</w:t>
      </w:r>
      <w:r w:rsidRPr="006E4045">
        <w:t xml:space="preserve">nada : son premier demi-siècle », </w:t>
      </w:r>
      <w:r w:rsidRPr="006E4045">
        <w:rPr>
          <w:i/>
          <w:iCs/>
        </w:rPr>
        <w:t xml:space="preserve">Transport, 86, </w:t>
      </w:r>
      <w:r w:rsidRPr="006E4045">
        <w:t>9-3, 1986, p. 12.</w:t>
      </w:r>
    </w:p>
  </w:footnote>
  <w:footnote w:id="601">
    <w:p w:rsidR="00AD690E" w:rsidRDefault="00AD690E" w:rsidP="00AD690E">
      <w:pPr>
        <w:pStyle w:val="Notedebasdepage"/>
      </w:pPr>
      <w:r>
        <w:rPr>
          <w:rStyle w:val="Appelnotedebasdep"/>
        </w:rPr>
        <w:footnoteRef/>
      </w:r>
      <w:r>
        <w:t xml:space="preserve"> </w:t>
      </w:r>
      <w:r>
        <w:tab/>
      </w:r>
      <w:r w:rsidRPr="006E4045">
        <w:t>Voir, par exemple, les recommandations du rapport du comité consultatif sur le développement de la région de Montréal, publiées au mois de nove</w:t>
      </w:r>
      <w:r w:rsidRPr="006E4045">
        <w:t>m</w:t>
      </w:r>
      <w:r w:rsidRPr="006E4045">
        <w:t>bre 1986. Le Comité, présidé par Laurent Picard, a recommandé de conce</w:t>
      </w:r>
      <w:r w:rsidRPr="006E4045">
        <w:t>n</w:t>
      </w:r>
      <w:r w:rsidRPr="006E4045">
        <w:t>trer l'activité aéroportuaire à Dorval.</w:t>
      </w:r>
    </w:p>
  </w:footnote>
  <w:footnote w:id="602">
    <w:p w:rsidR="00AD690E" w:rsidRDefault="00AD690E" w:rsidP="00AD690E">
      <w:pPr>
        <w:pStyle w:val="Notedebasdepage"/>
      </w:pPr>
      <w:r>
        <w:rPr>
          <w:rStyle w:val="Appelnotedebasdep"/>
        </w:rPr>
        <w:footnoteRef/>
      </w:r>
      <w:r>
        <w:t xml:space="preserve"> </w:t>
      </w:r>
      <w:r>
        <w:tab/>
      </w:r>
      <w:r w:rsidRPr="006E4045">
        <w:t xml:space="preserve">L'utilisation du mot féminisme à propos de l'État ne vient pas suggérer l'idée de l'existence d'un « État féministe ». Plus simplement, il s'agit d'analyser la pensée et l'action de l'État quant « à l'extension des droits, du rôle de la femme dans la société », </w:t>
      </w:r>
      <w:r w:rsidRPr="006E4045">
        <w:rPr>
          <w:i/>
          <w:iCs/>
        </w:rPr>
        <w:t>(Dictionnaire Robert).</w:t>
      </w:r>
    </w:p>
  </w:footnote>
  <w:footnote w:id="603">
    <w:p w:rsidR="00AD690E" w:rsidRDefault="00AD690E" w:rsidP="00AD690E">
      <w:pPr>
        <w:pStyle w:val="Notedebasdepage"/>
      </w:pPr>
      <w:r>
        <w:rPr>
          <w:rStyle w:val="Appelnotedebasdep"/>
        </w:rPr>
        <w:footnoteRef/>
      </w:r>
      <w:r>
        <w:t xml:space="preserve"> </w:t>
      </w:r>
      <w:r>
        <w:tab/>
      </w:r>
      <w:r w:rsidRPr="001937CC">
        <w:t xml:space="preserve">Sur cette question, se reporter au numéro 5 de la revue </w:t>
      </w:r>
      <w:r w:rsidRPr="001937CC">
        <w:rPr>
          <w:i/>
          <w:iCs/>
        </w:rPr>
        <w:t xml:space="preserve">Politique </w:t>
      </w:r>
      <w:r w:rsidRPr="001937CC">
        <w:t xml:space="preserve">sur « Femmes et pouvoir », notamment les articles de LAMONT, M. et DE SÈVE, M. Voir, aussi, SIMARD, Carolle, « Des féminismes désordonnés au féminisme ordonné : les contradictions du féminisme », dans </w:t>
      </w:r>
      <w:r w:rsidRPr="001937CC">
        <w:rPr>
          <w:i/>
          <w:iCs/>
        </w:rPr>
        <w:t>Le contr</w:t>
      </w:r>
      <w:r w:rsidRPr="001937CC">
        <w:rPr>
          <w:i/>
          <w:iCs/>
        </w:rPr>
        <w:t>ô</w:t>
      </w:r>
      <w:r w:rsidRPr="001937CC">
        <w:rPr>
          <w:i/>
          <w:iCs/>
        </w:rPr>
        <w:t xml:space="preserve">le social en pièces détachées. Cahiers de l'ACFAS </w:t>
      </w:r>
      <w:r w:rsidRPr="001937CC">
        <w:t>1985, n° 30, pp. 47-58.</w:t>
      </w:r>
    </w:p>
  </w:footnote>
  <w:footnote w:id="604">
    <w:p w:rsidR="00AD690E" w:rsidRDefault="00AD690E" w:rsidP="00AD690E">
      <w:pPr>
        <w:pStyle w:val="Notedebasdepage"/>
      </w:pPr>
      <w:r>
        <w:rPr>
          <w:rStyle w:val="Appelnotedebasdep"/>
        </w:rPr>
        <w:footnoteRef/>
      </w:r>
      <w:r>
        <w:t xml:space="preserve"> </w:t>
      </w:r>
      <w:r>
        <w:tab/>
      </w:r>
      <w:r w:rsidRPr="001937CC">
        <w:t>Un indice de cet éclatement relatif se situe dans le fait que, lors d'un coll</w:t>
      </w:r>
      <w:r w:rsidRPr="001937CC">
        <w:t>o</w:t>
      </w:r>
      <w:r w:rsidRPr="001937CC">
        <w:t xml:space="preserve">que traitant de la situation de la recherche sur le Canada français, organisé en 1984 par la direction des </w:t>
      </w:r>
      <w:r w:rsidRPr="001937CC">
        <w:rPr>
          <w:i/>
          <w:iCs/>
        </w:rPr>
        <w:t xml:space="preserve">Recherches sociographiques, </w:t>
      </w:r>
      <w:r w:rsidRPr="001937CC">
        <w:t>on a abordé ce</w:t>
      </w:r>
      <w:r w:rsidRPr="001937CC">
        <w:t>t</w:t>
      </w:r>
      <w:r w:rsidRPr="001937CC">
        <w:t xml:space="preserve">te question. Voir BÉLANGER, A.J., « Lectures politiques », dans </w:t>
      </w:r>
      <w:r w:rsidRPr="001937CC">
        <w:rPr>
          <w:i/>
          <w:iCs/>
        </w:rPr>
        <w:t>Reche</w:t>
      </w:r>
      <w:r w:rsidRPr="001937CC">
        <w:rPr>
          <w:i/>
          <w:iCs/>
        </w:rPr>
        <w:t>r</w:t>
      </w:r>
      <w:r w:rsidRPr="001937CC">
        <w:rPr>
          <w:i/>
          <w:iCs/>
        </w:rPr>
        <w:t xml:space="preserve">ches sociographiques, </w:t>
      </w:r>
      <w:r w:rsidRPr="001937CC">
        <w:t>vol. XXVI, n° 1-2, 1985, pp. 119-135.</w:t>
      </w:r>
    </w:p>
  </w:footnote>
  <w:footnote w:id="605">
    <w:p w:rsidR="00AD690E" w:rsidRDefault="00AD690E" w:rsidP="00AD690E">
      <w:pPr>
        <w:pStyle w:val="Notedebasdepage"/>
      </w:pPr>
      <w:r>
        <w:rPr>
          <w:rStyle w:val="Appelnotedebasdep"/>
        </w:rPr>
        <w:footnoteRef/>
      </w:r>
      <w:r>
        <w:t xml:space="preserve"> </w:t>
      </w:r>
      <w:r>
        <w:tab/>
      </w:r>
      <w:r w:rsidRPr="00914342">
        <w:t>Ce n'est que le 25 avril 1940 que les femmes du Québec ont obtenu le droit de vote et celui de siéger au Parlement.</w:t>
      </w:r>
    </w:p>
  </w:footnote>
  <w:footnote w:id="606">
    <w:p w:rsidR="00AD690E" w:rsidRDefault="00AD690E" w:rsidP="00AD690E">
      <w:pPr>
        <w:pStyle w:val="Notedebasdepage"/>
      </w:pPr>
      <w:r>
        <w:rPr>
          <w:rStyle w:val="Appelnotedebasdep"/>
        </w:rPr>
        <w:footnoteRef/>
      </w:r>
      <w:r>
        <w:t xml:space="preserve"> </w:t>
      </w:r>
      <w:r>
        <w:tab/>
      </w:r>
      <w:r w:rsidRPr="00914342">
        <w:t>. L'article 24 se lit ainsi : « Au nom de la Reine et par instrument sous le grand sceau du Canada, le Gouverneur général mandatera au Sénat, de temps à autre, des personnes ayant les qualités requises ; et, sous réserve des dispositions du présent acte, les personnes ainsi mandées deviendront et s</w:t>
      </w:r>
      <w:r w:rsidRPr="00914342">
        <w:t>e</w:t>
      </w:r>
      <w:r w:rsidRPr="00914342">
        <w:t>ront membres du Sénat et sénateurs ».</w:t>
      </w:r>
    </w:p>
  </w:footnote>
  <w:footnote w:id="607">
    <w:p w:rsidR="00AD690E" w:rsidRDefault="00AD690E" w:rsidP="00AD690E">
      <w:pPr>
        <w:pStyle w:val="Notedebasdepage"/>
      </w:pPr>
      <w:r>
        <w:rPr>
          <w:rStyle w:val="Appelnotedebasdep"/>
        </w:rPr>
        <w:footnoteRef/>
      </w:r>
      <w:r>
        <w:t xml:space="preserve"> </w:t>
      </w:r>
      <w:r>
        <w:tab/>
      </w:r>
      <w:r w:rsidRPr="00823BA8">
        <w:t xml:space="preserve">Pour connaître l'histoire de ces femmes et de bien d'autres, voir WADE L. </w:t>
      </w:r>
      <w:r w:rsidRPr="00823BA8">
        <w:rPr>
          <w:i/>
          <w:iCs/>
        </w:rPr>
        <w:t xml:space="preserve">et al. Tradition culturelle et histoire politique de la femme au Canada, </w:t>
      </w:r>
      <w:r w:rsidRPr="00823BA8">
        <w:t>Études préparées pour la Commission royale d'enquête sur la situation de la femme au Canada, Ottawa, Information Canada, 1971.</w:t>
      </w:r>
    </w:p>
  </w:footnote>
  <w:footnote w:id="608">
    <w:p w:rsidR="00AD690E" w:rsidRDefault="00AD690E" w:rsidP="00AD690E">
      <w:pPr>
        <w:pStyle w:val="Notedebasdepage"/>
      </w:pPr>
      <w:r>
        <w:rPr>
          <w:rStyle w:val="Appelnotedebasdep"/>
        </w:rPr>
        <w:footnoteRef/>
      </w:r>
      <w:r>
        <w:t xml:space="preserve"> </w:t>
      </w:r>
      <w:r>
        <w:tab/>
      </w:r>
      <w:r w:rsidRPr="00823BA8">
        <w:rPr>
          <w:bCs/>
        </w:rPr>
        <w:t xml:space="preserve">TRAVAIL CANADA, </w:t>
      </w:r>
      <w:r w:rsidRPr="00823BA8">
        <w:t>Les nouvelles tendances de l'emploi des femmes, Ottawa, 1966.</w:t>
      </w:r>
    </w:p>
  </w:footnote>
  <w:footnote w:id="609">
    <w:p w:rsidR="00AD690E" w:rsidRDefault="00AD690E" w:rsidP="00AD690E">
      <w:pPr>
        <w:pStyle w:val="Notedebasdepage"/>
      </w:pPr>
      <w:r>
        <w:rPr>
          <w:rStyle w:val="Appelnotedebasdep"/>
        </w:rPr>
        <w:footnoteRef/>
      </w:r>
      <w:r>
        <w:t xml:space="preserve"> </w:t>
      </w:r>
      <w:r>
        <w:tab/>
      </w:r>
      <w:r w:rsidRPr="00823BA8">
        <w:t>MELTZ, N., La femme en emploi : tendances professionnelles manife</w:t>
      </w:r>
      <w:r w:rsidRPr="00823BA8">
        <w:t>s</w:t>
      </w:r>
      <w:r w:rsidRPr="00823BA8">
        <w:t>tées au Canada, Bureau de la main-d'œuvre féminine, 1969.</w:t>
      </w:r>
    </w:p>
  </w:footnote>
  <w:footnote w:id="610">
    <w:p w:rsidR="00AD690E" w:rsidRDefault="00AD690E" w:rsidP="00AD690E">
      <w:pPr>
        <w:pStyle w:val="Notedebasdepage"/>
      </w:pPr>
      <w:r>
        <w:rPr>
          <w:rStyle w:val="Appelnotedebasdep"/>
        </w:rPr>
        <w:footnoteRef/>
      </w:r>
      <w:r>
        <w:t xml:space="preserve"> </w:t>
      </w:r>
      <w:r>
        <w:tab/>
      </w:r>
      <w:r w:rsidRPr="00823BA8">
        <w:t>Ibid</w:t>
      </w:r>
      <w:r w:rsidRPr="00562808">
        <w:rPr>
          <w:sz w:val="28"/>
        </w:rPr>
        <w:t>.</w:t>
      </w:r>
    </w:p>
  </w:footnote>
  <w:footnote w:id="611">
    <w:p w:rsidR="00AD690E" w:rsidRDefault="00AD690E" w:rsidP="00AD690E">
      <w:pPr>
        <w:pStyle w:val="Notedebasdepage"/>
      </w:pPr>
      <w:r>
        <w:rPr>
          <w:rStyle w:val="Appelnotedebasdep"/>
        </w:rPr>
        <w:footnoteRef/>
      </w:r>
      <w:r>
        <w:t xml:space="preserve"> </w:t>
      </w:r>
      <w:r>
        <w:tab/>
      </w:r>
      <w:r w:rsidRPr="00487037">
        <w:t>À l'exception de la Cour suprême du Canada, puisque même aujourd'hui, aucune femme n'a encore été nommée.</w:t>
      </w:r>
    </w:p>
  </w:footnote>
  <w:footnote w:id="612">
    <w:p w:rsidR="00AD690E" w:rsidRDefault="00AD690E" w:rsidP="00AD690E">
      <w:pPr>
        <w:pStyle w:val="Notedebasdepage"/>
      </w:pPr>
      <w:r>
        <w:rPr>
          <w:rStyle w:val="Appelnotedebasdep"/>
        </w:rPr>
        <w:footnoteRef/>
      </w:r>
      <w:r>
        <w:t xml:space="preserve"> </w:t>
      </w:r>
      <w:r>
        <w:tab/>
      </w:r>
      <w:r w:rsidRPr="00487037">
        <w:t>Selon LAURIN-FRENETTE, N., il s'agit de la « privatisation » des fe</w:t>
      </w:r>
      <w:r w:rsidRPr="00487037">
        <w:t>m</w:t>
      </w:r>
      <w:r w:rsidRPr="00487037">
        <w:t>mes. Voir « Féminisme et anarchisme : quelques éléments théoriques et histor</w:t>
      </w:r>
      <w:r w:rsidRPr="00487037">
        <w:t>i</w:t>
      </w:r>
      <w:r w:rsidRPr="00487037">
        <w:t>ques pour une analyse de la relation entre le mouvement des fe</w:t>
      </w:r>
      <w:r w:rsidRPr="00487037">
        <w:t>m</w:t>
      </w:r>
      <w:r w:rsidRPr="00487037">
        <w:t xml:space="preserve">mes et l'État », dans </w:t>
      </w:r>
      <w:hyperlink r:id="rId5" w:history="1">
        <w:r w:rsidRPr="00487037">
          <w:rPr>
            <w:rStyle w:val="Lienhypertexte"/>
            <w:i/>
            <w:iCs/>
            <w:szCs w:val="18"/>
          </w:rPr>
          <w:t>Femmes et politique</w:t>
        </w:r>
      </w:hyperlink>
      <w:r w:rsidRPr="00487037">
        <w:rPr>
          <w:i/>
          <w:iCs/>
        </w:rPr>
        <w:t xml:space="preserve"> </w:t>
      </w:r>
      <w:r w:rsidRPr="00487037">
        <w:t>(sous la direction de Yolande Cohen), Montréal, Editions Le Jour, 1981, p. 147-185.</w:t>
      </w:r>
    </w:p>
  </w:footnote>
  <w:footnote w:id="613">
    <w:p w:rsidR="00AD690E" w:rsidRDefault="00AD690E" w:rsidP="00AD690E">
      <w:pPr>
        <w:pStyle w:val="Notedebasdepage"/>
      </w:pPr>
      <w:r>
        <w:rPr>
          <w:rStyle w:val="Appelnotedebasdep"/>
        </w:rPr>
        <w:footnoteRef/>
      </w:r>
      <w:r>
        <w:t xml:space="preserve"> </w:t>
      </w:r>
      <w:r>
        <w:tab/>
      </w:r>
      <w:r w:rsidRPr="0064062B">
        <w:t xml:space="preserve">Commission royale d'enquête sur la situation de la femme au Canada, </w:t>
      </w:r>
      <w:r w:rsidRPr="0064062B">
        <w:rPr>
          <w:i/>
          <w:iCs/>
        </w:rPr>
        <w:t>Ra</w:t>
      </w:r>
      <w:r w:rsidRPr="0064062B">
        <w:rPr>
          <w:i/>
          <w:iCs/>
        </w:rPr>
        <w:t>p</w:t>
      </w:r>
      <w:r w:rsidRPr="0064062B">
        <w:rPr>
          <w:i/>
          <w:iCs/>
        </w:rPr>
        <w:t xml:space="preserve">port Bird, </w:t>
      </w:r>
      <w:r w:rsidRPr="0064062B">
        <w:t>Ottawa, Information Canada, 1970.</w:t>
      </w:r>
    </w:p>
  </w:footnote>
  <w:footnote w:id="614">
    <w:p w:rsidR="00AD690E" w:rsidRDefault="00AD690E" w:rsidP="00AD690E">
      <w:pPr>
        <w:pStyle w:val="Notedebasdepage"/>
      </w:pPr>
      <w:r>
        <w:rPr>
          <w:rStyle w:val="Appelnotedebasdep"/>
        </w:rPr>
        <w:footnoteRef/>
      </w:r>
      <w:r>
        <w:t xml:space="preserve"> </w:t>
      </w:r>
      <w:r>
        <w:tab/>
      </w:r>
      <w:r w:rsidRPr="00DA0B8F">
        <w:rPr>
          <w:i/>
        </w:rPr>
        <w:t>Ibid</w:t>
      </w:r>
      <w:r w:rsidRPr="00B97144">
        <w:t>.</w:t>
      </w:r>
    </w:p>
  </w:footnote>
  <w:footnote w:id="615">
    <w:p w:rsidR="00AD690E" w:rsidRDefault="00AD690E" w:rsidP="00AD690E">
      <w:pPr>
        <w:pStyle w:val="Notedebasdepage"/>
      </w:pPr>
      <w:r>
        <w:rPr>
          <w:rStyle w:val="Appelnotedebasdep"/>
        </w:rPr>
        <w:footnoteRef/>
      </w:r>
      <w:r>
        <w:t xml:space="preserve"> </w:t>
      </w:r>
      <w:r>
        <w:tab/>
      </w:r>
      <w:r w:rsidRPr="00B97144">
        <w:t xml:space="preserve">Commission royale d'enquête sur l'organisation du gouvernement, </w:t>
      </w:r>
      <w:r w:rsidRPr="00B97144">
        <w:rPr>
          <w:i/>
          <w:iCs/>
        </w:rPr>
        <w:t>La ge</w:t>
      </w:r>
      <w:r w:rsidRPr="00B97144">
        <w:rPr>
          <w:i/>
          <w:iCs/>
        </w:rPr>
        <w:t>s</w:t>
      </w:r>
      <w:r w:rsidRPr="00B97144">
        <w:rPr>
          <w:i/>
          <w:iCs/>
        </w:rPr>
        <w:t xml:space="preserve">tion de la fonction publique, </w:t>
      </w:r>
      <w:r w:rsidRPr="00B97144">
        <w:t>vol. 1, Ottawa, Imprimeur de la reine, 1962</w:t>
      </w:r>
      <w:r>
        <w:t>.</w:t>
      </w:r>
    </w:p>
  </w:footnote>
  <w:footnote w:id="616">
    <w:p w:rsidR="00AD690E" w:rsidRDefault="00AD690E" w:rsidP="00AD690E">
      <w:pPr>
        <w:pStyle w:val="Notedebasdepage"/>
      </w:pPr>
      <w:r>
        <w:rPr>
          <w:rStyle w:val="Appelnotedebasdep"/>
        </w:rPr>
        <w:footnoteRef/>
      </w:r>
      <w:r>
        <w:t xml:space="preserve"> </w:t>
      </w:r>
      <w:r>
        <w:tab/>
      </w:r>
      <w:r w:rsidRPr="00B97144">
        <w:t>JUDEK, S., Les femmes dans l'administration fédérale ? Les emplois qu'e</w:t>
      </w:r>
      <w:r w:rsidRPr="00B97144">
        <w:t>l</w:t>
      </w:r>
      <w:r w:rsidRPr="00B97144">
        <w:t>les occupent et l'utilisation de leurs compétences, Ottawa, ministère du Tr</w:t>
      </w:r>
      <w:r w:rsidRPr="00B97144">
        <w:t>a</w:t>
      </w:r>
      <w:r w:rsidRPr="00B97144">
        <w:t>vail, 1968, p. 134.</w:t>
      </w:r>
    </w:p>
  </w:footnote>
  <w:footnote w:id="617">
    <w:p w:rsidR="00AD690E" w:rsidRDefault="00AD690E" w:rsidP="00AD690E">
      <w:pPr>
        <w:pStyle w:val="Notedebasdepage"/>
      </w:pPr>
      <w:r>
        <w:rPr>
          <w:rStyle w:val="Appelnotedebasdep"/>
        </w:rPr>
        <w:footnoteRef/>
      </w:r>
      <w:r>
        <w:t xml:space="preserve"> </w:t>
      </w:r>
      <w:r>
        <w:tab/>
      </w:r>
      <w:r w:rsidRPr="00B97144">
        <w:t xml:space="preserve">ARCHIBALD, K., </w:t>
      </w:r>
      <w:r w:rsidRPr="00B97144">
        <w:rPr>
          <w:i/>
          <w:iCs/>
        </w:rPr>
        <w:t xml:space="preserve">Les deux sexes dans la fonction publique, </w:t>
      </w:r>
      <w:r w:rsidRPr="00B97144">
        <w:t>Ottawa, Fon</w:t>
      </w:r>
      <w:r w:rsidRPr="00B97144">
        <w:t>c</w:t>
      </w:r>
      <w:r w:rsidRPr="00B97144">
        <w:t>tion publique du Canada, 1969, p. 100.</w:t>
      </w:r>
    </w:p>
  </w:footnote>
  <w:footnote w:id="618">
    <w:p w:rsidR="00AD690E" w:rsidRDefault="00AD690E" w:rsidP="00AD690E">
      <w:pPr>
        <w:pStyle w:val="Notedebasdepage"/>
      </w:pPr>
      <w:r>
        <w:rPr>
          <w:rStyle w:val="Appelnotedebasdep"/>
        </w:rPr>
        <w:footnoteRef/>
      </w:r>
      <w:r>
        <w:t xml:space="preserve"> </w:t>
      </w:r>
      <w:r>
        <w:tab/>
      </w:r>
      <w:r w:rsidRPr="00E86A7C">
        <w:t xml:space="preserve">Comité spécial du Sénat sur la pauvreté, </w:t>
      </w:r>
      <w:r w:rsidRPr="00E86A7C">
        <w:rPr>
          <w:i/>
          <w:iCs/>
        </w:rPr>
        <w:t xml:space="preserve">La pauvreté au Canada, </w:t>
      </w:r>
      <w:r w:rsidRPr="00E86A7C">
        <w:t>Ottawa, Information Canada, 1971.</w:t>
      </w:r>
    </w:p>
  </w:footnote>
  <w:footnote w:id="619">
    <w:p w:rsidR="00AD690E" w:rsidRDefault="00AD690E" w:rsidP="00AD690E">
      <w:pPr>
        <w:pStyle w:val="Notedebasdepage"/>
      </w:pPr>
      <w:r>
        <w:rPr>
          <w:rStyle w:val="Appelnotedebasdep"/>
        </w:rPr>
        <w:footnoteRef/>
      </w:r>
      <w:r>
        <w:t xml:space="preserve"> </w:t>
      </w:r>
      <w:r>
        <w:tab/>
      </w:r>
      <w:r w:rsidRPr="00E86A7C">
        <w:t xml:space="preserve">Commission royale d'enquête sur la situation de la femme au Canada, </w:t>
      </w:r>
      <w:r w:rsidRPr="00E86A7C">
        <w:rPr>
          <w:i/>
          <w:iCs/>
        </w:rPr>
        <w:t>Ra</w:t>
      </w:r>
      <w:r w:rsidRPr="00E86A7C">
        <w:rPr>
          <w:i/>
          <w:iCs/>
        </w:rPr>
        <w:t>p</w:t>
      </w:r>
      <w:r w:rsidRPr="00E86A7C">
        <w:rPr>
          <w:i/>
          <w:iCs/>
        </w:rPr>
        <w:t xml:space="preserve">port Bird, op. cit., </w:t>
      </w:r>
      <w:r w:rsidRPr="00E86A7C">
        <w:t>p. 349.</w:t>
      </w:r>
    </w:p>
  </w:footnote>
  <w:footnote w:id="620">
    <w:p w:rsidR="00AD690E" w:rsidRDefault="00AD690E" w:rsidP="00AD690E">
      <w:pPr>
        <w:pStyle w:val="Notedebasdepage"/>
      </w:pPr>
      <w:r>
        <w:rPr>
          <w:rStyle w:val="Appelnotedebasdep"/>
        </w:rPr>
        <w:footnoteRef/>
      </w:r>
      <w:r>
        <w:t xml:space="preserve"> </w:t>
      </w:r>
      <w:r>
        <w:tab/>
      </w:r>
      <w:r w:rsidRPr="00E86A7C">
        <w:t>Le Conseil national du bien-être social est un organisme consultatif. Ses membres sont nommés par le Gouverneur en conseil.</w:t>
      </w:r>
    </w:p>
  </w:footnote>
  <w:footnote w:id="621">
    <w:p w:rsidR="00AD690E" w:rsidRDefault="00AD690E" w:rsidP="00AD690E">
      <w:pPr>
        <w:pStyle w:val="Notedebasdepage"/>
      </w:pPr>
      <w:r>
        <w:rPr>
          <w:rStyle w:val="Appelnotedebasdep"/>
        </w:rPr>
        <w:footnoteRef/>
      </w:r>
      <w:r>
        <w:t xml:space="preserve"> </w:t>
      </w:r>
      <w:r>
        <w:tab/>
      </w:r>
      <w:r w:rsidRPr="002F2A2F">
        <w:t xml:space="preserve">Rapport du conseil national du bien-être social, </w:t>
      </w:r>
      <w:r w:rsidRPr="002F2A2F">
        <w:rPr>
          <w:i/>
          <w:iCs/>
        </w:rPr>
        <w:t xml:space="preserve">La femme et la pauvreté, </w:t>
      </w:r>
      <w:r w:rsidRPr="002F2A2F">
        <w:t>Ottawa, 1979, p. 38.</w:t>
      </w:r>
    </w:p>
  </w:footnote>
  <w:footnote w:id="622">
    <w:p w:rsidR="00AD690E" w:rsidRDefault="00AD690E" w:rsidP="00AD690E">
      <w:pPr>
        <w:pStyle w:val="Notedebasdepage"/>
      </w:pPr>
      <w:r>
        <w:rPr>
          <w:rStyle w:val="Appelnotedebasdep"/>
        </w:rPr>
        <w:footnoteRef/>
      </w:r>
      <w:r>
        <w:t xml:space="preserve"> </w:t>
      </w:r>
      <w:r>
        <w:tab/>
      </w:r>
      <w:r w:rsidRPr="008675C2">
        <w:t xml:space="preserve">C'est une des conclusions du rapport d'Emploi et Immigration Canada, </w:t>
      </w:r>
      <w:r w:rsidRPr="008675C2">
        <w:rPr>
          <w:i/>
          <w:iCs/>
        </w:rPr>
        <w:t xml:space="preserve">L'évolution du marché du travail dans les années 80, </w:t>
      </w:r>
      <w:r w:rsidRPr="008675C2">
        <w:t>Ottawa, rapport du Groupe d'étude de l'évolution du travail, 1981.</w:t>
      </w:r>
    </w:p>
  </w:footnote>
  <w:footnote w:id="623">
    <w:p w:rsidR="00AD690E" w:rsidRDefault="00AD690E" w:rsidP="00AD690E">
      <w:pPr>
        <w:pStyle w:val="Notedebasdepage"/>
      </w:pPr>
      <w:r>
        <w:rPr>
          <w:rStyle w:val="Appelnotedebasdep"/>
        </w:rPr>
        <w:footnoteRef/>
      </w:r>
      <w:r>
        <w:t xml:space="preserve"> </w:t>
      </w:r>
      <w:r>
        <w:tab/>
      </w:r>
      <w:r w:rsidRPr="008675C2">
        <w:t>Ottawa, Chambre des communes, mars 1984.</w:t>
      </w:r>
    </w:p>
  </w:footnote>
  <w:footnote w:id="624">
    <w:p w:rsidR="00AD690E" w:rsidRDefault="00AD690E" w:rsidP="00AD690E">
      <w:pPr>
        <w:pStyle w:val="Notedebasdepage"/>
      </w:pPr>
      <w:r>
        <w:rPr>
          <w:rStyle w:val="Appelnotedebasdep"/>
        </w:rPr>
        <w:footnoteRef/>
      </w:r>
      <w:r>
        <w:t xml:space="preserve"> </w:t>
      </w:r>
      <w:r>
        <w:tab/>
      </w:r>
      <w:r w:rsidRPr="00DA0173">
        <w:rPr>
          <w:i/>
          <w:iCs/>
        </w:rPr>
        <w:t xml:space="preserve">Égalité en matière d'emploi. </w:t>
      </w:r>
      <w:r w:rsidRPr="00DA0173">
        <w:t>Rapport d'une commission royale, Ottawa, 1984.</w:t>
      </w:r>
    </w:p>
  </w:footnote>
  <w:footnote w:id="625">
    <w:p w:rsidR="00AD690E" w:rsidRDefault="00AD690E" w:rsidP="00AD690E">
      <w:pPr>
        <w:pStyle w:val="Notedebasdepage"/>
      </w:pPr>
      <w:r>
        <w:rPr>
          <w:rStyle w:val="Appelnotedebasdep"/>
        </w:rPr>
        <w:footnoteRef/>
      </w:r>
      <w:r>
        <w:t xml:space="preserve"> </w:t>
      </w:r>
      <w:r>
        <w:tab/>
      </w:r>
      <w:r w:rsidRPr="00DA0173">
        <w:rPr>
          <w:i/>
          <w:iCs/>
        </w:rPr>
        <w:t xml:space="preserve">Ibid., </w:t>
      </w:r>
      <w:r w:rsidRPr="00DA0173">
        <w:t>p. 282.</w:t>
      </w:r>
    </w:p>
  </w:footnote>
  <w:footnote w:id="626">
    <w:p w:rsidR="00AD690E" w:rsidRDefault="00AD690E" w:rsidP="00AD690E">
      <w:pPr>
        <w:pStyle w:val="Notedebasdepage"/>
      </w:pPr>
      <w:r>
        <w:rPr>
          <w:rStyle w:val="Appelnotedebasdep"/>
        </w:rPr>
        <w:footnoteRef/>
      </w:r>
      <w:r>
        <w:t xml:space="preserve"> </w:t>
      </w:r>
      <w:r>
        <w:tab/>
      </w:r>
      <w:r w:rsidRPr="00DA0173">
        <w:t>Rapport du Comité spécial d'étude de la pornographie et de la prostitution, Ottawa, Approvisionnements et Services Canada, 1985.</w:t>
      </w:r>
    </w:p>
  </w:footnote>
  <w:footnote w:id="627">
    <w:p w:rsidR="00AD690E" w:rsidRDefault="00AD690E" w:rsidP="00AD690E">
      <w:pPr>
        <w:pStyle w:val="Notedebasdepage"/>
      </w:pPr>
      <w:r>
        <w:rPr>
          <w:rStyle w:val="Appelnotedebasdep"/>
        </w:rPr>
        <w:footnoteRef/>
      </w:r>
      <w:r>
        <w:t xml:space="preserve"> </w:t>
      </w:r>
      <w:r>
        <w:tab/>
      </w:r>
      <w:r w:rsidRPr="00DA0173">
        <w:t>Rappelons que de 1975 à 1985, trois conférences mondiales ont eu lieu, auxquelles le Canada a participé. La première s'est tenue à Mexico en 1975, la seconde à Copenhague en 1980, la dernière à Nairobi en 1985. Ces conf</w:t>
      </w:r>
      <w:r w:rsidRPr="00DA0173">
        <w:t>é</w:t>
      </w:r>
      <w:r w:rsidRPr="00DA0173">
        <w:t>rences ont permis aux représentants gouvernementaux de se concerter. Quant aux organisations non gouvernementales, elles ont pu fa</w:t>
      </w:r>
      <w:r w:rsidRPr="00DA0173">
        <w:t>i</w:t>
      </w:r>
      <w:r w:rsidRPr="00DA0173">
        <w:t>re le point à l'occasion de rencontres parallèles aux trois conférences : « Tribune », à Mexico, « Forum » à Copenhague, « Forum 85 » à Nairobi</w:t>
      </w:r>
      <w:r w:rsidRPr="00562808">
        <w:rPr>
          <w:sz w:val="28"/>
        </w:rPr>
        <w:t>.</w:t>
      </w:r>
    </w:p>
  </w:footnote>
  <w:footnote w:id="628">
    <w:p w:rsidR="00AD690E" w:rsidRDefault="00AD690E" w:rsidP="00AD690E">
      <w:pPr>
        <w:pStyle w:val="Notedebasdepage"/>
      </w:pPr>
      <w:r>
        <w:rPr>
          <w:rStyle w:val="Appelnotedebasdep"/>
        </w:rPr>
        <w:footnoteRef/>
      </w:r>
      <w:r>
        <w:t xml:space="preserve"> </w:t>
      </w:r>
      <w:r>
        <w:tab/>
      </w:r>
      <w:r w:rsidRPr="00EF1ADA">
        <w:t>Nations unies, Les stratégies prospectives d'action de Nairobi pour la pr</w:t>
      </w:r>
      <w:r w:rsidRPr="00EF1ADA">
        <w:t>o</w:t>
      </w:r>
      <w:r w:rsidRPr="00EF1ADA">
        <w:t>motion de la femme, Kenya, 15-26 juillet 1985.</w:t>
      </w:r>
    </w:p>
  </w:footnote>
  <w:footnote w:id="629">
    <w:p w:rsidR="00AD690E" w:rsidRDefault="00AD690E" w:rsidP="00AD690E">
      <w:pPr>
        <w:pStyle w:val="Notedebasdepage"/>
      </w:pPr>
      <w:r>
        <w:rPr>
          <w:rStyle w:val="Appelnotedebasdep"/>
        </w:rPr>
        <w:footnoteRef/>
      </w:r>
      <w:r>
        <w:t xml:space="preserve"> </w:t>
      </w:r>
      <w:r>
        <w:tab/>
      </w:r>
      <w:r w:rsidRPr="00AD524A">
        <w:t>Pensons simplement aux luttes menées par les femmes pour avoir accès aux professions qui leur étaient interdites.</w:t>
      </w:r>
    </w:p>
  </w:footnote>
  <w:footnote w:id="630">
    <w:p w:rsidR="00AD690E" w:rsidRDefault="00AD690E" w:rsidP="00AD690E">
      <w:pPr>
        <w:pStyle w:val="Notedebasdepage"/>
      </w:pPr>
      <w:r>
        <w:rPr>
          <w:rStyle w:val="Appelnotedebasdep"/>
        </w:rPr>
        <w:footnoteRef/>
      </w:r>
      <w:r>
        <w:t xml:space="preserve"> </w:t>
      </w:r>
      <w:r>
        <w:tab/>
      </w:r>
      <w:r w:rsidRPr="00AD524A">
        <w:t xml:space="preserve">Sur cette question, voir : DOEN, A. et CARRIER, M., </w:t>
      </w:r>
      <w:r w:rsidRPr="00AD524A">
        <w:rPr>
          <w:i/>
          <w:iCs/>
        </w:rPr>
        <w:t xml:space="preserve">Les femmes et la constitution, </w:t>
      </w:r>
      <w:r w:rsidRPr="00AD524A">
        <w:t>Ottawa, Approvisionnements et Services Canada, 1981.</w:t>
      </w:r>
    </w:p>
  </w:footnote>
  <w:footnote w:id="631">
    <w:p w:rsidR="00AD690E" w:rsidRDefault="00AD690E" w:rsidP="00AD690E">
      <w:pPr>
        <w:pStyle w:val="Notedebasdepage"/>
      </w:pPr>
      <w:r>
        <w:rPr>
          <w:rStyle w:val="Appelnotedebasdep"/>
        </w:rPr>
        <w:footnoteRef/>
      </w:r>
      <w:r>
        <w:t xml:space="preserve"> </w:t>
      </w:r>
      <w:r>
        <w:tab/>
      </w:r>
      <w:r w:rsidRPr="009D4E13">
        <w:t>Par droit politique de l'État, on entend tout ce qui relève du domaine de la juridiction constitutionnelle</w:t>
      </w:r>
      <w:r>
        <w:t>.</w:t>
      </w:r>
    </w:p>
  </w:footnote>
  <w:footnote w:id="632">
    <w:p w:rsidR="00AD690E" w:rsidRDefault="00AD690E" w:rsidP="00AD690E">
      <w:pPr>
        <w:pStyle w:val="Notedebasdepage"/>
      </w:pPr>
      <w:r>
        <w:rPr>
          <w:rStyle w:val="Appelnotedebasdep"/>
        </w:rPr>
        <w:footnoteRef/>
      </w:r>
      <w:r>
        <w:t xml:space="preserve"> </w:t>
      </w:r>
      <w:r>
        <w:tab/>
      </w:r>
      <w:r w:rsidRPr="009D4E13">
        <w:t xml:space="preserve">N'oublions pas, cependant, qu'en vertu de la </w:t>
      </w:r>
      <w:r w:rsidRPr="009D4E13">
        <w:rPr>
          <w:i/>
          <w:iCs/>
        </w:rPr>
        <w:t xml:space="preserve">Loi sur les Indiens </w:t>
      </w:r>
      <w:r w:rsidRPr="009D4E13">
        <w:t xml:space="preserve">(S.R.C. 1970, C. 1-6), la </w:t>
      </w:r>
      <w:r w:rsidRPr="009D4E13">
        <w:rPr>
          <w:i/>
          <w:iCs/>
        </w:rPr>
        <w:t xml:space="preserve">Charte des droits et libertés </w:t>
      </w:r>
      <w:r w:rsidRPr="009D4E13">
        <w:t>est sans effet sur les femmes amérindiennes. Selon l'alinéa 12(l)(b), les femmes ne jouissent pas des m</w:t>
      </w:r>
      <w:r w:rsidRPr="009D4E13">
        <w:t>ê</w:t>
      </w:r>
      <w:r w:rsidRPr="009D4E13">
        <w:t>mes avantages que les hommes, puisqu'une femme indienne qui se m</w:t>
      </w:r>
      <w:r w:rsidRPr="009D4E13">
        <w:t>a</w:t>
      </w:r>
      <w:r w:rsidRPr="009D4E13">
        <w:t>rie à un non-Amérindien cesse d'être une Indienne, au sens de loi can</w:t>
      </w:r>
      <w:r w:rsidRPr="009D4E13">
        <w:t>a</w:t>
      </w:r>
      <w:r w:rsidRPr="009D4E13">
        <w:t>dienne. Depuis 1981 cependant, le gouvernement fédéral permet aux bandes am</w:t>
      </w:r>
      <w:r w:rsidRPr="009D4E13">
        <w:t>é</w:t>
      </w:r>
      <w:r w:rsidRPr="009D4E13">
        <w:t>rindiennes qui en font la demande et pour que les femmes puissent bénéf</w:t>
      </w:r>
      <w:r w:rsidRPr="009D4E13">
        <w:t>i</w:t>
      </w:r>
      <w:r w:rsidRPr="009D4E13">
        <w:t>cier de droits égaux à ceux des hommes, de déroger à l'application de l'al</w:t>
      </w:r>
      <w:r w:rsidRPr="009D4E13">
        <w:t>i</w:t>
      </w:r>
      <w:r w:rsidRPr="009D4E13">
        <w:t xml:space="preserve">néa 12(l)(b). Cette dérogation à la </w:t>
      </w:r>
      <w:r w:rsidRPr="009D4E13">
        <w:rPr>
          <w:i/>
          <w:iCs/>
        </w:rPr>
        <w:t xml:space="preserve">Loi canadienne sur les Indiens </w:t>
      </w:r>
      <w:r w:rsidRPr="009D4E13">
        <w:t>a été re</w:t>
      </w:r>
      <w:r w:rsidRPr="009D4E13">
        <w:t>n</w:t>
      </w:r>
      <w:r w:rsidRPr="009D4E13">
        <w:t>due possible après que le Comité des droits de la personne des N</w:t>
      </w:r>
      <w:r w:rsidRPr="009D4E13">
        <w:t>a</w:t>
      </w:r>
      <w:r w:rsidRPr="009D4E13">
        <w:t xml:space="preserve">tions unies constatât que la </w:t>
      </w:r>
      <w:r w:rsidRPr="009D4E13">
        <w:rPr>
          <w:i/>
          <w:iCs/>
        </w:rPr>
        <w:t xml:space="preserve">Loi canadienne sur les Indiens </w:t>
      </w:r>
      <w:r w:rsidRPr="009D4E13">
        <w:t xml:space="preserve">violait l'article 27 du </w:t>
      </w:r>
      <w:r w:rsidRPr="009D4E13">
        <w:rPr>
          <w:i/>
          <w:iCs/>
        </w:rPr>
        <w:t>Pacte international relatif aux droits civils et politiques des minor</w:t>
      </w:r>
      <w:r w:rsidRPr="009D4E13">
        <w:rPr>
          <w:i/>
          <w:iCs/>
        </w:rPr>
        <w:t>i</w:t>
      </w:r>
      <w:r w:rsidRPr="009D4E13">
        <w:rPr>
          <w:i/>
          <w:iCs/>
        </w:rPr>
        <w:t xml:space="preserve">tés. </w:t>
      </w:r>
      <w:r w:rsidRPr="009D4E13">
        <w:t>En février 1984, 95 bandes sur un total de 577, avaient demandé une exclusion relative à l'application de ce dernier alinéa.</w:t>
      </w:r>
    </w:p>
  </w:footnote>
  <w:footnote w:id="633">
    <w:p w:rsidR="00AD690E" w:rsidRDefault="00AD690E" w:rsidP="00AD690E">
      <w:pPr>
        <w:pStyle w:val="Notedebasdepage"/>
      </w:pPr>
      <w:r>
        <w:rPr>
          <w:rStyle w:val="Appelnotedebasdep"/>
        </w:rPr>
        <w:footnoteRef/>
      </w:r>
      <w:r>
        <w:t xml:space="preserve"> </w:t>
      </w:r>
      <w:r>
        <w:tab/>
      </w:r>
      <w:r w:rsidRPr="00CF395E">
        <w:t>Cet organisme dépend financièrement du gouvernement.</w:t>
      </w:r>
    </w:p>
  </w:footnote>
  <w:footnote w:id="634">
    <w:p w:rsidR="00AD690E" w:rsidRDefault="00AD690E" w:rsidP="00AD690E">
      <w:pPr>
        <w:pStyle w:val="Notedebasdepage"/>
      </w:pPr>
      <w:r>
        <w:rPr>
          <w:rStyle w:val="Appelnotedebasdep"/>
        </w:rPr>
        <w:footnoteRef/>
      </w:r>
      <w:r>
        <w:t xml:space="preserve"> </w:t>
      </w:r>
      <w:r>
        <w:tab/>
      </w:r>
      <w:r w:rsidRPr="00D80FE9">
        <w:t>La plupart de ces professionnels sont des femmes.</w:t>
      </w:r>
    </w:p>
  </w:footnote>
  <w:footnote w:id="635">
    <w:p w:rsidR="00AD690E" w:rsidRDefault="00AD690E" w:rsidP="00AD690E">
      <w:pPr>
        <w:pStyle w:val="Notedebasdepage"/>
      </w:pPr>
      <w:r>
        <w:rPr>
          <w:rStyle w:val="Appelnotedebasdep"/>
        </w:rPr>
        <w:footnoteRef/>
      </w:r>
      <w:r>
        <w:t xml:space="preserve"> </w:t>
      </w:r>
      <w:r>
        <w:tab/>
      </w:r>
      <w:r w:rsidRPr="00D80FE9">
        <w:t xml:space="preserve">Rappelons que les dispositions de la </w:t>
      </w:r>
      <w:r w:rsidRPr="00D80FE9">
        <w:rPr>
          <w:i/>
          <w:iCs/>
        </w:rPr>
        <w:t>Charte canadienne des droits et libe</w:t>
      </w:r>
      <w:r w:rsidRPr="00D80FE9">
        <w:rPr>
          <w:i/>
          <w:iCs/>
        </w:rPr>
        <w:t>r</w:t>
      </w:r>
      <w:r w:rsidRPr="00D80FE9">
        <w:rPr>
          <w:i/>
          <w:iCs/>
        </w:rPr>
        <w:t xml:space="preserve">tés </w:t>
      </w:r>
      <w:r w:rsidRPr="00D80FE9">
        <w:t xml:space="preserve">sur l'égalité sont entrées en vigueur le 17 avril 1985, soit trois ans après l'adoption de la </w:t>
      </w:r>
      <w:r w:rsidRPr="00D80FE9">
        <w:rPr>
          <w:i/>
          <w:iCs/>
        </w:rPr>
        <w:t>Loi constitutionnelle de 1982</w:t>
      </w:r>
      <w:r>
        <w:rPr>
          <w:i/>
          <w:iCs/>
        </w:rPr>
        <w:t>.</w:t>
      </w:r>
    </w:p>
  </w:footnote>
  <w:footnote w:id="636">
    <w:p w:rsidR="00AD690E" w:rsidRDefault="00AD690E" w:rsidP="00AD690E">
      <w:pPr>
        <w:pStyle w:val="Notedebasdepage"/>
      </w:pPr>
      <w:r>
        <w:rPr>
          <w:rStyle w:val="Appelnotedebasdep"/>
        </w:rPr>
        <w:footnoteRef/>
      </w:r>
      <w:r>
        <w:t xml:space="preserve"> </w:t>
      </w:r>
      <w:r>
        <w:tab/>
      </w:r>
      <w:r w:rsidRPr="009512F2">
        <w:t>Sur la fonction politique du droit, voir notamment les travaux de LO</w:t>
      </w:r>
      <w:r w:rsidRPr="009512F2">
        <w:t>S</w:t>
      </w:r>
      <w:r w:rsidRPr="009512F2">
        <w:t xml:space="preserve">CHAK, D., dans </w:t>
      </w:r>
      <w:r w:rsidRPr="009512F2">
        <w:rPr>
          <w:i/>
          <w:iCs/>
        </w:rPr>
        <w:t xml:space="preserve">VAJDA </w:t>
      </w:r>
      <w:r w:rsidRPr="009512F2">
        <w:t xml:space="preserve">— </w:t>
      </w:r>
      <w:r w:rsidRPr="009512F2">
        <w:rPr>
          <w:i/>
          <w:iCs/>
        </w:rPr>
        <w:t xml:space="preserve">Actualité juridique </w:t>
      </w:r>
      <w:r w:rsidRPr="009512F2">
        <w:t xml:space="preserve">— </w:t>
      </w:r>
      <w:r w:rsidRPr="009512F2">
        <w:rPr>
          <w:i/>
          <w:iCs/>
        </w:rPr>
        <w:t xml:space="preserve">droit administratif, </w:t>
      </w:r>
      <w:r w:rsidRPr="009512F2">
        <w:t>P</w:t>
      </w:r>
      <w:r w:rsidRPr="009512F2">
        <w:t>a</w:t>
      </w:r>
      <w:r w:rsidRPr="009512F2">
        <w:t>ris.</w:t>
      </w:r>
    </w:p>
  </w:footnote>
  <w:footnote w:id="637">
    <w:p w:rsidR="00AD690E" w:rsidRDefault="00AD690E" w:rsidP="00AD690E">
      <w:pPr>
        <w:pStyle w:val="Notedebasdepage"/>
      </w:pPr>
      <w:r>
        <w:rPr>
          <w:rStyle w:val="Appelnotedebasdep"/>
        </w:rPr>
        <w:footnoteRef/>
      </w:r>
      <w:r>
        <w:t xml:space="preserve"> </w:t>
      </w:r>
      <w:r>
        <w:tab/>
      </w:r>
      <w:r w:rsidRPr="009512F2">
        <w:t xml:space="preserve">Pour de plus amples détails : DAVID, H., </w:t>
      </w:r>
      <w:r w:rsidRPr="009512F2">
        <w:rPr>
          <w:i/>
          <w:iCs/>
        </w:rPr>
        <w:t xml:space="preserve">Femmes et emploi, </w:t>
      </w:r>
      <w:r w:rsidRPr="009512F2">
        <w:t>Canada, PUQ-IRAT, 1986.</w:t>
      </w:r>
    </w:p>
  </w:footnote>
  <w:footnote w:id="638">
    <w:p w:rsidR="00AD690E" w:rsidRDefault="00AD690E" w:rsidP="00AD690E">
      <w:pPr>
        <w:pStyle w:val="Notedebasdepage"/>
      </w:pPr>
      <w:r>
        <w:rPr>
          <w:rStyle w:val="Appelnotedebasdep"/>
        </w:rPr>
        <w:footnoteRef/>
      </w:r>
      <w:r>
        <w:t xml:space="preserve"> </w:t>
      </w:r>
      <w:r>
        <w:tab/>
      </w:r>
      <w:r w:rsidRPr="009512F2">
        <w:rPr>
          <w:i/>
          <w:iCs/>
        </w:rPr>
        <w:t xml:space="preserve">Égalité en matière d'emploi, </w:t>
      </w:r>
      <w:r w:rsidRPr="009512F2">
        <w:t>Rapport d'une commission royale, Ottawa, 1984 ; voir notamment les trois premières recommandations.</w:t>
      </w:r>
    </w:p>
  </w:footnote>
  <w:footnote w:id="639">
    <w:p w:rsidR="00AD690E" w:rsidRDefault="00AD690E" w:rsidP="00AD690E">
      <w:pPr>
        <w:pStyle w:val="Notedebasdepage"/>
      </w:pPr>
      <w:r>
        <w:rPr>
          <w:rStyle w:val="Appelnotedebasdep"/>
        </w:rPr>
        <w:footnoteRef/>
      </w:r>
      <w:r>
        <w:t xml:space="preserve"> </w:t>
      </w:r>
      <w:r>
        <w:tab/>
      </w:r>
      <w:r w:rsidRPr="009512F2">
        <w:t>À cet égard, rares sont les groupes qui, à un moment ou l'autre, ne crient pas à l'inégalité.</w:t>
      </w:r>
    </w:p>
  </w:footnote>
  <w:footnote w:id="640">
    <w:p w:rsidR="00AD690E" w:rsidRDefault="00AD690E" w:rsidP="00AD690E">
      <w:pPr>
        <w:pStyle w:val="Notedebasdepage"/>
      </w:pPr>
      <w:r>
        <w:rPr>
          <w:rStyle w:val="Appelnotedebasdep"/>
        </w:rPr>
        <w:footnoteRef/>
      </w:r>
      <w:r>
        <w:t xml:space="preserve"> </w:t>
      </w:r>
      <w:r>
        <w:tab/>
      </w:r>
      <w:r w:rsidRPr="009512F2">
        <w:t xml:space="preserve">Sur la place des femmes dans le système politico-administratif canadien, voir SIMARD, C, « Changement et insertion des femmes dans le système politique », dans </w:t>
      </w:r>
      <w:r w:rsidRPr="009512F2">
        <w:rPr>
          <w:i/>
          <w:iCs/>
        </w:rPr>
        <w:t xml:space="preserve">Politique, </w:t>
      </w:r>
      <w:r w:rsidRPr="009512F2">
        <w:t>n° 5, pp. 27-49.</w:t>
      </w:r>
    </w:p>
  </w:footnote>
  <w:footnote w:id="641">
    <w:p w:rsidR="00AD690E" w:rsidRDefault="00AD690E" w:rsidP="00AD690E">
      <w:pPr>
        <w:pStyle w:val="Notedebasdepage"/>
      </w:pPr>
      <w:r>
        <w:rPr>
          <w:rStyle w:val="Appelnotedebasdep"/>
        </w:rPr>
        <w:footnoteRef/>
      </w:r>
      <w:r>
        <w:t xml:space="preserve"> </w:t>
      </w:r>
      <w:r>
        <w:tab/>
      </w:r>
      <w:r w:rsidRPr="00242E10">
        <w:t>Ce texte a bénéficié, à différents moments de sa rédaction, des commenta</w:t>
      </w:r>
      <w:r w:rsidRPr="00242E10">
        <w:t>i</w:t>
      </w:r>
      <w:r w:rsidRPr="00242E10">
        <w:t>res de Claude Couture et de Lucia Ferretti. Nous tenons à les en r</w:t>
      </w:r>
      <w:r w:rsidRPr="00242E10">
        <w:t>e</w:t>
      </w:r>
      <w:r w:rsidRPr="00242E10">
        <w:t>mercier.</w:t>
      </w:r>
    </w:p>
  </w:footnote>
  <w:footnote w:id="642">
    <w:p w:rsidR="00AD690E" w:rsidRDefault="00AD690E" w:rsidP="00AD690E">
      <w:pPr>
        <w:pStyle w:val="Notedebasdepage"/>
      </w:pPr>
      <w:r>
        <w:rPr>
          <w:rStyle w:val="Appelnotedebasdep"/>
        </w:rPr>
        <w:footnoteRef/>
      </w:r>
      <w:r>
        <w:t xml:space="preserve"> </w:t>
      </w:r>
      <w:r>
        <w:tab/>
      </w:r>
      <w:r w:rsidRPr="00242E10">
        <w:t xml:space="preserve">Voir CASTLES, S., et KOSACK, G., </w:t>
      </w:r>
      <w:r w:rsidRPr="00242E10">
        <w:rPr>
          <w:i/>
          <w:iCs/>
        </w:rPr>
        <w:t>Immigrant Workers and Class Stru</w:t>
      </w:r>
      <w:r w:rsidRPr="00242E10">
        <w:rPr>
          <w:i/>
          <w:iCs/>
        </w:rPr>
        <w:t>c</w:t>
      </w:r>
      <w:r w:rsidRPr="00242E10">
        <w:rPr>
          <w:i/>
          <w:iCs/>
        </w:rPr>
        <w:t xml:space="preserve">ture in Western Europe. </w:t>
      </w:r>
      <w:r w:rsidRPr="00242E10">
        <w:t>London, Oxford University Press, 1973.</w:t>
      </w:r>
    </w:p>
  </w:footnote>
  <w:footnote w:id="643">
    <w:p w:rsidR="00AD690E" w:rsidRDefault="00AD690E" w:rsidP="00AD690E">
      <w:pPr>
        <w:pStyle w:val="Notedebasdepage"/>
      </w:pPr>
      <w:r>
        <w:rPr>
          <w:rStyle w:val="Appelnotedebasdep"/>
        </w:rPr>
        <w:footnoteRef/>
      </w:r>
      <w:r>
        <w:t xml:space="preserve"> </w:t>
      </w:r>
      <w:r>
        <w:tab/>
      </w:r>
      <w:r w:rsidRPr="00242E10">
        <w:t>En vogue dès les années 50, le concept et surtout le terme d'« identité » voit encore grandir sa popularité au cours de la décennie suivante. Voir GLE</w:t>
      </w:r>
      <w:r w:rsidRPr="00242E10">
        <w:t>A</w:t>
      </w:r>
      <w:r w:rsidRPr="00242E10">
        <w:t xml:space="preserve">SON, P., « Identifying Identity », dans </w:t>
      </w:r>
      <w:r w:rsidRPr="00242E10">
        <w:rPr>
          <w:i/>
          <w:iCs/>
        </w:rPr>
        <w:t>Journal of American Hist</w:t>
      </w:r>
      <w:r w:rsidRPr="00242E10">
        <w:rPr>
          <w:i/>
          <w:iCs/>
        </w:rPr>
        <w:t>o</w:t>
      </w:r>
      <w:r w:rsidRPr="00242E10">
        <w:rPr>
          <w:i/>
          <w:iCs/>
        </w:rPr>
        <w:t xml:space="preserve">ry, </w:t>
      </w:r>
      <w:r w:rsidRPr="00242E10">
        <w:t>69, 4 (mars 1983).</w:t>
      </w:r>
    </w:p>
  </w:footnote>
  <w:footnote w:id="644">
    <w:p w:rsidR="00AD690E" w:rsidRDefault="00AD690E" w:rsidP="00AD690E">
      <w:pPr>
        <w:pStyle w:val="Notedebasdepage"/>
      </w:pPr>
      <w:r>
        <w:rPr>
          <w:rStyle w:val="Appelnotedebasdep"/>
        </w:rPr>
        <w:footnoteRef/>
      </w:r>
      <w:r>
        <w:t xml:space="preserve"> </w:t>
      </w:r>
      <w:r>
        <w:tab/>
      </w:r>
      <w:r w:rsidRPr="00242E10">
        <w:t xml:space="preserve">GLAZER, N. et MOYNIHAN, D., </w:t>
      </w:r>
      <w:r w:rsidRPr="00242E10">
        <w:rPr>
          <w:i/>
          <w:iCs/>
        </w:rPr>
        <w:t xml:space="preserve">Beyond The Melting Pot, </w:t>
      </w:r>
      <w:r w:rsidRPr="00242E10">
        <w:t>Ca</w:t>
      </w:r>
      <w:r w:rsidRPr="00242E10">
        <w:t>m</w:t>
      </w:r>
      <w:r w:rsidRPr="00242E10">
        <w:t>bridge, Harvard University Press, 1963.</w:t>
      </w:r>
    </w:p>
  </w:footnote>
  <w:footnote w:id="645">
    <w:p w:rsidR="00AD690E" w:rsidRDefault="00AD690E" w:rsidP="00AD690E">
      <w:pPr>
        <w:pStyle w:val="Notedebasdepage"/>
      </w:pPr>
      <w:r>
        <w:rPr>
          <w:rStyle w:val="Appelnotedebasdep"/>
        </w:rPr>
        <w:footnoteRef/>
      </w:r>
      <w:r>
        <w:t xml:space="preserve"> </w:t>
      </w:r>
      <w:r>
        <w:tab/>
      </w:r>
      <w:r w:rsidRPr="00D57685">
        <w:t>Plusieurs auteurs ont signalé ce type de conflit au sein des comm</w:t>
      </w:r>
      <w:r w:rsidRPr="00D57685">
        <w:t>u</w:t>
      </w:r>
      <w:r w:rsidRPr="00D57685">
        <w:t xml:space="preserve">nautés qu'ils ont étudiées. Voir notamment BOISSEVAIN, J., </w:t>
      </w:r>
      <w:r w:rsidRPr="00D57685">
        <w:rPr>
          <w:i/>
          <w:iCs/>
        </w:rPr>
        <w:t>Les Italiens de Mo</w:t>
      </w:r>
      <w:r w:rsidRPr="00D57685">
        <w:rPr>
          <w:i/>
          <w:iCs/>
        </w:rPr>
        <w:t>n</w:t>
      </w:r>
      <w:r w:rsidRPr="00D57685">
        <w:rPr>
          <w:i/>
          <w:iCs/>
        </w:rPr>
        <w:t xml:space="preserve">tréal, </w:t>
      </w:r>
      <w:r w:rsidRPr="00D57685">
        <w:t xml:space="preserve">Ottawa, 1971 ; DREISZIGER, N.F., </w:t>
      </w:r>
      <w:r w:rsidRPr="00D57685">
        <w:rPr>
          <w:i/>
          <w:iCs/>
        </w:rPr>
        <w:t>et al., Struggle and Hope : The Hungarian-Canadian Exp</w:t>
      </w:r>
      <w:r>
        <w:rPr>
          <w:i/>
          <w:iCs/>
        </w:rPr>
        <w:t>e</w:t>
      </w:r>
      <w:r w:rsidRPr="00D57685">
        <w:rPr>
          <w:i/>
          <w:iCs/>
        </w:rPr>
        <w:t xml:space="preserve">rience, </w:t>
      </w:r>
      <w:r w:rsidRPr="00D57685">
        <w:t>Toro</w:t>
      </w:r>
      <w:r w:rsidRPr="00D57685">
        <w:t>n</w:t>
      </w:r>
      <w:r w:rsidRPr="00D57685">
        <w:t>to, 1982.</w:t>
      </w:r>
    </w:p>
  </w:footnote>
  <w:footnote w:id="646">
    <w:p w:rsidR="00AD690E" w:rsidRDefault="00AD690E" w:rsidP="00AD690E">
      <w:pPr>
        <w:pStyle w:val="Notedebasdepage"/>
      </w:pPr>
      <w:r>
        <w:rPr>
          <w:rStyle w:val="Appelnotedebasdep"/>
        </w:rPr>
        <w:footnoteRef/>
      </w:r>
      <w:r>
        <w:t xml:space="preserve"> </w:t>
      </w:r>
      <w:r>
        <w:tab/>
      </w:r>
      <w:r w:rsidRPr="00D57685">
        <w:t>En 1971, les Canadiens d'origine autre que française ou britannique repr</w:t>
      </w:r>
      <w:r w:rsidRPr="00D57685">
        <w:t>é</w:t>
      </w:r>
      <w:r w:rsidRPr="00D57685">
        <w:t>sentent environ 27% de l'ensemble de la population, cette proportion v</w:t>
      </w:r>
      <w:r w:rsidRPr="00D57685">
        <w:t>a</w:t>
      </w:r>
      <w:r w:rsidRPr="00D57685">
        <w:t>riant e</w:t>
      </w:r>
      <w:r w:rsidRPr="00D57685">
        <w:t>n</w:t>
      </w:r>
      <w:r w:rsidRPr="00D57685">
        <w:t xml:space="preserve">tre 47%, en Alberta, et 10% au Québec. Ministère de la Main-d'œuvre et de l'Immigration, </w:t>
      </w:r>
      <w:r w:rsidRPr="00D57685">
        <w:rPr>
          <w:i/>
          <w:iCs/>
        </w:rPr>
        <w:t xml:space="preserve">Immigration and Population Statistics </w:t>
      </w:r>
      <w:r w:rsidRPr="00D57685">
        <w:t>(Canada Immigr</w:t>
      </w:r>
      <w:r w:rsidRPr="00D57685">
        <w:t>a</w:t>
      </w:r>
      <w:r w:rsidRPr="00D57685">
        <w:t>tion and Population S</w:t>
      </w:r>
      <w:r>
        <w:t>e</w:t>
      </w:r>
      <w:r w:rsidRPr="00D57685">
        <w:t>ries), Ottawa, 1974, pp. 9-12.</w:t>
      </w:r>
    </w:p>
  </w:footnote>
  <w:footnote w:id="647">
    <w:p w:rsidR="00AD690E" w:rsidRDefault="00AD690E" w:rsidP="00AD690E">
      <w:pPr>
        <w:pStyle w:val="Notedebasdepage"/>
      </w:pPr>
      <w:r>
        <w:rPr>
          <w:rStyle w:val="Appelnotedebasdep"/>
        </w:rPr>
        <w:footnoteRef/>
      </w:r>
      <w:r>
        <w:t xml:space="preserve"> </w:t>
      </w:r>
      <w:r>
        <w:tab/>
      </w:r>
      <w:r w:rsidRPr="00F85C38">
        <w:t>COMMISSION ROYALE D'ENQUETE SUR LE BILI</w:t>
      </w:r>
      <w:r w:rsidRPr="00F85C38">
        <w:t>N</w:t>
      </w:r>
      <w:r w:rsidRPr="00F85C38">
        <w:t xml:space="preserve">GUISME ET LE BICULTURALISME, livre IV, </w:t>
      </w:r>
      <w:r w:rsidRPr="00F85C38">
        <w:rPr>
          <w:i/>
          <w:iCs/>
        </w:rPr>
        <w:t xml:space="preserve">L'apport de autres groupes ethniques, </w:t>
      </w:r>
      <w:r w:rsidRPr="00F85C38">
        <w:t>Ott</w:t>
      </w:r>
      <w:r w:rsidRPr="00F85C38">
        <w:t>a</w:t>
      </w:r>
      <w:r w:rsidRPr="00F85C38">
        <w:t>wa, 1969, p. 1.</w:t>
      </w:r>
    </w:p>
  </w:footnote>
  <w:footnote w:id="648">
    <w:p w:rsidR="00AD690E" w:rsidRDefault="00AD690E" w:rsidP="00AD690E">
      <w:pPr>
        <w:pStyle w:val="Notedebasdepage"/>
      </w:pPr>
      <w:r>
        <w:rPr>
          <w:rStyle w:val="Appelnotedebasdep"/>
        </w:rPr>
        <w:footnoteRef/>
      </w:r>
      <w:r>
        <w:t xml:space="preserve"> </w:t>
      </w:r>
      <w:r>
        <w:tab/>
      </w:r>
      <w:r w:rsidRPr="00D745A8">
        <w:t>Idem</w:t>
      </w:r>
      <w:r w:rsidRPr="00EC43AA">
        <w:rPr>
          <w:sz w:val="28"/>
        </w:rPr>
        <w:t>.</w:t>
      </w:r>
    </w:p>
  </w:footnote>
  <w:footnote w:id="649">
    <w:p w:rsidR="00AD690E" w:rsidRDefault="00AD690E" w:rsidP="00AD690E">
      <w:pPr>
        <w:pStyle w:val="Notedebasdepage"/>
      </w:pPr>
      <w:r>
        <w:rPr>
          <w:rStyle w:val="Appelnotedebasdep"/>
        </w:rPr>
        <w:footnoteRef/>
      </w:r>
      <w:r>
        <w:t xml:space="preserve"> </w:t>
      </w:r>
      <w:r>
        <w:tab/>
      </w:r>
      <w:r>
        <w:rPr>
          <w:sz w:val="28"/>
        </w:rPr>
        <w:t xml:space="preserve"> </w:t>
      </w:r>
      <w:r w:rsidRPr="00D510CA">
        <w:t xml:space="preserve">BURNET, J., « Ethnicity : Canadian Policy and Experience », dans </w:t>
      </w:r>
      <w:r w:rsidRPr="00D510CA">
        <w:rPr>
          <w:i/>
          <w:iCs/>
        </w:rPr>
        <w:t>Soci</w:t>
      </w:r>
      <w:r w:rsidRPr="00D510CA">
        <w:rPr>
          <w:i/>
          <w:iCs/>
        </w:rPr>
        <w:t>o</w:t>
      </w:r>
      <w:r w:rsidRPr="00D510CA">
        <w:rPr>
          <w:i/>
          <w:iCs/>
        </w:rPr>
        <w:t xml:space="preserve">logical Focus, </w:t>
      </w:r>
      <w:r w:rsidRPr="00D510CA">
        <w:t>IX, 2 (avril 1976) : 199-207, p. 203.</w:t>
      </w:r>
    </w:p>
  </w:footnote>
  <w:footnote w:id="650">
    <w:p w:rsidR="00AD690E" w:rsidRDefault="00AD690E" w:rsidP="00AD690E">
      <w:pPr>
        <w:pStyle w:val="Notedebasdepage"/>
      </w:pPr>
      <w:r>
        <w:rPr>
          <w:rStyle w:val="Appelnotedebasdep"/>
        </w:rPr>
        <w:footnoteRef/>
      </w:r>
      <w:r>
        <w:t xml:space="preserve"> </w:t>
      </w:r>
      <w:r>
        <w:tab/>
      </w:r>
      <w:r w:rsidRPr="00D510CA">
        <w:t>COMMISSION ROYALE D'ENQUÊTE SUR LE BILI</w:t>
      </w:r>
      <w:r w:rsidRPr="00D510CA">
        <w:t>N</w:t>
      </w:r>
      <w:r w:rsidRPr="00D510CA">
        <w:t xml:space="preserve">GUISME, </w:t>
      </w:r>
      <w:r w:rsidRPr="00D510CA">
        <w:rPr>
          <w:i/>
          <w:iCs/>
        </w:rPr>
        <w:t>op. cit</w:t>
      </w:r>
      <w:r w:rsidRPr="00EC43AA">
        <w:rPr>
          <w:i/>
          <w:iCs/>
          <w:sz w:val="28"/>
        </w:rPr>
        <w:t>.</w:t>
      </w:r>
    </w:p>
  </w:footnote>
  <w:footnote w:id="651">
    <w:p w:rsidR="00AD690E" w:rsidRDefault="00AD690E" w:rsidP="00AD690E">
      <w:pPr>
        <w:pStyle w:val="Notedebasdepage"/>
      </w:pPr>
      <w:r>
        <w:rPr>
          <w:rStyle w:val="Appelnotedebasdep"/>
        </w:rPr>
        <w:footnoteRef/>
      </w:r>
      <w:r>
        <w:t xml:space="preserve"> </w:t>
      </w:r>
      <w:r>
        <w:tab/>
      </w:r>
      <w:r w:rsidRPr="002C1E7D">
        <w:rPr>
          <w:i/>
          <w:iCs/>
        </w:rPr>
        <w:t xml:space="preserve">Ibid., </w:t>
      </w:r>
      <w:r w:rsidRPr="002C1E7D">
        <w:t>p. 238.</w:t>
      </w:r>
    </w:p>
  </w:footnote>
  <w:footnote w:id="652">
    <w:p w:rsidR="00AD690E" w:rsidRDefault="00AD690E" w:rsidP="00AD690E">
      <w:pPr>
        <w:pStyle w:val="Notedebasdepage"/>
      </w:pPr>
      <w:r>
        <w:rPr>
          <w:rStyle w:val="Appelnotedebasdep"/>
        </w:rPr>
        <w:footnoteRef/>
      </w:r>
      <w:r>
        <w:t xml:space="preserve"> </w:t>
      </w:r>
      <w:r>
        <w:tab/>
      </w:r>
      <w:r w:rsidRPr="002C1E7D">
        <w:t>Débats de la Chambre des communes, 12 octobre 1971, p. 8580.</w:t>
      </w:r>
    </w:p>
  </w:footnote>
  <w:footnote w:id="653">
    <w:p w:rsidR="00AD690E" w:rsidRDefault="00AD690E" w:rsidP="00AD690E">
      <w:pPr>
        <w:pStyle w:val="Notedebasdepage"/>
      </w:pPr>
      <w:r>
        <w:rPr>
          <w:rStyle w:val="Appelnotedebasdep"/>
        </w:rPr>
        <w:footnoteRef/>
      </w:r>
      <w:r>
        <w:tab/>
      </w:r>
      <w:r w:rsidRPr="002C1E7D">
        <w:t>Ibid</w:t>
      </w:r>
      <w:r>
        <w:t>.</w:t>
      </w:r>
    </w:p>
  </w:footnote>
  <w:footnote w:id="654">
    <w:p w:rsidR="00AD690E" w:rsidRDefault="00AD690E" w:rsidP="00AD690E">
      <w:pPr>
        <w:pStyle w:val="Notedebasdepage"/>
      </w:pPr>
      <w:r>
        <w:rPr>
          <w:rStyle w:val="Appelnotedebasdep"/>
        </w:rPr>
        <w:footnoteRef/>
      </w:r>
      <w:r>
        <w:t xml:space="preserve"> </w:t>
      </w:r>
      <w:r>
        <w:tab/>
      </w:r>
      <w:r w:rsidRPr="002C1E7D">
        <w:rPr>
          <w:i/>
          <w:iCs/>
        </w:rPr>
        <w:t xml:space="preserve">Ibid., </w:t>
      </w:r>
      <w:r w:rsidRPr="002C1E7D">
        <w:t>p. 8581.</w:t>
      </w:r>
    </w:p>
  </w:footnote>
  <w:footnote w:id="655">
    <w:p w:rsidR="00AD690E" w:rsidRDefault="00AD690E" w:rsidP="00AD690E">
      <w:pPr>
        <w:pStyle w:val="Notedebasdepage"/>
      </w:pPr>
      <w:r>
        <w:rPr>
          <w:rStyle w:val="Appelnotedebasdep"/>
        </w:rPr>
        <w:footnoteRef/>
      </w:r>
      <w:r>
        <w:t xml:space="preserve"> </w:t>
      </w:r>
      <w:r>
        <w:tab/>
      </w:r>
      <w:r w:rsidRPr="008B5BD7">
        <w:rPr>
          <w:i/>
          <w:iCs/>
        </w:rPr>
        <w:t xml:space="preserve">Le Devoir, </w:t>
      </w:r>
      <w:r w:rsidRPr="008B5BD7">
        <w:t>9 octobre 1971, p. 4.</w:t>
      </w:r>
    </w:p>
  </w:footnote>
  <w:footnote w:id="656">
    <w:p w:rsidR="00AD690E" w:rsidRDefault="00AD690E" w:rsidP="00AD690E">
      <w:pPr>
        <w:pStyle w:val="Notedebasdepage"/>
      </w:pPr>
      <w:r>
        <w:rPr>
          <w:rStyle w:val="Appelnotedebasdep"/>
        </w:rPr>
        <w:footnoteRef/>
      </w:r>
      <w:r>
        <w:t xml:space="preserve"> </w:t>
      </w:r>
      <w:r>
        <w:tab/>
      </w:r>
      <w:r w:rsidRPr="00E430EE">
        <w:t>ROCHER, G., « Les ambiguïtés d'un Canada bilingue et bicult</w:t>
      </w:r>
      <w:r w:rsidRPr="00E430EE">
        <w:t>u</w:t>
      </w:r>
      <w:r w:rsidRPr="00E430EE">
        <w:t xml:space="preserve">rel », dans </w:t>
      </w:r>
      <w:hyperlink r:id="rId6" w:history="1">
        <w:r w:rsidRPr="00E430EE">
          <w:rPr>
            <w:rStyle w:val="Lienhypertexte"/>
            <w:i/>
            <w:iCs/>
            <w:szCs w:val="18"/>
          </w:rPr>
          <w:t>Le Québec en mutation</w:t>
        </w:r>
      </w:hyperlink>
      <w:r w:rsidRPr="00E430EE">
        <w:rPr>
          <w:i/>
          <w:iCs/>
        </w:rPr>
        <w:t xml:space="preserve">, </w:t>
      </w:r>
      <w:r w:rsidRPr="00E430EE">
        <w:t>Montréal, Hurtubise HMH, 1973, p. 123 et 126.</w:t>
      </w:r>
    </w:p>
  </w:footnote>
  <w:footnote w:id="657">
    <w:p w:rsidR="00AD690E" w:rsidRDefault="00AD690E" w:rsidP="00AD690E">
      <w:pPr>
        <w:pStyle w:val="Notedebasdepage"/>
      </w:pPr>
      <w:r>
        <w:rPr>
          <w:rStyle w:val="Appelnotedebasdep"/>
        </w:rPr>
        <w:footnoteRef/>
      </w:r>
      <w:r>
        <w:t xml:space="preserve"> </w:t>
      </w:r>
      <w:r>
        <w:tab/>
      </w:r>
      <w:r w:rsidRPr="00E430EE">
        <w:t xml:space="preserve">BURNET, J., </w:t>
      </w:r>
      <w:r w:rsidRPr="00E430EE">
        <w:rPr>
          <w:i/>
          <w:iCs/>
        </w:rPr>
        <w:t xml:space="preserve">loc. cit., </w:t>
      </w:r>
      <w:r w:rsidRPr="00E430EE">
        <w:t>p. 205.</w:t>
      </w:r>
    </w:p>
  </w:footnote>
  <w:footnote w:id="658">
    <w:p w:rsidR="00AD690E" w:rsidRDefault="00AD690E" w:rsidP="00AD690E">
      <w:pPr>
        <w:pStyle w:val="Notedebasdepage"/>
      </w:pPr>
      <w:r>
        <w:rPr>
          <w:rStyle w:val="Appelnotedebasdep"/>
        </w:rPr>
        <w:footnoteRef/>
      </w:r>
      <w:r>
        <w:t xml:space="preserve"> </w:t>
      </w:r>
      <w:r>
        <w:tab/>
      </w:r>
      <w:r>
        <w:rPr>
          <w:iCs/>
          <w:sz w:val="28"/>
        </w:rPr>
        <w:t xml:space="preserve"> </w:t>
      </w:r>
      <w:r w:rsidRPr="003A0449">
        <w:rPr>
          <w:i/>
          <w:iCs/>
        </w:rPr>
        <w:t xml:space="preserve">Le Devoir, </w:t>
      </w:r>
      <w:r w:rsidRPr="003A0449">
        <w:t>14 octobre 1971, pp. 4 et 6</w:t>
      </w:r>
      <w:r>
        <w:t>.</w:t>
      </w:r>
    </w:p>
  </w:footnote>
  <w:footnote w:id="659">
    <w:p w:rsidR="00AD690E" w:rsidRDefault="00AD690E" w:rsidP="00AD690E">
      <w:pPr>
        <w:pStyle w:val="Notedebasdepage"/>
      </w:pPr>
      <w:r>
        <w:rPr>
          <w:rStyle w:val="Appelnotedebasdep"/>
        </w:rPr>
        <w:footnoteRef/>
      </w:r>
      <w:r>
        <w:t xml:space="preserve"> </w:t>
      </w:r>
      <w:r>
        <w:tab/>
      </w:r>
      <w:r w:rsidRPr="005A23D6">
        <w:rPr>
          <w:i/>
          <w:iCs/>
        </w:rPr>
        <w:t xml:space="preserve">Autant de façons d'être Québécois, </w:t>
      </w:r>
      <w:r w:rsidRPr="005A23D6">
        <w:t>le plan d'action à l'intention des comm</w:t>
      </w:r>
      <w:r w:rsidRPr="005A23D6">
        <w:t>u</w:t>
      </w:r>
      <w:r w:rsidRPr="005A23D6">
        <w:t>nautés culturelles, est lancé officiellement en mars 1981, par Jacques-Yvan Morin, ministre d'État au Développement culturel et scientifique</w:t>
      </w:r>
      <w:r>
        <w:t>.</w:t>
      </w:r>
    </w:p>
  </w:footnote>
  <w:footnote w:id="660">
    <w:p w:rsidR="00AD690E" w:rsidRDefault="00AD690E" w:rsidP="00AD690E">
      <w:pPr>
        <w:pStyle w:val="Notedebasdepage"/>
      </w:pPr>
      <w:r>
        <w:rPr>
          <w:rStyle w:val="Appelnotedebasdep"/>
        </w:rPr>
        <w:footnoteRef/>
      </w:r>
      <w:r>
        <w:t xml:space="preserve"> </w:t>
      </w:r>
      <w:r>
        <w:tab/>
      </w:r>
      <w:r w:rsidRPr="005A23D6">
        <w:t>Cette section reprend une partie de l'article de RAMIREZ, B., « L'immigration, la recomposition de classe, et la crise du marché du tr</w:t>
      </w:r>
      <w:r w:rsidRPr="005A23D6">
        <w:t>a</w:t>
      </w:r>
      <w:r w:rsidRPr="005A23D6">
        <w:t xml:space="preserve">vail au Canada », dans </w:t>
      </w:r>
      <w:r w:rsidRPr="005A23D6">
        <w:rPr>
          <w:i/>
          <w:iCs/>
        </w:rPr>
        <w:t xml:space="preserve">Cahiers du socialisme, </w:t>
      </w:r>
      <w:r w:rsidRPr="005A23D6">
        <w:t>6 (automne 1980) : 85-131.</w:t>
      </w:r>
    </w:p>
  </w:footnote>
  <w:footnote w:id="661">
    <w:p w:rsidR="00AD690E" w:rsidRDefault="00AD690E" w:rsidP="00AD690E">
      <w:pPr>
        <w:pStyle w:val="Notedebasdepage"/>
      </w:pPr>
      <w:r>
        <w:rPr>
          <w:rStyle w:val="Appelnotedebasdep"/>
        </w:rPr>
        <w:footnoteRef/>
      </w:r>
      <w:r>
        <w:t xml:space="preserve"> </w:t>
      </w:r>
      <w:r>
        <w:tab/>
      </w:r>
      <w:r w:rsidRPr="00BD4D5B">
        <w:t>MINISTÈRE DE LA MAIN-D'</w:t>
      </w:r>
      <w:r>
        <w:t>ŒUVRE</w:t>
      </w:r>
      <w:r w:rsidRPr="00BD4D5B">
        <w:t xml:space="preserve"> ET DE L'IMMIGRATION, </w:t>
      </w:r>
      <w:r w:rsidRPr="00BD4D5B">
        <w:rPr>
          <w:i/>
          <w:iCs/>
        </w:rPr>
        <w:t>Polit</w:t>
      </w:r>
      <w:r w:rsidRPr="00BD4D5B">
        <w:rPr>
          <w:i/>
          <w:iCs/>
        </w:rPr>
        <w:t>i</w:t>
      </w:r>
      <w:r w:rsidRPr="00BD4D5B">
        <w:rPr>
          <w:i/>
          <w:iCs/>
        </w:rPr>
        <w:t xml:space="preserve">que canadienne d'immigration, 1966 </w:t>
      </w:r>
      <w:r w:rsidRPr="00BD4D5B">
        <w:t>(Livre blanc sur l'immigration), Ott</w:t>
      </w:r>
      <w:r w:rsidRPr="00BD4D5B">
        <w:t>a</w:t>
      </w:r>
      <w:r w:rsidRPr="00BD4D5B">
        <w:t>wa, 1966.</w:t>
      </w:r>
    </w:p>
  </w:footnote>
  <w:footnote w:id="662">
    <w:p w:rsidR="00AD690E" w:rsidRDefault="00AD690E" w:rsidP="00AD690E">
      <w:pPr>
        <w:pStyle w:val="Notedebasdepage"/>
      </w:pPr>
      <w:r>
        <w:rPr>
          <w:rStyle w:val="Appelnotedebasdep"/>
        </w:rPr>
        <w:footnoteRef/>
      </w:r>
      <w:r>
        <w:t xml:space="preserve"> </w:t>
      </w:r>
      <w:r>
        <w:tab/>
      </w:r>
      <w:r w:rsidRPr="00BD4D5B">
        <w:t xml:space="preserve">MINISTÈRE DE LA MAIN-D'ŒUVRE ET DE L'IMMIGRATION, </w:t>
      </w:r>
      <w:r w:rsidRPr="00BD4D5B">
        <w:rPr>
          <w:i/>
          <w:iCs/>
        </w:rPr>
        <w:t xml:space="preserve">Le programme d'immigration, </w:t>
      </w:r>
      <w:r w:rsidRPr="00BD4D5B">
        <w:t>(deuxième volume du Livre vert sur l'immigr</w:t>
      </w:r>
      <w:r w:rsidRPr="00BD4D5B">
        <w:t>a</w:t>
      </w:r>
      <w:r w:rsidRPr="00BD4D5B">
        <w:t>tion), Ottawa, 1974, pp. 86-90.</w:t>
      </w:r>
    </w:p>
  </w:footnote>
  <w:footnote w:id="663">
    <w:p w:rsidR="00AD690E" w:rsidRDefault="00AD690E" w:rsidP="00AD690E">
      <w:pPr>
        <w:pStyle w:val="Notedebasdepage"/>
      </w:pPr>
      <w:r>
        <w:rPr>
          <w:rStyle w:val="Appelnotedebasdep"/>
        </w:rPr>
        <w:footnoteRef/>
      </w:r>
      <w:r>
        <w:t xml:space="preserve"> </w:t>
      </w:r>
      <w:r>
        <w:tab/>
      </w:r>
      <w:r w:rsidRPr="00D11E5B">
        <w:t>FORSYTHE, D., dir., Let The Niggers Burn : The Sir George Williams Un</w:t>
      </w:r>
      <w:r w:rsidRPr="00D11E5B">
        <w:t>i</w:t>
      </w:r>
      <w:r w:rsidRPr="00D11E5B">
        <w:t>versity Affair and its Caribbean Aftermath, Montréal, Black Rose Books, 1971.</w:t>
      </w:r>
    </w:p>
  </w:footnote>
  <w:footnote w:id="664">
    <w:p w:rsidR="00AD690E" w:rsidRDefault="00AD690E" w:rsidP="00AD690E">
      <w:pPr>
        <w:pStyle w:val="Notedebasdepage"/>
      </w:pPr>
      <w:r>
        <w:rPr>
          <w:rStyle w:val="Appelnotedebasdep"/>
        </w:rPr>
        <w:footnoteRef/>
      </w:r>
      <w:r>
        <w:t xml:space="preserve"> </w:t>
      </w:r>
      <w:r>
        <w:tab/>
      </w:r>
      <w:r w:rsidRPr="00D11E5B">
        <w:t xml:space="preserve">Voir, à titre d'exemple, l'article de première page paru dans </w:t>
      </w:r>
      <w:r w:rsidRPr="00D11E5B">
        <w:rPr>
          <w:i/>
          <w:iCs/>
        </w:rPr>
        <w:t xml:space="preserve">The Globe and Mail </w:t>
      </w:r>
      <w:r w:rsidRPr="00D11E5B">
        <w:t>du 25 février 1975 : « Immigration, slow economy, unmask Can</w:t>
      </w:r>
      <w:r w:rsidRPr="00D11E5B">
        <w:t>a</w:t>
      </w:r>
      <w:r w:rsidRPr="00D11E5B">
        <w:t>dian bigotry, victims find ».</w:t>
      </w:r>
    </w:p>
  </w:footnote>
  <w:footnote w:id="665">
    <w:p w:rsidR="00AD690E" w:rsidRDefault="00AD690E" w:rsidP="00AD690E">
      <w:pPr>
        <w:pStyle w:val="Notedebasdepage"/>
      </w:pPr>
      <w:r>
        <w:rPr>
          <w:rStyle w:val="Appelnotedebasdep"/>
        </w:rPr>
        <w:footnoteRef/>
      </w:r>
      <w:r>
        <w:t xml:space="preserve"> </w:t>
      </w:r>
      <w:r>
        <w:tab/>
      </w:r>
      <w:r w:rsidRPr="006B3B2B">
        <w:t>Parmi les associations militantes noires de la région de Toronto, s</w:t>
      </w:r>
      <w:r w:rsidRPr="006B3B2B">
        <w:t>i</w:t>
      </w:r>
      <w:r w:rsidRPr="006B3B2B">
        <w:t xml:space="preserve">gnalons la Canadian-Jamaican Association qui publiait </w:t>
      </w:r>
      <w:r w:rsidRPr="006B3B2B">
        <w:rPr>
          <w:i/>
          <w:iCs/>
        </w:rPr>
        <w:t xml:space="preserve">The Islander, </w:t>
      </w:r>
      <w:r w:rsidRPr="006B3B2B">
        <w:t>et The New B</w:t>
      </w:r>
      <w:r w:rsidRPr="006B3B2B">
        <w:t>e</w:t>
      </w:r>
      <w:r w:rsidRPr="006B3B2B">
        <w:t xml:space="preserve">ginning Movement qui publiait </w:t>
      </w:r>
      <w:r w:rsidRPr="006B3B2B">
        <w:rPr>
          <w:i/>
          <w:iCs/>
        </w:rPr>
        <w:t>Carrabean Di</w:t>
      </w:r>
      <w:r w:rsidRPr="006B3B2B">
        <w:rPr>
          <w:i/>
          <w:iCs/>
        </w:rPr>
        <w:t>a</w:t>
      </w:r>
      <w:r w:rsidRPr="006B3B2B">
        <w:rPr>
          <w:i/>
          <w:iCs/>
        </w:rPr>
        <w:t>logue.</w:t>
      </w:r>
    </w:p>
  </w:footnote>
  <w:footnote w:id="666">
    <w:p w:rsidR="00AD690E" w:rsidRDefault="00AD690E" w:rsidP="00AD690E">
      <w:pPr>
        <w:pStyle w:val="Notedebasdepage"/>
      </w:pPr>
      <w:r>
        <w:rPr>
          <w:rStyle w:val="Appelnotedebasdep"/>
        </w:rPr>
        <w:footnoteRef/>
      </w:r>
      <w:r>
        <w:t xml:space="preserve"> </w:t>
      </w:r>
      <w:r>
        <w:tab/>
      </w:r>
      <w:r w:rsidRPr="006B3B2B">
        <w:t>« Entretien</w:t>
      </w:r>
      <w:r>
        <w:t>s</w:t>
      </w:r>
      <w:r w:rsidRPr="006B3B2B">
        <w:t> » avec KESSARIS, V., ADAMOU, D., (de l'Associ</w:t>
      </w:r>
      <w:r w:rsidRPr="006B3B2B">
        <w:t>a</w:t>
      </w:r>
      <w:r w:rsidRPr="006B3B2B">
        <w:t xml:space="preserve">tion des travailleurs grecs), dans </w:t>
      </w:r>
      <w:r w:rsidRPr="006B3B2B">
        <w:rPr>
          <w:i/>
          <w:iCs/>
        </w:rPr>
        <w:t xml:space="preserve">Le Magazine Ovo, </w:t>
      </w:r>
      <w:r w:rsidRPr="006B3B2B">
        <w:t>n° 27/28 (1978), pp. 7-9.</w:t>
      </w:r>
    </w:p>
  </w:footnote>
  <w:footnote w:id="667">
    <w:p w:rsidR="00AD690E" w:rsidRDefault="00AD690E" w:rsidP="00AD690E">
      <w:pPr>
        <w:pStyle w:val="Notedebasdepage"/>
      </w:pPr>
      <w:r>
        <w:rPr>
          <w:rStyle w:val="Appelnotedebasdep"/>
        </w:rPr>
        <w:footnoteRef/>
      </w:r>
      <w:r>
        <w:t xml:space="preserve"> </w:t>
      </w:r>
      <w:r>
        <w:tab/>
      </w:r>
      <w:r w:rsidRPr="00EF3097">
        <w:t xml:space="preserve">Voir notamment les reportages parus dans </w:t>
      </w:r>
      <w:r w:rsidRPr="00EF3097">
        <w:rPr>
          <w:i/>
          <w:iCs/>
        </w:rPr>
        <w:t xml:space="preserve">This Magazine </w:t>
      </w:r>
      <w:r w:rsidRPr="00EF3097">
        <w:t xml:space="preserve">ainsi que dans le journal militant italo-torontois </w:t>
      </w:r>
      <w:r w:rsidRPr="00EF3097">
        <w:rPr>
          <w:i/>
          <w:iCs/>
        </w:rPr>
        <w:t>Forze Nuove.</w:t>
      </w:r>
    </w:p>
  </w:footnote>
  <w:footnote w:id="668">
    <w:p w:rsidR="00AD690E" w:rsidRDefault="00AD690E" w:rsidP="00AD690E">
      <w:pPr>
        <w:pStyle w:val="Notedebasdepage"/>
      </w:pPr>
      <w:r>
        <w:rPr>
          <w:rStyle w:val="Appelnotedebasdep"/>
        </w:rPr>
        <w:footnoteRef/>
      </w:r>
      <w:r>
        <w:t xml:space="preserve"> </w:t>
      </w:r>
      <w:r>
        <w:tab/>
      </w:r>
      <w:r w:rsidRPr="00EF3097">
        <w:t xml:space="preserve">Voir, entre autres, les reportages parus dans </w:t>
      </w:r>
      <w:r w:rsidRPr="00EF3097">
        <w:rPr>
          <w:i/>
        </w:rPr>
        <w:t>Il</w:t>
      </w:r>
      <w:r w:rsidRPr="00EF3097">
        <w:t xml:space="preserve"> </w:t>
      </w:r>
      <w:r w:rsidRPr="00EF3097">
        <w:rPr>
          <w:i/>
          <w:iCs/>
        </w:rPr>
        <w:t xml:space="preserve">Lavoratore, </w:t>
      </w:r>
      <w:r w:rsidRPr="00EF3097">
        <w:t>organe officiel du Mouvement progressiste italo-québécois qui a joué un rôle de leader</w:t>
      </w:r>
      <w:r w:rsidRPr="00EF3097">
        <w:t>s</w:t>
      </w:r>
      <w:r w:rsidRPr="00EF3097">
        <w:t>hip dans cette grève.</w:t>
      </w:r>
    </w:p>
  </w:footnote>
  <w:footnote w:id="669">
    <w:p w:rsidR="00AD690E" w:rsidRDefault="00AD690E" w:rsidP="00AD690E">
      <w:pPr>
        <w:pStyle w:val="Notedebasdepage"/>
      </w:pPr>
      <w:r>
        <w:rPr>
          <w:rStyle w:val="Appelnotedebasdep"/>
        </w:rPr>
        <w:footnoteRef/>
      </w:r>
      <w:r>
        <w:t xml:space="preserve"> </w:t>
      </w:r>
      <w:r>
        <w:tab/>
      </w:r>
      <w:r w:rsidRPr="00EF3097">
        <w:t>Class Bias in Toronto Schools — The Par</w:t>
      </w:r>
      <w:r>
        <w:t>k</w:t>
      </w:r>
      <w:r w:rsidRPr="00EF3097">
        <w:t xml:space="preserve"> School Brief », dans </w:t>
      </w:r>
      <w:r w:rsidRPr="00EF3097">
        <w:rPr>
          <w:i/>
          <w:iCs/>
        </w:rPr>
        <w:t>This Mag</w:t>
      </w:r>
      <w:r w:rsidRPr="00EF3097">
        <w:rPr>
          <w:i/>
          <w:iCs/>
        </w:rPr>
        <w:t>a</w:t>
      </w:r>
      <w:r w:rsidRPr="00EF3097">
        <w:rPr>
          <w:i/>
          <w:iCs/>
        </w:rPr>
        <w:t xml:space="preserve">zine Is About Schools, </w:t>
      </w:r>
      <w:r w:rsidRPr="00EF3097">
        <w:t>V, n° 4 (automne/hiver 1971) : 6-35.</w:t>
      </w:r>
    </w:p>
  </w:footnote>
  <w:footnote w:id="670">
    <w:p w:rsidR="00AD690E" w:rsidRDefault="00AD690E" w:rsidP="00AD690E">
      <w:pPr>
        <w:pStyle w:val="Notedebasdepage"/>
      </w:pPr>
      <w:r>
        <w:rPr>
          <w:rStyle w:val="Appelnotedebasdep"/>
        </w:rPr>
        <w:footnoteRef/>
      </w:r>
      <w:r>
        <w:t xml:space="preserve"> </w:t>
      </w:r>
      <w:r>
        <w:tab/>
      </w:r>
      <w:r w:rsidRPr="00650FDD">
        <w:t xml:space="preserve">Voir notamment CAPPON, P., </w:t>
      </w:r>
      <w:r w:rsidRPr="00650FDD">
        <w:rPr>
          <w:i/>
          <w:iCs/>
        </w:rPr>
        <w:t>Conflit entre les Néo-Canadiens et les fra</w:t>
      </w:r>
      <w:r w:rsidRPr="00650FDD">
        <w:rPr>
          <w:i/>
          <w:iCs/>
        </w:rPr>
        <w:t>n</w:t>
      </w:r>
      <w:r w:rsidRPr="00650FDD">
        <w:rPr>
          <w:i/>
          <w:iCs/>
        </w:rPr>
        <w:t xml:space="preserve">cophones de Montréal, </w:t>
      </w:r>
      <w:r w:rsidRPr="00650FDD">
        <w:t>Québec, P.U.L., 1974, ou l'ouvrage de TA</w:t>
      </w:r>
      <w:r w:rsidRPr="00650FDD">
        <w:t>D</w:t>
      </w:r>
      <w:r w:rsidRPr="00650FDD">
        <w:t xml:space="preserve">DEO, D. et TARAS, R., </w:t>
      </w:r>
      <w:r w:rsidRPr="00650FDD">
        <w:rPr>
          <w:i/>
          <w:iCs/>
        </w:rPr>
        <w:t xml:space="preserve">Le débat linguistique au Québec, </w:t>
      </w:r>
      <w:r w:rsidRPr="00650FDD">
        <w:t>Mo</w:t>
      </w:r>
      <w:r w:rsidRPr="00650FDD">
        <w:t>n</w:t>
      </w:r>
      <w:r w:rsidRPr="00650FDD">
        <w:t>tréal, P.U.M., 1987.</w:t>
      </w:r>
    </w:p>
  </w:footnote>
  <w:footnote w:id="671">
    <w:p w:rsidR="00AD690E" w:rsidRDefault="00AD690E" w:rsidP="00AD690E">
      <w:pPr>
        <w:pStyle w:val="Notedebasdepage"/>
      </w:pPr>
      <w:r>
        <w:rPr>
          <w:rStyle w:val="Appelnotedebasdep"/>
        </w:rPr>
        <w:footnoteRef/>
      </w:r>
      <w:r>
        <w:t xml:space="preserve"> </w:t>
      </w:r>
      <w:r>
        <w:tab/>
      </w:r>
      <w:r w:rsidRPr="00650FDD">
        <w:t>. BIGGIN, P., « We've Just Begin to Fight ! — The UIW Fights for Inj</w:t>
      </w:r>
      <w:r w:rsidRPr="00650FDD">
        <w:t>u</w:t>
      </w:r>
      <w:r w:rsidRPr="00650FDD">
        <w:t xml:space="preserve">red Workers », dans </w:t>
      </w:r>
      <w:r w:rsidRPr="00650FDD">
        <w:rPr>
          <w:i/>
          <w:iCs/>
        </w:rPr>
        <w:t>Canadian Forum.</w:t>
      </w:r>
    </w:p>
  </w:footnote>
  <w:footnote w:id="672">
    <w:p w:rsidR="00AD690E" w:rsidRDefault="00AD690E" w:rsidP="00AD690E">
      <w:pPr>
        <w:pStyle w:val="Notedebasdepage"/>
      </w:pPr>
      <w:r>
        <w:rPr>
          <w:rStyle w:val="Appelnotedebasdep"/>
        </w:rPr>
        <w:footnoteRef/>
      </w:r>
      <w:r>
        <w:t xml:space="preserve"> </w:t>
      </w:r>
      <w:r>
        <w:tab/>
      </w:r>
      <w:r w:rsidRPr="00B054C0">
        <w:t xml:space="preserve">ASSOCIATION DE CULTURE POPULAIRE ITALO-QUÉBÉCOISE, </w:t>
      </w:r>
      <w:r w:rsidRPr="00B054C0">
        <w:rPr>
          <w:i/>
          <w:iCs/>
        </w:rPr>
        <w:t>I</w:t>
      </w:r>
      <w:r w:rsidRPr="00B054C0">
        <w:rPr>
          <w:i/>
          <w:iCs/>
        </w:rPr>
        <w:t>m</w:t>
      </w:r>
      <w:r w:rsidRPr="00B054C0">
        <w:rPr>
          <w:i/>
          <w:iCs/>
        </w:rPr>
        <w:t xml:space="preserve">migrazione e communità italiana nel Québec, </w:t>
      </w:r>
      <w:r w:rsidRPr="00B054C0">
        <w:t>Montréal, ACPIQ, 1978.</w:t>
      </w:r>
    </w:p>
  </w:footnote>
  <w:footnote w:id="673">
    <w:p w:rsidR="00AD690E" w:rsidRDefault="00AD690E" w:rsidP="00AD690E">
      <w:pPr>
        <w:pStyle w:val="Notedebasdepage"/>
      </w:pPr>
      <w:r>
        <w:rPr>
          <w:rStyle w:val="Appelnotedebasdep"/>
        </w:rPr>
        <w:footnoteRef/>
      </w:r>
      <w:r>
        <w:t xml:space="preserve"> </w:t>
      </w:r>
      <w:r>
        <w:tab/>
      </w:r>
      <w:r w:rsidRPr="0030608B">
        <w:t>Pour une analyse politique de la nouvelle loi d'immigration voir RAM</w:t>
      </w:r>
      <w:r w:rsidRPr="0030608B">
        <w:t>I</w:t>
      </w:r>
      <w:r w:rsidRPr="0030608B">
        <w:t xml:space="preserve">REZ, B., « L'immigration... », </w:t>
      </w:r>
      <w:r w:rsidRPr="0030608B">
        <w:rPr>
          <w:i/>
          <w:iCs/>
        </w:rPr>
        <w:t>loc. cit</w:t>
      </w:r>
    </w:p>
  </w:footnote>
  <w:footnote w:id="674">
    <w:p w:rsidR="00AD690E" w:rsidRDefault="00AD690E" w:rsidP="00AD690E">
      <w:pPr>
        <w:pStyle w:val="Notedebasdepage"/>
      </w:pPr>
      <w:r>
        <w:rPr>
          <w:rStyle w:val="Appelnotedebasdep"/>
        </w:rPr>
        <w:footnoteRef/>
      </w:r>
      <w:r>
        <w:t xml:space="preserve"> </w:t>
      </w:r>
      <w:r>
        <w:tab/>
      </w:r>
      <w:r w:rsidRPr="0030608B">
        <w:t>RAMIREZ, B., « Réflexion sur la nouvelle politique d'immigr</w:t>
      </w:r>
      <w:r w:rsidRPr="0030608B">
        <w:t>a</w:t>
      </w:r>
      <w:r w:rsidRPr="0030608B">
        <w:t xml:space="preserve">tion », dans </w:t>
      </w:r>
      <w:r w:rsidRPr="0030608B">
        <w:rPr>
          <w:i/>
          <w:iCs/>
        </w:rPr>
        <w:t xml:space="preserve">Interventions économiques, </w:t>
      </w:r>
      <w:r w:rsidRPr="0030608B">
        <w:t>n° 11 (automne 1983) : 135-141</w:t>
      </w:r>
      <w:r>
        <w:t>.</w:t>
      </w:r>
    </w:p>
  </w:footnote>
  <w:footnote w:id="675">
    <w:p w:rsidR="00AD690E" w:rsidRDefault="00AD690E" w:rsidP="00AD690E">
      <w:pPr>
        <w:pStyle w:val="Notedebasdepage"/>
      </w:pPr>
      <w:r>
        <w:rPr>
          <w:rStyle w:val="Appelnotedebasdep"/>
        </w:rPr>
        <w:footnoteRef/>
      </w:r>
      <w:r>
        <w:t xml:space="preserve"> </w:t>
      </w:r>
      <w:r>
        <w:tab/>
      </w:r>
      <w:r w:rsidRPr="003D6D91">
        <w:t>Le rapport entre le multiculturalisme et les études ethniques est an</w:t>
      </w:r>
      <w:r w:rsidRPr="003D6D91">
        <w:t>a</w:t>
      </w:r>
      <w:r w:rsidRPr="003D6D91">
        <w:t xml:space="preserve">lysé par RAMIREZ, B., dans Collectif, </w:t>
      </w:r>
      <w:r w:rsidRPr="003D6D91">
        <w:rPr>
          <w:i/>
          <w:iCs/>
        </w:rPr>
        <w:t>Le Québec et l'école à clientèle pluriethn</w:t>
      </w:r>
      <w:r w:rsidRPr="003D6D91">
        <w:rPr>
          <w:i/>
          <w:iCs/>
        </w:rPr>
        <w:t>i</w:t>
      </w:r>
      <w:r w:rsidRPr="003D6D91">
        <w:rPr>
          <w:i/>
          <w:iCs/>
        </w:rPr>
        <w:t xml:space="preserve">que, </w:t>
      </w:r>
      <w:r w:rsidRPr="003D6D91">
        <w:t>Éditeur officiel du Québec, 1987, p. 95-122. Voir également, de R</w:t>
      </w:r>
      <w:r w:rsidRPr="003D6D91">
        <w:t>A</w:t>
      </w:r>
      <w:r w:rsidRPr="003D6D91">
        <w:t xml:space="preserve">MIREZ, B., « Ethnic Studies and Working-Class History », </w:t>
      </w:r>
      <w:r w:rsidRPr="003D6D91">
        <w:rPr>
          <w:i/>
          <w:iCs/>
        </w:rPr>
        <w:t>L</w:t>
      </w:r>
      <w:r w:rsidRPr="003D6D91">
        <w:rPr>
          <w:i/>
          <w:iCs/>
        </w:rPr>
        <w:t>a</w:t>
      </w:r>
      <w:r w:rsidRPr="003D6D91">
        <w:rPr>
          <w:i/>
          <w:iCs/>
        </w:rPr>
        <w:t xml:space="preserve">bour I Le Travail, </w:t>
      </w:r>
      <w:r w:rsidRPr="003D6D91">
        <w:t>n° 17, (1987) : 45-48.</w:t>
      </w:r>
    </w:p>
  </w:footnote>
  <w:footnote w:id="676">
    <w:p w:rsidR="00AD690E" w:rsidRDefault="00AD690E" w:rsidP="00AD690E">
      <w:pPr>
        <w:pStyle w:val="Notedebasdepage"/>
      </w:pPr>
      <w:r>
        <w:rPr>
          <w:rStyle w:val="Appelnotedebasdep"/>
        </w:rPr>
        <w:footnoteRef/>
      </w:r>
      <w:r>
        <w:t xml:space="preserve"> </w:t>
      </w:r>
      <w:r>
        <w:tab/>
      </w:r>
      <w:r w:rsidRPr="003D6795">
        <w:t>CANADA, Commission royale d'enquête sur l'avancement des Arts, Le</w:t>
      </w:r>
      <w:r w:rsidRPr="003D6795">
        <w:t>t</w:t>
      </w:r>
      <w:r w:rsidRPr="003D6795">
        <w:t>tres et Sciences au Canada. Rapport, Ottawa, Imprimeur du Roi, 1951 (Rapport MASSEY).</w:t>
      </w:r>
    </w:p>
  </w:footnote>
  <w:footnote w:id="677">
    <w:p w:rsidR="00AD690E" w:rsidRDefault="00AD690E" w:rsidP="00AD690E">
      <w:pPr>
        <w:pStyle w:val="Notedebasdepage"/>
      </w:pPr>
      <w:r>
        <w:rPr>
          <w:rStyle w:val="Appelnotedebasdep"/>
        </w:rPr>
        <w:footnoteRef/>
      </w:r>
      <w:r>
        <w:t xml:space="preserve"> </w:t>
      </w:r>
      <w:r>
        <w:tab/>
      </w:r>
      <w:r w:rsidRPr="003D6795">
        <w:t xml:space="preserve">OSTRY, B., </w:t>
      </w:r>
      <w:r w:rsidRPr="003D6795">
        <w:rPr>
          <w:i/>
          <w:iCs/>
        </w:rPr>
        <w:t xml:space="preserve">The Cultural Connection, </w:t>
      </w:r>
      <w:r w:rsidRPr="003D6795">
        <w:t>Toronto, McClelland and St</w:t>
      </w:r>
      <w:r w:rsidRPr="003D6795">
        <w:t>e</w:t>
      </w:r>
      <w:r w:rsidRPr="003D6795">
        <w:t>wart, 1978, p. 160.</w:t>
      </w:r>
    </w:p>
  </w:footnote>
  <w:footnote w:id="678">
    <w:p w:rsidR="00AD690E" w:rsidRDefault="00AD690E" w:rsidP="00AD690E">
      <w:pPr>
        <w:pStyle w:val="Notedebasdepage"/>
      </w:pPr>
      <w:r>
        <w:rPr>
          <w:rStyle w:val="Appelnotedebasdep"/>
        </w:rPr>
        <w:footnoteRef/>
      </w:r>
      <w:r>
        <w:t xml:space="preserve"> </w:t>
      </w:r>
      <w:r>
        <w:tab/>
      </w:r>
      <w:r w:rsidRPr="003D6795">
        <w:t xml:space="preserve">BRUNELLE, D., </w:t>
      </w:r>
      <w:hyperlink r:id="rId7" w:history="1">
        <w:r w:rsidRPr="003D6795">
          <w:rPr>
            <w:rStyle w:val="Lienhypertexte"/>
            <w:i/>
            <w:iCs/>
            <w:szCs w:val="18"/>
          </w:rPr>
          <w:t>Les trois colombes</w:t>
        </w:r>
      </w:hyperlink>
      <w:r w:rsidRPr="003D6795">
        <w:t>, Montréal, VLB Éditeur, 1985, p. 247.</w:t>
      </w:r>
    </w:p>
  </w:footnote>
  <w:footnote w:id="679">
    <w:p w:rsidR="00AD690E" w:rsidRDefault="00AD690E" w:rsidP="00AD690E">
      <w:pPr>
        <w:pStyle w:val="Notedebasdepage"/>
      </w:pPr>
      <w:r>
        <w:rPr>
          <w:rStyle w:val="Appelnotedebasdep"/>
        </w:rPr>
        <w:footnoteRef/>
      </w:r>
      <w:r>
        <w:t xml:space="preserve"> </w:t>
      </w:r>
      <w:r>
        <w:tab/>
      </w:r>
      <w:r w:rsidRPr="00141A5A">
        <w:t xml:space="preserve">LAXER, J. et LAXER, R, </w:t>
      </w:r>
      <w:r w:rsidRPr="00141A5A">
        <w:rPr>
          <w:i/>
          <w:iCs/>
        </w:rPr>
        <w:t xml:space="preserve">Le Canada des libéraux, </w:t>
      </w:r>
      <w:r w:rsidRPr="00141A5A">
        <w:t>Montréal, Éditions Qu</w:t>
      </w:r>
      <w:r w:rsidRPr="00141A5A">
        <w:t>é</w:t>
      </w:r>
      <w:r w:rsidRPr="00141A5A">
        <w:t>bec/Amérique, 1978, p. 70.</w:t>
      </w:r>
    </w:p>
  </w:footnote>
  <w:footnote w:id="680">
    <w:p w:rsidR="00AD690E" w:rsidRDefault="00AD690E" w:rsidP="00AD690E">
      <w:pPr>
        <w:pStyle w:val="Notedebasdepage"/>
      </w:pPr>
      <w:r>
        <w:rPr>
          <w:rStyle w:val="Appelnotedebasdep"/>
        </w:rPr>
        <w:footnoteRef/>
      </w:r>
      <w:r>
        <w:tab/>
        <w:t xml:space="preserve"> </w:t>
      </w:r>
      <w:r w:rsidRPr="00F44180">
        <w:t xml:space="preserve">FIRESTONE, O.J., </w:t>
      </w:r>
      <w:r w:rsidRPr="00F44180">
        <w:rPr>
          <w:i/>
          <w:iCs/>
        </w:rPr>
        <w:t>Broadcast Advertising in Canada, Past and F</w:t>
      </w:r>
      <w:r w:rsidRPr="00F44180">
        <w:rPr>
          <w:i/>
          <w:iCs/>
        </w:rPr>
        <w:t>u</w:t>
      </w:r>
      <w:r w:rsidRPr="00F44180">
        <w:rPr>
          <w:i/>
          <w:iCs/>
        </w:rPr>
        <w:t xml:space="preserve">ture Growth, </w:t>
      </w:r>
      <w:r w:rsidRPr="00F44180">
        <w:t>Ottawa, University of Ottawa Press, 1966, p. 151.</w:t>
      </w:r>
    </w:p>
  </w:footnote>
  <w:footnote w:id="681">
    <w:p w:rsidR="00AD690E" w:rsidRDefault="00AD690E" w:rsidP="00AD690E">
      <w:pPr>
        <w:pStyle w:val="Notedebasdepage"/>
      </w:pPr>
      <w:r>
        <w:rPr>
          <w:rStyle w:val="Appelnotedebasdep"/>
        </w:rPr>
        <w:footnoteRef/>
      </w:r>
      <w:r>
        <w:t xml:space="preserve"> </w:t>
      </w:r>
      <w:r>
        <w:tab/>
        <w:t>L</w:t>
      </w:r>
      <w:r w:rsidRPr="00F44180">
        <w:t xml:space="preserve">INTEAU, P.A., DUROCHER, R., ROBERT, J.C., RICARD, F., </w:t>
      </w:r>
      <w:r w:rsidRPr="00F44180">
        <w:rPr>
          <w:i/>
          <w:iCs/>
        </w:rPr>
        <w:t xml:space="preserve">Histoire du Québec contemporain. Le Québec depuis 1930, </w:t>
      </w:r>
      <w:r w:rsidRPr="00F44180">
        <w:t>Montréal, Boréal E</w:t>
      </w:r>
      <w:r w:rsidRPr="00F44180">
        <w:t>x</w:t>
      </w:r>
      <w:r w:rsidRPr="00F44180">
        <w:t>press, 1986, p. 676.</w:t>
      </w:r>
    </w:p>
  </w:footnote>
  <w:footnote w:id="682">
    <w:p w:rsidR="00AD690E" w:rsidRDefault="00AD690E" w:rsidP="00AD690E">
      <w:pPr>
        <w:pStyle w:val="Notedebasdepage"/>
      </w:pPr>
      <w:r>
        <w:rPr>
          <w:rStyle w:val="Appelnotedebasdep"/>
        </w:rPr>
        <w:footnoteRef/>
      </w:r>
      <w:r>
        <w:t xml:space="preserve"> </w:t>
      </w:r>
      <w:r>
        <w:tab/>
      </w:r>
      <w:r w:rsidRPr="00F44180">
        <w:t xml:space="preserve">Voir BABE, R.E., </w:t>
      </w:r>
      <w:r w:rsidRPr="00F44180">
        <w:rPr>
          <w:i/>
          <w:iCs/>
        </w:rPr>
        <w:t>Structure, réglementation et performance de la télév</w:t>
      </w:r>
      <w:r w:rsidRPr="00F44180">
        <w:rPr>
          <w:i/>
          <w:iCs/>
        </w:rPr>
        <w:t>i</w:t>
      </w:r>
      <w:r w:rsidRPr="00F44180">
        <w:rPr>
          <w:i/>
          <w:iCs/>
        </w:rPr>
        <w:t xml:space="preserve">sion canadienne, </w:t>
      </w:r>
      <w:r w:rsidRPr="00F44180">
        <w:t xml:space="preserve">Ottawa, ministère des Approvisionnements et Services Canada, 1979, p. 221 ; RESCHENTHALER, G.B., « Direct Régulation in Canada : Some Policies and Problems », dans W.T., STANBURY (éd.), </w:t>
      </w:r>
      <w:r w:rsidRPr="00F44180">
        <w:rPr>
          <w:i/>
          <w:iCs/>
        </w:rPr>
        <w:t xml:space="preserve">Studies on Régulation in Canada, </w:t>
      </w:r>
      <w:r w:rsidRPr="00F44180">
        <w:t>Toronto, Institute for Research on P</w:t>
      </w:r>
      <w:r w:rsidRPr="00F44180">
        <w:t>u</w:t>
      </w:r>
      <w:r w:rsidRPr="00F44180">
        <w:t xml:space="preserve">blic Policy, 1978, p. 88-90. Également HARDIN, H., </w:t>
      </w:r>
      <w:r w:rsidRPr="00F44180">
        <w:rPr>
          <w:i/>
          <w:iCs/>
        </w:rPr>
        <w:t xml:space="preserve">Closed Circuits : The Sellout of Canadian TV, </w:t>
      </w:r>
      <w:r w:rsidRPr="00F44180">
        <w:t>Va</w:t>
      </w:r>
      <w:r w:rsidRPr="00F44180">
        <w:t>n</w:t>
      </w:r>
      <w:r w:rsidRPr="00F44180">
        <w:t>couver, Douglas and Mac Intyre, 1985.</w:t>
      </w:r>
    </w:p>
  </w:footnote>
  <w:footnote w:id="683">
    <w:p w:rsidR="00AD690E" w:rsidRDefault="00AD690E" w:rsidP="00AD690E">
      <w:pPr>
        <w:pStyle w:val="Notedebasdepage"/>
      </w:pPr>
      <w:r>
        <w:rPr>
          <w:rStyle w:val="Appelnotedebasdep"/>
        </w:rPr>
        <w:footnoteRef/>
      </w:r>
      <w:r>
        <w:t xml:space="preserve"> </w:t>
      </w:r>
      <w:r>
        <w:tab/>
      </w:r>
      <w:r w:rsidRPr="002E15E7">
        <w:t xml:space="preserve">OSTRY, B., </w:t>
      </w:r>
      <w:r w:rsidRPr="002E15E7">
        <w:rPr>
          <w:i/>
          <w:iCs/>
        </w:rPr>
        <w:t xml:space="preserve">op. cit., </w:t>
      </w:r>
      <w:r w:rsidRPr="002E15E7">
        <w:t>p. 104</w:t>
      </w:r>
      <w:r>
        <w:t>.</w:t>
      </w:r>
    </w:p>
  </w:footnote>
  <w:footnote w:id="684">
    <w:p w:rsidR="00AD690E" w:rsidRDefault="00AD690E" w:rsidP="00AD690E">
      <w:pPr>
        <w:pStyle w:val="Notedebasdepage"/>
      </w:pPr>
      <w:r>
        <w:rPr>
          <w:rStyle w:val="Appelnotedebasdep"/>
        </w:rPr>
        <w:footnoteRef/>
      </w:r>
      <w:r>
        <w:t xml:space="preserve"> </w:t>
      </w:r>
      <w:r>
        <w:tab/>
      </w:r>
      <w:r w:rsidRPr="002E15E7">
        <w:t>SIMARD, C, « La culture institutionnalisée. Étude du cas québ</w:t>
      </w:r>
      <w:r w:rsidRPr="002E15E7">
        <w:t>é</w:t>
      </w:r>
      <w:r w:rsidRPr="002E15E7">
        <w:t xml:space="preserve">cois », dans </w:t>
      </w:r>
      <w:hyperlink r:id="rId8" w:history="1">
        <w:r w:rsidRPr="002E15E7">
          <w:rPr>
            <w:rStyle w:val="Lienhypertexte"/>
            <w:i/>
            <w:iCs/>
            <w:szCs w:val="18"/>
          </w:rPr>
          <w:t>Questions de culture. La culture : une industrie ?</w:t>
        </w:r>
      </w:hyperlink>
      <w:r w:rsidRPr="002E15E7">
        <w:t>, Québec, IQCR, 1984, p. 155.</w:t>
      </w:r>
    </w:p>
  </w:footnote>
  <w:footnote w:id="685">
    <w:p w:rsidR="00AD690E" w:rsidRDefault="00AD690E" w:rsidP="00AD690E">
      <w:pPr>
        <w:pStyle w:val="Notedebasdepage"/>
      </w:pPr>
      <w:r>
        <w:rPr>
          <w:rStyle w:val="Appelnotedebasdep"/>
        </w:rPr>
        <w:footnoteRef/>
      </w:r>
      <w:r>
        <w:t xml:space="preserve"> </w:t>
      </w:r>
      <w:r>
        <w:tab/>
      </w:r>
      <w:r w:rsidRPr="002E15E7">
        <w:t>CANADA, Rapport de la Commission royale d'enquête sur le b</w:t>
      </w:r>
      <w:r w:rsidRPr="002E15E7">
        <w:t>i</w:t>
      </w:r>
      <w:r w:rsidRPr="002E15E7">
        <w:t>linguisme et le biculturalisme, Ottawa, Imprimeur de la Reine, 1969 (Rapport Laure</w:t>
      </w:r>
      <w:r w:rsidRPr="002E15E7">
        <w:t>n</w:t>
      </w:r>
      <w:r w:rsidRPr="002E15E7">
        <w:t>deau-Dunton).</w:t>
      </w:r>
    </w:p>
  </w:footnote>
  <w:footnote w:id="686">
    <w:p w:rsidR="00AD690E" w:rsidRDefault="00AD690E" w:rsidP="00AD690E">
      <w:pPr>
        <w:pStyle w:val="Notedebasdepage"/>
      </w:pPr>
      <w:r>
        <w:rPr>
          <w:rStyle w:val="Appelnotedebasdep"/>
        </w:rPr>
        <w:footnoteRef/>
      </w:r>
      <w:r>
        <w:t xml:space="preserve"> </w:t>
      </w:r>
      <w:r>
        <w:tab/>
      </w:r>
      <w:r w:rsidRPr="003872D5">
        <w:t xml:space="preserve">LINTEAU, P.-A. </w:t>
      </w:r>
      <w:r w:rsidRPr="003872D5">
        <w:rPr>
          <w:i/>
          <w:iCs/>
        </w:rPr>
        <w:t xml:space="preserve">(et aliï), op. cit., </w:t>
      </w:r>
      <w:r w:rsidRPr="003872D5">
        <w:t>p. 760.</w:t>
      </w:r>
    </w:p>
  </w:footnote>
  <w:footnote w:id="687">
    <w:p w:rsidR="00AD690E" w:rsidRDefault="00AD690E" w:rsidP="00AD690E">
      <w:pPr>
        <w:pStyle w:val="Notedebasdepage"/>
      </w:pPr>
      <w:r>
        <w:rPr>
          <w:rStyle w:val="Appelnotedebasdep"/>
        </w:rPr>
        <w:footnoteRef/>
      </w:r>
      <w:r>
        <w:tab/>
      </w:r>
      <w:r w:rsidRPr="003872D5">
        <w:t xml:space="preserve">BRUNELLE, D., </w:t>
      </w:r>
      <w:r w:rsidRPr="003872D5">
        <w:rPr>
          <w:i/>
          <w:iCs/>
        </w:rPr>
        <w:t xml:space="preserve">op. cit., </w:t>
      </w:r>
      <w:r w:rsidRPr="003872D5">
        <w:t>p. 191.</w:t>
      </w:r>
    </w:p>
  </w:footnote>
  <w:footnote w:id="688">
    <w:p w:rsidR="00AD690E" w:rsidRDefault="00AD690E" w:rsidP="00AD690E">
      <w:pPr>
        <w:pStyle w:val="Notedebasdepage"/>
      </w:pPr>
      <w:r>
        <w:rPr>
          <w:rStyle w:val="Appelnotedebasdep"/>
        </w:rPr>
        <w:footnoteRef/>
      </w:r>
      <w:r>
        <w:t xml:space="preserve"> </w:t>
      </w:r>
      <w:r>
        <w:tab/>
      </w:r>
      <w:r w:rsidRPr="003872D5">
        <w:t xml:space="preserve">LACHANCE, G., « La culture entre l'industrie et l'identité », dans </w:t>
      </w:r>
      <w:hyperlink r:id="rId9" w:history="1">
        <w:r w:rsidRPr="003872D5">
          <w:rPr>
            <w:rStyle w:val="Lienhypertexte"/>
            <w:i/>
            <w:iCs/>
            <w:szCs w:val="18"/>
          </w:rPr>
          <w:t>Questions de culture</w:t>
        </w:r>
      </w:hyperlink>
      <w:r w:rsidRPr="003872D5">
        <w:t>, Québec, IQCR, 1984, p. 154.</w:t>
      </w:r>
    </w:p>
  </w:footnote>
  <w:footnote w:id="689">
    <w:p w:rsidR="00AD690E" w:rsidRDefault="00AD690E" w:rsidP="00AD690E">
      <w:pPr>
        <w:pStyle w:val="Notedebasdepage"/>
      </w:pPr>
      <w:r>
        <w:rPr>
          <w:rStyle w:val="Appelnotedebasdep"/>
        </w:rPr>
        <w:footnoteRef/>
      </w:r>
      <w:r>
        <w:t xml:space="preserve"> </w:t>
      </w:r>
      <w:r>
        <w:tab/>
      </w:r>
      <w:r w:rsidRPr="003872D5">
        <w:t xml:space="preserve">LINTEAU, P. A., </w:t>
      </w:r>
      <w:r w:rsidRPr="003872D5">
        <w:rPr>
          <w:i/>
          <w:iCs/>
        </w:rPr>
        <w:t xml:space="preserve">(et aliï), op. cit., </w:t>
      </w:r>
      <w:r w:rsidRPr="003872D5">
        <w:t>p. 549.</w:t>
      </w:r>
    </w:p>
  </w:footnote>
  <w:footnote w:id="690">
    <w:p w:rsidR="00AD690E" w:rsidRPr="00C44464" w:rsidRDefault="00AD690E" w:rsidP="00AD690E">
      <w:pPr>
        <w:pStyle w:val="Notedebasdepage"/>
      </w:pPr>
      <w:r>
        <w:rPr>
          <w:rStyle w:val="Appelnotedebasdep"/>
        </w:rPr>
        <w:footnoteRef/>
      </w:r>
      <w:r>
        <w:t xml:space="preserve"> </w:t>
      </w:r>
      <w:r>
        <w:tab/>
      </w:r>
      <w:r w:rsidRPr="00C44464">
        <w:t xml:space="preserve">RYAN, C, Éditorial, </w:t>
      </w:r>
      <w:r w:rsidRPr="00C44464">
        <w:rPr>
          <w:i/>
          <w:iCs/>
        </w:rPr>
        <w:t xml:space="preserve">Le Devoir, </w:t>
      </w:r>
      <w:r w:rsidRPr="00C44464">
        <w:t>14 février 1963.</w:t>
      </w:r>
    </w:p>
  </w:footnote>
  <w:footnote w:id="691">
    <w:p w:rsidR="00AD690E" w:rsidRDefault="00AD690E" w:rsidP="00AD690E">
      <w:pPr>
        <w:pStyle w:val="Notedebasdepage"/>
      </w:pPr>
      <w:r>
        <w:rPr>
          <w:rStyle w:val="Appelnotedebasdep"/>
        </w:rPr>
        <w:footnoteRef/>
      </w:r>
      <w:r>
        <w:t xml:space="preserve"> </w:t>
      </w:r>
      <w:r>
        <w:tab/>
      </w:r>
      <w:r w:rsidRPr="00C44464">
        <w:t>LAURENDEAU, A., « Les programmes des partis fédéraux et le probl</w:t>
      </w:r>
      <w:r w:rsidRPr="00C44464">
        <w:t>è</w:t>
      </w:r>
      <w:r w:rsidRPr="00C44464">
        <w:t xml:space="preserve">me des deux cultures », </w:t>
      </w:r>
      <w:r w:rsidRPr="00C44464">
        <w:rPr>
          <w:i/>
          <w:iCs/>
        </w:rPr>
        <w:t xml:space="preserve">Le Devoir, </w:t>
      </w:r>
      <w:r w:rsidRPr="00C44464">
        <w:t>16 mai 1963</w:t>
      </w:r>
      <w:r>
        <w:t>.</w:t>
      </w:r>
    </w:p>
  </w:footnote>
  <w:footnote w:id="692">
    <w:p w:rsidR="00AD690E" w:rsidRDefault="00AD690E" w:rsidP="00AD690E">
      <w:pPr>
        <w:pStyle w:val="Notedebasdepage"/>
      </w:pPr>
      <w:r>
        <w:rPr>
          <w:rStyle w:val="Appelnotedebasdep"/>
        </w:rPr>
        <w:footnoteRef/>
      </w:r>
      <w:r>
        <w:t xml:space="preserve"> </w:t>
      </w:r>
      <w:r>
        <w:tab/>
      </w:r>
      <w:r w:rsidRPr="00C44464">
        <w:t xml:space="preserve">LAXER, J. et LAXER, R., </w:t>
      </w:r>
      <w:r w:rsidRPr="00C44464">
        <w:rPr>
          <w:i/>
          <w:iCs/>
        </w:rPr>
        <w:t xml:space="preserve">op. cit., </w:t>
      </w:r>
      <w:r w:rsidRPr="00C44464">
        <w:t>p. 207.</w:t>
      </w:r>
    </w:p>
  </w:footnote>
  <w:footnote w:id="693">
    <w:p w:rsidR="00AD690E" w:rsidRDefault="00AD690E" w:rsidP="00AD690E">
      <w:pPr>
        <w:pStyle w:val="Notedebasdepage"/>
      </w:pPr>
      <w:r>
        <w:rPr>
          <w:rStyle w:val="Appelnotedebasdep"/>
        </w:rPr>
        <w:footnoteRef/>
      </w:r>
      <w:r>
        <w:t xml:space="preserve"> </w:t>
      </w:r>
      <w:r>
        <w:tab/>
      </w:r>
      <w:r w:rsidRPr="007E6B20">
        <w:t xml:space="preserve">LESAGE, J., </w:t>
      </w:r>
      <w:r w:rsidRPr="007E6B20">
        <w:rPr>
          <w:i/>
          <w:iCs/>
        </w:rPr>
        <w:t xml:space="preserve">Discours du 2 mars 1961. </w:t>
      </w:r>
      <w:r w:rsidRPr="007E6B20">
        <w:t>Voir également L'A</w:t>
      </w:r>
      <w:r w:rsidRPr="007E6B20">
        <w:t>L</w:t>
      </w:r>
      <w:r w:rsidRPr="007E6B20">
        <w:t xml:space="preserve">LIER, J.-P., </w:t>
      </w:r>
      <w:r w:rsidRPr="007E6B20">
        <w:rPr>
          <w:i/>
          <w:iCs/>
        </w:rPr>
        <w:t xml:space="preserve">Pour l'évolution de la politique culturelle, </w:t>
      </w:r>
      <w:r w:rsidRPr="007E6B20">
        <w:t>Québec, MAC, mai 1976, pp. 10-90.</w:t>
      </w:r>
    </w:p>
  </w:footnote>
  <w:footnote w:id="694">
    <w:p w:rsidR="00AD690E" w:rsidRDefault="00AD690E" w:rsidP="00AD690E">
      <w:pPr>
        <w:pStyle w:val="Notedebasdepage"/>
      </w:pPr>
      <w:r>
        <w:rPr>
          <w:rStyle w:val="Appelnotedebasdep"/>
        </w:rPr>
        <w:footnoteRef/>
      </w:r>
      <w:r>
        <w:t xml:space="preserve"> </w:t>
      </w:r>
      <w:r>
        <w:tab/>
      </w:r>
      <w:r w:rsidRPr="0033116F">
        <w:t xml:space="preserve">OSTRY, B., </w:t>
      </w:r>
      <w:r w:rsidRPr="0033116F">
        <w:rPr>
          <w:i/>
          <w:iCs/>
        </w:rPr>
        <w:t xml:space="preserve">op. cit., </w:t>
      </w:r>
      <w:r w:rsidRPr="0033116F">
        <w:t>p. 108.</w:t>
      </w:r>
    </w:p>
  </w:footnote>
  <w:footnote w:id="695">
    <w:p w:rsidR="00AD690E" w:rsidRDefault="00AD690E" w:rsidP="00AD690E">
      <w:pPr>
        <w:pStyle w:val="Notedebasdepage"/>
      </w:pPr>
      <w:r>
        <w:rPr>
          <w:rStyle w:val="Appelnotedebasdep"/>
        </w:rPr>
        <w:footnoteRef/>
      </w:r>
      <w:r>
        <w:t xml:space="preserve"> </w:t>
      </w:r>
      <w:r>
        <w:tab/>
      </w:r>
      <w:r w:rsidRPr="0033116F">
        <w:t>À ce s</w:t>
      </w:r>
      <w:r>
        <w:t>ujet, TEEPLE G., écrit : « [...</w:t>
      </w:r>
      <w:r w:rsidRPr="00605ABB">
        <w:t>]</w:t>
      </w:r>
      <w:r>
        <w:rPr>
          <w:sz w:val="28"/>
        </w:rPr>
        <w:t xml:space="preserve"> </w:t>
      </w:r>
      <w:r w:rsidRPr="0033116F">
        <w:t>but multiculluralism as national pol</w:t>
      </w:r>
      <w:r w:rsidRPr="0033116F">
        <w:t>i</w:t>
      </w:r>
      <w:r w:rsidRPr="0033116F">
        <w:t>cy is the unwritting admission of no particular national culture », TE</w:t>
      </w:r>
      <w:r w:rsidRPr="0033116F">
        <w:t>E</w:t>
      </w:r>
      <w:r w:rsidRPr="0033116F">
        <w:t>PLE, G., « Free-Trade — The Last Decade », dans Our Gener</w:t>
      </w:r>
      <w:r w:rsidRPr="0033116F">
        <w:t>a</w:t>
      </w:r>
      <w:r w:rsidRPr="0033116F">
        <w:t>tion, vol. 18, n° 2, 1987, p. 46.</w:t>
      </w:r>
    </w:p>
  </w:footnote>
  <w:footnote w:id="696">
    <w:p w:rsidR="00AD690E" w:rsidRDefault="00AD690E" w:rsidP="00AD690E">
      <w:pPr>
        <w:pStyle w:val="Notedebasdepage"/>
      </w:pPr>
      <w:r>
        <w:rPr>
          <w:rStyle w:val="Appelnotedebasdep"/>
        </w:rPr>
        <w:footnoteRef/>
      </w:r>
      <w:r>
        <w:t xml:space="preserve"> </w:t>
      </w:r>
      <w:r>
        <w:tab/>
      </w:r>
      <w:r w:rsidRPr="0068014B">
        <w:t xml:space="preserve">GRANATSTEIN, J.L., « Culture and Scholarship : The First Ten Years of the Canada Council », </w:t>
      </w:r>
      <w:r w:rsidRPr="0068014B">
        <w:rPr>
          <w:i/>
          <w:iCs/>
        </w:rPr>
        <w:t xml:space="preserve">Canadian Historical Review, </w:t>
      </w:r>
      <w:r w:rsidRPr="0068014B">
        <w:t>LXV, 4 (december), 1984, p. 445 ; M1LLINGAN, F., « The Ambiguities of the Canada Cou</w:t>
      </w:r>
      <w:r w:rsidRPr="0068014B">
        <w:t>n</w:t>
      </w:r>
      <w:r w:rsidRPr="0068014B">
        <w:t xml:space="preserve">cil », dans HELWIG, D., (éd.), </w:t>
      </w:r>
      <w:r w:rsidRPr="0068014B">
        <w:rPr>
          <w:i/>
          <w:iCs/>
        </w:rPr>
        <w:t>Love and Money : The Politics of Cu</w:t>
      </w:r>
      <w:r w:rsidRPr="0068014B">
        <w:rPr>
          <w:i/>
          <w:iCs/>
        </w:rPr>
        <w:t>l</w:t>
      </w:r>
      <w:r w:rsidRPr="0068014B">
        <w:rPr>
          <w:i/>
          <w:iCs/>
        </w:rPr>
        <w:t xml:space="preserve">ture, </w:t>
      </w:r>
      <w:r w:rsidRPr="0068014B">
        <w:t>Ottawa, Aberon Press, 1980, p. 72.</w:t>
      </w:r>
    </w:p>
  </w:footnote>
  <w:footnote w:id="697">
    <w:p w:rsidR="00AD690E" w:rsidRDefault="00AD690E" w:rsidP="00AD690E">
      <w:pPr>
        <w:pStyle w:val="Notedebasdepage"/>
      </w:pPr>
      <w:r>
        <w:rPr>
          <w:rStyle w:val="Appelnotedebasdep"/>
        </w:rPr>
        <w:footnoteRef/>
      </w:r>
      <w:r>
        <w:t xml:space="preserve"> </w:t>
      </w:r>
      <w:r>
        <w:tab/>
      </w:r>
      <w:r w:rsidRPr="0068014B">
        <w:t xml:space="preserve">MAILHOT, L. et MÉLANÇON, B., </w:t>
      </w:r>
      <w:r w:rsidRPr="0068014B">
        <w:rPr>
          <w:i/>
          <w:iCs/>
        </w:rPr>
        <w:t>Le Conseil des Arts du Can</w:t>
      </w:r>
      <w:r w:rsidRPr="0068014B">
        <w:rPr>
          <w:i/>
          <w:iCs/>
        </w:rPr>
        <w:t>a</w:t>
      </w:r>
      <w:r w:rsidRPr="0068014B">
        <w:rPr>
          <w:i/>
          <w:iCs/>
        </w:rPr>
        <w:t xml:space="preserve">da, 1957-82, </w:t>
      </w:r>
      <w:r w:rsidRPr="0068014B">
        <w:t>Montréal, Léméac, 1982, p. 63.</w:t>
      </w:r>
    </w:p>
  </w:footnote>
  <w:footnote w:id="698">
    <w:p w:rsidR="00AD690E" w:rsidRDefault="00AD690E" w:rsidP="00AD690E">
      <w:pPr>
        <w:pStyle w:val="Notedebasdepage"/>
      </w:pPr>
      <w:r>
        <w:rPr>
          <w:rStyle w:val="Appelnotedebasdep"/>
        </w:rPr>
        <w:footnoteRef/>
      </w:r>
      <w:r>
        <w:t xml:space="preserve"> </w:t>
      </w:r>
      <w:r>
        <w:tab/>
      </w:r>
      <w:r w:rsidRPr="0068014B">
        <w:t>Cette somme devait être partagée entre le secteur des arts et le se</w:t>
      </w:r>
      <w:r w:rsidRPr="0068014B">
        <w:t>c</w:t>
      </w:r>
      <w:r w:rsidRPr="0068014B">
        <w:t>teur des humanités et sciences sociales, de sorte que ce qui revenait aux artistes se s</w:t>
      </w:r>
      <w:r w:rsidRPr="0068014B">
        <w:t>i</w:t>
      </w:r>
      <w:r w:rsidRPr="0068014B">
        <w:t>tuait plutôt autour de 1,4 million. De plus, il faut aussi dire que des cent mi</w:t>
      </w:r>
      <w:r w:rsidRPr="0068014B">
        <w:t>l</w:t>
      </w:r>
      <w:r w:rsidRPr="0068014B">
        <w:t>lions, cinquante millions avaient été a</w:t>
      </w:r>
      <w:r w:rsidRPr="0068014B">
        <w:t>f</w:t>
      </w:r>
      <w:r w:rsidRPr="0068014B">
        <w:t>fectés au secteur universitaire pour la construction d'édifices de sorte que la dotation du Conseil n'était que de ci</w:t>
      </w:r>
      <w:r w:rsidRPr="0068014B">
        <w:t>n</w:t>
      </w:r>
      <w:r w:rsidRPr="0068014B">
        <w:t>qua</w:t>
      </w:r>
      <w:r w:rsidRPr="0068014B">
        <w:t>n</w:t>
      </w:r>
      <w:r w:rsidRPr="0068014B">
        <w:t>te millions.</w:t>
      </w:r>
    </w:p>
  </w:footnote>
  <w:footnote w:id="699">
    <w:p w:rsidR="00AD690E" w:rsidRDefault="00AD690E" w:rsidP="00AD690E">
      <w:pPr>
        <w:pStyle w:val="Notedebasdepage"/>
      </w:pPr>
      <w:r>
        <w:rPr>
          <w:rStyle w:val="Appelnotedebasdep"/>
        </w:rPr>
        <w:footnoteRef/>
      </w:r>
      <w:r>
        <w:t xml:space="preserve"> </w:t>
      </w:r>
      <w:r>
        <w:tab/>
      </w:r>
      <w:r w:rsidRPr="0068014B">
        <w:t xml:space="preserve">MAILHOT, L. et MÉLANÇON, B., </w:t>
      </w:r>
      <w:r w:rsidRPr="0068014B">
        <w:rPr>
          <w:i/>
          <w:iCs/>
        </w:rPr>
        <w:t xml:space="preserve">op. cit., </w:t>
      </w:r>
      <w:r w:rsidRPr="0068014B">
        <w:t>p. 47.</w:t>
      </w:r>
    </w:p>
  </w:footnote>
  <w:footnote w:id="700">
    <w:p w:rsidR="00AD690E" w:rsidRDefault="00AD690E" w:rsidP="00AD690E">
      <w:pPr>
        <w:pStyle w:val="Notedebasdepage"/>
      </w:pPr>
      <w:r>
        <w:rPr>
          <w:rStyle w:val="Appelnotedebasdep"/>
        </w:rPr>
        <w:footnoteRef/>
      </w:r>
      <w:r>
        <w:t xml:space="preserve"> </w:t>
      </w:r>
      <w:r>
        <w:tab/>
      </w:r>
      <w:r w:rsidRPr="00A14C64">
        <w:t>GRANATSTEIN, J.L., art. cit., p. 446.</w:t>
      </w:r>
    </w:p>
  </w:footnote>
  <w:footnote w:id="701">
    <w:p w:rsidR="00AD690E" w:rsidRDefault="00AD690E" w:rsidP="00AD690E">
      <w:pPr>
        <w:pStyle w:val="Notedebasdepage"/>
      </w:pPr>
      <w:r>
        <w:rPr>
          <w:rStyle w:val="Appelnotedebasdep"/>
        </w:rPr>
        <w:footnoteRef/>
      </w:r>
      <w:r>
        <w:t xml:space="preserve"> </w:t>
      </w:r>
      <w:r>
        <w:tab/>
      </w:r>
      <w:r w:rsidRPr="00A14C64">
        <w:t xml:space="preserve">MAILHOT, L. et MÉLANÇON, B., </w:t>
      </w:r>
      <w:r w:rsidRPr="00A14C64">
        <w:rPr>
          <w:i/>
          <w:iCs/>
        </w:rPr>
        <w:t xml:space="preserve">op. cit., </w:t>
      </w:r>
      <w:r w:rsidRPr="00A14C64">
        <w:t>p. 47.</w:t>
      </w:r>
    </w:p>
  </w:footnote>
  <w:footnote w:id="702">
    <w:p w:rsidR="00AD690E" w:rsidRDefault="00AD690E" w:rsidP="00AD690E">
      <w:pPr>
        <w:pStyle w:val="Notedebasdepage"/>
      </w:pPr>
      <w:r>
        <w:rPr>
          <w:rStyle w:val="Appelnotedebasdep"/>
        </w:rPr>
        <w:footnoteRef/>
      </w:r>
      <w:r>
        <w:t xml:space="preserve"> </w:t>
      </w:r>
      <w:r>
        <w:tab/>
      </w:r>
      <w:r w:rsidRPr="00A14C64">
        <w:t xml:space="preserve">WOODCOCK, G., </w:t>
      </w:r>
      <w:r w:rsidRPr="00A14C64">
        <w:rPr>
          <w:i/>
          <w:iCs/>
        </w:rPr>
        <w:t>Strange Bedfellows. The State and the Arts in C</w:t>
      </w:r>
      <w:r w:rsidRPr="00A14C64">
        <w:rPr>
          <w:i/>
          <w:iCs/>
        </w:rPr>
        <w:t>a</w:t>
      </w:r>
      <w:r w:rsidRPr="00A14C64">
        <w:rPr>
          <w:i/>
          <w:iCs/>
        </w:rPr>
        <w:t xml:space="preserve">nada, </w:t>
      </w:r>
      <w:r w:rsidRPr="00A14C64">
        <w:t>Vancouver/ Toronto, Douglas and Mclntyre, 1985, p. 98.</w:t>
      </w:r>
    </w:p>
  </w:footnote>
  <w:footnote w:id="703">
    <w:p w:rsidR="00AD690E" w:rsidRDefault="00AD690E" w:rsidP="00AD690E">
      <w:pPr>
        <w:pStyle w:val="Notedebasdepage"/>
      </w:pPr>
      <w:r>
        <w:rPr>
          <w:rStyle w:val="Appelnotedebasdep"/>
        </w:rPr>
        <w:footnoteRef/>
      </w:r>
      <w:r>
        <w:t xml:space="preserve"> </w:t>
      </w:r>
      <w:r>
        <w:tab/>
      </w:r>
      <w:r w:rsidRPr="00110377">
        <w:t xml:space="preserve">OSTRY, B., </w:t>
      </w:r>
      <w:r w:rsidRPr="00110377">
        <w:rPr>
          <w:i/>
          <w:iCs/>
        </w:rPr>
        <w:t xml:space="preserve">op. cit., </w:t>
      </w:r>
      <w:r w:rsidRPr="00110377">
        <w:t>p. 100.</w:t>
      </w:r>
    </w:p>
  </w:footnote>
  <w:footnote w:id="704">
    <w:p w:rsidR="00AD690E" w:rsidRDefault="00AD690E" w:rsidP="00AD690E">
      <w:pPr>
        <w:pStyle w:val="Notedebasdepage"/>
      </w:pPr>
      <w:r>
        <w:rPr>
          <w:rStyle w:val="Appelnotedebasdep"/>
        </w:rPr>
        <w:footnoteRef/>
      </w:r>
      <w:r>
        <w:t xml:space="preserve"> </w:t>
      </w:r>
      <w:r>
        <w:tab/>
      </w:r>
      <w:r w:rsidRPr="00110377">
        <w:t xml:space="preserve">FREMONT, J., </w:t>
      </w:r>
      <w:r w:rsidRPr="00110377">
        <w:rPr>
          <w:i/>
          <w:iCs/>
        </w:rPr>
        <w:t>Études des objectifs et des principes propos et adoptés rel</w:t>
      </w:r>
      <w:r w:rsidRPr="00110377">
        <w:rPr>
          <w:i/>
          <w:iCs/>
        </w:rPr>
        <w:t>a</w:t>
      </w:r>
      <w:r w:rsidRPr="00110377">
        <w:rPr>
          <w:i/>
          <w:iCs/>
        </w:rPr>
        <w:t xml:space="preserve">tivement au système de la radiodiffusion canadienne., </w:t>
      </w:r>
      <w:r w:rsidRPr="00110377">
        <w:t>Montréal, Étude réal</w:t>
      </w:r>
      <w:r w:rsidRPr="00110377">
        <w:t>i</w:t>
      </w:r>
      <w:r w:rsidRPr="00110377">
        <w:t>sée à l'intention du groupe de travail sur la politique de la radiodiff</w:t>
      </w:r>
      <w:r w:rsidRPr="00110377">
        <w:t>u</w:t>
      </w:r>
      <w:r w:rsidRPr="00110377">
        <w:t>sion, 1986, p. 29.</w:t>
      </w:r>
    </w:p>
  </w:footnote>
  <w:footnote w:id="705">
    <w:p w:rsidR="00AD690E" w:rsidRDefault="00AD690E" w:rsidP="00AD690E">
      <w:pPr>
        <w:pStyle w:val="Notedebasdepage"/>
      </w:pPr>
      <w:r>
        <w:rPr>
          <w:rStyle w:val="Appelnotedebasdep"/>
        </w:rPr>
        <w:footnoteRef/>
      </w:r>
      <w:r>
        <w:t xml:space="preserve"> </w:t>
      </w:r>
      <w:r>
        <w:tab/>
      </w:r>
      <w:r w:rsidRPr="00DA3182">
        <w:t xml:space="preserve">OSTRY, B., </w:t>
      </w:r>
      <w:r w:rsidRPr="00DA3182">
        <w:rPr>
          <w:i/>
          <w:iCs/>
        </w:rPr>
        <w:t xml:space="preserve">op. cit., </w:t>
      </w:r>
      <w:r w:rsidRPr="00DA3182">
        <w:t>p. 104.</w:t>
      </w:r>
    </w:p>
  </w:footnote>
  <w:footnote w:id="706">
    <w:p w:rsidR="00AD690E" w:rsidRDefault="00AD690E" w:rsidP="00AD690E">
      <w:pPr>
        <w:pStyle w:val="Notedebasdepage"/>
      </w:pPr>
      <w:r>
        <w:rPr>
          <w:rStyle w:val="Appelnotedebasdep"/>
        </w:rPr>
        <w:footnoteRef/>
      </w:r>
      <w:r>
        <w:t xml:space="preserve"> </w:t>
      </w:r>
      <w:r>
        <w:tab/>
      </w:r>
      <w:r w:rsidRPr="00DA3182">
        <w:t xml:space="preserve">MAILHOT, L. et MÉLANÇON, B., </w:t>
      </w:r>
      <w:r w:rsidRPr="00DA3182">
        <w:rPr>
          <w:i/>
          <w:iCs/>
        </w:rPr>
        <w:t xml:space="preserve">op. cit., </w:t>
      </w:r>
      <w:r w:rsidRPr="00DA3182">
        <w:t xml:space="preserve">p. 66 ; B. OSTRY, </w:t>
      </w:r>
      <w:r w:rsidRPr="00DA3182">
        <w:rPr>
          <w:i/>
          <w:iCs/>
        </w:rPr>
        <w:t xml:space="preserve">op. cit., </w:t>
      </w:r>
      <w:r w:rsidRPr="00DA3182">
        <w:t>p. 141.</w:t>
      </w:r>
    </w:p>
  </w:footnote>
  <w:footnote w:id="707">
    <w:p w:rsidR="00AD690E" w:rsidRDefault="00AD690E" w:rsidP="00AD690E">
      <w:pPr>
        <w:pStyle w:val="Notedebasdepage"/>
      </w:pPr>
      <w:r>
        <w:rPr>
          <w:rStyle w:val="Appelnotedebasdep"/>
        </w:rPr>
        <w:footnoteRef/>
      </w:r>
      <w:r>
        <w:t xml:space="preserve"> </w:t>
      </w:r>
      <w:r>
        <w:tab/>
      </w:r>
      <w:r w:rsidRPr="00DA3182">
        <w:t xml:space="preserve">FRÉGAULT, G., cité par OSTRY, B., </w:t>
      </w:r>
      <w:r w:rsidRPr="00DA3182">
        <w:rPr>
          <w:i/>
          <w:iCs/>
        </w:rPr>
        <w:t xml:space="preserve">op. cit., </w:t>
      </w:r>
      <w:r w:rsidRPr="00DA3182">
        <w:t>p. 143. Voir égal</w:t>
      </w:r>
      <w:r w:rsidRPr="00DA3182">
        <w:t>e</w:t>
      </w:r>
      <w:r w:rsidRPr="00DA3182">
        <w:t>ment</w:t>
      </w:r>
      <w:r w:rsidRPr="00D82103">
        <w:rPr>
          <w:i/>
          <w:iCs/>
        </w:rPr>
        <w:t xml:space="preserve">, </w:t>
      </w:r>
      <w:r w:rsidRPr="00DA3182">
        <w:t xml:space="preserve">FRÉGAULT, G., « Bilan provisoire », dans L'ALLIER, J.-P., </w:t>
      </w:r>
      <w:r w:rsidRPr="00DA3182">
        <w:rPr>
          <w:i/>
          <w:iCs/>
        </w:rPr>
        <w:t xml:space="preserve">op. cit., </w:t>
      </w:r>
      <w:r w:rsidRPr="00DA3182">
        <w:t>pp. 61-62.</w:t>
      </w:r>
    </w:p>
  </w:footnote>
  <w:footnote w:id="708">
    <w:p w:rsidR="00AD690E" w:rsidRDefault="00AD690E" w:rsidP="00AD690E">
      <w:pPr>
        <w:pStyle w:val="Notedebasdepage"/>
      </w:pPr>
      <w:r>
        <w:rPr>
          <w:rStyle w:val="Appelnotedebasdep"/>
        </w:rPr>
        <w:footnoteRef/>
      </w:r>
      <w:r>
        <w:t xml:space="preserve"> </w:t>
      </w:r>
      <w:r>
        <w:tab/>
      </w:r>
      <w:r w:rsidRPr="00DA3182">
        <w:t xml:space="preserve">MAILHOT, L. et MÉLANÇON, B., </w:t>
      </w:r>
      <w:r w:rsidRPr="00DA3182">
        <w:rPr>
          <w:i/>
          <w:iCs/>
        </w:rPr>
        <w:t xml:space="preserve">op. cit., </w:t>
      </w:r>
      <w:r w:rsidRPr="00DA3182">
        <w:t>p. 92.</w:t>
      </w:r>
    </w:p>
  </w:footnote>
  <w:footnote w:id="709">
    <w:p w:rsidR="00AD690E" w:rsidRDefault="00AD690E" w:rsidP="00AD690E">
      <w:pPr>
        <w:pStyle w:val="Notedebasdepage"/>
      </w:pPr>
      <w:r>
        <w:rPr>
          <w:rStyle w:val="Appelnotedebasdep"/>
        </w:rPr>
        <w:footnoteRef/>
      </w:r>
      <w:r>
        <w:t xml:space="preserve"> </w:t>
      </w:r>
      <w:r>
        <w:tab/>
      </w:r>
      <w:r w:rsidRPr="00DA3182">
        <w:rPr>
          <w:i/>
          <w:iCs/>
        </w:rPr>
        <w:t xml:space="preserve">Canada, un siècle, 1867-1967, </w:t>
      </w:r>
      <w:r w:rsidRPr="00DA3182">
        <w:t>Ottawa, Imprimeur de la Reine, 1967, p. 465.</w:t>
      </w:r>
    </w:p>
  </w:footnote>
  <w:footnote w:id="710">
    <w:p w:rsidR="00AD690E" w:rsidRPr="00932DC5" w:rsidRDefault="00AD690E" w:rsidP="00AD690E">
      <w:pPr>
        <w:pStyle w:val="Notedebasdepage"/>
      </w:pPr>
      <w:r>
        <w:rPr>
          <w:rStyle w:val="Appelnotedebasdep"/>
        </w:rPr>
        <w:footnoteRef/>
      </w:r>
      <w:r>
        <w:t xml:space="preserve"> </w:t>
      </w:r>
      <w:r>
        <w:tab/>
      </w:r>
      <w:r w:rsidRPr="002276A6">
        <w:rPr>
          <w:i/>
        </w:rPr>
        <w:t>Ibid</w:t>
      </w:r>
      <w:r w:rsidRPr="00932DC5">
        <w:t>., p.467</w:t>
      </w:r>
    </w:p>
  </w:footnote>
  <w:footnote w:id="711">
    <w:p w:rsidR="00AD690E" w:rsidRPr="007F0243" w:rsidRDefault="00AD690E" w:rsidP="00AD690E">
      <w:pPr>
        <w:pStyle w:val="Notedebasdepage"/>
      </w:pPr>
      <w:r w:rsidRPr="007F0243">
        <w:rPr>
          <w:rStyle w:val="Appelnotedebasdep"/>
        </w:rPr>
        <w:footnoteRef/>
      </w:r>
      <w:r w:rsidRPr="007F0243">
        <w:t xml:space="preserve"> </w:t>
      </w:r>
      <w:r w:rsidRPr="007F0243">
        <w:tab/>
      </w:r>
      <w:r w:rsidRPr="007F0243">
        <w:rPr>
          <w:i/>
          <w:iCs/>
        </w:rPr>
        <w:t xml:space="preserve">Ibid., </w:t>
      </w:r>
      <w:r w:rsidRPr="007F0243">
        <w:t>p. 464.</w:t>
      </w:r>
    </w:p>
  </w:footnote>
  <w:footnote w:id="712">
    <w:p w:rsidR="00AD690E" w:rsidRDefault="00AD690E" w:rsidP="00AD690E">
      <w:pPr>
        <w:pStyle w:val="Notedebasdepage"/>
      </w:pPr>
      <w:r>
        <w:rPr>
          <w:rStyle w:val="Appelnotedebasdep"/>
        </w:rPr>
        <w:footnoteRef/>
      </w:r>
      <w:r>
        <w:t xml:space="preserve"> </w:t>
      </w:r>
      <w:r>
        <w:tab/>
      </w:r>
      <w:r w:rsidRPr="007F0243">
        <w:rPr>
          <w:i/>
          <w:iCs/>
        </w:rPr>
        <w:t xml:space="preserve">Ibid., </w:t>
      </w:r>
      <w:r w:rsidRPr="007F0243">
        <w:t>p. 424</w:t>
      </w:r>
      <w:r>
        <w:t>.</w:t>
      </w:r>
    </w:p>
  </w:footnote>
  <w:footnote w:id="713">
    <w:p w:rsidR="00AD690E" w:rsidRDefault="00AD690E" w:rsidP="00AD690E">
      <w:pPr>
        <w:pStyle w:val="Notedebasdepage"/>
      </w:pPr>
      <w:r>
        <w:rPr>
          <w:rStyle w:val="Appelnotedebasdep"/>
        </w:rPr>
        <w:footnoteRef/>
      </w:r>
      <w:r>
        <w:t xml:space="preserve"> </w:t>
      </w:r>
      <w:r>
        <w:tab/>
      </w:r>
      <w:r w:rsidRPr="007F0243">
        <w:rPr>
          <w:i/>
          <w:iCs/>
        </w:rPr>
        <w:t xml:space="preserve">Ibid., </w:t>
      </w:r>
      <w:r w:rsidRPr="007F0243">
        <w:t>p. 48.</w:t>
      </w:r>
    </w:p>
  </w:footnote>
  <w:footnote w:id="714">
    <w:p w:rsidR="00AD690E" w:rsidRDefault="00AD690E" w:rsidP="00AD690E">
      <w:pPr>
        <w:pStyle w:val="Notedebasdepage"/>
      </w:pPr>
      <w:r>
        <w:rPr>
          <w:rStyle w:val="Appelnotedebasdep"/>
        </w:rPr>
        <w:footnoteRef/>
      </w:r>
      <w:r>
        <w:t xml:space="preserve"> </w:t>
      </w:r>
      <w:r>
        <w:tab/>
      </w:r>
      <w:r w:rsidRPr="00D0515A">
        <w:t xml:space="preserve">WOODCOCK, G., </w:t>
      </w:r>
      <w:r w:rsidRPr="00D0515A">
        <w:rPr>
          <w:i/>
          <w:iCs/>
        </w:rPr>
        <w:t xml:space="preserve">op. cit., </w:t>
      </w:r>
      <w:r w:rsidRPr="00D0515A">
        <w:t>p. 69.</w:t>
      </w:r>
    </w:p>
  </w:footnote>
  <w:footnote w:id="715">
    <w:p w:rsidR="00AD690E" w:rsidRDefault="00AD690E" w:rsidP="00AD690E">
      <w:pPr>
        <w:pStyle w:val="Notedebasdepage"/>
      </w:pPr>
      <w:r>
        <w:rPr>
          <w:rStyle w:val="Appelnotedebasdep"/>
        </w:rPr>
        <w:footnoteRef/>
      </w:r>
      <w:r>
        <w:t xml:space="preserve"> </w:t>
      </w:r>
      <w:r>
        <w:tab/>
      </w:r>
      <w:r w:rsidRPr="00D0515A">
        <w:t xml:space="preserve">OSTRY, B., </w:t>
      </w:r>
      <w:r w:rsidRPr="00D0515A">
        <w:rPr>
          <w:i/>
          <w:iCs/>
        </w:rPr>
        <w:t xml:space="preserve">op. cit., </w:t>
      </w:r>
      <w:r w:rsidRPr="00D0515A">
        <w:t>p. 110.</w:t>
      </w:r>
    </w:p>
  </w:footnote>
  <w:footnote w:id="716">
    <w:p w:rsidR="00AD690E" w:rsidRDefault="00AD690E" w:rsidP="00AD690E">
      <w:pPr>
        <w:pStyle w:val="Notedebasdepage"/>
      </w:pPr>
      <w:r>
        <w:rPr>
          <w:rStyle w:val="Appelnotedebasdep"/>
        </w:rPr>
        <w:footnoteRef/>
      </w:r>
      <w:r>
        <w:t xml:space="preserve"> </w:t>
      </w:r>
      <w:r>
        <w:tab/>
      </w:r>
      <w:r w:rsidRPr="00845DFD">
        <w:t>PEERS, F.W., The Public Eye. Television and the Politics of C</w:t>
      </w:r>
      <w:r w:rsidRPr="00845DFD">
        <w:t>a</w:t>
      </w:r>
      <w:r w:rsidRPr="00845DFD">
        <w:t>nadian Broadeasting, 1952-1968, Toronto, University of Toronto Press, 1979, p. 432.</w:t>
      </w:r>
    </w:p>
  </w:footnote>
  <w:footnote w:id="717">
    <w:p w:rsidR="00AD690E" w:rsidRDefault="00AD690E" w:rsidP="00AD690E">
      <w:pPr>
        <w:pStyle w:val="Notedebasdepage"/>
      </w:pPr>
      <w:r>
        <w:rPr>
          <w:rStyle w:val="Appelnotedebasdep"/>
        </w:rPr>
        <w:footnoteRef/>
      </w:r>
      <w:r>
        <w:t xml:space="preserve"> </w:t>
      </w:r>
      <w:r>
        <w:tab/>
      </w:r>
      <w:r w:rsidRPr="00845DFD">
        <w:t xml:space="preserve">CANADA, </w:t>
      </w:r>
      <w:r w:rsidRPr="00845DFD">
        <w:rPr>
          <w:i/>
          <w:iCs/>
        </w:rPr>
        <w:t>Commission royale d'enquête sur la radio et la télévision. Ra</w:t>
      </w:r>
      <w:r w:rsidRPr="00845DFD">
        <w:rPr>
          <w:i/>
          <w:iCs/>
        </w:rPr>
        <w:t>p</w:t>
      </w:r>
      <w:r w:rsidRPr="00845DFD">
        <w:rPr>
          <w:i/>
          <w:iCs/>
        </w:rPr>
        <w:t xml:space="preserve">port, </w:t>
      </w:r>
      <w:r w:rsidRPr="00845DFD">
        <w:t>Ottawa, Imprimeur de la reine, 1957 (Rapport FOWLER I). Ce</w:t>
      </w:r>
      <w:r w:rsidRPr="00845DFD">
        <w:t>t</w:t>
      </w:r>
      <w:r w:rsidRPr="00845DFD">
        <w:t>te commission avait été formée par les libéraux en 1955.</w:t>
      </w:r>
    </w:p>
  </w:footnote>
  <w:footnote w:id="718">
    <w:p w:rsidR="00AD690E" w:rsidRDefault="00AD690E" w:rsidP="00AD690E">
      <w:pPr>
        <w:pStyle w:val="Notedebasdepage"/>
      </w:pPr>
      <w:r>
        <w:rPr>
          <w:rStyle w:val="Appelnotedebasdep"/>
        </w:rPr>
        <w:footnoteRef/>
      </w:r>
      <w:r>
        <w:t xml:space="preserve"> </w:t>
      </w:r>
      <w:r>
        <w:tab/>
      </w:r>
      <w:r w:rsidRPr="00845DFD">
        <w:t xml:space="preserve">TROTTER, B., « Canadian Broadeasting, Act IV : Scène 67 or Double Talk and Single System », </w:t>
      </w:r>
      <w:r w:rsidRPr="00845DFD">
        <w:rPr>
          <w:i/>
          <w:iCs/>
        </w:rPr>
        <w:t xml:space="preserve">Queen's Quartely, </w:t>
      </w:r>
      <w:r w:rsidRPr="00845DFD">
        <w:t>hiver 1967, p. 468.</w:t>
      </w:r>
    </w:p>
  </w:footnote>
  <w:footnote w:id="719">
    <w:p w:rsidR="00AD690E" w:rsidRPr="0027168E" w:rsidRDefault="00AD690E" w:rsidP="00AD690E">
      <w:pPr>
        <w:pStyle w:val="Notedebasdepage"/>
      </w:pPr>
      <w:r w:rsidRPr="0027168E">
        <w:rPr>
          <w:rStyle w:val="Appelnotedebasdep"/>
        </w:rPr>
        <w:footnoteRef/>
      </w:r>
      <w:r w:rsidRPr="0027168E">
        <w:t xml:space="preserve"> </w:t>
      </w:r>
      <w:r w:rsidRPr="0027168E">
        <w:tab/>
        <w:t xml:space="preserve">Selon l’expression de THOMAS P., cité dans PEERS, F.W, </w:t>
      </w:r>
      <w:r w:rsidRPr="00A168FD">
        <w:rPr>
          <w:i/>
        </w:rPr>
        <w:t>op. cit,</w:t>
      </w:r>
      <w:r w:rsidRPr="0027168E">
        <w:t xml:space="preserve"> p.389.</w:t>
      </w:r>
    </w:p>
  </w:footnote>
  <w:footnote w:id="720">
    <w:p w:rsidR="00AD690E" w:rsidRDefault="00AD690E" w:rsidP="00AD690E">
      <w:pPr>
        <w:pStyle w:val="Notedebasdepage"/>
      </w:pPr>
      <w:r>
        <w:rPr>
          <w:rStyle w:val="Appelnotedebasdep"/>
        </w:rPr>
        <w:footnoteRef/>
      </w:r>
      <w:r>
        <w:t xml:space="preserve"> </w:t>
      </w:r>
      <w:r>
        <w:tab/>
      </w:r>
      <w:r w:rsidRPr="00E46AB0">
        <w:t>CANADA, Commission d'enquête sur l'organisation du gouve</w:t>
      </w:r>
      <w:r w:rsidRPr="00E46AB0">
        <w:t>r</w:t>
      </w:r>
      <w:r w:rsidRPr="00E46AB0">
        <w:t>nement, vol. 4, Secteurs particuliers de l'administration. Société Radio-Canada, O</w:t>
      </w:r>
      <w:r w:rsidRPr="00E46AB0">
        <w:t>t</w:t>
      </w:r>
      <w:r w:rsidRPr="00E46AB0">
        <w:t>tawa, Imprimeur de la Reine, 1963 (Rapport Glas</w:t>
      </w:r>
      <w:r w:rsidRPr="00E46AB0">
        <w:t>s</w:t>
      </w:r>
      <w:r w:rsidRPr="00E46AB0">
        <w:t>co).</w:t>
      </w:r>
    </w:p>
  </w:footnote>
  <w:footnote w:id="721">
    <w:p w:rsidR="00AD690E" w:rsidRDefault="00AD690E" w:rsidP="00AD690E">
      <w:pPr>
        <w:pStyle w:val="Notedebasdepage"/>
      </w:pPr>
      <w:r>
        <w:rPr>
          <w:rStyle w:val="Appelnotedebasdep"/>
        </w:rPr>
        <w:footnoteRef/>
      </w:r>
      <w:r>
        <w:t xml:space="preserve"> </w:t>
      </w:r>
      <w:r>
        <w:tab/>
      </w:r>
      <w:r w:rsidRPr="00E46AB0">
        <w:t xml:space="preserve">FRÉMONT, J., </w:t>
      </w:r>
      <w:r w:rsidRPr="00E46AB0">
        <w:rPr>
          <w:i/>
          <w:iCs/>
        </w:rPr>
        <w:t xml:space="preserve">op. cit., </w:t>
      </w:r>
      <w:r w:rsidRPr="00E46AB0">
        <w:t>p. 26</w:t>
      </w:r>
      <w:r>
        <w:t>.</w:t>
      </w:r>
    </w:p>
  </w:footnote>
  <w:footnote w:id="722">
    <w:p w:rsidR="00AD690E" w:rsidRPr="00E46AB0" w:rsidRDefault="00AD690E" w:rsidP="00AD690E">
      <w:pPr>
        <w:spacing w:before="120" w:after="120"/>
        <w:ind w:left="720" w:hanging="720"/>
        <w:rPr>
          <w:sz w:val="24"/>
          <w:szCs w:val="24"/>
        </w:rPr>
      </w:pPr>
      <w:r w:rsidRPr="002F62EB">
        <w:rPr>
          <w:rStyle w:val="Appelnotedebasdep"/>
          <w:sz w:val="24"/>
          <w:szCs w:val="24"/>
        </w:rPr>
        <w:footnoteRef/>
      </w:r>
      <w:r w:rsidRPr="002F62EB">
        <w:rPr>
          <w:sz w:val="24"/>
          <w:szCs w:val="24"/>
        </w:rPr>
        <w:t xml:space="preserve"> </w:t>
      </w:r>
      <w:r>
        <w:tab/>
      </w:r>
      <w:r>
        <w:rPr>
          <w:sz w:val="24"/>
          <w:szCs w:val="24"/>
        </w:rPr>
        <w:t xml:space="preserve">CANADA, </w:t>
      </w:r>
      <w:r>
        <w:rPr>
          <w:i/>
          <w:iCs/>
          <w:sz w:val="24"/>
          <w:szCs w:val="24"/>
        </w:rPr>
        <w:t xml:space="preserve">Rapport du Comité sur la radiodiffusion, </w:t>
      </w:r>
      <w:r>
        <w:rPr>
          <w:sz w:val="24"/>
          <w:szCs w:val="24"/>
        </w:rPr>
        <w:t>Ottawa, I</w:t>
      </w:r>
      <w:r>
        <w:rPr>
          <w:sz w:val="24"/>
          <w:szCs w:val="24"/>
        </w:rPr>
        <w:t>m</w:t>
      </w:r>
      <w:r>
        <w:rPr>
          <w:sz w:val="24"/>
          <w:szCs w:val="24"/>
        </w:rPr>
        <w:t>primeur de la reine, 1965, 454 p. (Rapport FOWLER II).</w:t>
      </w:r>
    </w:p>
  </w:footnote>
  <w:footnote w:id="723">
    <w:p w:rsidR="00AD690E" w:rsidRPr="002F62EB" w:rsidRDefault="00AD690E" w:rsidP="00AD690E">
      <w:pPr>
        <w:pStyle w:val="Notedebasdepage"/>
      </w:pPr>
      <w:r>
        <w:rPr>
          <w:rStyle w:val="Appelnotedebasdep"/>
        </w:rPr>
        <w:footnoteRef/>
      </w:r>
      <w:r>
        <w:t xml:space="preserve"> </w:t>
      </w:r>
      <w:r>
        <w:tab/>
      </w:r>
      <w:r w:rsidRPr="002F62EB">
        <w:t xml:space="preserve">FOWLER, R., cité par PEERS, F.W., </w:t>
      </w:r>
      <w:r w:rsidRPr="002F62EB">
        <w:rPr>
          <w:i/>
          <w:iCs/>
        </w:rPr>
        <w:t xml:space="preserve">op. cit., </w:t>
      </w:r>
      <w:r w:rsidRPr="002F62EB">
        <w:t>p. 317.</w:t>
      </w:r>
    </w:p>
  </w:footnote>
  <w:footnote w:id="724">
    <w:p w:rsidR="00AD690E" w:rsidRDefault="00AD690E" w:rsidP="00AD690E">
      <w:pPr>
        <w:pStyle w:val="Notedebasdepage"/>
      </w:pPr>
      <w:r>
        <w:rPr>
          <w:rStyle w:val="Appelnotedebasdep"/>
        </w:rPr>
        <w:footnoteRef/>
      </w:r>
      <w:r>
        <w:t xml:space="preserve"> </w:t>
      </w:r>
      <w:r>
        <w:tab/>
      </w:r>
      <w:r w:rsidRPr="009B4DAA">
        <w:t xml:space="preserve">LAMARSH, J. </w:t>
      </w:r>
      <w:r w:rsidRPr="009B4DAA">
        <w:rPr>
          <w:i/>
          <w:iCs/>
        </w:rPr>
        <w:t xml:space="preserve">Memoirs of a Bird in a Gilded Cage. </w:t>
      </w:r>
      <w:r w:rsidRPr="009B4DAA">
        <w:t>Toronto, McClelland and Stewart, 1969, p. 60.</w:t>
      </w:r>
    </w:p>
  </w:footnote>
  <w:footnote w:id="725">
    <w:p w:rsidR="00AD690E" w:rsidRDefault="00AD690E" w:rsidP="00AD690E">
      <w:pPr>
        <w:pStyle w:val="Notedebasdepage"/>
      </w:pPr>
      <w:r>
        <w:rPr>
          <w:rStyle w:val="Appelnotedebasdep"/>
        </w:rPr>
        <w:footnoteRef/>
      </w:r>
      <w:r>
        <w:t xml:space="preserve"> </w:t>
      </w:r>
      <w:r>
        <w:tab/>
      </w:r>
      <w:r w:rsidRPr="008E62F1">
        <w:t>PELLETIER, G., a renoncé à la présidence de ce comité de peur de se r</w:t>
      </w:r>
      <w:r w:rsidRPr="008E62F1">
        <w:t>e</w:t>
      </w:r>
      <w:r w:rsidRPr="008E62F1">
        <w:t>trouver en conflit d'intérêt puisque son épouse avait travaillé pour la s</w:t>
      </w:r>
      <w:r w:rsidRPr="008E62F1">
        <w:t>o</w:t>
      </w:r>
      <w:r w:rsidRPr="008E62F1">
        <w:t>ciété Radio-Canada. Il demeura cependant membre de ce comité.</w:t>
      </w:r>
    </w:p>
  </w:footnote>
  <w:footnote w:id="726">
    <w:p w:rsidR="00AD690E" w:rsidRDefault="00AD690E" w:rsidP="00AD690E">
      <w:pPr>
        <w:pStyle w:val="Notedebasdepage"/>
      </w:pPr>
      <w:r>
        <w:rPr>
          <w:rStyle w:val="Appelnotedebasdep"/>
        </w:rPr>
        <w:footnoteRef/>
      </w:r>
      <w:r>
        <w:t xml:space="preserve"> </w:t>
      </w:r>
      <w:r>
        <w:tab/>
      </w:r>
      <w:r w:rsidRPr="008E62F1">
        <w:t xml:space="preserve">FRÉMONT, L, </w:t>
      </w:r>
      <w:r w:rsidRPr="008E62F1">
        <w:rPr>
          <w:i/>
          <w:iCs/>
        </w:rPr>
        <w:t xml:space="preserve">op. cit., </w:t>
      </w:r>
      <w:r w:rsidRPr="008E62F1">
        <w:t>p. 98.</w:t>
      </w:r>
    </w:p>
  </w:footnote>
  <w:footnote w:id="727">
    <w:p w:rsidR="00AD690E" w:rsidRDefault="00AD690E" w:rsidP="00AD690E">
      <w:pPr>
        <w:pStyle w:val="Notedebasdepage"/>
      </w:pPr>
      <w:r>
        <w:rPr>
          <w:rStyle w:val="Appelnotedebasdep"/>
        </w:rPr>
        <w:footnoteRef/>
      </w:r>
      <w:r>
        <w:t xml:space="preserve"> </w:t>
      </w:r>
      <w:r>
        <w:tab/>
      </w:r>
      <w:r w:rsidRPr="008E62F1">
        <w:t xml:space="preserve">LAMARSH, J, </w:t>
      </w:r>
      <w:r w:rsidRPr="008E62F1">
        <w:rPr>
          <w:i/>
          <w:iCs/>
        </w:rPr>
        <w:t xml:space="preserve">Livre blanc sur la radiodiffusion, </w:t>
      </w:r>
      <w:r w:rsidRPr="008E62F1">
        <w:t>Ottawa, Impr</w:t>
      </w:r>
      <w:r w:rsidRPr="008E62F1">
        <w:t>i</w:t>
      </w:r>
      <w:r w:rsidRPr="008E62F1">
        <w:t>meur de la Reine, 1966, p. 12.</w:t>
      </w:r>
    </w:p>
  </w:footnote>
  <w:footnote w:id="728">
    <w:p w:rsidR="00AD690E" w:rsidRDefault="00AD690E" w:rsidP="00AD690E">
      <w:pPr>
        <w:pStyle w:val="Notedebasdepage"/>
      </w:pPr>
      <w:r>
        <w:rPr>
          <w:rStyle w:val="Appelnotedebasdep"/>
        </w:rPr>
        <w:footnoteRef/>
      </w:r>
      <w:r>
        <w:t xml:space="preserve"> </w:t>
      </w:r>
      <w:r>
        <w:tab/>
      </w:r>
      <w:r w:rsidRPr="00F96EC4">
        <w:t xml:space="preserve">PEERS, F.W., </w:t>
      </w:r>
      <w:r w:rsidRPr="00F96EC4">
        <w:rPr>
          <w:i/>
          <w:iCs/>
        </w:rPr>
        <w:t xml:space="preserve">op. cit., </w:t>
      </w:r>
      <w:r w:rsidRPr="00F96EC4">
        <w:t>p. 368.</w:t>
      </w:r>
    </w:p>
  </w:footnote>
  <w:footnote w:id="729">
    <w:p w:rsidR="00AD690E" w:rsidRDefault="00AD690E" w:rsidP="00AD690E">
      <w:pPr>
        <w:pStyle w:val="Notedebasdepage"/>
      </w:pPr>
      <w:r>
        <w:rPr>
          <w:rStyle w:val="Appelnotedebasdep"/>
        </w:rPr>
        <w:footnoteRef/>
      </w:r>
      <w:r>
        <w:t xml:space="preserve"> </w:t>
      </w:r>
      <w:r>
        <w:tab/>
      </w:r>
      <w:r w:rsidRPr="00F96EC4">
        <w:t>Livre blanc, p. 7.</w:t>
      </w:r>
    </w:p>
  </w:footnote>
  <w:footnote w:id="730">
    <w:p w:rsidR="00AD690E" w:rsidRDefault="00AD690E" w:rsidP="00AD690E">
      <w:pPr>
        <w:pStyle w:val="Notedebasdepage"/>
      </w:pPr>
      <w:r>
        <w:rPr>
          <w:rStyle w:val="Appelnotedebasdep"/>
        </w:rPr>
        <w:footnoteRef/>
      </w:r>
      <w:r>
        <w:t xml:space="preserve"> </w:t>
      </w:r>
      <w:r>
        <w:tab/>
      </w:r>
      <w:r w:rsidRPr="009C519A">
        <w:t xml:space="preserve">THOMAS, P., cité par PEERS, F.W., </w:t>
      </w:r>
      <w:r w:rsidRPr="009C519A">
        <w:rPr>
          <w:i/>
          <w:iCs/>
        </w:rPr>
        <w:t xml:space="preserve">op. cit., </w:t>
      </w:r>
      <w:r w:rsidRPr="009C519A">
        <w:t>p. 367.</w:t>
      </w:r>
    </w:p>
  </w:footnote>
  <w:footnote w:id="731">
    <w:p w:rsidR="00AD690E" w:rsidRDefault="00AD690E" w:rsidP="00AD690E">
      <w:pPr>
        <w:pStyle w:val="Notedebasdepage"/>
      </w:pPr>
      <w:r>
        <w:rPr>
          <w:rStyle w:val="Appelnotedebasdep"/>
        </w:rPr>
        <w:footnoteRef/>
      </w:r>
      <w:r>
        <w:t xml:space="preserve"> </w:t>
      </w:r>
      <w:r>
        <w:tab/>
      </w:r>
      <w:r w:rsidRPr="00173967">
        <w:t xml:space="preserve">JAMIESON, D., cité par PEERS, F.W., </w:t>
      </w:r>
      <w:r w:rsidRPr="00173967">
        <w:rPr>
          <w:i/>
          <w:iCs/>
        </w:rPr>
        <w:t xml:space="preserve">op. cit., </w:t>
      </w:r>
      <w:r w:rsidRPr="00173967">
        <w:t>p. 402.</w:t>
      </w:r>
    </w:p>
  </w:footnote>
  <w:footnote w:id="732">
    <w:p w:rsidR="00AD690E" w:rsidRDefault="00AD690E" w:rsidP="00AD690E">
      <w:pPr>
        <w:pStyle w:val="Notedebasdepage"/>
      </w:pPr>
      <w:r>
        <w:rPr>
          <w:rStyle w:val="Appelnotedebasdep"/>
        </w:rPr>
        <w:footnoteRef/>
      </w:r>
      <w:r>
        <w:t xml:space="preserve"> </w:t>
      </w:r>
      <w:r>
        <w:tab/>
      </w:r>
      <w:r w:rsidRPr="00BD6B3C">
        <w:t xml:space="preserve">TRUDEAU, P.E., </w:t>
      </w:r>
      <w:r w:rsidRPr="00BD6B3C">
        <w:rPr>
          <w:i/>
          <w:iCs/>
        </w:rPr>
        <w:t xml:space="preserve">Fédéralisme et société canadienne-française, </w:t>
      </w:r>
      <w:r w:rsidRPr="00BD6B3C">
        <w:t>Mo</w:t>
      </w:r>
      <w:r w:rsidRPr="00BD6B3C">
        <w:t>n</w:t>
      </w:r>
      <w:r w:rsidRPr="00BD6B3C">
        <w:t>tréal, Éditions Hurtubise HMH, 1967.</w:t>
      </w:r>
    </w:p>
  </w:footnote>
  <w:footnote w:id="733">
    <w:p w:rsidR="00AD690E" w:rsidRDefault="00AD690E" w:rsidP="00AD690E">
      <w:pPr>
        <w:pStyle w:val="Notedebasdepage"/>
      </w:pPr>
      <w:r>
        <w:rPr>
          <w:rStyle w:val="Appelnotedebasdep"/>
        </w:rPr>
        <w:footnoteRef/>
      </w:r>
      <w:r>
        <w:t xml:space="preserve"> </w:t>
      </w:r>
      <w:r>
        <w:tab/>
      </w:r>
      <w:r w:rsidRPr="00BD6B3C">
        <w:t xml:space="preserve">CANADA, « La maîtrise économique du milieu national », </w:t>
      </w:r>
      <w:r w:rsidRPr="00BD6B3C">
        <w:rPr>
          <w:i/>
          <w:iCs/>
        </w:rPr>
        <w:t>Ra</w:t>
      </w:r>
      <w:r w:rsidRPr="00BD6B3C">
        <w:rPr>
          <w:i/>
          <w:iCs/>
        </w:rPr>
        <w:t>p</w:t>
      </w:r>
      <w:r w:rsidRPr="00BD6B3C">
        <w:rPr>
          <w:i/>
          <w:iCs/>
        </w:rPr>
        <w:t xml:space="preserve">port Gray, </w:t>
      </w:r>
      <w:r w:rsidRPr="00BD6B3C">
        <w:t>Ottawa, 1972, pp. 325-326.</w:t>
      </w:r>
    </w:p>
  </w:footnote>
  <w:footnote w:id="734">
    <w:p w:rsidR="00AD690E" w:rsidRDefault="00AD690E" w:rsidP="00AD690E">
      <w:pPr>
        <w:pStyle w:val="Notedebasdepage"/>
      </w:pPr>
      <w:r>
        <w:rPr>
          <w:rStyle w:val="Appelnotedebasdep"/>
        </w:rPr>
        <w:footnoteRef/>
      </w:r>
      <w:r>
        <w:t xml:space="preserve"> </w:t>
      </w:r>
      <w:r>
        <w:tab/>
      </w:r>
      <w:r w:rsidRPr="0097608D">
        <w:t>PENDAKUR, M., « United States — Canada Relations : Cultural, Depe</w:t>
      </w:r>
      <w:r w:rsidRPr="0097608D">
        <w:t>n</w:t>
      </w:r>
      <w:r w:rsidRPr="0097608D">
        <w:t xml:space="preserve">dancy and Conflict », dans </w:t>
      </w:r>
      <w:r w:rsidRPr="0097608D">
        <w:rPr>
          <w:i/>
          <w:iCs/>
        </w:rPr>
        <w:t xml:space="preserve">The Critical Communication Review : vol. II, Changing Patterns of Communication Control, </w:t>
      </w:r>
      <w:r w:rsidRPr="0097608D">
        <w:t>édité par MOSCO, V., WASKO, J., NORWOOD, N.J., Ablex Publishing Co</w:t>
      </w:r>
      <w:r w:rsidRPr="0097608D">
        <w:t>r</w:t>
      </w:r>
      <w:r w:rsidRPr="0097608D">
        <w:t>poration, 1984, p. 171.</w:t>
      </w:r>
    </w:p>
  </w:footnote>
  <w:footnote w:id="735">
    <w:p w:rsidR="00AD690E" w:rsidRDefault="00AD690E" w:rsidP="00AD690E">
      <w:pPr>
        <w:pStyle w:val="Notedebasdepage"/>
      </w:pPr>
      <w:r>
        <w:rPr>
          <w:rStyle w:val="Appelnotedebasdep"/>
        </w:rPr>
        <w:footnoteRef/>
      </w:r>
      <w:r>
        <w:t xml:space="preserve"> </w:t>
      </w:r>
      <w:r>
        <w:tab/>
        <w:t xml:space="preserve">OSTRY, B., </w:t>
      </w:r>
      <w:r>
        <w:rPr>
          <w:i/>
          <w:iCs/>
        </w:rPr>
        <w:t xml:space="preserve">The Cultural..., op. cit., </w:t>
      </w:r>
      <w:r>
        <w:t>pp. 128 et 129.</w:t>
      </w:r>
    </w:p>
  </w:footnote>
  <w:footnote w:id="736">
    <w:p w:rsidR="00AD690E" w:rsidRDefault="00AD690E" w:rsidP="00AD690E">
      <w:pPr>
        <w:pStyle w:val="Notedebasdepage"/>
      </w:pPr>
      <w:r>
        <w:rPr>
          <w:rStyle w:val="Appelnotedebasdep"/>
        </w:rPr>
        <w:footnoteRef/>
      </w:r>
      <w:r>
        <w:t xml:space="preserve"> </w:t>
      </w:r>
      <w:r>
        <w:tab/>
      </w:r>
      <w:r w:rsidRPr="0097608D">
        <w:rPr>
          <w:i/>
          <w:iCs/>
        </w:rPr>
        <w:t xml:space="preserve">Ibid., </w:t>
      </w:r>
      <w:r w:rsidRPr="0097608D">
        <w:t>pp. 136 et 137.</w:t>
      </w:r>
    </w:p>
  </w:footnote>
  <w:footnote w:id="737">
    <w:p w:rsidR="00AD690E" w:rsidRDefault="00AD690E" w:rsidP="00AD690E">
      <w:pPr>
        <w:pStyle w:val="Notedebasdepage"/>
      </w:pPr>
      <w:r>
        <w:rPr>
          <w:rStyle w:val="Appelnotedebasdep"/>
        </w:rPr>
        <w:footnoteRef/>
      </w:r>
      <w:r>
        <w:t xml:space="preserve"> </w:t>
      </w:r>
      <w:r>
        <w:tab/>
      </w:r>
      <w:r w:rsidRPr="0055146B">
        <w:t xml:space="preserve">QUÉBEC, </w:t>
      </w:r>
      <w:hyperlink r:id="rId10" w:history="1">
        <w:r w:rsidRPr="0055146B">
          <w:rPr>
            <w:rStyle w:val="Lienhypertexte"/>
            <w:i/>
            <w:iCs/>
          </w:rPr>
          <w:t>La politique québécoise du développement culturel</w:t>
        </w:r>
      </w:hyperlink>
      <w:r w:rsidRPr="0055146B">
        <w:t>, Qu</w:t>
      </w:r>
      <w:r w:rsidRPr="0055146B">
        <w:t>é</w:t>
      </w:r>
      <w:r w:rsidRPr="0055146B">
        <w:t>bec, Éditeur officiel du Québec, 1978, p. 1723</w:t>
      </w:r>
      <w:r>
        <w:t>.</w:t>
      </w:r>
    </w:p>
  </w:footnote>
  <w:footnote w:id="738">
    <w:p w:rsidR="00AD690E" w:rsidRDefault="00AD690E" w:rsidP="00AD690E">
      <w:pPr>
        <w:pStyle w:val="Notedebasdepage"/>
      </w:pPr>
      <w:r>
        <w:rPr>
          <w:rStyle w:val="Appelnotedebasdep"/>
        </w:rPr>
        <w:footnoteRef/>
      </w:r>
      <w:r>
        <w:t xml:space="preserve"> </w:t>
      </w:r>
      <w:r>
        <w:tab/>
      </w:r>
      <w:r w:rsidRPr="00A93DEF">
        <w:t xml:space="preserve">Voir à cet effet AUDLEY, P., </w:t>
      </w:r>
      <w:r w:rsidRPr="00A93DEF">
        <w:rPr>
          <w:i/>
          <w:iCs/>
        </w:rPr>
        <w:t xml:space="preserve">Canadas Cultural Industries, </w:t>
      </w:r>
      <w:r w:rsidRPr="00A93DEF">
        <w:t>Ottawa, Can</w:t>
      </w:r>
      <w:r w:rsidRPr="00A93DEF">
        <w:t>a</w:t>
      </w:r>
      <w:r w:rsidRPr="00A93DEF">
        <w:t>dian Institute for Economic Policy, 1983.</w:t>
      </w:r>
    </w:p>
  </w:footnote>
  <w:footnote w:id="739">
    <w:p w:rsidR="00AD690E" w:rsidRPr="00A93DEF" w:rsidRDefault="00AD690E" w:rsidP="00AD690E">
      <w:pPr>
        <w:pStyle w:val="Notedebasdepage"/>
      </w:pPr>
      <w:r>
        <w:rPr>
          <w:rStyle w:val="Appelnotedebasdep"/>
        </w:rPr>
        <w:footnoteRef/>
      </w:r>
      <w:r>
        <w:t xml:space="preserve"> </w:t>
      </w:r>
      <w:r>
        <w:tab/>
      </w:r>
      <w:r w:rsidRPr="00A93DEF">
        <w:t>OSTRY, B., The cultural..., op. cit., p. 115.</w:t>
      </w:r>
    </w:p>
  </w:footnote>
  <w:footnote w:id="740">
    <w:p w:rsidR="00AD690E" w:rsidRDefault="00AD690E" w:rsidP="00AD690E">
      <w:pPr>
        <w:pStyle w:val="Notedebasdepage"/>
      </w:pPr>
      <w:r>
        <w:rPr>
          <w:rStyle w:val="Appelnotedebasdep"/>
        </w:rPr>
        <w:footnoteRef/>
      </w:r>
      <w:r>
        <w:t xml:space="preserve"> </w:t>
      </w:r>
      <w:r>
        <w:tab/>
      </w:r>
      <w:r w:rsidRPr="00A93DEF">
        <w:t xml:space="preserve">Voir à ce propos, LIBERAL PARTY OF CANADA, </w:t>
      </w:r>
      <w:r w:rsidRPr="00A93DEF">
        <w:rPr>
          <w:i/>
          <w:iCs/>
        </w:rPr>
        <w:t>Liberal Pa</w:t>
      </w:r>
      <w:r w:rsidRPr="00A93DEF">
        <w:rPr>
          <w:i/>
          <w:iCs/>
        </w:rPr>
        <w:t>r</w:t>
      </w:r>
      <w:r w:rsidRPr="00A93DEF">
        <w:rPr>
          <w:i/>
          <w:iCs/>
        </w:rPr>
        <w:t xml:space="preserve">ty Policy Statement, </w:t>
      </w:r>
      <w:r w:rsidRPr="00A93DEF">
        <w:t>Ottawa, 1968 ; également, LIBERAL FEDERATION OF C</w:t>
      </w:r>
      <w:r w:rsidRPr="00A93DEF">
        <w:t>A</w:t>
      </w:r>
      <w:r w:rsidRPr="00A93DEF">
        <w:t xml:space="preserve">NADA, </w:t>
      </w:r>
      <w:r w:rsidRPr="00A93DEF">
        <w:rPr>
          <w:i/>
          <w:iCs/>
        </w:rPr>
        <w:t xml:space="preserve">Pierre Elliott Trudeau : Today and Tomorrow, </w:t>
      </w:r>
      <w:r w:rsidRPr="00A93DEF">
        <w:t>Ottawa, non daté.</w:t>
      </w:r>
    </w:p>
  </w:footnote>
  <w:footnote w:id="741">
    <w:p w:rsidR="00AD690E" w:rsidRPr="001053D3" w:rsidRDefault="00AD690E" w:rsidP="00AD690E">
      <w:pPr>
        <w:pStyle w:val="Notedebasdepage"/>
      </w:pPr>
      <w:r w:rsidRPr="001053D3">
        <w:rPr>
          <w:rStyle w:val="Appelnotedebasdep"/>
        </w:rPr>
        <w:footnoteRef/>
      </w:r>
      <w:r w:rsidRPr="001053D3">
        <w:t xml:space="preserve"> </w:t>
      </w:r>
      <w:r w:rsidRPr="001053D3">
        <w:tab/>
        <w:t>OSTRY, B., The Cultural..., op. cit., p. 117.</w:t>
      </w:r>
    </w:p>
  </w:footnote>
  <w:footnote w:id="742">
    <w:p w:rsidR="00AD690E" w:rsidRDefault="00AD690E" w:rsidP="00AD690E">
      <w:pPr>
        <w:pStyle w:val="Notedebasdepage"/>
      </w:pPr>
      <w:r>
        <w:rPr>
          <w:rStyle w:val="Appelnotedebasdep"/>
        </w:rPr>
        <w:footnoteRef/>
      </w:r>
      <w:r>
        <w:t xml:space="preserve"> </w:t>
      </w:r>
      <w:r>
        <w:tab/>
      </w:r>
      <w:r w:rsidRPr="00D66529">
        <w:t xml:space="preserve">MAILHOT, L. et MÉLANÇON, B., </w:t>
      </w:r>
      <w:r w:rsidRPr="00D66529">
        <w:rPr>
          <w:i/>
          <w:iCs/>
        </w:rPr>
        <w:t xml:space="preserve">Le Conseil des Arts..., op. cit., </w:t>
      </w:r>
      <w:r w:rsidRPr="00D66529">
        <w:t>p. 66.</w:t>
      </w:r>
    </w:p>
  </w:footnote>
  <w:footnote w:id="743">
    <w:p w:rsidR="00AD690E" w:rsidRDefault="00AD690E" w:rsidP="00AD690E">
      <w:pPr>
        <w:pStyle w:val="Notedebasdepage"/>
      </w:pPr>
      <w:r>
        <w:rPr>
          <w:rStyle w:val="Appelnotedebasdep"/>
        </w:rPr>
        <w:footnoteRef/>
      </w:r>
      <w:r>
        <w:t xml:space="preserve"> </w:t>
      </w:r>
      <w:r>
        <w:tab/>
      </w:r>
      <w:r w:rsidRPr="00D66529">
        <w:rPr>
          <w:iCs/>
        </w:rPr>
        <w:t xml:space="preserve"> </w:t>
      </w:r>
      <w:r w:rsidRPr="00D66529">
        <w:rPr>
          <w:i/>
          <w:iCs/>
        </w:rPr>
        <w:t xml:space="preserve">Ibid., </w:t>
      </w:r>
      <w:r w:rsidRPr="00D66529">
        <w:t>p. 50</w:t>
      </w:r>
      <w:r>
        <w:t>.</w:t>
      </w:r>
    </w:p>
  </w:footnote>
  <w:footnote w:id="744">
    <w:p w:rsidR="00AD690E" w:rsidRDefault="00AD690E" w:rsidP="00AD690E">
      <w:pPr>
        <w:pStyle w:val="Notedebasdepage"/>
      </w:pPr>
      <w:r>
        <w:rPr>
          <w:rStyle w:val="Appelnotedebasdep"/>
        </w:rPr>
        <w:footnoteRef/>
      </w:r>
      <w:r>
        <w:t xml:space="preserve"> </w:t>
      </w:r>
      <w:r>
        <w:tab/>
      </w:r>
      <w:r w:rsidRPr="00E5742B">
        <w:rPr>
          <w:i/>
          <w:iCs/>
        </w:rPr>
        <w:t xml:space="preserve">Ibid., </w:t>
      </w:r>
      <w:r w:rsidRPr="00E5742B">
        <w:t>p. 52.</w:t>
      </w:r>
    </w:p>
  </w:footnote>
  <w:footnote w:id="745">
    <w:p w:rsidR="00AD690E" w:rsidRDefault="00AD690E" w:rsidP="00AD690E">
      <w:pPr>
        <w:pStyle w:val="Notedebasdepage"/>
      </w:pPr>
      <w:r>
        <w:rPr>
          <w:rStyle w:val="Appelnotedebasdep"/>
        </w:rPr>
        <w:footnoteRef/>
      </w:r>
      <w:r>
        <w:t xml:space="preserve"> </w:t>
      </w:r>
      <w:r>
        <w:tab/>
      </w:r>
      <w:r w:rsidRPr="00E5742B">
        <w:t xml:space="preserve"> WOODCOCK, </w:t>
      </w:r>
      <w:r>
        <w:t xml:space="preserve">G., </w:t>
      </w:r>
      <w:r w:rsidRPr="00E5742B">
        <w:rPr>
          <w:i/>
          <w:iCs/>
        </w:rPr>
        <w:t xml:space="preserve">Strange..., op. cit., </w:t>
      </w:r>
      <w:r w:rsidRPr="00E5742B">
        <w:t>pp. 116 et 117.</w:t>
      </w:r>
    </w:p>
  </w:footnote>
  <w:footnote w:id="746">
    <w:p w:rsidR="00AD690E" w:rsidRDefault="00AD690E" w:rsidP="00AD690E">
      <w:pPr>
        <w:pStyle w:val="Notedebasdepage"/>
      </w:pPr>
      <w:r>
        <w:rPr>
          <w:rStyle w:val="Appelnotedebasdep"/>
        </w:rPr>
        <w:footnoteRef/>
      </w:r>
      <w:r>
        <w:t xml:space="preserve"> </w:t>
      </w:r>
      <w:r>
        <w:tab/>
      </w:r>
      <w:r w:rsidRPr="006417D2">
        <w:t xml:space="preserve">Voir à ce propos le livre de BRUNELLE, D., </w:t>
      </w:r>
      <w:r w:rsidRPr="006417D2">
        <w:rPr>
          <w:i/>
          <w:iCs/>
        </w:rPr>
        <w:t>op. cit</w:t>
      </w:r>
      <w:r>
        <w:rPr>
          <w:i/>
          <w:iCs/>
        </w:rPr>
        <w:t>.</w:t>
      </w:r>
    </w:p>
  </w:footnote>
  <w:footnote w:id="747">
    <w:p w:rsidR="00AD690E" w:rsidRDefault="00AD690E" w:rsidP="00AD690E">
      <w:pPr>
        <w:pStyle w:val="Notedebasdepage"/>
      </w:pPr>
      <w:r>
        <w:rPr>
          <w:rStyle w:val="Appelnotedebasdep"/>
        </w:rPr>
        <w:footnoteRef/>
      </w:r>
      <w:r>
        <w:t xml:space="preserve"> </w:t>
      </w:r>
      <w:r>
        <w:tab/>
      </w:r>
      <w:r w:rsidRPr="006417D2">
        <w:t xml:space="preserve">WOODCOCK, G., </w:t>
      </w:r>
      <w:r w:rsidRPr="006417D2">
        <w:rPr>
          <w:i/>
          <w:iCs/>
        </w:rPr>
        <w:t xml:space="preserve">Strange..., op. cit., </w:t>
      </w:r>
      <w:r w:rsidRPr="006417D2">
        <w:t>p. 107.</w:t>
      </w:r>
    </w:p>
  </w:footnote>
  <w:footnote w:id="748">
    <w:p w:rsidR="00AD690E" w:rsidRDefault="00AD690E" w:rsidP="00AD690E">
      <w:pPr>
        <w:pStyle w:val="Notedebasdepage"/>
      </w:pPr>
      <w:r>
        <w:rPr>
          <w:rStyle w:val="Appelnotedebasdep"/>
        </w:rPr>
        <w:footnoteRef/>
      </w:r>
      <w:r>
        <w:t xml:space="preserve"> </w:t>
      </w:r>
      <w:r>
        <w:tab/>
      </w:r>
      <w:r w:rsidRPr="006417D2">
        <w:t xml:space="preserve"> MAILHOT, L., MÉLANÇON, B., </w:t>
      </w:r>
      <w:r w:rsidRPr="006417D2">
        <w:rPr>
          <w:i/>
          <w:iCs/>
        </w:rPr>
        <w:t xml:space="preserve">Le Conseil..., op. cit., </w:t>
      </w:r>
      <w:r w:rsidRPr="006417D2">
        <w:t>p. 69.</w:t>
      </w:r>
    </w:p>
  </w:footnote>
  <w:footnote w:id="749">
    <w:p w:rsidR="00AD690E" w:rsidRDefault="00AD690E" w:rsidP="00AD690E">
      <w:pPr>
        <w:pStyle w:val="Notedebasdepage"/>
      </w:pPr>
      <w:r>
        <w:rPr>
          <w:rStyle w:val="Appelnotedebasdep"/>
        </w:rPr>
        <w:footnoteRef/>
      </w:r>
      <w:r>
        <w:t xml:space="preserve"> </w:t>
      </w:r>
      <w:r>
        <w:tab/>
      </w:r>
      <w:r w:rsidRPr="006417D2">
        <w:t>Voir à cet effet, LACROIX, J.G., LÉVESQUE, B., « </w:t>
      </w:r>
      <w:hyperlink r:id="rId11" w:history="1">
        <w:r w:rsidRPr="006417D2">
          <w:rPr>
            <w:rStyle w:val="Lienhypertexte"/>
          </w:rPr>
          <w:t>Les industries culture</w:t>
        </w:r>
        <w:r w:rsidRPr="006417D2">
          <w:rPr>
            <w:rStyle w:val="Lienhypertexte"/>
          </w:rPr>
          <w:t>l</w:t>
        </w:r>
        <w:r w:rsidRPr="006417D2">
          <w:rPr>
            <w:rStyle w:val="Lienhypertexte"/>
          </w:rPr>
          <w:t>les au Québec : un enjeu vital </w:t>
        </w:r>
      </w:hyperlink>
      <w:r w:rsidRPr="006417D2">
        <w:t xml:space="preserve">! », dans </w:t>
      </w:r>
      <w:r w:rsidRPr="006417D2">
        <w:rPr>
          <w:i/>
          <w:iCs/>
        </w:rPr>
        <w:t>Cahiers de recherche sociol</w:t>
      </w:r>
      <w:r w:rsidRPr="006417D2">
        <w:rPr>
          <w:i/>
          <w:iCs/>
        </w:rPr>
        <w:t>o</w:t>
      </w:r>
      <w:r w:rsidRPr="006417D2">
        <w:rPr>
          <w:i/>
          <w:iCs/>
        </w:rPr>
        <w:t xml:space="preserve">gique, </w:t>
      </w:r>
      <w:r w:rsidRPr="006417D2">
        <w:t xml:space="preserve">vol. 4, n° 2, Automne 1986, p. 135-140 ; également, L'ALLIER, J.P., </w:t>
      </w:r>
      <w:r w:rsidRPr="006417D2">
        <w:rPr>
          <w:i/>
          <w:iCs/>
        </w:rPr>
        <w:t xml:space="preserve">Pour une politique québécoise des communications, </w:t>
      </w:r>
      <w:r w:rsidRPr="006417D2">
        <w:t>Québec, ministère des Co</w:t>
      </w:r>
      <w:r w:rsidRPr="006417D2">
        <w:t>m</w:t>
      </w:r>
      <w:r w:rsidRPr="006417D2">
        <w:t xml:space="preserve">munications du Québec, 1971 ; et L'ALLIER, J.P., </w:t>
      </w:r>
      <w:r w:rsidRPr="006417D2">
        <w:rPr>
          <w:i/>
          <w:iCs/>
        </w:rPr>
        <w:t>Le Québec maître d'œ</w:t>
      </w:r>
      <w:r w:rsidRPr="006417D2">
        <w:rPr>
          <w:i/>
          <w:iCs/>
        </w:rPr>
        <w:t>u</w:t>
      </w:r>
      <w:r w:rsidRPr="006417D2">
        <w:rPr>
          <w:i/>
          <w:iCs/>
        </w:rPr>
        <w:t xml:space="preserve">vre de la politique des communications sur son territoire, </w:t>
      </w:r>
      <w:r w:rsidRPr="006417D2">
        <w:t>Québec, MCQ, 1973.</w:t>
      </w:r>
    </w:p>
  </w:footnote>
  <w:footnote w:id="750">
    <w:p w:rsidR="00AD690E" w:rsidRDefault="00AD690E" w:rsidP="00AD690E">
      <w:pPr>
        <w:pStyle w:val="Notedebasdepage"/>
      </w:pPr>
      <w:r>
        <w:rPr>
          <w:rStyle w:val="Appelnotedebasdep"/>
        </w:rPr>
        <w:footnoteRef/>
      </w:r>
      <w:r>
        <w:t xml:space="preserve"> </w:t>
      </w:r>
      <w:r>
        <w:tab/>
        <w:t xml:space="preserve">OSTRY, B., The cutural…, </w:t>
      </w:r>
      <w:r w:rsidRPr="007758B8">
        <w:rPr>
          <w:i/>
        </w:rPr>
        <w:t>op.cit,</w:t>
      </w:r>
      <w:r>
        <w:t xml:space="preserve"> p.115</w:t>
      </w:r>
    </w:p>
  </w:footnote>
  <w:footnote w:id="751">
    <w:p w:rsidR="00AD690E" w:rsidRDefault="00AD690E" w:rsidP="00AD690E">
      <w:pPr>
        <w:pStyle w:val="Notedebasdepage"/>
      </w:pPr>
      <w:r>
        <w:rPr>
          <w:rStyle w:val="Appelnotedebasdep"/>
        </w:rPr>
        <w:footnoteRef/>
      </w:r>
      <w:r>
        <w:t xml:space="preserve"> </w:t>
      </w:r>
      <w:r>
        <w:tab/>
      </w:r>
      <w:r w:rsidRPr="007758B8">
        <w:t xml:space="preserve">WOODCOCK, G., </w:t>
      </w:r>
      <w:r w:rsidRPr="007758B8">
        <w:rPr>
          <w:i/>
          <w:iCs/>
        </w:rPr>
        <w:t xml:space="preserve">Strange..., op. cit., </w:t>
      </w:r>
      <w:r w:rsidRPr="007758B8">
        <w:t>p. 108.</w:t>
      </w:r>
    </w:p>
  </w:footnote>
  <w:footnote w:id="752">
    <w:p w:rsidR="00AD690E" w:rsidRPr="00097A61" w:rsidRDefault="00AD690E" w:rsidP="00AD690E">
      <w:pPr>
        <w:pStyle w:val="Notedebasdepage"/>
      </w:pPr>
      <w:r w:rsidRPr="00097A61">
        <w:rPr>
          <w:rStyle w:val="Appelnotedebasdep"/>
        </w:rPr>
        <w:footnoteRef/>
      </w:r>
      <w:r w:rsidRPr="00097A61">
        <w:t xml:space="preserve"> </w:t>
      </w:r>
      <w:r>
        <w:tab/>
      </w:r>
      <w:r w:rsidRPr="00097A61">
        <w:t xml:space="preserve">MAILHOT, L., MÉLANÇON, B., </w:t>
      </w:r>
      <w:r w:rsidRPr="00097A61">
        <w:rPr>
          <w:i/>
          <w:iCs/>
        </w:rPr>
        <w:t xml:space="preserve">Le Conseil..., op. cit., </w:t>
      </w:r>
      <w:r w:rsidRPr="00097A61">
        <w:t>p. 65</w:t>
      </w:r>
      <w:r w:rsidRPr="00EC43AA">
        <w:rPr>
          <w:sz w:val="28"/>
        </w:rPr>
        <w:t>.</w:t>
      </w:r>
    </w:p>
  </w:footnote>
  <w:footnote w:id="753">
    <w:p w:rsidR="00AD690E" w:rsidRPr="00EE032C" w:rsidRDefault="00AD690E" w:rsidP="00AD690E">
      <w:pPr>
        <w:pStyle w:val="Notedebasdepage"/>
      </w:pPr>
      <w:r w:rsidRPr="00EE032C">
        <w:rPr>
          <w:rStyle w:val="Appelnotedebasdep"/>
        </w:rPr>
        <w:footnoteRef/>
      </w:r>
      <w:r w:rsidRPr="00EE032C">
        <w:t xml:space="preserve"> </w:t>
      </w:r>
      <w:r w:rsidRPr="00EE032C">
        <w:tab/>
      </w:r>
      <w:r w:rsidRPr="00EE032C">
        <w:rPr>
          <w:i/>
          <w:iCs/>
        </w:rPr>
        <w:t xml:space="preserve">Ibid., </w:t>
      </w:r>
      <w:r w:rsidRPr="00EE032C">
        <w:t>pp. 119 à 123.</w:t>
      </w:r>
    </w:p>
  </w:footnote>
  <w:footnote w:id="754">
    <w:p w:rsidR="00AD690E" w:rsidRDefault="00AD690E" w:rsidP="00AD690E">
      <w:pPr>
        <w:pStyle w:val="Notedebasdepage"/>
      </w:pPr>
      <w:r w:rsidRPr="008366E9">
        <w:rPr>
          <w:rStyle w:val="Appelnotedebasdep"/>
        </w:rPr>
        <w:footnoteRef/>
      </w:r>
      <w:r w:rsidRPr="008366E9">
        <w:t xml:space="preserve"> </w:t>
      </w:r>
      <w:r w:rsidRPr="008366E9">
        <w:tab/>
        <w:t xml:space="preserve">CONFÉRENCE CANADIENNE DES ARTS, </w:t>
      </w:r>
      <w:r w:rsidRPr="008366E9">
        <w:rPr>
          <w:i/>
          <w:iCs/>
        </w:rPr>
        <w:t xml:space="preserve">Une troisième stratégie, </w:t>
      </w:r>
      <w:r w:rsidRPr="008366E9">
        <w:t>O</w:t>
      </w:r>
      <w:r w:rsidRPr="008366E9">
        <w:t>t</w:t>
      </w:r>
      <w:r w:rsidRPr="008366E9">
        <w:t>tawa, Conférence canadienne des arts, 1984, p. 115</w:t>
      </w:r>
      <w:r w:rsidRPr="00EE032C">
        <w:t>.</w:t>
      </w:r>
    </w:p>
  </w:footnote>
  <w:footnote w:id="755">
    <w:p w:rsidR="00AD690E" w:rsidRDefault="00AD690E" w:rsidP="00AD690E">
      <w:pPr>
        <w:pStyle w:val="Notedebasdepage"/>
      </w:pPr>
      <w:r w:rsidRPr="008366E9">
        <w:rPr>
          <w:rStyle w:val="Appelnotedebasdep"/>
        </w:rPr>
        <w:footnoteRef/>
      </w:r>
      <w:r w:rsidRPr="008366E9">
        <w:t xml:space="preserve"> </w:t>
      </w:r>
      <w:r w:rsidRPr="008366E9">
        <w:tab/>
        <w:t xml:space="preserve">À cet effet voir LACROIX, J.G., LÉVESQUE, B., </w:t>
      </w:r>
      <w:r w:rsidRPr="008366E9">
        <w:rPr>
          <w:i/>
          <w:iCs/>
        </w:rPr>
        <w:t>Le statut socio économ</w:t>
      </w:r>
      <w:r w:rsidRPr="008366E9">
        <w:rPr>
          <w:i/>
          <w:iCs/>
        </w:rPr>
        <w:t>i</w:t>
      </w:r>
      <w:r w:rsidRPr="008366E9">
        <w:rPr>
          <w:i/>
          <w:iCs/>
        </w:rPr>
        <w:t xml:space="preserve">que des musiciens membres de la Guilde des musiciens de Montréal, </w:t>
      </w:r>
      <w:r w:rsidRPr="008366E9">
        <w:t>Qu</w:t>
      </w:r>
      <w:r w:rsidRPr="008366E9">
        <w:t>é</w:t>
      </w:r>
      <w:r w:rsidRPr="008366E9">
        <w:t>bec, Service gouvernemental de la propriété intellectuelle et du statut de l'a</w:t>
      </w:r>
      <w:r w:rsidRPr="008366E9">
        <w:t>r</w:t>
      </w:r>
      <w:r w:rsidRPr="008366E9">
        <w:t>tiste, ministère des Affaires cult</w:t>
      </w:r>
      <w:r w:rsidRPr="008366E9">
        <w:t>u</w:t>
      </w:r>
      <w:r w:rsidRPr="008366E9">
        <w:t>relles du Québec, 1985, pp. 104 à 110.</w:t>
      </w:r>
    </w:p>
  </w:footnote>
  <w:footnote w:id="756">
    <w:p w:rsidR="00AD690E" w:rsidRDefault="00AD690E" w:rsidP="00AD690E">
      <w:pPr>
        <w:pStyle w:val="Notedebasdepage"/>
      </w:pPr>
      <w:r>
        <w:rPr>
          <w:rStyle w:val="Appelnotedebasdep"/>
        </w:rPr>
        <w:footnoteRef/>
      </w:r>
      <w:r>
        <w:t xml:space="preserve"> </w:t>
      </w:r>
      <w:r>
        <w:tab/>
      </w:r>
      <w:r w:rsidRPr="008366E9">
        <w:t xml:space="preserve">CONFÉRENCE CANADIENNE DES ARTS, </w:t>
      </w:r>
      <w:r w:rsidRPr="008366E9">
        <w:rPr>
          <w:i/>
          <w:iCs/>
        </w:rPr>
        <w:t>Une stratégie cu</w:t>
      </w:r>
      <w:r w:rsidRPr="008366E9">
        <w:rPr>
          <w:i/>
          <w:iCs/>
        </w:rPr>
        <w:t>l</w:t>
      </w:r>
      <w:r w:rsidRPr="008366E9">
        <w:rPr>
          <w:i/>
          <w:iCs/>
        </w:rPr>
        <w:t xml:space="preserve">turelle. </w:t>
      </w:r>
      <w:r w:rsidRPr="008366E9">
        <w:t>Conférence canadienne des arts, Ottawa, 1980</w:t>
      </w:r>
      <w:r>
        <w:t>.</w:t>
      </w:r>
    </w:p>
  </w:footnote>
  <w:footnote w:id="757">
    <w:p w:rsidR="00AD690E" w:rsidRDefault="00AD690E" w:rsidP="00AD690E">
      <w:pPr>
        <w:pStyle w:val="Notedebasdepage"/>
      </w:pPr>
      <w:r>
        <w:rPr>
          <w:rStyle w:val="Appelnotedebasdep"/>
        </w:rPr>
        <w:footnoteRef/>
      </w:r>
      <w:r>
        <w:t xml:space="preserve"> </w:t>
      </w:r>
      <w:r>
        <w:tab/>
      </w:r>
      <w:r w:rsidRPr="00CC5E1F">
        <w:t xml:space="preserve">CONFÉRENCE CANADIENNE DES ARTS, </w:t>
      </w:r>
      <w:r w:rsidRPr="00CC5E1F">
        <w:rPr>
          <w:i/>
          <w:iCs/>
        </w:rPr>
        <w:t>Perspectives pour l'élabor</w:t>
      </w:r>
      <w:r w:rsidRPr="00CC5E1F">
        <w:rPr>
          <w:i/>
          <w:iCs/>
        </w:rPr>
        <w:t>a</w:t>
      </w:r>
      <w:r w:rsidRPr="00CC5E1F">
        <w:rPr>
          <w:i/>
          <w:iCs/>
        </w:rPr>
        <w:t xml:space="preserve">tion d'une politique culturelle (Stratégie 11), </w:t>
      </w:r>
      <w:r w:rsidRPr="00CC5E1F">
        <w:t>Conférence Can</w:t>
      </w:r>
      <w:r w:rsidRPr="00CC5E1F">
        <w:t>a</w:t>
      </w:r>
      <w:r w:rsidRPr="00CC5E1F">
        <w:t>dienne des Arts, Ottawa, 1981.</w:t>
      </w:r>
    </w:p>
  </w:footnote>
  <w:footnote w:id="758">
    <w:p w:rsidR="00AD690E" w:rsidRDefault="00AD690E" w:rsidP="00AD690E">
      <w:pPr>
        <w:pStyle w:val="Notedebasdepage"/>
      </w:pPr>
      <w:r>
        <w:rPr>
          <w:rStyle w:val="Appelnotedebasdep"/>
        </w:rPr>
        <w:footnoteRef/>
      </w:r>
      <w:r>
        <w:t xml:space="preserve"> </w:t>
      </w:r>
      <w:r>
        <w:tab/>
      </w:r>
      <w:r w:rsidRPr="00CC5E1F">
        <w:t xml:space="preserve">CONFÉRENCE CANADIENNE DES ARTS, </w:t>
      </w:r>
      <w:r w:rsidRPr="00CC5E1F">
        <w:rPr>
          <w:i/>
          <w:iCs/>
        </w:rPr>
        <w:t>Une troisième..., op. cit..</w:t>
      </w:r>
    </w:p>
  </w:footnote>
  <w:footnote w:id="759">
    <w:p w:rsidR="00AD690E" w:rsidRDefault="00AD690E" w:rsidP="00AD690E">
      <w:pPr>
        <w:pStyle w:val="Notedebasdepage"/>
      </w:pPr>
      <w:r>
        <w:rPr>
          <w:rStyle w:val="Appelnotedebasdep"/>
        </w:rPr>
        <w:footnoteRef/>
      </w:r>
      <w:r>
        <w:t xml:space="preserve"> </w:t>
      </w:r>
      <w:r>
        <w:tab/>
      </w:r>
      <w:r w:rsidRPr="00CC5E1F">
        <w:t xml:space="preserve">CONFÉRENCE CANADIENNE DES ARTS, </w:t>
      </w:r>
      <w:r w:rsidRPr="00CC5E1F">
        <w:rPr>
          <w:i/>
          <w:iCs/>
        </w:rPr>
        <w:t>Une strat</w:t>
      </w:r>
      <w:r w:rsidRPr="00CC5E1F">
        <w:rPr>
          <w:i/>
          <w:iCs/>
        </w:rPr>
        <w:t>é</w:t>
      </w:r>
      <w:r w:rsidRPr="00CC5E1F">
        <w:rPr>
          <w:i/>
          <w:iCs/>
        </w:rPr>
        <w:t xml:space="preserve">gie..., op. cit., </w:t>
      </w:r>
      <w:r w:rsidRPr="00CC5E1F">
        <w:t>p. 67.</w:t>
      </w:r>
    </w:p>
  </w:footnote>
  <w:footnote w:id="760">
    <w:p w:rsidR="00AD690E" w:rsidRDefault="00AD690E" w:rsidP="00AD690E">
      <w:pPr>
        <w:pStyle w:val="Notedebasdepage"/>
      </w:pPr>
      <w:r>
        <w:rPr>
          <w:rStyle w:val="Appelnotedebasdep"/>
        </w:rPr>
        <w:footnoteRef/>
      </w:r>
      <w:r>
        <w:t xml:space="preserve"> </w:t>
      </w:r>
      <w:r>
        <w:tab/>
      </w:r>
      <w:r w:rsidRPr="00F76A32">
        <w:rPr>
          <w:i/>
          <w:iCs/>
        </w:rPr>
        <w:t xml:space="preserve">Ibid., </w:t>
      </w:r>
      <w:r w:rsidRPr="00F76A32">
        <w:t>p. 73</w:t>
      </w:r>
      <w:r>
        <w:t>.</w:t>
      </w:r>
    </w:p>
  </w:footnote>
  <w:footnote w:id="761">
    <w:p w:rsidR="00AD690E" w:rsidRPr="00F16CAD" w:rsidRDefault="00AD690E" w:rsidP="00AD690E">
      <w:pPr>
        <w:pStyle w:val="Notedebasdepage"/>
      </w:pPr>
      <w:r>
        <w:rPr>
          <w:rStyle w:val="Appelnotedebasdep"/>
        </w:rPr>
        <w:footnoteRef/>
      </w:r>
      <w:r>
        <w:t xml:space="preserve"> </w:t>
      </w:r>
      <w:r>
        <w:tab/>
      </w:r>
      <w:r w:rsidRPr="00F76A32">
        <w:rPr>
          <w:i/>
          <w:iCs/>
        </w:rPr>
        <w:t xml:space="preserve">Ibid., </w:t>
      </w:r>
      <w:r w:rsidRPr="00F76A32">
        <w:t>pp. 10, 11, 30 et 35.</w:t>
      </w:r>
    </w:p>
  </w:footnote>
  <w:footnote w:id="762">
    <w:p w:rsidR="00AD690E" w:rsidRDefault="00AD690E" w:rsidP="00AD690E">
      <w:pPr>
        <w:pStyle w:val="Notedebasdepage"/>
      </w:pPr>
      <w:r>
        <w:rPr>
          <w:rStyle w:val="Appelnotedebasdep"/>
        </w:rPr>
        <w:footnoteRef/>
      </w:r>
      <w:r>
        <w:t xml:space="preserve"> </w:t>
      </w:r>
      <w:r>
        <w:tab/>
      </w:r>
      <w:r w:rsidRPr="00EA1207">
        <w:t xml:space="preserve">TRUDEAU, P.E., allocution reproduite dans </w:t>
      </w:r>
      <w:r w:rsidRPr="00EA1207">
        <w:rPr>
          <w:i/>
          <w:iCs/>
        </w:rPr>
        <w:t>Une stratégie cult</w:t>
      </w:r>
      <w:r w:rsidRPr="00EA1207">
        <w:rPr>
          <w:i/>
          <w:iCs/>
        </w:rPr>
        <w:t>u</w:t>
      </w:r>
      <w:r w:rsidRPr="00EA1207">
        <w:rPr>
          <w:i/>
          <w:iCs/>
        </w:rPr>
        <w:t xml:space="preserve">relle. </w:t>
      </w:r>
      <w:r w:rsidRPr="00EA1207">
        <w:t>Conférence canadienne des Arts, Ottawa, 1980, p. 3 à 5.</w:t>
      </w:r>
    </w:p>
  </w:footnote>
  <w:footnote w:id="763">
    <w:p w:rsidR="00AD690E" w:rsidRPr="00EA1207" w:rsidRDefault="00AD690E" w:rsidP="00AD690E">
      <w:pPr>
        <w:pStyle w:val="Notedebasdepage"/>
      </w:pPr>
      <w:r>
        <w:rPr>
          <w:rStyle w:val="Appelnotedebasdep"/>
        </w:rPr>
        <w:footnoteRef/>
      </w:r>
      <w:r>
        <w:t xml:space="preserve"> </w:t>
      </w:r>
      <w:r>
        <w:tab/>
      </w:r>
      <w:r w:rsidRPr="00EA1207">
        <w:t xml:space="preserve">AUDLEY, P., </w:t>
      </w:r>
      <w:r w:rsidRPr="00EA1207">
        <w:rPr>
          <w:i/>
          <w:iCs/>
        </w:rPr>
        <w:t xml:space="preserve">Canadas..., op. cit., </w:t>
      </w:r>
      <w:r w:rsidRPr="00EA1207">
        <w:t>pp. 41, 124 et 210</w:t>
      </w:r>
    </w:p>
  </w:footnote>
  <w:footnote w:id="764">
    <w:p w:rsidR="00AD690E" w:rsidRDefault="00AD690E" w:rsidP="00AD690E">
      <w:pPr>
        <w:pStyle w:val="Notedebasdepage"/>
      </w:pPr>
      <w:r>
        <w:rPr>
          <w:rStyle w:val="Appelnotedebasdep"/>
        </w:rPr>
        <w:footnoteRef/>
      </w:r>
      <w:r>
        <w:t xml:space="preserve"> </w:t>
      </w:r>
      <w:r>
        <w:tab/>
      </w:r>
      <w:r w:rsidRPr="00EA1207">
        <w:t xml:space="preserve">PENDAKUR, M., </w:t>
      </w:r>
      <w:r w:rsidRPr="00EA1207">
        <w:rPr>
          <w:i/>
          <w:iCs/>
        </w:rPr>
        <w:t xml:space="preserve">Canada, op. cit., </w:t>
      </w:r>
      <w:r w:rsidRPr="00EA1207">
        <w:t>pp. 172 à 179.</w:t>
      </w:r>
    </w:p>
  </w:footnote>
  <w:footnote w:id="765">
    <w:p w:rsidR="00AD690E" w:rsidRDefault="00AD690E" w:rsidP="00AD690E">
      <w:pPr>
        <w:pStyle w:val="Notedebasdepage"/>
      </w:pPr>
      <w:r>
        <w:rPr>
          <w:rStyle w:val="Appelnotedebasdep"/>
        </w:rPr>
        <w:footnoteRef/>
      </w:r>
      <w:r>
        <w:tab/>
        <w:t xml:space="preserve"> </w:t>
      </w:r>
      <w:r w:rsidRPr="00EE637F">
        <w:t>LACROIX, J.G., LÉVESQUE, B., « Industries culturelles can</w:t>
      </w:r>
      <w:r w:rsidRPr="00EE637F">
        <w:t>a</w:t>
      </w:r>
      <w:r w:rsidRPr="00EE637F">
        <w:t xml:space="preserve">diennes et libre-échange avec les États-Unis », dans </w:t>
      </w:r>
      <w:r w:rsidRPr="00EE637F">
        <w:rPr>
          <w:i/>
          <w:iCs/>
        </w:rPr>
        <w:t xml:space="preserve">Un marché, deux sociétés ?, </w:t>
      </w:r>
      <w:r w:rsidRPr="00EE637F">
        <w:t>Mo</w:t>
      </w:r>
      <w:r w:rsidRPr="00EE637F">
        <w:t>n</w:t>
      </w:r>
      <w:r w:rsidRPr="00EE637F">
        <w:t>tréal, ACFAS, 1987, pp. 212-243.</w:t>
      </w:r>
    </w:p>
  </w:footnote>
  <w:footnote w:id="766">
    <w:p w:rsidR="00AD690E" w:rsidRDefault="00AD690E" w:rsidP="00AD690E">
      <w:pPr>
        <w:pStyle w:val="Notedebasdepage"/>
      </w:pPr>
      <w:r>
        <w:rPr>
          <w:rStyle w:val="Appelnotedebasdep"/>
        </w:rPr>
        <w:footnoteRef/>
      </w:r>
      <w:r>
        <w:t xml:space="preserve"> </w:t>
      </w:r>
      <w:r>
        <w:tab/>
      </w:r>
      <w:r w:rsidRPr="00EE637F">
        <w:t xml:space="preserve">AUDLEY, P., </w:t>
      </w:r>
      <w:r w:rsidRPr="00EE637F">
        <w:rPr>
          <w:i/>
          <w:iCs/>
        </w:rPr>
        <w:t xml:space="preserve">Canada's...op. cit., </w:t>
      </w:r>
      <w:r w:rsidRPr="00EE637F">
        <w:t>p. 320.</w:t>
      </w:r>
    </w:p>
  </w:footnote>
  <w:footnote w:id="767">
    <w:p w:rsidR="00AD690E" w:rsidRDefault="00AD690E" w:rsidP="00AD690E">
      <w:pPr>
        <w:pStyle w:val="Notedebasdepage"/>
      </w:pPr>
      <w:r>
        <w:rPr>
          <w:rStyle w:val="Appelnotedebasdep"/>
        </w:rPr>
        <w:footnoteRef/>
      </w:r>
      <w:r>
        <w:t xml:space="preserve"> </w:t>
      </w:r>
      <w:r>
        <w:tab/>
      </w:r>
      <w:r w:rsidRPr="00EE637F">
        <w:t xml:space="preserve">MCC, </w:t>
      </w:r>
      <w:r w:rsidRPr="00EE637F">
        <w:rPr>
          <w:i/>
          <w:iCs/>
        </w:rPr>
        <w:t xml:space="preserve">Rapport annuel, </w:t>
      </w:r>
      <w:r w:rsidRPr="00EE637F">
        <w:t>Ottawa, MCC, 1983, p. 2.</w:t>
      </w:r>
    </w:p>
  </w:footnote>
  <w:footnote w:id="768">
    <w:p w:rsidR="00AD690E" w:rsidRDefault="00AD690E" w:rsidP="00AD690E">
      <w:pPr>
        <w:pStyle w:val="Notedebasdepage"/>
      </w:pPr>
      <w:r>
        <w:rPr>
          <w:rStyle w:val="Appelnotedebasdep"/>
        </w:rPr>
        <w:footnoteRef/>
      </w:r>
      <w:r>
        <w:t xml:space="preserve"> </w:t>
      </w:r>
      <w:r>
        <w:tab/>
      </w:r>
      <w:r w:rsidRPr="00FF511E">
        <w:t xml:space="preserve">CANADA, </w:t>
      </w:r>
      <w:r w:rsidRPr="00FF511E">
        <w:rPr>
          <w:i/>
          <w:iCs/>
        </w:rPr>
        <w:t xml:space="preserve">Rapport du Comité d'étude de la politique culturelle fédérale, </w:t>
      </w:r>
      <w:r w:rsidRPr="00FF511E">
        <w:t>Rapport Applebaum-Hébert, Ottawa, ministère des Approvisionn</w:t>
      </w:r>
      <w:r w:rsidRPr="00FF511E">
        <w:t>e</w:t>
      </w:r>
      <w:r w:rsidRPr="00FF511E">
        <w:t>ments et Services Canada, 1982, p. 6.</w:t>
      </w:r>
    </w:p>
  </w:footnote>
  <w:footnote w:id="769">
    <w:p w:rsidR="00AD690E" w:rsidRDefault="00AD690E" w:rsidP="00AD690E">
      <w:pPr>
        <w:pStyle w:val="Notedebasdepage"/>
      </w:pPr>
      <w:r>
        <w:rPr>
          <w:rStyle w:val="Appelnotedebasdep"/>
        </w:rPr>
        <w:footnoteRef/>
      </w:r>
      <w:r>
        <w:t xml:space="preserve"> </w:t>
      </w:r>
      <w:r>
        <w:tab/>
      </w:r>
      <w:r w:rsidRPr="00736F0A">
        <w:t>FOX, F., La culture et les communications : Éléments clés de l'avenir éc</w:t>
      </w:r>
      <w:r w:rsidRPr="00736F0A">
        <w:t>o</w:t>
      </w:r>
      <w:r w:rsidRPr="00736F0A">
        <w:t>nomique du Canada, Ottawa, ministère des Commun</w:t>
      </w:r>
      <w:r w:rsidRPr="00736F0A">
        <w:t>i</w:t>
      </w:r>
      <w:r w:rsidRPr="00736F0A">
        <w:t>cations, 1983.</w:t>
      </w:r>
    </w:p>
  </w:footnote>
  <w:footnote w:id="770">
    <w:p w:rsidR="00AD690E" w:rsidRDefault="00AD690E" w:rsidP="00AD690E">
      <w:pPr>
        <w:pStyle w:val="Notedebasdepage"/>
      </w:pPr>
      <w:r>
        <w:rPr>
          <w:rStyle w:val="Appelnotedebasdep"/>
        </w:rPr>
        <w:footnoteRef/>
      </w:r>
      <w:r>
        <w:t xml:space="preserve"> </w:t>
      </w:r>
      <w:r>
        <w:tab/>
      </w:r>
      <w:r w:rsidRPr="00736F0A">
        <w:t xml:space="preserve">CANADA, </w:t>
      </w:r>
      <w:r w:rsidRPr="00736F0A">
        <w:rPr>
          <w:i/>
          <w:iCs/>
        </w:rPr>
        <w:t>Vers une nouvelle politique nationale de la radiotél</w:t>
      </w:r>
      <w:r w:rsidRPr="00736F0A">
        <w:rPr>
          <w:i/>
          <w:iCs/>
        </w:rPr>
        <w:t>é</w:t>
      </w:r>
      <w:r w:rsidRPr="00736F0A">
        <w:rPr>
          <w:i/>
          <w:iCs/>
        </w:rPr>
        <w:t xml:space="preserve">diffusion, </w:t>
      </w:r>
      <w:r w:rsidRPr="00736F0A">
        <w:t>Ottawa, ministère des Communications, 1983, première page, non paginé</w:t>
      </w:r>
      <w:r>
        <w:t>.</w:t>
      </w:r>
    </w:p>
  </w:footnote>
  <w:footnote w:id="771">
    <w:p w:rsidR="00AD690E" w:rsidRDefault="00AD690E" w:rsidP="00AD690E">
      <w:pPr>
        <w:pStyle w:val="Notedebasdepage"/>
      </w:pPr>
      <w:r>
        <w:rPr>
          <w:rStyle w:val="Appelnotedebasdep"/>
        </w:rPr>
        <w:footnoteRef/>
      </w:r>
      <w:r>
        <w:t xml:space="preserve"> </w:t>
      </w:r>
      <w:r>
        <w:tab/>
      </w:r>
      <w:r w:rsidRPr="00736F0A">
        <w:rPr>
          <w:i/>
          <w:iCs/>
        </w:rPr>
        <w:t xml:space="preserve">Ibid., </w:t>
      </w:r>
      <w:r w:rsidRPr="00736F0A">
        <w:t>cinquième page.</w:t>
      </w:r>
    </w:p>
  </w:footnote>
  <w:footnote w:id="772">
    <w:p w:rsidR="00AD690E" w:rsidRDefault="00AD690E" w:rsidP="00AD690E">
      <w:pPr>
        <w:pStyle w:val="Notedebasdepage"/>
      </w:pPr>
      <w:r>
        <w:rPr>
          <w:rStyle w:val="Appelnotedebasdep"/>
        </w:rPr>
        <w:footnoteRef/>
      </w:r>
      <w:r>
        <w:t xml:space="preserve"> </w:t>
      </w:r>
      <w:r>
        <w:tab/>
      </w:r>
      <w:r w:rsidRPr="00736F0A">
        <w:rPr>
          <w:i/>
          <w:iCs/>
        </w:rPr>
        <w:t xml:space="preserve">Ibid., </w:t>
      </w:r>
      <w:r w:rsidRPr="00736F0A">
        <w:t>huitième page.</w:t>
      </w:r>
    </w:p>
  </w:footnote>
  <w:footnote w:id="773">
    <w:p w:rsidR="00AD690E" w:rsidRDefault="00AD690E" w:rsidP="00AD690E">
      <w:pPr>
        <w:pStyle w:val="Notedebasdepage"/>
      </w:pPr>
      <w:r>
        <w:rPr>
          <w:rStyle w:val="Appelnotedebasdep"/>
        </w:rPr>
        <w:footnoteRef/>
      </w:r>
      <w:r>
        <w:t xml:space="preserve"> </w:t>
      </w:r>
      <w:r>
        <w:tab/>
      </w:r>
      <w:r w:rsidRPr="00736F0A">
        <w:t xml:space="preserve">CANADA, </w:t>
      </w:r>
      <w:r w:rsidRPr="00736F0A">
        <w:rPr>
          <w:i/>
          <w:iCs/>
        </w:rPr>
        <w:t xml:space="preserve">La politique nationale du film et de la vidéo, </w:t>
      </w:r>
      <w:r w:rsidRPr="00736F0A">
        <w:t>Ottawa, m</w:t>
      </w:r>
      <w:r w:rsidRPr="00736F0A">
        <w:t>i</w:t>
      </w:r>
      <w:r w:rsidRPr="00736F0A">
        <w:t>nistère des Communications, 1984, pp. 34.</w:t>
      </w:r>
    </w:p>
  </w:footnote>
  <w:footnote w:id="774">
    <w:p w:rsidR="00AD690E" w:rsidRDefault="00AD690E" w:rsidP="00AD690E">
      <w:pPr>
        <w:pStyle w:val="Notedebasdepage"/>
      </w:pPr>
      <w:r>
        <w:rPr>
          <w:rStyle w:val="Appelnotedebasdep"/>
        </w:rPr>
        <w:footnoteRef/>
      </w:r>
      <w:r>
        <w:t xml:space="preserve"> </w:t>
      </w:r>
      <w:r>
        <w:tab/>
      </w:r>
      <w:r w:rsidRPr="00A8031C">
        <w:rPr>
          <w:i/>
          <w:iCs/>
        </w:rPr>
        <w:t xml:space="preserve">Ibid., </w:t>
      </w:r>
      <w:r w:rsidRPr="00A8031C">
        <w:t>p. 20.</w:t>
      </w:r>
    </w:p>
  </w:footnote>
  <w:footnote w:id="775">
    <w:p w:rsidR="00AD690E" w:rsidRPr="009E71DA" w:rsidRDefault="00AD690E" w:rsidP="00AD690E">
      <w:pPr>
        <w:pStyle w:val="Notedebasdepage"/>
        <w:rPr>
          <w:rFonts w:ascii="Chalkboard" w:hAnsi="Chalkboard" w:cs="Apple Chancery"/>
        </w:rPr>
      </w:pPr>
      <w:r w:rsidRPr="009E71DA">
        <w:rPr>
          <w:rStyle w:val="Appelnotedebasdep"/>
          <w:rFonts w:ascii="Chalkboard" w:hAnsi="Chalkboard" w:cs="Apple Chancery"/>
        </w:rPr>
        <w:footnoteRef/>
      </w:r>
      <w:r w:rsidRPr="009E71DA">
        <w:rPr>
          <w:rFonts w:ascii="Chalkboard" w:hAnsi="Chalkboard" w:cs="Apple Chancery"/>
        </w:rPr>
        <w:t xml:space="preserve"> </w:t>
      </w:r>
      <w:r w:rsidRPr="009E71DA">
        <w:rPr>
          <w:rFonts w:ascii="Chalkboard" w:hAnsi="Chalkboard" w:cs="Apple Chancery"/>
        </w:rPr>
        <w:tab/>
      </w:r>
      <w:r w:rsidRPr="00FE56BA">
        <w:rPr>
          <w:i/>
        </w:rPr>
        <w:t>Ibid</w:t>
      </w:r>
      <w:r w:rsidRPr="00FE56BA">
        <w:t>.</w:t>
      </w:r>
    </w:p>
  </w:footnote>
  <w:footnote w:id="776">
    <w:p w:rsidR="00AD690E" w:rsidRDefault="00AD690E" w:rsidP="00AD690E">
      <w:pPr>
        <w:pStyle w:val="Notedebasdepage"/>
      </w:pPr>
      <w:r>
        <w:rPr>
          <w:rStyle w:val="Appelnotedebasdep"/>
        </w:rPr>
        <w:footnoteRef/>
      </w:r>
      <w:r>
        <w:t xml:space="preserve"> </w:t>
      </w:r>
      <w:r>
        <w:tab/>
      </w:r>
      <w:r w:rsidRPr="00F16CAD">
        <w:t xml:space="preserve">CONFÉRENCE CANADIENNE DES ARTS, </w:t>
      </w:r>
      <w:r w:rsidRPr="00F16CAD">
        <w:rPr>
          <w:i/>
          <w:iCs/>
        </w:rPr>
        <w:t xml:space="preserve">Perspectives pour..., op. cit., </w:t>
      </w:r>
      <w:r w:rsidRPr="00F16CAD">
        <w:t>p. 4.</w:t>
      </w:r>
    </w:p>
  </w:footnote>
  <w:footnote w:id="777">
    <w:p w:rsidR="00AD690E" w:rsidRDefault="00AD690E" w:rsidP="00AD690E">
      <w:pPr>
        <w:pStyle w:val="Notedebasdepage"/>
      </w:pPr>
      <w:r>
        <w:rPr>
          <w:rStyle w:val="Appelnotedebasdep"/>
        </w:rPr>
        <w:footnoteRef/>
      </w:r>
      <w:r>
        <w:t xml:space="preserve"> </w:t>
      </w:r>
      <w:r>
        <w:tab/>
      </w:r>
      <w:r w:rsidRPr="00A17D81">
        <w:t xml:space="preserve">CONFÉRENCE CANADIENNE DES ARTS, </w:t>
      </w:r>
      <w:r w:rsidRPr="00A17D81">
        <w:rPr>
          <w:i/>
          <w:iCs/>
        </w:rPr>
        <w:t xml:space="preserve">Une troisième..., op. cit., </w:t>
      </w:r>
      <w:r w:rsidRPr="00A17D81">
        <w:t>p. 5</w:t>
      </w:r>
      <w:r>
        <w:t>.</w:t>
      </w:r>
    </w:p>
  </w:footnote>
  <w:footnote w:id="778">
    <w:p w:rsidR="00AD690E" w:rsidRDefault="00AD690E" w:rsidP="00AD690E">
      <w:pPr>
        <w:pStyle w:val="Notedebasdepage"/>
      </w:pPr>
      <w:r>
        <w:rPr>
          <w:rStyle w:val="Appelnotedebasdep"/>
        </w:rPr>
        <w:footnoteRef/>
      </w:r>
      <w:r>
        <w:t xml:space="preserve"> </w:t>
      </w:r>
      <w:r>
        <w:tab/>
      </w:r>
      <w:r w:rsidRPr="00A17D81">
        <w:t>LACROIX, J.G., LÉVESQUE, B., Industries culturelles can</w:t>
      </w:r>
      <w:r w:rsidRPr="00A17D81">
        <w:t>a</w:t>
      </w:r>
      <w:r w:rsidRPr="00A17D81">
        <w:t>diennes .... op. cit..</w:t>
      </w:r>
    </w:p>
  </w:footnote>
  <w:footnote w:id="779">
    <w:p w:rsidR="00AD690E" w:rsidRDefault="00AD690E" w:rsidP="00AD690E">
      <w:pPr>
        <w:pStyle w:val="Notedebasdepage"/>
      </w:pPr>
      <w:r>
        <w:rPr>
          <w:rStyle w:val="Appelnotedebasdep"/>
        </w:rPr>
        <w:footnoteRef/>
      </w:r>
      <w:r>
        <w:t xml:space="preserve"> </w:t>
      </w:r>
      <w:r>
        <w:tab/>
      </w:r>
      <w:r w:rsidRPr="00CD3435">
        <w:t xml:space="preserve">WOODCOCK, G., </w:t>
      </w:r>
      <w:r w:rsidRPr="00CD3435">
        <w:rPr>
          <w:i/>
          <w:iCs/>
        </w:rPr>
        <w:t xml:space="preserve">Strangc.op. cit., </w:t>
      </w:r>
      <w:r w:rsidRPr="00CD3435">
        <w:t>pp. 164-165</w:t>
      </w:r>
      <w:r w:rsidRPr="00EC43AA">
        <w:rPr>
          <w:sz w:val="2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90E" w:rsidRDefault="00AD690E" w:rsidP="00AD690E">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L’ère des Libéraux. Le pouvoir fédéral de 1963 à 1984.</w:t>
    </w:r>
    <w:r w:rsidRPr="00C90835">
      <w:rPr>
        <w:rFonts w:ascii="Times New Roman" w:hAnsi="Times New Roman"/>
      </w:rPr>
      <w:t xml:space="preserve"> </w:t>
    </w:r>
    <w:r>
      <w:rPr>
        <w:rFonts w:ascii="Times New Roman" w:hAnsi="Times New Roman"/>
      </w:rPr>
      <w:t>(1988)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94470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rsidR="00AD690E" w:rsidRDefault="00AD690E">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5E1315"/>
    <w:rsid w:val="0094470C"/>
    <w:rsid w:val="00AD690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D5F2279B-C9C8-4F4A-9F97-228FFA6D6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uiPriority w:val="99"/>
    <w:rsid w:val="003F3D5C"/>
    <w:rPr>
      <w:color w:val="FF0000"/>
      <w:position w:val="6"/>
      <w:sz w:val="20"/>
      <w:szCs w:val="22"/>
    </w:rPr>
  </w:style>
  <w:style w:type="paragraph" w:styleId="Grillecouleur-Accent1">
    <w:name w:val="Colorful Grid Accent 1"/>
    <w:basedOn w:val="Normal"/>
    <w:link w:val="Grillecouleur-Accent1Car"/>
    <w:autoRedefine/>
    <w:rsid w:val="006100E5"/>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uiPriority w:val="99"/>
    <w:rsid w:val="00624090"/>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32BFB"/>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A0564A"/>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basedOn w:val="Policepardfaut"/>
    <w:link w:val="Grillecouleur-Accent1"/>
    <w:rsid w:val="006100E5"/>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957619"/>
    <w:rPr>
      <w:rFonts w:ascii="Times New Roman" w:eastAsia="Times New Roman" w:hAnsi="Times New Roman"/>
      <w:sz w:val="72"/>
      <w:lang w:val="fr-CA" w:eastAsia="en-US"/>
    </w:rPr>
  </w:style>
  <w:style w:type="paragraph" w:styleId="Corpsdetexte2">
    <w:name w:val="Body Text 2"/>
    <w:basedOn w:val="Normal"/>
    <w:link w:val="Corpsdetexte2Car"/>
    <w:rsid w:val="00957619"/>
    <w:pPr>
      <w:widowControl w:val="0"/>
      <w:autoSpaceDE w:val="0"/>
      <w:autoSpaceDN w:val="0"/>
      <w:adjustRightInd w:val="0"/>
      <w:ind w:firstLine="0"/>
      <w:jc w:val="both"/>
    </w:pPr>
    <w:rPr>
      <w:rFonts w:ascii="Arial" w:hAnsi="Arial"/>
      <w:sz w:val="20"/>
      <w:lang w:val="fr-FR" w:eastAsia="fr-FR"/>
    </w:rPr>
  </w:style>
  <w:style w:type="character" w:customStyle="1" w:styleId="Corpsdetexte2Car">
    <w:name w:val="Corps de texte 2 Car"/>
    <w:basedOn w:val="Policepardfaut"/>
    <w:link w:val="Corpsdetexte2"/>
    <w:rsid w:val="00957619"/>
    <w:rPr>
      <w:rFonts w:ascii="Arial" w:eastAsia="Times New Roman" w:hAnsi="Arial"/>
    </w:rPr>
  </w:style>
  <w:style w:type="paragraph" w:styleId="Corpsdetexte3">
    <w:name w:val="Body Text 3"/>
    <w:basedOn w:val="Normal"/>
    <w:link w:val="Corpsdetexte3Car"/>
    <w:rsid w:val="00957619"/>
    <w:pPr>
      <w:widowControl w:val="0"/>
      <w:tabs>
        <w:tab w:val="left" w:pos="510"/>
        <w:tab w:val="left" w:pos="510"/>
      </w:tabs>
      <w:autoSpaceDE w:val="0"/>
      <w:autoSpaceDN w:val="0"/>
      <w:adjustRightInd w:val="0"/>
      <w:ind w:firstLine="0"/>
      <w:jc w:val="both"/>
    </w:pPr>
    <w:rPr>
      <w:rFonts w:ascii="Arial" w:hAnsi="Arial"/>
      <w:sz w:val="20"/>
      <w:lang w:val="fr-FR" w:eastAsia="fr-FR"/>
    </w:rPr>
  </w:style>
  <w:style w:type="character" w:customStyle="1" w:styleId="Corpsdetexte3Car">
    <w:name w:val="Corps de texte 3 Car"/>
    <w:basedOn w:val="Policepardfaut"/>
    <w:link w:val="Corpsdetexte3"/>
    <w:rsid w:val="00957619"/>
    <w:rPr>
      <w:rFonts w:ascii="Arial" w:eastAsia="Times New Roman" w:hAnsi="Arial"/>
    </w:rPr>
  </w:style>
  <w:style w:type="character" w:customStyle="1" w:styleId="En-tteCar">
    <w:name w:val="En-tête Car"/>
    <w:basedOn w:val="Policepardfaut"/>
    <w:link w:val="En-tte"/>
    <w:uiPriority w:val="99"/>
    <w:rsid w:val="00957619"/>
    <w:rPr>
      <w:rFonts w:ascii="GillSans" w:eastAsia="Times New Roman" w:hAnsi="GillSans"/>
      <w:lang w:val="fr-CA" w:eastAsia="en-US"/>
    </w:rPr>
  </w:style>
  <w:style w:type="character" w:customStyle="1" w:styleId="NotedebasdepageCar">
    <w:name w:val="Note de bas de page Car"/>
    <w:basedOn w:val="Policepardfaut"/>
    <w:link w:val="Notedebasdepage"/>
    <w:uiPriority w:val="99"/>
    <w:rsid w:val="00624090"/>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957619"/>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957619"/>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957619"/>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957619"/>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957619"/>
    <w:rPr>
      <w:rFonts w:ascii="Arial" w:eastAsia="Times New Roman" w:hAnsi="Arial"/>
      <w:sz w:val="28"/>
      <w:lang w:val="fr-CA" w:eastAsia="en-US"/>
    </w:rPr>
  </w:style>
  <w:style w:type="character" w:customStyle="1" w:styleId="TitreCar">
    <w:name w:val="Titre Car"/>
    <w:basedOn w:val="Policepardfaut"/>
    <w:link w:val="Titre"/>
    <w:rsid w:val="00957619"/>
    <w:rPr>
      <w:rFonts w:ascii="Times New Roman" w:eastAsia="Times New Roman" w:hAnsi="Times New Roman"/>
      <w:b/>
      <w:sz w:val="48"/>
      <w:lang w:val="fr-CA" w:eastAsia="en-US"/>
    </w:rPr>
  </w:style>
  <w:style w:type="character" w:customStyle="1" w:styleId="Titre1Car">
    <w:name w:val="Titre 1 Car"/>
    <w:basedOn w:val="Policepardfaut"/>
    <w:link w:val="Titre1"/>
    <w:rsid w:val="00957619"/>
    <w:rPr>
      <w:rFonts w:eastAsia="Times New Roman"/>
      <w:noProof/>
      <w:lang w:val="fr-CA" w:eastAsia="en-US" w:bidi="ar-SA"/>
    </w:rPr>
  </w:style>
  <w:style w:type="character" w:customStyle="1" w:styleId="Titre2Car">
    <w:name w:val="Titre 2 Car"/>
    <w:basedOn w:val="Policepardfaut"/>
    <w:link w:val="Titre2"/>
    <w:rsid w:val="00957619"/>
    <w:rPr>
      <w:rFonts w:eastAsia="Times New Roman"/>
      <w:noProof/>
      <w:lang w:val="fr-CA" w:eastAsia="en-US" w:bidi="ar-SA"/>
    </w:rPr>
  </w:style>
  <w:style w:type="character" w:customStyle="1" w:styleId="Titre3Car">
    <w:name w:val="Titre 3 Car"/>
    <w:basedOn w:val="Policepardfaut"/>
    <w:link w:val="Titre3"/>
    <w:rsid w:val="00957619"/>
    <w:rPr>
      <w:rFonts w:eastAsia="Times New Roman"/>
      <w:noProof/>
      <w:lang w:val="fr-CA" w:eastAsia="en-US" w:bidi="ar-SA"/>
    </w:rPr>
  </w:style>
  <w:style w:type="character" w:customStyle="1" w:styleId="Titre4Car">
    <w:name w:val="Titre 4 Car"/>
    <w:basedOn w:val="Policepardfaut"/>
    <w:link w:val="Titre4"/>
    <w:rsid w:val="00957619"/>
    <w:rPr>
      <w:rFonts w:eastAsia="Times New Roman"/>
      <w:noProof/>
      <w:lang w:val="fr-CA" w:eastAsia="en-US" w:bidi="ar-SA"/>
    </w:rPr>
  </w:style>
  <w:style w:type="character" w:customStyle="1" w:styleId="Titre5Car">
    <w:name w:val="Titre 5 Car"/>
    <w:basedOn w:val="Policepardfaut"/>
    <w:link w:val="Titre5"/>
    <w:rsid w:val="00957619"/>
    <w:rPr>
      <w:rFonts w:eastAsia="Times New Roman"/>
      <w:noProof/>
      <w:lang w:val="fr-CA" w:eastAsia="en-US" w:bidi="ar-SA"/>
    </w:rPr>
  </w:style>
  <w:style w:type="character" w:customStyle="1" w:styleId="Titre6Car">
    <w:name w:val="Titre 6 Car"/>
    <w:basedOn w:val="Policepardfaut"/>
    <w:link w:val="Titre6"/>
    <w:rsid w:val="00957619"/>
    <w:rPr>
      <w:rFonts w:eastAsia="Times New Roman"/>
      <w:noProof/>
      <w:lang w:val="fr-CA" w:eastAsia="en-US" w:bidi="ar-SA"/>
    </w:rPr>
  </w:style>
  <w:style w:type="character" w:customStyle="1" w:styleId="Titre7Car">
    <w:name w:val="Titre 7 Car"/>
    <w:basedOn w:val="Policepardfaut"/>
    <w:link w:val="Titre7"/>
    <w:rsid w:val="00957619"/>
    <w:rPr>
      <w:rFonts w:eastAsia="Times New Roman"/>
      <w:noProof/>
      <w:lang w:val="fr-CA" w:eastAsia="en-US" w:bidi="ar-SA"/>
    </w:rPr>
  </w:style>
  <w:style w:type="character" w:customStyle="1" w:styleId="Titre8Car">
    <w:name w:val="Titre 8 Car"/>
    <w:basedOn w:val="Policepardfaut"/>
    <w:link w:val="Titre8"/>
    <w:rsid w:val="00957619"/>
    <w:rPr>
      <w:rFonts w:eastAsia="Times New Roman"/>
      <w:noProof/>
      <w:lang w:val="fr-CA" w:eastAsia="en-US" w:bidi="ar-SA"/>
    </w:rPr>
  </w:style>
  <w:style w:type="character" w:customStyle="1" w:styleId="Titre9Car">
    <w:name w:val="Titre 9 Car"/>
    <w:basedOn w:val="Policepardfaut"/>
    <w:link w:val="Titre9"/>
    <w:rsid w:val="00957619"/>
    <w:rPr>
      <w:rFonts w:eastAsia="Times New Roman"/>
      <w:noProof/>
      <w:lang w:val="fr-CA" w:eastAsia="en-US" w:bidi="ar-SA"/>
    </w:rPr>
  </w:style>
  <w:style w:type="paragraph" w:customStyle="1" w:styleId="figtitre">
    <w:name w:val="fig titre"/>
    <w:basedOn w:val="Normal"/>
    <w:autoRedefine/>
    <w:rsid w:val="003F7015"/>
    <w:pPr>
      <w:spacing w:before="120" w:after="120"/>
      <w:ind w:firstLine="0"/>
      <w:jc w:val="center"/>
    </w:pPr>
    <w:rPr>
      <w:bCs/>
      <w:color w:val="000090"/>
      <w:sz w:val="24"/>
      <w:szCs w:val="22"/>
    </w:rPr>
  </w:style>
  <w:style w:type="paragraph" w:customStyle="1" w:styleId="figst">
    <w:name w:val="fig st"/>
    <w:basedOn w:val="Normal"/>
    <w:autoRedefine/>
    <w:rsid w:val="003F7015"/>
    <w:pPr>
      <w:spacing w:before="120" w:after="120"/>
      <w:ind w:firstLine="0"/>
      <w:jc w:val="both"/>
    </w:pPr>
    <w:rPr>
      <w:color w:val="000090"/>
      <w:sz w:val="24"/>
      <w:szCs w:val="18"/>
    </w:rPr>
  </w:style>
  <w:style w:type="paragraph" w:customStyle="1" w:styleId="figstlegende">
    <w:name w:val="fig st legende"/>
    <w:basedOn w:val="figst"/>
    <w:autoRedefine/>
    <w:rsid w:val="00D756DB"/>
    <w:pPr>
      <w:spacing w:after="0"/>
      <w:ind w:left="706" w:hanging="706"/>
    </w:pPr>
  </w:style>
  <w:style w:type="paragraph" w:customStyle="1" w:styleId="FIGST0">
    <w:name w:val="FIG ST"/>
    <w:basedOn w:val="Normal"/>
    <w:autoRedefine/>
    <w:rsid w:val="00226F76"/>
    <w:pPr>
      <w:autoSpaceDE w:val="0"/>
      <w:autoSpaceDN w:val="0"/>
      <w:adjustRightInd w:val="0"/>
      <w:spacing w:before="120" w:after="120"/>
      <w:ind w:firstLine="0"/>
      <w:jc w:val="both"/>
    </w:pPr>
    <w:rPr>
      <w:color w:val="000090"/>
      <w:sz w:val="20"/>
      <w:szCs w:val="18"/>
      <w:lang w:eastAsia="fr-FR"/>
    </w:rPr>
  </w:style>
  <w:style w:type="paragraph" w:customStyle="1" w:styleId="figstliste">
    <w:name w:val="fig st liste"/>
    <w:basedOn w:val="Normal"/>
    <w:autoRedefine/>
    <w:rsid w:val="00226F76"/>
    <w:pPr>
      <w:autoSpaceDE w:val="0"/>
      <w:autoSpaceDN w:val="0"/>
      <w:adjustRightInd w:val="0"/>
      <w:ind w:left="360" w:hanging="360"/>
      <w:jc w:val="both"/>
    </w:pPr>
    <w:rPr>
      <w:color w:val="000090"/>
      <w:sz w:val="24"/>
      <w:szCs w:val="14"/>
      <w:lang w:eastAsia="fr-FR"/>
    </w:rPr>
  </w:style>
  <w:style w:type="paragraph" w:customStyle="1" w:styleId="FIGSTc">
    <w:name w:val="FIG ST c"/>
    <w:basedOn w:val="FIGST0"/>
    <w:autoRedefine/>
    <w:rsid w:val="009E5960"/>
    <w:pPr>
      <w:jc w:val="center"/>
    </w:pPr>
  </w:style>
  <w:style w:type="paragraph" w:customStyle="1" w:styleId="fig2">
    <w:name w:val="fig 2"/>
    <w:basedOn w:val="fig"/>
    <w:autoRedefine/>
    <w:rsid w:val="000F7900"/>
    <w:pPr>
      <w:ind w:left="-1530" w:right="-360"/>
      <w:jc w:val="right"/>
    </w:pPr>
  </w:style>
  <w:style w:type="paragraph" w:customStyle="1" w:styleId="citationliste">
    <w:name w:val="citation liste"/>
    <w:basedOn w:val="Normal"/>
    <w:autoRedefine/>
    <w:rsid w:val="00122C1F"/>
    <w:pPr>
      <w:spacing w:before="120" w:after="120"/>
      <w:ind w:left="1440" w:hanging="360"/>
      <w:jc w:val="both"/>
    </w:pPr>
    <w:rPr>
      <w:color w:val="000090"/>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Brunet_diane@hotmail.com"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brunet_diane.html"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runelle.dorval@uqam.ca"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to:belanger.yves@uqam.ca"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pu.rsu.ed" TargetMode="External"/><Relationship Id="rId27" Type="http://schemas.openxmlformats.org/officeDocument/2006/relationships/image" Target="media/image13.jpeg"/><Relationship Id="rId30" Type="http://schemas.openxmlformats.org/officeDocument/2006/relationships/hyperlink" Target="http://exemple.de"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ontemporains/dumont_fernand/Questions_de_culture/Questions_de_culture_no_07/QdeC_no_07.html" TargetMode="External"/><Relationship Id="rId3" Type="http://schemas.openxmlformats.org/officeDocument/2006/relationships/hyperlink" Target="http://dx.doi.org/doi:10.1522/cla.dec.pol3" TargetMode="External"/><Relationship Id="rId7" Type="http://schemas.openxmlformats.org/officeDocument/2006/relationships/hyperlink" Target="http://dx.doi.org/doi:10.1522/030082299" TargetMode="External"/><Relationship Id="rId2" Type="http://schemas.openxmlformats.org/officeDocument/2006/relationships/hyperlink" Target="http://classiques.uqac.ca/contemporains/bergeron_gerard/Etat_Qc_en_devenir/Etat_Qc_en_devenir.html" TargetMode="External"/><Relationship Id="rId1" Type="http://schemas.openxmlformats.org/officeDocument/2006/relationships/hyperlink" Target="http://dx.doi.org/doi:10.1522/cla.brd.eta" TargetMode="External"/><Relationship Id="rId6" Type="http://schemas.openxmlformats.org/officeDocument/2006/relationships/hyperlink" Target="http://dx.doi.org/doi:10.1522/cla.rog.que" TargetMode="External"/><Relationship Id="rId11" Type="http://schemas.openxmlformats.org/officeDocument/2006/relationships/hyperlink" Target="https://www.erudit.org/fr/revues/crs/1986-v4-n2-crs1515926/1002007ar/" TargetMode="External"/><Relationship Id="rId5" Type="http://schemas.openxmlformats.org/officeDocument/2006/relationships/hyperlink" Target="http://dx.doi.org/doi:10.1522/030076877" TargetMode="External"/><Relationship Id="rId10" Type="http://schemas.openxmlformats.org/officeDocument/2006/relationships/hyperlink" Target="http://classiques.uqac.ca/contemporains/Quebec_gouvernement_du/Politique_qc_devel_culturel_t1/Politique_qc_devel_culturel_t1.html" TargetMode="External"/><Relationship Id="rId4" Type="http://schemas.openxmlformats.org/officeDocument/2006/relationships/hyperlink" Target="http://classiques.uqac.ca/contemporains/labelle_micheline/histoires_immigrees/histoires_immigrees.html" TargetMode="External"/><Relationship Id="rId9" Type="http://schemas.openxmlformats.org/officeDocument/2006/relationships/hyperlink" Target="http://classiques.uqac.ca/contemporains/dumont_fernand/Questions_de_culture/Questions_de_culture_no_07/QdeC_no_07.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162084</Words>
  <Characters>891468</Characters>
  <Application>Microsoft Office Word</Application>
  <DocSecurity>0</DocSecurity>
  <Lines>7428</Lines>
  <Paragraphs>2102</Paragraphs>
  <ScaleCrop>false</ScaleCrop>
  <HeadingPairs>
    <vt:vector size="2" baseType="variant">
      <vt:variant>
        <vt:lpstr>Title</vt:lpstr>
      </vt:variant>
      <vt:variant>
        <vt:i4>1</vt:i4>
      </vt:variant>
    </vt:vector>
  </HeadingPairs>
  <TitlesOfParts>
    <vt:vector size="1" baseType="lpstr">
      <vt:lpstr>L’ère des Libéraux. Le pouvoir fédéral de 1963 à 1984</vt:lpstr>
    </vt:vector>
  </TitlesOfParts>
  <Manager>Diane Brunet, bénévole, 2019</Manager>
  <Company>Les Classiques des sciences sociales</Company>
  <LinksUpToDate>false</LinksUpToDate>
  <CharactersWithSpaces>1051450</CharactersWithSpaces>
  <SharedDoc>false</SharedDoc>
  <HyperlinkBase/>
  <HLinks>
    <vt:vector size="474" baseType="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5898299</vt:i4>
      </vt:variant>
      <vt:variant>
        <vt:i4>141</vt:i4>
      </vt:variant>
      <vt:variant>
        <vt:i4>0</vt:i4>
      </vt:variant>
      <vt:variant>
        <vt:i4>5</vt:i4>
      </vt:variant>
      <vt:variant>
        <vt:lpwstr>http://exemple.de</vt:lpwstr>
      </vt:variant>
      <vt:variant>
        <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4980766</vt:i4>
      </vt:variant>
      <vt:variant>
        <vt:i4>114</vt:i4>
      </vt:variant>
      <vt:variant>
        <vt:i4>0</vt:i4>
      </vt:variant>
      <vt:variant>
        <vt:i4>5</vt:i4>
      </vt:variant>
      <vt:variant>
        <vt:lpwstr>http://pu.rsu.ed</vt:lpwstr>
      </vt:variant>
      <vt:variant>
        <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2293764</vt:i4>
      </vt:variant>
      <vt:variant>
        <vt:i4>87</vt:i4>
      </vt:variant>
      <vt:variant>
        <vt:i4>0</vt:i4>
      </vt:variant>
      <vt:variant>
        <vt:i4>5</vt:i4>
      </vt:variant>
      <vt:variant>
        <vt:lpwstr/>
      </vt:variant>
      <vt:variant>
        <vt:lpwstr>ere_Liberaux_pt3_texte_17</vt:lpwstr>
      </vt:variant>
      <vt:variant>
        <vt:i4>2293765</vt:i4>
      </vt:variant>
      <vt:variant>
        <vt:i4>84</vt:i4>
      </vt:variant>
      <vt:variant>
        <vt:i4>0</vt:i4>
      </vt:variant>
      <vt:variant>
        <vt:i4>5</vt:i4>
      </vt:variant>
      <vt:variant>
        <vt:lpwstr/>
      </vt:variant>
      <vt:variant>
        <vt:lpwstr>ere_Liberaux_pt3_texte_16</vt:lpwstr>
      </vt:variant>
      <vt:variant>
        <vt:i4>2293766</vt:i4>
      </vt:variant>
      <vt:variant>
        <vt:i4>81</vt:i4>
      </vt:variant>
      <vt:variant>
        <vt:i4>0</vt:i4>
      </vt:variant>
      <vt:variant>
        <vt:i4>5</vt:i4>
      </vt:variant>
      <vt:variant>
        <vt:lpwstr/>
      </vt:variant>
      <vt:variant>
        <vt:lpwstr>ere_Liberaux_pt3_texte_15</vt:lpwstr>
      </vt:variant>
      <vt:variant>
        <vt:i4>2293767</vt:i4>
      </vt:variant>
      <vt:variant>
        <vt:i4>78</vt:i4>
      </vt:variant>
      <vt:variant>
        <vt:i4>0</vt:i4>
      </vt:variant>
      <vt:variant>
        <vt:i4>5</vt:i4>
      </vt:variant>
      <vt:variant>
        <vt:lpwstr/>
      </vt:variant>
      <vt:variant>
        <vt:lpwstr>ere_Liberaux_pt3_texte_14</vt:lpwstr>
      </vt:variant>
      <vt:variant>
        <vt:i4>2293760</vt:i4>
      </vt:variant>
      <vt:variant>
        <vt:i4>75</vt:i4>
      </vt:variant>
      <vt:variant>
        <vt:i4>0</vt:i4>
      </vt:variant>
      <vt:variant>
        <vt:i4>5</vt:i4>
      </vt:variant>
      <vt:variant>
        <vt:lpwstr/>
      </vt:variant>
      <vt:variant>
        <vt:lpwstr>ere_Liberaux_pt3_texte_13</vt:lpwstr>
      </vt:variant>
      <vt:variant>
        <vt:i4>2293761</vt:i4>
      </vt:variant>
      <vt:variant>
        <vt:i4>72</vt:i4>
      </vt:variant>
      <vt:variant>
        <vt:i4>0</vt:i4>
      </vt:variant>
      <vt:variant>
        <vt:i4>5</vt:i4>
      </vt:variant>
      <vt:variant>
        <vt:lpwstr/>
      </vt:variant>
      <vt:variant>
        <vt:lpwstr>ere_Liberaux_pt3_texte_12</vt:lpwstr>
      </vt:variant>
      <vt:variant>
        <vt:i4>8060962</vt:i4>
      </vt:variant>
      <vt:variant>
        <vt:i4>69</vt:i4>
      </vt:variant>
      <vt:variant>
        <vt:i4>0</vt:i4>
      </vt:variant>
      <vt:variant>
        <vt:i4>5</vt:i4>
      </vt:variant>
      <vt:variant>
        <vt:lpwstr/>
      </vt:variant>
      <vt:variant>
        <vt:lpwstr>ere_Liberaux_pt3</vt:lpwstr>
      </vt:variant>
      <vt:variant>
        <vt:i4>2228226</vt:i4>
      </vt:variant>
      <vt:variant>
        <vt:i4>66</vt:i4>
      </vt:variant>
      <vt:variant>
        <vt:i4>0</vt:i4>
      </vt:variant>
      <vt:variant>
        <vt:i4>5</vt:i4>
      </vt:variant>
      <vt:variant>
        <vt:lpwstr/>
      </vt:variant>
      <vt:variant>
        <vt:lpwstr>ere_Liberaux_pt2_texte_11</vt:lpwstr>
      </vt:variant>
      <vt:variant>
        <vt:i4>2228227</vt:i4>
      </vt:variant>
      <vt:variant>
        <vt:i4>63</vt:i4>
      </vt:variant>
      <vt:variant>
        <vt:i4>0</vt:i4>
      </vt:variant>
      <vt:variant>
        <vt:i4>5</vt:i4>
      </vt:variant>
      <vt:variant>
        <vt:lpwstr/>
      </vt:variant>
      <vt:variant>
        <vt:lpwstr>ere_Liberaux_pt2_texte_10</vt:lpwstr>
      </vt:variant>
      <vt:variant>
        <vt:i4>2293770</vt:i4>
      </vt:variant>
      <vt:variant>
        <vt:i4>60</vt:i4>
      </vt:variant>
      <vt:variant>
        <vt:i4>0</vt:i4>
      </vt:variant>
      <vt:variant>
        <vt:i4>5</vt:i4>
      </vt:variant>
      <vt:variant>
        <vt:lpwstr/>
      </vt:variant>
      <vt:variant>
        <vt:lpwstr>ere_Liberaux_pt2_texte_09</vt:lpwstr>
      </vt:variant>
      <vt:variant>
        <vt:i4>2293771</vt:i4>
      </vt:variant>
      <vt:variant>
        <vt:i4>57</vt:i4>
      </vt:variant>
      <vt:variant>
        <vt:i4>0</vt:i4>
      </vt:variant>
      <vt:variant>
        <vt:i4>5</vt:i4>
      </vt:variant>
      <vt:variant>
        <vt:lpwstr/>
      </vt:variant>
      <vt:variant>
        <vt:lpwstr>ere_Liberaux_pt2_texte_08</vt:lpwstr>
      </vt:variant>
      <vt:variant>
        <vt:i4>2293764</vt:i4>
      </vt:variant>
      <vt:variant>
        <vt:i4>54</vt:i4>
      </vt:variant>
      <vt:variant>
        <vt:i4>0</vt:i4>
      </vt:variant>
      <vt:variant>
        <vt:i4>5</vt:i4>
      </vt:variant>
      <vt:variant>
        <vt:lpwstr/>
      </vt:variant>
      <vt:variant>
        <vt:lpwstr>ere_Liberaux_pt2_texte_07</vt:lpwstr>
      </vt:variant>
      <vt:variant>
        <vt:i4>7995426</vt:i4>
      </vt:variant>
      <vt:variant>
        <vt:i4>51</vt:i4>
      </vt:variant>
      <vt:variant>
        <vt:i4>0</vt:i4>
      </vt:variant>
      <vt:variant>
        <vt:i4>5</vt:i4>
      </vt:variant>
      <vt:variant>
        <vt:lpwstr/>
      </vt:variant>
      <vt:variant>
        <vt:lpwstr>ere_Liberaux_pt2</vt:lpwstr>
      </vt:variant>
      <vt:variant>
        <vt:i4>2097157</vt:i4>
      </vt:variant>
      <vt:variant>
        <vt:i4>48</vt:i4>
      </vt:variant>
      <vt:variant>
        <vt:i4>0</vt:i4>
      </vt:variant>
      <vt:variant>
        <vt:i4>5</vt:i4>
      </vt:variant>
      <vt:variant>
        <vt:lpwstr/>
      </vt:variant>
      <vt:variant>
        <vt:lpwstr>ere_Liberaux_pt1_texte_06</vt:lpwstr>
      </vt:variant>
      <vt:variant>
        <vt:i4>2097158</vt:i4>
      </vt:variant>
      <vt:variant>
        <vt:i4>45</vt:i4>
      </vt:variant>
      <vt:variant>
        <vt:i4>0</vt:i4>
      </vt:variant>
      <vt:variant>
        <vt:i4>5</vt:i4>
      </vt:variant>
      <vt:variant>
        <vt:lpwstr/>
      </vt:variant>
      <vt:variant>
        <vt:lpwstr>ere_Liberaux_pt1_texte_05</vt:lpwstr>
      </vt:variant>
      <vt:variant>
        <vt:i4>2097159</vt:i4>
      </vt:variant>
      <vt:variant>
        <vt:i4>42</vt:i4>
      </vt:variant>
      <vt:variant>
        <vt:i4>0</vt:i4>
      </vt:variant>
      <vt:variant>
        <vt:i4>5</vt:i4>
      </vt:variant>
      <vt:variant>
        <vt:lpwstr/>
      </vt:variant>
      <vt:variant>
        <vt:lpwstr>ere_Liberaux_pt1_texte_04</vt:lpwstr>
      </vt:variant>
      <vt:variant>
        <vt:i4>2097152</vt:i4>
      </vt:variant>
      <vt:variant>
        <vt:i4>39</vt:i4>
      </vt:variant>
      <vt:variant>
        <vt:i4>0</vt:i4>
      </vt:variant>
      <vt:variant>
        <vt:i4>5</vt:i4>
      </vt:variant>
      <vt:variant>
        <vt:lpwstr/>
      </vt:variant>
      <vt:variant>
        <vt:lpwstr>ere_Liberaux_pt1_texte_03</vt:lpwstr>
      </vt:variant>
      <vt:variant>
        <vt:i4>2097153</vt:i4>
      </vt:variant>
      <vt:variant>
        <vt:i4>36</vt:i4>
      </vt:variant>
      <vt:variant>
        <vt:i4>0</vt:i4>
      </vt:variant>
      <vt:variant>
        <vt:i4>5</vt:i4>
      </vt:variant>
      <vt:variant>
        <vt:lpwstr/>
      </vt:variant>
      <vt:variant>
        <vt:lpwstr>ere_Liberaux_pt1_texte_02</vt:lpwstr>
      </vt:variant>
      <vt:variant>
        <vt:i4>2097154</vt:i4>
      </vt:variant>
      <vt:variant>
        <vt:i4>33</vt:i4>
      </vt:variant>
      <vt:variant>
        <vt:i4>0</vt:i4>
      </vt:variant>
      <vt:variant>
        <vt:i4>5</vt:i4>
      </vt:variant>
      <vt:variant>
        <vt:lpwstr/>
      </vt:variant>
      <vt:variant>
        <vt:lpwstr>ere_Liberaux_pt1_texte_01</vt:lpwstr>
      </vt:variant>
      <vt:variant>
        <vt:i4>7929890</vt:i4>
      </vt:variant>
      <vt:variant>
        <vt:i4>30</vt:i4>
      </vt:variant>
      <vt:variant>
        <vt:i4>0</vt:i4>
      </vt:variant>
      <vt:variant>
        <vt:i4>5</vt:i4>
      </vt:variant>
      <vt:variant>
        <vt:lpwstr/>
      </vt:variant>
      <vt:variant>
        <vt:lpwstr>ere_Liberaux_pt1</vt:lpwstr>
      </vt:variant>
      <vt:variant>
        <vt:i4>2555999</vt:i4>
      </vt:variant>
      <vt:variant>
        <vt:i4>27</vt:i4>
      </vt:variant>
      <vt:variant>
        <vt:i4>0</vt:i4>
      </vt:variant>
      <vt:variant>
        <vt:i4>5</vt:i4>
      </vt:variant>
      <vt:variant>
        <vt:lpwstr/>
      </vt:variant>
      <vt:variant>
        <vt:lpwstr>ere_Liberaux_presentation</vt:lpwstr>
      </vt:variant>
      <vt:variant>
        <vt:i4>5046317</vt:i4>
      </vt:variant>
      <vt:variant>
        <vt:i4>24</vt:i4>
      </vt:variant>
      <vt:variant>
        <vt:i4>0</vt:i4>
      </vt:variant>
      <vt:variant>
        <vt:i4>5</vt:i4>
      </vt:variant>
      <vt:variant>
        <vt:lpwstr/>
      </vt:variant>
      <vt:variant>
        <vt:lpwstr>ere_Liberaux_couverture</vt:lpwstr>
      </vt:variant>
      <vt:variant>
        <vt:i4>6553625</vt:i4>
      </vt:variant>
      <vt:variant>
        <vt:i4>21</vt:i4>
      </vt:variant>
      <vt:variant>
        <vt:i4>0</vt:i4>
      </vt:variant>
      <vt:variant>
        <vt:i4>5</vt:i4>
      </vt:variant>
      <vt:variant>
        <vt:lpwstr/>
      </vt:variant>
      <vt:variant>
        <vt:lpwstr>tdm</vt:lpwstr>
      </vt:variant>
      <vt:variant>
        <vt:i4>8126487</vt:i4>
      </vt:variant>
      <vt:variant>
        <vt:i4>18</vt:i4>
      </vt:variant>
      <vt:variant>
        <vt:i4>0</vt:i4>
      </vt:variant>
      <vt:variant>
        <vt:i4>5</vt:i4>
      </vt:variant>
      <vt:variant>
        <vt:lpwstr>mailto:brunelle.dorval@uqam.ca</vt:lpwstr>
      </vt:variant>
      <vt:variant>
        <vt:lpwstr/>
      </vt:variant>
      <vt:variant>
        <vt:i4>4522029</vt:i4>
      </vt:variant>
      <vt:variant>
        <vt:i4>15</vt:i4>
      </vt:variant>
      <vt:variant>
        <vt:i4>0</vt:i4>
      </vt:variant>
      <vt:variant>
        <vt:i4>5</vt:i4>
      </vt:variant>
      <vt:variant>
        <vt:lpwstr>file://localhost/maito/belanger.yves@uqam.ca</vt:lpwstr>
      </vt:variant>
      <vt:variant>
        <vt:lpwstr/>
      </vt:variant>
      <vt:variant>
        <vt:i4>2228317</vt:i4>
      </vt:variant>
      <vt:variant>
        <vt:i4>12</vt:i4>
      </vt:variant>
      <vt:variant>
        <vt:i4>0</vt:i4>
      </vt:variant>
      <vt:variant>
        <vt:i4>5</vt:i4>
      </vt:variant>
      <vt:variant>
        <vt:lpwstr>mailto:Brunet_diane@hotmail.com</vt:lpwstr>
      </vt:variant>
      <vt:variant>
        <vt:lpwstr/>
      </vt:variant>
      <vt:variant>
        <vt:i4>5505064</vt:i4>
      </vt:variant>
      <vt:variant>
        <vt:i4>9</vt:i4>
      </vt:variant>
      <vt:variant>
        <vt:i4>0</vt:i4>
      </vt:variant>
      <vt:variant>
        <vt:i4>5</vt:i4>
      </vt:variant>
      <vt:variant>
        <vt:lpwstr>http://classiques.uqac.ca/inter/benevoles_equipe/liste_brunet_diane.html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4325436</vt:i4>
      </vt:variant>
      <vt:variant>
        <vt:i4>30</vt:i4>
      </vt:variant>
      <vt:variant>
        <vt:i4>0</vt:i4>
      </vt:variant>
      <vt:variant>
        <vt:i4>5</vt:i4>
      </vt:variant>
      <vt:variant>
        <vt:lpwstr>https://www.erudit.org/fr/revues/crs/1986-v4-n2-crs1515926/1002007ar/</vt:lpwstr>
      </vt:variant>
      <vt:variant>
        <vt:lpwstr/>
      </vt:variant>
      <vt:variant>
        <vt:i4>2490449</vt:i4>
      </vt:variant>
      <vt:variant>
        <vt:i4>27</vt:i4>
      </vt:variant>
      <vt:variant>
        <vt:i4>0</vt:i4>
      </vt:variant>
      <vt:variant>
        <vt:i4>5</vt:i4>
      </vt:variant>
      <vt:variant>
        <vt:lpwstr>http://classiques.uqac.ca/contemporains/Quebec_gouvernement_du/Politique_qc_devel_culturel_t1/Politique_qc_devel_culturel_t1.html</vt:lpwstr>
      </vt:variant>
      <vt:variant>
        <vt:lpwstr/>
      </vt:variant>
      <vt:variant>
        <vt:i4>6488091</vt:i4>
      </vt:variant>
      <vt:variant>
        <vt:i4>24</vt:i4>
      </vt:variant>
      <vt:variant>
        <vt:i4>0</vt:i4>
      </vt:variant>
      <vt:variant>
        <vt:i4>5</vt:i4>
      </vt:variant>
      <vt:variant>
        <vt:lpwstr>http://classiques.uqac.ca/contemporains/dumont_fernand/Questions_de_culture/Questions_de_culture_no_07/QdeC_no_07.html</vt:lpwstr>
      </vt:variant>
      <vt:variant>
        <vt:lpwstr/>
      </vt:variant>
      <vt:variant>
        <vt:i4>6488091</vt:i4>
      </vt:variant>
      <vt:variant>
        <vt:i4>21</vt:i4>
      </vt:variant>
      <vt:variant>
        <vt:i4>0</vt:i4>
      </vt:variant>
      <vt:variant>
        <vt:i4>5</vt:i4>
      </vt:variant>
      <vt:variant>
        <vt:lpwstr>http://classiques.uqac.ca/contemporains/dumont_fernand/Questions_de_culture/Questions_de_culture_no_07/QdeC_no_07.html</vt:lpwstr>
      </vt:variant>
      <vt:variant>
        <vt:lpwstr/>
      </vt:variant>
      <vt:variant>
        <vt:i4>3932242</vt:i4>
      </vt:variant>
      <vt:variant>
        <vt:i4>18</vt:i4>
      </vt:variant>
      <vt:variant>
        <vt:i4>0</vt:i4>
      </vt:variant>
      <vt:variant>
        <vt:i4>5</vt:i4>
      </vt:variant>
      <vt:variant>
        <vt:lpwstr>http://dx.doi.org/doi:10.1522/030082299</vt:lpwstr>
      </vt:variant>
      <vt:variant>
        <vt:lpwstr/>
      </vt:variant>
      <vt:variant>
        <vt:i4>4325474</vt:i4>
      </vt:variant>
      <vt:variant>
        <vt:i4>15</vt:i4>
      </vt:variant>
      <vt:variant>
        <vt:i4>0</vt:i4>
      </vt:variant>
      <vt:variant>
        <vt:i4>5</vt:i4>
      </vt:variant>
      <vt:variant>
        <vt:lpwstr>http://dx.doi.org/doi:10.1522/cla.rog.que</vt:lpwstr>
      </vt:variant>
      <vt:variant>
        <vt:lpwstr/>
      </vt:variant>
      <vt:variant>
        <vt:i4>3539033</vt:i4>
      </vt:variant>
      <vt:variant>
        <vt:i4>12</vt:i4>
      </vt:variant>
      <vt:variant>
        <vt:i4>0</vt:i4>
      </vt:variant>
      <vt:variant>
        <vt:i4>5</vt:i4>
      </vt:variant>
      <vt:variant>
        <vt:lpwstr>http://dx.doi.org/doi:10.1522/030076877</vt:lpwstr>
      </vt:variant>
      <vt:variant>
        <vt:lpwstr/>
      </vt:variant>
      <vt:variant>
        <vt:i4>327735</vt:i4>
      </vt:variant>
      <vt:variant>
        <vt:i4>9</vt:i4>
      </vt:variant>
      <vt:variant>
        <vt:i4>0</vt:i4>
      </vt:variant>
      <vt:variant>
        <vt:i4>5</vt:i4>
      </vt:variant>
      <vt:variant>
        <vt:lpwstr>http://classiques.uqac.ca/contemporains/labelle_micheline/histoires_immigrees/histoires_immigrees.html</vt:lpwstr>
      </vt:variant>
      <vt:variant>
        <vt:lpwstr/>
      </vt:variant>
      <vt:variant>
        <vt:i4>6357112</vt:i4>
      </vt:variant>
      <vt:variant>
        <vt:i4>6</vt:i4>
      </vt:variant>
      <vt:variant>
        <vt:i4>0</vt:i4>
      </vt:variant>
      <vt:variant>
        <vt:i4>5</vt:i4>
      </vt:variant>
      <vt:variant>
        <vt:lpwstr>http://dx.doi.org/doi:10.1522/cla.dec.pol3</vt:lpwstr>
      </vt:variant>
      <vt:variant>
        <vt:lpwstr/>
      </vt:variant>
      <vt:variant>
        <vt:i4>4325496</vt:i4>
      </vt:variant>
      <vt:variant>
        <vt:i4>3</vt:i4>
      </vt:variant>
      <vt:variant>
        <vt:i4>0</vt:i4>
      </vt:variant>
      <vt:variant>
        <vt:i4>5</vt:i4>
      </vt:variant>
      <vt:variant>
        <vt:lpwstr>http://classiques.uqac.ca/contemporains/bergeron_gerard/Etat_Qc_en_devenir/Etat_Qc_en_devenir.html</vt:lpwstr>
      </vt:variant>
      <vt:variant>
        <vt:lpwstr/>
      </vt:variant>
      <vt:variant>
        <vt:i4>6160481</vt:i4>
      </vt:variant>
      <vt:variant>
        <vt:i4>0</vt:i4>
      </vt:variant>
      <vt:variant>
        <vt:i4>0</vt:i4>
      </vt:variant>
      <vt:variant>
        <vt:i4>5</vt:i4>
      </vt:variant>
      <vt:variant>
        <vt:lpwstr>http://dx.doi.org/doi:10.1522/cla.brd.eta</vt:lpwstr>
      </vt:variant>
      <vt:variant>
        <vt:lpwstr/>
      </vt:variant>
      <vt:variant>
        <vt:i4>2228293</vt:i4>
      </vt:variant>
      <vt:variant>
        <vt:i4>2313</vt:i4>
      </vt:variant>
      <vt:variant>
        <vt:i4>1025</vt:i4>
      </vt:variant>
      <vt:variant>
        <vt:i4>1</vt:i4>
      </vt:variant>
      <vt:variant>
        <vt:lpwstr>css_logo_gris</vt:lpwstr>
      </vt:variant>
      <vt:variant>
        <vt:lpwstr/>
      </vt:variant>
      <vt:variant>
        <vt:i4>5111880</vt:i4>
      </vt:variant>
      <vt:variant>
        <vt:i4>2602</vt:i4>
      </vt:variant>
      <vt:variant>
        <vt:i4>1026</vt:i4>
      </vt:variant>
      <vt:variant>
        <vt:i4>1</vt:i4>
      </vt:variant>
      <vt:variant>
        <vt:lpwstr>UQAC_logo_2018</vt:lpwstr>
      </vt:variant>
      <vt:variant>
        <vt:lpwstr/>
      </vt:variant>
      <vt:variant>
        <vt:i4>4194334</vt:i4>
      </vt:variant>
      <vt:variant>
        <vt:i4>4985</vt:i4>
      </vt:variant>
      <vt:variant>
        <vt:i4>1039</vt:i4>
      </vt:variant>
      <vt:variant>
        <vt:i4>1</vt:i4>
      </vt:variant>
      <vt:variant>
        <vt:lpwstr>Boite_aux_lettres_clair</vt:lpwstr>
      </vt:variant>
      <vt:variant>
        <vt:lpwstr/>
      </vt:variant>
      <vt:variant>
        <vt:i4>1703963</vt:i4>
      </vt:variant>
      <vt:variant>
        <vt:i4>5536</vt:i4>
      </vt:variant>
      <vt:variant>
        <vt:i4>1028</vt:i4>
      </vt:variant>
      <vt:variant>
        <vt:i4>1</vt:i4>
      </vt:variant>
      <vt:variant>
        <vt:lpwstr>fait_sur_mac</vt:lpwstr>
      </vt:variant>
      <vt:variant>
        <vt:lpwstr/>
      </vt:variant>
      <vt:variant>
        <vt:i4>5963891</vt:i4>
      </vt:variant>
      <vt:variant>
        <vt:i4>5646</vt:i4>
      </vt:variant>
      <vt:variant>
        <vt:i4>1027</vt:i4>
      </vt:variant>
      <vt:variant>
        <vt:i4>1</vt:i4>
      </vt:variant>
      <vt:variant>
        <vt:lpwstr>ere_des_liberaux_L25</vt:lpwstr>
      </vt:variant>
      <vt:variant>
        <vt:lpwstr/>
      </vt:variant>
      <vt:variant>
        <vt:i4>7536651</vt:i4>
      </vt:variant>
      <vt:variant>
        <vt:i4>283382</vt:i4>
      </vt:variant>
      <vt:variant>
        <vt:i4>1029</vt:i4>
      </vt:variant>
      <vt:variant>
        <vt:i4>1</vt:i4>
      </vt:variant>
      <vt:variant>
        <vt:lpwstr>fig_p_118_st</vt:lpwstr>
      </vt:variant>
      <vt:variant>
        <vt:lpwstr/>
      </vt:variant>
      <vt:variant>
        <vt:i4>7405568</vt:i4>
      </vt:variant>
      <vt:variant>
        <vt:i4>314642</vt:i4>
      </vt:variant>
      <vt:variant>
        <vt:i4>1030</vt:i4>
      </vt:variant>
      <vt:variant>
        <vt:i4>1</vt:i4>
      </vt:variant>
      <vt:variant>
        <vt:lpwstr>fig_p_133_st</vt:lpwstr>
      </vt:variant>
      <vt:variant>
        <vt:lpwstr/>
      </vt:variant>
      <vt:variant>
        <vt:i4>7405574</vt:i4>
      </vt:variant>
      <vt:variant>
        <vt:i4>318463</vt:i4>
      </vt:variant>
      <vt:variant>
        <vt:i4>1031</vt:i4>
      </vt:variant>
      <vt:variant>
        <vt:i4>1</vt:i4>
      </vt:variant>
      <vt:variant>
        <vt:lpwstr>fig_p_135_st</vt:lpwstr>
      </vt:variant>
      <vt:variant>
        <vt:lpwstr/>
      </vt:variant>
      <vt:variant>
        <vt:i4>7405572</vt:i4>
      </vt:variant>
      <vt:variant>
        <vt:i4>322157</vt:i4>
      </vt:variant>
      <vt:variant>
        <vt:i4>1032</vt:i4>
      </vt:variant>
      <vt:variant>
        <vt:i4>1</vt:i4>
      </vt:variant>
      <vt:variant>
        <vt:lpwstr>fig_p_137_st</vt:lpwstr>
      </vt:variant>
      <vt:variant>
        <vt:lpwstr/>
      </vt:variant>
      <vt:variant>
        <vt:i4>7405579</vt:i4>
      </vt:variant>
      <vt:variant>
        <vt:i4>323480</vt:i4>
      </vt:variant>
      <vt:variant>
        <vt:i4>1033</vt:i4>
      </vt:variant>
      <vt:variant>
        <vt:i4>1</vt:i4>
      </vt:variant>
      <vt:variant>
        <vt:lpwstr>fig_p_138_st</vt:lpwstr>
      </vt:variant>
      <vt:variant>
        <vt:lpwstr/>
      </vt:variant>
      <vt:variant>
        <vt:i4>7733251</vt:i4>
      </vt:variant>
      <vt:variant>
        <vt:i4>327421</vt:i4>
      </vt:variant>
      <vt:variant>
        <vt:i4>1034</vt:i4>
      </vt:variant>
      <vt:variant>
        <vt:i4>1</vt:i4>
      </vt:variant>
      <vt:variant>
        <vt:lpwstr>fig_p_140_st</vt:lpwstr>
      </vt:variant>
      <vt:variant>
        <vt:lpwstr/>
      </vt:variant>
      <vt:variant>
        <vt:i4>7733253</vt:i4>
      </vt:variant>
      <vt:variant>
        <vt:i4>340581</vt:i4>
      </vt:variant>
      <vt:variant>
        <vt:i4>1035</vt:i4>
      </vt:variant>
      <vt:variant>
        <vt:i4>1</vt:i4>
      </vt:variant>
      <vt:variant>
        <vt:lpwstr>fig_p_146_st</vt:lpwstr>
      </vt:variant>
      <vt:variant>
        <vt:lpwstr/>
      </vt:variant>
      <vt:variant>
        <vt:i4>8060939</vt:i4>
      </vt:variant>
      <vt:variant>
        <vt:i4>460284</vt:i4>
      </vt:variant>
      <vt:variant>
        <vt:i4>1036</vt:i4>
      </vt:variant>
      <vt:variant>
        <vt:i4>1</vt:i4>
      </vt:variant>
      <vt:variant>
        <vt:lpwstr>fig_p_198_st</vt:lpwstr>
      </vt:variant>
      <vt:variant>
        <vt:lpwstr/>
      </vt:variant>
      <vt:variant>
        <vt:i4>8060938</vt:i4>
      </vt:variant>
      <vt:variant>
        <vt:i4>460361</vt:i4>
      </vt:variant>
      <vt:variant>
        <vt:i4>1037</vt:i4>
      </vt:variant>
      <vt:variant>
        <vt:i4>1</vt:i4>
      </vt:variant>
      <vt:variant>
        <vt:lpwstr>fig_p_199_st</vt:lpwstr>
      </vt:variant>
      <vt:variant>
        <vt:lpwstr/>
      </vt:variant>
      <vt:variant>
        <vt:i4>7471107</vt:i4>
      </vt:variant>
      <vt:variant>
        <vt:i4>467669</vt:i4>
      </vt:variant>
      <vt:variant>
        <vt:i4>1038</vt:i4>
      </vt:variant>
      <vt:variant>
        <vt:i4>1</vt:i4>
      </vt:variant>
      <vt:variant>
        <vt:lpwstr>fig_p_203_st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L’ère des Libéraux. Le pouvoir fédéral de 1963 à 1984</dc:title>
  <dc:subject/>
  <dc:creator>Yves Bélanger et Dorval Brunelle</dc:creator>
  <cp:keywords>classiques.sc.soc@gmail.com</cp:keywords>
  <dc:description>http://classiques.uqac.ca/</dc:description>
  <cp:lastModifiedBy>Microsoft Office User</cp:lastModifiedBy>
  <cp:revision>2</cp:revision>
  <cp:lastPrinted>2001-08-26T19:33:00Z</cp:lastPrinted>
  <dcterms:created xsi:type="dcterms:W3CDTF">2019-09-06T09:39:00Z</dcterms:created>
  <dcterms:modified xsi:type="dcterms:W3CDTF">2019-09-06T09:39:00Z</dcterms:modified>
  <cp:category>jean-marie tremblay, sociologue, fondateur, 1993.</cp:category>
</cp:coreProperties>
</file>