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4E7E9A">
        <w:tblPrEx>
          <w:tblCellMar>
            <w:top w:w="0" w:type="dxa"/>
            <w:bottom w:w="0" w:type="dxa"/>
          </w:tblCellMar>
        </w:tblPrEx>
        <w:tc>
          <w:tcPr>
            <w:tcW w:w="9160" w:type="dxa"/>
            <w:shd w:val="clear" w:color="auto" w:fill="FFF1CC"/>
          </w:tcPr>
          <w:p w:rsidR="004E7E9A" w:rsidRPr="00D308BA" w:rsidRDefault="004E7E9A" w:rsidP="004E7E9A">
            <w:pPr>
              <w:rPr>
                <w:lang w:val="en-CA" w:bidi="ar-SA"/>
              </w:rPr>
            </w:pPr>
            <w:bookmarkStart w:id="0" w:name="_GoBack"/>
            <w:bookmarkEnd w:id="0"/>
          </w:p>
          <w:p w:rsidR="004E7E9A" w:rsidRDefault="004E7E9A">
            <w:pPr>
              <w:ind w:firstLine="0"/>
              <w:jc w:val="center"/>
              <w:rPr>
                <w:color w:val="FF0000"/>
                <w:sz w:val="20"/>
                <w:lang w:bidi="ar-SA"/>
              </w:rPr>
            </w:pPr>
          </w:p>
          <w:p w:rsidR="004E7E9A" w:rsidRPr="00D308BA" w:rsidRDefault="004E7E9A">
            <w:pPr>
              <w:ind w:firstLine="0"/>
              <w:jc w:val="center"/>
              <w:rPr>
                <w:color w:val="FF0000"/>
                <w:sz w:val="20"/>
                <w:lang w:bidi="ar-SA"/>
              </w:rPr>
            </w:pPr>
          </w:p>
          <w:p w:rsidR="004E7E9A" w:rsidRPr="00D308BA" w:rsidRDefault="004E7E9A">
            <w:pPr>
              <w:ind w:firstLine="0"/>
              <w:jc w:val="center"/>
              <w:rPr>
                <w:b/>
                <w:sz w:val="20"/>
                <w:lang w:bidi="ar-SA"/>
              </w:rPr>
            </w:pPr>
          </w:p>
          <w:p w:rsidR="004E7E9A" w:rsidRPr="007C150D" w:rsidRDefault="004E7E9A" w:rsidP="004E7E9A">
            <w:pPr>
              <w:ind w:firstLine="0"/>
              <w:jc w:val="center"/>
              <w:rPr>
                <w:b/>
                <w:color w:val="000080"/>
                <w:sz w:val="36"/>
                <w:lang w:bidi="ar-SA"/>
              </w:rPr>
            </w:pPr>
            <w:r>
              <w:rPr>
                <w:color w:val="000080"/>
                <w:sz w:val="36"/>
                <w:lang w:bidi="ar-SA"/>
              </w:rPr>
              <w:t>Rachad ANTONIUS</w:t>
            </w:r>
          </w:p>
          <w:p w:rsidR="004E7E9A" w:rsidRPr="006B2619" w:rsidRDefault="004E7E9A" w:rsidP="004E7E9A">
            <w:pPr>
              <w:ind w:firstLine="0"/>
              <w:jc w:val="center"/>
              <w:rPr>
                <w:sz w:val="24"/>
                <w:lang w:bidi="ar-SA"/>
              </w:rPr>
            </w:pPr>
            <w:r w:rsidRPr="006B2619">
              <w:rPr>
                <w:sz w:val="24"/>
                <w:lang w:bidi="ar-SA"/>
              </w:rPr>
              <w:t>sociologue, professeur, Département de sociologie, UQÀM.</w:t>
            </w:r>
          </w:p>
          <w:p w:rsidR="004E7E9A" w:rsidRPr="00D308BA" w:rsidRDefault="004E7E9A">
            <w:pPr>
              <w:ind w:firstLine="0"/>
              <w:jc w:val="center"/>
              <w:rPr>
                <w:sz w:val="20"/>
                <w:lang w:bidi="ar-SA"/>
              </w:rPr>
            </w:pPr>
          </w:p>
          <w:p w:rsidR="004E7E9A" w:rsidRPr="00D83965" w:rsidRDefault="004E7E9A" w:rsidP="004E7E9A">
            <w:pPr>
              <w:ind w:firstLine="0"/>
              <w:jc w:val="center"/>
              <w:rPr>
                <w:sz w:val="36"/>
                <w:lang w:bidi="ar-SA"/>
              </w:rPr>
            </w:pPr>
            <w:r>
              <w:rPr>
                <w:sz w:val="36"/>
                <w:lang w:bidi="ar-SA"/>
              </w:rPr>
              <w:t>(2005</w:t>
            </w:r>
            <w:r w:rsidRPr="00D83965">
              <w:rPr>
                <w:sz w:val="36"/>
                <w:lang w:bidi="ar-SA"/>
              </w:rPr>
              <w:t>)</w:t>
            </w:r>
          </w:p>
          <w:p w:rsidR="004E7E9A" w:rsidRDefault="004E7E9A">
            <w:pPr>
              <w:pStyle w:val="Corpsdetexte"/>
              <w:widowControl w:val="0"/>
              <w:spacing w:before="0" w:after="0"/>
              <w:rPr>
                <w:color w:val="FF0000"/>
                <w:sz w:val="20"/>
                <w:lang w:bidi="ar-SA"/>
              </w:rPr>
            </w:pPr>
          </w:p>
          <w:p w:rsidR="004E7E9A" w:rsidRPr="00D308BA" w:rsidRDefault="004E7E9A">
            <w:pPr>
              <w:pStyle w:val="Corpsdetexte"/>
              <w:widowControl w:val="0"/>
              <w:spacing w:before="0" w:after="0"/>
              <w:rPr>
                <w:color w:val="FF0000"/>
                <w:sz w:val="20"/>
                <w:lang w:bidi="ar-SA"/>
              </w:rPr>
            </w:pPr>
          </w:p>
          <w:p w:rsidR="004E7E9A" w:rsidRDefault="004E7E9A">
            <w:pPr>
              <w:pStyle w:val="Corpsdetexte"/>
              <w:widowControl w:val="0"/>
              <w:spacing w:before="0" w:after="0"/>
              <w:rPr>
                <w:color w:val="FF0000"/>
                <w:sz w:val="20"/>
                <w:lang w:bidi="ar-SA"/>
              </w:rPr>
            </w:pPr>
          </w:p>
          <w:p w:rsidR="004E7E9A" w:rsidRPr="00D308BA" w:rsidRDefault="004E7E9A">
            <w:pPr>
              <w:pStyle w:val="Corpsdetexte"/>
              <w:widowControl w:val="0"/>
              <w:spacing w:before="0" w:after="0"/>
              <w:rPr>
                <w:color w:val="FF0000"/>
                <w:sz w:val="20"/>
                <w:lang w:bidi="ar-SA"/>
              </w:rPr>
            </w:pPr>
          </w:p>
          <w:p w:rsidR="004E7E9A" w:rsidRPr="00605437" w:rsidRDefault="004E7E9A" w:rsidP="004E7E9A">
            <w:pPr>
              <w:pStyle w:val="Titlest"/>
              <w:rPr>
                <w:lang w:bidi="ar-SA"/>
              </w:rPr>
            </w:pPr>
            <w:r>
              <w:rPr>
                <w:lang w:bidi="ar-SA"/>
              </w:rPr>
              <w:t>“Israël :</w:t>
            </w:r>
            <w:r>
              <w:rPr>
                <w:lang w:bidi="ar-SA"/>
              </w:rPr>
              <w:br/>
              <w:t xml:space="preserve">le devoir </w:t>
            </w:r>
            <w:r w:rsidRPr="00605437">
              <w:rPr>
                <w:lang w:bidi="ar-SA"/>
              </w:rPr>
              <w:t>de mémoire et</w:t>
            </w:r>
            <w:r>
              <w:rPr>
                <w:lang w:bidi="ar-SA"/>
              </w:rPr>
              <w:br/>
            </w:r>
            <w:r w:rsidRPr="00605437">
              <w:rPr>
                <w:lang w:bidi="ar-SA"/>
              </w:rPr>
              <w:t>la politique du déni.”</w:t>
            </w:r>
          </w:p>
          <w:p w:rsidR="004E7E9A" w:rsidRDefault="004E7E9A">
            <w:pPr>
              <w:widowControl w:val="0"/>
              <w:ind w:firstLine="0"/>
              <w:jc w:val="center"/>
              <w:rPr>
                <w:sz w:val="20"/>
                <w:lang w:bidi="ar-SA"/>
              </w:rPr>
            </w:pPr>
          </w:p>
          <w:p w:rsidR="004E7E9A" w:rsidRPr="00D308BA" w:rsidRDefault="004E7E9A" w:rsidP="004E7E9A">
            <w:pPr>
              <w:widowControl w:val="0"/>
              <w:ind w:firstLine="0"/>
              <w:jc w:val="center"/>
              <w:rPr>
                <w:sz w:val="20"/>
                <w:lang w:bidi="ar-SA"/>
              </w:rPr>
            </w:pPr>
          </w:p>
          <w:p w:rsidR="004E7E9A" w:rsidRPr="00D308BA" w:rsidRDefault="004E7E9A" w:rsidP="004E7E9A">
            <w:pPr>
              <w:widowControl w:val="0"/>
              <w:ind w:firstLine="0"/>
              <w:jc w:val="center"/>
              <w:rPr>
                <w:sz w:val="20"/>
                <w:lang w:bidi="ar-SA"/>
              </w:rPr>
            </w:pPr>
          </w:p>
          <w:p w:rsidR="004E7E9A" w:rsidRDefault="004E7E9A" w:rsidP="004E7E9A">
            <w:pPr>
              <w:widowControl w:val="0"/>
              <w:ind w:firstLine="0"/>
              <w:jc w:val="center"/>
              <w:rPr>
                <w:lang w:bidi="ar-SA"/>
              </w:rPr>
            </w:pPr>
          </w:p>
          <w:p w:rsidR="004E7E9A" w:rsidRDefault="004E7E9A" w:rsidP="004E7E9A">
            <w:pPr>
              <w:widowControl w:val="0"/>
              <w:ind w:firstLine="0"/>
              <w:jc w:val="center"/>
              <w:rPr>
                <w:sz w:val="20"/>
                <w:lang w:bidi="ar-SA"/>
              </w:rPr>
            </w:pPr>
          </w:p>
          <w:p w:rsidR="004E7E9A" w:rsidRPr="00384B20" w:rsidRDefault="004E7E9A" w:rsidP="004E7E9A">
            <w:pPr>
              <w:widowControl w:val="0"/>
              <w:ind w:firstLine="0"/>
              <w:jc w:val="center"/>
              <w:rPr>
                <w:sz w:val="20"/>
                <w:lang w:bidi="ar-SA"/>
              </w:rPr>
            </w:pPr>
          </w:p>
          <w:p w:rsidR="004E7E9A" w:rsidRPr="00384B20" w:rsidRDefault="004E7E9A" w:rsidP="004E7E9A">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4E7E9A" w:rsidRPr="00E07116" w:rsidRDefault="004E7E9A" w:rsidP="004E7E9A">
            <w:pPr>
              <w:widowControl w:val="0"/>
              <w:ind w:firstLine="0"/>
              <w:jc w:val="both"/>
              <w:rPr>
                <w:lang w:bidi="ar-SA"/>
              </w:rPr>
            </w:pPr>
          </w:p>
          <w:p w:rsidR="004E7E9A" w:rsidRPr="00E07116" w:rsidRDefault="004E7E9A" w:rsidP="004E7E9A">
            <w:pPr>
              <w:widowControl w:val="0"/>
              <w:ind w:firstLine="0"/>
              <w:jc w:val="both"/>
              <w:rPr>
                <w:lang w:bidi="ar-SA"/>
              </w:rPr>
            </w:pPr>
          </w:p>
          <w:p w:rsidR="004E7E9A" w:rsidRPr="00D308BA" w:rsidRDefault="004E7E9A" w:rsidP="004E7E9A">
            <w:pPr>
              <w:widowControl w:val="0"/>
              <w:ind w:firstLine="0"/>
              <w:rPr>
                <w:sz w:val="20"/>
                <w:lang w:bidi="ar-SA"/>
              </w:rPr>
            </w:pPr>
          </w:p>
          <w:p w:rsidR="004E7E9A" w:rsidRDefault="004E7E9A">
            <w:pPr>
              <w:widowControl w:val="0"/>
              <w:ind w:firstLine="0"/>
              <w:jc w:val="both"/>
              <w:rPr>
                <w:sz w:val="20"/>
                <w:lang w:bidi="ar-SA"/>
              </w:rPr>
            </w:pPr>
          </w:p>
          <w:p w:rsidR="004E7E9A" w:rsidRDefault="004E7E9A">
            <w:pPr>
              <w:widowControl w:val="0"/>
              <w:ind w:firstLine="0"/>
              <w:jc w:val="both"/>
              <w:rPr>
                <w:sz w:val="20"/>
                <w:lang w:bidi="ar-SA"/>
              </w:rPr>
            </w:pPr>
          </w:p>
          <w:p w:rsidR="004E7E9A" w:rsidRDefault="004E7E9A">
            <w:pPr>
              <w:widowControl w:val="0"/>
              <w:ind w:firstLine="0"/>
              <w:jc w:val="both"/>
              <w:rPr>
                <w:sz w:val="20"/>
                <w:lang w:bidi="ar-SA"/>
              </w:rPr>
            </w:pPr>
          </w:p>
          <w:p w:rsidR="004E7E9A" w:rsidRPr="00D308BA" w:rsidRDefault="004E7E9A">
            <w:pPr>
              <w:widowControl w:val="0"/>
              <w:ind w:firstLine="0"/>
              <w:jc w:val="both"/>
              <w:rPr>
                <w:sz w:val="20"/>
                <w:lang w:bidi="ar-SA"/>
              </w:rPr>
            </w:pPr>
          </w:p>
          <w:p w:rsidR="004E7E9A" w:rsidRPr="00D308BA" w:rsidRDefault="004E7E9A">
            <w:pPr>
              <w:widowControl w:val="0"/>
              <w:ind w:firstLine="0"/>
              <w:jc w:val="both"/>
              <w:rPr>
                <w:sz w:val="20"/>
                <w:lang w:bidi="ar-SA"/>
              </w:rPr>
            </w:pPr>
          </w:p>
          <w:p w:rsidR="004E7E9A" w:rsidRDefault="004E7E9A">
            <w:pPr>
              <w:ind w:firstLine="0"/>
              <w:jc w:val="both"/>
              <w:rPr>
                <w:lang w:bidi="ar-SA"/>
              </w:rPr>
            </w:pPr>
          </w:p>
          <w:p w:rsidR="004E7E9A" w:rsidRDefault="004E7E9A">
            <w:pPr>
              <w:ind w:firstLine="0"/>
              <w:jc w:val="both"/>
              <w:rPr>
                <w:lang w:bidi="ar-SA"/>
              </w:rPr>
            </w:pPr>
          </w:p>
        </w:tc>
      </w:tr>
    </w:tbl>
    <w:p w:rsidR="004E7E9A" w:rsidRDefault="004E7E9A" w:rsidP="004E7E9A">
      <w:pPr>
        <w:ind w:firstLine="0"/>
        <w:jc w:val="both"/>
      </w:pPr>
      <w:r>
        <w:br w:type="page"/>
      </w:r>
    </w:p>
    <w:p w:rsidR="004E7E9A" w:rsidRDefault="004E7E9A" w:rsidP="004E7E9A">
      <w:pPr>
        <w:ind w:firstLine="0"/>
        <w:jc w:val="both"/>
      </w:pPr>
    </w:p>
    <w:p w:rsidR="004E7E9A" w:rsidRDefault="004E7E9A" w:rsidP="004E7E9A">
      <w:pPr>
        <w:ind w:firstLine="0"/>
        <w:jc w:val="both"/>
      </w:pPr>
    </w:p>
    <w:p w:rsidR="004E7E9A" w:rsidRDefault="00D150E3" w:rsidP="004E7E9A">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4E7E9A" w:rsidRDefault="004E7E9A" w:rsidP="004E7E9A">
      <w:pPr>
        <w:ind w:firstLine="0"/>
        <w:jc w:val="right"/>
      </w:pPr>
      <w:hyperlink r:id="rId9" w:history="1">
        <w:r w:rsidRPr="00302466">
          <w:rPr>
            <w:rStyle w:val="Lienhypertexte"/>
          </w:rPr>
          <w:t>http://classiques.uqac.ca/</w:t>
        </w:r>
      </w:hyperlink>
      <w:r>
        <w:t xml:space="preserve"> </w:t>
      </w:r>
    </w:p>
    <w:p w:rsidR="004E7E9A" w:rsidRDefault="004E7E9A" w:rsidP="004E7E9A">
      <w:pPr>
        <w:ind w:firstLine="0"/>
        <w:jc w:val="both"/>
      </w:pPr>
    </w:p>
    <w:p w:rsidR="004E7E9A" w:rsidRDefault="004E7E9A" w:rsidP="004E7E9A">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4E7E9A" w:rsidRDefault="004E7E9A" w:rsidP="004E7E9A">
      <w:pPr>
        <w:ind w:firstLine="0"/>
        <w:jc w:val="both"/>
      </w:pPr>
    </w:p>
    <w:p w:rsidR="004E7E9A" w:rsidRDefault="00D150E3" w:rsidP="004E7E9A">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4E7E9A" w:rsidRDefault="004E7E9A" w:rsidP="004E7E9A">
      <w:pPr>
        <w:ind w:firstLine="0"/>
        <w:jc w:val="both"/>
      </w:pPr>
      <w:hyperlink r:id="rId11" w:history="1">
        <w:r w:rsidRPr="00302466">
          <w:rPr>
            <w:rStyle w:val="Lienhypertexte"/>
          </w:rPr>
          <w:t>http://bibliotheque.uqac.ca/</w:t>
        </w:r>
      </w:hyperlink>
      <w:r>
        <w:t xml:space="preserve"> </w:t>
      </w:r>
    </w:p>
    <w:p w:rsidR="004E7E9A" w:rsidRDefault="004E7E9A" w:rsidP="004E7E9A">
      <w:pPr>
        <w:ind w:firstLine="0"/>
        <w:jc w:val="both"/>
      </w:pPr>
    </w:p>
    <w:p w:rsidR="004E7E9A" w:rsidRDefault="004E7E9A" w:rsidP="004E7E9A">
      <w:pPr>
        <w:ind w:firstLine="0"/>
        <w:jc w:val="both"/>
      </w:pPr>
    </w:p>
    <w:p w:rsidR="004E7E9A" w:rsidRDefault="004E7E9A" w:rsidP="004E7E9A">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4E7E9A" w:rsidRPr="005E1FF1" w:rsidRDefault="004E7E9A" w:rsidP="004E7E9A">
      <w:pPr>
        <w:widowControl w:val="0"/>
        <w:autoSpaceDE w:val="0"/>
        <w:autoSpaceDN w:val="0"/>
        <w:adjustRightInd w:val="0"/>
        <w:rPr>
          <w:rFonts w:ascii="Arial" w:hAnsi="Arial"/>
          <w:sz w:val="32"/>
          <w:szCs w:val="32"/>
        </w:rPr>
      </w:pPr>
      <w:r w:rsidRPr="00E07116">
        <w:br w:type="page"/>
      </w:r>
    </w:p>
    <w:p w:rsidR="004E7E9A" w:rsidRPr="005E1FF1" w:rsidRDefault="004E7E9A">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4E7E9A" w:rsidRPr="005E1FF1" w:rsidRDefault="004E7E9A">
      <w:pPr>
        <w:widowControl w:val="0"/>
        <w:autoSpaceDE w:val="0"/>
        <w:autoSpaceDN w:val="0"/>
        <w:adjustRightInd w:val="0"/>
        <w:rPr>
          <w:rFonts w:ascii="Arial" w:hAnsi="Arial"/>
          <w:sz w:val="32"/>
          <w:szCs w:val="32"/>
        </w:rPr>
      </w:pPr>
    </w:p>
    <w:p w:rsidR="004E7E9A" w:rsidRPr="005E1FF1" w:rsidRDefault="004E7E9A">
      <w:pPr>
        <w:widowControl w:val="0"/>
        <w:autoSpaceDE w:val="0"/>
        <w:autoSpaceDN w:val="0"/>
        <w:adjustRightInd w:val="0"/>
        <w:jc w:val="both"/>
        <w:rPr>
          <w:rFonts w:ascii="Arial" w:hAnsi="Arial"/>
          <w:color w:val="1C1C1C"/>
          <w:sz w:val="26"/>
          <w:szCs w:val="26"/>
        </w:rPr>
      </w:pPr>
    </w:p>
    <w:p w:rsidR="004E7E9A" w:rsidRPr="005E1FF1" w:rsidRDefault="004E7E9A">
      <w:pPr>
        <w:widowControl w:val="0"/>
        <w:autoSpaceDE w:val="0"/>
        <w:autoSpaceDN w:val="0"/>
        <w:adjustRightInd w:val="0"/>
        <w:jc w:val="both"/>
        <w:rPr>
          <w:rFonts w:ascii="Arial" w:hAnsi="Arial"/>
          <w:color w:val="1C1C1C"/>
          <w:sz w:val="26"/>
          <w:szCs w:val="26"/>
        </w:rPr>
      </w:pPr>
    </w:p>
    <w:p w:rsidR="004E7E9A" w:rsidRPr="005E1FF1" w:rsidRDefault="004E7E9A">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4E7E9A" w:rsidRPr="005E1FF1" w:rsidRDefault="004E7E9A">
      <w:pPr>
        <w:widowControl w:val="0"/>
        <w:autoSpaceDE w:val="0"/>
        <w:autoSpaceDN w:val="0"/>
        <w:adjustRightInd w:val="0"/>
        <w:jc w:val="both"/>
        <w:rPr>
          <w:rFonts w:ascii="Arial" w:hAnsi="Arial"/>
          <w:color w:val="1C1C1C"/>
          <w:sz w:val="26"/>
          <w:szCs w:val="26"/>
        </w:rPr>
      </w:pPr>
    </w:p>
    <w:p w:rsidR="004E7E9A" w:rsidRPr="00F336C5" w:rsidRDefault="004E7E9A" w:rsidP="004E7E9A">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4E7E9A" w:rsidRPr="00F336C5" w:rsidRDefault="004E7E9A" w:rsidP="004E7E9A">
      <w:pPr>
        <w:widowControl w:val="0"/>
        <w:autoSpaceDE w:val="0"/>
        <w:autoSpaceDN w:val="0"/>
        <w:adjustRightInd w:val="0"/>
        <w:jc w:val="both"/>
        <w:rPr>
          <w:rFonts w:ascii="Arial" w:hAnsi="Arial"/>
          <w:color w:val="1C1C1C"/>
          <w:sz w:val="26"/>
          <w:szCs w:val="26"/>
        </w:rPr>
      </w:pPr>
    </w:p>
    <w:p w:rsidR="004E7E9A" w:rsidRPr="00F336C5" w:rsidRDefault="004E7E9A" w:rsidP="004E7E9A">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4E7E9A" w:rsidRPr="00F336C5" w:rsidRDefault="004E7E9A" w:rsidP="004E7E9A">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4E7E9A" w:rsidRPr="00F336C5" w:rsidRDefault="004E7E9A" w:rsidP="004E7E9A">
      <w:pPr>
        <w:widowControl w:val="0"/>
        <w:autoSpaceDE w:val="0"/>
        <w:autoSpaceDN w:val="0"/>
        <w:adjustRightInd w:val="0"/>
        <w:jc w:val="both"/>
        <w:rPr>
          <w:rFonts w:ascii="Arial" w:hAnsi="Arial"/>
          <w:color w:val="1C1C1C"/>
          <w:sz w:val="26"/>
          <w:szCs w:val="26"/>
        </w:rPr>
      </w:pPr>
    </w:p>
    <w:p w:rsidR="004E7E9A" w:rsidRPr="005E1FF1" w:rsidRDefault="004E7E9A">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4E7E9A" w:rsidRPr="005E1FF1" w:rsidRDefault="004E7E9A">
      <w:pPr>
        <w:widowControl w:val="0"/>
        <w:autoSpaceDE w:val="0"/>
        <w:autoSpaceDN w:val="0"/>
        <w:adjustRightInd w:val="0"/>
        <w:jc w:val="both"/>
        <w:rPr>
          <w:rFonts w:ascii="Arial" w:hAnsi="Arial"/>
          <w:color w:val="1C1C1C"/>
          <w:sz w:val="26"/>
          <w:szCs w:val="26"/>
        </w:rPr>
      </w:pPr>
    </w:p>
    <w:p w:rsidR="004E7E9A" w:rsidRPr="005E1FF1" w:rsidRDefault="004E7E9A">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4E7E9A" w:rsidRPr="005E1FF1" w:rsidRDefault="004E7E9A">
      <w:pPr>
        <w:rPr>
          <w:rFonts w:ascii="Arial" w:hAnsi="Arial"/>
          <w:b/>
          <w:color w:val="1C1C1C"/>
          <w:sz w:val="26"/>
          <w:szCs w:val="26"/>
        </w:rPr>
      </w:pPr>
    </w:p>
    <w:p w:rsidR="004E7E9A" w:rsidRPr="00A51D9C" w:rsidRDefault="004E7E9A">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4E7E9A" w:rsidRPr="005E1FF1" w:rsidRDefault="004E7E9A">
      <w:pPr>
        <w:rPr>
          <w:rFonts w:ascii="Arial" w:hAnsi="Arial"/>
          <w:b/>
          <w:color w:val="1C1C1C"/>
          <w:sz w:val="26"/>
          <w:szCs w:val="26"/>
        </w:rPr>
      </w:pPr>
    </w:p>
    <w:p w:rsidR="004E7E9A" w:rsidRPr="005E1FF1" w:rsidRDefault="004E7E9A">
      <w:pPr>
        <w:rPr>
          <w:rFonts w:ascii="Arial" w:hAnsi="Arial"/>
          <w:color w:val="1C1C1C"/>
          <w:sz w:val="26"/>
          <w:szCs w:val="26"/>
        </w:rPr>
      </w:pPr>
      <w:r w:rsidRPr="005E1FF1">
        <w:rPr>
          <w:rFonts w:ascii="Arial" w:hAnsi="Arial"/>
          <w:color w:val="1C1C1C"/>
          <w:sz w:val="26"/>
          <w:szCs w:val="26"/>
        </w:rPr>
        <w:t>Jean-Marie Tremblay, sociologue</w:t>
      </w:r>
    </w:p>
    <w:p w:rsidR="004E7E9A" w:rsidRPr="005E1FF1" w:rsidRDefault="004E7E9A">
      <w:pPr>
        <w:rPr>
          <w:rFonts w:ascii="Arial" w:hAnsi="Arial"/>
          <w:color w:val="1C1C1C"/>
          <w:sz w:val="26"/>
          <w:szCs w:val="26"/>
        </w:rPr>
      </w:pPr>
      <w:r w:rsidRPr="005E1FF1">
        <w:rPr>
          <w:rFonts w:ascii="Arial" w:hAnsi="Arial"/>
          <w:color w:val="1C1C1C"/>
          <w:sz w:val="26"/>
          <w:szCs w:val="26"/>
        </w:rPr>
        <w:t>Fondateur et Président-directeur général,</w:t>
      </w:r>
    </w:p>
    <w:p w:rsidR="004E7E9A" w:rsidRPr="005E1FF1" w:rsidRDefault="004E7E9A">
      <w:pPr>
        <w:rPr>
          <w:rFonts w:ascii="Arial" w:hAnsi="Arial"/>
          <w:color w:val="000080"/>
        </w:rPr>
      </w:pPr>
      <w:r w:rsidRPr="005E1FF1">
        <w:rPr>
          <w:rFonts w:ascii="Arial" w:hAnsi="Arial"/>
          <w:color w:val="000080"/>
          <w:sz w:val="26"/>
          <w:szCs w:val="26"/>
        </w:rPr>
        <w:t>LES CLASSIQUES DES SCIENCES SOCIALES.</w:t>
      </w:r>
    </w:p>
    <w:p w:rsidR="004E7E9A" w:rsidRPr="00CF4C8E" w:rsidRDefault="004E7E9A" w:rsidP="004E7E9A">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4E7E9A" w:rsidRPr="00CF4C8E" w:rsidRDefault="004E7E9A" w:rsidP="004E7E9A">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4E7E9A" w:rsidRPr="00CF4C8E" w:rsidRDefault="004E7E9A" w:rsidP="004E7E9A">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4E7E9A" w:rsidRPr="00CF4C8E" w:rsidRDefault="004E7E9A" w:rsidP="004E7E9A">
      <w:pPr>
        <w:ind w:left="20" w:hanging="20"/>
        <w:jc w:val="both"/>
        <w:rPr>
          <w:sz w:val="24"/>
        </w:rPr>
      </w:pPr>
      <w:r w:rsidRPr="00CF4C8E">
        <w:rPr>
          <w:sz w:val="24"/>
        </w:rPr>
        <w:t>à partir du texte de :</w:t>
      </w:r>
    </w:p>
    <w:p w:rsidR="004E7E9A" w:rsidRPr="00722151" w:rsidRDefault="004E7E9A" w:rsidP="004E7E9A">
      <w:pPr>
        <w:ind w:left="20"/>
        <w:jc w:val="both"/>
        <w:rPr>
          <w:sz w:val="24"/>
        </w:rPr>
      </w:pPr>
    </w:p>
    <w:p w:rsidR="004E7E9A" w:rsidRPr="0058603D" w:rsidRDefault="004E7E9A">
      <w:pPr>
        <w:ind w:left="20" w:firstLine="340"/>
        <w:jc w:val="both"/>
      </w:pPr>
    </w:p>
    <w:p w:rsidR="004E7E9A" w:rsidRPr="00F75F28" w:rsidRDefault="004E7E9A" w:rsidP="004E7E9A">
      <w:pPr>
        <w:ind w:left="20" w:firstLine="340"/>
        <w:jc w:val="both"/>
      </w:pPr>
      <w:r>
        <w:t>Rachad ANTONIUS</w:t>
      </w:r>
    </w:p>
    <w:p w:rsidR="004E7E9A" w:rsidRPr="0058603D" w:rsidRDefault="004E7E9A">
      <w:pPr>
        <w:ind w:left="20" w:firstLine="340"/>
        <w:jc w:val="both"/>
      </w:pPr>
    </w:p>
    <w:p w:rsidR="004E7E9A" w:rsidRPr="00A00280" w:rsidRDefault="004E7E9A" w:rsidP="004E7E9A">
      <w:pPr>
        <w:jc w:val="both"/>
        <w:rPr>
          <w:b/>
          <w:color w:val="FF0000"/>
        </w:rPr>
      </w:pPr>
      <w:r w:rsidRPr="00752639">
        <w:rPr>
          <w:b/>
          <w:color w:val="FF0000"/>
        </w:rPr>
        <w:t>“Israël : le devoir de mémoire et la politique du déni.”</w:t>
      </w:r>
    </w:p>
    <w:p w:rsidR="004E7E9A" w:rsidRPr="0058603D" w:rsidRDefault="004E7E9A">
      <w:pPr>
        <w:jc w:val="both"/>
      </w:pPr>
    </w:p>
    <w:p w:rsidR="004E7E9A" w:rsidRPr="0021743E" w:rsidRDefault="004E7E9A">
      <w:pPr>
        <w:jc w:val="both"/>
      </w:pPr>
      <w:r>
        <w:rPr>
          <w:bCs/>
          <w:szCs w:val="24"/>
        </w:rPr>
        <w:t xml:space="preserve">In ouvrage sous la direction de </w:t>
      </w:r>
      <w:r w:rsidRPr="00140BA8">
        <w:t>Micheline Labelle, Ra</w:t>
      </w:r>
      <w:r>
        <w:t>chad Ant</w:t>
      </w:r>
      <w:r>
        <w:t>o</w:t>
      </w:r>
      <w:r>
        <w:t xml:space="preserve">nius et Georges Leroux, </w:t>
      </w:r>
      <w:r w:rsidRPr="00636724">
        <w:rPr>
          <w:b/>
          <w:i/>
          <w:color w:val="0000FF"/>
        </w:rPr>
        <w:t>Le Devoir de mémoire et les politiques du pardon</w:t>
      </w:r>
      <w:r>
        <w:t>, chapitre 20, pp. 249-268. Montréal : Les Presses de l’Université du Québec, 2005, 466 pp.</w:t>
      </w:r>
    </w:p>
    <w:p w:rsidR="004E7E9A" w:rsidRPr="0058603D" w:rsidRDefault="004E7E9A">
      <w:pPr>
        <w:jc w:val="both"/>
      </w:pPr>
    </w:p>
    <w:p w:rsidR="004E7E9A" w:rsidRDefault="004E7E9A">
      <w:pPr>
        <w:ind w:right="1800"/>
        <w:jc w:val="both"/>
        <w:rPr>
          <w:sz w:val="24"/>
        </w:rPr>
      </w:pPr>
    </w:p>
    <w:p w:rsidR="004E7E9A" w:rsidRPr="00722151" w:rsidRDefault="004E7E9A">
      <w:pPr>
        <w:ind w:right="1800"/>
        <w:jc w:val="both"/>
        <w:rPr>
          <w:sz w:val="24"/>
        </w:rPr>
      </w:pPr>
    </w:p>
    <w:p w:rsidR="004E7E9A" w:rsidRPr="00722151" w:rsidRDefault="004E7E9A" w:rsidP="004E7E9A">
      <w:pPr>
        <w:ind w:left="20"/>
        <w:jc w:val="both"/>
        <w:rPr>
          <w:sz w:val="24"/>
        </w:rPr>
      </w:pPr>
      <w:r w:rsidRPr="00722151">
        <w:rPr>
          <w:sz w:val="24"/>
        </w:rPr>
        <w:t xml:space="preserve">[Autorisation formelle accordée le </w:t>
      </w:r>
      <w:r>
        <w:rPr>
          <w:sz w:val="24"/>
        </w:rPr>
        <w:t>16 mai 2019</w:t>
      </w:r>
      <w:r w:rsidRPr="00722151">
        <w:rPr>
          <w:sz w:val="24"/>
        </w:rPr>
        <w:t xml:space="preserve"> par Monsieur Rachad Ant</w:t>
      </w:r>
      <w:r w:rsidRPr="00722151">
        <w:rPr>
          <w:sz w:val="24"/>
        </w:rPr>
        <w:t>o</w:t>
      </w:r>
      <w:r w:rsidRPr="00722151">
        <w:rPr>
          <w:sz w:val="24"/>
        </w:rPr>
        <w:t>nius de diffuser cet article</w:t>
      </w:r>
      <w:r>
        <w:rPr>
          <w:sz w:val="24"/>
        </w:rPr>
        <w:t xml:space="preserve"> en libre accès à tous</w:t>
      </w:r>
      <w:r w:rsidRPr="00722151">
        <w:rPr>
          <w:sz w:val="24"/>
        </w:rPr>
        <w:t xml:space="preserve"> dans Les Classiques des sciences soci</w:t>
      </w:r>
      <w:r w:rsidRPr="00722151">
        <w:rPr>
          <w:sz w:val="24"/>
        </w:rPr>
        <w:t>a</w:t>
      </w:r>
      <w:r w:rsidRPr="00722151">
        <w:rPr>
          <w:sz w:val="24"/>
        </w:rPr>
        <w:t>les.]</w:t>
      </w:r>
    </w:p>
    <w:p w:rsidR="004E7E9A" w:rsidRPr="00722151" w:rsidRDefault="004E7E9A" w:rsidP="004E7E9A">
      <w:pPr>
        <w:jc w:val="both"/>
        <w:rPr>
          <w:sz w:val="24"/>
        </w:rPr>
      </w:pPr>
    </w:p>
    <w:p w:rsidR="004E7E9A" w:rsidRPr="00722151" w:rsidRDefault="00D150E3" w:rsidP="004E7E9A">
      <w:pPr>
        <w:ind w:right="1800"/>
        <w:jc w:val="both"/>
        <w:rPr>
          <w:sz w:val="24"/>
        </w:rPr>
      </w:pPr>
      <w:r w:rsidRPr="00722151">
        <w:rPr>
          <w:noProof/>
          <w:sz w:val="24"/>
        </w:rPr>
        <w:drawing>
          <wp:inline distT="0" distB="0" distL="0" distR="0">
            <wp:extent cx="258445" cy="258445"/>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4E7E9A" w:rsidRPr="00722151">
        <w:rPr>
          <w:sz w:val="24"/>
        </w:rPr>
        <w:t xml:space="preserve"> Courriel : </w:t>
      </w:r>
      <w:hyperlink r:id="rId15" w:history="1">
        <w:r w:rsidR="004E7E9A" w:rsidRPr="00722151">
          <w:rPr>
            <w:rStyle w:val="Lienhypertexte"/>
            <w:sz w:val="24"/>
          </w:rPr>
          <w:t>antonius.rachad@uqam.ca</w:t>
        </w:r>
      </w:hyperlink>
    </w:p>
    <w:p w:rsidR="004E7E9A" w:rsidRPr="0058603D" w:rsidRDefault="004E7E9A" w:rsidP="004E7E9A">
      <w:pPr>
        <w:ind w:right="1800"/>
        <w:jc w:val="both"/>
      </w:pPr>
    </w:p>
    <w:p w:rsidR="004E7E9A" w:rsidRDefault="004E7E9A">
      <w:pPr>
        <w:ind w:right="1800"/>
        <w:jc w:val="both"/>
        <w:rPr>
          <w:sz w:val="24"/>
        </w:rPr>
      </w:pPr>
    </w:p>
    <w:p w:rsidR="004E7E9A" w:rsidRPr="00722151" w:rsidRDefault="004E7E9A" w:rsidP="004E7E9A">
      <w:pPr>
        <w:ind w:firstLine="0"/>
        <w:jc w:val="both"/>
        <w:rPr>
          <w:sz w:val="24"/>
        </w:rPr>
      </w:pPr>
      <w:r>
        <w:rPr>
          <w:sz w:val="24"/>
        </w:rPr>
        <w:t>Police</w:t>
      </w:r>
      <w:r w:rsidRPr="00722151">
        <w:rPr>
          <w:sz w:val="24"/>
        </w:rPr>
        <w:t xml:space="preserve"> de caractères utilisé</w:t>
      </w:r>
      <w:r>
        <w:rPr>
          <w:sz w:val="24"/>
        </w:rPr>
        <w:t>s</w:t>
      </w:r>
      <w:r w:rsidRPr="00722151">
        <w:rPr>
          <w:sz w:val="24"/>
        </w:rPr>
        <w:t> : Times New Roman, 14 points.</w:t>
      </w:r>
    </w:p>
    <w:p w:rsidR="004E7E9A" w:rsidRPr="00722151" w:rsidRDefault="004E7E9A">
      <w:pPr>
        <w:ind w:left="360" w:right="1800" w:firstLine="0"/>
        <w:jc w:val="both"/>
        <w:rPr>
          <w:sz w:val="24"/>
        </w:rPr>
      </w:pPr>
    </w:p>
    <w:p w:rsidR="004E7E9A" w:rsidRPr="00722151" w:rsidRDefault="004E7E9A">
      <w:pPr>
        <w:ind w:right="360" w:firstLine="0"/>
        <w:jc w:val="both"/>
        <w:rPr>
          <w:sz w:val="24"/>
        </w:rPr>
      </w:pPr>
      <w:r w:rsidRPr="00722151">
        <w:rPr>
          <w:sz w:val="24"/>
        </w:rPr>
        <w:t>Édition électronique réalisée avec le traitement de textes Micr</w:t>
      </w:r>
      <w:r w:rsidRPr="00722151">
        <w:rPr>
          <w:sz w:val="24"/>
        </w:rPr>
        <w:t>o</w:t>
      </w:r>
      <w:r w:rsidRPr="00722151">
        <w:rPr>
          <w:sz w:val="24"/>
        </w:rPr>
        <w:t>soft Word 2008 pour Macintosh.</w:t>
      </w:r>
    </w:p>
    <w:p w:rsidR="004E7E9A" w:rsidRPr="00722151" w:rsidRDefault="004E7E9A">
      <w:pPr>
        <w:ind w:right="1800" w:firstLine="0"/>
        <w:jc w:val="both"/>
        <w:rPr>
          <w:sz w:val="24"/>
        </w:rPr>
      </w:pPr>
    </w:p>
    <w:p w:rsidR="004E7E9A" w:rsidRPr="00722151" w:rsidRDefault="004E7E9A" w:rsidP="004E7E9A">
      <w:pPr>
        <w:ind w:right="540" w:firstLine="0"/>
        <w:jc w:val="both"/>
        <w:rPr>
          <w:sz w:val="24"/>
        </w:rPr>
      </w:pPr>
      <w:r w:rsidRPr="00722151">
        <w:rPr>
          <w:sz w:val="24"/>
        </w:rPr>
        <w:t>Mise en page sur papier format : LETTRE US, 8.5’’ x 11’’.</w:t>
      </w:r>
    </w:p>
    <w:p w:rsidR="004E7E9A" w:rsidRDefault="004E7E9A">
      <w:pPr>
        <w:ind w:right="1800" w:firstLine="0"/>
        <w:jc w:val="both"/>
        <w:rPr>
          <w:sz w:val="24"/>
        </w:rPr>
      </w:pPr>
    </w:p>
    <w:p w:rsidR="004E7E9A" w:rsidRPr="00722151" w:rsidRDefault="004E7E9A">
      <w:pPr>
        <w:ind w:right="1800" w:firstLine="0"/>
        <w:jc w:val="both"/>
        <w:rPr>
          <w:sz w:val="24"/>
        </w:rPr>
      </w:pPr>
    </w:p>
    <w:p w:rsidR="004E7E9A" w:rsidRPr="00722151" w:rsidRDefault="004E7E9A" w:rsidP="004E7E9A">
      <w:pPr>
        <w:ind w:firstLine="0"/>
        <w:jc w:val="both"/>
        <w:rPr>
          <w:sz w:val="24"/>
        </w:rPr>
      </w:pPr>
      <w:r w:rsidRPr="00722151">
        <w:rPr>
          <w:sz w:val="24"/>
        </w:rPr>
        <w:t xml:space="preserve">Édition numérique réalisée le </w:t>
      </w:r>
      <w:r>
        <w:rPr>
          <w:sz w:val="24"/>
        </w:rPr>
        <w:t>29 mai 2019 à Chicoutimi</w:t>
      </w:r>
      <w:r w:rsidRPr="00722151">
        <w:rPr>
          <w:sz w:val="24"/>
        </w:rPr>
        <w:t>, Québec.</w:t>
      </w:r>
    </w:p>
    <w:p w:rsidR="004E7E9A" w:rsidRPr="00722151" w:rsidRDefault="004E7E9A">
      <w:pPr>
        <w:ind w:right="1800" w:firstLine="0"/>
        <w:jc w:val="both"/>
        <w:rPr>
          <w:sz w:val="24"/>
        </w:rPr>
      </w:pPr>
    </w:p>
    <w:p w:rsidR="004E7E9A" w:rsidRDefault="00D150E3">
      <w:pPr>
        <w:ind w:right="1800" w:firstLine="0"/>
        <w:jc w:val="both"/>
      </w:pPr>
      <w:r>
        <w:rPr>
          <w:noProof/>
        </w:rPr>
        <w:drawing>
          <wp:inline distT="0" distB="0" distL="0" distR="0">
            <wp:extent cx="1118870" cy="39814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4E7E9A" w:rsidRDefault="004E7E9A" w:rsidP="004E7E9A">
      <w:pPr>
        <w:ind w:left="20"/>
        <w:jc w:val="both"/>
      </w:pPr>
      <w:r>
        <w:br w:type="page"/>
      </w:r>
    </w:p>
    <w:p w:rsidR="004E7E9A" w:rsidRDefault="004E7E9A" w:rsidP="004E7E9A">
      <w:pPr>
        <w:ind w:left="20"/>
        <w:jc w:val="both"/>
      </w:pPr>
    </w:p>
    <w:p w:rsidR="004E7E9A" w:rsidRPr="007C150D" w:rsidRDefault="004E7E9A" w:rsidP="004E7E9A">
      <w:pPr>
        <w:ind w:firstLine="0"/>
        <w:jc w:val="center"/>
        <w:rPr>
          <w:b/>
          <w:color w:val="000080"/>
          <w:sz w:val="36"/>
          <w:lang w:bidi="ar-SA"/>
        </w:rPr>
      </w:pPr>
      <w:r>
        <w:rPr>
          <w:color w:val="000080"/>
          <w:sz w:val="36"/>
          <w:lang w:bidi="ar-SA"/>
        </w:rPr>
        <w:t>Rachad ANTONIUS</w:t>
      </w:r>
    </w:p>
    <w:p w:rsidR="004E7E9A" w:rsidRDefault="004E7E9A" w:rsidP="004E7E9A">
      <w:pPr>
        <w:ind w:firstLine="0"/>
        <w:jc w:val="center"/>
        <w:rPr>
          <w:sz w:val="36"/>
        </w:rPr>
      </w:pPr>
      <w:r w:rsidRPr="006B2619">
        <w:rPr>
          <w:sz w:val="24"/>
          <w:lang w:bidi="ar-SA"/>
        </w:rPr>
        <w:t>sociologue, professeur, Département de sociologie, UQÀM.</w:t>
      </w:r>
    </w:p>
    <w:p w:rsidR="004E7E9A" w:rsidRDefault="004E7E9A" w:rsidP="004E7E9A">
      <w:pPr>
        <w:ind w:firstLine="0"/>
        <w:jc w:val="center"/>
      </w:pPr>
    </w:p>
    <w:p w:rsidR="004E7E9A" w:rsidRPr="00F4237A" w:rsidRDefault="004E7E9A" w:rsidP="004E7E9A">
      <w:pPr>
        <w:ind w:firstLine="0"/>
        <w:jc w:val="center"/>
        <w:rPr>
          <w:color w:val="000080"/>
          <w:sz w:val="36"/>
        </w:rPr>
      </w:pPr>
      <w:r w:rsidRPr="00752639">
        <w:rPr>
          <w:color w:val="000080"/>
          <w:sz w:val="36"/>
        </w:rPr>
        <w:t>“Israël : le devoir de mémoire</w:t>
      </w:r>
      <w:r>
        <w:rPr>
          <w:color w:val="000080"/>
          <w:sz w:val="36"/>
        </w:rPr>
        <w:br/>
      </w:r>
      <w:r w:rsidRPr="00752639">
        <w:rPr>
          <w:color w:val="000080"/>
          <w:sz w:val="36"/>
        </w:rPr>
        <w:t>et la politique du déni.”</w:t>
      </w:r>
    </w:p>
    <w:p w:rsidR="004E7E9A" w:rsidRDefault="004E7E9A" w:rsidP="004E7E9A">
      <w:pPr>
        <w:ind w:firstLine="0"/>
        <w:jc w:val="center"/>
      </w:pPr>
    </w:p>
    <w:p w:rsidR="004E7E9A" w:rsidRDefault="00D150E3" w:rsidP="004E7E9A">
      <w:pPr>
        <w:ind w:firstLine="0"/>
        <w:jc w:val="center"/>
      </w:pPr>
      <w:r>
        <w:rPr>
          <w:noProof/>
        </w:rPr>
        <w:drawing>
          <wp:inline distT="0" distB="0" distL="0" distR="0">
            <wp:extent cx="3012440" cy="4507230"/>
            <wp:effectExtent l="0" t="0" r="0" b="0"/>
            <wp:docPr id="5" name="Image 5" descr="Devoir_de_memoire_L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voir_de_memoire_L33"/>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12440" cy="4507230"/>
                    </a:xfrm>
                    <a:prstGeom prst="rect">
                      <a:avLst/>
                    </a:prstGeom>
                    <a:noFill/>
                    <a:ln>
                      <a:noFill/>
                    </a:ln>
                  </pic:spPr>
                </pic:pic>
              </a:graphicData>
            </a:graphic>
          </wp:inline>
        </w:drawing>
      </w:r>
    </w:p>
    <w:p w:rsidR="004E7E9A" w:rsidRDefault="004E7E9A" w:rsidP="004E7E9A">
      <w:pPr>
        <w:ind w:firstLine="0"/>
        <w:jc w:val="center"/>
      </w:pPr>
    </w:p>
    <w:p w:rsidR="004E7E9A" w:rsidRPr="00766C9A" w:rsidRDefault="004E7E9A">
      <w:pPr>
        <w:jc w:val="both"/>
      </w:pPr>
      <w:r>
        <w:rPr>
          <w:bCs/>
          <w:szCs w:val="24"/>
        </w:rPr>
        <w:t xml:space="preserve">In ouvrage sous la direction de </w:t>
      </w:r>
      <w:r w:rsidRPr="00140BA8">
        <w:t>Micheline Labelle, Ra</w:t>
      </w:r>
      <w:r>
        <w:t>chad Ant</w:t>
      </w:r>
      <w:r>
        <w:t>o</w:t>
      </w:r>
      <w:r>
        <w:t xml:space="preserve">nius et Georges Leroux, </w:t>
      </w:r>
      <w:r w:rsidRPr="00636724">
        <w:rPr>
          <w:b/>
          <w:i/>
          <w:color w:val="0000FF"/>
        </w:rPr>
        <w:t>Le Devoir de mémoire et les politiques du pardon</w:t>
      </w:r>
      <w:r>
        <w:t>, chapitre 20, pp. 249-268. Montréal : Les Presses de l’Université du Québec, 2005, 466 pp.</w:t>
      </w:r>
    </w:p>
    <w:p w:rsidR="004E7E9A" w:rsidRDefault="004E7E9A">
      <w:pPr>
        <w:jc w:val="both"/>
      </w:pPr>
      <w:r>
        <w:br w:type="page"/>
      </w:r>
    </w:p>
    <w:p w:rsidR="004E7E9A" w:rsidRDefault="004E7E9A">
      <w:pPr>
        <w:jc w:val="both"/>
      </w:pPr>
    </w:p>
    <w:p w:rsidR="004E7E9A" w:rsidRDefault="004E7E9A">
      <w:pPr>
        <w:jc w:val="both"/>
      </w:pPr>
    </w:p>
    <w:p w:rsidR="004E7E9A" w:rsidRDefault="004E7E9A" w:rsidP="004E7E9A">
      <w:pPr>
        <w:ind w:firstLine="20"/>
        <w:jc w:val="center"/>
      </w:pPr>
      <w:bookmarkStart w:id="1" w:name="tdm"/>
      <w:r>
        <w:rPr>
          <w:color w:val="FF0000"/>
          <w:sz w:val="48"/>
        </w:rPr>
        <w:t>Table des matières</w:t>
      </w:r>
      <w:bookmarkEnd w:id="1"/>
    </w:p>
    <w:p w:rsidR="004E7E9A" w:rsidRDefault="004E7E9A">
      <w:pPr>
        <w:ind w:firstLine="0"/>
      </w:pPr>
    </w:p>
    <w:p w:rsidR="004E7E9A" w:rsidRDefault="004E7E9A">
      <w:pPr>
        <w:ind w:firstLine="0"/>
      </w:pPr>
    </w:p>
    <w:p w:rsidR="004E7E9A" w:rsidRDefault="004E7E9A">
      <w:pPr>
        <w:ind w:firstLine="0"/>
      </w:pPr>
    </w:p>
    <w:p w:rsidR="004E7E9A" w:rsidRPr="0063702F" w:rsidRDefault="004E7E9A" w:rsidP="004E7E9A">
      <w:pPr>
        <w:spacing w:after="120"/>
        <w:ind w:left="360" w:hanging="360"/>
        <w:jc w:val="both"/>
        <w:rPr>
          <w:sz w:val="24"/>
        </w:rPr>
      </w:pPr>
      <w:r w:rsidRPr="0063702F">
        <w:rPr>
          <w:bCs/>
          <w:sz w:val="24"/>
          <w:szCs w:val="24"/>
        </w:rPr>
        <w:t xml:space="preserve">1. </w:t>
      </w:r>
      <w:hyperlink w:anchor="Israel_devoir_memoire_deni_1" w:history="1">
        <w:r w:rsidRPr="00605437">
          <w:rPr>
            <w:rStyle w:val="Lienhypertexte"/>
            <w:bCs/>
            <w:sz w:val="24"/>
            <w:szCs w:val="24"/>
          </w:rPr>
          <w:t>La problématique de la mémoire, du déni et du pardon</w:t>
        </w:r>
      </w:hyperlink>
    </w:p>
    <w:p w:rsidR="004E7E9A" w:rsidRPr="0063702F" w:rsidRDefault="004E7E9A" w:rsidP="004E7E9A">
      <w:pPr>
        <w:spacing w:after="120"/>
        <w:ind w:left="360" w:hanging="360"/>
        <w:jc w:val="both"/>
        <w:rPr>
          <w:bCs/>
          <w:sz w:val="24"/>
          <w:szCs w:val="24"/>
        </w:rPr>
      </w:pPr>
      <w:r w:rsidRPr="0063702F">
        <w:rPr>
          <w:bCs/>
          <w:sz w:val="24"/>
          <w:szCs w:val="24"/>
        </w:rPr>
        <w:t xml:space="preserve">2. </w:t>
      </w:r>
      <w:hyperlink w:anchor="Israel_devoir_memoire_deni_2" w:history="1">
        <w:r w:rsidRPr="00605437">
          <w:rPr>
            <w:rStyle w:val="Lienhypertexte"/>
            <w:bCs/>
            <w:sz w:val="24"/>
            <w:szCs w:val="24"/>
          </w:rPr>
          <w:t>La mémoire des dominés</w:t>
        </w:r>
      </w:hyperlink>
    </w:p>
    <w:p w:rsidR="004E7E9A" w:rsidRPr="0063702F" w:rsidRDefault="004E7E9A" w:rsidP="004E7E9A">
      <w:pPr>
        <w:spacing w:after="120"/>
        <w:ind w:left="360" w:hanging="360"/>
        <w:jc w:val="both"/>
        <w:rPr>
          <w:bCs/>
          <w:sz w:val="24"/>
          <w:szCs w:val="24"/>
        </w:rPr>
      </w:pPr>
      <w:r w:rsidRPr="0063702F">
        <w:rPr>
          <w:bCs/>
          <w:sz w:val="24"/>
          <w:szCs w:val="22"/>
        </w:rPr>
        <w:t xml:space="preserve">3. </w:t>
      </w:r>
      <w:hyperlink w:anchor="Israel_devoir_memoire_deni_3" w:history="1">
        <w:r w:rsidRPr="00605437">
          <w:rPr>
            <w:rStyle w:val="Lienhypertexte"/>
            <w:bCs/>
            <w:sz w:val="24"/>
            <w:szCs w:val="22"/>
          </w:rPr>
          <w:t>La politique du déni</w:t>
        </w:r>
      </w:hyperlink>
    </w:p>
    <w:p w:rsidR="004E7E9A" w:rsidRPr="0063702F" w:rsidRDefault="004E7E9A" w:rsidP="004E7E9A">
      <w:pPr>
        <w:spacing w:after="120"/>
        <w:ind w:left="360" w:hanging="360"/>
        <w:jc w:val="both"/>
        <w:rPr>
          <w:bCs/>
          <w:sz w:val="24"/>
          <w:szCs w:val="24"/>
        </w:rPr>
      </w:pPr>
      <w:r w:rsidRPr="0063702F">
        <w:rPr>
          <w:bCs/>
          <w:sz w:val="24"/>
          <w:szCs w:val="22"/>
        </w:rPr>
        <w:t xml:space="preserve">4. </w:t>
      </w:r>
      <w:hyperlink w:anchor="Israel_devoir_memoire_deni_4" w:history="1">
        <w:r w:rsidRPr="00605437">
          <w:rPr>
            <w:rStyle w:val="Lienhypertexte"/>
            <w:bCs/>
            <w:sz w:val="24"/>
            <w:szCs w:val="22"/>
          </w:rPr>
          <w:t>L'impact sur l'opinion publique</w:t>
        </w:r>
      </w:hyperlink>
    </w:p>
    <w:p w:rsidR="004E7E9A" w:rsidRDefault="004E7E9A" w:rsidP="004E7E9A">
      <w:pPr>
        <w:spacing w:after="120"/>
        <w:ind w:left="360" w:hanging="360"/>
        <w:jc w:val="both"/>
        <w:rPr>
          <w:bCs/>
          <w:sz w:val="24"/>
          <w:szCs w:val="24"/>
        </w:rPr>
      </w:pPr>
    </w:p>
    <w:p w:rsidR="004E7E9A" w:rsidRDefault="004E7E9A" w:rsidP="004E7E9A">
      <w:pPr>
        <w:spacing w:after="120"/>
        <w:ind w:left="360" w:hanging="360"/>
        <w:jc w:val="both"/>
        <w:rPr>
          <w:bCs/>
          <w:sz w:val="24"/>
          <w:szCs w:val="24"/>
        </w:rPr>
      </w:pPr>
      <w:hyperlink w:anchor="Israel_devoir_memoire_deni_conclusion" w:history="1">
        <w:r w:rsidRPr="00605437">
          <w:rPr>
            <w:rStyle w:val="Lienhypertexte"/>
            <w:bCs/>
            <w:sz w:val="24"/>
            <w:szCs w:val="24"/>
          </w:rPr>
          <w:t>Conclusion</w:t>
        </w:r>
      </w:hyperlink>
    </w:p>
    <w:p w:rsidR="004E7E9A" w:rsidRPr="0063702F" w:rsidRDefault="004E7E9A" w:rsidP="004E7E9A">
      <w:pPr>
        <w:spacing w:after="120"/>
        <w:ind w:left="360" w:hanging="360"/>
        <w:jc w:val="both"/>
        <w:rPr>
          <w:bCs/>
          <w:sz w:val="24"/>
          <w:szCs w:val="24"/>
        </w:rPr>
      </w:pPr>
      <w:hyperlink w:anchor="Israel_devoir_memoire_deni_biblio" w:history="1">
        <w:r w:rsidRPr="00605437">
          <w:rPr>
            <w:rStyle w:val="Lienhypertexte"/>
            <w:bCs/>
            <w:sz w:val="24"/>
            <w:szCs w:val="24"/>
          </w:rPr>
          <w:t>Bibliographie</w:t>
        </w:r>
      </w:hyperlink>
    </w:p>
    <w:p w:rsidR="004E7E9A" w:rsidRPr="00C972E1" w:rsidRDefault="004E7E9A" w:rsidP="004E7E9A">
      <w:pPr>
        <w:ind w:left="540" w:hanging="540"/>
      </w:pPr>
    </w:p>
    <w:p w:rsidR="004E7E9A" w:rsidRDefault="004E7E9A" w:rsidP="004E7E9A">
      <w:pPr>
        <w:pStyle w:val="p"/>
      </w:pPr>
      <w:r>
        <w:br w:type="page"/>
      </w:r>
    </w:p>
    <w:p w:rsidR="004E7E9A" w:rsidRDefault="004E7E9A" w:rsidP="004E7E9A">
      <w:pPr>
        <w:ind w:left="20"/>
        <w:jc w:val="both"/>
      </w:pPr>
    </w:p>
    <w:p w:rsidR="004E7E9A" w:rsidRPr="007C150D" w:rsidRDefault="004E7E9A" w:rsidP="004E7E9A">
      <w:pPr>
        <w:ind w:firstLine="0"/>
        <w:jc w:val="center"/>
        <w:rPr>
          <w:b/>
          <w:color w:val="000080"/>
          <w:sz w:val="36"/>
          <w:lang w:bidi="ar-SA"/>
        </w:rPr>
      </w:pPr>
      <w:r>
        <w:rPr>
          <w:color w:val="000080"/>
          <w:sz w:val="36"/>
          <w:lang w:bidi="ar-SA"/>
        </w:rPr>
        <w:t>Rachad ANTONIUS</w:t>
      </w:r>
    </w:p>
    <w:p w:rsidR="004E7E9A" w:rsidRDefault="004E7E9A" w:rsidP="004E7E9A">
      <w:pPr>
        <w:ind w:firstLine="0"/>
        <w:jc w:val="center"/>
        <w:rPr>
          <w:sz w:val="36"/>
        </w:rPr>
      </w:pPr>
      <w:r w:rsidRPr="006B2619">
        <w:rPr>
          <w:sz w:val="24"/>
          <w:lang w:bidi="ar-SA"/>
        </w:rPr>
        <w:t>sociologue, professeur, Département de sociologie, UQÀM.</w:t>
      </w:r>
    </w:p>
    <w:p w:rsidR="004E7E9A" w:rsidRDefault="004E7E9A" w:rsidP="004E7E9A">
      <w:pPr>
        <w:ind w:firstLine="0"/>
        <w:jc w:val="center"/>
      </w:pPr>
    </w:p>
    <w:p w:rsidR="004E7E9A" w:rsidRPr="00F4237A" w:rsidRDefault="004E7E9A" w:rsidP="004E7E9A">
      <w:pPr>
        <w:ind w:firstLine="0"/>
        <w:jc w:val="center"/>
        <w:rPr>
          <w:color w:val="000080"/>
          <w:sz w:val="36"/>
        </w:rPr>
      </w:pPr>
      <w:r w:rsidRPr="00752639">
        <w:rPr>
          <w:color w:val="000080"/>
          <w:sz w:val="36"/>
        </w:rPr>
        <w:t>“Israël : le devoir de mémoire</w:t>
      </w:r>
      <w:r>
        <w:rPr>
          <w:color w:val="000080"/>
          <w:sz w:val="36"/>
        </w:rPr>
        <w:br/>
      </w:r>
      <w:r w:rsidRPr="00752639">
        <w:rPr>
          <w:color w:val="000080"/>
          <w:sz w:val="36"/>
        </w:rPr>
        <w:t>et la politique du déni.”</w:t>
      </w:r>
    </w:p>
    <w:p w:rsidR="004E7E9A" w:rsidRDefault="004E7E9A" w:rsidP="004E7E9A">
      <w:pPr>
        <w:ind w:firstLine="0"/>
        <w:jc w:val="center"/>
      </w:pPr>
    </w:p>
    <w:p w:rsidR="004E7E9A" w:rsidRPr="00766C9A" w:rsidRDefault="004E7E9A" w:rsidP="004E7E9A">
      <w:pPr>
        <w:jc w:val="both"/>
      </w:pPr>
      <w:r>
        <w:rPr>
          <w:bCs/>
          <w:szCs w:val="24"/>
        </w:rPr>
        <w:t xml:space="preserve">In ouvrage sous la direction de </w:t>
      </w:r>
      <w:r w:rsidRPr="00140BA8">
        <w:t>Micheline Labelle, Ra</w:t>
      </w:r>
      <w:r>
        <w:t>chad Ant</w:t>
      </w:r>
      <w:r>
        <w:t>o</w:t>
      </w:r>
      <w:r>
        <w:t xml:space="preserve">nius et Georges Leroux, </w:t>
      </w:r>
      <w:r w:rsidRPr="00636724">
        <w:rPr>
          <w:b/>
          <w:i/>
          <w:color w:val="0000FF"/>
        </w:rPr>
        <w:t>Le Devoir de mémoire et les politiques du pardon</w:t>
      </w:r>
      <w:r>
        <w:t>, chapitre 20, pp. 249-268. Montréal : Les Presses de l’Université du Québec, 2005, 466 pp.</w:t>
      </w:r>
    </w:p>
    <w:p w:rsidR="004E7E9A" w:rsidRDefault="004E7E9A">
      <w:pPr>
        <w:jc w:val="both"/>
      </w:pPr>
    </w:p>
    <w:p w:rsidR="004E7E9A" w:rsidRDefault="004E7E9A">
      <w:pPr>
        <w:jc w:val="both"/>
      </w:pPr>
    </w:p>
    <w:p w:rsidR="004E7E9A" w:rsidRPr="00752639" w:rsidRDefault="004E7E9A" w:rsidP="004E7E9A">
      <w:pPr>
        <w:spacing w:before="120" w:after="120"/>
        <w:ind w:left="1800"/>
        <w:jc w:val="both"/>
        <w:rPr>
          <w:color w:val="000090"/>
          <w:sz w:val="24"/>
        </w:rPr>
      </w:pPr>
      <w:r w:rsidRPr="00752639">
        <w:rPr>
          <w:color w:val="000090"/>
          <w:sz w:val="24"/>
        </w:rPr>
        <w:t>My view is that the historian is a judge, and above all a hangingjudge. And therefore I sit in judgment on Israeli le</w:t>
      </w:r>
      <w:r w:rsidRPr="00752639">
        <w:rPr>
          <w:color w:val="000090"/>
          <w:sz w:val="24"/>
        </w:rPr>
        <w:t>a</w:t>
      </w:r>
      <w:r w:rsidRPr="00752639">
        <w:rPr>
          <w:color w:val="000090"/>
          <w:sz w:val="24"/>
        </w:rPr>
        <w:t>ders.</w:t>
      </w:r>
    </w:p>
    <w:p w:rsidR="004E7E9A" w:rsidRPr="00752639" w:rsidRDefault="004E7E9A" w:rsidP="004E7E9A">
      <w:pPr>
        <w:spacing w:before="120" w:after="120"/>
        <w:ind w:left="1800"/>
        <w:jc w:val="both"/>
        <w:rPr>
          <w:sz w:val="24"/>
        </w:rPr>
      </w:pPr>
      <w:r w:rsidRPr="00752639">
        <w:rPr>
          <w:sz w:val="24"/>
        </w:rPr>
        <w:t>(Avi Shlaim, historien israélien, professeur d'histoire à St-Anthony College, Oxford.</w:t>
      </w:r>
      <w:r>
        <w:rPr>
          <w:sz w:val="24"/>
        </w:rPr>
        <w:t> </w:t>
      </w:r>
      <w:r>
        <w:rPr>
          <w:rStyle w:val="Appelnotedebasdep"/>
        </w:rPr>
        <w:footnoteReference w:id="1"/>
      </w:r>
      <w:r w:rsidRPr="00752639">
        <w:rPr>
          <w:sz w:val="24"/>
        </w:rPr>
        <w:t>)</w:t>
      </w:r>
    </w:p>
    <w:p w:rsidR="004E7E9A" w:rsidRDefault="004E7E9A">
      <w:pPr>
        <w:jc w:val="both"/>
      </w:pPr>
    </w:p>
    <w:p w:rsidR="004E7E9A" w:rsidRPr="00140BA8" w:rsidRDefault="004E7E9A" w:rsidP="004E7E9A">
      <w:pPr>
        <w:spacing w:before="120" w:after="120"/>
        <w:jc w:val="both"/>
      </w:pPr>
    </w:p>
    <w:p w:rsidR="004E7E9A" w:rsidRPr="00140BA8" w:rsidRDefault="004E7E9A" w:rsidP="004E7E9A">
      <w:pPr>
        <w:pStyle w:val="a"/>
      </w:pPr>
      <w:bookmarkStart w:id="2" w:name="Israel_devoir_memoire_deni_1"/>
      <w:r w:rsidRPr="00140BA8">
        <w:t>1. La problématique de la mémoire, du déni et du pardon</w:t>
      </w:r>
    </w:p>
    <w:bookmarkEnd w:id="2"/>
    <w:p w:rsidR="004E7E9A" w:rsidRDefault="004E7E9A" w:rsidP="004E7E9A">
      <w:pPr>
        <w:spacing w:before="120" w:after="120"/>
        <w:jc w:val="both"/>
        <w:rPr>
          <w:szCs w:val="24"/>
        </w:rPr>
      </w:pPr>
    </w:p>
    <w:p w:rsidR="004E7E9A" w:rsidRPr="00893DBF" w:rsidRDefault="004E7E9A" w:rsidP="004E7E9A">
      <w:pPr>
        <w:ind w:right="90" w:firstLine="0"/>
        <w:jc w:val="both"/>
        <w:rPr>
          <w:sz w:val="20"/>
        </w:rPr>
      </w:pPr>
      <w:hyperlink w:anchor="tdm" w:history="1">
        <w:r w:rsidRPr="00893DBF">
          <w:rPr>
            <w:rStyle w:val="Lienhypertexte"/>
            <w:sz w:val="20"/>
          </w:rPr>
          <w:t>Retour à la table des matières</w:t>
        </w:r>
      </w:hyperlink>
    </w:p>
    <w:p w:rsidR="004E7E9A" w:rsidRPr="00140BA8" w:rsidRDefault="004E7E9A" w:rsidP="004E7E9A">
      <w:pPr>
        <w:spacing w:before="120" w:after="120"/>
        <w:jc w:val="both"/>
      </w:pPr>
      <w:r w:rsidRPr="00140BA8">
        <w:rPr>
          <w:szCs w:val="24"/>
        </w:rPr>
        <w:t>Les questions qui portent sur la mémoire historique en Palest</w:t>
      </w:r>
      <w:r w:rsidRPr="00140BA8">
        <w:rPr>
          <w:szCs w:val="24"/>
        </w:rPr>
        <w:t>i</w:t>
      </w:r>
      <w:r w:rsidRPr="00140BA8">
        <w:rPr>
          <w:szCs w:val="24"/>
        </w:rPr>
        <w:t>ne/Israël p</w:t>
      </w:r>
      <w:r w:rsidRPr="00140BA8">
        <w:rPr>
          <w:szCs w:val="24"/>
        </w:rPr>
        <w:t>o</w:t>
      </w:r>
      <w:r w:rsidRPr="00140BA8">
        <w:rPr>
          <w:szCs w:val="24"/>
        </w:rPr>
        <w:t>sent un énorme défi à qui veut les affronter, tant les enjeux sont grands, les sou</w:t>
      </w:r>
      <w:r w:rsidRPr="00140BA8">
        <w:rPr>
          <w:szCs w:val="24"/>
        </w:rPr>
        <w:t>f</w:t>
      </w:r>
      <w:r w:rsidRPr="00140BA8">
        <w:rPr>
          <w:szCs w:val="24"/>
        </w:rPr>
        <w:t>frances actuelles, les angoisses profondes, et les sentiments des divers acteurs à fleur de peau.</w:t>
      </w:r>
    </w:p>
    <w:p w:rsidR="004E7E9A" w:rsidRPr="00140BA8" w:rsidRDefault="004E7E9A" w:rsidP="004E7E9A">
      <w:pPr>
        <w:spacing w:before="120" w:after="120"/>
        <w:jc w:val="both"/>
      </w:pPr>
      <w:r w:rsidRPr="00140BA8">
        <w:rPr>
          <w:szCs w:val="24"/>
        </w:rPr>
        <w:t>Et pourtant comment éviter ces questions dans une réflexion sur la mémoire et la souffrance ? Contrairement à bien d'autres situations coloniales, la déposse</w:t>
      </w:r>
      <w:r w:rsidRPr="00140BA8">
        <w:rPr>
          <w:szCs w:val="24"/>
        </w:rPr>
        <w:t>s</w:t>
      </w:r>
      <w:r w:rsidRPr="00140BA8">
        <w:rPr>
          <w:szCs w:val="24"/>
        </w:rPr>
        <w:t>sion des habitants de la Palestine se poursuit encore aujourd'hui et s'intensifie par moments, légitimée par les pol</w:t>
      </w:r>
      <w:r w:rsidRPr="00140BA8">
        <w:rPr>
          <w:szCs w:val="24"/>
        </w:rPr>
        <w:t>i</w:t>
      </w:r>
      <w:r w:rsidRPr="00140BA8">
        <w:rPr>
          <w:szCs w:val="24"/>
        </w:rPr>
        <w:t>tiques des gouvernements occidentaux, et avec l'appui militant de ce</w:t>
      </w:r>
      <w:r w:rsidRPr="00140BA8">
        <w:rPr>
          <w:szCs w:val="24"/>
        </w:rPr>
        <w:t>r</w:t>
      </w:r>
      <w:r w:rsidRPr="00140BA8">
        <w:rPr>
          <w:szCs w:val="24"/>
        </w:rPr>
        <w:lastRenderedPageBreak/>
        <w:t>tains courants intellectuels tout à fait « respectables ». L'entreprise coloniale ne fait pas partie du passé mais du pr</w:t>
      </w:r>
      <w:r w:rsidRPr="00140BA8">
        <w:rPr>
          <w:szCs w:val="24"/>
        </w:rPr>
        <w:t>é</w:t>
      </w:r>
      <w:r w:rsidRPr="00140BA8">
        <w:rPr>
          <w:szCs w:val="24"/>
        </w:rPr>
        <w:t>sent. Il ne s'agit pas de néo-colonialisme ou de domination économique, mais d'une entreprise très actuelle de prise de contrôle du territoire et d'exclusion ou d'e</w:t>
      </w:r>
      <w:r w:rsidRPr="00140BA8">
        <w:rPr>
          <w:szCs w:val="24"/>
        </w:rPr>
        <w:t>x</w:t>
      </w:r>
      <w:r w:rsidRPr="00140BA8">
        <w:rPr>
          <w:szCs w:val="24"/>
        </w:rPr>
        <w:t>pulsion de ses habitants pour le bénéfice de gens venus d'ailleurs</w:t>
      </w:r>
      <w:r>
        <w:rPr>
          <w:szCs w:val="24"/>
        </w:rPr>
        <w:t> </w:t>
      </w:r>
      <w:r>
        <w:rPr>
          <w:rStyle w:val="Appelnotedebasdep"/>
          <w:szCs w:val="24"/>
        </w:rPr>
        <w:footnoteReference w:id="2"/>
      </w:r>
      <w:r w:rsidRPr="00140BA8">
        <w:rPr>
          <w:szCs w:val="24"/>
        </w:rPr>
        <w:t>. Il s'en suit que la reconnaissance des torts historiques ne consiste pas seulement en un retour sur le passé, car ces torts historiques sont des processus en cours d'exéc</w:t>
      </w:r>
      <w:r w:rsidRPr="00140BA8">
        <w:rPr>
          <w:szCs w:val="24"/>
        </w:rPr>
        <w:t>u</w:t>
      </w:r>
      <w:r w:rsidRPr="00140BA8">
        <w:rPr>
          <w:szCs w:val="24"/>
        </w:rPr>
        <w:t>tion, et ils se déroulent en ce moment sous nos yeux. Simultanément, et paradoxalement, certains bénéficia</w:t>
      </w:r>
      <w:r w:rsidRPr="00140BA8">
        <w:rPr>
          <w:szCs w:val="24"/>
        </w:rPr>
        <w:t>i</w:t>
      </w:r>
      <w:r w:rsidRPr="00140BA8">
        <w:rPr>
          <w:szCs w:val="24"/>
        </w:rPr>
        <w:t>res de cette dépossession se sentent eux-mêmes blessés au plus profond d'eux-mêmes, voire menacés dans leur existence, à ch</w:t>
      </w:r>
      <w:r w:rsidRPr="00140BA8">
        <w:rPr>
          <w:szCs w:val="24"/>
        </w:rPr>
        <w:t>a</w:t>
      </w:r>
      <w:r w:rsidRPr="00140BA8">
        <w:rPr>
          <w:szCs w:val="24"/>
        </w:rPr>
        <w:t>que tentative des dominés d'a</w:t>
      </w:r>
      <w:r w:rsidRPr="00140BA8">
        <w:rPr>
          <w:szCs w:val="24"/>
        </w:rPr>
        <w:t>f</w:t>
      </w:r>
      <w:r w:rsidRPr="00140BA8">
        <w:rPr>
          <w:szCs w:val="24"/>
        </w:rPr>
        <w:t>firmer - et de se convaincre - qu'ils ne sont pas tout-à-fait vaincus.</w:t>
      </w:r>
    </w:p>
    <w:p w:rsidR="004E7E9A" w:rsidRPr="00140BA8" w:rsidRDefault="004E7E9A" w:rsidP="004E7E9A">
      <w:pPr>
        <w:spacing w:before="120" w:after="120"/>
        <w:jc w:val="both"/>
      </w:pPr>
      <w:r w:rsidRPr="00140BA8">
        <w:rPr>
          <w:szCs w:val="24"/>
        </w:rPr>
        <w:t>Le résultat est que la société israélienne vit dans un « état de d</w:t>
      </w:r>
      <w:r w:rsidRPr="00140BA8">
        <w:rPr>
          <w:szCs w:val="24"/>
        </w:rPr>
        <w:t>é</w:t>
      </w:r>
      <w:r w:rsidRPr="00140BA8">
        <w:rPr>
          <w:szCs w:val="24"/>
        </w:rPr>
        <w:t>ni », selon les termes de l'historien israélien Ilan Pappe</w:t>
      </w:r>
      <w:r>
        <w:rPr>
          <w:szCs w:val="24"/>
        </w:rPr>
        <w:t> </w:t>
      </w:r>
      <w:r>
        <w:rPr>
          <w:rStyle w:val="Appelnotedebasdep"/>
          <w:szCs w:val="24"/>
        </w:rPr>
        <w:footnoteReference w:id="3"/>
      </w:r>
      <w:r w:rsidRPr="00140BA8">
        <w:rPr>
          <w:szCs w:val="24"/>
        </w:rPr>
        <w:t>. Cette situ</w:t>
      </w:r>
      <w:r w:rsidRPr="00140BA8">
        <w:rPr>
          <w:szCs w:val="24"/>
        </w:rPr>
        <w:t>a</w:t>
      </w:r>
      <w:r w:rsidRPr="00140BA8">
        <w:rPr>
          <w:szCs w:val="24"/>
        </w:rPr>
        <w:t>tion empêche toute reco</w:t>
      </w:r>
      <w:r w:rsidRPr="00140BA8">
        <w:rPr>
          <w:szCs w:val="24"/>
        </w:rPr>
        <w:t>n</w:t>
      </w:r>
      <w:r w:rsidRPr="00140BA8">
        <w:rPr>
          <w:szCs w:val="24"/>
        </w:rPr>
        <w:t>naissance des torts infligés aux Palestiniens, et a fortiori toute demande de pardon et toute réparation. Si la reco</w:t>
      </w:r>
      <w:r w:rsidRPr="00140BA8">
        <w:rPr>
          <w:szCs w:val="24"/>
        </w:rPr>
        <w:t>n</w:t>
      </w:r>
      <w:r w:rsidRPr="00140BA8">
        <w:rPr>
          <w:szCs w:val="24"/>
        </w:rPr>
        <w:t>naissance de la mémoire historique et le pardon précèdent logiqu</w:t>
      </w:r>
      <w:r w:rsidRPr="00140BA8">
        <w:rPr>
          <w:szCs w:val="24"/>
        </w:rPr>
        <w:t>e</w:t>
      </w:r>
      <w:r w:rsidRPr="00140BA8">
        <w:rPr>
          <w:szCs w:val="24"/>
        </w:rPr>
        <w:t>ment la réparation, ce sont, dans ce cas, les exigences de la rép</w:t>
      </w:r>
      <w:r w:rsidRPr="00140BA8">
        <w:rPr>
          <w:szCs w:val="24"/>
        </w:rPr>
        <w:t>a</w:t>
      </w:r>
      <w:r w:rsidRPr="00140BA8">
        <w:rPr>
          <w:szCs w:val="24"/>
        </w:rPr>
        <w:t>ration qui rendent la vérité historique et le pardon impensables pour les co</w:t>
      </w:r>
      <w:r w:rsidRPr="00140BA8">
        <w:rPr>
          <w:szCs w:val="24"/>
        </w:rPr>
        <w:t>u</w:t>
      </w:r>
      <w:r w:rsidRPr="00140BA8">
        <w:rPr>
          <w:szCs w:val="24"/>
        </w:rPr>
        <w:t>rants dominants en Israël, ainsi que pour les courants politiques, maj</w:t>
      </w:r>
      <w:r w:rsidRPr="00140BA8">
        <w:rPr>
          <w:szCs w:val="24"/>
        </w:rPr>
        <w:t>o</w:t>
      </w:r>
      <w:r w:rsidRPr="00140BA8">
        <w:rPr>
          <w:szCs w:val="24"/>
        </w:rPr>
        <w:t>ritaires dans la diaspora, qui appuient les politiques israéliennes de dépossession des Palestiniens.</w:t>
      </w:r>
    </w:p>
    <w:p w:rsidR="004E7E9A" w:rsidRPr="00140BA8" w:rsidRDefault="004E7E9A" w:rsidP="004E7E9A">
      <w:pPr>
        <w:spacing w:before="120" w:after="120"/>
        <w:jc w:val="both"/>
      </w:pPr>
      <w:r w:rsidRPr="00140BA8">
        <w:rPr>
          <w:szCs w:val="24"/>
        </w:rPr>
        <w:t>La question de la Palestine n'est donc pas avant tout un enjeu de mémoire ; mais elle soulève cependant d'énormes enjeux de mémoire. Car la légitimité du projet colonial israélien repose presque entièr</w:t>
      </w:r>
      <w:r w:rsidRPr="00140BA8">
        <w:rPr>
          <w:szCs w:val="24"/>
        </w:rPr>
        <w:t>e</w:t>
      </w:r>
      <w:r w:rsidRPr="00140BA8">
        <w:rPr>
          <w:szCs w:val="24"/>
        </w:rPr>
        <w:t xml:space="preserve">ment sur la nécessité d'oublier et de faire oublier que la majorité de la population palestinienne </w:t>
      </w:r>
      <w:r>
        <w:rPr>
          <w:szCs w:val="24"/>
        </w:rPr>
        <w:t>—</w:t>
      </w:r>
      <w:r w:rsidRPr="00140BA8">
        <w:rPr>
          <w:szCs w:val="24"/>
        </w:rPr>
        <w:t xml:space="preserve"> près de 60%</w:t>
      </w:r>
      <w:r>
        <w:rPr>
          <w:szCs w:val="24"/>
        </w:rPr>
        <w:t> </w:t>
      </w:r>
      <w:r>
        <w:rPr>
          <w:rStyle w:val="Appelnotedebasdep"/>
          <w:szCs w:val="24"/>
        </w:rPr>
        <w:footnoteReference w:id="4"/>
      </w:r>
      <w:r w:rsidRPr="00140BA8">
        <w:rPr>
          <w:szCs w:val="24"/>
        </w:rPr>
        <w:t xml:space="preserve"> </w:t>
      </w:r>
      <w:r>
        <w:rPr>
          <w:szCs w:val="24"/>
        </w:rPr>
        <w:t>—</w:t>
      </w:r>
      <w:r w:rsidRPr="00140BA8">
        <w:rPr>
          <w:szCs w:val="24"/>
        </w:rPr>
        <w:t xml:space="preserve"> a été expulsée de ses terres ; que cette expulsion, s'insérant dans un processus co</w:t>
      </w:r>
      <w:r w:rsidRPr="00140BA8">
        <w:rPr>
          <w:szCs w:val="24"/>
        </w:rPr>
        <w:t>m</w:t>
      </w:r>
      <w:r w:rsidRPr="00140BA8">
        <w:rPr>
          <w:szCs w:val="24"/>
        </w:rPr>
        <w:t>plexe, a souvent été violente, et que dans les autres cas la menace de l'usage de la violence a été très présente ; et que plus de 400 villages palest</w:t>
      </w:r>
      <w:r w:rsidRPr="00140BA8">
        <w:rPr>
          <w:szCs w:val="24"/>
        </w:rPr>
        <w:t>i</w:t>
      </w:r>
      <w:r w:rsidRPr="00140BA8">
        <w:rPr>
          <w:szCs w:val="24"/>
        </w:rPr>
        <w:lastRenderedPageBreak/>
        <w:t>niens, peut-être</w:t>
      </w:r>
      <w:r>
        <w:rPr>
          <w:szCs w:val="24"/>
        </w:rPr>
        <w:t xml:space="preserve"> </w:t>
      </w:r>
      <w:r w:rsidRPr="00140BA8">
        <w:rPr>
          <w:szCs w:val="24"/>
        </w:rPr>
        <w:t>même</w:t>
      </w:r>
      <w:r>
        <w:rPr>
          <w:szCs w:val="24"/>
        </w:rPr>
        <w:t xml:space="preserve"> </w:t>
      </w:r>
      <w:r w:rsidRPr="00140BA8">
        <w:rPr>
          <w:szCs w:val="24"/>
        </w:rPr>
        <w:t>plus</w:t>
      </w:r>
      <w:r>
        <w:rPr>
          <w:szCs w:val="24"/>
        </w:rPr>
        <w:t xml:space="preserve"> </w:t>
      </w:r>
      <w:r w:rsidRPr="00140BA8">
        <w:rPr>
          <w:szCs w:val="24"/>
        </w:rPr>
        <w:t>de</w:t>
      </w:r>
      <w:r>
        <w:rPr>
          <w:szCs w:val="24"/>
        </w:rPr>
        <w:t xml:space="preserve"> </w:t>
      </w:r>
      <w:r w:rsidRPr="00140BA8">
        <w:rPr>
          <w:szCs w:val="24"/>
        </w:rPr>
        <w:t>500</w:t>
      </w:r>
      <w:r>
        <w:rPr>
          <w:szCs w:val="24"/>
        </w:rPr>
        <w:t xml:space="preserve"> </w:t>
      </w:r>
      <w:r w:rsidRPr="00140BA8">
        <w:rPr>
          <w:szCs w:val="24"/>
        </w:rPr>
        <w:t>villages,</w:t>
      </w:r>
      <w:r>
        <w:rPr>
          <w:szCs w:val="24"/>
        </w:rPr>
        <w:t xml:space="preserve"> </w:t>
      </w:r>
      <w:r w:rsidRPr="00140BA8">
        <w:rPr>
          <w:szCs w:val="24"/>
        </w:rPr>
        <w:t>ont</w:t>
      </w:r>
      <w:r>
        <w:rPr>
          <w:szCs w:val="24"/>
        </w:rPr>
        <w:t xml:space="preserve"> </w:t>
      </w:r>
      <w:r w:rsidRPr="00140BA8">
        <w:rPr>
          <w:szCs w:val="24"/>
        </w:rPr>
        <w:t>été</w:t>
      </w:r>
      <w:r>
        <w:rPr>
          <w:szCs w:val="24"/>
        </w:rPr>
        <w:t xml:space="preserve"> </w:t>
      </w:r>
      <w:r w:rsidRPr="00140BA8">
        <w:rPr>
          <w:szCs w:val="24"/>
        </w:rPr>
        <w:t>détruits</w:t>
      </w:r>
      <w:r>
        <w:rPr>
          <w:szCs w:val="24"/>
        </w:rPr>
        <w:t xml:space="preserve"> </w:t>
      </w:r>
      <w:r w:rsidRPr="00140BA8">
        <w:rPr>
          <w:szCs w:val="24"/>
        </w:rPr>
        <w:t>au</w:t>
      </w:r>
      <w:r>
        <w:rPr>
          <w:szCs w:val="24"/>
        </w:rPr>
        <w:t xml:space="preserve"> </w:t>
      </w:r>
      <w:r w:rsidRPr="00140BA8">
        <w:rPr>
          <w:szCs w:val="24"/>
        </w:rPr>
        <w:t>bulld</w:t>
      </w:r>
      <w:r w:rsidRPr="00140BA8">
        <w:rPr>
          <w:szCs w:val="24"/>
        </w:rPr>
        <w:t>o</w:t>
      </w:r>
      <w:r w:rsidRPr="00140BA8">
        <w:rPr>
          <w:szCs w:val="24"/>
        </w:rPr>
        <w:t>zer</w:t>
      </w:r>
      <w:r>
        <w:rPr>
          <w:szCs w:val="24"/>
        </w:rPr>
        <w:t xml:space="preserve"> </w:t>
      </w:r>
      <w:r w:rsidRPr="00140BA8">
        <w:rPr>
          <w:szCs w:val="24"/>
        </w:rPr>
        <w:t>au</w:t>
      </w:r>
      <w:r>
        <w:rPr>
          <w:szCs w:val="24"/>
        </w:rPr>
        <w:t xml:space="preserve"> </w:t>
      </w:r>
      <w:r w:rsidRPr="00140BA8">
        <w:rPr>
          <w:szCs w:val="24"/>
        </w:rPr>
        <w:t>le</w:t>
      </w:r>
      <w:r w:rsidRPr="00140BA8">
        <w:rPr>
          <w:szCs w:val="24"/>
        </w:rPr>
        <w:t>n</w:t>
      </w:r>
      <w:r w:rsidRPr="00140BA8">
        <w:rPr>
          <w:szCs w:val="24"/>
        </w:rPr>
        <w:t>demain</w:t>
      </w:r>
      <w:r>
        <w:rPr>
          <w:szCs w:val="24"/>
        </w:rPr>
        <w:t xml:space="preserve"> </w:t>
      </w:r>
      <w:r w:rsidRPr="00140BA8">
        <w:rPr>
          <w:szCs w:val="24"/>
        </w:rPr>
        <w:t>de</w:t>
      </w:r>
      <w:r>
        <w:rPr>
          <w:szCs w:val="24"/>
        </w:rPr>
        <w:t xml:space="preserve"> l</w:t>
      </w:r>
      <w:r w:rsidRPr="00140BA8">
        <w:rPr>
          <w:szCs w:val="24"/>
        </w:rPr>
        <w:t xml:space="preserve">'établissement de l'État hébreu, </w:t>
      </w:r>
      <w:r w:rsidRPr="00140BA8">
        <w:rPr>
          <w:i/>
          <w:szCs w:val="24"/>
        </w:rPr>
        <w:t>après</w:t>
      </w:r>
      <w:r w:rsidRPr="00140BA8">
        <w:rPr>
          <w:szCs w:val="24"/>
        </w:rPr>
        <w:t xml:space="preserve"> la fin des hostilités, afin de rendre impo</w:t>
      </w:r>
      <w:r w:rsidRPr="00140BA8">
        <w:rPr>
          <w:szCs w:val="24"/>
        </w:rPr>
        <w:t>s</w:t>
      </w:r>
      <w:r w:rsidRPr="00140BA8">
        <w:rPr>
          <w:szCs w:val="24"/>
        </w:rPr>
        <w:t>sible le retour de leurs habitants. Et c'est la version du colonisateur, qui nie ces réalités historiques, qui permet aux promoteurs de la dépossession des Palestiniens de préte</w:t>
      </w:r>
      <w:r w:rsidRPr="00140BA8">
        <w:rPr>
          <w:szCs w:val="24"/>
        </w:rPr>
        <w:t>n</w:t>
      </w:r>
      <w:r w:rsidRPr="00140BA8">
        <w:rPr>
          <w:szCs w:val="24"/>
        </w:rPr>
        <w:t>dre à la supériorité morale de leurs positions politiques. Contester ce</w:t>
      </w:r>
      <w:r w:rsidRPr="00140BA8">
        <w:rPr>
          <w:szCs w:val="24"/>
        </w:rPr>
        <w:t>t</w:t>
      </w:r>
      <w:r w:rsidRPr="00140BA8">
        <w:rPr>
          <w:szCs w:val="24"/>
        </w:rPr>
        <w:t>te supériorité morale entraîne immédiatement des accusations d'ant</w:t>
      </w:r>
      <w:r w:rsidRPr="00140BA8">
        <w:rPr>
          <w:szCs w:val="24"/>
        </w:rPr>
        <w:t>i</w:t>
      </w:r>
      <w:r w:rsidRPr="00140BA8">
        <w:rPr>
          <w:szCs w:val="24"/>
        </w:rPr>
        <w:t>sémitisme, comme nous le verrons plus loin.</w:t>
      </w:r>
    </w:p>
    <w:p w:rsidR="004E7E9A" w:rsidRPr="00140BA8" w:rsidRDefault="004E7E9A" w:rsidP="004E7E9A">
      <w:pPr>
        <w:spacing w:before="120" w:after="120"/>
        <w:jc w:val="both"/>
      </w:pPr>
      <w:r w:rsidRPr="00140BA8">
        <w:rPr>
          <w:szCs w:val="24"/>
        </w:rPr>
        <w:t>Les interprétations officielles israéliennes de l'histoire de la Pale</w:t>
      </w:r>
      <w:r w:rsidRPr="00140BA8">
        <w:rPr>
          <w:szCs w:val="24"/>
        </w:rPr>
        <w:t>s</w:t>
      </w:r>
      <w:r w:rsidRPr="00140BA8">
        <w:rPr>
          <w:szCs w:val="24"/>
        </w:rPr>
        <w:t>tine sont en effet devenues dominantes dans le discours public en O</w:t>
      </w:r>
      <w:r w:rsidRPr="00140BA8">
        <w:rPr>
          <w:szCs w:val="24"/>
        </w:rPr>
        <w:t>c</w:t>
      </w:r>
      <w:r w:rsidRPr="00140BA8">
        <w:rPr>
          <w:szCs w:val="24"/>
        </w:rPr>
        <w:t>cident. Elles ont fondé les représentations que l'on se fait du conflit, dans lesquelles les victimes de cette d</w:t>
      </w:r>
      <w:r w:rsidRPr="00140BA8">
        <w:rPr>
          <w:szCs w:val="24"/>
        </w:rPr>
        <w:t>é</w:t>
      </w:r>
      <w:r w:rsidRPr="00140BA8">
        <w:rPr>
          <w:szCs w:val="24"/>
        </w:rPr>
        <w:t>possession ont été transformées en agresseurs</w:t>
      </w:r>
      <w:r>
        <w:rPr>
          <w:szCs w:val="24"/>
        </w:rPr>
        <w:t> </w:t>
      </w:r>
      <w:r>
        <w:rPr>
          <w:rStyle w:val="Appelnotedebasdep"/>
          <w:szCs w:val="24"/>
        </w:rPr>
        <w:footnoteReference w:id="5"/>
      </w:r>
      <w:r w:rsidRPr="00140BA8">
        <w:rPr>
          <w:szCs w:val="24"/>
        </w:rPr>
        <w:t>, compliquant singulièrement les questions de mémoire et encore plus celles de réparation.</w:t>
      </w:r>
    </w:p>
    <w:p w:rsidR="004E7E9A" w:rsidRPr="00140BA8" w:rsidRDefault="004E7E9A" w:rsidP="004E7E9A">
      <w:pPr>
        <w:spacing w:before="120" w:after="120"/>
        <w:jc w:val="both"/>
      </w:pPr>
      <w:r w:rsidRPr="00140BA8">
        <w:rPr>
          <w:szCs w:val="24"/>
        </w:rPr>
        <w:t>Pour cette situation, comme pour plusieurs autres dans le monde, le devoir de mémoire est un impératif incontournable. Il concerne tant le discours public des politiciens que celui des chercheurs universitaires. L'enjeu principal, pour les historiens palestiniens, a été de faire reco</w:t>
      </w:r>
      <w:r w:rsidRPr="00140BA8">
        <w:rPr>
          <w:szCs w:val="24"/>
        </w:rPr>
        <w:t>n</w:t>
      </w:r>
      <w:r w:rsidRPr="00140BA8">
        <w:rPr>
          <w:szCs w:val="24"/>
        </w:rPr>
        <w:t>naître la véracité de leur récit de l'expulsion. Pour l'historiographie coloniale sioniste</w:t>
      </w:r>
      <w:r>
        <w:rPr>
          <w:szCs w:val="24"/>
        </w:rPr>
        <w:t> </w:t>
      </w:r>
      <w:r>
        <w:rPr>
          <w:rStyle w:val="Appelnotedebasdep"/>
          <w:szCs w:val="24"/>
        </w:rPr>
        <w:footnoteReference w:id="6"/>
      </w:r>
      <w:r w:rsidRPr="00140BA8">
        <w:rPr>
          <w:szCs w:val="24"/>
        </w:rPr>
        <w:t>, il fallait au contraire falsifier la mémoire histor</w:t>
      </w:r>
      <w:r w:rsidRPr="00140BA8">
        <w:rPr>
          <w:szCs w:val="24"/>
        </w:rPr>
        <w:t>i</w:t>
      </w:r>
      <w:r w:rsidRPr="00140BA8">
        <w:rPr>
          <w:szCs w:val="24"/>
        </w:rPr>
        <w:t>que afin de légitimer le projet politique actuel du sioni</w:t>
      </w:r>
      <w:r w:rsidRPr="00140BA8">
        <w:rPr>
          <w:szCs w:val="24"/>
        </w:rPr>
        <w:t>s</w:t>
      </w:r>
      <w:r w:rsidRPr="00140BA8">
        <w:rPr>
          <w:szCs w:val="24"/>
        </w:rPr>
        <w:t>me. Mais le clivage entre les deux tendances historiographiques ne suit pas stri</w:t>
      </w:r>
      <w:r w:rsidRPr="00140BA8">
        <w:rPr>
          <w:szCs w:val="24"/>
        </w:rPr>
        <w:t>c</w:t>
      </w:r>
      <w:r w:rsidRPr="00140BA8">
        <w:rPr>
          <w:szCs w:val="24"/>
        </w:rPr>
        <w:t>tement les lignes idéologiques, et encore moins les lignes nationales ou et</w:t>
      </w:r>
      <w:r w:rsidRPr="00140BA8">
        <w:rPr>
          <w:szCs w:val="24"/>
        </w:rPr>
        <w:t>h</w:t>
      </w:r>
      <w:r w:rsidRPr="00140BA8">
        <w:rPr>
          <w:szCs w:val="24"/>
        </w:rPr>
        <w:t>niques. Car ceux qu'on appelle les « nouveaux historiens » israéliens, qu'ils soient sionistes co</w:t>
      </w:r>
      <w:r w:rsidRPr="00140BA8">
        <w:rPr>
          <w:szCs w:val="24"/>
        </w:rPr>
        <w:t>m</w:t>
      </w:r>
      <w:r w:rsidRPr="00140BA8">
        <w:rPr>
          <w:szCs w:val="24"/>
        </w:rPr>
        <w:t>me Benny Morris ou antisionistes comme Ilan Pappe et Avi Shlaim, invalident la règle. Leurs travaux confirment, dans les grandes lignes, le récit palestinien de l'expulsion de 1948, même si des différences existent sur des points spécifiques. Mais ces historiens restent minoritaires dans la société isra</w:t>
      </w:r>
      <w:r w:rsidRPr="00140BA8">
        <w:rPr>
          <w:szCs w:val="24"/>
        </w:rPr>
        <w:t>é</w:t>
      </w:r>
      <w:r w:rsidRPr="00140BA8">
        <w:rPr>
          <w:szCs w:val="24"/>
        </w:rPr>
        <w:t>lienne, et leur voix est complètement marginalisée dans la diaspora nord-américaine.</w:t>
      </w:r>
    </w:p>
    <w:p w:rsidR="004E7E9A" w:rsidRPr="00140BA8" w:rsidRDefault="004E7E9A" w:rsidP="004E7E9A">
      <w:pPr>
        <w:spacing w:before="120" w:after="120"/>
        <w:jc w:val="both"/>
      </w:pPr>
      <w:r w:rsidRPr="00140BA8">
        <w:rPr>
          <w:szCs w:val="24"/>
        </w:rPr>
        <w:t xml:space="preserve">Le travail de mémoire sera donc inévitablement </w:t>
      </w:r>
      <w:r>
        <w:rPr>
          <w:szCs w:val="24"/>
        </w:rPr>
        <w:t>—</w:t>
      </w:r>
      <w:r w:rsidRPr="00140BA8">
        <w:rPr>
          <w:szCs w:val="24"/>
        </w:rPr>
        <w:t xml:space="preserve"> et malheure</w:t>
      </w:r>
      <w:r w:rsidRPr="00140BA8">
        <w:rPr>
          <w:szCs w:val="24"/>
        </w:rPr>
        <w:t>u</w:t>
      </w:r>
      <w:r w:rsidRPr="00140BA8">
        <w:rPr>
          <w:szCs w:val="24"/>
        </w:rPr>
        <w:t xml:space="preserve">sement </w:t>
      </w:r>
      <w:r>
        <w:rPr>
          <w:szCs w:val="24"/>
        </w:rPr>
        <w:t>—</w:t>
      </w:r>
      <w:r w:rsidRPr="00140BA8">
        <w:rPr>
          <w:szCs w:val="24"/>
        </w:rPr>
        <w:t xml:space="preserve"> polémique et malaisé, puisque dans les milieux universita</w:t>
      </w:r>
      <w:r w:rsidRPr="00140BA8">
        <w:rPr>
          <w:szCs w:val="24"/>
        </w:rPr>
        <w:t>i</w:t>
      </w:r>
      <w:r w:rsidRPr="00140BA8">
        <w:rPr>
          <w:szCs w:val="24"/>
        </w:rPr>
        <w:t>res et plus généralement dans le paysage intellectuel occidental, des inte</w:t>
      </w:r>
      <w:r w:rsidRPr="00140BA8">
        <w:rPr>
          <w:szCs w:val="24"/>
        </w:rPr>
        <w:t>l</w:t>
      </w:r>
      <w:r w:rsidRPr="00140BA8">
        <w:rPr>
          <w:szCs w:val="24"/>
        </w:rPr>
        <w:t>lectuels, et non des moindres, appuient le projet colonial israélien et la dépossession des Palestiniens de leurs droits les plus fondame</w:t>
      </w:r>
      <w:r w:rsidRPr="00140BA8">
        <w:rPr>
          <w:szCs w:val="24"/>
        </w:rPr>
        <w:t>n</w:t>
      </w:r>
      <w:r w:rsidRPr="00140BA8">
        <w:rPr>
          <w:szCs w:val="24"/>
        </w:rPr>
        <w:t>taux. Cet appui prend précisément la forme de la fals</w:t>
      </w:r>
      <w:r w:rsidRPr="00140BA8">
        <w:rPr>
          <w:szCs w:val="24"/>
        </w:rPr>
        <w:t>i</w:t>
      </w:r>
      <w:r w:rsidRPr="00140BA8">
        <w:rPr>
          <w:szCs w:val="24"/>
        </w:rPr>
        <w:t>fication de la mémoire comme nous allons le voir plus loin.</w:t>
      </w:r>
    </w:p>
    <w:p w:rsidR="004E7E9A" w:rsidRPr="00140BA8" w:rsidRDefault="004E7E9A" w:rsidP="004E7E9A">
      <w:pPr>
        <w:spacing w:before="120" w:after="120"/>
        <w:jc w:val="both"/>
      </w:pPr>
      <w:r w:rsidRPr="00140BA8">
        <w:rPr>
          <w:szCs w:val="24"/>
        </w:rPr>
        <w:t>La mémoire de la destruction de la société palestinienne dans son environnement d'avant 1948 dépasse largement, dès lors, le cadre ac</w:t>
      </w:r>
      <w:r w:rsidRPr="00140BA8">
        <w:rPr>
          <w:szCs w:val="24"/>
        </w:rPr>
        <w:t>a</w:t>
      </w:r>
      <w:r w:rsidRPr="00140BA8">
        <w:rPr>
          <w:szCs w:val="24"/>
        </w:rPr>
        <w:t>démique, pour dev</w:t>
      </w:r>
      <w:r w:rsidRPr="00140BA8">
        <w:rPr>
          <w:szCs w:val="24"/>
        </w:rPr>
        <w:t>e</w:t>
      </w:r>
      <w:r w:rsidRPr="00140BA8">
        <w:rPr>
          <w:szCs w:val="24"/>
        </w:rPr>
        <w:t>nir un enjeu politique fondamental, et le lieu d'un combat âpre où les règles de l'éthique ne sont pas toujours respectées. En Occident, ce sont les rapports de force entre groupes sociaux qui ont permis à certains de dicter les termes du d</w:t>
      </w:r>
      <w:r w:rsidRPr="00140BA8">
        <w:rPr>
          <w:szCs w:val="24"/>
        </w:rPr>
        <w:t>é</w:t>
      </w:r>
      <w:r w:rsidRPr="00140BA8">
        <w:rPr>
          <w:szCs w:val="24"/>
        </w:rPr>
        <w:t>bat. Or c'est à l'éthique de la représentation historique qu'il faut revenir si l'on souhaite que ce débat se soustraie un tant soit peu aux déterminants politiques, et qu'il reflète la connaissance historique que l'on a à présent des événements de 1948 plutôt que le rapport de force entre, d'une part, ceux et celles qui appuient le projet colonial de prise de contrôle de la Palestine, et d'autre part, leurs vict</w:t>
      </w:r>
      <w:r w:rsidRPr="00140BA8">
        <w:rPr>
          <w:szCs w:val="24"/>
        </w:rPr>
        <w:t>i</w:t>
      </w:r>
      <w:r w:rsidRPr="00140BA8">
        <w:rPr>
          <w:szCs w:val="24"/>
        </w:rPr>
        <w:t>mes.</w:t>
      </w:r>
    </w:p>
    <w:p w:rsidR="004E7E9A" w:rsidRDefault="004E7E9A" w:rsidP="004E7E9A">
      <w:pPr>
        <w:spacing w:before="120" w:after="120"/>
        <w:jc w:val="both"/>
        <w:rPr>
          <w:szCs w:val="24"/>
        </w:rPr>
      </w:pPr>
      <w:r>
        <w:rPr>
          <w:szCs w:val="24"/>
        </w:rPr>
        <w:t>C'est dans cet</w:t>
      </w:r>
      <w:r w:rsidRPr="00140BA8">
        <w:rPr>
          <w:szCs w:val="24"/>
        </w:rPr>
        <w:t xml:space="preserve"> exercice périlleux que nous allons nous lancer, n'a</w:t>
      </w:r>
      <w:r w:rsidRPr="00140BA8">
        <w:rPr>
          <w:szCs w:val="24"/>
        </w:rPr>
        <w:t>p</w:t>
      </w:r>
      <w:r w:rsidRPr="00140BA8">
        <w:rPr>
          <w:szCs w:val="24"/>
        </w:rPr>
        <w:t>partenant ni à l'un ni à l'autre des deux groupes en présence.</w:t>
      </w:r>
    </w:p>
    <w:p w:rsidR="004E7E9A" w:rsidRDefault="004E7E9A" w:rsidP="004E7E9A">
      <w:pPr>
        <w:spacing w:before="120" w:after="120"/>
        <w:jc w:val="both"/>
        <w:rPr>
          <w:bCs/>
          <w:szCs w:val="24"/>
        </w:rPr>
      </w:pPr>
    </w:p>
    <w:p w:rsidR="004E7E9A" w:rsidRPr="00140BA8" w:rsidRDefault="004E7E9A" w:rsidP="004E7E9A">
      <w:pPr>
        <w:pStyle w:val="a"/>
      </w:pPr>
      <w:bookmarkStart w:id="3" w:name="Israel_devoir_memoire_deni_2"/>
      <w:r w:rsidRPr="00140BA8">
        <w:t>2. La mémoire des dominés</w:t>
      </w:r>
    </w:p>
    <w:bookmarkEnd w:id="3"/>
    <w:p w:rsidR="004E7E9A" w:rsidRDefault="004E7E9A" w:rsidP="004E7E9A">
      <w:pPr>
        <w:spacing w:before="120" w:after="120"/>
        <w:jc w:val="both"/>
        <w:rPr>
          <w:szCs w:val="24"/>
        </w:rPr>
      </w:pPr>
    </w:p>
    <w:p w:rsidR="004E7E9A" w:rsidRPr="00893DBF" w:rsidRDefault="004E7E9A" w:rsidP="004E7E9A">
      <w:pPr>
        <w:ind w:right="90" w:firstLine="0"/>
        <w:jc w:val="both"/>
        <w:rPr>
          <w:sz w:val="20"/>
        </w:rPr>
      </w:pPr>
      <w:hyperlink w:anchor="tdm" w:history="1">
        <w:r w:rsidRPr="00893DBF">
          <w:rPr>
            <w:rStyle w:val="Lienhypertexte"/>
            <w:sz w:val="20"/>
          </w:rPr>
          <w:t>Retour à la table des matières</w:t>
        </w:r>
      </w:hyperlink>
    </w:p>
    <w:p w:rsidR="004E7E9A" w:rsidRPr="00140BA8" w:rsidRDefault="004E7E9A" w:rsidP="004E7E9A">
      <w:pPr>
        <w:spacing w:before="120" w:after="120"/>
        <w:jc w:val="both"/>
      </w:pPr>
      <w:r w:rsidRPr="00140BA8">
        <w:rPr>
          <w:szCs w:val="24"/>
        </w:rPr>
        <w:t xml:space="preserve">La mémoire historique de la Palestine ne se réduit pas à la « catastrophe » de 1948, la </w:t>
      </w:r>
      <w:r w:rsidRPr="00140BA8">
        <w:rPr>
          <w:i/>
          <w:szCs w:val="24"/>
        </w:rPr>
        <w:t>naqba</w:t>
      </w:r>
      <w:r>
        <w:rPr>
          <w:szCs w:val="24"/>
        </w:rPr>
        <w:t> </w:t>
      </w:r>
      <w:r>
        <w:rPr>
          <w:rStyle w:val="Appelnotedebasdep"/>
          <w:szCs w:val="24"/>
        </w:rPr>
        <w:footnoteReference w:id="7"/>
      </w:r>
      <w:r w:rsidRPr="00140BA8">
        <w:rPr>
          <w:szCs w:val="24"/>
        </w:rPr>
        <w:t>. Le processus de destruction de la Palestine et de dépossession de ses habitants a commencé bien avant cet événement, et il se poursuit ju</w:t>
      </w:r>
      <w:r w:rsidRPr="00140BA8">
        <w:rPr>
          <w:szCs w:val="24"/>
        </w:rPr>
        <w:t>s</w:t>
      </w:r>
      <w:r w:rsidRPr="00140BA8">
        <w:rPr>
          <w:szCs w:val="24"/>
        </w:rPr>
        <w:t xml:space="preserve">qu'aujourd'hui. Mais l'expulsion des Palestiniens de leur terre en 1948 a été </w:t>
      </w:r>
      <w:r>
        <w:rPr>
          <w:szCs w:val="24"/>
        </w:rPr>
        <w:t>—</w:t>
      </w:r>
      <w:r w:rsidRPr="00140BA8">
        <w:rPr>
          <w:szCs w:val="24"/>
        </w:rPr>
        <w:t xml:space="preserve"> et continue à être </w:t>
      </w:r>
      <w:r>
        <w:rPr>
          <w:szCs w:val="24"/>
        </w:rPr>
        <w:t>—</w:t>
      </w:r>
      <w:r w:rsidRPr="00140BA8">
        <w:rPr>
          <w:szCs w:val="24"/>
        </w:rPr>
        <w:t xml:space="preserve"> un év</w:t>
      </w:r>
      <w:r w:rsidRPr="00140BA8">
        <w:rPr>
          <w:szCs w:val="24"/>
        </w:rPr>
        <w:t>é</w:t>
      </w:r>
      <w:r w:rsidRPr="00140BA8">
        <w:rPr>
          <w:szCs w:val="24"/>
        </w:rPr>
        <w:t>nement historique majeur et traumatisant pour ceux et celles qui l'ont vécu et pour leurs descendants. C'est l'ensemble du projet pale</w:t>
      </w:r>
      <w:r w:rsidRPr="00140BA8">
        <w:rPr>
          <w:szCs w:val="24"/>
        </w:rPr>
        <w:t>s</w:t>
      </w:r>
      <w:r w:rsidRPr="00140BA8">
        <w:rPr>
          <w:szCs w:val="24"/>
        </w:rPr>
        <w:t>tinien contemporain d'édification nationale qui a alors été détruit. L'i</w:t>
      </w:r>
      <w:r w:rsidRPr="00140BA8">
        <w:rPr>
          <w:szCs w:val="24"/>
        </w:rPr>
        <w:t>n</w:t>
      </w:r>
      <w:r w:rsidRPr="00140BA8">
        <w:rPr>
          <w:szCs w:val="24"/>
        </w:rPr>
        <w:t>terprétation de cet événement joue un rôle majeur dans le renvers</w:t>
      </w:r>
      <w:r w:rsidRPr="00140BA8">
        <w:rPr>
          <w:szCs w:val="24"/>
        </w:rPr>
        <w:t>e</w:t>
      </w:r>
      <w:r w:rsidRPr="00140BA8">
        <w:rPr>
          <w:szCs w:val="24"/>
        </w:rPr>
        <w:t>ment du rapport agresseur/victime dans l'opinion publique occident</w:t>
      </w:r>
      <w:r w:rsidRPr="00140BA8">
        <w:rPr>
          <w:szCs w:val="24"/>
        </w:rPr>
        <w:t>a</w:t>
      </w:r>
      <w:r w:rsidRPr="00140BA8">
        <w:rPr>
          <w:szCs w:val="24"/>
        </w:rPr>
        <w:t>le. Car pendant près de qu</w:t>
      </w:r>
      <w:r w:rsidRPr="00140BA8">
        <w:rPr>
          <w:szCs w:val="24"/>
        </w:rPr>
        <w:t>a</w:t>
      </w:r>
      <w:r w:rsidRPr="00140BA8">
        <w:rPr>
          <w:szCs w:val="24"/>
        </w:rPr>
        <w:t>rante ans, le récit de cette destruction a été nié en Occident. Des études série</w:t>
      </w:r>
      <w:r w:rsidRPr="00140BA8">
        <w:rPr>
          <w:szCs w:val="24"/>
        </w:rPr>
        <w:t>u</w:t>
      </w:r>
      <w:r w:rsidRPr="00140BA8">
        <w:rPr>
          <w:szCs w:val="24"/>
        </w:rPr>
        <w:t xml:space="preserve">ses, écrites dans les trois décennies qui on suivi la </w:t>
      </w:r>
      <w:r w:rsidRPr="00140BA8">
        <w:rPr>
          <w:i/>
          <w:szCs w:val="24"/>
        </w:rPr>
        <w:t>naqba</w:t>
      </w:r>
      <w:r w:rsidRPr="00140BA8">
        <w:rPr>
          <w:szCs w:val="24"/>
        </w:rPr>
        <w:t xml:space="preserve"> existent cependant. Certaines ont été écrites en langue arabe et n'ont jamais été traduites, telle l'œuvre fort détaillée, en plusieurs volumes, de Arif Al-Arif</w:t>
      </w:r>
      <w:r>
        <w:rPr>
          <w:szCs w:val="24"/>
        </w:rPr>
        <w:t>  </w:t>
      </w:r>
      <w:r>
        <w:rPr>
          <w:rStyle w:val="Appelnotedebasdep"/>
          <w:szCs w:val="24"/>
        </w:rPr>
        <w:footnoteReference w:id="8"/>
      </w:r>
      <w:r w:rsidRPr="00140BA8">
        <w:rPr>
          <w:szCs w:val="24"/>
        </w:rPr>
        <w:t>. Des études en langue angla</w:t>
      </w:r>
      <w:r w:rsidRPr="00140BA8">
        <w:rPr>
          <w:szCs w:val="24"/>
        </w:rPr>
        <w:t>i</w:t>
      </w:r>
      <w:r w:rsidRPr="00140BA8">
        <w:rPr>
          <w:szCs w:val="24"/>
        </w:rPr>
        <w:t>se existent aussi, telles celles de Walid Khalidi</w:t>
      </w:r>
      <w:r>
        <w:rPr>
          <w:szCs w:val="24"/>
        </w:rPr>
        <w:t> </w:t>
      </w:r>
      <w:r>
        <w:rPr>
          <w:rStyle w:val="Appelnotedebasdep"/>
          <w:szCs w:val="24"/>
        </w:rPr>
        <w:footnoteReference w:id="9"/>
      </w:r>
      <w:r w:rsidRPr="00140BA8">
        <w:rPr>
          <w:szCs w:val="24"/>
        </w:rPr>
        <w:t xml:space="preserve"> et celles de Nafez Na</w:t>
      </w:r>
      <w:r w:rsidRPr="00140BA8">
        <w:rPr>
          <w:szCs w:val="24"/>
        </w:rPr>
        <w:t>z</w:t>
      </w:r>
      <w:r w:rsidRPr="00140BA8">
        <w:rPr>
          <w:szCs w:val="24"/>
        </w:rPr>
        <w:t>zal</w:t>
      </w:r>
      <w:r>
        <w:rPr>
          <w:szCs w:val="24"/>
        </w:rPr>
        <w:t> </w:t>
      </w:r>
      <w:r>
        <w:rPr>
          <w:rStyle w:val="Appelnotedebasdep"/>
          <w:szCs w:val="24"/>
        </w:rPr>
        <w:footnoteReference w:id="10"/>
      </w:r>
      <w:r w:rsidRPr="00140BA8">
        <w:rPr>
          <w:szCs w:val="24"/>
        </w:rPr>
        <w:t>, toutes publiées avant l'émergence de ce qu'on appelle « les nouveaux historiens » israéliens, mais elles ont été ignorées des ce</w:t>
      </w:r>
      <w:r w:rsidRPr="00140BA8">
        <w:rPr>
          <w:szCs w:val="24"/>
        </w:rPr>
        <w:t>r</w:t>
      </w:r>
      <w:r w:rsidRPr="00140BA8">
        <w:rPr>
          <w:szCs w:val="24"/>
        </w:rPr>
        <w:t>cles universitaires occ</w:t>
      </w:r>
      <w:r w:rsidRPr="00140BA8">
        <w:rPr>
          <w:szCs w:val="24"/>
        </w:rPr>
        <w:t>i</w:t>
      </w:r>
      <w:r w:rsidRPr="00140BA8">
        <w:rPr>
          <w:szCs w:val="24"/>
        </w:rPr>
        <w:t>dentaux.</w:t>
      </w:r>
    </w:p>
    <w:p w:rsidR="004E7E9A" w:rsidRPr="00140BA8" w:rsidRDefault="004E7E9A" w:rsidP="004E7E9A">
      <w:pPr>
        <w:spacing w:before="120" w:after="120"/>
        <w:jc w:val="both"/>
      </w:pPr>
      <w:r w:rsidRPr="00140BA8">
        <w:rPr>
          <w:szCs w:val="24"/>
        </w:rPr>
        <w:t>La mémoire de l'expulsion a aussi pris la forme de romans et d'œ</w:t>
      </w:r>
      <w:r w:rsidRPr="00140BA8">
        <w:rPr>
          <w:szCs w:val="24"/>
        </w:rPr>
        <w:t>u</w:t>
      </w:r>
      <w:r w:rsidRPr="00140BA8">
        <w:rPr>
          <w:szCs w:val="24"/>
        </w:rPr>
        <w:t>vres littéraires. Les œuvres de Ghassan Kanafani, Elias Khouri, Ma</w:t>
      </w:r>
      <w:r w:rsidRPr="00140BA8">
        <w:rPr>
          <w:szCs w:val="24"/>
        </w:rPr>
        <w:t>h</w:t>
      </w:r>
      <w:r w:rsidRPr="00140BA8">
        <w:rPr>
          <w:szCs w:val="24"/>
        </w:rPr>
        <w:t>moud Darwish et d'autres ont gravé dans les mémoires des lecteurs les images de l'expulsion de 1948. Mais c'est aussi dans le quotidien, à travers les familles et les écoles, que la mémoire de 1948 a été tran</w:t>
      </w:r>
      <w:r w:rsidRPr="00140BA8">
        <w:rPr>
          <w:szCs w:val="24"/>
        </w:rPr>
        <w:t>s</w:t>
      </w:r>
      <w:r w:rsidRPr="00140BA8">
        <w:rPr>
          <w:szCs w:val="24"/>
        </w:rPr>
        <w:t>mise aux générations actuelles de Palestiniens et de Palest</w:t>
      </w:r>
      <w:r w:rsidRPr="00140BA8">
        <w:rPr>
          <w:szCs w:val="24"/>
        </w:rPr>
        <w:t>i</w:t>
      </w:r>
      <w:r w:rsidRPr="00140BA8">
        <w:rPr>
          <w:szCs w:val="24"/>
        </w:rPr>
        <w:t>niennes, mémoire soutenue par le vécu diasporique des Palestiniens. On ne peut pas oublier l'expulsion quand, plus de cinquante ans après la trag</w:t>
      </w:r>
      <w:r w:rsidRPr="00140BA8">
        <w:rPr>
          <w:szCs w:val="24"/>
        </w:rPr>
        <w:t>é</w:t>
      </w:r>
      <w:r w:rsidRPr="00140BA8">
        <w:rPr>
          <w:szCs w:val="24"/>
        </w:rPr>
        <w:t>die, la société palestinienne est toujours sous tutelle, marginalisée, et sans inst</w:t>
      </w:r>
      <w:r w:rsidRPr="00140BA8">
        <w:rPr>
          <w:szCs w:val="24"/>
        </w:rPr>
        <w:t>i</w:t>
      </w:r>
      <w:r w:rsidRPr="00140BA8">
        <w:rPr>
          <w:szCs w:val="24"/>
        </w:rPr>
        <w:t>tutions étatiques viables et indépendantes.</w:t>
      </w:r>
    </w:p>
    <w:p w:rsidR="004E7E9A" w:rsidRPr="00140BA8" w:rsidRDefault="004E7E9A" w:rsidP="004E7E9A">
      <w:pPr>
        <w:spacing w:before="120" w:after="120"/>
        <w:jc w:val="both"/>
      </w:pPr>
      <w:r w:rsidRPr="00140BA8">
        <w:rPr>
          <w:szCs w:val="24"/>
        </w:rPr>
        <w:t>Plus récemment, des efforts systématiques ont été déployés pour rétablir et p</w:t>
      </w:r>
      <w:r w:rsidRPr="00140BA8">
        <w:rPr>
          <w:szCs w:val="24"/>
        </w:rPr>
        <w:t>o</w:t>
      </w:r>
      <w:r w:rsidRPr="00140BA8">
        <w:rPr>
          <w:szCs w:val="24"/>
        </w:rPr>
        <w:t>pulariser la mémoire historique des événements de la naqba</w:t>
      </w:r>
      <w:r>
        <w:rPr>
          <w:szCs w:val="24"/>
        </w:rPr>
        <w:t> </w:t>
      </w:r>
      <w:r>
        <w:rPr>
          <w:rStyle w:val="Appelnotedebasdep"/>
          <w:szCs w:val="24"/>
        </w:rPr>
        <w:footnoteReference w:id="11"/>
      </w:r>
      <w:r w:rsidRPr="00140BA8">
        <w:rPr>
          <w:szCs w:val="24"/>
        </w:rPr>
        <w:t>. Entrepris par des P</w:t>
      </w:r>
      <w:r w:rsidRPr="00140BA8">
        <w:rPr>
          <w:szCs w:val="24"/>
        </w:rPr>
        <w:t>a</w:t>
      </w:r>
      <w:r w:rsidRPr="00140BA8">
        <w:rPr>
          <w:szCs w:val="24"/>
        </w:rPr>
        <w:t>lestiniens et par quelques rares israéliens qui travaillent en solidarité avec eux, ces efforts ont pris la forme de sites Internet, de collecte de témoignages de survivants et de re-constitution d'archives, puisque une partie importante des archives palest</w:t>
      </w:r>
      <w:r w:rsidRPr="00140BA8">
        <w:rPr>
          <w:szCs w:val="24"/>
        </w:rPr>
        <w:t>i</w:t>
      </w:r>
      <w:r w:rsidRPr="00140BA8">
        <w:rPr>
          <w:szCs w:val="24"/>
        </w:rPr>
        <w:t>niennes a été détruite lors de l'invasion de Beyrouth par l'armée israélienne en 1982.</w:t>
      </w:r>
    </w:p>
    <w:p w:rsidR="004E7E9A" w:rsidRPr="00140BA8" w:rsidRDefault="004E7E9A" w:rsidP="004E7E9A">
      <w:pPr>
        <w:spacing w:before="120" w:after="120"/>
        <w:jc w:val="both"/>
      </w:pPr>
      <w:r w:rsidRPr="00140BA8">
        <w:rPr>
          <w:szCs w:val="24"/>
        </w:rPr>
        <w:t>Les témoignages oraux ainsi que les travaux des historiens palest</w:t>
      </w:r>
      <w:r w:rsidRPr="00140BA8">
        <w:rPr>
          <w:szCs w:val="24"/>
        </w:rPr>
        <w:t>i</w:t>
      </w:r>
      <w:r w:rsidRPr="00140BA8">
        <w:rPr>
          <w:szCs w:val="24"/>
        </w:rPr>
        <w:t>niens avaient établi la réalité historique des expulsions qui ont eu lieu en 1948, et des massacres qui les ont accompagnées. Mais il a fallu attendre les travaux de l'hi</w:t>
      </w:r>
      <w:r w:rsidRPr="00140BA8">
        <w:rPr>
          <w:szCs w:val="24"/>
        </w:rPr>
        <w:t>s</w:t>
      </w:r>
      <w:r w:rsidRPr="00140BA8">
        <w:rPr>
          <w:szCs w:val="24"/>
        </w:rPr>
        <w:t xml:space="preserve">torien israélien Benny Morris </w:t>
      </w:r>
      <w:r>
        <w:rPr>
          <w:szCs w:val="24"/>
        </w:rPr>
        <w:t>—</w:t>
      </w:r>
      <w:r w:rsidRPr="00140BA8">
        <w:rPr>
          <w:szCs w:val="24"/>
        </w:rPr>
        <w:t xml:space="preserve">colonialisme oblige </w:t>
      </w:r>
      <w:r>
        <w:rPr>
          <w:szCs w:val="24"/>
        </w:rPr>
        <w:t>—</w:t>
      </w:r>
      <w:r w:rsidRPr="00140BA8">
        <w:rPr>
          <w:szCs w:val="24"/>
        </w:rPr>
        <w:t xml:space="preserve"> pour que la narration pale</w:t>
      </w:r>
      <w:r w:rsidRPr="00140BA8">
        <w:rPr>
          <w:szCs w:val="24"/>
        </w:rPr>
        <w:t>s</w:t>
      </w:r>
      <w:r w:rsidRPr="00140BA8">
        <w:rPr>
          <w:szCs w:val="24"/>
        </w:rPr>
        <w:t>tinienne soit prise au sérieux en Israël et dans les universités occidentales, et pour qu'une partie de l'intelligentsia en Israël admette enfin l'ampleur du désa</w:t>
      </w:r>
      <w:r w:rsidRPr="00140BA8">
        <w:rPr>
          <w:szCs w:val="24"/>
        </w:rPr>
        <w:t>s</w:t>
      </w:r>
      <w:r w:rsidRPr="00140BA8">
        <w:rPr>
          <w:szCs w:val="24"/>
        </w:rPr>
        <w:t>tre que cette expulsion a entraîné</w:t>
      </w:r>
      <w:r>
        <w:rPr>
          <w:szCs w:val="24"/>
        </w:rPr>
        <w:t> </w:t>
      </w:r>
      <w:r>
        <w:rPr>
          <w:rStyle w:val="Appelnotedebasdep"/>
          <w:szCs w:val="24"/>
        </w:rPr>
        <w:footnoteReference w:id="12"/>
      </w:r>
      <w:r w:rsidRPr="00140BA8">
        <w:rPr>
          <w:szCs w:val="24"/>
        </w:rPr>
        <w:t>. Morris et ses successeurs - plus e</w:t>
      </w:r>
      <w:r w:rsidRPr="00140BA8">
        <w:rPr>
          <w:szCs w:val="24"/>
        </w:rPr>
        <w:t>m</w:t>
      </w:r>
      <w:r w:rsidRPr="00140BA8">
        <w:rPr>
          <w:szCs w:val="24"/>
        </w:rPr>
        <w:t>phatiques envers</w:t>
      </w:r>
      <w:r>
        <w:rPr>
          <w:szCs w:val="24"/>
        </w:rPr>
        <w:t xml:space="preserve"> </w:t>
      </w:r>
      <w:r w:rsidRPr="00140BA8">
        <w:rPr>
          <w:szCs w:val="22"/>
        </w:rPr>
        <w:t xml:space="preserve">les Palestiniens que ne l'a été Morris lui-même </w:t>
      </w:r>
      <w:r>
        <w:rPr>
          <w:szCs w:val="22"/>
        </w:rPr>
        <w:t>—</w:t>
      </w:r>
      <w:r w:rsidRPr="00140BA8">
        <w:rPr>
          <w:szCs w:val="22"/>
        </w:rPr>
        <w:t xml:space="preserve"> ont analysé les processus par lesquels la population palestinienne a été chassée vi</w:t>
      </w:r>
      <w:r w:rsidRPr="00140BA8">
        <w:rPr>
          <w:szCs w:val="22"/>
        </w:rPr>
        <w:t>o</w:t>
      </w:r>
      <w:r w:rsidRPr="00140BA8">
        <w:rPr>
          <w:szCs w:val="22"/>
        </w:rPr>
        <w:t>lemment de son territoire et dépossédée de son passé, de ses biens, et de son futur sur ce territoire</w:t>
      </w:r>
      <w:r>
        <w:rPr>
          <w:szCs w:val="22"/>
        </w:rPr>
        <w:t> </w:t>
      </w:r>
      <w:r>
        <w:rPr>
          <w:rStyle w:val="Appelnotedebasdep"/>
          <w:szCs w:val="22"/>
        </w:rPr>
        <w:footnoteReference w:id="13"/>
      </w:r>
      <w:r w:rsidRPr="00140BA8">
        <w:rPr>
          <w:szCs w:val="22"/>
        </w:rPr>
        <w:t>. Ils ont surtout démontré la réalité e</w:t>
      </w:r>
      <w:r w:rsidRPr="00140BA8">
        <w:rPr>
          <w:szCs w:val="22"/>
        </w:rPr>
        <w:t>m</w:t>
      </w:r>
      <w:r w:rsidRPr="00140BA8">
        <w:rPr>
          <w:szCs w:val="22"/>
        </w:rPr>
        <w:t>pirique de cette dépossession. Mais si les travaux de ces « nouveaux historiens » israéliens sont connus dans les milieux ac</w:t>
      </w:r>
      <w:r w:rsidRPr="00140BA8">
        <w:rPr>
          <w:szCs w:val="22"/>
        </w:rPr>
        <w:t>a</w:t>
      </w:r>
      <w:r w:rsidRPr="00140BA8">
        <w:rPr>
          <w:szCs w:val="22"/>
        </w:rPr>
        <w:t>démiques, ils sont encore ignorés dans celui des politiciens et des éd</w:t>
      </w:r>
      <w:r w:rsidRPr="00140BA8">
        <w:rPr>
          <w:szCs w:val="22"/>
        </w:rPr>
        <w:t>i</w:t>
      </w:r>
      <w:r w:rsidRPr="00140BA8">
        <w:rPr>
          <w:szCs w:val="22"/>
        </w:rPr>
        <w:t>torialistes en Occ</w:t>
      </w:r>
      <w:r w:rsidRPr="00140BA8">
        <w:rPr>
          <w:szCs w:val="22"/>
        </w:rPr>
        <w:t>i</w:t>
      </w:r>
      <w:r w:rsidRPr="00140BA8">
        <w:rPr>
          <w:szCs w:val="22"/>
        </w:rPr>
        <w:t>dent, par lesquels l'opinion publique devient visible et qu'elle a un impact sur les prises de position officielles des gouve</w:t>
      </w:r>
      <w:r w:rsidRPr="00140BA8">
        <w:rPr>
          <w:szCs w:val="22"/>
        </w:rPr>
        <w:t>r</w:t>
      </w:r>
      <w:r w:rsidRPr="00140BA8">
        <w:rPr>
          <w:szCs w:val="22"/>
        </w:rPr>
        <w:t>nements. Surtout, ces travaux font l'objet d'un dénigrement systémat</w:t>
      </w:r>
      <w:r w:rsidRPr="00140BA8">
        <w:rPr>
          <w:szCs w:val="22"/>
        </w:rPr>
        <w:t>i</w:t>
      </w:r>
      <w:r w:rsidRPr="00140BA8">
        <w:rPr>
          <w:szCs w:val="22"/>
        </w:rPr>
        <w:t>que par les tendances dominantes en Israël et par ceux et celles qui les a</w:t>
      </w:r>
      <w:r w:rsidRPr="00140BA8">
        <w:rPr>
          <w:szCs w:val="22"/>
        </w:rPr>
        <w:t>p</w:t>
      </w:r>
      <w:r w:rsidRPr="00140BA8">
        <w:rPr>
          <w:szCs w:val="22"/>
        </w:rPr>
        <w:t>puient</w:t>
      </w:r>
      <w:r>
        <w:rPr>
          <w:szCs w:val="22"/>
        </w:rPr>
        <w:t> </w:t>
      </w:r>
      <w:r>
        <w:rPr>
          <w:rStyle w:val="Appelnotedebasdep"/>
          <w:szCs w:val="22"/>
        </w:rPr>
        <w:footnoteReference w:id="14"/>
      </w:r>
      <w:r>
        <w:rPr>
          <w:szCs w:val="22"/>
        </w:rPr>
        <w:t>.</w:t>
      </w:r>
    </w:p>
    <w:p w:rsidR="004E7E9A" w:rsidRPr="00140BA8" w:rsidRDefault="004E7E9A" w:rsidP="004E7E9A">
      <w:pPr>
        <w:spacing w:before="120" w:after="120"/>
        <w:jc w:val="both"/>
      </w:pPr>
      <w:r w:rsidRPr="00140BA8">
        <w:rPr>
          <w:szCs w:val="22"/>
        </w:rPr>
        <w:t>Il faut souligner ici que l'étendue des politiques d'expulsion de paysans p</w:t>
      </w:r>
      <w:r w:rsidRPr="00140BA8">
        <w:rPr>
          <w:szCs w:val="22"/>
        </w:rPr>
        <w:t>a</w:t>
      </w:r>
      <w:r w:rsidRPr="00140BA8">
        <w:rPr>
          <w:szCs w:val="22"/>
        </w:rPr>
        <w:t>lestiniens et des massacres qui ont eu lieu alors, ainsi que leur caractère (systématique ou non) ne font pas l'objet d'un conse</w:t>
      </w:r>
      <w:r w:rsidRPr="00140BA8">
        <w:rPr>
          <w:szCs w:val="22"/>
        </w:rPr>
        <w:t>n</w:t>
      </w:r>
      <w:r w:rsidRPr="00140BA8">
        <w:rPr>
          <w:szCs w:val="22"/>
        </w:rPr>
        <w:t>sus. Les historiens sionistes, incluant Morris, ont tendance à les min</w:t>
      </w:r>
      <w:r w:rsidRPr="00140BA8">
        <w:rPr>
          <w:szCs w:val="22"/>
        </w:rPr>
        <w:t>i</w:t>
      </w:r>
      <w:r w:rsidRPr="00140BA8">
        <w:rPr>
          <w:szCs w:val="22"/>
        </w:rPr>
        <w:t>miser, alors que les historiens palestiniens, ainsi que les nouveaux hi</w:t>
      </w:r>
      <w:r w:rsidRPr="00140BA8">
        <w:rPr>
          <w:szCs w:val="22"/>
        </w:rPr>
        <w:t>s</w:t>
      </w:r>
      <w:r w:rsidRPr="00140BA8">
        <w:rPr>
          <w:szCs w:val="22"/>
        </w:rPr>
        <w:t>toriens israéliens non-sionistes ou antisionistes se sont fait un devoir de les documenter, et d'établir leur réalité empirique. Ce qui se</w:t>
      </w:r>
      <w:r w:rsidRPr="00140BA8">
        <w:rPr>
          <w:szCs w:val="22"/>
        </w:rPr>
        <w:t>m</w:t>
      </w:r>
      <w:r w:rsidRPr="00140BA8">
        <w:rPr>
          <w:szCs w:val="22"/>
        </w:rPr>
        <w:t>ble être établi de façon certaine, c'est que de tels massacres ont eu lieu, qu'ils ont été bien plus fréquents que la version officielle israélienne ne le reconnaît, et que les tentatives de les établir comme faits histor</w:t>
      </w:r>
      <w:r w:rsidRPr="00140BA8">
        <w:rPr>
          <w:szCs w:val="22"/>
        </w:rPr>
        <w:t>i</w:t>
      </w:r>
      <w:r w:rsidRPr="00140BA8">
        <w:rPr>
          <w:szCs w:val="22"/>
        </w:rPr>
        <w:t>ques ou de les faire connaître ont valu à leurs auteurs opprobre et sanctions.</w:t>
      </w:r>
    </w:p>
    <w:p w:rsidR="004E7E9A" w:rsidRPr="00140BA8" w:rsidRDefault="004E7E9A" w:rsidP="004E7E9A">
      <w:pPr>
        <w:spacing w:before="120" w:after="120"/>
        <w:jc w:val="both"/>
      </w:pPr>
      <w:r w:rsidRPr="00140BA8">
        <w:rPr>
          <w:szCs w:val="22"/>
        </w:rPr>
        <w:t xml:space="preserve">Morris lui-même avait sous-estimé le caractère systématique des expulsions et l'occurrence des massacres, mais il s'est partiellement rattrapé par la suite. Dans un ouvrage intitulé </w:t>
      </w:r>
      <w:r w:rsidRPr="00140BA8">
        <w:rPr>
          <w:i/>
          <w:szCs w:val="22"/>
        </w:rPr>
        <w:t xml:space="preserve">Correcting a </w:t>
      </w:r>
      <w:r w:rsidRPr="00752639">
        <w:rPr>
          <w:i/>
          <w:szCs w:val="22"/>
        </w:rPr>
        <w:t>Mistake </w:t>
      </w:r>
      <w:r>
        <w:rPr>
          <w:rStyle w:val="Appelnotedebasdep"/>
          <w:szCs w:val="22"/>
        </w:rPr>
        <w:footnoteReference w:id="15"/>
      </w:r>
      <w:r w:rsidRPr="00140BA8">
        <w:rPr>
          <w:szCs w:val="22"/>
        </w:rPr>
        <w:t>, il revient entre autres sur l'op</w:t>
      </w:r>
      <w:r w:rsidRPr="00140BA8">
        <w:rPr>
          <w:szCs w:val="22"/>
        </w:rPr>
        <w:t>é</w:t>
      </w:r>
      <w:r w:rsidRPr="00140BA8">
        <w:rPr>
          <w:szCs w:val="22"/>
        </w:rPr>
        <w:t>ration Hiram, durant laquelle la Galilée a été presque vidée de ses habitants ar</w:t>
      </w:r>
      <w:r w:rsidRPr="00140BA8">
        <w:rPr>
          <w:szCs w:val="22"/>
        </w:rPr>
        <w:t>a</w:t>
      </w:r>
      <w:r w:rsidRPr="00140BA8">
        <w:rPr>
          <w:szCs w:val="22"/>
        </w:rPr>
        <w:t>bes, pour souligner qu'il avait bel et bien trouvé des ordres explicites, dans les archives de l'armée israélienne, ordonnant aux officiers de vider la Galilée de ses hab</w:t>
      </w:r>
      <w:r w:rsidRPr="00140BA8">
        <w:rPr>
          <w:szCs w:val="22"/>
        </w:rPr>
        <w:t>i</w:t>
      </w:r>
      <w:r w:rsidRPr="00140BA8">
        <w:rPr>
          <w:szCs w:val="22"/>
        </w:rPr>
        <w:t>tants. Cet ouvrage confirme que le processus d'expulsion a été plus systém</w:t>
      </w:r>
      <w:r w:rsidRPr="00140BA8">
        <w:rPr>
          <w:szCs w:val="22"/>
        </w:rPr>
        <w:t>a</w:t>
      </w:r>
      <w:r w:rsidRPr="00140BA8">
        <w:rPr>
          <w:szCs w:val="22"/>
        </w:rPr>
        <w:t>tique que Morris ne le croyait auparavant. Dans une entrevue accordée à Haaretz en janvier 2004, Morris affirme :</w:t>
      </w:r>
    </w:p>
    <w:p w:rsidR="004E7E9A" w:rsidRDefault="004E7E9A" w:rsidP="004E7E9A">
      <w:pPr>
        <w:pStyle w:val="Citationi"/>
        <w:spacing w:before="120" w:after="120"/>
      </w:pPr>
    </w:p>
    <w:p w:rsidR="004E7E9A" w:rsidRDefault="004E7E9A" w:rsidP="004E7E9A">
      <w:pPr>
        <w:pStyle w:val="Citationi"/>
        <w:spacing w:before="120" w:after="120"/>
      </w:pPr>
      <w:r w:rsidRPr="00762E5D">
        <w:t>What the new material shows is that there were far more Israeli acts of massacre than I had previously thought. To my surprise, there were also many cases of rape. In the months of April-May 1948, units of the Hag</w:t>
      </w:r>
      <w:r w:rsidRPr="00762E5D">
        <w:t>a</w:t>
      </w:r>
      <w:r w:rsidRPr="00762E5D">
        <w:t>nah [the pre-state defense force that was the precursor of the IDF] were given operational orders that stated explicitly that they were to uproot the villagers, expel them and destroy the villages themselves</w:t>
      </w:r>
      <w:r w:rsidRPr="00140BA8">
        <w:t>.</w:t>
      </w:r>
      <w:r>
        <w:t> </w:t>
      </w:r>
      <w:r w:rsidRPr="00762E5D">
        <w:rPr>
          <w:rStyle w:val="Appelnotedebasdep"/>
          <w:i w:val="0"/>
          <w:szCs w:val="22"/>
        </w:rPr>
        <w:footnoteReference w:id="16"/>
      </w:r>
    </w:p>
    <w:p w:rsidR="004E7E9A" w:rsidRPr="00140BA8" w:rsidRDefault="004E7E9A" w:rsidP="004E7E9A">
      <w:pPr>
        <w:pStyle w:val="Citationi"/>
        <w:spacing w:before="120" w:after="120"/>
      </w:pPr>
    </w:p>
    <w:p w:rsidR="004E7E9A" w:rsidRPr="00140BA8" w:rsidRDefault="004E7E9A" w:rsidP="004E7E9A">
      <w:pPr>
        <w:spacing w:before="120" w:after="120"/>
        <w:jc w:val="both"/>
      </w:pPr>
      <w:r w:rsidRPr="00140BA8">
        <w:rPr>
          <w:szCs w:val="22"/>
        </w:rPr>
        <w:t>Morris note aussi qu'après les violences, qu'il juge somme toute limitées et mineures par comparaison à d'autres conflits, une partie des leaders palestiniens a suggéré de mettre les femmes et les enfants à l'abri des combats, contribuant ainsi à l'exode. Mais il justifie ces e</w:t>
      </w:r>
      <w:r w:rsidRPr="00140BA8">
        <w:rPr>
          <w:szCs w:val="22"/>
        </w:rPr>
        <w:t>x</w:t>
      </w:r>
      <w:r w:rsidRPr="00140BA8">
        <w:rPr>
          <w:szCs w:val="22"/>
        </w:rPr>
        <w:t>pulsions :</w:t>
      </w:r>
    </w:p>
    <w:p w:rsidR="004E7E9A" w:rsidRDefault="004E7E9A" w:rsidP="004E7E9A">
      <w:pPr>
        <w:pStyle w:val="Citationi"/>
      </w:pPr>
    </w:p>
    <w:p w:rsidR="004E7E9A" w:rsidRDefault="004E7E9A" w:rsidP="004E7E9A">
      <w:pPr>
        <w:pStyle w:val="Citationi"/>
      </w:pPr>
      <w:r w:rsidRPr="00140BA8">
        <w:t>A Jewish state would not h</w:t>
      </w:r>
      <w:r>
        <w:t>ave com</w:t>
      </w:r>
      <w:r w:rsidRPr="00140BA8">
        <w:t>e into being without the upro</w:t>
      </w:r>
      <w:r w:rsidRPr="00140BA8">
        <w:t>o</w:t>
      </w:r>
      <w:r w:rsidRPr="00140BA8">
        <w:t>ting of 700,000 Palestinians. Therefore it was necessary to uproot them. There was no choice but to expel that population. It was nece</w:t>
      </w:r>
      <w:r w:rsidRPr="00140BA8">
        <w:t>s</w:t>
      </w:r>
      <w:r w:rsidRPr="00140BA8">
        <w:t>sary to cleanse the hinterland and cleanse the</w:t>
      </w:r>
      <w:r>
        <w:t xml:space="preserve"> </w:t>
      </w:r>
      <w:r w:rsidRPr="00140BA8">
        <w:t>border areas and cleanse the main roads. It was necessary to cleanse the villages from which our convoys and our se</w:t>
      </w:r>
      <w:r w:rsidRPr="00140BA8">
        <w:t>t</w:t>
      </w:r>
      <w:r w:rsidRPr="00140BA8">
        <w:t>tlements were</w:t>
      </w:r>
      <w:r>
        <w:t xml:space="preserve"> </w:t>
      </w:r>
      <w:r w:rsidRPr="00140BA8">
        <w:t>fired on. (</w:t>
      </w:r>
      <w:r w:rsidRPr="00AB381E">
        <w:t>Ibid</w:t>
      </w:r>
      <w:r w:rsidRPr="00140BA8">
        <w:t>.)</w:t>
      </w:r>
    </w:p>
    <w:p w:rsidR="004E7E9A" w:rsidRPr="00140BA8" w:rsidRDefault="004E7E9A" w:rsidP="004E7E9A">
      <w:pPr>
        <w:pStyle w:val="Citationi"/>
      </w:pPr>
    </w:p>
    <w:p w:rsidR="004E7E9A" w:rsidRPr="00140BA8" w:rsidRDefault="004E7E9A" w:rsidP="004E7E9A">
      <w:pPr>
        <w:spacing w:before="120" w:after="120"/>
        <w:jc w:val="both"/>
      </w:pPr>
      <w:r w:rsidRPr="00140BA8">
        <w:rPr>
          <w:szCs w:val="22"/>
        </w:rPr>
        <w:t>Le nettoyage ethnique (ce sont les termes de Morris) qui a eu lieu alors ne fait plus de doute. C'est sur le caractère systématique et pré-programmé de ces expulsions que Benny Morris d'une part, et Walid Khalidi, Nur Masalha et Norman Finkelstein d'autre part s'étaient a</w:t>
      </w:r>
      <w:r w:rsidRPr="00140BA8">
        <w:rPr>
          <w:szCs w:val="22"/>
        </w:rPr>
        <w:t>f</w:t>
      </w:r>
      <w:r w:rsidRPr="00140BA8">
        <w:rPr>
          <w:szCs w:val="22"/>
        </w:rPr>
        <w:t xml:space="preserve">frontés dans un numéro spécial du </w:t>
      </w:r>
      <w:r w:rsidRPr="00AB381E">
        <w:rPr>
          <w:i/>
          <w:szCs w:val="22"/>
        </w:rPr>
        <w:t>Journal of Palestine Studies</w:t>
      </w:r>
      <w:r w:rsidRPr="00140BA8">
        <w:rPr>
          <w:szCs w:val="22"/>
        </w:rPr>
        <w:t>, refl</w:t>
      </w:r>
      <w:r w:rsidRPr="00140BA8">
        <w:rPr>
          <w:szCs w:val="22"/>
        </w:rPr>
        <w:t>é</w:t>
      </w:r>
      <w:r w:rsidRPr="00140BA8">
        <w:rPr>
          <w:szCs w:val="22"/>
        </w:rPr>
        <w:t>tant le clivage plus large entre le récit officiel israélien des évén</w:t>
      </w:r>
      <w:r w:rsidRPr="00140BA8">
        <w:rPr>
          <w:szCs w:val="22"/>
        </w:rPr>
        <w:t>e</w:t>
      </w:r>
      <w:r w:rsidRPr="00140BA8">
        <w:rPr>
          <w:szCs w:val="22"/>
        </w:rPr>
        <w:t>ments et celui des Palestiniens</w:t>
      </w:r>
      <w:r>
        <w:rPr>
          <w:szCs w:val="22"/>
        </w:rPr>
        <w:t> </w:t>
      </w:r>
      <w:r>
        <w:rPr>
          <w:rStyle w:val="Appelnotedebasdep"/>
          <w:szCs w:val="22"/>
        </w:rPr>
        <w:footnoteReference w:id="17"/>
      </w:r>
      <w:r w:rsidRPr="00140BA8">
        <w:rPr>
          <w:szCs w:val="22"/>
        </w:rPr>
        <w:t>.</w:t>
      </w:r>
    </w:p>
    <w:p w:rsidR="004E7E9A" w:rsidRPr="00140BA8" w:rsidRDefault="004E7E9A" w:rsidP="004E7E9A">
      <w:pPr>
        <w:spacing w:before="120" w:after="120"/>
        <w:jc w:val="both"/>
      </w:pPr>
      <w:r w:rsidRPr="00140BA8">
        <w:rPr>
          <w:szCs w:val="22"/>
        </w:rPr>
        <w:t>Des études détaillées existent à présent qui recensent les noms des villages détruits, le nombre approximatif de leurs habitants, leur loc</w:t>
      </w:r>
      <w:r w:rsidRPr="00140BA8">
        <w:rPr>
          <w:szCs w:val="22"/>
        </w:rPr>
        <w:t>a</w:t>
      </w:r>
      <w:r w:rsidRPr="00140BA8">
        <w:rPr>
          <w:szCs w:val="22"/>
        </w:rPr>
        <w:t>tion précise, ainsi que les nouveaux noms attribués aux colonies isra</w:t>
      </w:r>
      <w:r w:rsidRPr="00140BA8">
        <w:rPr>
          <w:szCs w:val="22"/>
        </w:rPr>
        <w:t>é</w:t>
      </w:r>
      <w:r w:rsidRPr="00140BA8">
        <w:rPr>
          <w:szCs w:val="22"/>
        </w:rPr>
        <w:t>liennes qui ont été bâties à leur place ou sur leurs ruines</w:t>
      </w:r>
      <w:r>
        <w:rPr>
          <w:szCs w:val="22"/>
        </w:rPr>
        <w:t> </w:t>
      </w:r>
      <w:r>
        <w:rPr>
          <w:rStyle w:val="Appelnotedebasdep"/>
          <w:szCs w:val="22"/>
        </w:rPr>
        <w:footnoteReference w:id="18"/>
      </w:r>
      <w:r w:rsidRPr="00140BA8">
        <w:rPr>
          <w:szCs w:val="22"/>
        </w:rPr>
        <w:t>.</w:t>
      </w:r>
    </w:p>
    <w:p w:rsidR="004E7E9A" w:rsidRPr="00140BA8" w:rsidRDefault="004E7E9A" w:rsidP="004E7E9A">
      <w:pPr>
        <w:spacing w:before="120" w:after="120"/>
        <w:jc w:val="both"/>
      </w:pPr>
      <w:r w:rsidRPr="00140BA8">
        <w:rPr>
          <w:szCs w:val="22"/>
        </w:rPr>
        <w:t>Nous ne souhaitons pas refaire ici le débat entre les diverses te</w:t>
      </w:r>
      <w:r w:rsidRPr="00140BA8">
        <w:rPr>
          <w:szCs w:val="22"/>
        </w:rPr>
        <w:t>n</w:t>
      </w:r>
      <w:r w:rsidRPr="00140BA8">
        <w:rPr>
          <w:szCs w:val="22"/>
        </w:rPr>
        <w:t>dances hist</w:t>
      </w:r>
      <w:r w:rsidRPr="00140BA8">
        <w:rPr>
          <w:szCs w:val="22"/>
        </w:rPr>
        <w:t>o</w:t>
      </w:r>
      <w:r w:rsidRPr="00140BA8">
        <w:rPr>
          <w:szCs w:val="22"/>
        </w:rPr>
        <w:t>riographiques évoquées. Retenons simplement que, dans la version la plus fav</w:t>
      </w:r>
      <w:r w:rsidRPr="00140BA8">
        <w:rPr>
          <w:szCs w:val="22"/>
        </w:rPr>
        <w:t>o</w:t>
      </w:r>
      <w:r w:rsidRPr="00140BA8">
        <w:rPr>
          <w:szCs w:val="22"/>
        </w:rPr>
        <w:t>rable à Israël, l'expulsion a été massive, qu'elle a été la conséquence directe du projet sioniste, et qu'elle a été souvent - mais pas toujours - extrêmement violente. Dans la version plus crit</w:t>
      </w:r>
      <w:r w:rsidRPr="00140BA8">
        <w:rPr>
          <w:szCs w:val="22"/>
        </w:rPr>
        <w:t>i</w:t>
      </w:r>
      <w:r w:rsidRPr="00140BA8">
        <w:rPr>
          <w:szCs w:val="22"/>
        </w:rPr>
        <w:t>que, celle des historiens palestiniens et des « nouveaux historiens » israéliens, cette expulsion faisait partie d'un plan global étudié min</w:t>
      </w:r>
      <w:r w:rsidRPr="00140BA8">
        <w:rPr>
          <w:szCs w:val="22"/>
        </w:rPr>
        <w:t>u</w:t>
      </w:r>
      <w:r w:rsidRPr="00140BA8">
        <w:rPr>
          <w:szCs w:val="22"/>
        </w:rPr>
        <w:t>tieusement et mis à exécution de façon systématique.</w:t>
      </w:r>
    </w:p>
    <w:p w:rsidR="004E7E9A" w:rsidRPr="00140BA8" w:rsidRDefault="004E7E9A" w:rsidP="004E7E9A">
      <w:pPr>
        <w:spacing w:before="120" w:after="120"/>
        <w:jc w:val="both"/>
      </w:pPr>
      <w:r w:rsidRPr="00140BA8">
        <w:rPr>
          <w:szCs w:val="22"/>
        </w:rPr>
        <w:t>Dans les deux cas, la signification de ce débat entre la mémoire des dominés et celle des dominants va bien au-delà de la question des r</w:t>
      </w:r>
      <w:r w:rsidRPr="00140BA8">
        <w:rPr>
          <w:szCs w:val="22"/>
        </w:rPr>
        <w:t>é</w:t>
      </w:r>
      <w:r w:rsidRPr="00140BA8">
        <w:rPr>
          <w:szCs w:val="22"/>
        </w:rPr>
        <w:t>fugiés de 1948. Le sens profond de ce débat, c'est celui de la reco</w:t>
      </w:r>
      <w:r w:rsidRPr="00140BA8">
        <w:rPr>
          <w:szCs w:val="22"/>
        </w:rPr>
        <w:t>n</w:t>
      </w:r>
      <w:r w:rsidRPr="00140BA8">
        <w:rPr>
          <w:szCs w:val="22"/>
        </w:rPr>
        <w:t>naissance de l'injustice historique de 1948</w:t>
      </w:r>
      <w:r>
        <w:rPr>
          <w:szCs w:val="22"/>
        </w:rPr>
        <w:t> </w:t>
      </w:r>
      <w:r>
        <w:rPr>
          <w:rStyle w:val="Appelnotedebasdep"/>
          <w:szCs w:val="22"/>
        </w:rPr>
        <w:footnoteReference w:id="19"/>
      </w:r>
      <w:r w:rsidRPr="00140BA8">
        <w:rPr>
          <w:szCs w:val="22"/>
        </w:rPr>
        <w:t xml:space="preserve"> et des politiques d'occ</w:t>
      </w:r>
      <w:r w:rsidRPr="00140BA8">
        <w:rPr>
          <w:szCs w:val="22"/>
        </w:rPr>
        <w:t>u</w:t>
      </w:r>
      <w:r w:rsidRPr="00140BA8">
        <w:rPr>
          <w:szCs w:val="22"/>
        </w:rPr>
        <w:t>pation qui l'ont suivie, de la reconnaissa</w:t>
      </w:r>
      <w:r w:rsidRPr="00140BA8">
        <w:rPr>
          <w:szCs w:val="22"/>
        </w:rPr>
        <w:t>n</w:t>
      </w:r>
      <w:r w:rsidRPr="00140BA8">
        <w:rPr>
          <w:szCs w:val="22"/>
        </w:rPr>
        <w:t>ce de l'agression dont ont été victimes les Palestiniens et les Palestiniennes, au niveau individuel ainsi que collectivement. Pour la société israélienne, c'est bien d'un devoir de mémoire qu'il s'agit, dans son sens le plus profond. Et c'est bien de cela que James Ron parlait en relatant son expérience de jeune soldat isra</w:t>
      </w:r>
      <w:r w:rsidRPr="00140BA8">
        <w:rPr>
          <w:szCs w:val="22"/>
        </w:rPr>
        <w:t>é</w:t>
      </w:r>
      <w:r w:rsidRPr="00140BA8">
        <w:rPr>
          <w:szCs w:val="22"/>
        </w:rPr>
        <w:t>lien. Mettant la situation des réfugiés palestiniens au Liban dans le contexte de l'injustice subie par les Palestiniens depuis 1948, il écrit :</w:t>
      </w:r>
    </w:p>
    <w:p w:rsidR="004E7E9A" w:rsidRDefault="004E7E9A" w:rsidP="004E7E9A">
      <w:pPr>
        <w:pStyle w:val="Citationi"/>
      </w:pPr>
    </w:p>
    <w:p w:rsidR="004E7E9A" w:rsidRDefault="004E7E9A" w:rsidP="004E7E9A">
      <w:pPr>
        <w:pStyle w:val="Citationi"/>
      </w:pPr>
      <w:r>
        <w:t>I’ll</w:t>
      </w:r>
      <w:r w:rsidRPr="00140BA8">
        <w:t xml:space="preserve"> take a</w:t>
      </w:r>
      <w:r>
        <w:t xml:space="preserve"> </w:t>
      </w:r>
      <w:r w:rsidRPr="00140BA8">
        <w:t>first step by apologizing for my own misdeeds. (..) R</w:t>
      </w:r>
      <w:r>
        <w:t>e</w:t>
      </w:r>
      <w:r w:rsidRPr="00140BA8">
        <w:t>cent hist</w:t>
      </w:r>
      <w:r w:rsidRPr="00140BA8">
        <w:t>o</w:t>
      </w:r>
      <w:r w:rsidRPr="00140BA8">
        <w:t>ry suggests that political deals are not enough, and that truth-telling is v</w:t>
      </w:r>
      <w:r w:rsidRPr="00140BA8">
        <w:t>i</w:t>
      </w:r>
      <w:r w:rsidRPr="00140BA8">
        <w:t>tal. (...) If it wants to end this anger, Israël should recognize and compe</w:t>
      </w:r>
      <w:r w:rsidRPr="00140BA8">
        <w:t>n</w:t>
      </w:r>
      <w:r w:rsidRPr="00140BA8">
        <w:t>sate those it ha</w:t>
      </w:r>
      <w:r w:rsidRPr="00140BA8">
        <w:t>r</w:t>
      </w:r>
      <w:r w:rsidRPr="00140BA8">
        <w:t>med. If Israël will not do so on its own, the international community should pressure it to do so. If</w:t>
      </w:r>
      <w:r>
        <w:t xml:space="preserve"> </w:t>
      </w:r>
      <w:r w:rsidRPr="00140BA8">
        <w:t>other cou</w:t>
      </w:r>
      <w:r w:rsidRPr="00140BA8">
        <w:t>n</w:t>
      </w:r>
      <w:r w:rsidRPr="00140BA8">
        <w:t>tries can</w:t>
      </w:r>
      <w:r>
        <w:t xml:space="preserve"> </w:t>
      </w:r>
      <w:r w:rsidRPr="00140BA8">
        <w:t>face up to their unpleasant pasts, why not Israël ?</w:t>
      </w:r>
      <w:r>
        <w:t> </w:t>
      </w:r>
      <w:r w:rsidRPr="00762E5D">
        <w:rPr>
          <w:rStyle w:val="Appelnotedebasdep"/>
          <w:i w:val="0"/>
          <w:szCs w:val="22"/>
        </w:rPr>
        <w:footnoteReference w:id="20"/>
      </w:r>
    </w:p>
    <w:p w:rsidR="004E7E9A" w:rsidRPr="00140BA8" w:rsidRDefault="004E7E9A" w:rsidP="004E7E9A">
      <w:pPr>
        <w:pStyle w:val="Citationi"/>
      </w:pPr>
    </w:p>
    <w:p w:rsidR="004E7E9A" w:rsidRDefault="004E7E9A" w:rsidP="004E7E9A">
      <w:pPr>
        <w:spacing w:before="120" w:after="120"/>
        <w:jc w:val="both"/>
        <w:rPr>
          <w:szCs w:val="22"/>
        </w:rPr>
      </w:pPr>
      <w:r w:rsidRPr="00140BA8">
        <w:rPr>
          <w:szCs w:val="22"/>
        </w:rPr>
        <w:t>Mais les courants dominants en Israël et dans la diaspora n'en sont pas là. C'est plutôt la politique du déni qui est la règle générale, avec heureusement de nombreuses exceptions que nous nous devons de souligner.</w:t>
      </w:r>
    </w:p>
    <w:p w:rsidR="004E7E9A" w:rsidRDefault="004E7E9A" w:rsidP="004E7E9A">
      <w:pPr>
        <w:spacing w:before="120" w:after="120"/>
        <w:jc w:val="both"/>
        <w:rPr>
          <w:bCs/>
          <w:szCs w:val="22"/>
        </w:rPr>
      </w:pPr>
    </w:p>
    <w:p w:rsidR="004E7E9A" w:rsidRPr="00140BA8" w:rsidRDefault="004E7E9A" w:rsidP="004E7E9A">
      <w:pPr>
        <w:pStyle w:val="a"/>
      </w:pPr>
      <w:bookmarkStart w:id="4" w:name="Israel_devoir_memoire_deni_3"/>
      <w:r w:rsidRPr="00140BA8">
        <w:t>3. La politique du déni</w:t>
      </w:r>
    </w:p>
    <w:bookmarkEnd w:id="4"/>
    <w:p w:rsidR="004E7E9A" w:rsidRDefault="004E7E9A" w:rsidP="004E7E9A">
      <w:pPr>
        <w:spacing w:before="120" w:after="120"/>
        <w:jc w:val="both"/>
        <w:rPr>
          <w:szCs w:val="22"/>
        </w:rPr>
      </w:pPr>
    </w:p>
    <w:p w:rsidR="004E7E9A" w:rsidRPr="00893DBF" w:rsidRDefault="004E7E9A" w:rsidP="004E7E9A">
      <w:pPr>
        <w:ind w:right="90" w:firstLine="0"/>
        <w:jc w:val="both"/>
        <w:rPr>
          <w:sz w:val="20"/>
        </w:rPr>
      </w:pPr>
      <w:hyperlink w:anchor="tdm" w:history="1">
        <w:r w:rsidRPr="00893DBF">
          <w:rPr>
            <w:rStyle w:val="Lienhypertexte"/>
            <w:sz w:val="20"/>
          </w:rPr>
          <w:t>Retour à la table des matières</w:t>
        </w:r>
      </w:hyperlink>
    </w:p>
    <w:p w:rsidR="004E7E9A" w:rsidRPr="00140BA8" w:rsidRDefault="004E7E9A" w:rsidP="004E7E9A">
      <w:pPr>
        <w:spacing w:before="120" w:after="120"/>
        <w:jc w:val="both"/>
      </w:pPr>
      <w:r w:rsidRPr="00140BA8">
        <w:rPr>
          <w:szCs w:val="22"/>
        </w:rPr>
        <w:t>La réalité historique de l'injustice subie par les Palestiniens a été systémat</w:t>
      </w:r>
      <w:r w:rsidRPr="00140BA8">
        <w:rPr>
          <w:szCs w:val="22"/>
        </w:rPr>
        <w:t>i</w:t>
      </w:r>
      <w:r w:rsidRPr="00140BA8">
        <w:rPr>
          <w:szCs w:val="22"/>
        </w:rPr>
        <w:t>quement niée dans le discours sioniste dominant. La fameuse phrase de Golda Meïr où elle affirmait que les Palestiniens n'existaient pas était plus qu'une boutade</w:t>
      </w:r>
      <w:r>
        <w:rPr>
          <w:szCs w:val="22"/>
        </w:rPr>
        <w:t> </w:t>
      </w:r>
      <w:r>
        <w:rPr>
          <w:rStyle w:val="Appelnotedebasdep"/>
          <w:szCs w:val="22"/>
        </w:rPr>
        <w:footnoteReference w:id="21"/>
      </w:r>
      <w:r w:rsidRPr="00140BA8">
        <w:rPr>
          <w:szCs w:val="22"/>
        </w:rPr>
        <w:t>. L'idée de la non-existence des Pale</w:t>
      </w:r>
      <w:r w:rsidRPr="00140BA8">
        <w:rPr>
          <w:szCs w:val="22"/>
        </w:rPr>
        <w:t>s</w:t>
      </w:r>
      <w:r w:rsidRPr="00140BA8">
        <w:rPr>
          <w:szCs w:val="22"/>
        </w:rPr>
        <w:t>tiniens en tant que sujets de droit a joué un rôle important dans la lég</w:t>
      </w:r>
      <w:r w:rsidRPr="00140BA8">
        <w:rPr>
          <w:szCs w:val="22"/>
        </w:rPr>
        <w:t>i</w:t>
      </w:r>
      <w:r w:rsidRPr="00140BA8">
        <w:rPr>
          <w:szCs w:val="22"/>
        </w:rPr>
        <w:t>timation des politiques israéliennes aux yeux de l'opinion publique américaine et canadienne. Au début des années 1980, paraissait le l</w:t>
      </w:r>
      <w:r w:rsidRPr="00140BA8">
        <w:rPr>
          <w:szCs w:val="22"/>
        </w:rPr>
        <w:t>i</w:t>
      </w:r>
      <w:r w:rsidRPr="00140BA8">
        <w:rPr>
          <w:szCs w:val="22"/>
        </w:rPr>
        <w:t xml:space="preserve">vre de Joan Peters, </w:t>
      </w:r>
      <w:r w:rsidRPr="00AB381E">
        <w:rPr>
          <w:i/>
          <w:szCs w:val="22"/>
        </w:rPr>
        <w:t>From Time Immemorial</w:t>
      </w:r>
      <w:r>
        <w:rPr>
          <w:szCs w:val="22"/>
        </w:rPr>
        <w:t> </w:t>
      </w:r>
      <w:r>
        <w:rPr>
          <w:rStyle w:val="Appelnotedebasdep"/>
          <w:szCs w:val="22"/>
        </w:rPr>
        <w:footnoteReference w:id="22"/>
      </w:r>
      <w:r w:rsidRPr="00140BA8">
        <w:rPr>
          <w:szCs w:val="22"/>
        </w:rPr>
        <w:t>, sur lequel nous souha</w:t>
      </w:r>
      <w:r w:rsidRPr="00140BA8">
        <w:rPr>
          <w:szCs w:val="22"/>
        </w:rPr>
        <w:t>i</w:t>
      </w:r>
      <w:r w:rsidRPr="00140BA8">
        <w:rPr>
          <w:szCs w:val="22"/>
        </w:rPr>
        <w:t>tons nous arrêter un moment, car il reprend et amplifie l'assertion de Golda Meïr. Le vaste appui que cette thèse a reçu est hautement sign</w:t>
      </w:r>
      <w:r w:rsidRPr="00140BA8">
        <w:rPr>
          <w:szCs w:val="22"/>
        </w:rPr>
        <w:t>i</w:t>
      </w:r>
      <w:r w:rsidRPr="00140BA8">
        <w:rPr>
          <w:szCs w:val="22"/>
        </w:rPr>
        <w:t>ficatif.</w:t>
      </w:r>
    </w:p>
    <w:p w:rsidR="004E7E9A" w:rsidRPr="00140BA8" w:rsidRDefault="004E7E9A" w:rsidP="004E7E9A">
      <w:pPr>
        <w:spacing w:before="120" w:after="120"/>
        <w:jc w:val="both"/>
      </w:pPr>
      <w:r w:rsidRPr="00140BA8">
        <w:rPr>
          <w:szCs w:val="22"/>
        </w:rPr>
        <w:t>Ce livre d'apparence académique</w:t>
      </w:r>
      <w:r>
        <w:rPr>
          <w:szCs w:val="22"/>
        </w:rPr>
        <w:t> </w:t>
      </w:r>
      <w:r>
        <w:rPr>
          <w:rStyle w:val="Appelnotedebasdep"/>
          <w:szCs w:val="22"/>
        </w:rPr>
        <w:footnoteReference w:id="23"/>
      </w:r>
      <w:r w:rsidRPr="00140BA8">
        <w:rPr>
          <w:szCs w:val="22"/>
        </w:rPr>
        <w:t xml:space="preserve"> avait comme thèse fondame</w:t>
      </w:r>
      <w:r w:rsidRPr="00140BA8">
        <w:rPr>
          <w:szCs w:val="22"/>
        </w:rPr>
        <w:t>n</w:t>
      </w:r>
      <w:r w:rsidRPr="00140BA8">
        <w:rPr>
          <w:szCs w:val="22"/>
        </w:rPr>
        <w:t>tale que les Palestiniens (mot que l'auteure met d'ailleurs entre guill</w:t>
      </w:r>
      <w:r w:rsidRPr="00140BA8">
        <w:rPr>
          <w:szCs w:val="22"/>
        </w:rPr>
        <w:t>e</w:t>
      </w:r>
      <w:r w:rsidRPr="00140BA8">
        <w:rPr>
          <w:szCs w:val="22"/>
        </w:rPr>
        <w:t>mets) n'existaient tout simplement pas. Que ceux qui avaient usurpé cette identité étaient en réalité des Arabes habitant les pays voisins, venus en Palestine pour profiter de la renai</w:t>
      </w:r>
      <w:r w:rsidRPr="00140BA8">
        <w:rPr>
          <w:szCs w:val="22"/>
        </w:rPr>
        <w:t>s</w:t>
      </w:r>
      <w:r w:rsidRPr="00140BA8">
        <w:rPr>
          <w:szCs w:val="22"/>
        </w:rPr>
        <w:t>sance économique causée par l'arrivée des juifs européens, et qu'ils avaient par la suite prétendu êtres de « vrais » habitants du pays. L'auteure appuyait ses concl</w:t>
      </w:r>
      <w:r w:rsidRPr="00140BA8">
        <w:rPr>
          <w:szCs w:val="22"/>
        </w:rPr>
        <w:t>u</w:t>
      </w:r>
      <w:r w:rsidRPr="00140BA8">
        <w:rPr>
          <w:szCs w:val="22"/>
        </w:rPr>
        <w:t>sions sur des statistiques faussées, sur des citations qu'elle avait traf</w:t>
      </w:r>
      <w:r w:rsidRPr="00140BA8">
        <w:rPr>
          <w:szCs w:val="22"/>
        </w:rPr>
        <w:t>i</w:t>
      </w:r>
      <w:r w:rsidRPr="00140BA8">
        <w:rPr>
          <w:szCs w:val="22"/>
        </w:rPr>
        <w:t>quées de façon majeure pour en modifier le sens, et sur des interprét</w:t>
      </w:r>
      <w:r w:rsidRPr="00140BA8">
        <w:rPr>
          <w:szCs w:val="22"/>
        </w:rPr>
        <w:t>a</w:t>
      </w:r>
      <w:r w:rsidRPr="00140BA8">
        <w:rPr>
          <w:szCs w:val="22"/>
        </w:rPr>
        <w:t>tions grossièrement boiteuses. C'est Norman Finkelstein qui attira l'a</w:t>
      </w:r>
      <w:r w:rsidRPr="00140BA8">
        <w:rPr>
          <w:szCs w:val="22"/>
        </w:rPr>
        <w:t>t</w:t>
      </w:r>
      <w:r w:rsidRPr="00140BA8">
        <w:rPr>
          <w:szCs w:val="22"/>
        </w:rPr>
        <w:t>tention sur ces a</w:t>
      </w:r>
      <w:r w:rsidRPr="00140BA8">
        <w:rPr>
          <w:szCs w:val="22"/>
        </w:rPr>
        <w:t>s</w:t>
      </w:r>
      <w:r w:rsidRPr="00140BA8">
        <w:rPr>
          <w:szCs w:val="22"/>
        </w:rPr>
        <w:t>pects frauduleux du livre, et qui les exposa au grand jour en dépit des multiples pressions de ses professeurs</w:t>
      </w:r>
      <w:r>
        <w:rPr>
          <w:szCs w:val="22"/>
        </w:rPr>
        <w:t> </w:t>
      </w:r>
      <w:r>
        <w:rPr>
          <w:rStyle w:val="Appelnotedebasdep"/>
          <w:szCs w:val="22"/>
        </w:rPr>
        <w:footnoteReference w:id="24"/>
      </w:r>
      <w:r w:rsidRPr="00140BA8">
        <w:rPr>
          <w:szCs w:val="22"/>
        </w:rPr>
        <w:t>. Au bout de près de deux ans de débat public sur le livre, au cours desquels ceux qui le critiquaient se sont fait traiter d'antisém</w:t>
      </w:r>
      <w:r w:rsidRPr="00140BA8">
        <w:rPr>
          <w:szCs w:val="22"/>
        </w:rPr>
        <w:t>i</w:t>
      </w:r>
      <w:r w:rsidRPr="00140BA8">
        <w:rPr>
          <w:szCs w:val="22"/>
        </w:rPr>
        <w:t>tes ou de '</w:t>
      </w:r>
      <w:r w:rsidRPr="00AB381E">
        <w:rPr>
          <w:i/>
          <w:szCs w:val="22"/>
        </w:rPr>
        <w:t>self-hating Jews'</w:t>
      </w:r>
      <w:r>
        <w:rPr>
          <w:szCs w:val="22"/>
        </w:rPr>
        <w:t>,</w:t>
      </w:r>
      <w:r w:rsidRPr="00140BA8">
        <w:rPr>
          <w:szCs w:val="22"/>
        </w:rPr>
        <w:t xml:space="preserve"> l'historien israélien Yehoshua Porath, spécialiste de l'histoire palestinienne et professeur à l'Université hébraïque de Jérusalem, a qualifié le livre de « fabrication » (</w:t>
      </w:r>
      <w:r w:rsidRPr="00AB381E">
        <w:rPr>
          <w:i/>
          <w:szCs w:val="22"/>
        </w:rPr>
        <w:t>forgery</w:t>
      </w:r>
      <w:r w:rsidRPr="00140BA8">
        <w:rPr>
          <w:szCs w:val="22"/>
        </w:rPr>
        <w:t xml:space="preserve">) et le chroniqueur du </w:t>
      </w:r>
      <w:r w:rsidRPr="00AB381E">
        <w:rPr>
          <w:i/>
          <w:szCs w:val="22"/>
        </w:rPr>
        <w:t>New York T</w:t>
      </w:r>
      <w:r w:rsidRPr="00AB381E">
        <w:rPr>
          <w:i/>
          <w:szCs w:val="22"/>
        </w:rPr>
        <w:t>i</w:t>
      </w:r>
      <w:r w:rsidRPr="00AB381E">
        <w:rPr>
          <w:i/>
          <w:szCs w:val="22"/>
        </w:rPr>
        <w:t>mes</w:t>
      </w:r>
      <w:r w:rsidRPr="00140BA8">
        <w:rPr>
          <w:szCs w:val="22"/>
        </w:rPr>
        <w:t>, Anthony Lewis, de « supercherie » (</w:t>
      </w:r>
      <w:r w:rsidRPr="00AB381E">
        <w:rPr>
          <w:i/>
          <w:szCs w:val="22"/>
        </w:rPr>
        <w:t>hoax</w:t>
      </w:r>
      <w:r w:rsidRPr="00140BA8">
        <w:rPr>
          <w:szCs w:val="22"/>
        </w:rPr>
        <w:t>). Ceci ralentit temporairement la carrière du livre mais ne mit pas fin à l'ardeur de ceux qui le défendaient.</w:t>
      </w:r>
    </w:p>
    <w:p w:rsidR="004E7E9A" w:rsidRPr="00140BA8" w:rsidRDefault="004E7E9A" w:rsidP="004E7E9A">
      <w:pPr>
        <w:spacing w:before="120" w:after="120"/>
        <w:jc w:val="both"/>
      </w:pPr>
      <w:r w:rsidRPr="00140BA8">
        <w:rPr>
          <w:szCs w:val="22"/>
        </w:rPr>
        <w:t>Ce qui est significatif ici n'est pas la publication d'un livre fraud</w:t>
      </w:r>
      <w:r w:rsidRPr="00140BA8">
        <w:rPr>
          <w:szCs w:val="22"/>
        </w:rPr>
        <w:t>u</w:t>
      </w:r>
      <w:r w:rsidRPr="00140BA8">
        <w:rPr>
          <w:szCs w:val="22"/>
        </w:rPr>
        <w:t>leux. Après tout, il y a de nombreuses supercheries de ce type. C'est plutôt l'appui exce</w:t>
      </w:r>
      <w:r w:rsidRPr="00140BA8">
        <w:rPr>
          <w:szCs w:val="22"/>
        </w:rPr>
        <w:t>p</w:t>
      </w:r>
      <w:r w:rsidRPr="00140BA8">
        <w:rPr>
          <w:szCs w:val="22"/>
        </w:rPr>
        <w:t>tionnel qu'il a reçu et qu'il continue à recevoir de personnalités publiques, qui ne se sont pas rétractées après que son caractère frauduleux fut mis en évidence, et qui au contraire ont décl</w:t>
      </w:r>
      <w:r w:rsidRPr="00140BA8">
        <w:rPr>
          <w:szCs w:val="22"/>
        </w:rPr>
        <w:t>a</w:t>
      </w:r>
      <w:r w:rsidRPr="00140BA8">
        <w:rPr>
          <w:szCs w:val="22"/>
        </w:rPr>
        <w:t>ré les conclusions justes même quand ils admettaient que la démon</w:t>
      </w:r>
      <w:r w:rsidRPr="00140BA8">
        <w:rPr>
          <w:szCs w:val="22"/>
        </w:rPr>
        <w:t>s</w:t>
      </w:r>
      <w:r w:rsidRPr="00140BA8">
        <w:rPr>
          <w:szCs w:val="22"/>
        </w:rPr>
        <w:t xml:space="preserve">tration était défectueuse.... L'auteure fut invitée à d'innombrables et prestigieuses tribunes, dans les universités, au Parlement canadien, et dans des programmes </w:t>
      </w:r>
      <w:r w:rsidRPr="00762E5D">
        <w:rPr>
          <w:i/>
          <w:szCs w:val="22"/>
        </w:rPr>
        <w:t>radiophoniques littéraires. L'écrivain Saul Be</w:t>
      </w:r>
      <w:r w:rsidRPr="00762E5D">
        <w:rPr>
          <w:i/>
          <w:szCs w:val="22"/>
        </w:rPr>
        <w:t>l</w:t>
      </w:r>
      <w:r w:rsidRPr="00762E5D">
        <w:rPr>
          <w:i/>
          <w:szCs w:val="22"/>
        </w:rPr>
        <w:t>low déclara : « Millions of people the world over, smothered by false history and propaganda, will be grateful for this clear account of the origins of the Palestinians </w:t>
      </w:r>
      <w:r w:rsidRPr="00140BA8">
        <w:rPr>
          <w:szCs w:val="22"/>
        </w:rPr>
        <w:t>»</w:t>
      </w:r>
      <w:r>
        <w:rPr>
          <w:szCs w:val="22"/>
        </w:rPr>
        <w:t> </w:t>
      </w:r>
      <w:r>
        <w:rPr>
          <w:rStyle w:val="Appelnotedebasdep"/>
          <w:szCs w:val="22"/>
        </w:rPr>
        <w:footnoteReference w:id="25"/>
      </w:r>
      <w:r w:rsidRPr="00140BA8">
        <w:rPr>
          <w:szCs w:val="22"/>
        </w:rPr>
        <w:t>. L'historienne Lucy Dawidowicz a</w:t>
      </w:r>
      <w:r w:rsidRPr="00140BA8">
        <w:rPr>
          <w:szCs w:val="22"/>
        </w:rPr>
        <w:t>f</w:t>
      </w:r>
      <w:r w:rsidRPr="00140BA8">
        <w:rPr>
          <w:szCs w:val="22"/>
        </w:rPr>
        <w:t>firma que ce livre « (</w:t>
      </w:r>
      <w:r w:rsidRPr="00AB381E">
        <w:rPr>
          <w:i/>
          <w:szCs w:val="22"/>
        </w:rPr>
        <w:t>was bringing</w:t>
      </w:r>
      <w:r w:rsidRPr="00140BA8">
        <w:rPr>
          <w:szCs w:val="22"/>
        </w:rPr>
        <w:t xml:space="preserve">) </w:t>
      </w:r>
      <w:r w:rsidRPr="00AB381E">
        <w:rPr>
          <w:i/>
          <w:szCs w:val="22"/>
        </w:rPr>
        <w:t>to light the hi</w:t>
      </w:r>
      <w:r w:rsidRPr="00AB381E">
        <w:rPr>
          <w:i/>
          <w:szCs w:val="22"/>
        </w:rPr>
        <w:t>s</w:t>
      </w:r>
      <w:r w:rsidRPr="00AB381E">
        <w:rPr>
          <w:i/>
          <w:szCs w:val="22"/>
        </w:rPr>
        <w:t>torical truth about the Middle East </w:t>
      </w:r>
      <w:r w:rsidRPr="00140BA8">
        <w:rPr>
          <w:szCs w:val="22"/>
        </w:rPr>
        <w:t>». Barbara Tuchman déclara « This book is a histor</w:t>
      </w:r>
      <w:r w:rsidRPr="00140BA8">
        <w:rPr>
          <w:szCs w:val="22"/>
        </w:rPr>
        <w:t>i</w:t>
      </w:r>
      <w:r w:rsidRPr="00140BA8">
        <w:rPr>
          <w:szCs w:val="22"/>
        </w:rPr>
        <w:t>cal event in itself</w:t>
      </w:r>
      <w:r>
        <w:rPr>
          <w:szCs w:val="22"/>
        </w:rPr>
        <w:t> » </w:t>
      </w:r>
      <w:r>
        <w:rPr>
          <w:rStyle w:val="Appelnotedebasdep"/>
          <w:szCs w:val="22"/>
        </w:rPr>
        <w:footnoteReference w:id="26"/>
      </w:r>
      <w:r w:rsidRPr="00140BA8">
        <w:rPr>
          <w:szCs w:val="22"/>
        </w:rPr>
        <w:t>. Elie Wiesel, Prix Nobel, a endossé les concl</w:t>
      </w:r>
      <w:r w:rsidRPr="00140BA8">
        <w:rPr>
          <w:szCs w:val="22"/>
        </w:rPr>
        <w:t>u</w:t>
      </w:r>
      <w:r w:rsidRPr="00140BA8">
        <w:rPr>
          <w:szCs w:val="22"/>
        </w:rPr>
        <w:t>sions du livre en termes élogieux. L'ex-directeur du bureau du rece</w:t>
      </w:r>
      <w:r w:rsidRPr="00140BA8">
        <w:rPr>
          <w:szCs w:val="22"/>
        </w:rPr>
        <w:t>n</w:t>
      </w:r>
      <w:r w:rsidRPr="00140BA8">
        <w:rPr>
          <w:szCs w:val="22"/>
        </w:rPr>
        <w:t>sement américain, Philip Hauser, en plus de sa note admirative sur la couve</w:t>
      </w:r>
      <w:r w:rsidRPr="00140BA8">
        <w:rPr>
          <w:szCs w:val="22"/>
        </w:rPr>
        <w:t>r</w:t>
      </w:r>
      <w:r w:rsidRPr="00140BA8">
        <w:rPr>
          <w:szCs w:val="22"/>
        </w:rPr>
        <w:t>ture du livre, prit la peine d'écrire une note méthodologique de deux pages pour dire combien l'an</w:t>
      </w:r>
      <w:r w:rsidRPr="00140BA8">
        <w:rPr>
          <w:szCs w:val="22"/>
        </w:rPr>
        <w:t>a</w:t>
      </w:r>
      <w:r w:rsidRPr="00140BA8">
        <w:rPr>
          <w:szCs w:val="22"/>
        </w:rPr>
        <w:t>lyse démographique de l'auteure était rigoureuse. Le livre</w:t>
      </w:r>
      <w:r>
        <w:rPr>
          <w:szCs w:val="22"/>
        </w:rPr>
        <w:t xml:space="preserve"> </w:t>
      </w:r>
      <w:r w:rsidRPr="00140BA8">
        <w:rPr>
          <w:szCs w:val="24"/>
        </w:rPr>
        <w:t xml:space="preserve">devint un </w:t>
      </w:r>
      <w:r w:rsidRPr="0001354A">
        <w:rPr>
          <w:i/>
          <w:szCs w:val="24"/>
        </w:rPr>
        <w:t>best-seller</w:t>
      </w:r>
      <w:r w:rsidRPr="00140BA8">
        <w:rPr>
          <w:szCs w:val="24"/>
        </w:rPr>
        <w:t>. Aujourd'hui même, le site web de l'ancien premier ministre israélien Benjamin Netanyahou promeut cette supe</w:t>
      </w:r>
      <w:r w:rsidRPr="00140BA8">
        <w:rPr>
          <w:szCs w:val="24"/>
        </w:rPr>
        <w:t>r</w:t>
      </w:r>
      <w:r w:rsidRPr="00140BA8">
        <w:rPr>
          <w:szCs w:val="24"/>
        </w:rPr>
        <w:t>cherie comme une source d'information fiable. Le livre fut réimprimé à nouveau en 2004 et largement promu et distr</w:t>
      </w:r>
      <w:r w:rsidRPr="00140BA8">
        <w:rPr>
          <w:szCs w:val="24"/>
        </w:rPr>
        <w:t>i</w:t>
      </w:r>
      <w:r w:rsidRPr="00140BA8">
        <w:rPr>
          <w:szCs w:val="24"/>
        </w:rPr>
        <w:t>bué. Il faut souligner que les appuis et les éloges du livre de Joan P</w:t>
      </w:r>
      <w:r w:rsidRPr="00140BA8">
        <w:rPr>
          <w:szCs w:val="24"/>
        </w:rPr>
        <w:t>e</w:t>
      </w:r>
      <w:r w:rsidRPr="00140BA8">
        <w:rPr>
          <w:szCs w:val="24"/>
        </w:rPr>
        <w:t>ters sont venus de personnalités bien placées dans le paysage intelle</w:t>
      </w:r>
      <w:r w:rsidRPr="00140BA8">
        <w:rPr>
          <w:szCs w:val="24"/>
        </w:rPr>
        <w:t>c</w:t>
      </w:r>
      <w:r w:rsidRPr="00140BA8">
        <w:rPr>
          <w:szCs w:val="24"/>
        </w:rPr>
        <w:t>tuel nord-américain. Personne, parmi les historiens israéliens sérieux, même les plus à droite, ne considère ce livre comme valable, et sa ca</w:t>
      </w:r>
      <w:r w:rsidRPr="00140BA8">
        <w:rPr>
          <w:szCs w:val="24"/>
        </w:rPr>
        <w:t>r</w:t>
      </w:r>
      <w:r w:rsidRPr="00140BA8">
        <w:rPr>
          <w:szCs w:val="24"/>
        </w:rPr>
        <w:t xml:space="preserve">rière académique est terminée. Mais pas son utilité en tant qu'outil de relations publiques. Mais de nombreux sites </w:t>
      </w:r>
      <w:r>
        <w:rPr>
          <w:szCs w:val="24"/>
        </w:rPr>
        <w:t>internet</w:t>
      </w:r>
      <w:r w:rsidRPr="00140BA8">
        <w:rPr>
          <w:szCs w:val="24"/>
        </w:rPr>
        <w:t xml:space="preserve"> et de nombreuses institutions de plaidoyer pro-israéliennes en Amérique du Nord cont</w:t>
      </w:r>
      <w:r w:rsidRPr="00140BA8">
        <w:rPr>
          <w:szCs w:val="24"/>
        </w:rPr>
        <w:t>i</w:t>
      </w:r>
      <w:r w:rsidRPr="00140BA8">
        <w:rPr>
          <w:szCs w:val="24"/>
        </w:rPr>
        <w:t>nuent à faire sa promotion. Daniel Pipes, que le Pr</w:t>
      </w:r>
      <w:r w:rsidRPr="00140BA8">
        <w:rPr>
          <w:szCs w:val="24"/>
        </w:rPr>
        <w:t>é</w:t>
      </w:r>
      <w:r w:rsidRPr="00140BA8">
        <w:rPr>
          <w:szCs w:val="24"/>
        </w:rPr>
        <w:t>sident George W. Bush a nommé à la tête de la American Peace Academy, en fait lui aussi l'éloge et la promotion.</w:t>
      </w:r>
    </w:p>
    <w:p w:rsidR="004E7E9A" w:rsidRPr="00140BA8" w:rsidRDefault="004E7E9A" w:rsidP="004E7E9A">
      <w:pPr>
        <w:spacing w:before="120" w:after="120"/>
        <w:jc w:val="both"/>
      </w:pPr>
      <w:r w:rsidRPr="00140BA8">
        <w:rPr>
          <w:szCs w:val="24"/>
        </w:rPr>
        <w:t>Pour comprendre la fonction de cette supercherie, publiée en 1984, il faut la replacer dans son contexte. Les premières critiques sérieuses de la politique isra</w:t>
      </w:r>
      <w:r w:rsidRPr="00140BA8">
        <w:rPr>
          <w:szCs w:val="24"/>
        </w:rPr>
        <w:t>é</w:t>
      </w:r>
      <w:r w:rsidRPr="00140BA8">
        <w:rPr>
          <w:szCs w:val="24"/>
        </w:rPr>
        <w:t>lienne envers les Palestiniens ont commencé à s'exprimer après l'invasion du Sud Liban et de Beyrouth en 1982. Les perceptions du conflit aux États-Unis commençaient à changer de f</w:t>
      </w:r>
      <w:r w:rsidRPr="00140BA8">
        <w:rPr>
          <w:szCs w:val="24"/>
        </w:rPr>
        <w:t>a</w:t>
      </w:r>
      <w:r w:rsidRPr="00140BA8">
        <w:rPr>
          <w:szCs w:val="24"/>
        </w:rPr>
        <w:t>çon perceptible, et pour la première fois depuis le début du conflit, les Palestiniens apparaissaient aux yeux de l'opinion publique comme des êtres humains d'abord, et même comme des victimes. Aux Nations-Unies, les initiatives demandant la résolution du conflit sur la base des principes du droit international et dans le cadre de l'ONU se faisaient de plus en plus pre</w:t>
      </w:r>
      <w:r w:rsidRPr="00140BA8">
        <w:rPr>
          <w:szCs w:val="24"/>
        </w:rPr>
        <w:t>s</w:t>
      </w:r>
      <w:r w:rsidRPr="00140BA8">
        <w:rPr>
          <w:szCs w:val="24"/>
        </w:rPr>
        <w:t xml:space="preserve">santes, et les États-Unis et Israël étaient de plus en plus isolés dans les votes traitant du conflit. L'adhésion de l'opinion </w:t>
      </w:r>
      <w:r>
        <w:rPr>
          <w:szCs w:val="24"/>
        </w:rPr>
        <w:t>publique américaine devenait un</w:t>
      </w:r>
      <w:r w:rsidRPr="00140BA8">
        <w:rPr>
          <w:szCs w:val="24"/>
        </w:rPr>
        <w:t xml:space="preserve"> enjeu majeur pour le maintien de la politique israélienne. Pour Norman Finkel</w:t>
      </w:r>
      <w:r w:rsidRPr="00140BA8">
        <w:rPr>
          <w:szCs w:val="24"/>
        </w:rPr>
        <w:t>s</w:t>
      </w:r>
      <w:r w:rsidRPr="00140BA8">
        <w:rPr>
          <w:szCs w:val="24"/>
        </w:rPr>
        <w:t>tein, le livre de Peters était avant tout un exercice de relations publiques.</w:t>
      </w:r>
    </w:p>
    <w:p w:rsidR="004E7E9A" w:rsidRPr="00140BA8" w:rsidRDefault="004E7E9A" w:rsidP="004E7E9A">
      <w:pPr>
        <w:spacing w:before="120" w:after="120"/>
        <w:jc w:val="both"/>
      </w:pPr>
      <w:r w:rsidRPr="00140BA8">
        <w:rPr>
          <w:szCs w:val="24"/>
        </w:rPr>
        <w:t>Ceci explique peut-être, du moins en partie, l'apparition de ce livre à ce m</w:t>
      </w:r>
      <w:r w:rsidRPr="00140BA8">
        <w:rPr>
          <w:szCs w:val="24"/>
        </w:rPr>
        <w:t>o</w:t>
      </w:r>
      <w:r w:rsidRPr="00140BA8">
        <w:rPr>
          <w:szCs w:val="24"/>
        </w:rPr>
        <w:t>ment, et l'extraordinaire effort de publicité qui l'a accompagné. Cette hypothèse est renforcée par le fait que le livre eut peu d'échos en Israël même, et pas bea</w:t>
      </w:r>
      <w:r w:rsidRPr="00140BA8">
        <w:rPr>
          <w:szCs w:val="24"/>
        </w:rPr>
        <w:t>u</w:t>
      </w:r>
      <w:r w:rsidRPr="00140BA8">
        <w:rPr>
          <w:szCs w:val="24"/>
        </w:rPr>
        <w:t>coup d'écho en Europe. L'enjeu du livre était l'opinion publique américaine, et en particulier celle de la diaspora juive en Amérique</w:t>
      </w:r>
      <w:r>
        <w:rPr>
          <w:szCs w:val="24"/>
        </w:rPr>
        <w:t> </w:t>
      </w:r>
      <w:r>
        <w:rPr>
          <w:rStyle w:val="Appelnotedebasdep"/>
          <w:szCs w:val="24"/>
        </w:rPr>
        <w:footnoteReference w:id="27"/>
      </w:r>
      <w:r w:rsidRPr="00140BA8">
        <w:rPr>
          <w:szCs w:val="24"/>
        </w:rPr>
        <w:t>. Le déni semble être beaucoup plus virulent dans la diaspora qu'en Israël même.</w:t>
      </w:r>
    </w:p>
    <w:p w:rsidR="004E7E9A" w:rsidRPr="00140BA8" w:rsidRDefault="004E7E9A" w:rsidP="004E7E9A">
      <w:pPr>
        <w:spacing w:before="120" w:after="120"/>
        <w:jc w:val="both"/>
      </w:pPr>
      <w:r w:rsidRPr="00140BA8">
        <w:rPr>
          <w:szCs w:val="24"/>
        </w:rPr>
        <w:t>On pourrait multiplier les exemples de déni de ce type. Mentio</w:t>
      </w:r>
      <w:r w:rsidRPr="00140BA8">
        <w:rPr>
          <w:szCs w:val="24"/>
        </w:rPr>
        <w:t>n</w:t>
      </w:r>
      <w:r w:rsidRPr="00140BA8">
        <w:rPr>
          <w:szCs w:val="24"/>
        </w:rPr>
        <w:t>nons seul</w:t>
      </w:r>
      <w:r w:rsidRPr="00140BA8">
        <w:rPr>
          <w:szCs w:val="24"/>
        </w:rPr>
        <w:t>e</w:t>
      </w:r>
      <w:r w:rsidRPr="00140BA8">
        <w:rPr>
          <w:szCs w:val="24"/>
        </w:rPr>
        <w:t>ment le traitement qu'à reçu le film « </w:t>
      </w:r>
      <w:r w:rsidRPr="0001354A">
        <w:rPr>
          <w:i/>
          <w:szCs w:val="24"/>
        </w:rPr>
        <w:t>Route 181</w:t>
      </w:r>
      <w:r w:rsidRPr="00140BA8">
        <w:rPr>
          <w:szCs w:val="24"/>
        </w:rPr>
        <w:t>, Fragments d'un voyage en Palest</w:t>
      </w:r>
      <w:r w:rsidRPr="00140BA8">
        <w:rPr>
          <w:szCs w:val="24"/>
        </w:rPr>
        <w:t>i</w:t>
      </w:r>
      <w:r w:rsidRPr="00140BA8">
        <w:rPr>
          <w:szCs w:val="24"/>
        </w:rPr>
        <w:t>ne-Israël » des cinéastes Eyal Sivan et Michel Khleifi. Le premier est juif, le deuxième palestinien non juif, et tous les deux sont citoyens de l'État d'Israël. Le film tire son nom de la R</w:t>
      </w:r>
      <w:r w:rsidRPr="00140BA8">
        <w:rPr>
          <w:szCs w:val="24"/>
        </w:rPr>
        <w:t>é</w:t>
      </w:r>
      <w:r w:rsidRPr="00140BA8">
        <w:rPr>
          <w:szCs w:val="24"/>
        </w:rPr>
        <w:t>solution 181 de l'Assemblée générale des Nations-unies, votée en 1947 et proposant la</w:t>
      </w:r>
      <w:r>
        <w:rPr>
          <w:szCs w:val="24"/>
        </w:rPr>
        <w:t xml:space="preserve"> création d'un état juif sur 57</w:t>
      </w:r>
      <w:r w:rsidRPr="00140BA8">
        <w:rPr>
          <w:szCs w:val="24"/>
        </w:rPr>
        <w:t>% du territoire de la Palestine du Mandat britannique. Les cinéastes se sont promenés sur le tracé de la frontière proposée dans la résolution 181, tracé qui to</w:t>
      </w:r>
      <w:r w:rsidRPr="00140BA8">
        <w:rPr>
          <w:szCs w:val="24"/>
        </w:rPr>
        <w:t>m</w:t>
      </w:r>
      <w:r w:rsidRPr="00140BA8">
        <w:rPr>
          <w:szCs w:val="24"/>
        </w:rPr>
        <w:t>be entièrement dans le terr</w:t>
      </w:r>
      <w:r w:rsidRPr="00140BA8">
        <w:rPr>
          <w:szCs w:val="24"/>
        </w:rPr>
        <w:t>i</w:t>
      </w:r>
      <w:r w:rsidRPr="00140BA8">
        <w:rPr>
          <w:szCs w:val="24"/>
        </w:rPr>
        <w:t>toire israélien actuel. Et ils ont laissé parler les gens qu'ils ont rencontrés, en leur demandant des questions sur le passé de leur communauté, de leur village. Hommes, femmes, Isra</w:t>
      </w:r>
      <w:r w:rsidRPr="00140BA8">
        <w:rPr>
          <w:szCs w:val="24"/>
        </w:rPr>
        <w:t>é</w:t>
      </w:r>
      <w:r w:rsidRPr="00140BA8">
        <w:rPr>
          <w:szCs w:val="24"/>
        </w:rPr>
        <w:t>liens juifs ashkénazes, sépharades, israéliens arabes : chrétiens, m</w:t>
      </w:r>
      <w:r w:rsidRPr="00140BA8">
        <w:rPr>
          <w:szCs w:val="24"/>
        </w:rPr>
        <w:t>u</w:t>
      </w:r>
      <w:r w:rsidRPr="00140BA8">
        <w:rPr>
          <w:szCs w:val="24"/>
        </w:rPr>
        <w:t>sulmans ou druzes, et enfin bédouins sédentarisés, ils se sont tous e</w:t>
      </w:r>
      <w:r w:rsidRPr="00140BA8">
        <w:rPr>
          <w:szCs w:val="24"/>
        </w:rPr>
        <w:t>x</w:t>
      </w:r>
      <w:r w:rsidRPr="00140BA8">
        <w:rPr>
          <w:szCs w:val="24"/>
        </w:rPr>
        <w:t>primés sur leur vécu actuel mais surtout sur leurs souvenirs des év</w:t>
      </w:r>
      <w:r w:rsidRPr="00140BA8">
        <w:rPr>
          <w:szCs w:val="24"/>
        </w:rPr>
        <w:t>é</w:t>
      </w:r>
      <w:r w:rsidRPr="00140BA8">
        <w:rPr>
          <w:szCs w:val="24"/>
        </w:rPr>
        <w:t>nements de 1948. C'est un merveilleux travail de mémoire multiple, où les souvenirs, précis ou confus, sont exprimés à l'état brut, et où les récits se confrontent, et divergent quelques fois. C'est un merveilleux travail de mémoire mais aussi une ode à la réconciliation, car une ch</w:t>
      </w:r>
      <w:r w:rsidRPr="00140BA8">
        <w:rPr>
          <w:szCs w:val="24"/>
        </w:rPr>
        <w:t>o</w:t>
      </w:r>
      <w:r w:rsidRPr="00140BA8">
        <w:rPr>
          <w:szCs w:val="24"/>
        </w:rPr>
        <w:t>se ressort de ces nombreux témoignages : la possibilité d'un vivre e</w:t>
      </w:r>
      <w:r w:rsidRPr="00140BA8">
        <w:rPr>
          <w:szCs w:val="24"/>
        </w:rPr>
        <w:t>n</w:t>
      </w:r>
      <w:r w:rsidRPr="00140BA8">
        <w:rPr>
          <w:szCs w:val="24"/>
        </w:rPr>
        <w:t>semble au-delà des clivages. Quelques fois, pour quelques personnes seulement, une opinion est exprimée à l'effet que ce sont les choix</w:t>
      </w:r>
      <w:r>
        <w:rPr>
          <w:szCs w:val="24"/>
        </w:rPr>
        <w:t xml:space="preserve"> </w:t>
      </w:r>
      <w:r w:rsidRPr="00140BA8">
        <w:rPr>
          <w:szCs w:val="22"/>
        </w:rPr>
        <w:t>p</w:t>
      </w:r>
      <w:r w:rsidRPr="00140BA8">
        <w:rPr>
          <w:szCs w:val="22"/>
        </w:rPr>
        <w:t>o</w:t>
      </w:r>
      <w:r w:rsidRPr="00140BA8">
        <w:rPr>
          <w:szCs w:val="22"/>
        </w:rPr>
        <w:t>litiques des dirigeants qui empêchent cette réconciliation. Mais une constante se dégage cependant, graduellement. Les Arabes év</w:t>
      </w:r>
      <w:r w:rsidRPr="00140BA8">
        <w:rPr>
          <w:szCs w:val="22"/>
        </w:rPr>
        <w:t>o</w:t>
      </w:r>
      <w:r w:rsidRPr="00140BA8">
        <w:rPr>
          <w:szCs w:val="22"/>
        </w:rPr>
        <w:t>quent leur déposse</w:t>
      </w:r>
      <w:r w:rsidRPr="00140BA8">
        <w:rPr>
          <w:szCs w:val="22"/>
        </w:rPr>
        <w:t>s</w:t>
      </w:r>
      <w:r w:rsidRPr="00140BA8">
        <w:rPr>
          <w:szCs w:val="22"/>
        </w:rPr>
        <w:t>sion. Pressés de dire ce qu'il y avait là avant leur arrivée, la plupart des juifs israéliens interviewés finissent par dire qu'il y avait des communautés arabes qui vivaient là. Des maisons, des champs cultivés par les Arabes, des villages habités par eux. Et peu à peu, sous Israël, apparaît la Palestine. Certains des colons de la pr</w:t>
      </w:r>
      <w:r w:rsidRPr="00140BA8">
        <w:rPr>
          <w:szCs w:val="22"/>
        </w:rPr>
        <w:t>e</w:t>
      </w:r>
      <w:r w:rsidRPr="00140BA8">
        <w:rPr>
          <w:szCs w:val="22"/>
        </w:rPr>
        <w:t>mière heure finissent par admettre : oui, nous les avons chassés de cet e</w:t>
      </w:r>
      <w:r w:rsidRPr="00140BA8">
        <w:rPr>
          <w:szCs w:val="22"/>
        </w:rPr>
        <w:t>n</w:t>
      </w:r>
      <w:r w:rsidRPr="00140BA8">
        <w:rPr>
          <w:szCs w:val="22"/>
        </w:rPr>
        <w:t>droit. Où ? Là-bas, vers l'est. Derrière les collines. Et s'ils rési</w:t>
      </w:r>
      <w:r w:rsidRPr="00140BA8">
        <w:rPr>
          <w:szCs w:val="22"/>
        </w:rPr>
        <w:t>s</w:t>
      </w:r>
      <w:r w:rsidRPr="00140BA8">
        <w:rPr>
          <w:szCs w:val="22"/>
        </w:rPr>
        <w:t>taient ? Nous avons employé nos armes.... Ces assertions étaient faites sans culpabilité, comme le constat distant d'une histoire ancienne.</w:t>
      </w:r>
    </w:p>
    <w:p w:rsidR="004E7E9A" w:rsidRPr="00140BA8" w:rsidRDefault="004E7E9A" w:rsidP="004E7E9A">
      <w:pPr>
        <w:spacing w:before="120" w:after="120"/>
        <w:jc w:val="both"/>
      </w:pPr>
      <w:r w:rsidRPr="00140BA8">
        <w:rPr>
          <w:szCs w:val="22"/>
        </w:rPr>
        <w:t>Est-ce cela qui a provoqué les réactions virulentes au sujet du film ? Une campagne de grande envergure fut lancée contre le film, et sa projection fut quelquefois interdite. Prévue pour le 14 mars 2004 dans le cadre du 26</w:t>
      </w:r>
      <w:r w:rsidRPr="0001354A">
        <w:rPr>
          <w:szCs w:val="22"/>
          <w:vertAlign w:val="superscript"/>
        </w:rPr>
        <w:t>e</w:t>
      </w:r>
      <w:r w:rsidRPr="00140BA8">
        <w:rPr>
          <w:szCs w:val="22"/>
        </w:rPr>
        <w:t xml:space="preserve"> Festival International de Film Documentaire à Paris, la projection du film fut annulée par une décision commune du ministère de la Culture et de la Communication, du Centre Pompidou, et de la Bibliothèque publique d'information du Centre</w:t>
      </w:r>
      <w:r>
        <w:rPr>
          <w:szCs w:val="22"/>
        </w:rPr>
        <w:t> </w:t>
      </w:r>
      <w:r>
        <w:rPr>
          <w:rStyle w:val="Appelnotedebasdep"/>
          <w:szCs w:val="22"/>
        </w:rPr>
        <w:footnoteReference w:id="28"/>
      </w:r>
      <w:r w:rsidRPr="00140BA8">
        <w:rPr>
          <w:szCs w:val="22"/>
        </w:rPr>
        <w:t>. Une ca</w:t>
      </w:r>
      <w:r w:rsidRPr="00140BA8">
        <w:rPr>
          <w:szCs w:val="22"/>
        </w:rPr>
        <w:t>m</w:t>
      </w:r>
      <w:r w:rsidRPr="00140BA8">
        <w:rPr>
          <w:szCs w:val="22"/>
        </w:rPr>
        <w:t>pagne de protestations fut également lancée contre la chaîne Arte, qui avait diffusé le film en novembre 2003.</w:t>
      </w:r>
    </w:p>
    <w:p w:rsidR="004E7E9A" w:rsidRPr="00140BA8" w:rsidRDefault="004E7E9A" w:rsidP="004E7E9A">
      <w:pPr>
        <w:spacing w:before="120" w:after="120"/>
        <w:jc w:val="both"/>
      </w:pPr>
      <w:r w:rsidRPr="00140BA8">
        <w:rPr>
          <w:szCs w:val="22"/>
        </w:rPr>
        <w:t>Pour sa part, le philosophe Alain Finkielkraut, réagissant à la diff</w:t>
      </w:r>
      <w:r w:rsidRPr="00140BA8">
        <w:rPr>
          <w:szCs w:val="22"/>
        </w:rPr>
        <w:t>u</w:t>
      </w:r>
      <w:r w:rsidRPr="00140BA8">
        <w:rPr>
          <w:szCs w:val="22"/>
        </w:rPr>
        <w:t>sion du film par Arte, s'est lui aussi déchaîné contre le film dans son émission "Qui v</w:t>
      </w:r>
      <w:r w:rsidRPr="00140BA8">
        <w:rPr>
          <w:szCs w:val="22"/>
        </w:rPr>
        <w:t>i</w:t>
      </w:r>
      <w:r w:rsidRPr="00140BA8">
        <w:rPr>
          <w:szCs w:val="22"/>
        </w:rPr>
        <w:t xml:space="preserve">ve", diffusée sur RCJ, le 30 novembre 2003. </w:t>
      </w:r>
      <w:r w:rsidRPr="0001354A">
        <w:rPr>
          <w:i/>
          <w:szCs w:val="22"/>
        </w:rPr>
        <w:t>Le Monde</w:t>
      </w:r>
      <w:r w:rsidRPr="00140BA8">
        <w:rPr>
          <w:szCs w:val="22"/>
        </w:rPr>
        <w:t xml:space="preserve"> rapportait les déclar</w:t>
      </w:r>
      <w:r w:rsidRPr="00140BA8">
        <w:rPr>
          <w:szCs w:val="22"/>
        </w:rPr>
        <w:t>a</w:t>
      </w:r>
      <w:r w:rsidRPr="00140BA8">
        <w:rPr>
          <w:szCs w:val="22"/>
        </w:rPr>
        <w:t>tions de Finkielkraut ainsi :</w:t>
      </w:r>
    </w:p>
    <w:p w:rsidR="004E7E9A" w:rsidRDefault="004E7E9A" w:rsidP="004E7E9A">
      <w:pPr>
        <w:pStyle w:val="Citationi"/>
      </w:pPr>
    </w:p>
    <w:p w:rsidR="004E7E9A" w:rsidRDefault="004E7E9A" w:rsidP="004E7E9A">
      <w:pPr>
        <w:pStyle w:val="Citationi"/>
      </w:pPr>
      <w:r w:rsidRPr="00140BA8">
        <w:t>"</w:t>
      </w:r>
      <w:r w:rsidRPr="0001354A">
        <w:t>Ce film est une catastrophe, le désastre de toute intégrité, une a</w:t>
      </w:r>
      <w:r w:rsidRPr="0001354A">
        <w:t>t</w:t>
      </w:r>
      <w:r w:rsidRPr="0001354A">
        <w:t>teinte à to</w:t>
      </w:r>
      <w:r w:rsidRPr="0001354A">
        <w:t>u</w:t>
      </w:r>
      <w:r w:rsidRPr="0001354A">
        <w:t>tes les vérités factuelles</w:t>
      </w:r>
      <w:r w:rsidRPr="00140BA8">
        <w:t xml:space="preserve">, </w:t>
      </w:r>
      <w:r w:rsidRPr="00762E5D">
        <w:rPr>
          <w:i w:val="0"/>
        </w:rPr>
        <w:t>a déclaré Alain Finkielkraut</w:t>
      </w:r>
      <w:r w:rsidRPr="00140BA8">
        <w:t xml:space="preserve">. </w:t>
      </w:r>
      <w:r w:rsidRPr="0001354A">
        <w:t>Il constitue un appel au meurtre</w:t>
      </w:r>
      <w:r w:rsidRPr="00140BA8">
        <w:t>." Accusant Eyal Sivan d'être "</w:t>
      </w:r>
      <w:r w:rsidRPr="0001354A">
        <w:t>l'un des acteurs de l'ant</w:t>
      </w:r>
      <w:r w:rsidRPr="0001354A">
        <w:t>i</w:t>
      </w:r>
      <w:r w:rsidRPr="0001354A">
        <w:t>sémitisme juif qui sévit aujourd'hui</w:t>
      </w:r>
      <w:r w:rsidRPr="00140BA8">
        <w:t xml:space="preserve">", </w:t>
      </w:r>
      <w:r w:rsidRPr="00762E5D">
        <w:rPr>
          <w:i w:val="0"/>
        </w:rPr>
        <w:t>Alain Finkielkraut suggérait aux a</w:t>
      </w:r>
      <w:r w:rsidRPr="00762E5D">
        <w:rPr>
          <w:i w:val="0"/>
        </w:rPr>
        <w:t>u</w:t>
      </w:r>
      <w:r w:rsidRPr="00762E5D">
        <w:rPr>
          <w:i w:val="0"/>
        </w:rPr>
        <w:t>diteurs de créer</w:t>
      </w:r>
      <w:r w:rsidRPr="00140BA8">
        <w:t xml:space="preserve"> "</w:t>
      </w:r>
      <w:r w:rsidRPr="0001354A">
        <w:t>une espèce de barrière de s</w:t>
      </w:r>
      <w:r w:rsidRPr="0001354A">
        <w:t>é</w:t>
      </w:r>
      <w:r w:rsidRPr="0001354A">
        <w:t>curité</w:t>
      </w:r>
      <w:r w:rsidRPr="00140BA8">
        <w:t xml:space="preserve">" </w:t>
      </w:r>
      <w:r w:rsidRPr="00762E5D">
        <w:rPr>
          <w:i w:val="0"/>
        </w:rPr>
        <w:t>autour du cinéaste, suspecté d'avoir une telle</w:t>
      </w:r>
      <w:r w:rsidRPr="00140BA8">
        <w:t xml:space="preserve"> "</w:t>
      </w:r>
      <w:r w:rsidRPr="0001354A">
        <w:t>haine à l'égard des juifs</w:t>
      </w:r>
      <w:r w:rsidRPr="00140BA8">
        <w:t>" que, pour lui, "</w:t>
      </w:r>
      <w:r w:rsidRPr="0001354A">
        <w:t>il s'agit de les tuer, de les liquider, et de les faire disparaître</w:t>
      </w:r>
      <w:r>
        <w:t>.</w:t>
      </w:r>
      <w:r w:rsidRPr="00140BA8">
        <w:t>"</w:t>
      </w:r>
      <w:r>
        <w:t> </w:t>
      </w:r>
      <w:r w:rsidRPr="00762E5D">
        <w:rPr>
          <w:rStyle w:val="Appelnotedebasdep"/>
          <w:i w:val="0"/>
          <w:szCs w:val="22"/>
        </w:rPr>
        <w:footnoteReference w:id="29"/>
      </w:r>
    </w:p>
    <w:p w:rsidR="004E7E9A" w:rsidRPr="00140BA8" w:rsidRDefault="004E7E9A" w:rsidP="004E7E9A">
      <w:pPr>
        <w:pStyle w:val="Citationi"/>
      </w:pPr>
    </w:p>
    <w:p w:rsidR="004E7E9A" w:rsidRPr="00140BA8" w:rsidRDefault="004E7E9A" w:rsidP="004E7E9A">
      <w:pPr>
        <w:spacing w:before="120" w:after="120"/>
        <w:jc w:val="both"/>
      </w:pPr>
      <w:r w:rsidRPr="00140BA8">
        <w:rPr>
          <w:szCs w:val="22"/>
        </w:rPr>
        <w:t>En somme, l'évocation de la mémoire historique des dominés, même par un cinéaste israélien, constitue « un appel au meurtre » et de « l'antisémitisme ». La réalité du passé palestinien de la Palestine est insoutenable.... On est loin du pardon demandé par l'ex-soldat israélien James Ron.</w:t>
      </w:r>
    </w:p>
    <w:p w:rsidR="004E7E9A" w:rsidRPr="00140BA8" w:rsidRDefault="004E7E9A" w:rsidP="004E7E9A">
      <w:pPr>
        <w:spacing w:before="120" w:after="120"/>
        <w:jc w:val="both"/>
      </w:pPr>
      <w:r w:rsidRPr="00140BA8">
        <w:rPr>
          <w:szCs w:val="22"/>
        </w:rPr>
        <w:t>Les accusations d'antisémitisme formulées par Alain Finkielkraut ne sont pas isolées. Une vigoureuse campagne de la droite pro-israélienne vise à définir toute critique du sionisme comme étant ant</w:t>
      </w:r>
      <w:r w:rsidRPr="00140BA8">
        <w:rPr>
          <w:szCs w:val="22"/>
        </w:rPr>
        <w:t>i</w:t>
      </w:r>
      <w:r w:rsidRPr="00140BA8">
        <w:rPr>
          <w:szCs w:val="22"/>
        </w:rPr>
        <w:t>sémite. À la définition classique du terme antisemitism :</w:t>
      </w:r>
    </w:p>
    <w:p w:rsidR="004E7E9A" w:rsidRDefault="004E7E9A" w:rsidP="004E7E9A">
      <w:pPr>
        <w:spacing w:before="120" w:after="120"/>
        <w:ind w:left="720" w:firstLine="0"/>
        <w:jc w:val="both"/>
        <w:rPr>
          <w:szCs w:val="22"/>
        </w:rPr>
      </w:pPr>
    </w:p>
    <w:p w:rsidR="004E7E9A" w:rsidRPr="00140BA8" w:rsidRDefault="004E7E9A" w:rsidP="004E7E9A">
      <w:pPr>
        <w:spacing w:before="120" w:after="120"/>
        <w:ind w:left="720" w:firstLine="0"/>
        <w:jc w:val="both"/>
      </w:pPr>
      <w:r w:rsidRPr="00140BA8">
        <w:rPr>
          <w:szCs w:val="22"/>
        </w:rPr>
        <w:t xml:space="preserve">« (1) </w:t>
      </w:r>
      <w:r w:rsidRPr="00762E5D">
        <w:rPr>
          <w:i/>
          <w:szCs w:val="22"/>
        </w:rPr>
        <w:t>hostility toward Jews as a religious or racial minority group, often accompanied by social, political or economic di</w:t>
      </w:r>
      <w:r w:rsidRPr="00762E5D">
        <w:rPr>
          <w:i/>
          <w:szCs w:val="22"/>
        </w:rPr>
        <w:t>s</w:t>
      </w:r>
      <w:r w:rsidRPr="00762E5D">
        <w:rPr>
          <w:i/>
          <w:szCs w:val="22"/>
        </w:rPr>
        <w:t>crimination</w:t>
      </w:r>
      <w:r w:rsidRPr="00140BA8">
        <w:rPr>
          <w:szCs w:val="22"/>
        </w:rPr>
        <w:t>.</w:t>
      </w:r>
      <w:r>
        <w:rPr>
          <w:szCs w:val="22"/>
        </w:rPr>
        <w:t> </w:t>
      </w:r>
      <w:r>
        <w:rPr>
          <w:rStyle w:val="Appelnotedebasdep"/>
          <w:szCs w:val="22"/>
        </w:rPr>
        <w:footnoteReference w:id="30"/>
      </w:r>
    </w:p>
    <w:p w:rsidR="004E7E9A" w:rsidRDefault="004E7E9A" w:rsidP="004E7E9A">
      <w:pPr>
        <w:spacing w:before="120" w:after="120"/>
        <w:jc w:val="both"/>
        <w:rPr>
          <w:szCs w:val="22"/>
        </w:rPr>
      </w:pPr>
    </w:p>
    <w:p w:rsidR="004E7E9A" w:rsidRDefault="004E7E9A" w:rsidP="004E7E9A">
      <w:pPr>
        <w:spacing w:before="120" w:after="120"/>
        <w:jc w:val="both"/>
        <w:rPr>
          <w:szCs w:val="22"/>
        </w:rPr>
      </w:pPr>
      <w:r w:rsidRPr="00140BA8">
        <w:rPr>
          <w:szCs w:val="22"/>
        </w:rPr>
        <w:t>Le Merriam-Webster Third New International Dictionary, un des dictionna</w:t>
      </w:r>
      <w:r w:rsidRPr="00140BA8">
        <w:rPr>
          <w:szCs w:val="22"/>
        </w:rPr>
        <w:t>i</w:t>
      </w:r>
      <w:r w:rsidRPr="00140BA8">
        <w:rPr>
          <w:szCs w:val="22"/>
        </w:rPr>
        <w:t>res les plus populaires aux États-Unis, ajoute deux autres :</w:t>
      </w:r>
    </w:p>
    <w:p w:rsidR="004E7E9A" w:rsidRPr="00140BA8" w:rsidRDefault="004E7E9A" w:rsidP="004E7E9A">
      <w:pPr>
        <w:spacing w:before="120" w:after="120"/>
        <w:jc w:val="both"/>
      </w:pPr>
    </w:p>
    <w:p w:rsidR="004E7E9A" w:rsidRPr="00140BA8" w:rsidRDefault="004E7E9A" w:rsidP="004E7E9A">
      <w:pPr>
        <w:spacing w:before="120" w:after="120"/>
        <w:ind w:left="720"/>
        <w:jc w:val="both"/>
      </w:pPr>
      <w:r w:rsidRPr="00140BA8">
        <w:rPr>
          <w:szCs w:val="22"/>
        </w:rPr>
        <w:t xml:space="preserve">(2) </w:t>
      </w:r>
      <w:r w:rsidRPr="00762E5D">
        <w:rPr>
          <w:i/>
          <w:szCs w:val="22"/>
        </w:rPr>
        <w:t>opposition to Zionism (3) sympathy for the opponents of Israël</w:t>
      </w:r>
      <w:r w:rsidRPr="00140BA8">
        <w:rPr>
          <w:szCs w:val="22"/>
        </w:rPr>
        <w:t>. »</w:t>
      </w:r>
    </w:p>
    <w:p w:rsidR="004E7E9A" w:rsidRDefault="004E7E9A" w:rsidP="004E7E9A">
      <w:pPr>
        <w:spacing w:before="120" w:after="120"/>
        <w:jc w:val="both"/>
        <w:rPr>
          <w:szCs w:val="22"/>
        </w:rPr>
      </w:pPr>
    </w:p>
    <w:p w:rsidR="004E7E9A" w:rsidRPr="00140BA8" w:rsidRDefault="004E7E9A" w:rsidP="004E7E9A">
      <w:pPr>
        <w:spacing w:before="120" w:after="120"/>
        <w:jc w:val="both"/>
      </w:pPr>
      <w:r w:rsidRPr="00140BA8">
        <w:rPr>
          <w:szCs w:val="22"/>
        </w:rPr>
        <w:t>Définir l'opposition à une idéologie politique (d'ailleurs contestée à partir d'une lecture spirituelle du judaïsme</w:t>
      </w:r>
      <w:r>
        <w:rPr>
          <w:szCs w:val="22"/>
        </w:rPr>
        <w:t> </w:t>
      </w:r>
      <w:r>
        <w:rPr>
          <w:rStyle w:val="Appelnotedebasdep"/>
          <w:szCs w:val="22"/>
        </w:rPr>
        <w:footnoteReference w:id="31"/>
      </w:r>
      <w:r w:rsidRPr="00140BA8">
        <w:rPr>
          <w:szCs w:val="22"/>
        </w:rPr>
        <w:t>), ou aux politiques d'o</w:t>
      </w:r>
      <w:r w:rsidRPr="00140BA8">
        <w:rPr>
          <w:szCs w:val="22"/>
        </w:rPr>
        <w:t>c</w:t>
      </w:r>
      <w:r w:rsidRPr="00140BA8">
        <w:rPr>
          <w:szCs w:val="22"/>
        </w:rPr>
        <w:t>cupation isra</w:t>
      </w:r>
      <w:r w:rsidRPr="00140BA8">
        <w:rPr>
          <w:szCs w:val="22"/>
        </w:rPr>
        <w:t>é</w:t>
      </w:r>
      <w:r w:rsidRPr="00140BA8">
        <w:rPr>
          <w:szCs w:val="22"/>
        </w:rPr>
        <w:t>liennes comme étant une forme de racisme, a pour effet de paralyser la réflexion critique. C'est une forme particulièrement néfaste de déni.</w:t>
      </w:r>
    </w:p>
    <w:p w:rsidR="004E7E9A" w:rsidRPr="00140BA8" w:rsidRDefault="004E7E9A" w:rsidP="004E7E9A">
      <w:pPr>
        <w:spacing w:before="120" w:after="120"/>
        <w:jc w:val="both"/>
      </w:pPr>
      <w:r w:rsidRPr="00140BA8">
        <w:rPr>
          <w:szCs w:val="22"/>
        </w:rPr>
        <w:t xml:space="preserve">Ce sont ces conceptions qui sont à la base des prises de position de plusieurs personnalités politiques. À titre d'illustration, mentionnons l'article de l'ancien premier ministre du Canada, M. Brian Mulroney. Dans un texte publié dans le </w:t>
      </w:r>
      <w:r w:rsidRPr="0001354A">
        <w:rPr>
          <w:i/>
          <w:szCs w:val="22"/>
        </w:rPr>
        <w:t>National Post</w:t>
      </w:r>
      <w:r w:rsidRPr="00140BA8">
        <w:rPr>
          <w:szCs w:val="22"/>
        </w:rPr>
        <w:t>, sous le titre « </w:t>
      </w:r>
      <w:r w:rsidRPr="0001354A">
        <w:rPr>
          <w:i/>
          <w:szCs w:val="22"/>
        </w:rPr>
        <w:t>Israël is the New Jew </w:t>
      </w:r>
      <w:r w:rsidRPr="00140BA8">
        <w:rPr>
          <w:szCs w:val="22"/>
        </w:rPr>
        <w:t>» comportant en exergue : « </w:t>
      </w:r>
      <w:r w:rsidRPr="0001354A">
        <w:rPr>
          <w:i/>
          <w:szCs w:val="22"/>
        </w:rPr>
        <w:t>contemporary anti-Semitism has added the Jewish state to its list of targets </w:t>
      </w:r>
      <w:r w:rsidRPr="00140BA8">
        <w:rPr>
          <w:szCs w:val="22"/>
        </w:rPr>
        <w:t>» il pourfend ceux qui crit</w:t>
      </w:r>
      <w:r w:rsidRPr="00140BA8">
        <w:rPr>
          <w:szCs w:val="22"/>
        </w:rPr>
        <w:t>i</w:t>
      </w:r>
      <w:r w:rsidRPr="00140BA8">
        <w:rPr>
          <w:szCs w:val="22"/>
        </w:rPr>
        <w:t>quent l'état d'Israël, et écrit une page pleine sans me</w:t>
      </w:r>
      <w:r w:rsidRPr="00140BA8">
        <w:rPr>
          <w:szCs w:val="22"/>
        </w:rPr>
        <w:t>n</w:t>
      </w:r>
      <w:r w:rsidRPr="00140BA8">
        <w:rPr>
          <w:szCs w:val="22"/>
        </w:rPr>
        <w:t>tionner une seule fois l'occupation militaire des territoires palestiniens</w:t>
      </w:r>
      <w:r>
        <w:rPr>
          <w:szCs w:val="22"/>
        </w:rPr>
        <w:t> </w:t>
      </w:r>
      <w:r>
        <w:rPr>
          <w:rStyle w:val="Appelnotedebasdep"/>
          <w:szCs w:val="22"/>
        </w:rPr>
        <w:footnoteReference w:id="32"/>
      </w:r>
      <w:r w:rsidRPr="00140BA8">
        <w:rPr>
          <w:szCs w:val="22"/>
        </w:rPr>
        <w:t>. Bien sûr il évoque la possibilité théorique qu'on puisse critiquer Israël sans être ant</w:t>
      </w:r>
      <w:r w:rsidRPr="00140BA8">
        <w:rPr>
          <w:szCs w:val="22"/>
        </w:rPr>
        <w:t>i</w:t>
      </w:r>
      <w:r w:rsidRPr="00140BA8">
        <w:rPr>
          <w:szCs w:val="22"/>
        </w:rPr>
        <w:t>sémite, mais il se garde de le faire et surtout il n'apporte, dans son long texte, aucun élément permettant de le faire. Dans un discours qui prend son origine au centre du pouvoir, Israël est donc représentée une fois encore comme la victime.</w:t>
      </w:r>
    </w:p>
    <w:p w:rsidR="004E7E9A" w:rsidRPr="00140BA8" w:rsidRDefault="004E7E9A" w:rsidP="004E7E9A">
      <w:pPr>
        <w:spacing w:before="120" w:after="120"/>
        <w:jc w:val="both"/>
      </w:pPr>
      <w:r w:rsidRPr="00140BA8">
        <w:rPr>
          <w:szCs w:val="22"/>
        </w:rPr>
        <w:t>Plus récemment, c'est au tour de la députée Marlene Jennings</w:t>
      </w:r>
      <w:r>
        <w:rPr>
          <w:szCs w:val="22"/>
        </w:rPr>
        <w:t> </w:t>
      </w:r>
      <w:r>
        <w:rPr>
          <w:rStyle w:val="Appelnotedebasdep"/>
          <w:szCs w:val="22"/>
        </w:rPr>
        <w:footnoteReference w:id="33"/>
      </w:r>
      <w:r w:rsidRPr="00140BA8">
        <w:rPr>
          <w:szCs w:val="22"/>
        </w:rPr>
        <w:t xml:space="preserve"> de reproduire l'idée qu'Israël est la victime. Critiquant le fait que le C</w:t>
      </w:r>
      <w:r w:rsidRPr="00140BA8">
        <w:rPr>
          <w:szCs w:val="22"/>
        </w:rPr>
        <w:t>a</w:t>
      </w:r>
      <w:r w:rsidRPr="00140BA8">
        <w:rPr>
          <w:szCs w:val="22"/>
        </w:rPr>
        <w:t>nada se soit abstenu plutôt que de voter contre la résolution dema</w:t>
      </w:r>
      <w:r w:rsidRPr="00140BA8">
        <w:rPr>
          <w:szCs w:val="22"/>
        </w:rPr>
        <w:t>n</w:t>
      </w:r>
      <w:r w:rsidRPr="00140BA8">
        <w:rPr>
          <w:szCs w:val="22"/>
        </w:rPr>
        <w:t>dant à la Cour international de Justice d'examiner la question de la barrière de sécurité qui enferme les Palest</w:t>
      </w:r>
      <w:r w:rsidRPr="00140BA8">
        <w:rPr>
          <w:szCs w:val="22"/>
        </w:rPr>
        <w:t>i</w:t>
      </w:r>
      <w:r w:rsidRPr="00140BA8">
        <w:rPr>
          <w:szCs w:val="22"/>
        </w:rPr>
        <w:t>niens, Jennings déclare : « </w:t>
      </w:r>
      <w:r w:rsidRPr="0001354A">
        <w:rPr>
          <w:i/>
          <w:szCs w:val="22"/>
        </w:rPr>
        <w:t>Israël is the victim and must be allowed to determine what measures it deems appropriate for its security</w:t>
      </w:r>
      <w:r w:rsidRPr="00140BA8">
        <w:rPr>
          <w:szCs w:val="22"/>
        </w:rPr>
        <w:t>... ». Ici aussi, la fonction de cette barrière dans l'annexion de territoires palestiniens est totalement a</w:t>
      </w:r>
      <w:r w:rsidRPr="00140BA8">
        <w:rPr>
          <w:szCs w:val="22"/>
        </w:rPr>
        <w:t>b</w:t>
      </w:r>
      <w:r w:rsidRPr="00140BA8">
        <w:rPr>
          <w:szCs w:val="22"/>
        </w:rPr>
        <w:t>sente. Le rôle d'agresseur et de victime est renversé. Les prises de p</w:t>
      </w:r>
      <w:r w:rsidRPr="00140BA8">
        <w:rPr>
          <w:szCs w:val="22"/>
        </w:rPr>
        <w:t>o</w:t>
      </w:r>
      <w:r w:rsidRPr="00140BA8">
        <w:rPr>
          <w:szCs w:val="22"/>
        </w:rPr>
        <w:t>sition des M. Mulroney et de Mme Jennings ne sont pas exceptionne</w:t>
      </w:r>
      <w:r w:rsidRPr="00140BA8">
        <w:rPr>
          <w:szCs w:val="22"/>
        </w:rPr>
        <w:t>l</w:t>
      </w:r>
      <w:r w:rsidRPr="00140BA8">
        <w:rPr>
          <w:szCs w:val="22"/>
        </w:rPr>
        <w:t>les. D'ailleurs elles n'ont reçu aucune critique de la part d'autres coll</w:t>
      </w:r>
      <w:r w:rsidRPr="00140BA8">
        <w:rPr>
          <w:szCs w:val="22"/>
        </w:rPr>
        <w:t>è</w:t>
      </w:r>
      <w:r w:rsidRPr="00140BA8">
        <w:rPr>
          <w:szCs w:val="22"/>
        </w:rPr>
        <w:t>gues ou de la part d'éditorialistes. Elles illustrent plutôt la règle gén</w:t>
      </w:r>
      <w:r w:rsidRPr="00140BA8">
        <w:rPr>
          <w:szCs w:val="22"/>
        </w:rPr>
        <w:t>é</w:t>
      </w:r>
      <w:r w:rsidRPr="00140BA8">
        <w:rPr>
          <w:szCs w:val="22"/>
        </w:rPr>
        <w:t>rale qui prévaut au sein de l'appareil politique canadien.</w:t>
      </w:r>
    </w:p>
    <w:p w:rsidR="004E7E9A" w:rsidRDefault="004E7E9A" w:rsidP="004E7E9A">
      <w:pPr>
        <w:spacing w:before="120" w:after="120"/>
        <w:jc w:val="both"/>
        <w:rPr>
          <w:bCs/>
          <w:szCs w:val="22"/>
        </w:rPr>
      </w:pPr>
    </w:p>
    <w:p w:rsidR="004E7E9A" w:rsidRPr="00140BA8" w:rsidRDefault="004E7E9A" w:rsidP="004E7E9A">
      <w:pPr>
        <w:pStyle w:val="a"/>
      </w:pPr>
      <w:bookmarkStart w:id="5" w:name="Israel_devoir_memoire_deni_4"/>
      <w:r w:rsidRPr="00140BA8">
        <w:t>4. L'impact sur l'opinion publique</w:t>
      </w:r>
    </w:p>
    <w:bookmarkEnd w:id="5"/>
    <w:p w:rsidR="004E7E9A" w:rsidRDefault="004E7E9A" w:rsidP="004E7E9A">
      <w:pPr>
        <w:spacing w:before="120" w:after="120"/>
        <w:jc w:val="both"/>
        <w:rPr>
          <w:szCs w:val="22"/>
        </w:rPr>
      </w:pPr>
    </w:p>
    <w:p w:rsidR="004E7E9A" w:rsidRPr="00893DBF" w:rsidRDefault="004E7E9A" w:rsidP="004E7E9A">
      <w:pPr>
        <w:ind w:right="90" w:firstLine="0"/>
        <w:jc w:val="both"/>
        <w:rPr>
          <w:sz w:val="20"/>
        </w:rPr>
      </w:pPr>
      <w:hyperlink w:anchor="tdm" w:history="1">
        <w:r w:rsidRPr="00893DBF">
          <w:rPr>
            <w:rStyle w:val="Lienhypertexte"/>
            <w:sz w:val="20"/>
          </w:rPr>
          <w:t>Retour à la table des matières</w:t>
        </w:r>
      </w:hyperlink>
    </w:p>
    <w:p w:rsidR="004E7E9A" w:rsidRPr="00140BA8" w:rsidRDefault="004E7E9A" w:rsidP="004E7E9A">
      <w:pPr>
        <w:spacing w:before="120" w:after="120"/>
        <w:jc w:val="both"/>
      </w:pPr>
      <w:r w:rsidRPr="00140BA8">
        <w:rPr>
          <w:szCs w:val="22"/>
        </w:rPr>
        <w:t>Nous avons affirmé au début de ce texte que les interprétations o</w:t>
      </w:r>
      <w:r w:rsidRPr="00140BA8">
        <w:rPr>
          <w:szCs w:val="22"/>
        </w:rPr>
        <w:t>f</w:t>
      </w:r>
      <w:r w:rsidRPr="00140BA8">
        <w:rPr>
          <w:szCs w:val="22"/>
        </w:rPr>
        <w:t>ficielles israéliennes de l'histoire de la Palestine étaient dominantes dans le discours public en Occident, et qu'elles avaient fondé les r</w:t>
      </w:r>
      <w:r w:rsidRPr="00140BA8">
        <w:rPr>
          <w:szCs w:val="22"/>
        </w:rPr>
        <w:t>e</w:t>
      </w:r>
      <w:r w:rsidRPr="00140BA8">
        <w:rPr>
          <w:szCs w:val="22"/>
        </w:rPr>
        <w:t>présentations que l'on se fait du conflit, transformant les victimes de la dépossession en agresseurs. Nous croyons que le déni systématique des faits historiques, repris et porté par un certain nombre d'intelle</w:t>
      </w:r>
      <w:r w:rsidRPr="00140BA8">
        <w:rPr>
          <w:szCs w:val="22"/>
        </w:rPr>
        <w:t>c</w:t>
      </w:r>
      <w:r w:rsidRPr="00140BA8">
        <w:rPr>
          <w:szCs w:val="22"/>
        </w:rPr>
        <w:t>tuels et de politiciens, se reflète dans ces représentations. Ceci est vrai non seulement des interprétations que l'on se fait du conflit, mais des faits empiriques eux-mêmes.</w:t>
      </w:r>
    </w:p>
    <w:p w:rsidR="004E7E9A" w:rsidRPr="00140BA8" w:rsidRDefault="004E7E9A" w:rsidP="004E7E9A">
      <w:pPr>
        <w:spacing w:before="120" w:after="120"/>
        <w:jc w:val="both"/>
      </w:pPr>
      <w:r w:rsidRPr="00140BA8">
        <w:rPr>
          <w:szCs w:val="22"/>
        </w:rPr>
        <w:t>Cette question a été étudiée par le Glasgow University Media Unit. Voici les points saillants de l'ouvrage qui fait état d'une étude de la couverture médiatique du Proche-Orient par</w:t>
      </w:r>
      <w:r>
        <w:rPr>
          <w:szCs w:val="22"/>
        </w:rPr>
        <w:t xml:space="preserve"> </w:t>
      </w:r>
      <w:r w:rsidRPr="00140BA8">
        <w:rPr>
          <w:szCs w:val="22"/>
        </w:rPr>
        <w:t>la BBC et par la chaîne ITV, et de son rapport avec la construction des connaissances des t</w:t>
      </w:r>
      <w:r w:rsidRPr="00140BA8">
        <w:rPr>
          <w:szCs w:val="22"/>
        </w:rPr>
        <w:t>é</w:t>
      </w:r>
      <w:r w:rsidRPr="00140BA8">
        <w:rPr>
          <w:szCs w:val="22"/>
        </w:rPr>
        <w:t>léspectateurs (compréhension, croyances et attitudes)</w:t>
      </w:r>
      <w:r>
        <w:rPr>
          <w:szCs w:val="22"/>
        </w:rPr>
        <w:t> </w:t>
      </w:r>
      <w:r>
        <w:rPr>
          <w:rStyle w:val="Appelnotedebasdep"/>
          <w:szCs w:val="22"/>
        </w:rPr>
        <w:footnoteReference w:id="34"/>
      </w:r>
      <w:r w:rsidRPr="00140BA8">
        <w:rPr>
          <w:szCs w:val="22"/>
        </w:rPr>
        <w:t>. Les résultats montrent un renversement du rôle des vi</w:t>
      </w:r>
      <w:r w:rsidRPr="00140BA8">
        <w:rPr>
          <w:szCs w:val="22"/>
        </w:rPr>
        <w:t>c</w:t>
      </w:r>
      <w:r w:rsidRPr="00140BA8">
        <w:rPr>
          <w:szCs w:val="22"/>
        </w:rPr>
        <w:t>times et des agresseurs aux yeux des participants britanniques, all</w:t>
      </w:r>
      <w:r w:rsidRPr="00140BA8">
        <w:rPr>
          <w:szCs w:val="22"/>
        </w:rPr>
        <w:t>e</w:t>
      </w:r>
      <w:r w:rsidRPr="00140BA8">
        <w:rPr>
          <w:szCs w:val="22"/>
        </w:rPr>
        <w:t>mands et américains ainsi que des éléments explicatifs de ce renve</w:t>
      </w:r>
      <w:r w:rsidRPr="00140BA8">
        <w:rPr>
          <w:szCs w:val="22"/>
        </w:rPr>
        <w:t>r</w:t>
      </w:r>
      <w:r w:rsidRPr="00140BA8">
        <w:rPr>
          <w:szCs w:val="22"/>
        </w:rPr>
        <w:t>sement.</w:t>
      </w:r>
    </w:p>
    <w:p w:rsidR="004E7E9A" w:rsidRPr="00140BA8" w:rsidRDefault="004E7E9A" w:rsidP="004E7E9A">
      <w:pPr>
        <w:spacing w:before="120" w:after="120"/>
        <w:jc w:val="both"/>
      </w:pPr>
      <w:r w:rsidRPr="00140BA8">
        <w:rPr>
          <w:szCs w:val="22"/>
        </w:rPr>
        <w:t>Voici ce que les auteurs rapportent :</w:t>
      </w:r>
    </w:p>
    <w:p w:rsidR="004E7E9A" w:rsidRDefault="004E7E9A" w:rsidP="004E7E9A">
      <w:pPr>
        <w:pStyle w:val="Citationi"/>
      </w:pPr>
    </w:p>
    <w:p w:rsidR="004E7E9A" w:rsidRDefault="004E7E9A" w:rsidP="004E7E9A">
      <w:pPr>
        <w:pStyle w:val="Citationi"/>
      </w:pPr>
      <w:r w:rsidRPr="00140BA8">
        <w:t>There is a pr</w:t>
      </w:r>
      <w:r>
        <w:t>eponderance of official</w:t>
      </w:r>
      <w:r w:rsidRPr="00140BA8">
        <w:t xml:space="preserve"> 'Israeli perspectives', partic</w:t>
      </w:r>
      <w:r w:rsidRPr="00140BA8">
        <w:t>u</w:t>
      </w:r>
      <w:r w:rsidRPr="00140BA8">
        <w:t>larly on BBC</w:t>
      </w:r>
      <w:r>
        <w:t> </w:t>
      </w:r>
      <w:r w:rsidRPr="00140BA8">
        <w:t>1, where Israelis were interviewed or reported over tw</w:t>
      </w:r>
      <w:r w:rsidRPr="00140BA8">
        <w:t>i</w:t>
      </w:r>
      <w:r w:rsidRPr="00140BA8">
        <w:t>ce as much as P</w:t>
      </w:r>
      <w:r w:rsidRPr="00140BA8">
        <w:t>a</w:t>
      </w:r>
      <w:r w:rsidRPr="00140BA8">
        <w:t>lestinians. On top of this, US politicians who support Israël were very strongly featured. They appeared more th</w:t>
      </w:r>
      <w:r>
        <w:t>a</w:t>
      </w:r>
      <w:r w:rsidRPr="00140BA8">
        <w:t>n polit</w:t>
      </w:r>
      <w:r w:rsidRPr="00140BA8">
        <w:t>i</w:t>
      </w:r>
      <w:r w:rsidRPr="00140BA8">
        <w:t>cians from any other country and twice as much as those from Britain. (ibid)</w:t>
      </w:r>
    </w:p>
    <w:p w:rsidR="004E7E9A" w:rsidRPr="00140BA8" w:rsidRDefault="004E7E9A" w:rsidP="004E7E9A">
      <w:pPr>
        <w:pStyle w:val="Citationi"/>
      </w:pPr>
    </w:p>
    <w:p w:rsidR="004E7E9A" w:rsidRDefault="004E7E9A" w:rsidP="004E7E9A">
      <w:pPr>
        <w:pStyle w:val="Citationi"/>
      </w:pPr>
      <w:r w:rsidRPr="00140BA8">
        <w:t xml:space="preserve">(...) </w:t>
      </w:r>
      <w:r w:rsidRPr="006E2741">
        <w:t>Most (viewers) did not know that the Palestinians had been forced from their homes and land when Israël was established in 1948. In 1967 Israël occupied by force the territories to which the P</w:t>
      </w:r>
      <w:r w:rsidRPr="006E2741">
        <w:t>a</w:t>
      </w:r>
      <w:r w:rsidRPr="006E2741">
        <w:t>lestinian refugees had moved. Most viewers did not know that the Palest</w:t>
      </w:r>
      <w:r w:rsidRPr="006E2741">
        <w:t>i</w:t>
      </w:r>
      <w:r w:rsidRPr="006E2741">
        <w:t>nians subsequently lived under Israeli military rule or that the Israelis took control of key r</w:t>
      </w:r>
      <w:r w:rsidRPr="006E2741">
        <w:t>e</w:t>
      </w:r>
      <w:r w:rsidRPr="006E2741">
        <w:t>sources such as water, and the damage this did to the Palestinian econ</w:t>
      </w:r>
      <w:r w:rsidRPr="006E2741">
        <w:t>o</w:t>
      </w:r>
      <w:r w:rsidRPr="006E2741">
        <w:t>my. Without explanations being given on the news, there was great conf</w:t>
      </w:r>
      <w:r w:rsidRPr="006E2741">
        <w:t>u</w:t>
      </w:r>
      <w:r w:rsidRPr="006E2741">
        <w:t>sion amongst viewers even about who was 'occupying' the occupied terr</w:t>
      </w:r>
      <w:r w:rsidRPr="006E2741">
        <w:t>i</w:t>
      </w:r>
      <w:r w:rsidRPr="006E2741">
        <w:t>tories. Some understood 'occ</w:t>
      </w:r>
      <w:r w:rsidRPr="006E2741">
        <w:t>u</w:t>
      </w:r>
      <w:r w:rsidRPr="006E2741">
        <w:t>pied' to mean that someone was on the land (as in a bathroom being occupied) so they thought that the Palestinians were the occupiers. Many saw the conflict as a sort of border dispute be</w:t>
      </w:r>
      <w:r w:rsidRPr="006E2741">
        <w:t>t</w:t>
      </w:r>
      <w:r w:rsidRPr="006E2741">
        <w:t>ween two cou</w:t>
      </w:r>
      <w:r w:rsidRPr="006E2741">
        <w:t>n</w:t>
      </w:r>
      <w:r w:rsidRPr="006E2741">
        <w:t>tries fighting over land between them</w:t>
      </w:r>
      <w:r w:rsidRPr="00140BA8">
        <w:t>. (</w:t>
      </w:r>
      <w:r w:rsidRPr="006E2741">
        <w:t>ibid</w:t>
      </w:r>
      <w:r w:rsidRPr="00140BA8">
        <w:t>)</w:t>
      </w:r>
    </w:p>
    <w:p w:rsidR="004E7E9A" w:rsidRPr="00140BA8" w:rsidRDefault="004E7E9A" w:rsidP="004E7E9A">
      <w:pPr>
        <w:pStyle w:val="Citationi"/>
      </w:pPr>
    </w:p>
    <w:p w:rsidR="004E7E9A" w:rsidRPr="00140BA8" w:rsidRDefault="004E7E9A" w:rsidP="004E7E9A">
      <w:pPr>
        <w:spacing w:before="120" w:after="120"/>
        <w:jc w:val="both"/>
      </w:pPr>
      <w:r w:rsidRPr="00140BA8">
        <w:rPr>
          <w:szCs w:val="22"/>
        </w:rPr>
        <w:t>Les auteurs ont posé une question simple : qui occupe les territo</w:t>
      </w:r>
      <w:r w:rsidRPr="00140BA8">
        <w:rPr>
          <w:szCs w:val="22"/>
        </w:rPr>
        <w:t>i</w:t>
      </w:r>
      <w:r w:rsidRPr="00140BA8">
        <w:rPr>
          <w:szCs w:val="22"/>
        </w:rPr>
        <w:t>res occupés et quelle est la nationalité des colons ?</w:t>
      </w:r>
    </w:p>
    <w:p w:rsidR="004E7E9A" w:rsidRPr="00140BA8" w:rsidRDefault="004E7E9A" w:rsidP="004E7E9A">
      <w:pPr>
        <w:spacing w:before="120" w:after="120"/>
        <w:jc w:val="both"/>
      </w:pPr>
      <w:r w:rsidRPr="00140BA8">
        <w:rPr>
          <w:szCs w:val="22"/>
        </w:rPr>
        <w:t>Chez les Britanniques, seulement 9% en 2001 et 11% en 2002 ont répondu correctement que les Israéliens occupaient les territoires p</w:t>
      </w:r>
      <w:r w:rsidRPr="00140BA8">
        <w:rPr>
          <w:szCs w:val="22"/>
        </w:rPr>
        <w:t>a</w:t>
      </w:r>
      <w:r w:rsidRPr="00140BA8">
        <w:rPr>
          <w:szCs w:val="22"/>
        </w:rPr>
        <w:t>lestiniens et que les colons étaient des Israéliens. Chez les Allemands, seulement 26% ont donné une réponse correcte. L'échantillon amér</w:t>
      </w:r>
      <w:r w:rsidRPr="00140BA8">
        <w:rPr>
          <w:szCs w:val="22"/>
        </w:rPr>
        <w:t>i</w:t>
      </w:r>
      <w:r w:rsidRPr="00140BA8">
        <w:rPr>
          <w:szCs w:val="22"/>
        </w:rPr>
        <w:t>cain était beaucoup mieux informé que la moyenne de la population, puisqu'il s'agissait d'étudiants en journalisme ayant déjà fait des tr</w:t>
      </w:r>
      <w:r w:rsidRPr="00140BA8">
        <w:rPr>
          <w:szCs w:val="22"/>
        </w:rPr>
        <w:t>a</w:t>
      </w:r>
      <w:r w:rsidRPr="00140BA8">
        <w:rPr>
          <w:szCs w:val="22"/>
        </w:rPr>
        <w:t>vaux universitaires sur le conflit israélo-palestinien. Pourtant, parmi ce groupe relativement bien informé, seulement 29% ont donné une r</w:t>
      </w:r>
      <w:r w:rsidRPr="00140BA8">
        <w:rPr>
          <w:szCs w:val="22"/>
        </w:rPr>
        <w:t>é</w:t>
      </w:r>
      <w:r w:rsidRPr="00140BA8">
        <w:rPr>
          <w:szCs w:val="22"/>
        </w:rPr>
        <w:t>ponse correcte. Plus de la moitié de ceux qui ont donné la bonne réponse pe</w:t>
      </w:r>
      <w:r w:rsidRPr="00140BA8">
        <w:rPr>
          <w:szCs w:val="22"/>
        </w:rPr>
        <w:t>n</w:t>
      </w:r>
      <w:r w:rsidRPr="00140BA8">
        <w:rPr>
          <w:szCs w:val="22"/>
        </w:rPr>
        <w:t>saient aussi que les Palestiniens occupaient les territoires occupés (tel qu'expl</w:t>
      </w:r>
      <w:r w:rsidRPr="00140BA8">
        <w:rPr>
          <w:szCs w:val="22"/>
        </w:rPr>
        <w:t>i</w:t>
      </w:r>
      <w:r w:rsidRPr="00140BA8">
        <w:rPr>
          <w:szCs w:val="22"/>
        </w:rPr>
        <w:t>qué dans la citation précédente), démontrant ainsi une confusion étonnante.</w:t>
      </w:r>
    </w:p>
    <w:p w:rsidR="004E7E9A" w:rsidRDefault="004E7E9A" w:rsidP="004E7E9A">
      <w:pPr>
        <w:spacing w:before="120" w:after="120"/>
        <w:jc w:val="both"/>
        <w:rPr>
          <w:szCs w:val="22"/>
        </w:rPr>
      </w:pPr>
      <w:r w:rsidRPr="00140BA8">
        <w:rPr>
          <w:szCs w:val="22"/>
        </w:rPr>
        <w:t>C'est sans doute cet état d'ignorance de la population, soigneus</w:t>
      </w:r>
      <w:r w:rsidRPr="00140BA8">
        <w:rPr>
          <w:szCs w:val="22"/>
        </w:rPr>
        <w:t>e</w:t>
      </w:r>
      <w:r w:rsidRPr="00140BA8">
        <w:rPr>
          <w:szCs w:val="22"/>
        </w:rPr>
        <w:t>ment entr</w:t>
      </w:r>
      <w:r w:rsidRPr="00140BA8">
        <w:rPr>
          <w:szCs w:val="22"/>
        </w:rPr>
        <w:t>e</w:t>
      </w:r>
      <w:r w:rsidRPr="00140BA8">
        <w:rPr>
          <w:szCs w:val="22"/>
        </w:rPr>
        <w:t>tenu</w:t>
      </w:r>
      <w:r>
        <w:rPr>
          <w:szCs w:val="22"/>
        </w:rPr>
        <w:t> </w:t>
      </w:r>
      <w:r>
        <w:rPr>
          <w:rStyle w:val="Appelnotedebasdep"/>
          <w:szCs w:val="22"/>
        </w:rPr>
        <w:footnoteReference w:id="35"/>
      </w:r>
      <w:r w:rsidRPr="00140BA8">
        <w:rPr>
          <w:szCs w:val="22"/>
        </w:rPr>
        <w:t>, qui permet à des politiciens et des politiciennes de prétendre qu'ils sont pour une solution juste et négociée du conflit, et d'appuyer, simultanément, toutes les mesures d'occupation du territo</w:t>
      </w:r>
      <w:r w:rsidRPr="00140BA8">
        <w:rPr>
          <w:szCs w:val="22"/>
        </w:rPr>
        <w:t>i</w:t>
      </w:r>
      <w:r w:rsidRPr="00140BA8">
        <w:rPr>
          <w:szCs w:val="22"/>
        </w:rPr>
        <w:t>re prises par Israël, en pourfendant comme antisémites ceux qui crit</w:t>
      </w:r>
      <w:r w:rsidRPr="00140BA8">
        <w:rPr>
          <w:szCs w:val="22"/>
        </w:rPr>
        <w:t>i</w:t>
      </w:r>
      <w:r w:rsidRPr="00140BA8">
        <w:rPr>
          <w:szCs w:val="22"/>
        </w:rPr>
        <w:t>quent les actions israéliennes.</w:t>
      </w:r>
    </w:p>
    <w:p w:rsidR="004E7E9A" w:rsidRDefault="004E7E9A" w:rsidP="004E7E9A">
      <w:pPr>
        <w:spacing w:before="120" w:after="120"/>
        <w:jc w:val="both"/>
        <w:rPr>
          <w:bCs/>
          <w:szCs w:val="24"/>
        </w:rPr>
      </w:pPr>
    </w:p>
    <w:p w:rsidR="004E7E9A" w:rsidRPr="00140BA8" w:rsidRDefault="004E7E9A" w:rsidP="004E7E9A">
      <w:pPr>
        <w:pStyle w:val="a"/>
      </w:pPr>
      <w:bookmarkStart w:id="6" w:name="Israel_devoir_memoire_deni_conclusion"/>
      <w:r w:rsidRPr="00140BA8">
        <w:t>Conclusion</w:t>
      </w:r>
    </w:p>
    <w:bookmarkEnd w:id="6"/>
    <w:p w:rsidR="004E7E9A" w:rsidRDefault="004E7E9A" w:rsidP="004E7E9A">
      <w:pPr>
        <w:spacing w:before="120" w:after="120"/>
        <w:jc w:val="both"/>
        <w:rPr>
          <w:szCs w:val="24"/>
        </w:rPr>
      </w:pPr>
    </w:p>
    <w:p w:rsidR="004E7E9A" w:rsidRPr="00893DBF" w:rsidRDefault="004E7E9A" w:rsidP="004E7E9A">
      <w:pPr>
        <w:ind w:right="90" w:firstLine="0"/>
        <w:jc w:val="both"/>
        <w:rPr>
          <w:sz w:val="20"/>
        </w:rPr>
      </w:pPr>
      <w:hyperlink w:anchor="tdm" w:history="1">
        <w:r w:rsidRPr="00893DBF">
          <w:rPr>
            <w:rStyle w:val="Lienhypertexte"/>
            <w:sz w:val="20"/>
          </w:rPr>
          <w:t>Retour à la table des matières</w:t>
        </w:r>
      </w:hyperlink>
    </w:p>
    <w:p w:rsidR="004E7E9A" w:rsidRPr="00140BA8" w:rsidRDefault="004E7E9A" w:rsidP="004E7E9A">
      <w:pPr>
        <w:spacing w:before="120" w:after="120"/>
        <w:jc w:val="both"/>
      </w:pPr>
      <w:r w:rsidRPr="00140BA8">
        <w:rPr>
          <w:szCs w:val="24"/>
        </w:rPr>
        <w:t>La responsabilité historique du sionisme politique dans la destru</w:t>
      </w:r>
      <w:r w:rsidRPr="00140BA8">
        <w:rPr>
          <w:szCs w:val="24"/>
        </w:rPr>
        <w:t>c</w:t>
      </w:r>
      <w:r w:rsidRPr="00140BA8">
        <w:rPr>
          <w:szCs w:val="24"/>
        </w:rPr>
        <w:t>tion de la société palestinienne n'est pas qu'une question d'histoire et de mémoire. Les p</w:t>
      </w:r>
      <w:r w:rsidRPr="00140BA8">
        <w:rPr>
          <w:szCs w:val="24"/>
        </w:rPr>
        <w:t>o</w:t>
      </w:r>
      <w:r w:rsidRPr="00140BA8">
        <w:rPr>
          <w:szCs w:val="24"/>
        </w:rPr>
        <w:t>litiques de dépossession des Palestiniens de leur territoire se poursuivent act</w:t>
      </w:r>
      <w:r w:rsidRPr="00140BA8">
        <w:rPr>
          <w:szCs w:val="24"/>
        </w:rPr>
        <w:t>i</w:t>
      </w:r>
      <w:r w:rsidRPr="00140BA8">
        <w:rPr>
          <w:szCs w:val="24"/>
        </w:rPr>
        <w:t>vement encore aujourd'hui. Si quelques voix courageuses parlent de demander pardon pour ce qu'Israël a fait subir aux Palestiniens, elles restent extrêmement minor</w:t>
      </w:r>
      <w:r w:rsidRPr="00140BA8">
        <w:rPr>
          <w:szCs w:val="24"/>
        </w:rPr>
        <w:t>i</w:t>
      </w:r>
      <w:r w:rsidRPr="00140BA8">
        <w:rPr>
          <w:szCs w:val="24"/>
        </w:rPr>
        <w:t>taires en Israël et complètement marginalisées dans la diaspora. Ce sont les cons</w:t>
      </w:r>
      <w:r w:rsidRPr="00140BA8">
        <w:rPr>
          <w:szCs w:val="24"/>
        </w:rPr>
        <w:t>é</w:t>
      </w:r>
      <w:r w:rsidRPr="00140BA8">
        <w:rPr>
          <w:szCs w:val="24"/>
        </w:rPr>
        <w:t>quences possibles de la réparation qui rendent ce devoir de mémoire impensable pour les courants politiques et intellectuels dominants en Israël. Car la moindre réflexion sérieuse sur la réparation remettrait en question les prémisses fondame</w:t>
      </w:r>
      <w:r w:rsidRPr="00140BA8">
        <w:rPr>
          <w:szCs w:val="24"/>
        </w:rPr>
        <w:t>n</w:t>
      </w:r>
      <w:r w:rsidRPr="00140BA8">
        <w:rPr>
          <w:szCs w:val="24"/>
        </w:rPr>
        <w:t>tales du sionisme politique tel qu'il s'est développé historiquement au 20</w:t>
      </w:r>
      <w:r w:rsidRPr="00140BA8">
        <w:rPr>
          <w:szCs w:val="24"/>
          <w:vertAlign w:val="superscript"/>
        </w:rPr>
        <w:t>e</w:t>
      </w:r>
      <w:r w:rsidRPr="00140BA8">
        <w:rPr>
          <w:szCs w:val="24"/>
        </w:rPr>
        <w:t xml:space="preserve"> siècle. Par ailleurs, la reconnai</w:t>
      </w:r>
      <w:r w:rsidRPr="00140BA8">
        <w:rPr>
          <w:szCs w:val="24"/>
        </w:rPr>
        <w:t>s</w:t>
      </w:r>
      <w:r w:rsidRPr="00140BA8">
        <w:rPr>
          <w:szCs w:val="24"/>
        </w:rPr>
        <w:t>sance des torts infligés à la société pale</w:t>
      </w:r>
      <w:r w:rsidRPr="00140BA8">
        <w:rPr>
          <w:szCs w:val="24"/>
        </w:rPr>
        <w:t>s</w:t>
      </w:r>
      <w:r w:rsidRPr="00140BA8">
        <w:rPr>
          <w:szCs w:val="24"/>
        </w:rPr>
        <w:t>tinienne rendrait impossible la poursuite de la politique de dépossession qui est encore en vigueur. Or les tendances dominantes en Israël appuient le maintien des colonies et leur renforcement, et non pas leur démantèlement, ainsi que l'a</w:t>
      </w:r>
      <w:r w:rsidRPr="00140BA8">
        <w:rPr>
          <w:szCs w:val="24"/>
        </w:rPr>
        <w:t>p</w:t>
      </w:r>
      <w:r w:rsidRPr="00140BA8">
        <w:rPr>
          <w:szCs w:val="24"/>
        </w:rPr>
        <w:t>propriation de po</w:t>
      </w:r>
      <w:r w:rsidRPr="00140BA8">
        <w:rPr>
          <w:szCs w:val="24"/>
        </w:rPr>
        <w:t>r</w:t>
      </w:r>
      <w:r w:rsidRPr="00140BA8">
        <w:rPr>
          <w:szCs w:val="24"/>
        </w:rPr>
        <w:t>tions importantes des territoires occupés en 1967, même si ces tendances souhaitent, du même souffle, se réconcilier avec les Palestiniens sans avoir à leur rendre leur territoire.... Le r</w:t>
      </w:r>
      <w:r w:rsidRPr="00140BA8">
        <w:rPr>
          <w:szCs w:val="24"/>
        </w:rPr>
        <w:t>e</w:t>
      </w:r>
      <w:r w:rsidRPr="00140BA8">
        <w:rPr>
          <w:szCs w:val="24"/>
        </w:rPr>
        <w:t>trait des colonies de Gaza, loin de me</w:t>
      </w:r>
      <w:r w:rsidRPr="00140BA8">
        <w:rPr>
          <w:szCs w:val="24"/>
        </w:rPr>
        <w:t>t</w:t>
      </w:r>
      <w:r w:rsidRPr="00140BA8">
        <w:rPr>
          <w:szCs w:val="24"/>
        </w:rPr>
        <w:t>tre un terme à la colonisation, permettra au contraire à Israël de justifier l'annexion des parties i</w:t>
      </w:r>
      <w:r w:rsidRPr="00140BA8">
        <w:rPr>
          <w:szCs w:val="24"/>
        </w:rPr>
        <w:t>m</w:t>
      </w:r>
      <w:r w:rsidRPr="00140BA8">
        <w:rPr>
          <w:szCs w:val="24"/>
        </w:rPr>
        <w:t>portantes de la Cisjordanie, ce que facilitera sans doute le Mur dont la construction se pou</w:t>
      </w:r>
      <w:r w:rsidRPr="00140BA8">
        <w:rPr>
          <w:szCs w:val="24"/>
        </w:rPr>
        <w:t>r</w:t>
      </w:r>
      <w:r w:rsidRPr="00140BA8">
        <w:rPr>
          <w:szCs w:val="24"/>
        </w:rPr>
        <w:t>suit en dépit de l'avis de la Cour internationale de Justice mentionné précéde</w:t>
      </w:r>
      <w:r w:rsidRPr="00140BA8">
        <w:rPr>
          <w:szCs w:val="24"/>
        </w:rPr>
        <w:t>m</w:t>
      </w:r>
      <w:r w:rsidRPr="00140BA8">
        <w:rPr>
          <w:szCs w:val="24"/>
        </w:rPr>
        <w:t>ment. La guerre de 1948 n'est donc pas tout à fait finie.</w:t>
      </w:r>
      <w:r>
        <w:rPr>
          <w:szCs w:val="24"/>
        </w:rPr>
        <w:t> </w:t>
      </w:r>
      <w:r>
        <w:rPr>
          <w:rStyle w:val="Appelnotedebasdep"/>
          <w:szCs w:val="24"/>
        </w:rPr>
        <w:footnoteReference w:id="36"/>
      </w:r>
    </w:p>
    <w:p w:rsidR="004E7E9A" w:rsidRPr="00140BA8" w:rsidRDefault="004E7E9A" w:rsidP="004E7E9A">
      <w:pPr>
        <w:spacing w:before="120" w:after="120"/>
        <w:jc w:val="both"/>
      </w:pPr>
      <w:r w:rsidRPr="00140BA8">
        <w:rPr>
          <w:szCs w:val="24"/>
        </w:rPr>
        <w:t>Il est peu probable, dans les circonstances actuelles, qu'Israël a</w:t>
      </w:r>
      <w:r w:rsidRPr="00140BA8">
        <w:rPr>
          <w:szCs w:val="24"/>
        </w:rPr>
        <w:t>c</w:t>
      </w:r>
      <w:r w:rsidRPr="00140BA8">
        <w:rPr>
          <w:szCs w:val="24"/>
        </w:rPr>
        <w:t>complisse son devoir de mémoire. La non-reconnaissance de cette i</w:t>
      </w:r>
      <w:r w:rsidRPr="00140BA8">
        <w:rPr>
          <w:szCs w:val="24"/>
        </w:rPr>
        <w:t>n</w:t>
      </w:r>
      <w:r w:rsidRPr="00140BA8">
        <w:rPr>
          <w:szCs w:val="24"/>
        </w:rPr>
        <w:t>justice historique est sans doute un des plus grands obstacles à la rés</w:t>
      </w:r>
      <w:r w:rsidRPr="00140BA8">
        <w:rPr>
          <w:szCs w:val="24"/>
        </w:rPr>
        <w:t>o</w:t>
      </w:r>
      <w:r w:rsidRPr="00140BA8">
        <w:rPr>
          <w:szCs w:val="24"/>
        </w:rPr>
        <w:t>lution d'un conflit qui n'est pas près de se terminer, ainsi qu'à la r</w:t>
      </w:r>
      <w:r w:rsidRPr="00140BA8">
        <w:rPr>
          <w:szCs w:val="24"/>
        </w:rPr>
        <w:t>é</w:t>
      </w:r>
      <w:r w:rsidRPr="00140BA8">
        <w:rPr>
          <w:szCs w:val="24"/>
        </w:rPr>
        <w:t>conciliation, pourtant souhaitée des deux c</w:t>
      </w:r>
      <w:r w:rsidRPr="00140BA8">
        <w:rPr>
          <w:szCs w:val="24"/>
        </w:rPr>
        <w:t>ô</w:t>
      </w:r>
      <w:r w:rsidRPr="00140BA8">
        <w:rPr>
          <w:szCs w:val="24"/>
        </w:rPr>
        <w:t>tés du Mur....</w:t>
      </w:r>
    </w:p>
    <w:p w:rsidR="004E7E9A" w:rsidRDefault="004E7E9A" w:rsidP="004E7E9A">
      <w:pPr>
        <w:spacing w:before="120" w:after="120"/>
        <w:jc w:val="both"/>
        <w:rPr>
          <w:bCs/>
          <w:szCs w:val="22"/>
        </w:rPr>
      </w:pPr>
    </w:p>
    <w:p w:rsidR="004E7E9A" w:rsidRPr="00140BA8" w:rsidRDefault="004E7E9A" w:rsidP="004E7E9A">
      <w:pPr>
        <w:pStyle w:val="a"/>
      </w:pPr>
      <w:bookmarkStart w:id="7" w:name="Israel_devoir_memoire_deni_biblio"/>
      <w:r w:rsidRPr="00140BA8">
        <w:t>Bibliographie</w:t>
      </w:r>
    </w:p>
    <w:bookmarkEnd w:id="7"/>
    <w:p w:rsidR="004E7E9A" w:rsidRDefault="004E7E9A" w:rsidP="004E7E9A">
      <w:pPr>
        <w:spacing w:before="120" w:after="120"/>
        <w:jc w:val="both"/>
        <w:rPr>
          <w:szCs w:val="22"/>
        </w:rPr>
      </w:pPr>
    </w:p>
    <w:p w:rsidR="004E7E9A" w:rsidRPr="00893DBF" w:rsidRDefault="004E7E9A" w:rsidP="004E7E9A">
      <w:pPr>
        <w:ind w:right="90" w:firstLine="0"/>
        <w:jc w:val="both"/>
        <w:rPr>
          <w:sz w:val="20"/>
        </w:rPr>
      </w:pPr>
      <w:hyperlink w:anchor="tdm" w:history="1">
        <w:r w:rsidRPr="00893DBF">
          <w:rPr>
            <w:rStyle w:val="Lienhypertexte"/>
            <w:sz w:val="20"/>
          </w:rPr>
          <w:t>Retour à la table des matières</w:t>
        </w:r>
      </w:hyperlink>
    </w:p>
    <w:p w:rsidR="004E7E9A" w:rsidRPr="00140BA8" w:rsidRDefault="004E7E9A" w:rsidP="004E7E9A">
      <w:pPr>
        <w:spacing w:before="120" w:after="120"/>
        <w:jc w:val="both"/>
      </w:pPr>
      <w:r w:rsidRPr="00140BA8">
        <w:rPr>
          <w:szCs w:val="22"/>
        </w:rPr>
        <w:t xml:space="preserve">Al-Arif, A. (s.d.), </w:t>
      </w:r>
      <w:r w:rsidRPr="000D22EC">
        <w:rPr>
          <w:i/>
          <w:szCs w:val="22"/>
        </w:rPr>
        <w:t>Nakbat Filasteen wal firdaous al mafqood</w:t>
      </w:r>
      <w:r w:rsidRPr="00140BA8">
        <w:rPr>
          <w:szCs w:val="22"/>
        </w:rPr>
        <w:t xml:space="preserve"> (La Catastrophe de Palestine et le Paradis perdu), Dar Al Huda, publié e</w:t>
      </w:r>
      <w:r w:rsidRPr="00140BA8">
        <w:rPr>
          <w:szCs w:val="22"/>
        </w:rPr>
        <w:t>n</w:t>
      </w:r>
      <w:r w:rsidRPr="00140BA8">
        <w:rPr>
          <w:szCs w:val="22"/>
        </w:rPr>
        <w:t>tre 1956 et 1959 (date précise non indiquée).</w:t>
      </w:r>
    </w:p>
    <w:p w:rsidR="004E7E9A" w:rsidRPr="00140BA8" w:rsidRDefault="004E7E9A" w:rsidP="004E7E9A">
      <w:pPr>
        <w:spacing w:before="120" w:after="120"/>
        <w:jc w:val="both"/>
      </w:pPr>
      <w:r w:rsidRPr="00140BA8">
        <w:rPr>
          <w:szCs w:val="22"/>
        </w:rPr>
        <w:t xml:space="preserve">Antonius, R. (1986). « L'information internationale et les groupes ethniques : Le cas des Arabes » dans </w:t>
      </w:r>
      <w:r w:rsidRPr="000D22EC">
        <w:rPr>
          <w:i/>
          <w:szCs w:val="22"/>
        </w:rPr>
        <w:t>Canadian Ethnic Studies</w:t>
      </w:r>
      <w:r w:rsidRPr="00140BA8">
        <w:rPr>
          <w:szCs w:val="22"/>
        </w:rPr>
        <w:t>, vol</w:t>
      </w:r>
      <w:r>
        <w:rPr>
          <w:szCs w:val="22"/>
        </w:rPr>
        <w:t>. </w:t>
      </w:r>
      <w:r w:rsidRPr="00140BA8">
        <w:rPr>
          <w:szCs w:val="22"/>
        </w:rPr>
        <w:t>XVIII</w:t>
      </w:r>
      <w:r>
        <w:rPr>
          <w:szCs w:val="22"/>
        </w:rPr>
        <w:t>,</w:t>
      </w:r>
      <w:r w:rsidRPr="00140BA8">
        <w:rPr>
          <w:szCs w:val="22"/>
        </w:rPr>
        <w:t xml:space="preserve"> n°</w:t>
      </w:r>
      <w:r>
        <w:rPr>
          <w:szCs w:val="22"/>
        </w:rPr>
        <w:t> </w:t>
      </w:r>
      <w:r w:rsidRPr="00140BA8">
        <w:rPr>
          <w:szCs w:val="22"/>
        </w:rPr>
        <w:t>2, pp</w:t>
      </w:r>
      <w:r>
        <w:rPr>
          <w:szCs w:val="22"/>
        </w:rPr>
        <w:t>.</w:t>
      </w:r>
      <w:r w:rsidRPr="00140BA8">
        <w:rPr>
          <w:szCs w:val="22"/>
        </w:rPr>
        <w:t xml:space="preserve"> 115-129.</w:t>
      </w:r>
    </w:p>
    <w:p w:rsidR="004E7E9A" w:rsidRPr="00140BA8" w:rsidRDefault="004E7E9A" w:rsidP="004E7E9A">
      <w:pPr>
        <w:spacing w:before="120" w:after="120"/>
        <w:jc w:val="both"/>
      </w:pPr>
      <w:r w:rsidRPr="00140BA8">
        <w:rPr>
          <w:szCs w:val="22"/>
        </w:rPr>
        <w:t>Antonius, R. (2000). « Les médias et le conflit israélo-palestinien : La co</w:t>
      </w:r>
      <w:r w:rsidRPr="00140BA8">
        <w:rPr>
          <w:szCs w:val="22"/>
        </w:rPr>
        <w:t>u</w:t>
      </w:r>
      <w:r w:rsidRPr="00140BA8">
        <w:rPr>
          <w:szCs w:val="22"/>
        </w:rPr>
        <w:t xml:space="preserve">verture médiatique a-t-elle pour effet de créer une distorsion des enjeux réels du conflit ? » Section </w:t>
      </w:r>
      <w:r w:rsidRPr="000D22EC">
        <w:rPr>
          <w:i/>
          <w:szCs w:val="22"/>
        </w:rPr>
        <w:t>Textes et analyses</w:t>
      </w:r>
      <w:r w:rsidRPr="00140BA8">
        <w:rPr>
          <w:szCs w:val="22"/>
        </w:rPr>
        <w:t xml:space="preserve">, Association Québécoise des organismes </w:t>
      </w:r>
      <w:r>
        <w:rPr>
          <w:szCs w:val="22"/>
        </w:rPr>
        <w:t>de coopération internationale (AQOCI), Novembre, (www.</w:t>
      </w:r>
      <w:r w:rsidRPr="00140BA8">
        <w:rPr>
          <w:szCs w:val="22"/>
        </w:rPr>
        <w:t>aqo</w:t>
      </w:r>
      <w:r>
        <w:rPr>
          <w:szCs w:val="22"/>
        </w:rPr>
        <w:t>c</w:t>
      </w:r>
      <w:r w:rsidRPr="00140BA8">
        <w:rPr>
          <w:szCs w:val="22"/>
        </w:rPr>
        <w:t>i.qc.ca/textes/textefr.html).</w:t>
      </w:r>
    </w:p>
    <w:p w:rsidR="004E7E9A" w:rsidRPr="00140BA8" w:rsidRDefault="004E7E9A" w:rsidP="004E7E9A">
      <w:pPr>
        <w:spacing w:before="120" w:after="120"/>
        <w:jc w:val="both"/>
      </w:pPr>
      <w:r w:rsidRPr="00140BA8">
        <w:rPr>
          <w:szCs w:val="22"/>
        </w:rPr>
        <w:t>Antonius (2002). « </w:t>
      </w:r>
      <w:hyperlink r:id="rId18" w:history="1">
        <w:r w:rsidRPr="004C5912">
          <w:rPr>
            <w:rStyle w:val="Lienhypertexte"/>
            <w:szCs w:val="22"/>
          </w:rPr>
          <w:t>Un racisme 'respectable' </w:t>
        </w:r>
      </w:hyperlink>
      <w:r w:rsidRPr="00140BA8">
        <w:rPr>
          <w:szCs w:val="22"/>
        </w:rPr>
        <w:t xml:space="preserve">» dans </w:t>
      </w:r>
      <w:r w:rsidRPr="000D22EC">
        <w:rPr>
          <w:i/>
          <w:szCs w:val="22"/>
        </w:rPr>
        <w:t>Les relations ethniques en question, Ce qui a changé depuis le 11 septembre 2001</w:t>
      </w:r>
      <w:r w:rsidRPr="00140BA8">
        <w:rPr>
          <w:szCs w:val="22"/>
        </w:rPr>
        <w:t xml:space="preserve"> sous la direction de Jean Renaud, Linda Pietrantonio et Guy Bou</w:t>
      </w:r>
      <w:r w:rsidRPr="00140BA8">
        <w:rPr>
          <w:szCs w:val="22"/>
        </w:rPr>
        <w:t>r</w:t>
      </w:r>
      <w:r w:rsidRPr="00140BA8">
        <w:rPr>
          <w:szCs w:val="22"/>
        </w:rPr>
        <w:t>geault, Montréal, Les Presses de l'Université de Montréal,</w:t>
      </w:r>
      <w:r>
        <w:rPr>
          <w:szCs w:val="22"/>
        </w:rPr>
        <w:t xml:space="preserve"> 2002, pp.</w:t>
      </w:r>
      <w:r w:rsidRPr="00140BA8">
        <w:rPr>
          <w:szCs w:val="22"/>
        </w:rPr>
        <w:t xml:space="preserve"> 253-271.</w:t>
      </w:r>
    </w:p>
    <w:p w:rsidR="004E7E9A" w:rsidRPr="00140BA8" w:rsidRDefault="004E7E9A" w:rsidP="004E7E9A">
      <w:pPr>
        <w:spacing w:before="120" w:after="120"/>
        <w:jc w:val="both"/>
      </w:pPr>
      <w:r w:rsidRPr="00140BA8">
        <w:rPr>
          <w:szCs w:val="22"/>
        </w:rPr>
        <w:t>Arnold, J. (2004). « Lib</w:t>
      </w:r>
      <w:r>
        <w:rPr>
          <w:szCs w:val="22"/>
        </w:rPr>
        <w:t>e</w:t>
      </w:r>
      <w:r w:rsidRPr="00140BA8">
        <w:rPr>
          <w:szCs w:val="22"/>
        </w:rPr>
        <w:t xml:space="preserve">ral MP calls for Government to be more pro-Israel », </w:t>
      </w:r>
      <w:r w:rsidRPr="004C5912">
        <w:rPr>
          <w:i/>
          <w:szCs w:val="22"/>
        </w:rPr>
        <w:t>Canadian Jewish News</w:t>
      </w:r>
      <w:r w:rsidRPr="00140BA8">
        <w:rPr>
          <w:szCs w:val="22"/>
        </w:rPr>
        <w:t>, 26 février.</w:t>
      </w:r>
    </w:p>
    <w:p w:rsidR="004E7E9A" w:rsidRPr="00140BA8" w:rsidRDefault="004E7E9A" w:rsidP="004E7E9A">
      <w:pPr>
        <w:spacing w:before="120" w:after="120"/>
        <w:jc w:val="both"/>
      </w:pPr>
      <w:r w:rsidRPr="00140BA8">
        <w:rPr>
          <w:szCs w:val="22"/>
        </w:rPr>
        <w:t xml:space="preserve">Cour internationale de justice (2004), </w:t>
      </w:r>
      <w:r w:rsidRPr="004C5912">
        <w:rPr>
          <w:i/>
          <w:szCs w:val="22"/>
        </w:rPr>
        <w:t>Conséquences juridiques de l'édification d'un mur dans le territoire palestinien occupé</w:t>
      </w:r>
      <w:r w:rsidRPr="00140BA8">
        <w:rPr>
          <w:szCs w:val="22"/>
        </w:rPr>
        <w:t>, Rôle gén</w:t>
      </w:r>
      <w:r w:rsidRPr="00140BA8">
        <w:rPr>
          <w:szCs w:val="22"/>
        </w:rPr>
        <w:t>é</w:t>
      </w:r>
      <w:r w:rsidRPr="00140BA8">
        <w:rPr>
          <w:szCs w:val="22"/>
        </w:rPr>
        <w:t>ral</w:t>
      </w:r>
      <w:r>
        <w:rPr>
          <w:szCs w:val="22"/>
        </w:rPr>
        <w:t>,</w:t>
      </w:r>
      <w:r w:rsidRPr="00140BA8">
        <w:rPr>
          <w:szCs w:val="22"/>
        </w:rPr>
        <w:t xml:space="preserve"> no</w:t>
      </w:r>
      <w:r>
        <w:rPr>
          <w:szCs w:val="22"/>
        </w:rPr>
        <w:t> </w:t>
      </w:r>
      <w:r w:rsidRPr="00140BA8">
        <w:rPr>
          <w:szCs w:val="22"/>
        </w:rPr>
        <w:t xml:space="preserve">131, 9 juillet, </w:t>
      </w:r>
      <w:hyperlink r:id="rId19" w:history="1">
        <w:r w:rsidRPr="00140BA8">
          <w:rPr>
            <w:szCs w:val="22"/>
          </w:rPr>
          <w:t>www.icj-cij.org</w:t>
        </w:r>
      </w:hyperlink>
      <w:r w:rsidRPr="00140BA8">
        <w:rPr>
          <w:szCs w:val="22"/>
        </w:rPr>
        <w:t>.</w:t>
      </w:r>
    </w:p>
    <w:p w:rsidR="004E7E9A" w:rsidRPr="00140BA8" w:rsidRDefault="004E7E9A" w:rsidP="004E7E9A">
      <w:pPr>
        <w:spacing w:before="120" w:after="120"/>
        <w:jc w:val="both"/>
      </w:pPr>
      <w:r w:rsidRPr="00140BA8">
        <w:rPr>
          <w:szCs w:val="22"/>
        </w:rPr>
        <w:t xml:space="preserve">Finkelstein, N. (1991). « Myths, Old and New », </w:t>
      </w:r>
      <w:r w:rsidRPr="004C5912">
        <w:rPr>
          <w:i/>
          <w:szCs w:val="22"/>
        </w:rPr>
        <w:t>Journal of Pale</w:t>
      </w:r>
      <w:r w:rsidRPr="004C5912">
        <w:rPr>
          <w:i/>
          <w:szCs w:val="22"/>
        </w:rPr>
        <w:t>s</w:t>
      </w:r>
      <w:r w:rsidRPr="004C5912">
        <w:rPr>
          <w:i/>
          <w:szCs w:val="22"/>
        </w:rPr>
        <w:t>tine St</w:t>
      </w:r>
      <w:r w:rsidRPr="004C5912">
        <w:rPr>
          <w:i/>
          <w:szCs w:val="22"/>
        </w:rPr>
        <w:t>u</w:t>
      </w:r>
      <w:r w:rsidRPr="004C5912">
        <w:rPr>
          <w:i/>
          <w:szCs w:val="22"/>
        </w:rPr>
        <w:t>dies</w:t>
      </w:r>
      <w:r w:rsidRPr="00140BA8">
        <w:rPr>
          <w:szCs w:val="22"/>
        </w:rPr>
        <w:t>, Autumn, vol.</w:t>
      </w:r>
      <w:r>
        <w:rPr>
          <w:szCs w:val="22"/>
        </w:rPr>
        <w:t> </w:t>
      </w:r>
      <w:r w:rsidRPr="00140BA8">
        <w:rPr>
          <w:szCs w:val="22"/>
        </w:rPr>
        <w:t>21, no</w:t>
      </w:r>
      <w:r>
        <w:rPr>
          <w:szCs w:val="22"/>
        </w:rPr>
        <w:t> </w:t>
      </w:r>
      <w:r w:rsidRPr="00140BA8">
        <w:rPr>
          <w:szCs w:val="22"/>
        </w:rPr>
        <w:t>l,</w:t>
      </w:r>
      <w:r>
        <w:rPr>
          <w:szCs w:val="22"/>
        </w:rPr>
        <w:t xml:space="preserve"> p</w:t>
      </w:r>
      <w:r w:rsidRPr="00140BA8">
        <w:rPr>
          <w:szCs w:val="22"/>
        </w:rPr>
        <w:t>p. 66-89.</w:t>
      </w:r>
    </w:p>
    <w:p w:rsidR="004E7E9A" w:rsidRPr="00140BA8" w:rsidRDefault="004E7E9A" w:rsidP="004E7E9A">
      <w:pPr>
        <w:spacing w:before="120" w:after="120"/>
        <w:jc w:val="both"/>
      </w:pPr>
      <w:r w:rsidRPr="00140BA8">
        <w:rPr>
          <w:szCs w:val="22"/>
        </w:rPr>
        <w:t>Finkelstein N. G. (2001). "Disinformation and the Palestine Que</w:t>
      </w:r>
      <w:r w:rsidRPr="00140BA8">
        <w:rPr>
          <w:szCs w:val="22"/>
        </w:rPr>
        <w:t>s</w:t>
      </w:r>
      <w:r w:rsidRPr="00140BA8">
        <w:rPr>
          <w:szCs w:val="22"/>
        </w:rPr>
        <w:t>tion : The Not-So-Strange Case of Joan Peters's From Time Imm</w:t>
      </w:r>
      <w:r>
        <w:rPr>
          <w:szCs w:val="22"/>
        </w:rPr>
        <w:t>e</w:t>
      </w:r>
      <w:r w:rsidRPr="00140BA8">
        <w:rPr>
          <w:szCs w:val="22"/>
        </w:rPr>
        <w:t>m</w:t>
      </w:r>
      <w:r w:rsidRPr="00140BA8">
        <w:rPr>
          <w:szCs w:val="22"/>
        </w:rPr>
        <w:t>o</w:t>
      </w:r>
      <w:r w:rsidRPr="00140BA8">
        <w:rPr>
          <w:szCs w:val="22"/>
        </w:rPr>
        <w:t xml:space="preserve">rial", dans Edward W. Said and Christopher Hitchens (dir.), </w:t>
      </w:r>
      <w:r w:rsidRPr="004C5912">
        <w:rPr>
          <w:i/>
          <w:szCs w:val="22"/>
        </w:rPr>
        <w:t>Blaming the Victims : Spurious Scholarship and the Palestinian Question</w:t>
      </w:r>
      <w:r w:rsidRPr="00140BA8">
        <w:rPr>
          <w:szCs w:val="22"/>
        </w:rPr>
        <w:t>, Lo</w:t>
      </w:r>
      <w:r w:rsidRPr="00140BA8">
        <w:rPr>
          <w:szCs w:val="22"/>
        </w:rPr>
        <w:t>n</w:t>
      </w:r>
      <w:r w:rsidRPr="00140BA8">
        <w:rPr>
          <w:szCs w:val="22"/>
        </w:rPr>
        <w:t>don, Verso.</w:t>
      </w:r>
    </w:p>
    <w:p w:rsidR="004E7E9A" w:rsidRPr="00140BA8" w:rsidRDefault="004E7E9A" w:rsidP="004E7E9A">
      <w:pPr>
        <w:spacing w:before="120" w:after="120"/>
        <w:jc w:val="both"/>
      </w:pPr>
      <w:r w:rsidRPr="00140BA8">
        <w:rPr>
          <w:szCs w:val="22"/>
        </w:rPr>
        <w:t xml:space="preserve">Flappan, S. (1987). </w:t>
      </w:r>
      <w:r w:rsidRPr="004C5912">
        <w:rPr>
          <w:i/>
          <w:szCs w:val="22"/>
        </w:rPr>
        <w:t>The Birth of Israël, Myths and Realities</w:t>
      </w:r>
      <w:r w:rsidRPr="00140BA8">
        <w:rPr>
          <w:szCs w:val="22"/>
        </w:rPr>
        <w:t>, New York, Pa</w:t>
      </w:r>
      <w:r w:rsidRPr="00140BA8">
        <w:rPr>
          <w:szCs w:val="22"/>
        </w:rPr>
        <w:t>n</w:t>
      </w:r>
      <w:r w:rsidRPr="00140BA8">
        <w:rPr>
          <w:szCs w:val="22"/>
        </w:rPr>
        <w:t>th</w:t>
      </w:r>
      <w:r>
        <w:rPr>
          <w:szCs w:val="22"/>
        </w:rPr>
        <w:t>e</w:t>
      </w:r>
      <w:r w:rsidRPr="00140BA8">
        <w:rPr>
          <w:szCs w:val="22"/>
        </w:rPr>
        <w:t>on Books.</w:t>
      </w:r>
    </w:p>
    <w:p w:rsidR="004E7E9A" w:rsidRPr="00140BA8" w:rsidRDefault="004E7E9A" w:rsidP="004E7E9A">
      <w:pPr>
        <w:spacing w:before="120" w:after="120"/>
        <w:jc w:val="both"/>
      </w:pPr>
      <w:r w:rsidRPr="00140BA8">
        <w:rPr>
          <w:szCs w:val="22"/>
        </w:rPr>
        <w:t xml:space="preserve">Kalidi, W. (1987). </w:t>
      </w:r>
      <w:r w:rsidRPr="004C5912">
        <w:rPr>
          <w:i/>
          <w:szCs w:val="22"/>
        </w:rPr>
        <w:t>Before their Diaspora : a Photographic History of the Palestinians, 1876-1948</w:t>
      </w:r>
      <w:r w:rsidRPr="00140BA8">
        <w:rPr>
          <w:szCs w:val="22"/>
        </w:rPr>
        <w:t>. Washington, D.C. : Institute for Pale</w:t>
      </w:r>
      <w:r w:rsidRPr="00140BA8">
        <w:rPr>
          <w:szCs w:val="22"/>
        </w:rPr>
        <w:t>s</w:t>
      </w:r>
      <w:r w:rsidRPr="00140BA8">
        <w:rPr>
          <w:szCs w:val="22"/>
        </w:rPr>
        <w:t>tine Studies.</w:t>
      </w:r>
    </w:p>
    <w:p w:rsidR="004E7E9A" w:rsidRPr="00140BA8" w:rsidRDefault="004E7E9A" w:rsidP="004E7E9A">
      <w:pPr>
        <w:spacing w:before="120" w:after="120"/>
        <w:jc w:val="both"/>
      </w:pPr>
      <w:r w:rsidRPr="00140BA8">
        <w:rPr>
          <w:szCs w:val="22"/>
        </w:rPr>
        <w:t xml:space="preserve">Khalidi, W. (1991), "The Palestine Problem, an Overview", dans </w:t>
      </w:r>
      <w:r w:rsidRPr="004C5912">
        <w:rPr>
          <w:i/>
          <w:szCs w:val="22"/>
        </w:rPr>
        <w:t>Journal of Palestine Studies</w:t>
      </w:r>
      <w:r w:rsidRPr="00140BA8">
        <w:rPr>
          <w:szCs w:val="22"/>
        </w:rPr>
        <w:t>, Vol</w:t>
      </w:r>
      <w:r>
        <w:rPr>
          <w:szCs w:val="22"/>
        </w:rPr>
        <w:t>. </w:t>
      </w:r>
      <w:r w:rsidRPr="00140BA8">
        <w:rPr>
          <w:szCs w:val="22"/>
        </w:rPr>
        <w:t>XXI</w:t>
      </w:r>
      <w:r>
        <w:rPr>
          <w:szCs w:val="22"/>
        </w:rPr>
        <w:t>,</w:t>
      </w:r>
      <w:r w:rsidRPr="00140BA8">
        <w:rPr>
          <w:szCs w:val="22"/>
        </w:rPr>
        <w:t xml:space="preserve"> No</w:t>
      </w:r>
      <w:r>
        <w:rPr>
          <w:szCs w:val="22"/>
        </w:rPr>
        <w:t> 1</w:t>
      </w:r>
      <w:r w:rsidRPr="00140BA8">
        <w:rPr>
          <w:szCs w:val="22"/>
        </w:rPr>
        <w:t>, Issue</w:t>
      </w:r>
      <w:r>
        <w:rPr>
          <w:szCs w:val="22"/>
        </w:rPr>
        <w:t> </w:t>
      </w:r>
      <w:r w:rsidRPr="00140BA8">
        <w:rPr>
          <w:szCs w:val="22"/>
        </w:rPr>
        <w:t>81 (Autumn 1991), p</w:t>
      </w:r>
      <w:r>
        <w:rPr>
          <w:szCs w:val="22"/>
        </w:rPr>
        <w:t>p</w:t>
      </w:r>
      <w:r w:rsidRPr="00140BA8">
        <w:rPr>
          <w:szCs w:val="22"/>
        </w:rPr>
        <w:t>. 5-16.</w:t>
      </w:r>
    </w:p>
    <w:p w:rsidR="004E7E9A" w:rsidRPr="00140BA8" w:rsidRDefault="004E7E9A" w:rsidP="004E7E9A">
      <w:pPr>
        <w:spacing w:before="120" w:after="120"/>
        <w:jc w:val="both"/>
      </w:pPr>
      <w:r w:rsidRPr="00140BA8">
        <w:rPr>
          <w:szCs w:val="22"/>
        </w:rPr>
        <w:t xml:space="preserve">Khalidi W. (1992). </w:t>
      </w:r>
      <w:r w:rsidRPr="004C5912">
        <w:rPr>
          <w:i/>
          <w:szCs w:val="22"/>
        </w:rPr>
        <w:t>Palestine reborn</w:t>
      </w:r>
      <w:r w:rsidRPr="00140BA8">
        <w:rPr>
          <w:szCs w:val="22"/>
        </w:rPr>
        <w:t>, London, I.B.</w:t>
      </w:r>
      <w:r>
        <w:rPr>
          <w:szCs w:val="22"/>
        </w:rPr>
        <w:t xml:space="preserve"> </w:t>
      </w:r>
      <w:r w:rsidRPr="00140BA8">
        <w:rPr>
          <w:szCs w:val="22"/>
        </w:rPr>
        <w:t>Tauris, 1992.</w:t>
      </w:r>
    </w:p>
    <w:p w:rsidR="004E7E9A" w:rsidRPr="00140BA8" w:rsidRDefault="004E7E9A" w:rsidP="004E7E9A">
      <w:pPr>
        <w:spacing w:before="120" w:after="120"/>
        <w:jc w:val="both"/>
      </w:pPr>
      <w:r w:rsidRPr="00140BA8">
        <w:rPr>
          <w:szCs w:val="22"/>
        </w:rPr>
        <w:t>Levy, G. (2000). Compte-rendu de Morris, Correcting a Mstake, Haaretz, 3 novembre.</w:t>
      </w:r>
    </w:p>
    <w:p w:rsidR="004E7E9A" w:rsidRPr="00140BA8" w:rsidRDefault="004E7E9A" w:rsidP="004E7E9A">
      <w:pPr>
        <w:spacing w:before="120" w:after="120"/>
        <w:jc w:val="both"/>
      </w:pPr>
      <w:r w:rsidRPr="00140BA8">
        <w:rPr>
          <w:szCs w:val="22"/>
        </w:rPr>
        <w:t xml:space="preserve">Masalha, N. (1991). « A Critique of Benny Morris », </w:t>
      </w:r>
      <w:r w:rsidRPr="004C5912">
        <w:rPr>
          <w:i/>
          <w:szCs w:val="22"/>
        </w:rPr>
        <w:t>Journal of Palestine Studies</w:t>
      </w:r>
      <w:r w:rsidRPr="00140BA8">
        <w:rPr>
          <w:szCs w:val="22"/>
        </w:rPr>
        <w:t>, Autumn, vol.</w:t>
      </w:r>
      <w:r>
        <w:rPr>
          <w:szCs w:val="22"/>
        </w:rPr>
        <w:t> </w:t>
      </w:r>
      <w:r w:rsidRPr="00140BA8">
        <w:rPr>
          <w:szCs w:val="22"/>
        </w:rPr>
        <w:t>21, no</w:t>
      </w:r>
      <w:r>
        <w:rPr>
          <w:szCs w:val="22"/>
        </w:rPr>
        <w:t> 1</w:t>
      </w:r>
      <w:r w:rsidRPr="00140BA8">
        <w:rPr>
          <w:szCs w:val="22"/>
        </w:rPr>
        <w:t>, p</w:t>
      </w:r>
      <w:r>
        <w:rPr>
          <w:szCs w:val="22"/>
        </w:rPr>
        <w:t>p</w:t>
      </w:r>
      <w:r w:rsidRPr="00140BA8">
        <w:rPr>
          <w:szCs w:val="22"/>
        </w:rPr>
        <w:t>. 90-97.</w:t>
      </w:r>
    </w:p>
    <w:p w:rsidR="004E7E9A" w:rsidRPr="00140BA8" w:rsidRDefault="004E7E9A" w:rsidP="004E7E9A">
      <w:pPr>
        <w:spacing w:before="120" w:after="120"/>
        <w:jc w:val="both"/>
      </w:pPr>
      <w:r w:rsidRPr="00140BA8">
        <w:rPr>
          <w:szCs w:val="22"/>
        </w:rPr>
        <w:t xml:space="preserve">Morris, B. (2000). </w:t>
      </w:r>
      <w:r w:rsidRPr="004C5912">
        <w:rPr>
          <w:i/>
          <w:szCs w:val="22"/>
        </w:rPr>
        <w:t>Correcting a Mistake - Jews and Arabs in P</w:t>
      </w:r>
      <w:r w:rsidRPr="004C5912">
        <w:rPr>
          <w:i/>
          <w:szCs w:val="22"/>
        </w:rPr>
        <w:t>a</w:t>
      </w:r>
      <w:r w:rsidRPr="004C5912">
        <w:rPr>
          <w:i/>
          <w:szCs w:val="22"/>
        </w:rPr>
        <w:t>lestine/Israël, 1936-1956</w:t>
      </w:r>
      <w:r w:rsidRPr="00140BA8">
        <w:rPr>
          <w:szCs w:val="22"/>
        </w:rPr>
        <w:t>, Am Oved Publishers.</w:t>
      </w:r>
    </w:p>
    <w:p w:rsidR="004E7E9A" w:rsidRPr="00140BA8" w:rsidRDefault="004E7E9A" w:rsidP="004E7E9A">
      <w:pPr>
        <w:spacing w:before="120" w:after="120"/>
        <w:jc w:val="both"/>
      </w:pPr>
      <w:r w:rsidRPr="00140BA8">
        <w:rPr>
          <w:szCs w:val="22"/>
        </w:rPr>
        <w:t xml:space="preserve">Mulroney, B. (2003). « Israël is the New Jew », </w:t>
      </w:r>
      <w:r w:rsidRPr="004C5912">
        <w:rPr>
          <w:i/>
          <w:szCs w:val="22"/>
        </w:rPr>
        <w:t>National Post</w:t>
      </w:r>
      <w:r w:rsidRPr="00140BA8">
        <w:rPr>
          <w:szCs w:val="22"/>
        </w:rPr>
        <w:t>, 10 février.</w:t>
      </w:r>
    </w:p>
    <w:p w:rsidR="004E7E9A" w:rsidRPr="00140BA8" w:rsidRDefault="004E7E9A" w:rsidP="004E7E9A">
      <w:pPr>
        <w:spacing w:before="120" w:after="120"/>
        <w:jc w:val="both"/>
      </w:pPr>
      <w:r w:rsidRPr="00140BA8">
        <w:rPr>
          <w:szCs w:val="22"/>
        </w:rPr>
        <w:t xml:space="preserve">Nazzal, N. (1978). </w:t>
      </w:r>
      <w:r w:rsidRPr="004C5912">
        <w:rPr>
          <w:i/>
          <w:szCs w:val="22"/>
        </w:rPr>
        <w:t>The Palestinian Exodus from Galilee</w:t>
      </w:r>
      <w:r w:rsidRPr="00140BA8">
        <w:rPr>
          <w:szCs w:val="22"/>
        </w:rPr>
        <w:t xml:space="preserve"> 1948, Beyrouth, The Institute of Palestine Studies.</w:t>
      </w:r>
    </w:p>
    <w:p w:rsidR="004E7E9A" w:rsidRPr="00140BA8" w:rsidRDefault="004E7E9A" w:rsidP="004E7E9A">
      <w:pPr>
        <w:spacing w:before="120" w:after="120"/>
        <w:jc w:val="both"/>
      </w:pPr>
      <w:r w:rsidRPr="00140BA8">
        <w:rPr>
          <w:szCs w:val="22"/>
        </w:rPr>
        <w:t xml:space="preserve">Pappe, I. (2004). </w:t>
      </w:r>
      <w:r w:rsidRPr="004C5912">
        <w:rPr>
          <w:i/>
          <w:szCs w:val="22"/>
        </w:rPr>
        <w:t>A History of Modern Palestine, One land, Tw</w:t>
      </w:r>
      <w:r w:rsidRPr="004C5912">
        <w:rPr>
          <w:i/>
          <w:szCs w:val="22"/>
        </w:rPr>
        <w:t>o</w:t>
      </w:r>
      <w:r w:rsidRPr="004C5912">
        <w:rPr>
          <w:i/>
          <w:szCs w:val="22"/>
        </w:rPr>
        <w:t>people</w:t>
      </w:r>
      <w:r w:rsidRPr="00140BA8">
        <w:rPr>
          <w:szCs w:val="22"/>
        </w:rPr>
        <w:t>, Cambridge, Cambridge University Press.</w:t>
      </w:r>
    </w:p>
    <w:p w:rsidR="004E7E9A" w:rsidRPr="00140BA8" w:rsidRDefault="004E7E9A" w:rsidP="004E7E9A">
      <w:pPr>
        <w:spacing w:before="120" w:after="120"/>
        <w:jc w:val="both"/>
      </w:pPr>
      <w:r w:rsidRPr="00140BA8">
        <w:rPr>
          <w:szCs w:val="22"/>
        </w:rPr>
        <w:t>Peters, J.</w:t>
      </w:r>
      <w:r>
        <w:rPr>
          <w:szCs w:val="22"/>
        </w:rPr>
        <w:t xml:space="preserve"> </w:t>
      </w:r>
      <w:r w:rsidRPr="00140BA8">
        <w:rPr>
          <w:szCs w:val="22"/>
        </w:rPr>
        <w:t xml:space="preserve">(1984). </w:t>
      </w:r>
      <w:r w:rsidRPr="004C5912">
        <w:rPr>
          <w:i/>
          <w:szCs w:val="22"/>
        </w:rPr>
        <w:t>From Time Immemorial : The Origins of the Arab-Jewish Conflict over Palestine</w:t>
      </w:r>
      <w:r w:rsidRPr="00140BA8">
        <w:rPr>
          <w:szCs w:val="22"/>
        </w:rPr>
        <w:t>, Harper and Row.</w:t>
      </w:r>
    </w:p>
    <w:p w:rsidR="004E7E9A" w:rsidRPr="00140BA8" w:rsidRDefault="004E7E9A" w:rsidP="004E7E9A">
      <w:pPr>
        <w:spacing w:before="120" w:after="120"/>
        <w:jc w:val="both"/>
      </w:pPr>
      <w:r w:rsidRPr="00140BA8">
        <w:rPr>
          <w:szCs w:val="22"/>
        </w:rPr>
        <w:t xml:space="preserve">Philo, G. et Berry, M. (2004). </w:t>
      </w:r>
      <w:r w:rsidRPr="004C5912">
        <w:rPr>
          <w:i/>
          <w:szCs w:val="22"/>
        </w:rPr>
        <w:t>Bad News from Israël</w:t>
      </w:r>
      <w:r w:rsidRPr="00140BA8">
        <w:rPr>
          <w:szCs w:val="22"/>
        </w:rPr>
        <w:t>, London, Pl</w:t>
      </w:r>
      <w:r w:rsidRPr="00140BA8">
        <w:rPr>
          <w:szCs w:val="22"/>
        </w:rPr>
        <w:t>u</w:t>
      </w:r>
      <w:r w:rsidRPr="00140BA8">
        <w:rPr>
          <w:szCs w:val="22"/>
        </w:rPr>
        <w:t>to Press.</w:t>
      </w:r>
    </w:p>
    <w:p w:rsidR="004E7E9A" w:rsidRPr="00140BA8" w:rsidRDefault="004E7E9A" w:rsidP="004E7E9A">
      <w:pPr>
        <w:spacing w:before="120" w:after="120"/>
        <w:jc w:val="both"/>
      </w:pPr>
      <w:r w:rsidRPr="00140BA8">
        <w:rPr>
          <w:szCs w:val="22"/>
        </w:rPr>
        <w:t xml:space="preserve">Rabkin, Y. (2004). </w:t>
      </w:r>
      <w:r w:rsidRPr="004C5912">
        <w:rPr>
          <w:i/>
          <w:szCs w:val="22"/>
        </w:rPr>
        <w:t>L'Histoire de l'opposition juive au sionisme</w:t>
      </w:r>
      <w:r w:rsidRPr="00140BA8">
        <w:rPr>
          <w:szCs w:val="22"/>
        </w:rPr>
        <w:t>, Québec, Presses de l'Université Laval.</w:t>
      </w:r>
    </w:p>
    <w:p w:rsidR="004E7E9A" w:rsidRPr="00140BA8" w:rsidRDefault="004E7E9A" w:rsidP="004E7E9A">
      <w:pPr>
        <w:spacing w:before="120" w:after="120"/>
        <w:jc w:val="both"/>
      </w:pPr>
      <w:r w:rsidRPr="00140BA8">
        <w:rPr>
          <w:szCs w:val="22"/>
        </w:rPr>
        <w:t xml:space="preserve">Reinhart, T. (2002), </w:t>
      </w:r>
      <w:r w:rsidRPr="004C5912">
        <w:rPr>
          <w:i/>
          <w:szCs w:val="22"/>
        </w:rPr>
        <w:t>Détruire la Palestine ou comment terminer la guerre de 1948</w:t>
      </w:r>
      <w:r w:rsidRPr="00140BA8">
        <w:rPr>
          <w:szCs w:val="22"/>
        </w:rPr>
        <w:t>, La Fabrique éditions, Paris.</w:t>
      </w:r>
    </w:p>
    <w:p w:rsidR="004E7E9A" w:rsidRPr="00140BA8" w:rsidRDefault="004E7E9A" w:rsidP="004E7E9A">
      <w:pPr>
        <w:spacing w:before="120" w:after="120"/>
        <w:jc w:val="both"/>
      </w:pPr>
      <w:r w:rsidRPr="00140BA8">
        <w:rPr>
          <w:szCs w:val="22"/>
        </w:rPr>
        <w:t xml:space="preserve">Ron, J. (2000). « The Next Step for Israël », </w:t>
      </w:r>
      <w:r w:rsidRPr="004C5912">
        <w:rPr>
          <w:i/>
          <w:szCs w:val="22"/>
        </w:rPr>
        <w:t>Boston Globe</w:t>
      </w:r>
      <w:r w:rsidRPr="00140BA8">
        <w:rPr>
          <w:szCs w:val="22"/>
        </w:rPr>
        <w:t>, 25 mai.</w:t>
      </w:r>
    </w:p>
    <w:p w:rsidR="004E7E9A" w:rsidRPr="00140BA8" w:rsidRDefault="004E7E9A" w:rsidP="004E7E9A">
      <w:pPr>
        <w:spacing w:before="120" w:after="120"/>
        <w:jc w:val="both"/>
      </w:pPr>
      <w:r w:rsidRPr="00140BA8">
        <w:rPr>
          <w:szCs w:val="22"/>
        </w:rPr>
        <w:t xml:space="preserve">Morris, B. (2004). Interviewé par Ari Shavit, </w:t>
      </w:r>
      <w:r w:rsidRPr="004C5912">
        <w:rPr>
          <w:i/>
          <w:szCs w:val="22"/>
        </w:rPr>
        <w:t>Haaretz</w:t>
      </w:r>
      <w:r w:rsidRPr="00140BA8">
        <w:rPr>
          <w:szCs w:val="22"/>
        </w:rPr>
        <w:t>, 9 janvier.</w:t>
      </w:r>
    </w:p>
    <w:p w:rsidR="004E7E9A" w:rsidRPr="00140BA8" w:rsidRDefault="004E7E9A" w:rsidP="004E7E9A">
      <w:pPr>
        <w:spacing w:before="120" w:after="120"/>
        <w:jc w:val="both"/>
      </w:pPr>
      <w:r w:rsidRPr="00140BA8">
        <w:rPr>
          <w:szCs w:val="22"/>
        </w:rPr>
        <w:t>Shlaim, A. (2002). Interviewé par Elliot Colla, Middle East Report #223, Summer 2002,</w:t>
      </w:r>
      <w:r>
        <w:rPr>
          <w:szCs w:val="22"/>
        </w:rPr>
        <w:br/>
      </w:r>
      <w:hyperlink r:id="rId20" w:history="1">
        <w:r w:rsidRPr="00140BA8">
          <w:rPr>
            <w:szCs w:val="22"/>
          </w:rPr>
          <w:t>www.merip.org/mer/mer223/223_shlaim_interview.html</w:t>
        </w:r>
      </w:hyperlink>
      <w:r w:rsidRPr="00140BA8">
        <w:rPr>
          <w:szCs w:val="22"/>
        </w:rPr>
        <w:t>.</w:t>
      </w:r>
    </w:p>
    <w:p w:rsidR="004E7E9A" w:rsidRPr="00140BA8" w:rsidRDefault="004E7E9A" w:rsidP="004E7E9A">
      <w:pPr>
        <w:spacing w:before="120" w:after="120"/>
        <w:jc w:val="both"/>
      </w:pPr>
      <w:r w:rsidRPr="00140BA8">
        <w:rPr>
          <w:szCs w:val="22"/>
        </w:rPr>
        <w:t xml:space="preserve">Sivan, E. et Khleifi, M. </w:t>
      </w:r>
      <w:r w:rsidRPr="004C5912">
        <w:rPr>
          <w:i/>
          <w:szCs w:val="22"/>
        </w:rPr>
        <w:t>Route 181, Fragments d'un voyage en P</w:t>
      </w:r>
      <w:r w:rsidRPr="004C5912">
        <w:rPr>
          <w:i/>
          <w:szCs w:val="22"/>
        </w:rPr>
        <w:t>a</w:t>
      </w:r>
      <w:r w:rsidRPr="004C5912">
        <w:rPr>
          <w:i/>
          <w:szCs w:val="22"/>
        </w:rPr>
        <w:t>lestine-Israël</w:t>
      </w:r>
      <w:r w:rsidRPr="00140BA8">
        <w:rPr>
          <w:szCs w:val="22"/>
        </w:rPr>
        <w:t>.</w:t>
      </w:r>
    </w:p>
    <w:p w:rsidR="004E7E9A" w:rsidRPr="00140BA8" w:rsidRDefault="004E7E9A" w:rsidP="004E7E9A">
      <w:pPr>
        <w:spacing w:before="120" w:after="120"/>
        <w:jc w:val="both"/>
      </w:pPr>
      <w:r w:rsidRPr="00140BA8">
        <w:rPr>
          <w:szCs w:val="22"/>
        </w:rPr>
        <w:t xml:space="preserve">Schvindlerman, J. (2001), </w:t>
      </w:r>
      <w:r w:rsidRPr="004C5912">
        <w:rPr>
          <w:i/>
          <w:szCs w:val="22"/>
        </w:rPr>
        <w:t>Doctrine and Impact of the New Hist</w:t>
      </w:r>
      <w:r w:rsidRPr="004C5912">
        <w:rPr>
          <w:i/>
          <w:szCs w:val="22"/>
        </w:rPr>
        <w:t>o</w:t>
      </w:r>
      <w:r w:rsidRPr="004C5912">
        <w:rPr>
          <w:i/>
          <w:szCs w:val="22"/>
        </w:rPr>
        <w:t>ry : The Politicizing Of History, World Zionist organisation</w:t>
      </w:r>
      <w:r w:rsidRPr="00140BA8">
        <w:rPr>
          <w:szCs w:val="22"/>
        </w:rPr>
        <w:t>, Depar</w:t>
      </w:r>
      <w:r w:rsidRPr="00140BA8">
        <w:rPr>
          <w:szCs w:val="22"/>
        </w:rPr>
        <w:t>t</w:t>
      </w:r>
      <w:r w:rsidRPr="00140BA8">
        <w:rPr>
          <w:szCs w:val="22"/>
        </w:rPr>
        <w:t>ment of Zionist activ</w:t>
      </w:r>
      <w:r w:rsidRPr="00140BA8">
        <w:rPr>
          <w:szCs w:val="22"/>
        </w:rPr>
        <w:t>i</w:t>
      </w:r>
      <w:r w:rsidRPr="00140BA8">
        <w:rPr>
          <w:szCs w:val="22"/>
        </w:rPr>
        <w:t xml:space="preserve">ties, </w:t>
      </w:r>
      <w:hyperlink r:id="rId21" w:history="1">
        <w:r w:rsidRPr="00140BA8">
          <w:rPr>
            <w:szCs w:val="22"/>
          </w:rPr>
          <w:t>www.doingzionism.org.il/resources</w:t>
        </w:r>
      </w:hyperlink>
      <w:r w:rsidRPr="00140BA8">
        <w:rPr>
          <w:szCs w:val="22"/>
        </w:rPr>
        <w:t>.</w:t>
      </w:r>
    </w:p>
    <w:p w:rsidR="004E7E9A" w:rsidRPr="00140BA8" w:rsidRDefault="004E7E9A" w:rsidP="004E7E9A">
      <w:pPr>
        <w:spacing w:before="120" w:after="120"/>
        <w:jc w:val="both"/>
      </w:pPr>
      <w:r w:rsidRPr="00140BA8">
        <w:rPr>
          <w:szCs w:val="22"/>
        </w:rPr>
        <w:t xml:space="preserve">Vidal, D. et Algazy J. (2002). </w:t>
      </w:r>
      <w:r w:rsidRPr="004C5912">
        <w:rPr>
          <w:i/>
          <w:szCs w:val="22"/>
        </w:rPr>
        <w:t>Le péché originel d'Israël ; L'expu</w:t>
      </w:r>
      <w:r w:rsidRPr="004C5912">
        <w:rPr>
          <w:i/>
          <w:szCs w:val="22"/>
        </w:rPr>
        <w:t>l</w:t>
      </w:r>
      <w:r w:rsidRPr="004C5912">
        <w:rPr>
          <w:i/>
          <w:szCs w:val="22"/>
        </w:rPr>
        <w:t>sion des Palestiniens revisitée par les « nouveaux historiens » isra</w:t>
      </w:r>
      <w:r w:rsidRPr="004C5912">
        <w:rPr>
          <w:i/>
          <w:szCs w:val="22"/>
        </w:rPr>
        <w:t>é</w:t>
      </w:r>
      <w:r w:rsidRPr="004C5912">
        <w:rPr>
          <w:i/>
          <w:szCs w:val="22"/>
        </w:rPr>
        <w:t>liens</w:t>
      </w:r>
      <w:r w:rsidRPr="00140BA8">
        <w:rPr>
          <w:szCs w:val="22"/>
        </w:rPr>
        <w:t>, Paris, Les Éditions de l'Atelier.</w:t>
      </w:r>
    </w:p>
    <w:p w:rsidR="004E7E9A" w:rsidRDefault="004E7E9A">
      <w:pPr>
        <w:jc w:val="both"/>
      </w:pPr>
    </w:p>
    <w:p w:rsidR="004E7E9A" w:rsidRDefault="004E7E9A">
      <w:pPr>
        <w:jc w:val="both"/>
      </w:pPr>
    </w:p>
    <w:p w:rsidR="004E7E9A" w:rsidRDefault="004E7E9A">
      <w:pPr>
        <w:jc w:val="both"/>
      </w:pPr>
    </w:p>
    <w:p w:rsidR="004E7E9A" w:rsidRDefault="004E7E9A" w:rsidP="00E93E46">
      <w:pPr>
        <w:pStyle w:val="suite"/>
      </w:pPr>
      <w:r>
        <w:t>Fin du texte</w:t>
      </w:r>
    </w:p>
    <w:p w:rsidR="004E7E9A" w:rsidRDefault="004E7E9A">
      <w:pPr>
        <w:jc w:val="both"/>
      </w:pPr>
    </w:p>
    <w:p w:rsidR="004E7E9A" w:rsidRDefault="004E7E9A">
      <w:pPr>
        <w:jc w:val="both"/>
      </w:pPr>
    </w:p>
    <w:sectPr w:rsidR="004E7E9A" w:rsidSect="004E7E9A">
      <w:headerReference w:type="default" r:id="rId22"/>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57A" w:rsidRDefault="00DB457A">
      <w:r>
        <w:separator/>
      </w:r>
    </w:p>
  </w:endnote>
  <w:endnote w:type="continuationSeparator" w:id="0">
    <w:p w:rsidR="00DB457A" w:rsidRDefault="00DB4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57A" w:rsidRDefault="00DB457A">
      <w:pPr>
        <w:ind w:firstLine="0"/>
      </w:pPr>
      <w:r>
        <w:separator/>
      </w:r>
    </w:p>
  </w:footnote>
  <w:footnote w:type="continuationSeparator" w:id="0">
    <w:p w:rsidR="00DB457A" w:rsidRDefault="00DB457A">
      <w:pPr>
        <w:ind w:firstLine="0"/>
      </w:pPr>
      <w:r>
        <w:separator/>
      </w:r>
    </w:p>
  </w:footnote>
  <w:footnote w:id="1">
    <w:p w:rsidR="004E7E9A" w:rsidRDefault="004E7E9A">
      <w:pPr>
        <w:pStyle w:val="Notedebasdepage"/>
      </w:pPr>
      <w:r>
        <w:rPr>
          <w:rStyle w:val="Appelnotedebasdep"/>
        </w:rPr>
        <w:footnoteRef/>
      </w:r>
      <w:r>
        <w:t xml:space="preserve"> </w:t>
      </w:r>
      <w:r>
        <w:tab/>
      </w:r>
      <w:r w:rsidRPr="00140BA8">
        <w:t>Middle East</w:t>
      </w:r>
      <w:r>
        <w:t xml:space="preserve"> </w:t>
      </w:r>
      <w:r w:rsidRPr="00140BA8">
        <w:t xml:space="preserve">Report </w:t>
      </w:r>
      <w:r>
        <w:t>#223, 2002.</w:t>
      </w:r>
      <w:r>
        <w:br/>
      </w:r>
      <w:hyperlink r:id="rId1" w:history="1">
        <w:r w:rsidRPr="00D07B46">
          <w:rPr>
            <w:rStyle w:val="Lienhypertexte"/>
          </w:rPr>
          <w:t>http://www.merip.org/mer/mer223/223_shlaim_interview.html</w:t>
        </w:r>
      </w:hyperlink>
      <w:r>
        <w:t xml:space="preserve"> </w:t>
      </w:r>
    </w:p>
  </w:footnote>
  <w:footnote w:id="2">
    <w:p w:rsidR="004E7E9A" w:rsidRDefault="004E7E9A">
      <w:pPr>
        <w:pStyle w:val="Notedebasdepage"/>
      </w:pPr>
      <w:r>
        <w:rPr>
          <w:rStyle w:val="Appelnotedebasdep"/>
        </w:rPr>
        <w:footnoteRef/>
      </w:r>
      <w:r>
        <w:t xml:space="preserve"> </w:t>
      </w:r>
      <w:r>
        <w:tab/>
      </w:r>
      <w:r w:rsidRPr="00140BA8">
        <w:t>Voir par exemple l'analyse que fait la Cour internationale de Justice de l'effet du Mur sur les droits des</w:t>
      </w:r>
      <w:r>
        <w:t xml:space="preserve"> </w:t>
      </w:r>
      <w:r w:rsidRPr="00140BA8">
        <w:t>Palestiniens, dans Cour i</w:t>
      </w:r>
      <w:r w:rsidRPr="00140BA8">
        <w:t>n</w:t>
      </w:r>
      <w:r w:rsidRPr="00140BA8">
        <w:t xml:space="preserve">ternationale de Justice (2004), disponible sur son site : </w:t>
      </w:r>
      <w:hyperlink r:id="rId2" w:history="1">
        <w:r w:rsidRPr="00D07B46">
          <w:rPr>
            <w:rStyle w:val="Lienhypertexte"/>
          </w:rPr>
          <w:t>www.icj-cij.org</w:t>
        </w:r>
      </w:hyperlink>
      <w:r w:rsidRPr="00140BA8">
        <w:t>.</w:t>
      </w:r>
    </w:p>
  </w:footnote>
  <w:footnote w:id="3">
    <w:p w:rsidR="004E7E9A" w:rsidRDefault="004E7E9A">
      <w:pPr>
        <w:pStyle w:val="Notedebasdepage"/>
      </w:pPr>
      <w:r>
        <w:rPr>
          <w:rStyle w:val="Appelnotedebasdep"/>
        </w:rPr>
        <w:footnoteRef/>
      </w:r>
      <w:r>
        <w:t xml:space="preserve"> </w:t>
      </w:r>
      <w:r>
        <w:tab/>
      </w:r>
      <w:r w:rsidRPr="00140BA8">
        <w:t>Conférence donnée à l'Université McGill, 22 janvier 2003. Thème repris dans son ouvrage :</w:t>
      </w:r>
      <w:r>
        <w:t xml:space="preserve"> </w:t>
      </w:r>
      <w:r w:rsidRPr="00140BA8">
        <w:rPr>
          <w:i/>
        </w:rPr>
        <w:t>A History of Modern Palestine, One land, Two people</w:t>
      </w:r>
      <w:r w:rsidRPr="00140BA8">
        <w:t>, Ca</w:t>
      </w:r>
      <w:r w:rsidRPr="00140BA8">
        <w:t>m</w:t>
      </w:r>
      <w:r w:rsidRPr="00140BA8">
        <w:t>bridge, Cambridge University Press, 2004.</w:t>
      </w:r>
    </w:p>
  </w:footnote>
  <w:footnote w:id="4">
    <w:p w:rsidR="004E7E9A" w:rsidRDefault="004E7E9A">
      <w:pPr>
        <w:pStyle w:val="Notedebasdepage"/>
      </w:pPr>
      <w:r>
        <w:rPr>
          <w:rStyle w:val="Appelnotedebasdep"/>
        </w:rPr>
        <w:footnoteRef/>
      </w:r>
      <w:r>
        <w:t xml:space="preserve"> </w:t>
      </w:r>
      <w:r>
        <w:tab/>
      </w:r>
      <w:r w:rsidRPr="00140BA8">
        <w:t>Selon Walid Khalidi (1991), p. 9.</w:t>
      </w:r>
    </w:p>
  </w:footnote>
  <w:footnote w:id="5">
    <w:p w:rsidR="004E7E9A" w:rsidRDefault="004E7E9A">
      <w:pPr>
        <w:pStyle w:val="Notedebasdepage"/>
      </w:pPr>
      <w:r>
        <w:rPr>
          <w:rStyle w:val="Appelnotedebasdep"/>
        </w:rPr>
        <w:footnoteRef/>
      </w:r>
      <w:r>
        <w:t xml:space="preserve"> </w:t>
      </w:r>
      <w:r>
        <w:tab/>
      </w:r>
      <w:r w:rsidRPr="00140BA8">
        <w:t>Nous avons illustré ce renversement de rôles dans Antonius (2000). Voir aussi l'enquête de Philo et Berry (2004),</w:t>
      </w:r>
      <w:r>
        <w:t xml:space="preserve"> </w:t>
      </w:r>
      <w:r w:rsidRPr="00140BA8">
        <w:t>dont il sera question à n</w:t>
      </w:r>
      <w:r>
        <w:t>ouveau plus loin dans ce texte.</w:t>
      </w:r>
    </w:p>
  </w:footnote>
  <w:footnote w:id="6">
    <w:p w:rsidR="004E7E9A" w:rsidRDefault="004E7E9A">
      <w:pPr>
        <w:pStyle w:val="Notedebasdepage"/>
      </w:pPr>
      <w:r>
        <w:rPr>
          <w:rStyle w:val="Appelnotedebasdep"/>
        </w:rPr>
        <w:footnoteRef/>
      </w:r>
      <w:r>
        <w:t xml:space="preserve"> </w:t>
      </w:r>
      <w:r>
        <w:tab/>
      </w:r>
      <w:r w:rsidRPr="00140BA8">
        <w:t>Nous parlons ici du sionisme politique (et non du sionisme rel</w:t>
      </w:r>
      <w:r w:rsidRPr="00140BA8">
        <w:t>i</w:t>
      </w:r>
      <w:r w:rsidRPr="00140BA8">
        <w:t>gieux) que nous définissons comme une idéologie</w:t>
      </w:r>
      <w:r>
        <w:t xml:space="preserve"> </w:t>
      </w:r>
      <w:r w:rsidRPr="00140BA8">
        <w:t>politique nationali</w:t>
      </w:r>
      <w:r w:rsidRPr="00140BA8">
        <w:t>s</w:t>
      </w:r>
      <w:r w:rsidRPr="00140BA8">
        <w:t>te ayant eu pour but de créer et de maintenir un État dont le caractère principal est d'être l'État</w:t>
      </w:r>
      <w:r>
        <w:t xml:space="preserve"> </w:t>
      </w:r>
      <w:r w:rsidRPr="00140BA8">
        <w:t>des Juifs. Historiquement, le sionisme polit</w:t>
      </w:r>
      <w:r w:rsidRPr="00140BA8">
        <w:t>i</w:t>
      </w:r>
      <w:r w:rsidRPr="00140BA8">
        <w:t>que a choisi d'ériger cet état sur une terre où vivait déjà un autre</w:t>
      </w:r>
      <w:r>
        <w:t xml:space="preserve"> </w:t>
      </w:r>
      <w:r w:rsidRPr="00140BA8">
        <w:t>pe</w:t>
      </w:r>
      <w:r w:rsidRPr="00140BA8">
        <w:t>u</w:t>
      </w:r>
      <w:r w:rsidRPr="00140BA8">
        <w:t>ple...</w:t>
      </w:r>
    </w:p>
  </w:footnote>
  <w:footnote w:id="7">
    <w:p w:rsidR="004E7E9A" w:rsidRDefault="004E7E9A">
      <w:pPr>
        <w:pStyle w:val="Notedebasdepage"/>
      </w:pPr>
      <w:r>
        <w:rPr>
          <w:rStyle w:val="Appelnotedebasdep"/>
        </w:rPr>
        <w:footnoteRef/>
      </w:r>
      <w:r>
        <w:t xml:space="preserve"> </w:t>
      </w:r>
      <w:r>
        <w:tab/>
      </w:r>
      <w:r w:rsidRPr="00140BA8">
        <w:t>C'est par ce terme, signifiant « la catastrophe » que les Palestiniens dés</w:t>
      </w:r>
      <w:r w:rsidRPr="00140BA8">
        <w:t>i</w:t>
      </w:r>
      <w:r w:rsidRPr="00140BA8">
        <w:t>gnent les événements de 1948.</w:t>
      </w:r>
    </w:p>
  </w:footnote>
  <w:footnote w:id="8">
    <w:p w:rsidR="004E7E9A" w:rsidRDefault="004E7E9A">
      <w:pPr>
        <w:pStyle w:val="Notedebasdepage"/>
      </w:pPr>
      <w:r>
        <w:rPr>
          <w:rStyle w:val="Appelnotedebasdep"/>
        </w:rPr>
        <w:footnoteRef/>
      </w:r>
      <w:r>
        <w:t xml:space="preserve"> </w:t>
      </w:r>
      <w:r>
        <w:tab/>
      </w:r>
      <w:r w:rsidRPr="00140BA8">
        <w:t>Al-Arif (s.d).</w:t>
      </w:r>
    </w:p>
  </w:footnote>
  <w:footnote w:id="9">
    <w:p w:rsidR="004E7E9A" w:rsidRDefault="004E7E9A">
      <w:pPr>
        <w:pStyle w:val="Notedebasdepage"/>
      </w:pPr>
      <w:r>
        <w:rPr>
          <w:rStyle w:val="Appelnotedebasdep"/>
        </w:rPr>
        <w:footnoteRef/>
      </w:r>
      <w:r>
        <w:t xml:space="preserve"> </w:t>
      </w:r>
      <w:r>
        <w:tab/>
      </w:r>
      <w:r w:rsidRPr="00140BA8">
        <w:t>Khalidi (1984).</w:t>
      </w:r>
    </w:p>
  </w:footnote>
  <w:footnote w:id="10">
    <w:p w:rsidR="004E7E9A" w:rsidRDefault="004E7E9A">
      <w:pPr>
        <w:pStyle w:val="Notedebasdepage"/>
      </w:pPr>
      <w:r>
        <w:rPr>
          <w:rStyle w:val="Appelnotedebasdep"/>
        </w:rPr>
        <w:footnoteRef/>
      </w:r>
      <w:r>
        <w:t xml:space="preserve"> </w:t>
      </w:r>
      <w:r>
        <w:tab/>
      </w:r>
      <w:r w:rsidRPr="00140BA8">
        <w:t>Nazzal (1978). Cet ouvrage est fondé sur une thèse de doctorat que Na</w:t>
      </w:r>
      <w:r w:rsidRPr="00140BA8">
        <w:t>z</w:t>
      </w:r>
      <w:r w:rsidRPr="00140BA8">
        <w:t>zal avait terminé quelques années plus tôt.</w:t>
      </w:r>
    </w:p>
  </w:footnote>
  <w:footnote w:id="11">
    <w:p w:rsidR="004E7E9A" w:rsidRDefault="004E7E9A">
      <w:pPr>
        <w:pStyle w:val="Notedebasdepage"/>
      </w:pPr>
      <w:r>
        <w:rPr>
          <w:rStyle w:val="Appelnotedebasdep"/>
        </w:rPr>
        <w:footnoteRef/>
      </w:r>
      <w:r>
        <w:t xml:space="preserve"> </w:t>
      </w:r>
      <w:r>
        <w:tab/>
      </w:r>
      <w:r w:rsidRPr="00140BA8">
        <w:t xml:space="preserve">Voir en particulier </w:t>
      </w:r>
      <w:hyperlink r:id="rId3" w:history="1">
        <w:r w:rsidRPr="00140BA8">
          <w:t>www.alnakba.org</w:t>
        </w:r>
      </w:hyperlink>
      <w:r w:rsidRPr="00140BA8">
        <w:t xml:space="preserve">, ainsi que </w:t>
      </w:r>
      <w:hyperlink r:id="rId4" w:history="1">
        <w:r w:rsidRPr="00D07B46">
          <w:rPr>
            <w:rStyle w:val="Lienhypertexte"/>
          </w:rPr>
          <w:t>www.shaml.org/zshaml/site/</w:t>
        </w:r>
      </w:hyperlink>
      <w:r w:rsidRPr="00140BA8">
        <w:t>. Voir aussi le texte de Salim Tamari</w:t>
      </w:r>
      <w:r>
        <w:t xml:space="preserve"> </w:t>
      </w:r>
      <w:r w:rsidRPr="00140BA8">
        <w:t>dans ce volume, qui évoque plusieurs a</w:t>
      </w:r>
      <w:r w:rsidRPr="00140BA8">
        <w:t>c</w:t>
      </w:r>
      <w:r w:rsidRPr="00140BA8">
        <w:t>tions entreprises dans les années 90 v</w:t>
      </w:r>
      <w:r w:rsidRPr="00140BA8">
        <w:t>i</w:t>
      </w:r>
      <w:r w:rsidRPr="00140BA8">
        <w:t>sant à compiler les récits de l'exil.</w:t>
      </w:r>
    </w:p>
  </w:footnote>
  <w:footnote w:id="12">
    <w:p w:rsidR="004E7E9A" w:rsidRDefault="004E7E9A">
      <w:pPr>
        <w:pStyle w:val="Notedebasdepage"/>
      </w:pPr>
      <w:r>
        <w:rPr>
          <w:rStyle w:val="Appelnotedebasdep"/>
        </w:rPr>
        <w:footnoteRef/>
      </w:r>
      <w:r>
        <w:t xml:space="preserve"> </w:t>
      </w:r>
      <w:r>
        <w:tab/>
      </w:r>
      <w:r w:rsidRPr="00140BA8">
        <w:t xml:space="preserve">II y a toujours eu un petit nombre d'universitaires </w:t>
      </w:r>
      <w:r>
        <w:t>—</w:t>
      </w:r>
      <w:r w:rsidRPr="00140BA8">
        <w:t xml:space="preserve"> nombre qui est de plus en plus croissant </w:t>
      </w:r>
      <w:r>
        <w:t>—</w:t>
      </w:r>
      <w:r w:rsidRPr="00140BA8">
        <w:t xml:space="preserve"> qui ont témoigné</w:t>
      </w:r>
      <w:r>
        <w:t xml:space="preserve"> </w:t>
      </w:r>
      <w:r w:rsidRPr="00140BA8">
        <w:t>dans leurs tr</w:t>
      </w:r>
      <w:r w:rsidRPr="00140BA8">
        <w:t>a</w:t>
      </w:r>
      <w:r w:rsidRPr="00140BA8">
        <w:t>vaux et dans leurs positions politiques de la destruction de la soci</w:t>
      </w:r>
      <w:r w:rsidRPr="00140BA8">
        <w:t>é</w:t>
      </w:r>
      <w:r w:rsidRPr="00140BA8">
        <w:t>té palestinienne. Mais il y en a</w:t>
      </w:r>
      <w:r>
        <w:t xml:space="preserve"> </w:t>
      </w:r>
      <w:r w:rsidRPr="00140BA8">
        <w:t>encore, et qui occupent des positions prestigieuses, qui continuent à propager la thèse négationniste, celle qui nie que</w:t>
      </w:r>
      <w:r>
        <w:t xml:space="preserve"> </w:t>
      </w:r>
      <w:r w:rsidRPr="00140BA8">
        <w:t>les Palestiniens ont été dépossédés de leur te</w:t>
      </w:r>
      <w:r w:rsidRPr="00140BA8">
        <w:t>r</w:t>
      </w:r>
      <w:r w:rsidRPr="00140BA8">
        <w:t>re. C'est l'exi</w:t>
      </w:r>
      <w:r w:rsidRPr="00140BA8">
        <w:t>s</w:t>
      </w:r>
      <w:r w:rsidRPr="00140BA8">
        <w:t>tence de cette option, qui ne relève pas de la liberté</w:t>
      </w:r>
      <w:r>
        <w:t xml:space="preserve"> </w:t>
      </w:r>
      <w:r w:rsidRPr="00140BA8">
        <w:t>académique mais de la désinformation, qui est significative.</w:t>
      </w:r>
    </w:p>
  </w:footnote>
  <w:footnote w:id="13">
    <w:p w:rsidR="004E7E9A" w:rsidRDefault="004E7E9A">
      <w:pPr>
        <w:pStyle w:val="Notedebasdepage"/>
      </w:pPr>
      <w:r>
        <w:rPr>
          <w:rStyle w:val="Appelnotedebasdep"/>
        </w:rPr>
        <w:footnoteRef/>
      </w:r>
      <w:r>
        <w:t xml:space="preserve"> </w:t>
      </w:r>
      <w:r>
        <w:tab/>
      </w:r>
      <w:r w:rsidRPr="00140BA8">
        <w:t>Mentionnons entre autres Avi Shlaim (1987), Ilan Pappe (2004), Joseph Alg</w:t>
      </w:r>
      <w:r w:rsidRPr="00140BA8">
        <w:t>a</w:t>
      </w:r>
      <w:r w:rsidRPr="00140BA8">
        <w:t>zy (Vidal et Algazy, 2002), et Simha</w:t>
      </w:r>
      <w:r>
        <w:t xml:space="preserve"> </w:t>
      </w:r>
      <w:r w:rsidRPr="00140BA8">
        <w:t>Fla</w:t>
      </w:r>
      <w:r w:rsidRPr="00140BA8">
        <w:t>p</w:t>
      </w:r>
      <w:r w:rsidRPr="00140BA8">
        <w:t>pan</w:t>
      </w:r>
      <w:r>
        <w:t xml:space="preserve"> </w:t>
      </w:r>
      <w:r w:rsidRPr="00140BA8">
        <w:t>(1987).</w:t>
      </w:r>
    </w:p>
  </w:footnote>
  <w:footnote w:id="14">
    <w:p w:rsidR="004E7E9A" w:rsidRDefault="004E7E9A">
      <w:pPr>
        <w:pStyle w:val="Notedebasdepage"/>
      </w:pPr>
      <w:r>
        <w:rPr>
          <w:rStyle w:val="Appelnotedebasdep"/>
        </w:rPr>
        <w:footnoteRef/>
      </w:r>
      <w:r>
        <w:t xml:space="preserve"> </w:t>
      </w:r>
      <w:r>
        <w:tab/>
      </w:r>
      <w:r w:rsidRPr="00140BA8">
        <w:t xml:space="preserve">Ces travaux sont accessibles à un large public, et le journal Israélien </w:t>
      </w:r>
      <w:r w:rsidRPr="00AB381E">
        <w:rPr>
          <w:i/>
        </w:rPr>
        <w:t>Ha</w:t>
      </w:r>
      <w:r w:rsidRPr="00AB381E">
        <w:rPr>
          <w:i/>
        </w:rPr>
        <w:t>a</w:t>
      </w:r>
      <w:r w:rsidRPr="00AB381E">
        <w:rPr>
          <w:i/>
        </w:rPr>
        <w:t>retz</w:t>
      </w:r>
      <w:r w:rsidRPr="00140BA8">
        <w:t xml:space="preserve"> en a fait état dans de nombreux</w:t>
      </w:r>
      <w:r>
        <w:t xml:space="preserve"> </w:t>
      </w:r>
      <w:r w:rsidRPr="00140BA8">
        <w:t>articles. Voir par exemple le texte de Gideon Levy, dans Haaretz, 3 novembre 2000. Quant au dénigrement des</w:t>
      </w:r>
      <w:r>
        <w:t xml:space="preserve"> </w:t>
      </w:r>
      <w:r w:rsidRPr="00140BA8">
        <w:t>nouveaux historiens, voir par exemple Schvindlerman (2001).</w:t>
      </w:r>
    </w:p>
  </w:footnote>
  <w:footnote w:id="15">
    <w:p w:rsidR="004E7E9A" w:rsidRDefault="004E7E9A">
      <w:pPr>
        <w:pStyle w:val="Notedebasdepage"/>
      </w:pPr>
      <w:r>
        <w:rPr>
          <w:rStyle w:val="Appelnotedebasdep"/>
        </w:rPr>
        <w:footnoteRef/>
      </w:r>
      <w:r>
        <w:t xml:space="preserve"> </w:t>
      </w:r>
      <w:r>
        <w:tab/>
      </w:r>
      <w:r w:rsidRPr="00140BA8">
        <w:t xml:space="preserve">Morris (2000), longuement commenté et cité par Gideon Levy dans </w:t>
      </w:r>
      <w:r w:rsidRPr="00AB381E">
        <w:rPr>
          <w:i/>
        </w:rPr>
        <w:t>Haaretz</w:t>
      </w:r>
      <w:r w:rsidRPr="00140BA8">
        <w:t xml:space="preserve"> (</w:t>
      </w:r>
      <w:r w:rsidRPr="00AB381E">
        <w:rPr>
          <w:i/>
        </w:rPr>
        <w:t>op. cit</w:t>
      </w:r>
      <w:r>
        <w:t>).</w:t>
      </w:r>
    </w:p>
  </w:footnote>
  <w:footnote w:id="16">
    <w:p w:rsidR="004E7E9A" w:rsidRDefault="004E7E9A">
      <w:pPr>
        <w:pStyle w:val="Notedebasdepage"/>
      </w:pPr>
      <w:r>
        <w:rPr>
          <w:rStyle w:val="Appelnotedebasdep"/>
        </w:rPr>
        <w:footnoteRef/>
      </w:r>
      <w:r>
        <w:t xml:space="preserve"> </w:t>
      </w:r>
      <w:r>
        <w:tab/>
      </w:r>
      <w:r w:rsidRPr="00140BA8">
        <w:t xml:space="preserve">Interview de Morris par Ari Shavit, </w:t>
      </w:r>
      <w:r w:rsidRPr="00AB381E">
        <w:rPr>
          <w:i/>
        </w:rPr>
        <w:t>Haaretz</w:t>
      </w:r>
      <w:r w:rsidRPr="00140BA8">
        <w:t>, 9 janvier 2004.</w:t>
      </w:r>
    </w:p>
  </w:footnote>
  <w:footnote w:id="17">
    <w:p w:rsidR="004E7E9A" w:rsidRDefault="004E7E9A">
      <w:pPr>
        <w:pStyle w:val="Notedebasdepage"/>
      </w:pPr>
      <w:r>
        <w:rPr>
          <w:rStyle w:val="Appelnotedebasdep"/>
        </w:rPr>
        <w:footnoteRef/>
      </w:r>
      <w:r>
        <w:t xml:space="preserve"> </w:t>
      </w:r>
      <w:r>
        <w:tab/>
      </w:r>
      <w:r w:rsidRPr="00AB381E">
        <w:rPr>
          <w:i/>
        </w:rPr>
        <w:t>Journal of Palestine Studies</w:t>
      </w:r>
      <w:r w:rsidRPr="00140BA8">
        <w:t>, Autumn, vol.</w:t>
      </w:r>
      <w:r>
        <w:t> </w:t>
      </w:r>
      <w:r w:rsidRPr="00140BA8">
        <w:t>21, no</w:t>
      </w:r>
      <w:r>
        <w:t> </w:t>
      </w:r>
      <w:r w:rsidRPr="00140BA8">
        <w:t>1, (1991).</w:t>
      </w:r>
    </w:p>
  </w:footnote>
  <w:footnote w:id="18">
    <w:p w:rsidR="004E7E9A" w:rsidRDefault="004E7E9A">
      <w:pPr>
        <w:pStyle w:val="Notedebasdepage"/>
      </w:pPr>
      <w:r>
        <w:rPr>
          <w:rStyle w:val="Appelnotedebasdep"/>
        </w:rPr>
        <w:footnoteRef/>
      </w:r>
      <w:r>
        <w:t xml:space="preserve"> </w:t>
      </w:r>
      <w:r>
        <w:tab/>
      </w:r>
      <w:r w:rsidRPr="00140BA8">
        <w:t>Khalidi (1992).</w:t>
      </w:r>
    </w:p>
  </w:footnote>
  <w:footnote w:id="19">
    <w:p w:rsidR="004E7E9A" w:rsidRDefault="004E7E9A">
      <w:pPr>
        <w:pStyle w:val="Notedebasdepage"/>
      </w:pPr>
      <w:r>
        <w:rPr>
          <w:rStyle w:val="Appelnotedebasdep"/>
        </w:rPr>
        <w:footnoteRef/>
      </w:r>
      <w:r>
        <w:t xml:space="preserve"> </w:t>
      </w:r>
      <w:r>
        <w:tab/>
      </w:r>
      <w:r w:rsidRPr="00140BA8">
        <w:t>Précisions que la reconnaissance de l'injustice historique de 1948 n'e</w:t>
      </w:r>
      <w:r w:rsidRPr="00140BA8">
        <w:t>n</w:t>
      </w:r>
      <w:r w:rsidRPr="00140BA8">
        <w:t>traîne pas nécessairement qu'il faille la</w:t>
      </w:r>
      <w:r>
        <w:t xml:space="preserve"> </w:t>
      </w:r>
      <w:r w:rsidRPr="00140BA8">
        <w:t>corriger en en créant une autre en 2005. C'est dans les principes du droit intern</w:t>
      </w:r>
      <w:r w:rsidRPr="00140BA8">
        <w:t>a</w:t>
      </w:r>
      <w:r w:rsidRPr="00140BA8">
        <w:t>tional qu'il faut chercher la solution</w:t>
      </w:r>
      <w:r>
        <w:t xml:space="preserve"> </w:t>
      </w:r>
      <w:r w:rsidRPr="00140BA8">
        <w:t>de ce conflit.</w:t>
      </w:r>
    </w:p>
  </w:footnote>
  <w:footnote w:id="20">
    <w:p w:rsidR="004E7E9A" w:rsidRDefault="004E7E9A">
      <w:pPr>
        <w:pStyle w:val="Notedebasdepage"/>
      </w:pPr>
      <w:r>
        <w:rPr>
          <w:rStyle w:val="Appelnotedebasdep"/>
        </w:rPr>
        <w:footnoteRef/>
      </w:r>
      <w:r>
        <w:t xml:space="preserve"> </w:t>
      </w:r>
      <w:r>
        <w:tab/>
      </w:r>
      <w:r w:rsidRPr="00140BA8">
        <w:t xml:space="preserve">James Ron, « The Next Step for Israël », </w:t>
      </w:r>
      <w:r w:rsidRPr="00AB381E">
        <w:rPr>
          <w:i/>
        </w:rPr>
        <w:t>Boston Globe</w:t>
      </w:r>
      <w:r w:rsidRPr="00140BA8">
        <w:t xml:space="preserve">, 25 mai 2000. James Ron était alors professeur de sociologie à Johns Hopkins. Ce texte a paru dans plusieurs journaux, dont le </w:t>
      </w:r>
      <w:r w:rsidRPr="00AB381E">
        <w:rPr>
          <w:i/>
        </w:rPr>
        <w:t>Daily Star</w:t>
      </w:r>
      <w:r w:rsidRPr="00140BA8">
        <w:t>, de Beyrouth.</w:t>
      </w:r>
    </w:p>
  </w:footnote>
  <w:footnote w:id="21">
    <w:p w:rsidR="004E7E9A" w:rsidRDefault="004E7E9A">
      <w:pPr>
        <w:pStyle w:val="Notedebasdepage"/>
      </w:pPr>
      <w:r>
        <w:rPr>
          <w:rStyle w:val="Appelnotedebasdep"/>
        </w:rPr>
        <w:footnoteRef/>
      </w:r>
      <w:r>
        <w:t xml:space="preserve"> </w:t>
      </w:r>
      <w:r>
        <w:tab/>
      </w:r>
      <w:r w:rsidRPr="00140BA8">
        <w:t xml:space="preserve">Entrevue </w:t>
      </w:r>
      <w:r>
        <w:t xml:space="preserve">au </w:t>
      </w:r>
      <w:r w:rsidRPr="00AB381E">
        <w:rPr>
          <w:i/>
        </w:rPr>
        <w:t>Sunday Times</w:t>
      </w:r>
      <w:r w:rsidRPr="00140BA8">
        <w:t>, 15 juin 1969.</w:t>
      </w:r>
    </w:p>
  </w:footnote>
  <w:footnote w:id="22">
    <w:p w:rsidR="004E7E9A" w:rsidRDefault="004E7E9A">
      <w:pPr>
        <w:pStyle w:val="Notedebasdepage"/>
      </w:pPr>
      <w:r>
        <w:rPr>
          <w:rStyle w:val="Appelnotedebasdep"/>
        </w:rPr>
        <w:footnoteRef/>
      </w:r>
      <w:r>
        <w:t xml:space="preserve"> </w:t>
      </w:r>
      <w:r>
        <w:tab/>
      </w:r>
      <w:r w:rsidRPr="00140BA8">
        <w:t>Peters (1984).</w:t>
      </w:r>
    </w:p>
  </w:footnote>
  <w:footnote w:id="23">
    <w:p w:rsidR="004E7E9A" w:rsidRDefault="004E7E9A">
      <w:pPr>
        <w:pStyle w:val="Notedebasdepage"/>
      </w:pPr>
      <w:r>
        <w:rPr>
          <w:rStyle w:val="Appelnotedebasdep"/>
        </w:rPr>
        <w:footnoteRef/>
      </w:r>
      <w:r>
        <w:t xml:space="preserve"> </w:t>
      </w:r>
      <w:r>
        <w:tab/>
      </w:r>
      <w:r w:rsidRPr="00140BA8">
        <w:t>Sur les quelque 600 pages du livre, les références occupent 120 pages... mais plusieurs ont été altérées de façon</w:t>
      </w:r>
      <w:r>
        <w:t xml:space="preserve"> </w:t>
      </w:r>
      <w:r w:rsidRPr="00140BA8">
        <w:t>fondamentale pour prouver la thèse de l'a</w:t>
      </w:r>
      <w:r w:rsidRPr="00140BA8">
        <w:t>u</w:t>
      </w:r>
      <w:r w:rsidRPr="00140BA8">
        <w:t>teure, tel que l'a démontré Norman Finkelstein. Cependant le livre n'a pas</w:t>
      </w:r>
      <w:r>
        <w:t xml:space="preserve"> </w:t>
      </w:r>
      <w:r w:rsidRPr="00140BA8">
        <w:t>été pris au sérieux par les historiens isra</w:t>
      </w:r>
      <w:r w:rsidRPr="00140BA8">
        <w:t>é</w:t>
      </w:r>
      <w:r w:rsidRPr="00140BA8">
        <w:t>liens, étant destiné surtout au marché de l'opinion publique américa</w:t>
      </w:r>
      <w:r w:rsidRPr="00140BA8">
        <w:t>i</w:t>
      </w:r>
      <w:r w:rsidRPr="00140BA8">
        <w:t>ne.</w:t>
      </w:r>
    </w:p>
  </w:footnote>
  <w:footnote w:id="24">
    <w:p w:rsidR="004E7E9A" w:rsidRDefault="004E7E9A">
      <w:pPr>
        <w:pStyle w:val="Notedebasdepage"/>
      </w:pPr>
      <w:r>
        <w:rPr>
          <w:rStyle w:val="Appelnotedebasdep"/>
        </w:rPr>
        <w:footnoteRef/>
      </w:r>
      <w:r>
        <w:t xml:space="preserve"> </w:t>
      </w:r>
      <w:r>
        <w:tab/>
      </w:r>
      <w:r w:rsidRPr="00140BA8">
        <w:t>Finkelstein (2001).</w:t>
      </w:r>
    </w:p>
  </w:footnote>
  <w:footnote w:id="25">
    <w:p w:rsidR="004E7E9A" w:rsidRDefault="004E7E9A">
      <w:pPr>
        <w:pStyle w:val="Notedebasdepage"/>
      </w:pPr>
      <w:r>
        <w:rPr>
          <w:rStyle w:val="Appelnotedebasdep"/>
        </w:rPr>
        <w:footnoteRef/>
      </w:r>
      <w:r>
        <w:t xml:space="preserve"> </w:t>
      </w:r>
      <w:r>
        <w:tab/>
      </w:r>
      <w:r w:rsidRPr="00140BA8">
        <w:t xml:space="preserve">Sur </w:t>
      </w:r>
      <w:r>
        <w:t>la couverture arrière du livre.</w:t>
      </w:r>
    </w:p>
  </w:footnote>
  <w:footnote w:id="26">
    <w:p w:rsidR="004E7E9A" w:rsidRDefault="004E7E9A">
      <w:pPr>
        <w:pStyle w:val="Notedebasdepage"/>
      </w:pPr>
      <w:r>
        <w:rPr>
          <w:rStyle w:val="Appelnotedebasdep"/>
        </w:rPr>
        <w:footnoteRef/>
      </w:r>
      <w:r>
        <w:t xml:space="preserve"> </w:t>
      </w:r>
      <w:r>
        <w:tab/>
      </w:r>
      <w:r w:rsidRPr="00140BA8">
        <w:t>Sur la couverture du livre.</w:t>
      </w:r>
    </w:p>
  </w:footnote>
  <w:footnote w:id="27">
    <w:p w:rsidR="004E7E9A" w:rsidRDefault="004E7E9A">
      <w:pPr>
        <w:pStyle w:val="Notedebasdepage"/>
      </w:pPr>
      <w:r>
        <w:rPr>
          <w:rStyle w:val="Appelnotedebasdep"/>
        </w:rPr>
        <w:footnoteRef/>
      </w:r>
      <w:r>
        <w:t xml:space="preserve"> </w:t>
      </w:r>
      <w:r>
        <w:tab/>
      </w:r>
      <w:r w:rsidRPr="00140BA8">
        <w:t>Bien sûr</w:t>
      </w:r>
      <w:r>
        <w:t>,</w:t>
      </w:r>
      <w:r w:rsidRPr="00140BA8">
        <w:t xml:space="preserve"> cette lecture de la fonction du livre ne démontre pas que ses thèses principales sont frauduleuses. C'est plutôt la comparaison des sources premi</w:t>
      </w:r>
      <w:r w:rsidRPr="00140BA8">
        <w:t>è</w:t>
      </w:r>
      <w:r w:rsidRPr="00140BA8">
        <w:t>res citées dans le livre avec ce qu'en a fait l'a</w:t>
      </w:r>
      <w:r w:rsidRPr="00140BA8">
        <w:t>u</w:t>
      </w:r>
      <w:r w:rsidRPr="00140BA8">
        <w:t>teure qui a amené les critiques à considérer que ce livre était une superch</w:t>
      </w:r>
      <w:r w:rsidRPr="00140BA8">
        <w:t>e</w:t>
      </w:r>
      <w:r w:rsidRPr="00140BA8">
        <w:t>rie.</w:t>
      </w:r>
    </w:p>
  </w:footnote>
  <w:footnote w:id="28">
    <w:p w:rsidR="004E7E9A" w:rsidRDefault="004E7E9A">
      <w:pPr>
        <w:pStyle w:val="Notedebasdepage"/>
      </w:pPr>
      <w:r>
        <w:rPr>
          <w:rStyle w:val="Appelnotedebasdep"/>
        </w:rPr>
        <w:footnoteRef/>
      </w:r>
      <w:r>
        <w:t xml:space="preserve"> </w:t>
      </w:r>
      <w:r>
        <w:tab/>
      </w:r>
      <w:r w:rsidRPr="00140BA8">
        <w:t xml:space="preserve">Lettre des cinéastes du 4 mars 2004, publiée sur le site </w:t>
      </w:r>
      <w:hyperlink r:id="rId5" w:history="1">
        <w:r w:rsidRPr="00140BA8">
          <w:t>http://u-blog.net/france/article/Censure.html</w:t>
        </w:r>
      </w:hyperlink>
      <w:r w:rsidRPr="00140BA8">
        <w:t xml:space="preserve"> (consulté le 15</w:t>
      </w:r>
      <w:r>
        <w:t xml:space="preserve"> </w:t>
      </w:r>
      <w:r w:rsidRPr="00140BA8">
        <w:t>mars 2005). La projection du film fut quand même autorisée à d'autres occ</w:t>
      </w:r>
      <w:r w:rsidRPr="00140BA8">
        <w:t>a</w:t>
      </w:r>
      <w:r w:rsidRPr="00140BA8">
        <w:t>sions.</w:t>
      </w:r>
    </w:p>
  </w:footnote>
  <w:footnote w:id="29">
    <w:p w:rsidR="004E7E9A" w:rsidRDefault="004E7E9A">
      <w:pPr>
        <w:pStyle w:val="Notedebasdepage"/>
      </w:pPr>
      <w:r>
        <w:rPr>
          <w:rStyle w:val="Appelnotedebasdep"/>
        </w:rPr>
        <w:footnoteRef/>
      </w:r>
      <w:r>
        <w:t xml:space="preserve"> </w:t>
      </w:r>
      <w:r>
        <w:tab/>
      </w:r>
      <w:r w:rsidRPr="0001354A">
        <w:rPr>
          <w:i/>
        </w:rPr>
        <w:t>Le Monde</w:t>
      </w:r>
      <w:r w:rsidRPr="00140BA8">
        <w:t xml:space="preserve">, 2 mars 2004, rapporté par </w:t>
      </w:r>
      <w:r w:rsidRPr="0001354A">
        <w:rPr>
          <w:i/>
        </w:rPr>
        <w:t>IsraNews</w:t>
      </w:r>
      <w:r w:rsidRPr="00140BA8">
        <w:t xml:space="preserve">. Consulté sur le site </w:t>
      </w:r>
      <w:hyperlink r:id="rId6" w:history="1">
        <w:r w:rsidRPr="00140BA8">
          <w:t>http://isranews.com/fr040302.htm</w:t>
        </w:r>
      </w:hyperlink>
      <w:r w:rsidRPr="00140BA8">
        <w:t xml:space="preserve"> en mars</w:t>
      </w:r>
      <w:r>
        <w:t xml:space="preserve"> </w:t>
      </w:r>
      <w:r w:rsidRPr="00140BA8">
        <w:t>2005.</w:t>
      </w:r>
    </w:p>
  </w:footnote>
  <w:footnote w:id="30">
    <w:p w:rsidR="004E7E9A" w:rsidRDefault="004E7E9A">
      <w:pPr>
        <w:pStyle w:val="Notedebasdepage"/>
      </w:pPr>
      <w:r>
        <w:rPr>
          <w:rStyle w:val="Appelnotedebasdep"/>
        </w:rPr>
        <w:footnoteRef/>
      </w:r>
      <w:r>
        <w:t xml:space="preserve"> </w:t>
      </w:r>
      <w:r>
        <w:tab/>
      </w:r>
      <w:r w:rsidRPr="00140BA8">
        <w:t>Nous endossons la partie (1) de la définition, sauf pour l'usage du mot « race ». Si le racisme est un phénomène très</w:t>
      </w:r>
      <w:r>
        <w:t xml:space="preserve"> </w:t>
      </w:r>
      <w:r w:rsidRPr="00140BA8">
        <w:t>réel, le terme « race » est un construit social et ne reflète pas une réalité ontol</w:t>
      </w:r>
      <w:r w:rsidRPr="00140BA8">
        <w:t>o</w:t>
      </w:r>
      <w:r w:rsidRPr="00140BA8">
        <w:t>gique qui permet de classer les groupes</w:t>
      </w:r>
      <w:r>
        <w:t xml:space="preserve"> </w:t>
      </w:r>
      <w:r w:rsidRPr="00140BA8">
        <w:t>humains, tel que le terme suppose dans son usage moderne.</w:t>
      </w:r>
    </w:p>
  </w:footnote>
  <w:footnote w:id="31">
    <w:p w:rsidR="004E7E9A" w:rsidRDefault="004E7E9A">
      <w:pPr>
        <w:pStyle w:val="Notedebasdepage"/>
      </w:pPr>
      <w:r>
        <w:rPr>
          <w:rStyle w:val="Appelnotedebasdep"/>
        </w:rPr>
        <w:footnoteRef/>
      </w:r>
      <w:r>
        <w:t xml:space="preserve"> </w:t>
      </w:r>
      <w:r>
        <w:tab/>
      </w:r>
      <w:r w:rsidRPr="00140BA8">
        <w:t>Voir Rabkin (2004).</w:t>
      </w:r>
    </w:p>
  </w:footnote>
  <w:footnote w:id="32">
    <w:p w:rsidR="004E7E9A" w:rsidRDefault="004E7E9A">
      <w:pPr>
        <w:pStyle w:val="Notedebasdepage"/>
      </w:pPr>
      <w:r>
        <w:rPr>
          <w:rStyle w:val="Appelnotedebasdep"/>
        </w:rPr>
        <w:footnoteRef/>
      </w:r>
      <w:r>
        <w:t xml:space="preserve"> </w:t>
      </w:r>
      <w:r>
        <w:tab/>
      </w:r>
      <w:r w:rsidRPr="00140BA8">
        <w:t xml:space="preserve">Brian Mulroney, « Israël is the New Jew », </w:t>
      </w:r>
      <w:r w:rsidRPr="0001354A">
        <w:rPr>
          <w:i/>
        </w:rPr>
        <w:t>National Post</w:t>
      </w:r>
      <w:r w:rsidRPr="00140BA8">
        <w:t>, 10 février 2003.</w:t>
      </w:r>
    </w:p>
  </w:footnote>
  <w:footnote w:id="33">
    <w:p w:rsidR="004E7E9A" w:rsidRDefault="004E7E9A">
      <w:pPr>
        <w:pStyle w:val="Notedebasdepage"/>
      </w:pPr>
      <w:r>
        <w:rPr>
          <w:rStyle w:val="Appelnotedebasdep"/>
        </w:rPr>
        <w:footnoteRef/>
      </w:r>
      <w:r>
        <w:t xml:space="preserve"> </w:t>
      </w:r>
      <w:r>
        <w:tab/>
      </w:r>
      <w:r w:rsidRPr="00140BA8">
        <w:t>Marlene Jennings, citée par Janice Arnold, « Lib</w:t>
      </w:r>
      <w:r>
        <w:t>e</w:t>
      </w:r>
      <w:r w:rsidRPr="00140BA8">
        <w:t xml:space="preserve">ral MP calls for Government to be more pro-Israel », </w:t>
      </w:r>
      <w:r w:rsidRPr="0001354A">
        <w:rPr>
          <w:i/>
        </w:rPr>
        <w:t>Canadian Jewish News</w:t>
      </w:r>
      <w:r w:rsidRPr="00140BA8">
        <w:t>, 26 f</w:t>
      </w:r>
      <w:r w:rsidRPr="00140BA8">
        <w:t>é</w:t>
      </w:r>
      <w:r w:rsidRPr="00140BA8">
        <w:t>vrier 2004.</w:t>
      </w:r>
    </w:p>
  </w:footnote>
  <w:footnote w:id="34">
    <w:p w:rsidR="004E7E9A" w:rsidRDefault="004E7E9A">
      <w:pPr>
        <w:pStyle w:val="Notedebasdepage"/>
      </w:pPr>
      <w:r>
        <w:rPr>
          <w:rStyle w:val="Appelnotedebasdep"/>
        </w:rPr>
        <w:footnoteRef/>
      </w:r>
      <w:r>
        <w:t xml:space="preserve"> </w:t>
      </w:r>
      <w:r>
        <w:tab/>
      </w:r>
      <w:r w:rsidRPr="00140BA8">
        <w:t>Philo G. et Berry M. (2004). Les faits saillants mentionnés ici sont tirés du site</w:t>
      </w:r>
      <w:r>
        <w:br/>
      </w:r>
      <w:hyperlink r:id="rId7" w:history="1">
        <w:r w:rsidRPr="00D07B46">
          <w:rPr>
            <w:rStyle w:val="Lienhypertexte"/>
          </w:rPr>
          <w:t>http://www.gla.ac.uk/departments/sociology/units/media/israel.htm</w:t>
        </w:r>
      </w:hyperlink>
      <w:r w:rsidRPr="00140BA8">
        <w:t>.</w:t>
      </w:r>
    </w:p>
  </w:footnote>
  <w:footnote w:id="35">
    <w:p w:rsidR="004E7E9A" w:rsidRDefault="004E7E9A">
      <w:pPr>
        <w:pStyle w:val="Notedebasdepage"/>
      </w:pPr>
      <w:r>
        <w:rPr>
          <w:rStyle w:val="Appelnotedebasdep"/>
        </w:rPr>
        <w:footnoteRef/>
      </w:r>
      <w:r>
        <w:t xml:space="preserve"> </w:t>
      </w:r>
      <w:r>
        <w:tab/>
      </w:r>
      <w:r w:rsidRPr="00140BA8">
        <w:t>Nous avons étudié les processus par lesquels cette représentation est reprodu</w:t>
      </w:r>
      <w:r w:rsidRPr="00140BA8">
        <w:t>i</w:t>
      </w:r>
      <w:r w:rsidRPr="00140BA8">
        <w:t>te dans Antonius (1986) et Antonius (2002)</w:t>
      </w:r>
    </w:p>
  </w:footnote>
  <w:footnote w:id="36">
    <w:p w:rsidR="004E7E9A" w:rsidRDefault="004E7E9A">
      <w:pPr>
        <w:pStyle w:val="Notedebasdepage"/>
      </w:pPr>
      <w:r>
        <w:rPr>
          <w:rStyle w:val="Appelnotedebasdep"/>
        </w:rPr>
        <w:footnoteRef/>
      </w:r>
      <w:r>
        <w:t xml:space="preserve"> </w:t>
      </w:r>
      <w:r>
        <w:tab/>
      </w:r>
      <w:r w:rsidRPr="00140BA8">
        <w:t xml:space="preserve">Pour reprendre le titre d'un ouvrage de Tanya Reinhart : </w:t>
      </w:r>
      <w:r w:rsidRPr="006E2741">
        <w:rPr>
          <w:i/>
        </w:rPr>
        <w:t>Détruire la Palest</w:t>
      </w:r>
      <w:r w:rsidRPr="006E2741">
        <w:rPr>
          <w:i/>
        </w:rPr>
        <w:t>i</w:t>
      </w:r>
      <w:r w:rsidRPr="006E2741">
        <w:rPr>
          <w:i/>
        </w:rPr>
        <w:t>ne, ou comment terminer la guerre de 1948</w:t>
      </w:r>
      <w:r w:rsidRPr="00140BA8">
        <w:t>. Reinhart (2002).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E9A" w:rsidRPr="006B2619" w:rsidRDefault="004E7E9A" w:rsidP="004E7E9A">
    <w:pPr>
      <w:pStyle w:val="En-tte"/>
      <w:tabs>
        <w:tab w:val="right" w:pos="7290"/>
        <w:tab w:val="right" w:pos="7920"/>
      </w:tabs>
      <w:ind w:firstLine="0"/>
      <w:rPr>
        <w:rFonts w:ascii="Times New Roman" w:hAnsi="Times New Roman"/>
      </w:rPr>
    </w:pPr>
    <w:r w:rsidRPr="006B2619">
      <w:rPr>
        <w:rFonts w:ascii="Times New Roman" w:hAnsi="Times New Roman"/>
      </w:rPr>
      <w:tab/>
      <w:t xml:space="preserve">Rachad Antonius, </w:t>
    </w:r>
    <w:r w:rsidRPr="00752639">
      <w:rPr>
        <w:rFonts w:ascii="Times New Roman" w:hAnsi="Times New Roman"/>
      </w:rPr>
      <w:t>“Israël : le devoir de mémoire et la politique du déni.”</w:t>
    </w:r>
    <w:r w:rsidRPr="006B2619">
      <w:rPr>
        <w:rFonts w:ascii="Times New Roman" w:hAnsi="Times New Roman"/>
      </w:rPr>
      <w:t xml:space="preserve">  (</w:t>
    </w:r>
    <w:r>
      <w:rPr>
        <w:rFonts w:ascii="Times New Roman" w:hAnsi="Times New Roman"/>
      </w:rPr>
      <w:t>2005</w:t>
    </w:r>
    <w:r w:rsidRPr="006B2619">
      <w:rPr>
        <w:rFonts w:ascii="Times New Roman" w:hAnsi="Times New Roman"/>
      </w:rPr>
      <w:t>)</w:t>
    </w:r>
    <w:r w:rsidRPr="006B2619">
      <w:rPr>
        <w:rFonts w:ascii="Times New Roman" w:hAnsi="Times New Roman"/>
      </w:rPr>
      <w:tab/>
    </w:r>
    <w:r w:rsidRPr="006B2619">
      <w:rPr>
        <w:rStyle w:val="Numrodepage"/>
        <w:rFonts w:ascii="Times New Roman" w:hAnsi="Times New Roman"/>
      </w:rPr>
      <w:fldChar w:fldCharType="begin"/>
    </w:r>
    <w:r w:rsidRPr="006B2619">
      <w:rPr>
        <w:rStyle w:val="Numrodepage"/>
        <w:rFonts w:ascii="Times New Roman" w:hAnsi="Times New Roman"/>
      </w:rPr>
      <w:instrText xml:space="preserve"> </w:instrText>
    </w:r>
    <w:r w:rsidR="00DB457A">
      <w:rPr>
        <w:rStyle w:val="Numrodepage"/>
        <w:rFonts w:ascii="Times New Roman" w:hAnsi="Times New Roman"/>
      </w:rPr>
      <w:instrText>PAGE</w:instrText>
    </w:r>
    <w:r w:rsidRPr="006B2619">
      <w:rPr>
        <w:rStyle w:val="Numrodepage"/>
        <w:rFonts w:ascii="Times New Roman" w:hAnsi="Times New Roman"/>
      </w:rPr>
      <w:instrText xml:space="preserve"> </w:instrText>
    </w:r>
    <w:r w:rsidRPr="006B2619">
      <w:rPr>
        <w:rStyle w:val="Numrodepage"/>
        <w:rFonts w:ascii="Times New Roman" w:hAnsi="Times New Roman"/>
      </w:rPr>
      <w:fldChar w:fldCharType="separate"/>
    </w:r>
    <w:r>
      <w:rPr>
        <w:rStyle w:val="Numrodepage"/>
        <w:rFonts w:ascii="Times New Roman" w:hAnsi="Times New Roman"/>
        <w:noProof/>
      </w:rPr>
      <w:t>2</w:t>
    </w:r>
    <w:r w:rsidRPr="006B2619">
      <w:rPr>
        <w:rStyle w:val="Numrodepage"/>
        <w:rFonts w:ascii="Times New Roman" w:hAnsi="Times New Roman"/>
      </w:rPr>
      <w:fldChar w:fldCharType="end"/>
    </w:r>
  </w:p>
  <w:p w:rsidR="004E7E9A" w:rsidRPr="00766C9A" w:rsidRDefault="004E7E9A">
    <w:pPr>
      <w:pBdr>
        <w:top w:val="single" w:sz="4" w:space="1" w:color="auto"/>
      </w:pBdr>
      <w:spacing w:before="60"/>
      <w:rPr>
        <w:rStyle w:val="Numrodepage"/>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4E7E9A"/>
    <w:rsid w:val="00D150E3"/>
    <w:rsid w:val="00DB457A"/>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6A6ADAE3-ADC3-1749-972B-90D05D60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2619"/>
    <w:pPr>
      <w:ind w:firstLine="360"/>
    </w:pPr>
    <w:rPr>
      <w:rFonts w:ascii="Times New Roman" w:eastAsia="Times New Roman" w:hAnsi="Times New Roman"/>
      <w:sz w:val="28"/>
      <w:lang w:eastAsia="en-US"/>
    </w:rPr>
  </w:style>
  <w:style w:type="paragraph" w:styleId="Titre1">
    <w:name w:val="heading 1"/>
    <w:next w:val="Normal"/>
    <w:link w:val="Titre1Car"/>
    <w:qFormat/>
    <w:rsid w:val="0058603D"/>
    <w:pPr>
      <w:outlineLvl w:val="0"/>
    </w:pPr>
    <w:rPr>
      <w:rFonts w:eastAsia="Times New Roman"/>
      <w:noProof/>
      <w:lang w:eastAsia="en-US"/>
    </w:rPr>
  </w:style>
  <w:style w:type="paragraph" w:styleId="Titre2">
    <w:name w:val="heading 2"/>
    <w:next w:val="Normal"/>
    <w:link w:val="Titre2Car"/>
    <w:qFormat/>
    <w:rsid w:val="0058603D"/>
    <w:pPr>
      <w:outlineLvl w:val="1"/>
    </w:pPr>
    <w:rPr>
      <w:rFonts w:eastAsia="Times New Roman"/>
      <w:noProof/>
      <w:lang w:eastAsia="en-US"/>
    </w:rPr>
  </w:style>
  <w:style w:type="paragraph" w:styleId="Titre3">
    <w:name w:val="heading 3"/>
    <w:next w:val="Normal"/>
    <w:link w:val="Titre3Car"/>
    <w:qFormat/>
    <w:rsid w:val="0058603D"/>
    <w:pPr>
      <w:outlineLvl w:val="2"/>
    </w:pPr>
    <w:rPr>
      <w:rFonts w:eastAsia="Times New Roman"/>
      <w:noProof/>
      <w:lang w:eastAsia="en-US"/>
    </w:rPr>
  </w:style>
  <w:style w:type="paragraph" w:styleId="Titre4">
    <w:name w:val="heading 4"/>
    <w:next w:val="Normal"/>
    <w:link w:val="Titre4Car"/>
    <w:qFormat/>
    <w:rsid w:val="0058603D"/>
    <w:pPr>
      <w:outlineLvl w:val="3"/>
    </w:pPr>
    <w:rPr>
      <w:rFonts w:eastAsia="Times New Roman"/>
      <w:noProof/>
      <w:lang w:eastAsia="en-US"/>
    </w:rPr>
  </w:style>
  <w:style w:type="paragraph" w:styleId="Titre5">
    <w:name w:val="heading 5"/>
    <w:next w:val="Normal"/>
    <w:link w:val="Titre5Car"/>
    <w:qFormat/>
    <w:rsid w:val="0058603D"/>
    <w:pPr>
      <w:outlineLvl w:val="4"/>
    </w:pPr>
    <w:rPr>
      <w:rFonts w:eastAsia="Times New Roman"/>
      <w:noProof/>
      <w:lang w:eastAsia="en-US"/>
    </w:rPr>
  </w:style>
  <w:style w:type="paragraph" w:styleId="Titre6">
    <w:name w:val="heading 6"/>
    <w:next w:val="Normal"/>
    <w:link w:val="Titre6Car"/>
    <w:qFormat/>
    <w:rsid w:val="0058603D"/>
    <w:pPr>
      <w:outlineLvl w:val="5"/>
    </w:pPr>
    <w:rPr>
      <w:rFonts w:eastAsia="Times New Roman"/>
      <w:noProof/>
      <w:lang w:eastAsia="en-US"/>
    </w:rPr>
  </w:style>
  <w:style w:type="paragraph" w:styleId="Titre7">
    <w:name w:val="heading 7"/>
    <w:next w:val="Normal"/>
    <w:link w:val="Titre7Car"/>
    <w:qFormat/>
    <w:rsid w:val="0058603D"/>
    <w:pPr>
      <w:outlineLvl w:val="6"/>
    </w:pPr>
    <w:rPr>
      <w:rFonts w:eastAsia="Times New Roman"/>
      <w:noProof/>
      <w:lang w:eastAsia="en-US"/>
    </w:rPr>
  </w:style>
  <w:style w:type="paragraph" w:styleId="Titre8">
    <w:name w:val="heading 8"/>
    <w:next w:val="Normal"/>
    <w:link w:val="Titre8Car"/>
    <w:qFormat/>
    <w:rsid w:val="0058603D"/>
    <w:pPr>
      <w:outlineLvl w:val="7"/>
    </w:pPr>
    <w:rPr>
      <w:rFonts w:eastAsia="Times New Roman"/>
      <w:noProof/>
      <w:lang w:eastAsia="en-US"/>
    </w:rPr>
  </w:style>
  <w:style w:type="paragraph" w:styleId="Titre9">
    <w:name w:val="heading 9"/>
    <w:next w:val="Normal"/>
    <w:link w:val="Titre9Car"/>
    <w:qFormat/>
    <w:rsid w:val="0058603D"/>
    <w:pPr>
      <w:outlineLvl w:val="8"/>
    </w:pPr>
    <w:rPr>
      <w:rFonts w:eastAsia="Times New Roman"/>
      <w:noProof/>
      <w:lang w:eastAsia="en-US"/>
    </w:rPr>
  </w:style>
  <w:style w:type="character" w:default="1" w:styleId="Policepardfaut">
    <w:name w:val="Default Paragraph Font"/>
    <w:rsid w:val="0058603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58603D"/>
  </w:style>
  <w:style w:type="character" w:customStyle="1" w:styleId="Titre1Car">
    <w:name w:val="Titre 1 Car"/>
    <w:basedOn w:val="Policepardfaut"/>
    <w:link w:val="Titre1"/>
    <w:rsid w:val="00752639"/>
    <w:rPr>
      <w:rFonts w:eastAsia="Times New Roman"/>
      <w:noProof/>
      <w:lang w:val="fr-CA" w:eastAsia="en-US" w:bidi="ar-SA"/>
    </w:rPr>
  </w:style>
  <w:style w:type="character" w:customStyle="1" w:styleId="Titre2Car">
    <w:name w:val="Titre 2 Car"/>
    <w:basedOn w:val="Policepardfaut"/>
    <w:link w:val="Titre2"/>
    <w:rsid w:val="00752639"/>
    <w:rPr>
      <w:rFonts w:eastAsia="Times New Roman"/>
      <w:noProof/>
      <w:lang w:val="fr-CA" w:eastAsia="en-US" w:bidi="ar-SA"/>
    </w:rPr>
  </w:style>
  <w:style w:type="character" w:customStyle="1" w:styleId="Titre3Car">
    <w:name w:val="Titre 3 Car"/>
    <w:basedOn w:val="Policepardfaut"/>
    <w:link w:val="Titre3"/>
    <w:rsid w:val="00752639"/>
    <w:rPr>
      <w:rFonts w:eastAsia="Times New Roman"/>
      <w:noProof/>
      <w:lang w:val="fr-CA" w:eastAsia="en-US" w:bidi="ar-SA"/>
    </w:rPr>
  </w:style>
  <w:style w:type="character" w:customStyle="1" w:styleId="Titre4Car">
    <w:name w:val="Titre 4 Car"/>
    <w:basedOn w:val="Policepardfaut"/>
    <w:link w:val="Titre4"/>
    <w:rsid w:val="00752639"/>
    <w:rPr>
      <w:rFonts w:eastAsia="Times New Roman"/>
      <w:noProof/>
      <w:lang w:val="fr-CA" w:eastAsia="en-US" w:bidi="ar-SA"/>
    </w:rPr>
  </w:style>
  <w:style w:type="character" w:customStyle="1" w:styleId="Titre5Car">
    <w:name w:val="Titre 5 Car"/>
    <w:basedOn w:val="Policepardfaut"/>
    <w:link w:val="Titre5"/>
    <w:rsid w:val="00752639"/>
    <w:rPr>
      <w:rFonts w:eastAsia="Times New Roman"/>
      <w:noProof/>
      <w:lang w:val="fr-CA" w:eastAsia="en-US" w:bidi="ar-SA"/>
    </w:rPr>
  </w:style>
  <w:style w:type="character" w:customStyle="1" w:styleId="Titre6Car">
    <w:name w:val="Titre 6 Car"/>
    <w:basedOn w:val="Policepardfaut"/>
    <w:link w:val="Titre6"/>
    <w:rsid w:val="00752639"/>
    <w:rPr>
      <w:rFonts w:eastAsia="Times New Roman"/>
      <w:noProof/>
      <w:lang w:val="fr-CA" w:eastAsia="en-US" w:bidi="ar-SA"/>
    </w:rPr>
  </w:style>
  <w:style w:type="character" w:customStyle="1" w:styleId="Titre7Car">
    <w:name w:val="Titre 7 Car"/>
    <w:basedOn w:val="Policepardfaut"/>
    <w:link w:val="Titre7"/>
    <w:rsid w:val="00752639"/>
    <w:rPr>
      <w:rFonts w:eastAsia="Times New Roman"/>
      <w:noProof/>
      <w:lang w:val="fr-CA" w:eastAsia="en-US" w:bidi="ar-SA"/>
    </w:rPr>
  </w:style>
  <w:style w:type="character" w:customStyle="1" w:styleId="Titre8Car">
    <w:name w:val="Titre 8 Car"/>
    <w:basedOn w:val="Policepardfaut"/>
    <w:link w:val="Titre8"/>
    <w:rsid w:val="00752639"/>
    <w:rPr>
      <w:rFonts w:eastAsia="Times New Roman"/>
      <w:noProof/>
      <w:lang w:val="fr-CA" w:eastAsia="en-US" w:bidi="ar-SA"/>
    </w:rPr>
  </w:style>
  <w:style w:type="character" w:customStyle="1" w:styleId="Titre9Car">
    <w:name w:val="Titre 9 Car"/>
    <w:basedOn w:val="Policepardfaut"/>
    <w:link w:val="Titre9"/>
    <w:rsid w:val="00752639"/>
    <w:rPr>
      <w:rFonts w:eastAsia="Times New Roman"/>
      <w:noProof/>
      <w:lang w:val="fr-CA" w:eastAsia="en-US" w:bidi="ar-SA"/>
    </w:rPr>
  </w:style>
  <w:style w:type="character" w:styleId="Appeldenotedefin">
    <w:name w:val="endnote reference"/>
    <w:basedOn w:val="Policepardfaut"/>
    <w:rsid w:val="0058603D"/>
    <w:rPr>
      <w:vertAlign w:val="superscript"/>
    </w:rPr>
  </w:style>
  <w:style w:type="character" w:styleId="Appelnotedebasdep">
    <w:name w:val="footnote reference"/>
    <w:basedOn w:val="Policepardfaut"/>
    <w:autoRedefine/>
    <w:rsid w:val="004D116B"/>
    <w:rPr>
      <w:color w:val="FF0000"/>
      <w:position w:val="6"/>
      <w:sz w:val="20"/>
    </w:rPr>
  </w:style>
  <w:style w:type="paragraph" w:styleId="Grillecouleur-Accent1">
    <w:name w:val="Colorful Grid Accent 1"/>
    <w:basedOn w:val="Normal"/>
    <w:link w:val="Grillecouleur-Accent1Car"/>
    <w:autoRedefine/>
    <w:rsid w:val="004D116B"/>
    <w:pPr>
      <w:tabs>
        <w:tab w:val="left" w:pos="1080"/>
      </w:tabs>
      <w:ind w:left="720" w:firstLine="0"/>
      <w:jc w:val="both"/>
    </w:pPr>
    <w:rPr>
      <w:color w:val="000080"/>
      <w:sz w:val="24"/>
    </w:rPr>
  </w:style>
  <w:style w:type="character" w:customStyle="1" w:styleId="Grillecouleur-Accent1Car">
    <w:name w:val="Grille couleur - Accent 1 Car"/>
    <w:basedOn w:val="Policepardfaut"/>
    <w:link w:val="Grillecouleur-Accent1"/>
    <w:rsid w:val="00752639"/>
    <w:rPr>
      <w:rFonts w:ascii="Times New Roman" w:eastAsia="Times New Roman" w:hAnsi="Times New Roman"/>
      <w:color w:val="000080"/>
      <w:sz w:val="24"/>
      <w:lang w:val="fr-CA" w:eastAsia="en-US"/>
    </w:rPr>
  </w:style>
  <w:style w:type="paragraph" w:customStyle="1" w:styleId="Niveau1">
    <w:name w:val="Niveau 1"/>
    <w:basedOn w:val="Normal"/>
    <w:rsid w:val="0058603D"/>
    <w:pPr>
      <w:ind w:firstLine="0"/>
    </w:pPr>
    <w:rPr>
      <w:b/>
      <w:color w:val="FF0000"/>
      <w:sz w:val="72"/>
    </w:rPr>
  </w:style>
  <w:style w:type="paragraph" w:customStyle="1" w:styleId="Niveau11">
    <w:name w:val="Niveau 1.1"/>
    <w:basedOn w:val="Niveau1"/>
    <w:autoRedefine/>
    <w:rsid w:val="0058603D"/>
    <w:rPr>
      <w:color w:val="008000"/>
      <w:sz w:val="60"/>
    </w:rPr>
  </w:style>
  <w:style w:type="paragraph" w:customStyle="1" w:styleId="Niveau12">
    <w:name w:val="Niveau 1.2"/>
    <w:basedOn w:val="Niveau11"/>
    <w:autoRedefine/>
    <w:rsid w:val="0058603D"/>
    <w:pPr>
      <w:jc w:val="center"/>
    </w:pPr>
    <w:rPr>
      <w:i/>
      <w:color w:val="000080"/>
      <w:sz w:val="28"/>
    </w:rPr>
  </w:style>
  <w:style w:type="paragraph" w:customStyle="1" w:styleId="Niveau2">
    <w:name w:val="Niveau 2"/>
    <w:basedOn w:val="Normal"/>
    <w:rsid w:val="0058603D"/>
    <w:rPr>
      <w:rFonts w:ascii="GillSans" w:hAnsi="GillSans"/>
      <w:sz w:val="20"/>
    </w:rPr>
  </w:style>
  <w:style w:type="paragraph" w:customStyle="1" w:styleId="Niveau3">
    <w:name w:val="Niveau 3"/>
    <w:basedOn w:val="Normal"/>
    <w:autoRedefine/>
    <w:rsid w:val="0058603D"/>
    <w:pPr>
      <w:ind w:left="1080" w:hanging="720"/>
    </w:pPr>
    <w:rPr>
      <w:b/>
    </w:rPr>
  </w:style>
  <w:style w:type="paragraph" w:customStyle="1" w:styleId="Titreniveau1">
    <w:name w:val="Titre niveau 1"/>
    <w:basedOn w:val="Niveau1"/>
    <w:autoRedefine/>
    <w:rsid w:val="00620264"/>
    <w:pPr>
      <w:pBdr>
        <w:bottom w:val="single" w:sz="4" w:space="1" w:color="auto"/>
      </w:pBdr>
      <w:ind w:left="1440" w:right="1440"/>
      <w:jc w:val="center"/>
    </w:pPr>
    <w:rPr>
      <w:b w:val="0"/>
      <w:sz w:val="60"/>
    </w:rPr>
  </w:style>
  <w:style w:type="paragraph" w:customStyle="1" w:styleId="Titreniveau2">
    <w:name w:val="Titre niveau 2"/>
    <w:basedOn w:val="Titreniveau1"/>
    <w:autoRedefine/>
    <w:rsid w:val="00620264"/>
    <w:pPr>
      <w:widowControl w:val="0"/>
      <w:pBdr>
        <w:bottom w:val="none" w:sz="0" w:space="0" w:color="auto"/>
      </w:pBdr>
      <w:ind w:left="0" w:right="0"/>
    </w:pPr>
    <w:rPr>
      <w:color w:val="800000"/>
      <w:sz w:val="48"/>
    </w:rPr>
  </w:style>
  <w:style w:type="paragraph" w:styleId="Corpsdetexte">
    <w:name w:val="Body Text"/>
    <w:basedOn w:val="Normal"/>
    <w:link w:val="CorpsdetexteCar"/>
    <w:rsid w:val="0058603D"/>
    <w:pPr>
      <w:spacing w:before="360" w:after="240"/>
      <w:ind w:firstLine="0"/>
      <w:jc w:val="center"/>
    </w:pPr>
    <w:rPr>
      <w:sz w:val="72"/>
    </w:rPr>
  </w:style>
  <w:style w:type="character" w:customStyle="1" w:styleId="CorpsdetexteCar">
    <w:name w:val="Corps de texte Car"/>
    <w:basedOn w:val="Policepardfaut"/>
    <w:link w:val="Corpsdetexte"/>
    <w:rsid w:val="00752639"/>
    <w:rPr>
      <w:rFonts w:ascii="Times New Roman" w:eastAsia="Times New Roman" w:hAnsi="Times New Roman"/>
      <w:sz w:val="72"/>
      <w:lang w:val="fr-CA" w:eastAsia="en-US"/>
    </w:rPr>
  </w:style>
  <w:style w:type="paragraph" w:styleId="Corpsdetexte2">
    <w:name w:val="Body Text 2"/>
    <w:basedOn w:val="Normal"/>
    <w:link w:val="Corpsdetexte2Car"/>
    <w:rsid w:val="0058603D"/>
    <w:pPr>
      <w:ind w:firstLine="0"/>
      <w:jc w:val="both"/>
    </w:pPr>
    <w:rPr>
      <w:rFonts w:ascii="Arial" w:hAnsi="Arial"/>
    </w:rPr>
  </w:style>
  <w:style w:type="character" w:customStyle="1" w:styleId="Corpsdetexte2Car">
    <w:name w:val="Corps de texte 2 Car"/>
    <w:basedOn w:val="Policepardfaut"/>
    <w:link w:val="Corpsdetexte2"/>
    <w:rsid w:val="00752639"/>
    <w:rPr>
      <w:rFonts w:ascii="Arial" w:eastAsia="Times New Roman" w:hAnsi="Arial"/>
      <w:sz w:val="28"/>
      <w:lang w:val="fr-CA" w:eastAsia="en-US"/>
    </w:rPr>
  </w:style>
  <w:style w:type="paragraph" w:styleId="Corpsdetexte3">
    <w:name w:val="Body Text 3"/>
    <w:basedOn w:val="Normal"/>
    <w:link w:val="Corpsdetexte3Car"/>
    <w:rsid w:val="0058603D"/>
    <w:pPr>
      <w:tabs>
        <w:tab w:val="left" w:pos="510"/>
        <w:tab w:val="left" w:pos="510"/>
      </w:tabs>
      <w:ind w:firstLine="0"/>
      <w:jc w:val="both"/>
    </w:pPr>
    <w:rPr>
      <w:rFonts w:ascii="Arial" w:hAnsi="Arial"/>
      <w:sz w:val="20"/>
    </w:rPr>
  </w:style>
  <w:style w:type="character" w:customStyle="1" w:styleId="Corpsdetexte3Car">
    <w:name w:val="Corps de texte 3 Car"/>
    <w:basedOn w:val="Policepardfaut"/>
    <w:link w:val="Corpsdetexte3"/>
    <w:rsid w:val="00752639"/>
    <w:rPr>
      <w:rFonts w:ascii="Arial" w:eastAsia="Times New Roman" w:hAnsi="Arial"/>
      <w:lang w:val="fr-CA" w:eastAsia="en-US"/>
    </w:rPr>
  </w:style>
  <w:style w:type="paragraph" w:styleId="En-tte">
    <w:name w:val="header"/>
    <w:basedOn w:val="Normal"/>
    <w:link w:val="En-tteCar"/>
    <w:uiPriority w:val="99"/>
    <w:rsid w:val="0058603D"/>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752639"/>
    <w:rPr>
      <w:rFonts w:ascii="GillSans" w:eastAsia="Times New Roman" w:hAnsi="GillSans"/>
      <w:lang w:val="fr-CA" w:eastAsia="en-US"/>
    </w:rPr>
  </w:style>
  <w:style w:type="paragraph" w:customStyle="1" w:styleId="En-tteimpaire">
    <w:name w:val="En-tÍte impaire"/>
    <w:basedOn w:val="En-tte"/>
    <w:rsid w:val="0058603D"/>
    <w:pPr>
      <w:tabs>
        <w:tab w:val="right" w:pos="8280"/>
        <w:tab w:val="right" w:pos="9000"/>
      </w:tabs>
      <w:ind w:firstLine="0"/>
    </w:pPr>
  </w:style>
  <w:style w:type="paragraph" w:customStyle="1" w:styleId="En-ttepaire">
    <w:name w:val="En-tÍte paire"/>
    <w:basedOn w:val="En-tte"/>
    <w:rsid w:val="0058603D"/>
    <w:pPr>
      <w:tabs>
        <w:tab w:val="left" w:pos="720"/>
      </w:tabs>
      <w:ind w:firstLine="0"/>
    </w:pPr>
  </w:style>
  <w:style w:type="paragraph" w:styleId="Lgende">
    <w:name w:val="caption"/>
    <w:basedOn w:val="Normal"/>
    <w:next w:val="Normal"/>
    <w:qFormat/>
    <w:rsid w:val="0058603D"/>
    <w:pPr>
      <w:spacing w:before="120" w:after="120"/>
    </w:pPr>
    <w:rPr>
      <w:rFonts w:ascii="GillSans" w:hAnsi="GillSans"/>
      <w:b/>
      <w:sz w:val="20"/>
    </w:rPr>
  </w:style>
  <w:style w:type="character" w:styleId="Lienhypertexte">
    <w:name w:val="Hyperlink"/>
    <w:basedOn w:val="Policepardfaut"/>
    <w:uiPriority w:val="99"/>
    <w:rsid w:val="0058603D"/>
    <w:rPr>
      <w:color w:val="0000FF"/>
      <w:u w:val="single"/>
    </w:rPr>
  </w:style>
  <w:style w:type="character" w:styleId="Lienhypertextesuivivisit">
    <w:name w:val="FollowedHyperlink"/>
    <w:basedOn w:val="Policepardfaut"/>
    <w:rsid w:val="0058603D"/>
    <w:rPr>
      <w:color w:val="800080"/>
      <w:u w:val="single"/>
    </w:rPr>
  </w:style>
  <w:style w:type="paragraph" w:customStyle="1" w:styleId="Niveau10">
    <w:name w:val="Niveau 1.0"/>
    <w:basedOn w:val="Niveau11"/>
    <w:autoRedefine/>
    <w:rsid w:val="0058603D"/>
    <w:pPr>
      <w:jc w:val="center"/>
    </w:pPr>
    <w:rPr>
      <w:b w:val="0"/>
      <w:sz w:val="48"/>
    </w:rPr>
  </w:style>
  <w:style w:type="paragraph" w:customStyle="1" w:styleId="Niveau13">
    <w:name w:val="Niveau 1.3"/>
    <w:basedOn w:val="Niveau12"/>
    <w:autoRedefine/>
    <w:rsid w:val="0058603D"/>
    <w:rPr>
      <w:b w:val="0"/>
      <w:i w:val="0"/>
      <w:color w:val="800080"/>
      <w:sz w:val="48"/>
    </w:rPr>
  </w:style>
  <w:style w:type="paragraph" w:styleId="Notedebasdepage">
    <w:name w:val="footnote text"/>
    <w:basedOn w:val="Normal"/>
    <w:link w:val="NotedebasdepageCar"/>
    <w:autoRedefine/>
    <w:rsid w:val="004D116B"/>
    <w:pPr>
      <w:ind w:left="360" w:hanging="360"/>
      <w:jc w:val="both"/>
    </w:pPr>
    <w:rPr>
      <w:color w:val="000000"/>
      <w:sz w:val="24"/>
    </w:rPr>
  </w:style>
  <w:style w:type="character" w:customStyle="1" w:styleId="NotedebasdepageCar">
    <w:name w:val="Note de bas de page Car"/>
    <w:basedOn w:val="Policepardfaut"/>
    <w:link w:val="Notedebasdepage"/>
    <w:rsid w:val="00752639"/>
    <w:rPr>
      <w:rFonts w:ascii="Times New Roman" w:eastAsia="Times New Roman" w:hAnsi="Times New Roman"/>
      <w:color w:val="000000"/>
      <w:sz w:val="24"/>
      <w:lang w:val="fr-CA" w:eastAsia="en-US"/>
    </w:rPr>
  </w:style>
  <w:style w:type="character" w:styleId="Numrodepage">
    <w:name w:val="page number"/>
    <w:basedOn w:val="Policepardfaut"/>
    <w:rsid w:val="0058603D"/>
  </w:style>
  <w:style w:type="paragraph" w:styleId="Pieddepage">
    <w:name w:val="footer"/>
    <w:basedOn w:val="Normal"/>
    <w:link w:val="PieddepageCar"/>
    <w:uiPriority w:val="99"/>
    <w:rsid w:val="0058603D"/>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752639"/>
    <w:rPr>
      <w:rFonts w:ascii="GillSans" w:eastAsia="Times New Roman" w:hAnsi="GillSans"/>
      <w:lang w:val="fr-CA" w:eastAsia="en-US"/>
    </w:rPr>
  </w:style>
  <w:style w:type="paragraph" w:styleId="Retraitcorpsdetexte">
    <w:name w:val="Body Text Indent"/>
    <w:basedOn w:val="Normal"/>
    <w:link w:val="RetraitcorpsdetexteCar"/>
    <w:rsid w:val="0058603D"/>
    <w:pPr>
      <w:ind w:left="20" w:firstLine="400"/>
    </w:pPr>
    <w:rPr>
      <w:rFonts w:ascii="Arial" w:hAnsi="Arial"/>
    </w:rPr>
  </w:style>
  <w:style w:type="character" w:customStyle="1" w:styleId="RetraitcorpsdetexteCar">
    <w:name w:val="Retrait corps de texte Car"/>
    <w:basedOn w:val="Policepardfaut"/>
    <w:link w:val="Retraitcorpsdetexte"/>
    <w:rsid w:val="00752639"/>
    <w:rPr>
      <w:rFonts w:ascii="Arial" w:eastAsia="Times New Roman" w:hAnsi="Arial"/>
      <w:sz w:val="28"/>
      <w:lang w:val="fr-CA" w:eastAsia="en-US"/>
    </w:rPr>
  </w:style>
  <w:style w:type="paragraph" w:styleId="Retraitcorpsdetexte2">
    <w:name w:val="Body Text Indent 2"/>
    <w:basedOn w:val="Normal"/>
    <w:link w:val="Retraitcorpsdetexte2Car"/>
    <w:rsid w:val="0058603D"/>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752639"/>
    <w:rPr>
      <w:rFonts w:ascii="Arial" w:eastAsia="Times New Roman" w:hAnsi="Arial"/>
      <w:sz w:val="28"/>
      <w:lang w:val="fr-CA" w:eastAsia="en-US"/>
    </w:rPr>
  </w:style>
  <w:style w:type="paragraph" w:styleId="Retraitcorpsdetexte3">
    <w:name w:val="Body Text Indent 3"/>
    <w:basedOn w:val="Normal"/>
    <w:link w:val="Retraitcorpsdetexte3Car"/>
    <w:rsid w:val="0058603D"/>
    <w:pPr>
      <w:ind w:left="20" w:firstLine="380"/>
      <w:jc w:val="both"/>
    </w:pPr>
    <w:rPr>
      <w:rFonts w:ascii="Arial" w:hAnsi="Arial"/>
    </w:rPr>
  </w:style>
  <w:style w:type="character" w:customStyle="1" w:styleId="Retraitcorpsdetexte3Car">
    <w:name w:val="Retrait corps de texte 3 Car"/>
    <w:basedOn w:val="Policepardfaut"/>
    <w:link w:val="Retraitcorpsdetexte3"/>
    <w:rsid w:val="00752639"/>
    <w:rPr>
      <w:rFonts w:ascii="Arial" w:eastAsia="Times New Roman" w:hAnsi="Arial"/>
      <w:sz w:val="28"/>
      <w:lang w:val="fr-CA" w:eastAsia="en-US"/>
    </w:rPr>
  </w:style>
  <w:style w:type="paragraph" w:customStyle="1" w:styleId="texteenvidence">
    <w:name w:val="texte en évidence"/>
    <w:basedOn w:val="Normal"/>
    <w:rsid w:val="0058603D"/>
    <w:pPr>
      <w:widowControl w:val="0"/>
      <w:jc w:val="both"/>
    </w:pPr>
    <w:rPr>
      <w:rFonts w:ascii="Arial" w:hAnsi="Arial"/>
      <w:b/>
      <w:color w:val="FF0000"/>
    </w:rPr>
  </w:style>
  <w:style w:type="paragraph" w:styleId="Titre">
    <w:name w:val="Title"/>
    <w:basedOn w:val="Normal"/>
    <w:link w:val="TitreCar"/>
    <w:autoRedefine/>
    <w:qFormat/>
    <w:rsid w:val="0058603D"/>
    <w:pPr>
      <w:ind w:firstLine="0"/>
      <w:jc w:val="center"/>
    </w:pPr>
    <w:rPr>
      <w:b/>
      <w:sz w:val="48"/>
    </w:rPr>
  </w:style>
  <w:style w:type="character" w:customStyle="1" w:styleId="TitreCar">
    <w:name w:val="Titre Car"/>
    <w:basedOn w:val="Policepardfaut"/>
    <w:link w:val="Titre"/>
    <w:rsid w:val="00752639"/>
    <w:rPr>
      <w:rFonts w:ascii="Times New Roman" w:eastAsia="Times New Roman" w:hAnsi="Times New Roman"/>
      <w:b/>
      <w:sz w:val="48"/>
      <w:lang w:val="fr-CA" w:eastAsia="en-US"/>
    </w:rPr>
  </w:style>
  <w:style w:type="paragraph" w:customStyle="1" w:styleId="livre">
    <w:name w:val="livre"/>
    <w:basedOn w:val="Normal"/>
    <w:rsid w:val="0058603D"/>
    <w:pPr>
      <w:tabs>
        <w:tab w:val="right" w:pos="9360"/>
      </w:tabs>
      <w:ind w:firstLine="0"/>
    </w:pPr>
    <w:rPr>
      <w:b/>
      <w:color w:val="000080"/>
      <w:sz w:val="144"/>
    </w:rPr>
  </w:style>
  <w:style w:type="paragraph" w:customStyle="1" w:styleId="livrest">
    <w:name w:val="livre_st"/>
    <w:basedOn w:val="Normal"/>
    <w:rsid w:val="0058603D"/>
    <w:pPr>
      <w:tabs>
        <w:tab w:val="right" w:pos="9360"/>
      </w:tabs>
      <w:ind w:firstLine="0"/>
    </w:pPr>
    <w:rPr>
      <w:b/>
      <w:color w:val="FF0000"/>
      <w:sz w:val="72"/>
    </w:rPr>
  </w:style>
  <w:style w:type="paragraph" w:customStyle="1" w:styleId="tableautitre">
    <w:name w:val="tableau_titre"/>
    <w:basedOn w:val="Normal"/>
    <w:rsid w:val="0058603D"/>
    <w:pPr>
      <w:ind w:firstLine="0"/>
      <w:jc w:val="center"/>
    </w:pPr>
    <w:rPr>
      <w:rFonts w:ascii="Times" w:hAnsi="Times"/>
      <w:b/>
    </w:rPr>
  </w:style>
  <w:style w:type="paragraph" w:customStyle="1" w:styleId="planche">
    <w:name w:val="planche"/>
    <w:basedOn w:val="tableautitre"/>
    <w:autoRedefine/>
    <w:rsid w:val="006B2619"/>
    <w:pPr>
      <w:widowControl w:val="0"/>
    </w:pPr>
    <w:rPr>
      <w:rFonts w:ascii="Times New Roman" w:hAnsi="Times New Roman"/>
      <w:b w:val="0"/>
      <w:color w:val="000080"/>
      <w:sz w:val="36"/>
    </w:rPr>
  </w:style>
  <w:style w:type="paragraph" w:customStyle="1" w:styleId="tableaust">
    <w:name w:val="tableau_st"/>
    <w:basedOn w:val="Normal"/>
    <w:autoRedefine/>
    <w:rsid w:val="00E93E46"/>
    <w:pPr>
      <w:ind w:firstLine="0"/>
      <w:jc w:val="center"/>
    </w:pPr>
    <w:rPr>
      <w:i/>
      <w:color w:val="FF0000"/>
    </w:rPr>
  </w:style>
  <w:style w:type="paragraph" w:customStyle="1" w:styleId="planchest">
    <w:name w:val="planche_st"/>
    <w:basedOn w:val="tableaust"/>
    <w:autoRedefine/>
    <w:rsid w:val="0058603D"/>
    <w:pPr>
      <w:spacing w:before="60"/>
    </w:pPr>
    <w:rPr>
      <w:i w:val="0"/>
      <w:sz w:val="36"/>
    </w:rPr>
  </w:style>
  <w:style w:type="paragraph" w:customStyle="1" w:styleId="section">
    <w:name w:val="section"/>
    <w:basedOn w:val="Normal"/>
    <w:rsid w:val="0058603D"/>
    <w:pPr>
      <w:ind w:firstLine="0"/>
      <w:jc w:val="center"/>
    </w:pPr>
    <w:rPr>
      <w:rFonts w:ascii="Times" w:hAnsi="Times"/>
      <w:b/>
      <w:sz w:val="48"/>
    </w:rPr>
  </w:style>
  <w:style w:type="paragraph" w:customStyle="1" w:styleId="suite">
    <w:name w:val="suite"/>
    <w:basedOn w:val="Normal"/>
    <w:autoRedefine/>
    <w:rsid w:val="00E93E46"/>
    <w:pPr>
      <w:tabs>
        <w:tab w:val="right" w:pos="9360"/>
      </w:tabs>
      <w:ind w:firstLine="0"/>
      <w:jc w:val="center"/>
    </w:pPr>
    <w:rPr>
      <w:b/>
    </w:rPr>
  </w:style>
  <w:style w:type="paragraph" w:customStyle="1" w:styleId="tdmchap">
    <w:name w:val="tdm_chap"/>
    <w:basedOn w:val="Normal"/>
    <w:rsid w:val="0058603D"/>
    <w:pPr>
      <w:tabs>
        <w:tab w:val="left" w:pos="1980"/>
      </w:tabs>
      <w:ind w:firstLine="0"/>
    </w:pPr>
    <w:rPr>
      <w:rFonts w:ascii="Times" w:hAnsi="Times"/>
      <w:b/>
    </w:rPr>
  </w:style>
  <w:style w:type="paragraph" w:customStyle="1" w:styleId="partie">
    <w:name w:val="partie"/>
    <w:basedOn w:val="Normal"/>
    <w:rsid w:val="0058603D"/>
    <w:pPr>
      <w:ind w:firstLine="0"/>
      <w:jc w:val="right"/>
    </w:pPr>
    <w:rPr>
      <w:b/>
      <w:sz w:val="120"/>
    </w:rPr>
  </w:style>
  <w:style w:type="paragraph" w:styleId="Normalcentr">
    <w:name w:val="Block Text"/>
    <w:basedOn w:val="Normal"/>
    <w:rsid w:val="0058603D"/>
    <w:pPr>
      <w:ind w:left="180" w:right="180"/>
      <w:jc w:val="both"/>
    </w:pPr>
  </w:style>
  <w:style w:type="paragraph" w:customStyle="1" w:styleId="Titlest">
    <w:name w:val="Title_st"/>
    <w:basedOn w:val="Titre"/>
    <w:autoRedefine/>
    <w:rsid w:val="00722151"/>
    <w:rPr>
      <w:b w:val="0"/>
      <w:sz w:val="76"/>
    </w:rPr>
  </w:style>
  <w:style w:type="paragraph" w:styleId="TableauGrille2">
    <w:name w:val="Grid Table 2"/>
    <w:basedOn w:val="Normal"/>
    <w:rsid w:val="0058603D"/>
    <w:pPr>
      <w:ind w:left="360" w:hanging="360"/>
    </w:pPr>
    <w:rPr>
      <w:sz w:val="20"/>
      <w:lang w:val="fr-FR"/>
    </w:rPr>
  </w:style>
  <w:style w:type="paragraph" w:styleId="Notedefin">
    <w:name w:val="endnote text"/>
    <w:basedOn w:val="Normal"/>
    <w:link w:val="NotedefinCar"/>
    <w:rsid w:val="0058603D"/>
    <w:pPr>
      <w:spacing w:before="240"/>
    </w:pPr>
    <w:rPr>
      <w:sz w:val="20"/>
      <w:lang w:val="fr-FR"/>
    </w:rPr>
  </w:style>
  <w:style w:type="character" w:customStyle="1" w:styleId="NotedefinCar">
    <w:name w:val="Note de fin Car"/>
    <w:basedOn w:val="Policepardfaut"/>
    <w:link w:val="Notedefin"/>
    <w:rsid w:val="00752639"/>
    <w:rPr>
      <w:rFonts w:ascii="Times New Roman" w:eastAsia="Times New Roman" w:hAnsi="Times New Roman"/>
      <w:lang w:eastAsia="en-US"/>
    </w:rPr>
  </w:style>
  <w:style w:type="paragraph" w:customStyle="1" w:styleId="niveau14">
    <w:name w:val="niveau 1"/>
    <w:basedOn w:val="Normal"/>
    <w:rsid w:val="0058603D"/>
    <w:pPr>
      <w:spacing w:before="240"/>
      <w:ind w:firstLine="0"/>
    </w:pPr>
    <w:rPr>
      <w:rFonts w:ascii="B Times Bold" w:hAnsi="B Times Bold"/>
      <w:lang w:val="fr-FR"/>
    </w:rPr>
  </w:style>
  <w:style w:type="paragraph" w:customStyle="1" w:styleId="Titlest2">
    <w:name w:val="Title_st2"/>
    <w:basedOn w:val="Titlest"/>
    <w:rsid w:val="0058603D"/>
  </w:style>
  <w:style w:type="paragraph" w:customStyle="1" w:styleId="p">
    <w:name w:val="p"/>
    <w:basedOn w:val="Normal"/>
    <w:autoRedefine/>
    <w:rsid w:val="00CC1F17"/>
    <w:pPr>
      <w:ind w:firstLine="0"/>
    </w:pPr>
  </w:style>
  <w:style w:type="paragraph" w:customStyle="1" w:styleId="a">
    <w:name w:val="a"/>
    <w:basedOn w:val="Normal0"/>
    <w:rsid w:val="00752639"/>
    <w:pPr>
      <w:jc w:val="left"/>
    </w:pPr>
    <w:rPr>
      <w:b/>
      <w:i/>
      <w:iCs/>
      <w:color w:val="FF0000"/>
    </w:rPr>
  </w:style>
  <w:style w:type="paragraph" w:customStyle="1" w:styleId="Normal0">
    <w:name w:val="Normal +"/>
    <w:basedOn w:val="Normal"/>
    <w:rsid w:val="00752639"/>
    <w:pPr>
      <w:spacing w:before="120" w:after="120"/>
      <w:jc w:val="both"/>
    </w:pPr>
  </w:style>
  <w:style w:type="paragraph" w:customStyle="1" w:styleId="Citationi">
    <w:name w:val="Citation i"/>
    <w:basedOn w:val="Grillecouleur-Accent1"/>
    <w:autoRedefine/>
    <w:rsid w:val="00762E5D"/>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yperlink" Target="http://dx.doi.org/doi:10.1522/030134725" TargetMode="External"/><Relationship Id="rId3" Type="http://schemas.openxmlformats.org/officeDocument/2006/relationships/settings" Target="settings.xml"/><Relationship Id="rId21" Type="http://schemas.openxmlformats.org/officeDocument/2006/relationships/hyperlink" Target="http://www.doingzionism.org.il/resources" TargetMode="Externa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merip.org/mer/mer223/223_shlaim_interview.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ntonius.rachad@uqam.ca"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icj-cij.org"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alnakba.org" TargetMode="External"/><Relationship Id="rId7" Type="http://schemas.openxmlformats.org/officeDocument/2006/relationships/hyperlink" Target="http://www.gla.ac.uk/departments/sociology/units/media/israel.htm" TargetMode="External"/><Relationship Id="rId2" Type="http://schemas.openxmlformats.org/officeDocument/2006/relationships/hyperlink" Target="http://www.icj-cij.org" TargetMode="External"/><Relationship Id="rId1" Type="http://schemas.openxmlformats.org/officeDocument/2006/relationships/hyperlink" Target="http://www.merip.org/mer/mer223/223_shlaim_interview.html" TargetMode="External"/><Relationship Id="rId6" Type="http://schemas.openxmlformats.org/officeDocument/2006/relationships/hyperlink" Target="http://isranews.com/fr040302.htm" TargetMode="External"/><Relationship Id="rId5" Type="http://schemas.openxmlformats.org/officeDocument/2006/relationships/hyperlink" Target="http://u-blog.net/france/article/Censure.html" TargetMode="External"/><Relationship Id="rId4" Type="http://schemas.openxmlformats.org/officeDocument/2006/relationships/hyperlink" Target="http://www.shaml.org/zshaml/si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6561</Words>
  <Characters>36087</Characters>
  <Application>Microsoft Office Word</Application>
  <DocSecurity>0</DocSecurity>
  <Lines>300</Lines>
  <Paragraphs>85</Paragraphs>
  <ScaleCrop>false</ScaleCrop>
  <HeadingPairs>
    <vt:vector size="2" baseType="variant">
      <vt:variant>
        <vt:lpstr>Title</vt:lpstr>
      </vt:variant>
      <vt:variant>
        <vt:i4>1</vt:i4>
      </vt:variant>
    </vt:vector>
  </HeadingPairs>
  <TitlesOfParts>
    <vt:vector size="1" baseType="lpstr">
      <vt:lpstr>“Israël : le devoir de mémoire et la politique du déni.”</vt:lpstr>
    </vt:vector>
  </TitlesOfParts>
  <Manager>Jean marie Tremblay, sociologue, bénévole, 2019</Manager>
  <Company>Les Classiques des sciences sociales</Company>
  <LinksUpToDate>false</LinksUpToDate>
  <CharactersWithSpaces>42563</CharactersWithSpaces>
  <SharedDoc>false</SharedDoc>
  <HyperlinkBase/>
  <HLinks>
    <vt:vector size="204" baseType="variant">
      <vt:variant>
        <vt:i4>5177363</vt:i4>
      </vt:variant>
      <vt:variant>
        <vt:i4>63</vt:i4>
      </vt:variant>
      <vt:variant>
        <vt:i4>0</vt:i4>
      </vt:variant>
      <vt:variant>
        <vt:i4>5</vt:i4>
      </vt:variant>
      <vt:variant>
        <vt:lpwstr>http://www.doingzionism.org.il/resources</vt:lpwstr>
      </vt:variant>
      <vt:variant>
        <vt:lpwstr/>
      </vt:variant>
      <vt:variant>
        <vt:i4>2883591</vt:i4>
      </vt:variant>
      <vt:variant>
        <vt:i4>60</vt:i4>
      </vt:variant>
      <vt:variant>
        <vt:i4>0</vt:i4>
      </vt:variant>
      <vt:variant>
        <vt:i4>5</vt:i4>
      </vt:variant>
      <vt:variant>
        <vt:lpwstr>http://www.merip.org/mer/mer223/223_shlaim_interview.html</vt:lpwstr>
      </vt:variant>
      <vt:variant>
        <vt:lpwstr/>
      </vt:variant>
      <vt:variant>
        <vt:i4>2687019</vt:i4>
      </vt:variant>
      <vt:variant>
        <vt:i4>57</vt:i4>
      </vt:variant>
      <vt:variant>
        <vt:i4>0</vt:i4>
      </vt:variant>
      <vt:variant>
        <vt:i4>5</vt:i4>
      </vt:variant>
      <vt:variant>
        <vt:lpwstr>http://www.icj-cij.org</vt:lpwstr>
      </vt:variant>
      <vt:variant>
        <vt:lpwstr/>
      </vt:variant>
      <vt:variant>
        <vt:i4>3145808</vt:i4>
      </vt:variant>
      <vt:variant>
        <vt:i4>54</vt:i4>
      </vt:variant>
      <vt:variant>
        <vt:i4>0</vt:i4>
      </vt:variant>
      <vt:variant>
        <vt:i4>5</vt:i4>
      </vt:variant>
      <vt:variant>
        <vt:lpwstr>http://dx.doi.org/doi:10.1522/030134725</vt:lpwstr>
      </vt:variant>
      <vt:variant>
        <vt:lpwstr/>
      </vt:variant>
      <vt:variant>
        <vt:i4>6553625</vt:i4>
      </vt:variant>
      <vt:variant>
        <vt:i4>51</vt:i4>
      </vt:variant>
      <vt:variant>
        <vt:i4>0</vt:i4>
      </vt:variant>
      <vt:variant>
        <vt:i4>5</vt:i4>
      </vt:variant>
      <vt:variant>
        <vt:lpwstr/>
      </vt:variant>
      <vt:variant>
        <vt:lpwstr>tdm</vt:lpwstr>
      </vt:variant>
      <vt:variant>
        <vt:i4>6553625</vt:i4>
      </vt:variant>
      <vt:variant>
        <vt:i4>48</vt:i4>
      </vt:variant>
      <vt:variant>
        <vt:i4>0</vt:i4>
      </vt:variant>
      <vt:variant>
        <vt:i4>5</vt:i4>
      </vt:variant>
      <vt:variant>
        <vt:lpwstr/>
      </vt:variant>
      <vt:variant>
        <vt:lpwstr>tdm</vt:lpwstr>
      </vt:variant>
      <vt:variant>
        <vt:i4>6553625</vt:i4>
      </vt:variant>
      <vt:variant>
        <vt:i4>45</vt:i4>
      </vt:variant>
      <vt:variant>
        <vt:i4>0</vt:i4>
      </vt:variant>
      <vt:variant>
        <vt:i4>5</vt:i4>
      </vt:variant>
      <vt:variant>
        <vt:lpwstr/>
      </vt:variant>
      <vt:variant>
        <vt:lpwstr>tdm</vt:lpwstr>
      </vt:variant>
      <vt:variant>
        <vt:i4>6553625</vt:i4>
      </vt:variant>
      <vt:variant>
        <vt:i4>42</vt:i4>
      </vt:variant>
      <vt:variant>
        <vt:i4>0</vt:i4>
      </vt:variant>
      <vt:variant>
        <vt:i4>5</vt:i4>
      </vt:variant>
      <vt:variant>
        <vt:lpwstr/>
      </vt:variant>
      <vt:variant>
        <vt:lpwstr>tdm</vt:lpwstr>
      </vt:variant>
      <vt:variant>
        <vt:i4>6553625</vt:i4>
      </vt:variant>
      <vt:variant>
        <vt:i4>39</vt:i4>
      </vt:variant>
      <vt:variant>
        <vt:i4>0</vt:i4>
      </vt:variant>
      <vt:variant>
        <vt:i4>5</vt:i4>
      </vt:variant>
      <vt:variant>
        <vt:lpwstr/>
      </vt:variant>
      <vt:variant>
        <vt:lpwstr>tdm</vt:lpwstr>
      </vt:variant>
      <vt:variant>
        <vt:i4>6553625</vt:i4>
      </vt:variant>
      <vt:variant>
        <vt:i4>36</vt:i4>
      </vt:variant>
      <vt:variant>
        <vt:i4>0</vt:i4>
      </vt:variant>
      <vt:variant>
        <vt:i4>5</vt:i4>
      </vt:variant>
      <vt:variant>
        <vt:lpwstr/>
      </vt:variant>
      <vt:variant>
        <vt:lpwstr>tdm</vt:lpwstr>
      </vt:variant>
      <vt:variant>
        <vt:i4>1572970</vt:i4>
      </vt:variant>
      <vt:variant>
        <vt:i4>33</vt:i4>
      </vt:variant>
      <vt:variant>
        <vt:i4>0</vt:i4>
      </vt:variant>
      <vt:variant>
        <vt:i4>5</vt:i4>
      </vt:variant>
      <vt:variant>
        <vt:lpwstr/>
      </vt:variant>
      <vt:variant>
        <vt:lpwstr>Israel_devoir_memoire_deni_biblio</vt:lpwstr>
      </vt:variant>
      <vt:variant>
        <vt:i4>786558</vt:i4>
      </vt:variant>
      <vt:variant>
        <vt:i4>30</vt:i4>
      </vt:variant>
      <vt:variant>
        <vt:i4>0</vt:i4>
      </vt:variant>
      <vt:variant>
        <vt:i4>5</vt:i4>
      </vt:variant>
      <vt:variant>
        <vt:lpwstr/>
      </vt:variant>
      <vt:variant>
        <vt:lpwstr>Israel_devoir_memoire_deni_conclusion</vt:lpwstr>
      </vt:variant>
      <vt:variant>
        <vt:i4>4521984</vt:i4>
      </vt:variant>
      <vt:variant>
        <vt:i4>27</vt:i4>
      </vt:variant>
      <vt:variant>
        <vt:i4>0</vt:i4>
      </vt:variant>
      <vt:variant>
        <vt:i4>5</vt:i4>
      </vt:variant>
      <vt:variant>
        <vt:lpwstr/>
      </vt:variant>
      <vt:variant>
        <vt:lpwstr>Israel_devoir_memoire_deni_4</vt:lpwstr>
      </vt:variant>
      <vt:variant>
        <vt:i4>4325376</vt:i4>
      </vt:variant>
      <vt:variant>
        <vt:i4>24</vt:i4>
      </vt:variant>
      <vt:variant>
        <vt:i4>0</vt:i4>
      </vt:variant>
      <vt:variant>
        <vt:i4>5</vt:i4>
      </vt:variant>
      <vt:variant>
        <vt:lpwstr/>
      </vt:variant>
      <vt:variant>
        <vt:lpwstr>Israel_devoir_memoire_deni_3</vt:lpwstr>
      </vt:variant>
      <vt:variant>
        <vt:i4>4390912</vt:i4>
      </vt:variant>
      <vt:variant>
        <vt:i4>21</vt:i4>
      </vt:variant>
      <vt:variant>
        <vt:i4>0</vt:i4>
      </vt:variant>
      <vt:variant>
        <vt:i4>5</vt:i4>
      </vt:variant>
      <vt:variant>
        <vt:lpwstr/>
      </vt:variant>
      <vt:variant>
        <vt:lpwstr>Israel_devoir_memoire_deni_2</vt:lpwstr>
      </vt:variant>
      <vt:variant>
        <vt:i4>4194304</vt:i4>
      </vt:variant>
      <vt:variant>
        <vt:i4>18</vt:i4>
      </vt:variant>
      <vt:variant>
        <vt:i4>0</vt:i4>
      </vt:variant>
      <vt:variant>
        <vt:i4>5</vt:i4>
      </vt:variant>
      <vt:variant>
        <vt:lpwstr/>
      </vt:variant>
      <vt:variant>
        <vt:lpwstr>Israel_devoir_memoire_deni_1</vt:lpwstr>
      </vt:variant>
      <vt:variant>
        <vt:i4>7602206</vt:i4>
      </vt:variant>
      <vt:variant>
        <vt:i4>15</vt:i4>
      </vt:variant>
      <vt:variant>
        <vt:i4>0</vt:i4>
      </vt:variant>
      <vt:variant>
        <vt:i4>5</vt:i4>
      </vt:variant>
      <vt:variant>
        <vt:lpwstr>mailto:antonius.rachad@uqam.ca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5570602</vt:i4>
      </vt:variant>
      <vt:variant>
        <vt:i4>18</vt:i4>
      </vt:variant>
      <vt:variant>
        <vt:i4>0</vt:i4>
      </vt:variant>
      <vt:variant>
        <vt:i4>5</vt:i4>
      </vt:variant>
      <vt:variant>
        <vt:lpwstr>http://www.gla.ac.uk/departments/sociology/units/media/israel.htm</vt:lpwstr>
      </vt:variant>
      <vt:variant>
        <vt:lpwstr/>
      </vt:variant>
      <vt:variant>
        <vt:i4>327695</vt:i4>
      </vt:variant>
      <vt:variant>
        <vt:i4>15</vt:i4>
      </vt:variant>
      <vt:variant>
        <vt:i4>0</vt:i4>
      </vt:variant>
      <vt:variant>
        <vt:i4>5</vt:i4>
      </vt:variant>
      <vt:variant>
        <vt:lpwstr>http://isranews.com/fr040302.htm</vt:lpwstr>
      </vt:variant>
      <vt:variant>
        <vt:lpwstr/>
      </vt:variant>
      <vt:variant>
        <vt:i4>4522100</vt:i4>
      </vt:variant>
      <vt:variant>
        <vt:i4>12</vt:i4>
      </vt:variant>
      <vt:variant>
        <vt:i4>0</vt:i4>
      </vt:variant>
      <vt:variant>
        <vt:i4>5</vt:i4>
      </vt:variant>
      <vt:variant>
        <vt:lpwstr>http://u-blog.net/france/article/Censure.html</vt:lpwstr>
      </vt:variant>
      <vt:variant>
        <vt:lpwstr/>
      </vt:variant>
      <vt:variant>
        <vt:i4>65648</vt:i4>
      </vt:variant>
      <vt:variant>
        <vt:i4>9</vt:i4>
      </vt:variant>
      <vt:variant>
        <vt:i4>0</vt:i4>
      </vt:variant>
      <vt:variant>
        <vt:i4>5</vt:i4>
      </vt:variant>
      <vt:variant>
        <vt:lpwstr>http://www.shaml.org/zshaml/site/</vt:lpwstr>
      </vt:variant>
      <vt:variant>
        <vt:lpwstr/>
      </vt:variant>
      <vt:variant>
        <vt:i4>2490467</vt:i4>
      </vt:variant>
      <vt:variant>
        <vt:i4>6</vt:i4>
      </vt:variant>
      <vt:variant>
        <vt:i4>0</vt:i4>
      </vt:variant>
      <vt:variant>
        <vt:i4>5</vt:i4>
      </vt:variant>
      <vt:variant>
        <vt:lpwstr>http://www.alnakba.org</vt:lpwstr>
      </vt:variant>
      <vt:variant>
        <vt:lpwstr/>
      </vt:variant>
      <vt:variant>
        <vt:i4>2687019</vt:i4>
      </vt:variant>
      <vt:variant>
        <vt:i4>3</vt:i4>
      </vt:variant>
      <vt:variant>
        <vt:i4>0</vt:i4>
      </vt:variant>
      <vt:variant>
        <vt:i4>5</vt:i4>
      </vt:variant>
      <vt:variant>
        <vt:lpwstr>http://www.icj-cij.org</vt:lpwstr>
      </vt:variant>
      <vt:variant>
        <vt:lpwstr/>
      </vt:variant>
      <vt:variant>
        <vt:i4>2883591</vt:i4>
      </vt:variant>
      <vt:variant>
        <vt:i4>0</vt:i4>
      </vt:variant>
      <vt:variant>
        <vt:i4>0</vt:i4>
      </vt:variant>
      <vt:variant>
        <vt:i4>5</vt:i4>
      </vt:variant>
      <vt:variant>
        <vt:lpwstr>http://www.merip.org/mer/mer223/223_shlaim_interview.html</vt:lpwstr>
      </vt:variant>
      <vt:variant>
        <vt:lpwstr/>
      </vt:variant>
      <vt:variant>
        <vt:i4>2228293</vt:i4>
      </vt:variant>
      <vt:variant>
        <vt:i4>2342</vt:i4>
      </vt:variant>
      <vt:variant>
        <vt:i4>1025</vt:i4>
      </vt:variant>
      <vt:variant>
        <vt:i4>1</vt:i4>
      </vt:variant>
      <vt:variant>
        <vt:lpwstr>css_logo_gris</vt:lpwstr>
      </vt:variant>
      <vt:variant>
        <vt:lpwstr/>
      </vt:variant>
      <vt:variant>
        <vt:i4>5111880</vt:i4>
      </vt:variant>
      <vt:variant>
        <vt:i4>2630</vt:i4>
      </vt:variant>
      <vt:variant>
        <vt:i4>1026</vt:i4>
      </vt:variant>
      <vt:variant>
        <vt:i4>1</vt:i4>
      </vt:variant>
      <vt:variant>
        <vt:lpwstr>UQAC_logo_2018</vt:lpwstr>
      </vt:variant>
      <vt:variant>
        <vt:lpwstr/>
      </vt:variant>
      <vt:variant>
        <vt:i4>4194334</vt:i4>
      </vt:variant>
      <vt:variant>
        <vt:i4>4991</vt:i4>
      </vt:variant>
      <vt:variant>
        <vt:i4>1027</vt:i4>
      </vt:variant>
      <vt:variant>
        <vt:i4>1</vt:i4>
      </vt:variant>
      <vt:variant>
        <vt:lpwstr>Boite_aux_lettres_clair</vt:lpwstr>
      </vt:variant>
      <vt:variant>
        <vt:lpwstr/>
      </vt:variant>
      <vt:variant>
        <vt:i4>1703963</vt:i4>
      </vt:variant>
      <vt:variant>
        <vt:i4>5360</vt:i4>
      </vt:variant>
      <vt:variant>
        <vt:i4>1028</vt:i4>
      </vt:variant>
      <vt:variant>
        <vt:i4>1</vt:i4>
      </vt:variant>
      <vt:variant>
        <vt:lpwstr>fait_sur_mac</vt:lpwstr>
      </vt:variant>
      <vt:variant>
        <vt:lpwstr/>
      </vt:variant>
      <vt:variant>
        <vt:i4>5701650</vt:i4>
      </vt:variant>
      <vt:variant>
        <vt:i4>5497</vt:i4>
      </vt:variant>
      <vt:variant>
        <vt:i4>1029</vt:i4>
      </vt:variant>
      <vt:variant>
        <vt:i4>1</vt:i4>
      </vt:variant>
      <vt:variant>
        <vt:lpwstr>Devoir_de_memoire_L33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“Israël : le devoir de mémoire et la politique du déni.”</dc:title>
  <dc:subject/>
  <dc:creator>Rachad Antonius, sociologue, 2005.</dc:creator>
  <cp:keywords>classiques.sc.soc@gmail.com</cp:keywords>
  <dc:description>http://classiques.uqac.ca/</dc:description>
  <cp:lastModifiedBy>Microsoft Office User</cp:lastModifiedBy>
  <cp:revision>2</cp:revision>
  <cp:lastPrinted>2001-08-26T19:33:00Z</cp:lastPrinted>
  <dcterms:created xsi:type="dcterms:W3CDTF">2019-05-27T14:29:00Z</dcterms:created>
  <dcterms:modified xsi:type="dcterms:W3CDTF">2019-05-27T14:29:00Z</dcterms:modified>
  <cp:category>jean-marie tremblay, sociologue, fondateur, 1993.</cp:category>
</cp:coreProperties>
</file>