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F7C50" w:rsidRPr="005211E4">
        <w:tblPrEx>
          <w:tblCellMar>
            <w:top w:w="0" w:type="dxa"/>
            <w:bottom w:w="0" w:type="dxa"/>
          </w:tblCellMar>
        </w:tblPrEx>
        <w:tc>
          <w:tcPr>
            <w:tcW w:w="9160" w:type="dxa"/>
            <w:shd w:val="clear" w:color="auto" w:fill="DDD9C3"/>
          </w:tcPr>
          <w:p w:rsidR="009F7C50" w:rsidRPr="005211E4" w:rsidRDefault="009F7C50" w:rsidP="009F7C50">
            <w:pPr>
              <w:pStyle w:val="En-tte"/>
              <w:tabs>
                <w:tab w:val="clear" w:pos="4320"/>
                <w:tab w:val="clear" w:pos="8640"/>
              </w:tabs>
              <w:rPr>
                <w:rFonts w:ascii="Times New Roman" w:hAnsi="Times New Roman"/>
                <w:sz w:val="28"/>
                <w:lang w:bidi="ar-SA"/>
              </w:rPr>
            </w:pPr>
            <w:bookmarkStart w:id="0" w:name="_GoBack"/>
            <w:bookmarkEnd w:id="0"/>
          </w:p>
          <w:p w:rsidR="009F7C50" w:rsidRPr="005211E4" w:rsidRDefault="009F7C50">
            <w:pPr>
              <w:ind w:firstLine="0"/>
              <w:jc w:val="center"/>
              <w:rPr>
                <w:b/>
                <w:lang w:bidi="ar-SA"/>
              </w:rPr>
            </w:pPr>
          </w:p>
          <w:p w:rsidR="009F7C50" w:rsidRPr="005211E4" w:rsidRDefault="009F7C50" w:rsidP="009F7C50">
            <w:pPr>
              <w:ind w:firstLine="0"/>
              <w:jc w:val="center"/>
              <w:rPr>
                <w:b/>
                <w:sz w:val="20"/>
                <w:lang w:bidi="ar-SA"/>
              </w:rPr>
            </w:pPr>
          </w:p>
          <w:p w:rsidR="009F7C50" w:rsidRPr="005211E4" w:rsidRDefault="009F7C50" w:rsidP="009F7C50">
            <w:pPr>
              <w:ind w:firstLine="0"/>
              <w:jc w:val="center"/>
              <w:rPr>
                <w:b/>
                <w:sz w:val="20"/>
                <w:lang w:bidi="ar-SA"/>
              </w:rPr>
            </w:pPr>
          </w:p>
          <w:p w:rsidR="009F7C50" w:rsidRPr="005211E4" w:rsidRDefault="009F7C50" w:rsidP="009F7C50">
            <w:pPr>
              <w:ind w:firstLine="0"/>
              <w:jc w:val="center"/>
              <w:rPr>
                <w:b/>
                <w:sz w:val="40"/>
                <w:lang w:bidi="ar-SA"/>
              </w:rPr>
            </w:pPr>
            <w:r>
              <w:rPr>
                <w:sz w:val="40"/>
                <w:lang w:bidi="ar-SA"/>
              </w:rPr>
              <w:t>Seymour Martin Lipset [1922-2006]</w:t>
            </w:r>
            <w:r>
              <w:rPr>
                <w:sz w:val="40"/>
                <w:lang w:bidi="ar-SA"/>
              </w:rPr>
              <w:br/>
              <w:t>et Stein Rokkan [1921-1979]</w:t>
            </w:r>
          </w:p>
          <w:p w:rsidR="009F7C50" w:rsidRPr="00B54F59" w:rsidRDefault="009F7C50" w:rsidP="009F7C50">
            <w:pPr>
              <w:spacing w:before="120" w:after="120"/>
              <w:ind w:firstLine="0"/>
              <w:jc w:val="center"/>
              <w:rPr>
                <w:sz w:val="20"/>
                <w:lang w:bidi="ar-SA"/>
              </w:rPr>
            </w:pPr>
          </w:p>
          <w:p w:rsidR="009F7C50" w:rsidRPr="005211E4" w:rsidRDefault="009F7C50" w:rsidP="009F7C50">
            <w:pPr>
              <w:pStyle w:val="Corpsdetexte"/>
              <w:widowControl w:val="0"/>
              <w:spacing w:before="0" w:after="0"/>
              <w:rPr>
                <w:sz w:val="44"/>
                <w:lang w:bidi="ar-SA"/>
              </w:rPr>
            </w:pPr>
            <w:r w:rsidRPr="005211E4">
              <w:rPr>
                <w:sz w:val="44"/>
                <w:lang w:bidi="ar-SA"/>
              </w:rPr>
              <w:t>(1971)</w:t>
            </w:r>
          </w:p>
          <w:p w:rsidR="009F7C50" w:rsidRPr="005211E4" w:rsidRDefault="009F7C50" w:rsidP="009F7C50">
            <w:pPr>
              <w:pStyle w:val="Corpsdetexte"/>
              <w:widowControl w:val="0"/>
              <w:spacing w:before="0" w:after="0"/>
              <w:rPr>
                <w:color w:val="FF0000"/>
                <w:sz w:val="24"/>
                <w:lang w:bidi="ar-SA"/>
              </w:rPr>
            </w:pPr>
          </w:p>
          <w:p w:rsidR="009F7C50" w:rsidRPr="005211E4" w:rsidRDefault="009F7C50" w:rsidP="009F7C50">
            <w:pPr>
              <w:pStyle w:val="Corpsdetexte"/>
              <w:widowControl w:val="0"/>
              <w:spacing w:before="0" w:after="0"/>
              <w:rPr>
                <w:color w:val="FF0000"/>
                <w:sz w:val="24"/>
                <w:lang w:bidi="ar-SA"/>
              </w:rPr>
            </w:pPr>
          </w:p>
          <w:p w:rsidR="009F7C50" w:rsidRPr="00B078F7" w:rsidRDefault="009F7C50" w:rsidP="009F7C50">
            <w:pPr>
              <w:ind w:firstLine="0"/>
              <w:jc w:val="center"/>
              <w:rPr>
                <w:color w:val="FF0000"/>
                <w:sz w:val="72"/>
                <w:lang w:bidi="ar-SA"/>
              </w:rPr>
            </w:pPr>
            <w:r w:rsidRPr="00B078F7">
              <w:rPr>
                <w:sz w:val="72"/>
                <w:lang w:bidi="ar-SA"/>
              </w:rPr>
              <w:t>“Le parti politique :</w:t>
            </w:r>
            <w:r w:rsidRPr="00B078F7">
              <w:rPr>
                <w:sz w:val="72"/>
                <w:lang w:bidi="ar-SA"/>
              </w:rPr>
              <w:br/>
              <w:t>agent de conflit et</w:t>
            </w:r>
            <w:r w:rsidRPr="00B078F7">
              <w:rPr>
                <w:sz w:val="72"/>
                <w:lang w:bidi="ar-SA"/>
              </w:rPr>
              <w:br/>
              <w:t>instrument d’intégration.”</w:t>
            </w:r>
          </w:p>
          <w:p w:rsidR="009F7C50" w:rsidRPr="005211E4" w:rsidRDefault="009F7C50" w:rsidP="009F7C50">
            <w:pPr>
              <w:widowControl w:val="0"/>
              <w:ind w:firstLine="0"/>
              <w:jc w:val="center"/>
              <w:rPr>
                <w:lang w:bidi="ar-SA"/>
              </w:rPr>
            </w:pPr>
          </w:p>
          <w:p w:rsidR="009F7C50" w:rsidRPr="005211E4" w:rsidRDefault="009F7C50" w:rsidP="009F7C50">
            <w:pPr>
              <w:widowControl w:val="0"/>
              <w:ind w:firstLine="0"/>
              <w:jc w:val="center"/>
              <w:rPr>
                <w:sz w:val="20"/>
                <w:lang w:bidi="ar-SA"/>
              </w:rPr>
            </w:pPr>
          </w:p>
          <w:p w:rsidR="009F7C50" w:rsidRPr="005211E4" w:rsidRDefault="009F7C50" w:rsidP="009F7C50">
            <w:pPr>
              <w:widowControl w:val="0"/>
              <w:ind w:firstLine="0"/>
              <w:jc w:val="center"/>
              <w:rPr>
                <w:sz w:val="20"/>
                <w:lang w:bidi="ar-SA"/>
              </w:rPr>
            </w:pPr>
          </w:p>
          <w:p w:rsidR="009F7C50" w:rsidRPr="005211E4" w:rsidRDefault="009F7C50" w:rsidP="009F7C50">
            <w:pPr>
              <w:widowControl w:val="0"/>
              <w:ind w:firstLine="0"/>
              <w:jc w:val="center"/>
              <w:rPr>
                <w:sz w:val="20"/>
                <w:lang w:bidi="ar-SA"/>
              </w:rPr>
            </w:pPr>
          </w:p>
          <w:p w:rsidR="009F7C50" w:rsidRPr="005211E4" w:rsidRDefault="009F7C50">
            <w:pPr>
              <w:widowControl w:val="0"/>
              <w:ind w:firstLine="0"/>
              <w:jc w:val="center"/>
              <w:rPr>
                <w:sz w:val="20"/>
                <w:lang w:bidi="ar-SA"/>
              </w:rPr>
            </w:pPr>
          </w:p>
          <w:p w:rsidR="009F7C50" w:rsidRPr="005211E4" w:rsidRDefault="009F7C50">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widowControl w:val="0"/>
              <w:ind w:firstLine="0"/>
              <w:jc w:val="both"/>
              <w:rPr>
                <w:lang w:bidi="ar-SA"/>
              </w:rPr>
            </w:pPr>
          </w:p>
          <w:p w:rsidR="009F7C50" w:rsidRPr="005211E4" w:rsidRDefault="009F7C50">
            <w:pPr>
              <w:ind w:firstLine="0"/>
              <w:jc w:val="both"/>
              <w:rPr>
                <w:lang w:bidi="ar-SA"/>
              </w:rPr>
            </w:pPr>
          </w:p>
        </w:tc>
      </w:tr>
    </w:tbl>
    <w:p w:rsidR="009F7C50" w:rsidRPr="005211E4" w:rsidRDefault="009F7C50" w:rsidP="009F7C50">
      <w:pPr>
        <w:ind w:firstLine="0"/>
        <w:jc w:val="both"/>
      </w:pPr>
      <w:r w:rsidRPr="005211E4">
        <w:br w:type="page"/>
      </w:r>
    </w:p>
    <w:p w:rsidR="009F7C50" w:rsidRPr="005211E4" w:rsidRDefault="009F7C50" w:rsidP="009F7C50">
      <w:pPr>
        <w:ind w:firstLine="0"/>
        <w:jc w:val="both"/>
      </w:pPr>
    </w:p>
    <w:p w:rsidR="009F7C50" w:rsidRPr="005211E4" w:rsidRDefault="009F7C50" w:rsidP="009F7C50">
      <w:pPr>
        <w:ind w:firstLine="0"/>
        <w:jc w:val="both"/>
      </w:pPr>
    </w:p>
    <w:p w:rsidR="009F7C50" w:rsidRPr="005211E4" w:rsidRDefault="00BD4053" w:rsidP="009F7C50">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F7C50" w:rsidRPr="005211E4" w:rsidRDefault="009F7C50" w:rsidP="009F7C50">
      <w:pPr>
        <w:ind w:firstLine="0"/>
        <w:jc w:val="right"/>
      </w:pPr>
      <w:hyperlink r:id="rId9" w:history="1">
        <w:r w:rsidRPr="005211E4">
          <w:rPr>
            <w:rStyle w:val="Lienhypertexte"/>
          </w:rPr>
          <w:t>http://classiques.uqac.ca/</w:t>
        </w:r>
      </w:hyperlink>
      <w:r w:rsidRPr="005211E4">
        <w:t xml:space="preserve"> </w:t>
      </w:r>
    </w:p>
    <w:p w:rsidR="009F7C50" w:rsidRPr="005211E4" w:rsidRDefault="009F7C50" w:rsidP="009F7C50">
      <w:pPr>
        <w:ind w:firstLine="0"/>
        <w:jc w:val="both"/>
      </w:pPr>
    </w:p>
    <w:p w:rsidR="009F7C50" w:rsidRPr="005211E4" w:rsidRDefault="009F7C50" w:rsidP="009F7C50">
      <w:pPr>
        <w:ind w:firstLine="0"/>
        <w:jc w:val="both"/>
      </w:pPr>
      <w:r w:rsidRPr="005211E4">
        <w:rPr>
          <w:i/>
        </w:rPr>
        <w:t>Les Classiques des sciences sociales</w:t>
      </w:r>
      <w:r w:rsidRPr="005211E4">
        <w:t xml:space="preserve"> est une bibliothèque numérique en libre accès, fondée au Cégep de Chicoutimi en 1993 et développée en partenariat avec l’Université du Québec à Chicoutimi (UQÀC) d</w:t>
      </w:r>
      <w:r w:rsidRPr="005211E4">
        <w:t>e</w:t>
      </w:r>
      <w:r w:rsidRPr="005211E4">
        <w:t>puis 2000.</w:t>
      </w:r>
    </w:p>
    <w:p w:rsidR="009F7C50" w:rsidRPr="005211E4" w:rsidRDefault="009F7C50" w:rsidP="009F7C50">
      <w:pPr>
        <w:ind w:firstLine="0"/>
        <w:jc w:val="both"/>
      </w:pPr>
    </w:p>
    <w:p w:rsidR="009F7C50" w:rsidRPr="005211E4" w:rsidRDefault="00BD4053" w:rsidP="009F7C50">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F7C50" w:rsidRPr="005211E4" w:rsidRDefault="009F7C50" w:rsidP="009F7C50">
      <w:pPr>
        <w:ind w:firstLine="0"/>
        <w:jc w:val="both"/>
      </w:pPr>
      <w:hyperlink r:id="rId11" w:history="1">
        <w:r w:rsidRPr="005211E4">
          <w:rPr>
            <w:rStyle w:val="Lienhypertexte"/>
          </w:rPr>
          <w:t>http://bibliotheque.uqac.ca/</w:t>
        </w:r>
      </w:hyperlink>
      <w:r w:rsidRPr="005211E4">
        <w:t xml:space="preserve"> </w:t>
      </w:r>
    </w:p>
    <w:p w:rsidR="009F7C50" w:rsidRPr="005211E4" w:rsidRDefault="009F7C50" w:rsidP="009F7C50">
      <w:pPr>
        <w:ind w:firstLine="0"/>
        <w:jc w:val="both"/>
      </w:pPr>
    </w:p>
    <w:p w:rsidR="009F7C50" w:rsidRPr="005211E4" w:rsidRDefault="009F7C50" w:rsidP="009F7C50">
      <w:pPr>
        <w:ind w:firstLine="0"/>
        <w:jc w:val="both"/>
      </w:pPr>
    </w:p>
    <w:p w:rsidR="009F7C50" w:rsidRPr="005211E4" w:rsidRDefault="009F7C50" w:rsidP="009F7C50">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9F7C50" w:rsidRPr="005211E4" w:rsidRDefault="009F7C50" w:rsidP="009F7C50">
      <w:pPr>
        <w:widowControl w:val="0"/>
        <w:autoSpaceDE w:val="0"/>
        <w:autoSpaceDN w:val="0"/>
        <w:adjustRightInd w:val="0"/>
        <w:rPr>
          <w:szCs w:val="32"/>
        </w:rPr>
      </w:pPr>
      <w:r w:rsidRPr="005211E4">
        <w:br w:type="page"/>
      </w:r>
    </w:p>
    <w:p w:rsidR="009F7C50" w:rsidRPr="00B54F59" w:rsidRDefault="009F7C50">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9F7C50" w:rsidRPr="005211E4" w:rsidRDefault="009F7C50">
      <w:pPr>
        <w:widowControl w:val="0"/>
        <w:autoSpaceDE w:val="0"/>
        <w:autoSpaceDN w:val="0"/>
        <w:adjustRightInd w:val="0"/>
        <w:jc w:val="both"/>
        <w:rPr>
          <w:color w:val="1C1C1C"/>
          <w:szCs w:val="26"/>
        </w:rPr>
      </w:pPr>
    </w:p>
    <w:p w:rsidR="009F7C50" w:rsidRPr="005211E4" w:rsidRDefault="009F7C50">
      <w:pPr>
        <w:widowControl w:val="0"/>
        <w:autoSpaceDE w:val="0"/>
        <w:autoSpaceDN w:val="0"/>
        <w:adjustRightInd w:val="0"/>
        <w:jc w:val="both"/>
        <w:rPr>
          <w:color w:val="1C1C1C"/>
          <w:szCs w:val="26"/>
        </w:rPr>
      </w:pPr>
    </w:p>
    <w:p w:rsidR="009F7C50" w:rsidRPr="005211E4" w:rsidRDefault="009F7C50">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9F7C50" w:rsidRPr="005211E4" w:rsidRDefault="009F7C50">
      <w:pPr>
        <w:widowControl w:val="0"/>
        <w:autoSpaceDE w:val="0"/>
        <w:autoSpaceDN w:val="0"/>
        <w:adjustRightInd w:val="0"/>
        <w:jc w:val="both"/>
        <w:rPr>
          <w:color w:val="1C1C1C"/>
          <w:szCs w:val="26"/>
        </w:rPr>
      </w:pPr>
    </w:p>
    <w:p w:rsidR="009F7C50" w:rsidRPr="005211E4" w:rsidRDefault="009F7C50" w:rsidP="009F7C50">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9F7C50" w:rsidRPr="005211E4" w:rsidRDefault="009F7C50" w:rsidP="009F7C50">
      <w:pPr>
        <w:widowControl w:val="0"/>
        <w:autoSpaceDE w:val="0"/>
        <w:autoSpaceDN w:val="0"/>
        <w:adjustRightInd w:val="0"/>
        <w:jc w:val="both"/>
        <w:rPr>
          <w:color w:val="1C1C1C"/>
          <w:szCs w:val="26"/>
        </w:rPr>
      </w:pPr>
    </w:p>
    <w:p w:rsidR="009F7C50" w:rsidRPr="005211E4" w:rsidRDefault="009F7C50" w:rsidP="009F7C50">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9F7C50" w:rsidRPr="005211E4" w:rsidRDefault="009F7C50" w:rsidP="009F7C50">
      <w:pPr>
        <w:widowControl w:val="0"/>
        <w:autoSpaceDE w:val="0"/>
        <w:autoSpaceDN w:val="0"/>
        <w:adjustRightInd w:val="0"/>
        <w:jc w:val="both"/>
        <w:rPr>
          <w:color w:val="1C1C1C"/>
          <w:szCs w:val="26"/>
        </w:rPr>
      </w:pPr>
      <w:r w:rsidRPr="005211E4">
        <w:rPr>
          <w:color w:val="1C1C1C"/>
          <w:szCs w:val="26"/>
        </w:rPr>
        <w:t>- servir de base de travail à un autre fichier modifié ensuite par tout autre moyen (couleur, police, mise en page, extraits, support, etc...),</w:t>
      </w:r>
    </w:p>
    <w:p w:rsidR="009F7C50" w:rsidRPr="005211E4" w:rsidRDefault="009F7C50" w:rsidP="009F7C50">
      <w:pPr>
        <w:widowControl w:val="0"/>
        <w:autoSpaceDE w:val="0"/>
        <w:autoSpaceDN w:val="0"/>
        <w:adjustRightInd w:val="0"/>
        <w:jc w:val="both"/>
        <w:rPr>
          <w:color w:val="1C1C1C"/>
          <w:szCs w:val="26"/>
        </w:rPr>
      </w:pPr>
    </w:p>
    <w:p w:rsidR="009F7C50" w:rsidRPr="005211E4" w:rsidRDefault="009F7C50">
      <w:pPr>
        <w:widowControl w:val="0"/>
        <w:autoSpaceDE w:val="0"/>
        <w:autoSpaceDN w:val="0"/>
        <w:adjustRightInd w:val="0"/>
        <w:jc w:val="both"/>
        <w:rPr>
          <w:color w:val="1C1C1C"/>
          <w:szCs w:val="26"/>
        </w:rPr>
      </w:pPr>
      <w:r w:rsidRPr="005211E4">
        <w:rPr>
          <w:color w:val="1C1C1C"/>
          <w:szCs w:val="26"/>
        </w:rPr>
        <w:t xml:space="preserve">Les fichiers (.html, .doc, .pdf, .rtf, .jpg, .gif)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9F7C50" w:rsidRPr="005211E4" w:rsidRDefault="009F7C50">
      <w:pPr>
        <w:widowControl w:val="0"/>
        <w:autoSpaceDE w:val="0"/>
        <w:autoSpaceDN w:val="0"/>
        <w:adjustRightInd w:val="0"/>
        <w:jc w:val="both"/>
        <w:rPr>
          <w:color w:val="1C1C1C"/>
          <w:szCs w:val="26"/>
        </w:rPr>
      </w:pPr>
    </w:p>
    <w:p w:rsidR="009F7C50" w:rsidRPr="005211E4" w:rsidRDefault="009F7C50">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9F7C50" w:rsidRPr="005211E4" w:rsidRDefault="009F7C50">
      <w:pPr>
        <w:rPr>
          <w:b/>
          <w:color w:val="1C1C1C"/>
          <w:szCs w:val="26"/>
        </w:rPr>
      </w:pPr>
    </w:p>
    <w:p w:rsidR="009F7C50" w:rsidRPr="005211E4" w:rsidRDefault="009F7C50">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9F7C50" w:rsidRPr="005211E4" w:rsidRDefault="009F7C50">
      <w:pPr>
        <w:rPr>
          <w:b/>
          <w:color w:val="1C1C1C"/>
          <w:szCs w:val="26"/>
        </w:rPr>
      </w:pPr>
    </w:p>
    <w:p w:rsidR="009F7C50" w:rsidRPr="005211E4" w:rsidRDefault="009F7C50">
      <w:pPr>
        <w:rPr>
          <w:color w:val="1C1C1C"/>
          <w:szCs w:val="26"/>
        </w:rPr>
      </w:pPr>
      <w:r w:rsidRPr="005211E4">
        <w:rPr>
          <w:color w:val="1C1C1C"/>
          <w:szCs w:val="26"/>
        </w:rPr>
        <w:t>Jean-Marie Tremblay, sociologue</w:t>
      </w:r>
    </w:p>
    <w:p w:rsidR="009F7C50" w:rsidRPr="005211E4" w:rsidRDefault="009F7C50">
      <w:pPr>
        <w:rPr>
          <w:color w:val="1C1C1C"/>
          <w:szCs w:val="26"/>
        </w:rPr>
      </w:pPr>
      <w:r w:rsidRPr="005211E4">
        <w:rPr>
          <w:color w:val="1C1C1C"/>
          <w:szCs w:val="26"/>
        </w:rPr>
        <w:t>Fondateur et Président-directeur général,</w:t>
      </w:r>
    </w:p>
    <w:p w:rsidR="009F7C50" w:rsidRPr="005211E4" w:rsidRDefault="009F7C50">
      <w:pPr>
        <w:rPr>
          <w:color w:val="000080"/>
        </w:rPr>
      </w:pPr>
      <w:r w:rsidRPr="005211E4">
        <w:rPr>
          <w:color w:val="000080"/>
          <w:szCs w:val="26"/>
        </w:rPr>
        <w:t>LES CLASSIQUES DES SCIENCES SOCIALES.</w:t>
      </w:r>
    </w:p>
    <w:p w:rsidR="009F7C50" w:rsidRPr="005211E4" w:rsidRDefault="009F7C50" w:rsidP="009F7C50">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9F7C50" w:rsidRPr="005211E4" w:rsidRDefault="009F7C50" w:rsidP="009F7C50">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9F7C50" w:rsidRPr="005211E4" w:rsidRDefault="009F7C50" w:rsidP="009F7C50">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9F7C50" w:rsidRPr="005211E4" w:rsidRDefault="009F7C50" w:rsidP="009F7C50">
      <w:pPr>
        <w:ind w:firstLine="0"/>
        <w:jc w:val="both"/>
        <w:rPr>
          <w:sz w:val="24"/>
        </w:rPr>
      </w:pPr>
    </w:p>
    <w:p w:rsidR="009F7C50" w:rsidRPr="005211E4" w:rsidRDefault="009F7C50" w:rsidP="009F7C50">
      <w:pPr>
        <w:ind w:firstLine="0"/>
        <w:jc w:val="both"/>
        <w:rPr>
          <w:sz w:val="24"/>
        </w:rPr>
      </w:pPr>
      <w:r w:rsidRPr="005211E4">
        <w:rPr>
          <w:sz w:val="24"/>
        </w:rPr>
        <w:t>à partir du texte de :</w:t>
      </w:r>
    </w:p>
    <w:p w:rsidR="009F7C50" w:rsidRDefault="009F7C50" w:rsidP="009F7C50">
      <w:pPr>
        <w:ind w:firstLine="0"/>
        <w:rPr>
          <w:sz w:val="24"/>
        </w:rPr>
      </w:pPr>
    </w:p>
    <w:p w:rsidR="009F7C50" w:rsidRPr="00B54F59" w:rsidRDefault="009F7C50" w:rsidP="009F7C50">
      <w:pPr>
        <w:ind w:firstLine="0"/>
      </w:pPr>
      <w:r>
        <w:t>Seymour Martin Lipset et Stein Rokkan</w:t>
      </w:r>
    </w:p>
    <w:p w:rsidR="009F7C50" w:rsidRDefault="009F7C50" w:rsidP="009F7C50">
      <w:pPr>
        <w:ind w:firstLine="0"/>
        <w:rPr>
          <w:sz w:val="24"/>
        </w:rPr>
      </w:pPr>
    </w:p>
    <w:p w:rsidR="009F7C50" w:rsidRPr="00B078F7" w:rsidRDefault="009F7C50" w:rsidP="009F7C50">
      <w:pPr>
        <w:ind w:firstLine="0"/>
        <w:rPr>
          <w:b/>
          <w:color w:val="0000FF"/>
        </w:rPr>
      </w:pPr>
      <w:r w:rsidRPr="00B078F7">
        <w:rPr>
          <w:b/>
          <w:color w:val="0000FF"/>
        </w:rPr>
        <w:t>“Le parti politique :</w:t>
      </w:r>
      <w:r>
        <w:rPr>
          <w:b/>
          <w:color w:val="0000FF"/>
        </w:rPr>
        <w:t xml:space="preserve"> </w:t>
      </w:r>
      <w:r w:rsidRPr="00B078F7">
        <w:rPr>
          <w:b/>
          <w:color w:val="0000FF"/>
        </w:rPr>
        <w:t>agent de conflit et</w:t>
      </w:r>
      <w:r>
        <w:rPr>
          <w:b/>
          <w:color w:val="0000FF"/>
        </w:rPr>
        <w:t xml:space="preserve"> </w:t>
      </w:r>
      <w:r w:rsidRPr="00B078F7">
        <w:rPr>
          <w:b/>
          <w:color w:val="0000FF"/>
        </w:rPr>
        <w:t>instrument d’intégration.”</w:t>
      </w:r>
    </w:p>
    <w:p w:rsidR="009F7C50" w:rsidRDefault="009F7C50" w:rsidP="009F7C50">
      <w:pPr>
        <w:ind w:firstLine="0"/>
        <w:jc w:val="both"/>
        <w:rPr>
          <w:sz w:val="24"/>
        </w:rPr>
      </w:pPr>
    </w:p>
    <w:p w:rsidR="009F7C50" w:rsidRPr="00B54F59" w:rsidRDefault="009F7C50" w:rsidP="009F7C50">
      <w:pPr>
        <w:ind w:firstLine="0"/>
        <w:jc w:val="both"/>
      </w:pPr>
      <w:r w:rsidRPr="00B54F59">
        <w:t xml:space="preserve">In </w:t>
      </w:r>
      <w:r w:rsidRPr="00B54F59">
        <w:rPr>
          <w:b/>
          <w:i/>
          <w:color w:val="E36C0A"/>
        </w:rPr>
        <w:t>Sociologie politique</w:t>
      </w:r>
      <w:r w:rsidRPr="00B54F59">
        <w:rPr>
          <w:b/>
          <w:i/>
          <w:color w:val="FF0000"/>
        </w:rPr>
        <w:t>. Tome 2</w:t>
      </w:r>
      <w:r w:rsidRPr="00B54F59">
        <w:t xml:space="preserve">, pp. </w:t>
      </w:r>
      <w:r>
        <w:t>196-212</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9F7C50" w:rsidRPr="005211E4" w:rsidRDefault="009F7C50" w:rsidP="009F7C50">
      <w:pPr>
        <w:jc w:val="both"/>
        <w:rPr>
          <w:sz w:val="24"/>
        </w:rPr>
      </w:pPr>
    </w:p>
    <w:p w:rsidR="009F7C50" w:rsidRPr="005211E4" w:rsidRDefault="009F7C50" w:rsidP="009F7C50">
      <w:pPr>
        <w:jc w:val="both"/>
        <w:rPr>
          <w:sz w:val="24"/>
        </w:rPr>
      </w:pPr>
    </w:p>
    <w:p w:rsidR="009F7C50" w:rsidRPr="005211E4" w:rsidRDefault="009F7C50" w:rsidP="009F7C50">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9F7C50" w:rsidRPr="005211E4" w:rsidRDefault="009F7C50" w:rsidP="009F7C50">
      <w:pPr>
        <w:jc w:val="both"/>
        <w:rPr>
          <w:sz w:val="24"/>
        </w:rPr>
      </w:pPr>
    </w:p>
    <w:p w:rsidR="009F7C50" w:rsidRPr="005211E4" w:rsidRDefault="00BD4053" w:rsidP="009F7C50">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F7C50" w:rsidRPr="005211E4">
        <w:rPr>
          <w:sz w:val="24"/>
        </w:rPr>
        <w:t xml:space="preserve"> Courriel : Pierre Birnbaum : </w:t>
      </w:r>
      <w:hyperlink r:id="rId15" w:history="1">
        <w:r w:rsidR="009F7C50" w:rsidRPr="005211E4">
          <w:rPr>
            <w:rStyle w:val="Lienhypertexte"/>
            <w:sz w:val="24"/>
          </w:rPr>
          <w:t>birnbaum@univ-paris1.fr</w:t>
        </w:r>
      </w:hyperlink>
      <w:r w:rsidR="009F7C50" w:rsidRPr="005211E4">
        <w:rPr>
          <w:sz w:val="24"/>
        </w:rPr>
        <w:t xml:space="preserve"> </w:t>
      </w:r>
    </w:p>
    <w:p w:rsidR="009F7C50" w:rsidRPr="005211E4" w:rsidRDefault="009F7C50" w:rsidP="009F7C50">
      <w:pPr>
        <w:ind w:left="20"/>
        <w:jc w:val="both"/>
        <w:rPr>
          <w:sz w:val="24"/>
        </w:rPr>
      </w:pPr>
    </w:p>
    <w:p w:rsidR="009F7C50" w:rsidRPr="005211E4" w:rsidRDefault="009F7C50" w:rsidP="009F7C50">
      <w:pPr>
        <w:ind w:left="20"/>
        <w:jc w:val="both"/>
        <w:rPr>
          <w:sz w:val="24"/>
        </w:rPr>
      </w:pPr>
    </w:p>
    <w:p w:rsidR="009F7C50" w:rsidRPr="005211E4" w:rsidRDefault="009F7C50">
      <w:pPr>
        <w:ind w:right="1800" w:firstLine="0"/>
        <w:jc w:val="both"/>
        <w:rPr>
          <w:sz w:val="24"/>
        </w:rPr>
      </w:pPr>
      <w:r w:rsidRPr="005211E4">
        <w:rPr>
          <w:sz w:val="24"/>
        </w:rPr>
        <w:t>Police de caractères utilisés :</w:t>
      </w:r>
    </w:p>
    <w:p w:rsidR="009F7C50" w:rsidRPr="005211E4" w:rsidRDefault="009F7C50">
      <w:pPr>
        <w:ind w:right="1800" w:firstLine="0"/>
        <w:jc w:val="both"/>
        <w:rPr>
          <w:sz w:val="24"/>
        </w:rPr>
      </w:pPr>
    </w:p>
    <w:p w:rsidR="009F7C50" w:rsidRPr="005211E4" w:rsidRDefault="009F7C50" w:rsidP="009F7C50">
      <w:pPr>
        <w:ind w:left="360" w:right="360" w:firstLine="0"/>
        <w:jc w:val="both"/>
        <w:rPr>
          <w:sz w:val="24"/>
        </w:rPr>
      </w:pPr>
      <w:r w:rsidRPr="005211E4">
        <w:rPr>
          <w:sz w:val="24"/>
        </w:rPr>
        <w:t>Pour le texte: Times New Roman, 14 points.</w:t>
      </w:r>
    </w:p>
    <w:p w:rsidR="009F7C50" w:rsidRPr="005211E4" w:rsidRDefault="009F7C50" w:rsidP="009F7C50">
      <w:pPr>
        <w:ind w:left="360" w:right="360" w:firstLine="0"/>
        <w:jc w:val="both"/>
        <w:rPr>
          <w:sz w:val="24"/>
        </w:rPr>
      </w:pPr>
      <w:r w:rsidRPr="005211E4">
        <w:rPr>
          <w:sz w:val="24"/>
        </w:rPr>
        <w:t>Pour les notes de bas de page : Times New Roman, 12 points.</w:t>
      </w:r>
    </w:p>
    <w:p w:rsidR="009F7C50" w:rsidRPr="005211E4" w:rsidRDefault="009F7C50">
      <w:pPr>
        <w:ind w:left="360" w:right="1800" w:firstLine="0"/>
        <w:jc w:val="both"/>
        <w:rPr>
          <w:sz w:val="24"/>
        </w:rPr>
      </w:pPr>
    </w:p>
    <w:p w:rsidR="009F7C50" w:rsidRPr="005211E4" w:rsidRDefault="009F7C50">
      <w:pPr>
        <w:ind w:right="360" w:firstLine="0"/>
        <w:jc w:val="both"/>
        <w:rPr>
          <w:sz w:val="24"/>
        </w:rPr>
      </w:pPr>
      <w:r w:rsidRPr="005211E4">
        <w:rPr>
          <w:sz w:val="24"/>
        </w:rPr>
        <w:t>Édition électronique réalisée avec le traitement de textes Microsoft Word 2008 pour Macintosh.</w:t>
      </w:r>
    </w:p>
    <w:p w:rsidR="009F7C50" w:rsidRPr="005211E4" w:rsidRDefault="009F7C50">
      <w:pPr>
        <w:ind w:right="1800" w:firstLine="0"/>
        <w:jc w:val="both"/>
        <w:rPr>
          <w:sz w:val="24"/>
        </w:rPr>
      </w:pPr>
    </w:p>
    <w:p w:rsidR="009F7C50" w:rsidRPr="005211E4" w:rsidRDefault="009F7C50" w:rsidP="009F7C50">
      <w:pPr>
        <w:ind w:right="540" w:firstLine="0"/>
        <w:jc w:val="both"/>
        <w:rPr>
          <w:sz w:val="24"/>
        </w:rPr>
      </w:pPr>
      <w:r w:rsidRPr="005211E4">
        <w:rPr>
          <w:sz w:val="24"/>
        </w:rPr>
        <w:t>Mise en page sur papier format : LETTRE US, 8.5’’ x 11’’.</w:t>
      </w:r>
    </w:p>
    <w:p w:rsidR="009F7C50" w:rsidRPr="005211E4" w:rsidRDefault="009F7C50">
      <w:pPr>
        <w:ind w:right="1800" w:firstLine="0"/>
        <w:jc w:val="both"/>
        <w:rPr>
          <w:sz w:val="24"/>
        </w:rPr>
      </w:pPr>
    </w:p>
    <w:p w:rsidR="009F7C50" w:rsidRPr="005211E4" w:rsidRDefault="009F7C50" w:rsidP="009F7C50">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9F7C50" w:rsidRPr="005211E4" w:rsidRDefault="009F7C50">
      <w:pPr>
        <w:ind w:right="1800" w:firstLine="0"/>
        <w:jc w:val="both"/>
        <w:rPr>
          <w:sz w:val="24"/>
        </w:rPr>
      </w:pPr>
    </w:p>
    <w:p w:rsidR="009F7C50" w:rsidRPr="005211E4" w:rsidRDefault="00BD4053">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F7C50" w:rsidRPr="005211E4" w:rsidRDefault="009F7C50" w:rsidP="009F7C50">
      <w:pPr>
        <w:ind w:left="20"/>
        <w:jc w:val="both"/>
        <w:rPr>
          <w:sz w:val="24"/>
        </w:rPr>
      </w:pPr>
      <w:r w:rsidRPr="005211E4">
        <w:br w:type="page"/>
      </w:r>
    </w:p>
    <w:p w:rsidR="009F7C50" w:rsidRDefault="009F7C50" w:rsidP="009F7C50">
      <w:pPr>
        <w:ind w:firstLine="0"/>
        <w:jc w:val="center"/>
        <w:rPr>
          <w:sz w:val="40"/>
          <w:lang w:bidi="ar-SA"/>
        </w:rPr>
      </w:pPr>
      <w:r>
        <w:rPr>
          <w:sz w:val="40"/>
          <w:lang w:bidi="ar-SA"/>
        </w:rPr>
        <w:t>Seymour Martin Lipset [1922-2006]</w:t>
      </w:r>
      <w:r>
        <w:rPr>
          <w:sz w:val="40"/>
          <w:lang w:bidi="ar-SA"/>
        </w:rPr>
        <w:br/>
        <w:t>et Stein Rokkan [1921-1979]</w:t>
      </w:r>
    </w:p>
    <w:p w:rsidR="009F7C50" w:rsidRPr="005211E4" w:rsidRDefault="009F7C50" w:rsidP="009F7C50">
      <w:pPr>
        <w:ind w:firstLine="0"/>
        <w:jc w:val="center"/>
        <w:rPr>
          <w:sz w:val="24"/>
        </w:rPr>
      </w:pPr>
    </w:p>
    <w:p w:rsidR="009F7C50" w:rsidRPr="00B078F7" w:rsidRDefault="009F7C50" w:rsidP="009F7C50">
      <w:pPr>
        <w:ind w:firstLine="0"/>
        <w:jc w:val="center"/>
        <w:rPr>
          <w:color w:val="000090"/>
          <w:sz w:val="36"/>
        </w:rPr>
      </w:pPr>
      <w:r w:rsidRPr="00B078F7">
        <w:rPr>
          <w:color w:val="000090"/>
          <w:sz w:val="36"/>
        </w:rPr>
        <w:t>“Le parti politique :</w:t>
      </w:r>
      <w:r>
        <w:rPr>
          <w:color w:val="000090"/>
          <w:sz w:val="36"/>
        </w:rPr>
        <w:br/>
      </w:r>
      <w:r w:rsidRPr="00B078F7">
        <w:rPr>
          <w:color w:val="000090"/>
          <w:sz w:val="36"/>
        </w:rPr>
        <w:t>agent de conflit et instrument d’intégration.”</w:t>
      </w:r>
    </w:p>
    <w:p w:rsidR="009F7C50" w:rsidRPr="005211E4" w:rsidRDefault="009F7C50" w:rsidP="009F7C50">
      <w:pPr>
        <w:ind w:firstLine="0"/>
        <w:jc w:val="center"/>
      </w:pPr>
    </w:p>
    <w:p w:rsidR="009F7C50" w:rsidRPr="005211E4" w:rsidRDefault="00BD4053" w:rsidP="009F7C50">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9F7C50" w:rsidRPr="005211E4" w:rsidRDefault="009F7C50" w:rsidP="009F7C50">
      <w:pPr>
        <w:jc w:val="both"/>
      </w:pPr>
    </w:p>
    <w:p w:rsidR="009F7C50" w:rsidRPr="005211E4" w:rsidRDefault="009F7C50" w:rsidP="009F7C50">
      <w:pPr>
        <w:jc w:val="both"/>
        <w:rPr>
          <w:sz w:val="24"/>
        </w:rPr>
      </w:pPr>
      <w:r w:rsidRPr="00B54F59">
        <w:t xml:space="preserve">In </w:t>
      </w:r>
      <w:r w:rsidRPr="00B54F59">
        <w:rPr>
          <w:b/>
          <w:i/>
          <w:color w:val="E36C0A"/>
        </w:rPr>
        <w:t>Sociologie politique</w:t>
      </w:r>
      <w:r w:rsidRPr="00B54F59">
        <w:rPr>
          <w:b/>
          <w:i/>
          <w:color w:val="FF0000"/>
        </w:rPr>
        <w:t>. Tome 2</w:t>
      </w:r>
      <w:r w:rsidRPr="00B54F59">
        <w:t xml:space="preserve">, pp. </w:t>
      </w:r>
      <w:r>
        <w:t>196-212</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9F7C50" w:rsidRDefault="009F7C50" w:rsidP="009F7C50">
      <w:pPr>
        <w:spacing w:before="120" w:after="120"/>
        <w:ind w:firstLine="0"/>
        <w:jc w:val="both"/>
      </w:pPr>
      <w:r w:rsidRPr="005211E4">
        <w:br w:type="page"/>
      </w:r>
    </w:p>
    <w:p w:rsidR="009F7C50" w:rsidRDefault="009F7C50" w:rsidP="009F7C50">
      <w:pPr>
        <w:spacing w:before="120" w:after="120"/>
        <w:ind w:firstLine="0"/>
        <w:jc w:val="both"/>
      </w:pPr>
    </w:p>
    <w:p w:rsidR="009F7C50" w:rsidRDefault="009F7C50" w:rsidP="009F7C50">
      <w:pPr>
        <w:spacing w:before="120" w:after="120"/>
        <w:ind w:firstLine="0"/>
        <w:jc w:val="both"/>
      </w:pPr>
      <w:r w:rsidRPr="00B078F7">
        <w:rPr>
          <w:b/>
          <w:i/>
        </w:rPr>
        <w:t>Seymour Martin Lipset</w:t>
      </w:r>
      <w:r>
        <w:t xml:space="preserve"> [1922-2006], sociologue américain, “théor</w:t>
      </w:r>
      <w:r>
        <w:t>i</w:t>
      </w:r>
      <w:r>
        <w:t>cien des liens entre libéralisme économique et libéralisme politique : la démocratie soutient le développement économique et le dévelo</w:t>
      </w:r>
      <w:r>
        <w:t>p</w:t>
      </w:r>
      <w:r>
        <w:t>pement économique suscite la démocratie.” [Wikipédia.]</w:t>
      </w:r>
    </w:p>
    <w:p w:rsidR="009F7C50" w:rsidRDefault="009F7C50" w:rsidP="009F7C50">
      <w:pPr>
        <w:spacing w:before="120" w:after="120"/>
        <w:ind w:firstLine="0"/>
        <w:jc w:val="both"/>
      </w:pPr>
    </w:p>
    <w:p w:rsidR="009F7C50" w:rsidRDefault="009F7C50" w:rsidP="009F7C50">
      <w:pPr>
        <w:spacing w:before="120" w:after="120"/>
        <w:ind w:firstLine="0"/>
        <w:jc w:val="both"/>
      </w:pPr>
      <w:r w:rsidRPr="00B078F7">
        <w:rPr>
          <w:b/>
          <w:i/>
        </w:rPr>
        <w:t>Stein Rokkan</w:t>
      </w:r>
      <w:r>
        <w:t xml:space="preserve"> [1921-1979], sociologue et politologue norvégien, pr</w:t>
      </w:r>
      <w:r>
        <w:t>o</w:t>
      </w:r>
      <w:r>
        <w:t>fesseur de politique comparée à l’Université de Bergen.</w:t>
      </w:r>
    </w:p>
    <w:p w:rsidR="009F7C50" w:rsidRDefault="009F7C50" w:rsidP="009F7C50">
      <w:pPr>
        <w:spacing w:before="120" w:after="120"/>
        <w:ind w:firstLine="0"/>
        <w:jc w:val="both"/>
      </w:pPr>
    </w:p>
    <w:p w:rsidR="009F7C50" w:rsidRPr="005211E4" w:rsidRDefault="009F7C50" w:rsidP="009F7C50">
      <w:pPr>
        <w:spacing w:before="120" w:after="120"/>
        <w:ind w:firstLine="0"/>
        <w:jc w:val="both"/>
      </w:pPr>
      <w:r>
        <w:br w:type="page"/>
      </w:r>
    </w:p>
    <w:p w:rsidR="009F7C50" w:rsidRPr="005211E4" w:rsidRDefault="009F7C50" w:rsidP="009F7C50">
      <w:pPr>
        <w:jc w:val="both"/>
      </w:pPr>
    </w:p>
    <w:p w:rsidR="009F7C50" w:rsidRPr="005211E4" w:rsidRDefault="009F7C50" w:rsidP="009F7C50">
      <w:pPr>
        <w:jc w:val="both"/>
      </w:pPr>
    </w:p>
    <w:p w:rsidR="009F7C50" w:rsidRPr="005211E4" w:rsidRDefault="009F7C50" w:rsidP="009F7C50">
      <w:pPr>
        <w:jc w:val="both"/>
      </w:pPr>
    </w:p>
    <w:p w:rsidR="009F7C50" w:rsidRPr="005211E4" w:rsidRDefault="009F7C50" w:rsidP="009F7C50">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9F7C50" w:rsidRPr="005211E4" w:rsidRDefault="009F7C50" w:rsidP="009F7C50">
      <w:pPr>
        <w:pStyle w:val="NormalWeb"/>
        <w:spacing w:before="2" w:after="2"/>
        <w:jc w:val="both"/>
        <w:rPr>
          <w:rFonts w:ascii="Times New Roman" w:hAnsi="Times New Roman"/>
          <w:sz w:val="28"/>
          <w:lang w:val="fr-CA"/>
        </w:rPr>
      </w:pPr>
    </w:p>
    <w:p w:rsidR="009F7C50" w:rsidRPr="005211E4" w:rsidRDefault="009F7C50" w:rsidP="009F7C50">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9F7C50" w:rsidRPr="005211E4" w:rsidRDefault="009F7C50" w:rsidP="009F7C50">
      <w:pPr>
        <w:jc w:val="both"/>
        <w:rPr>
          <w:szCs w:val="19"/>
        </w:rPr>
      </w:pPr>
    </w:p>
    <w:p w:rsidR="009F7C50" w:rsidRPr="005211E4" w:rsidRDefault="009F7C50" w:rsidP="009F7C50">
      <w:pPr>
        <w:jc w:val="both"/>
        <w:rPr>
          <w:szCs w:val="19"/>
        </w:rPr>
      </w:pPr>
    </w:p>
    <w:p w:rsidR="009F7C50" w:rsidRPr="005211E4" w:rsidRDefault="009F7C50" w:rsidP="009F7C50">
      <w:pPr>
        <w:pStyle w:val="p"/>
      </w:pPr>
      <w:r w:rsidRPr="005211E4">
        <w:br w:type="page"/>
      </w:r>
      <w:r w:rsidRPr="005211E4">
        <w:lastRenderedPageBreak/>
        <w:t>[196]</w:t>
      </w:r>
    </w:p>
    <w:p w:rsidR="009F7C50" w:rsidRDefault="009F7C50" w:rsidP="009F7C50">
      <w:pPr>
        <w:jc w:val="both"/>
      </w:pPr>
    </w:p>
    <w:p w:rsidR="009F7C50" w:rsidRPr="005211E4" w:rsidRDefault="009F7C50" w:rsidP="009F7C50">
      <w:pPr>
        <w:jc w:val="both"/>
      </w:pPr>
    </w:p>
    <w:p w:rsidR="009F7C50" w:rsidRPr="005211E4" w:rsidRDefault="009F7C50" w:rsidP="009F7C50">
      <w:pPr>
        <w:jc w:val="both"/>
      </w:pPr>
    </w:p>
    <w:p w:rsidR="009F7C50" w:rsidRPr="005211E4" w:rsidRDefault="009F7C50" w:rsidP="009F7C50">
      <w:pPr>
        <w:spacing w:after="120"/>
        <w:ind w:firstLine="0"/>
        <w:jc w:val="center"/>
      </w:pPr>
      <w:bookmarkStart w:id="1" w:name="socio_pol_t2_pt_2_texte_12"/>
      <w:r w:rsidRPr="005211E4">
        <w:rPr>
          <w:b/>
          <w:i/>
          <w:color w:val="E36C0A"/>
        </w:rPr>
        <w:t>Sociologie politique</w:t>
      </w:r>
      <w:r w:rsidRPr="005211E4">
        <w:rPr>
          <w:b/>
          <w:i/>
        </w:rPr>
        <w:t>.</w:t>
      </w:r>
      <w:r w:rsidRPr="005211E4">
        <w:rPr>
          <w:b/>
          <w:i/>
        </w:rPr>
        <w:br/>
      </w:r>
      <w:r w:rsidRPr="005211E4">
        <w:rPr>
          <w:i/>
        </w:rPr>
        <w:t>Tome 2</w:t>
      </w:r>
      <w:r w:rsidRPr="005211E4">
        <w:t>.</w:t>
      </w:r>
    </w:p>
    <w:p w:rsidR="009F7C50" w:rsidRPr="005211E4" w:rsidRDefault="009F7C50" w:rsidP="009F7C50">
      <w:pPr>
        <w:pStyle w:val="Titre"/>
      </w:pPr>
      <w:r w:rsidRPr="005211E4">
        <w:t>“Le parti politique : agent de conflit</w:t>
      </w:r>
      <w:r w:rsidRPr="005211E4">
        <w:br/>
        <w:t>et instrument d’intégration.”</w:t>
      </w:r>
    </w:p>
    <w:bookmarkEnd w:id="1"/>
    <w:p w:rsidR="009F7C50" w:rsidRPr="005211E4" w:rsidRDefault="009F7C50" w:rsidP="009F7C50">
      <w:pPr>
        <w:jc w:val="both"/>
      </w:pPr>
    </w:p>
    <w:p w:rsidR="009F7C50" w:rsidRPr="005211E4" w:rsidRDefault="009F7C50" w:rsidP="009F7C50">
      <w:pPr>
        <w:pStyle w:val="suite"/>
      </w:pPr>
      <w:r w:rsidRPr="005211E4">
        <w:t>Seymour Martin LIPSET et Stein ROKKAN</w:t>
      </w:r>
    </w:p>
    <w:p w:rsidR="009F7C50" w:rsidRPr="005211E4" w:rsidRDefault="009F7C50" w:rsidP="009F7C50">
      <w:pPr>
        <w:jc w:val="both"/>
      </w:pPr>
    </w:p>
    <w:p w:rsidR="009F7C50" w:rsidRPr="005211E4" w:rsidRDefault="009F7C50" w:rsidP="009F7C50">
      <w:pPr>
        <w:jc w:val="both"/>
      </w:pPr>
    </w:p>
    <w:p w:rsidR="009F7C50" w:rsidRPr="005211E4" w:rsidRDefault="009F7C50" w:rsidP="009F7C50">
      <w:pPr>
        <w:jc w:val="both"/>
      </w:pPr>
    </w:p>
    <w:p w:rsidR="009F7C50" w:rsidRPr="005211E4" w:rsidRDefault="009F7C50" w:rsidP="009F7C50">
      <w:pPr>
        <w:jc w:val="both"/>
      </w:pPr>
    </w:p>
    <w:p w:rsidR="009F7C50" w:rsidRPr="005211E4" w:rsidRDefault="009F7C50" w:rsidP="009F7C50">
      <w:pPr>
        <w:spacing w:before="120" w:after="120"/>
        <w:jc w:val="both"/>
      </w:pPr>
      <w:r w:rsidRPr="005211E4">
        <w:t>Tout au long de l’histoire des régimes des pays occidentaux, le terme de « parti » a signifié div</w:t>
      </w:r>
      <w:r w:rsidRPr="005211E4">
        <w:t>i</w:t>
      </w:r>
      <w:r w:rsidRPr="005211E4">
        <w:t>sion, conflit, opposition au sein d’un corps politique </w:t>
      </w:r>
      <w:r w:rsidRPr="005211E4">
        <w:rPr>
          <w:rStyle w:val="Appelnotedebasdep"/>
        </w:rPr>
        <w:footnoteReference w:id="1"/>
      </w:r>
      <w:r w:rsidRPr="005211E4">
        <w:t>. Étymologiquement, ce mot vient de « part », et d</w:t>
      </w:r>
      <w:r w:rsidRPr="005211E4">
        <w:t>e</w:t>
      </w:r>
      <w:r w:rsidRPr="005211E4">
        <w:t>puis le moment où il apparut pour la première fois dans le discours pol</w:t>
      </w:r>
      <w:r w:rsidRPr="005211E4">
        <w:t>i</w:t>
      </w:r>
      <w:r w:rsidRPr="005211E4">
        <w:t>tique à la fin du Moyen Âge, il a toujours conservé cette référence à un ensemble d’éléments en concurrence ou en opposition avec un autre ensemble à l’intérieur d’un certain tout unifié </w:t>
      </w:r>
      <w:r w:rsidRPr="005211E4">
        <w:rPr>
          <w:rStyle w:val="Appelnotedebasdep"/>
        </w:rPr>
        <w:footnoteReference w:id="2"/>
      </w:r>
      <w:r w:rsidRPr="005211E4">
        <w:t>.</w:t>
      </w:r>
    </w:p>
    <w:p w:rsidR="009F7C50" w:rsidRPr="005211E4" w:rsidRDefault="009F7C50" w:rsidP="009F7C50">
      <w:pPr>
        <w:spacing w:before="120" w:after="120"/>
        <w:jc w:val="both"/>
      </w:pPr>
      <w:r w:rsidRPr="005211E4">
        <w:t>On nous objectera que, depuis que le vingtième siècle nous a do</w:t>
      </w:r>
      <w:r w:rsidRPr="005211E4">
        <w:t>n</w:t>
      </w:r>
      <w:r w:rsidRPr="005211E4">
        <w:t>né une abondance de partis monol</w:t>
      </w:r>
      <w:r w:rsidRPr="005211E4">
        <w:t>i</w:t>
      </w:r>
      <w:r w:rsidRPr="005211E4">
        <w:t>thiques, de partis totalitaires et de « systèmes monopartisans », ces expressions évoquent un autre sens du terme, un usage divergent. C’est l’illustration d’une ambiguïté a</w:t>
      </w:r>
      <w:r w:rsidRPr="005211E4">
        <w:t>n</w:t>
      </w:r>
      <w:r w:rsidRPr="005211E4">
        <w:t xml:space="preserve">cienne dans l’usage du terme. Dans </w:t>
      </w:r>
      <w:r w:rsidRPr="005211E4">
        <w:rPr>
          <w:rFonts w:eastAsia="Courier New"/>
          <w:i/>
        </w:rPr>
        <w:t>Wirtschaft und Gesel</w:t>
      </w:r>
      <w:r w:rsidRPr="005211E4">
        <w:rPr>
          <w:rFonts w:eastAsia="Courier New"/>
          <w:i/>
        </w:rPr>
        <w:t>l</w:t>
      </w:r>
      <w:r w:rsidRPr="005211E4">
        <w:rPr>
          <w:rFonts w:eastAsia="Courier New"/>
          <w:i/>
        </w:rPr>
        <w:t>schaft</w:t>
      </w:r>
      <w:r w:rsidRPr="005211E4">
        <w:rPr>
          <w:rFonts w:eastAsia="Courier New"/>
        </w:rPr>
        <w:t>,</w:t>
      </w:r>
      <w:r w:rsidRPr="005211E4">
        <w:t xml:space="preserve"> Max</w:t>
      </w:r>
      <w:r>
        <w:t xml:space="preserve"> </w:t>
      </w:r>
      <w:r w:rsidRPr="005211E4">
        <w:t>[197]</w:t>
      </w:r>
      <w:r>
        <w:t xml:space="preserve"> </w:t>
      </w:r>
      <w:r w:rsidRPr="005211E4">
        <w:t>Weber discute l’utilisation du terme de « parti » dans les de</w:t>
      </w:r>
      <w:r w:rsidRPr="005211E4">
        <w:t>s</w:t>
      </w:r>
      <w:r w:rsidRPr="005211E4">
        <w:t>criptions de la politique des cités it</w:t>
      </w:r>
      <w:r w:rsidRPr="005211E4">
        <w:t>a</w:t>
      </w:r>
      <w:r w:rsidRPr="005211E4">
        <w:t xml:space="preserve">liennes médiévales, et affirme que </w:t>
      </w:r>
      <w:r w:rsidRPr="005211E4">
        <w:lastRenderedPageBreak/>
        <w:t>les Guelfes Florentins « cessèrent d’être un parti » au sens sociolog</w:t>
      </w:r>
      <w:r w:rsidRPr="005211E4">
        <w:t>i</w:t>
      </w:r>
      <w:r w:rsidRPr="005211E4">
        <w:t>que du terme lorsqu’ils se confondirent avec la bureaucratie au po</w:t>
      </w:r>
      <w:r w:rsidRPr="005211E4">
        <w:t>u</w:t>
      </w:r>
      <w:r w:rsidRPr="005211E4">
        <w:t>voir dans la cité </w:t>
      </w:r>
      <w:r w:rsidRPr="005211E4">
        <w:rPr>
          <w:rStyle w:val="Appelnotedebasdep"/>
        </w:rPr>
        <w:footnoteReference w:id="3"/>
      </w:r>
      <w:r w:rsidRPr="005211E4">
        <w:t>. Weber refusait explicitement d’accepter une que</w:t>
      </w:r>
      <w:r w:rsidRPr="005211E4">
        <w:t>l</w:t>
      </w:r>
      <w:r w:rsidRPr="005211E4">
        <w:t>conque équivalence entre le terme de « parti » tel qu’il est e</w:t>
      </w:r>
      <w:r w:rsidRPr="005211E4">
        <w:t>m</w:t>
      </w:r>
      <w:r w:rsidRPr="005211E4">
        <w:t>ployé dans les descriptions de la politique délibérément compétitive, et le terme de « parti » tel qu’il est employé dans les systèmes monolith</w:t>
      </w:r>
      <w:r w:rsidRPr="005211E4">
        <w:t>i</w:t>
      </w:r>
      <w:r w:rsidRPr="005211E4">
        <w:t>ques. Cette distinction est analytiquement importante, mais l’utilisation du terme comporte encore une unité latente. Le parti tot</w:t>
      </w:r>
      <w:r w:rsidRPr="005211E4">
        <w:t>a</w:t>
      </w:r>
      <w:r w:rsidRPr="005211E4">
        <w:t xml:space="preserve">litaire ne fonctionne pas par l’intermédiaire d’une </w:t>
      </w:r>
      <w:r w:rsidRPr="005211E4">
        <w:rPr>
          <w:rFonts w:eastAsia="Courier New"/>
          <w:i/>
        </w:rPr>
        <w:t>freie Werbung</w:t>
      </w:r>
      <w:r w:rsidRPr="005211E4">
        <w:t xml:space="preserve"> — par l’intermédiaire d’une libre compétition sur le marché p</w:t>
      </w:r>
      <w:r w:rsidRPr="005211E4">
        <w:t>o</w:t>
      </w:r>
      <w:r w:rsidRPr="005211E4">
        <w:t>litique. Mais il est encore une partie d’un tout plus vaste, et il est encore en opposition à d’autres fo</w:t>
      </w:r>
      <w:r w:rsidRPr="005211E4">
        <w:t>r</w:t>
      </w:r>
      <w:r w:rsidRPr="005211E4">
        <w:t>ces à l’intérieur de ce tout. Le parti totalitaire type est composé de la partie active, mobilisatrice, du système nati</w:t>
      </w:r>
      <w:r w:rsidRPr="005211E4">
        <w:t>o</w:t>
      </w:r>
      <w:r w:rsidRPr="005211E4">
        <w:t>nal : il ne dispute pas à d’autres partis les postes et les faveurs, mais il cherche toujours à m</w:t>
      </w:r>
      <w:r w:rsidRPr="005211E4">
        <w:t>o</w:t>
      </w:r>
      <w:r w:rsidRPr="005211E4">
        <w:t>biliser le peuple contre quelque chose — contre les forces d’opposition conspirant au sein de la communauté nation</w:t>
      </w:r>
      <w:r w:rsidRPr="005211E4">
        <w:t>a</w:t>
      </w:r>
      <w:r w:rsidRPr="005211E4">
        <w:t>le, ou contre les pressions menaçantes des ennemis de l’extérieur. Il se peut que, d’un point de vue occidental, des élections totalitaires n’aient pas grand sens, mais elles ont néanmoins des fonctions de lég</w:t>
      </w:r>
      <w:r w:rsidRPr="005211E4">
        <w:t>i</w:t>
      </w:r>
      <w:r w:rsidRPr="005211E4">
        <w:t>timation importantes : elles sont le « rituel de confirmation » dans une campagne continue menée contre l’opposition « cachée », les opp</w:t>
      </w:r>
      <w:r w:rsidRPr="005211E4">
        <w:t>o</w:t>
      </w:r>
      <w:r w:rsidRPr="005211E4">
        <w:t>sants ill</w:t>
      </w:r>
      <w:r w:rsidRPr="005211E4">
        <w:t>é</w:t>
      </w:r>
      <w:r w:rsidRPr="005211E4">
        <w:t>gitimes du régime établi.</w:t>
      </w:r>
    </w:p>
    <w:p w:rsidR="009F7C50" w:rsidRPr="005211E4" w:rsidRDefault="00BD4053" w:rsidP="009F7C50">
      <w:pPr>
        <w:spacing w:before="120" w:after="120"/>
        <w:jc w:val="both"/>
      </w:pPr>
      <w:r w:rsidRPr="005211E4">
        <w:rPr>
          <w:noProof/>
        </w:rPr>
        <mc:AlternateContent>
          <mc:Choice Requires="wps">
            <w:drawing>
              <wp:anchor distT="0" distB="0" distL="63500" distR="63500" simplePos="0" relativeHeight="251656704" behindDoc="1" locked="0" layoutInCell="1" allowOverlap="1">
                <wp:simplePos x="0" y="0"/>
                <wp:positionH relativeFrom="margin">
                  <wp:posOffset>7066915</wp:posOffset>
                </wp:positionH>
                <wp:positionV relativeFrom="margin">
                  <wp:posOffset>-127000</wp:posOffset>
                </wp:positionV>
                <wp:extent cx="210185" cy="254000"/>
                <wp:effectExtent l="0" t="0" r="0" b="0"/>
                <wp:wrapTopAndBottom/>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50" w:rsidRDefault="009F7C50" w:rsidP="009F7C50">
                            <w:pPr>
                              <w:spacing w:line="200" w:lineRule="exact"/>
                              <w:ind w:firstLine="29"/>
                            </w:pPr>
                            <w:r>
                              <w:t>199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56.45pt;margin-top:-10pt;width:16.55pt;height:20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" filled="f" stroked="f">
                <v:path arrowok="t"/>
                <v:textbox style="mso-fit-shape-to-text:t" inset="0,0,0,0">
                  <w:txbxContent>
                    <w:p w:rsidR="009F7C50" w:rsidRDefault="009F7C50" w:rsidP="009F7C50">
                      <w:pPr>
                        <w:spacing w:line="200" w:lineRule="exact"/>
                        <w:ind w:firstLine="29"/>
                      </w:pPr>
                      <w:r>
                        <w:t>199</w:t>
                      </w:r>
                    </w:p>
                  </w:txbxContent>
                </v:textbox>
                <w10:wrap type="topAndBottom" anchorx="margin" anchory="margin"/>
              </v:shape>
            </w:pict>
          </mc:Fallback>
        </mc:AlternateContent>
      </w:r>
      <w:r w:rsidR="009F7C50" w:rsidRPr="005211E4">
        <w:t>[198]</w:t>
      </w:r>
    </w:p>
    <w:p w:rsidR="009F7C50" w:rsidRPr="005211E4" w:rsidRDefault="009F7C50" w:rsidP="009F7C50">
      <w:pPr>
        <w:spacing w:before="120" w:after="120"/>
        <w:jc w:val="both"/>
      </w:pPr>
      <w:r w:rsidRPr="005211E4">
        <w:t>Quelle que soit la structure du régime, les partis ont servi d’agents principaux de mobilisation et, en tant que tels, ont aidé à l’intégration des communautés locales à la nation ou à la fédération plus large. C’était vrai des premiers systèmes de partis en compétition, et c’est particulièrement vrai des nations à système de parti unique de l’époque postcoloniale. Dans son analyse très pénétrante de la form</w:t>
      </w:r>
      <w:r w:rsidRPr="005211E4">
        <w:t>a</w:t>
      </w:r>
      <w:r w:rsidRPr="005211E4">
        <w:t xml:space="preserve">tion du système de parti américain, William Chambers a rassemblé un ample assortiment d’indices du rôle intégrateur des premiers partis </w:t>
      </w:r>
      <w:r w:rsidRPr="005211E4">
        <w:lastRenderedPageBreak/>
        <w:t>nationaux, les fédéralistes et les républicains-dém</w:t>
      </w:r>
      <w:r w:rsidRPr="005211E4">
        <w:t>o</w:t>
      </w:r>
      <w:r w:rsidRPr="005211E4">
        <w:t>crates : ce furent les premières organisations véritablement nationales : elles représent</w:t>
      </w:r>
      <w:r w:rsidRPr="005211E4">
        <w:t>è</w:t>
      </w:r>
      <w:r w:rsidRPr="005211E4">
        <w:t>rent les premiers efforts couronnés de succès pour arracher les Amér</w:t>
      </w:r>
      <w:r w:rsidRPr="005211E4">
        <w:t>i</w:t>
      </w:r>
      <w:r w:rsidRPr="005211E4">
        <w:t xml:space="preserve">cains à leur communauté locale et à leur État, et pour leur donner des rôles dans le </w:t>
      </w:r>
      <w:r w:rsidRPr="005211E4">
        <w:rPr>
          <w:rFonts w:eastAsia="Courier New"/>
          <w:i/>
        </w:rPr>
        <w:t>système politique national</w:t>
      </w:r>
      <w:r w:rsidRPr="005211E4">
        <w:t> </w:t>
      </w:r>
      <w:r w:rsidRPr="005211E4">
        <w:rPr>
          <w:rStyle w:val="Appelnotedebasdep"/>
        </w:rPr>
        <w:footnoteReference w:id="4"/>
      </w:r>
      <w:r w:rsidRPr="005211E4">
        <w:t>. Les analyses des partis exi</w:t>
      </w:r>
      <w:r w:rsidRPr="005211E4">
        <w:t>s</w:t>
      </w:r>
      <w:r w:rsidRPr="005211E4">
        <w:t>tants dans les nations neuves du XX</w:t>
      </w:r>
      <w:r w:rsidRPr="005211E4">
        <w:rPr>
          <w:vertAlign w:val="superscript"/>
        </w:rPr>
        <w:t>e</w:t>
      </w:r>
      <w:r w:rsidRPr="005211E4">
        <w:t xml:space="preserve"> siècle parviennent à des concl</w:t>
      </w:r>
      <w:r w:rsidRPr="005211E4">
        <w:t>u</w:t>
      </w:r>
      <w:r w:rsidRPr="005211E4">
        <w:t>sions similaires. Ruth Schachter a montré comment les organ</w:t>
      </w:r>
      <w:r w:rsidRPr="005211E4">
        <w:t>i</w:t>
      </w:r>
      <w:r w:rsidRPr="005211E4">
        <w:t>sations africaines de parti unique ont été utilisées par les leaders pol</w:t>
      </w:r>
      <w:r w:rsidRPr="005211E4">
        <w:t>i</w:t>
      </w:r>
      <w:r w:rsidRPr="005211E4">
        <w:t>tiques pour « éveiller un sens national plus large de la communa</w:t>
      </w:r>
      <w:r w:rsidRPr="005211E4">
        <w:t>u</w:t>
      </w:r>
      <w:r w:rsidRPr="005211E4">
        <w:t>té » et pour créer des liens de communication et de coopération entre les popul</w:t>
      </w:r>
      <w:r w:rsidRPr="005211E4">
        <w:t>a</w:t>
      </w:r>
      <w:r w:rsidRPr="005211E4">
        <w:t>tions territoriales et ethniques </w:t>
      </w:r>
      <w:r w:rsidRPr="005211E4">
        <w:rPr>
          <w:rStyle w:val="Appelnotedebasdep"/>
        </w:rPr>
        <w:footnoteReference w:id="5"/>
      </w:r>
      <w:r w:rsidRPr="005211E4">
        <w:t>. Dans les systèmes de partis r</w:t>
      </w:r>
      <w:r w:rsidRPr="005211E4">
        <w:t>i</w:t>
      </w:r>
      <w:r w:rsidRPr="005211E4">
        <w:t xml:space="preserve">vaux, on peut analyser ce processus d intégration à deux niveaux : d’une part chaque parti établit un réseau de canaux </w:t>
      </w:r>
      <w:r w:rsidRPr="005211E4">
        <w:rPr>
          <w:rFonts w:eastAsia="Courier New"/>
        </w:rPr>
        <w:t>d’</w:t>
      </w:r>
      <w:r w:rsidRPr="005211E4">
        <w:rPr>
          <w:rFonts w:eastAsia="Courier New"/>
          <w:i/>
        </w:rPr>
        <w:t>intercommunications</w:t>
      </w:r>
      <w:r w:rsidRPr="005211E4">
        <w:t xml:space="preserve"> terr</w:t>
      </w:r>
      <w:r w:rsidRPr="005211E4">
        <w:t>i</w:t>
      </w:r>
      <w:r w:rsidRPr="005211E4">
        <w:t>toriales, et de cette manière sert à renfo</w:t>
      </w:r>
      <w:r w:rsidRPr="005211E4">
        <w:t>r</w:t>
      </w:r>
      <w:r w:rsidRPr="005211E4">
        <w:t>cer les identités nationales ; d’autre part, le fait qu’il joue véritabl</w:t>
      </w:r>
      <w:r w:rsidRPr="005211E4">
        <w:t>e</w:t>
      </w:r>
      <w:r w:rsidRPr="005211E4">
        <w:t>ment le jeu de la concurrence sert à placer le système national de go</w:t>
      </w:r>
      <w:r w:rsidRPr="005211E4">
        <w:t>u</w:t>
      </w:r>
      <w:r w:rsidRPr="005211E4">
        <w:t>vernement au-dessus de n’importe quel ensemble particulier de fon</w:t>
      </w:r>
      <w:r w:rsidRPr="005211E4">
        <w:t>c</w:t>
      </w:r>
      <w:r w:rsidRPr="005211E4">
        <w:t>tionnaires. Du même coup, les citoyens sont encouragés à distinguer entre leur loyauté e</w:t>
      </w:r>
      <w:r w:rsidRPr="005211E4">
        <w:t>n</w:t>
      </w:r>
      <w:r w:rsidRPr="005211E4">
        <w:t>vers le système polit</w:t>
      </w:r>
      <w:r w:rsidRPr="005211E4">
        <w:t>i</w:t>
      </w:r>
      <w:r w:rsidRPr="005211E4">
        <w:t>que dans sa totalité,</w:t>
      </w:r>
      <w:r>
        <w:t xml:space="preserve"> </w:t>
      </w:r>
      <w:r w:rsidRPr="005211E4">
        <w:t>[199]</w:t>
      </w:r>
      <w:r>
        <w:t xml:space="preserve"> </w:t>
      </w:r>
      <w:r w:rsidRPr="005211E4">
        <w:t>et leurs attitudes à l’égard de groupes d’hommes politiques en compét</w:t>
      </w:r>
      <w:r w:rsidRPr="005211E4">
        <w:t>i</w:t>
      </w:r>
      <w:r w:rsidRPr="005211E4">
        <w:t>tion ; tandis que les cand</w:t>
      </w:r>
      <w:r w:rsidRPr="005211E4">
        <w:t>i</w:t>
      </w:r>
      <w:r w:rsidRPr="005211E4">
        <w:t>dats au pouvoir auront intérêt, au moins s’ils ont quelque chance d’y parvenir, à maintenir cet attach</w:t>
      </w:r>
      <w:r w:rsidRPr="005211E4">
        <w:t>e</w:t>
      </w:r>
      <w:r w:rsidRPr="005211E4">
        <w:t>ment de tous les citoyens au régime et à ses lois de l’alternance. Dans un régime monolithique, on n’encourage pas les citoyens à faire la différence entre le système et les personnes en poste. La masse des citoyens a tendance à assim</w:t>
      </w:r>
      <w:r w:rsidRPr="005211E4">
        <w:t>i</w:t>
      </w:r>
      <w:r w:rsidRPr="005211E4">
        <w:t>ler régime et programmes politiques des différents leaders et, d’ordinaire, les détenteurs du pouvoir exploitent les loyautés nation</w:t>
      </w:r>
      <w:r w:rsidRPr="005211E4">
        <w:t>a</w:t>
      </w:r>
      <w:r w:rsidRPr="005211E4">
        <w:t>les existantes à leur profit personnel. Dans ces s</w:t>
      </w:r>
      <w:r w:rsidRPr="005211E4">
        <w:t>o</w:t>
      </w:r>
      <w:r w:rsidRPr="005211E4">
        <w:t>ciétés, toute attaque dirigée contre les leaders politiques, ou contre le parti dominant a te</w:t>
      </w:r>
      <w:r w:rsidRPr="005211E4">
        <w:t>n</w:t>
      </w:r>
      <w:r w:rsidRPr="005211E4">
        <w:t>dance à devenir une attaque dirigée contre le sy</w:t>
      </w:r>
      <w:r w:rsidRPr="005211E4">
        <w:t>s</w:t>
      </w:r>
      <w:r w:rsidRPr="005211E4">
        <w:t>tème politique lui-même. Des querelles r</w:t>
      </w:r>
      <w:r w:rsidRPr="005211E4">
        <w:t>e</w:t>
      </w:r>
      <w:r w:rsidRPr="005211E4">
        <w:t>latives à des programmes ou à des personnes spécifiques soulèvent immédiatement les problèmes fo</w:t>
      </w:r>
      <w:r w:rsidRPr="005211E4">
        <w:t>n</w:t>
      </w:r>
      <w:r w:rsidRPr="005211E4">
        <w:t>damentaux de la survie du système. Dans un système de partis r</w:t>
      </w:r>
      <w:r w:rsidRPr="005211E4">
        <w:t>i</w:t>
      </w:r>
      <w:r w:rsidRPr="005211E4">
        <w:t xml:space="preserve">vaux, les adversaires de l’équipe gouvernementale peuvent bien être accusés </w:t>
      </w:r>
      <w:r w:rsidRPr="005211E4">
        <w:lastRenderedPageBreak/>
        <w:t>d’affaiblir l’État ou de trahir les traditions de la nation, mais le mai</w:t>
      </w:r>
      <w:r w:rsidRPr="005211E4">
        <w:t>n</w:t>
      </w:r>
      <w:r w:rsidRPr="005211E4">
        <w:t>tien de l’existence du système n’est pas en danger. Un système de partis r</w:t>
      </w:r>
      <w:r w:rsidRPr="005211E4">
        <w:t>i</w:t>
      </w:r>
      <w:r w:rsidRPr="005211E4">
        <w:t>vaux protège la nation du mécontentement de ses citoyens ; au lieu d’être portés sur le système global, les griefs et les attaques sont dir</w:t>
      </w:r>
      <w:r w:rsidRPr="005211E4">
        <w:t>i</w:t>
      </w:r>
      <w:r w:rsidRPr="005211E4">
        <w:t>gés vers l’équipe des gens en place </w:t>
      </w:r>
      <w:r w:rsidRPr="005211E4">
        <w:rPr>
          <w:rStyle w:val="Appelnotedebasdep"/>
        </w:rPr>
        <w:footnoteReference w:id="6"/>
      </w:r>
      <w:r w:rsidRPr="005211E4">
        <w:t>.</w:t>
      </w:r>
    </w:p>
    <w:p w:rsidR="009F7C50" w:rsidRPr="005211E4" w:rsidRDefault="009F7C50" w:rsidP="009F7C50">
      <w:pPr>
        <w:spacing w:before="120" w:after="120"/>
        <w:jc w:val="both"/>
      </w:pPr>
      <w:r w:rsidRPr="005211E4">
        <w:t>Des sociologues comme E. A. Ross </w:t>
      </w:r>
      <w:r w:rsidRPr="005211E4">
        <w:rPr>
          <w:rStyle w:val="Appelnotedebasdep"/>
        </w:rPr>
        <w:footnoteReference w:id="7"/>
      </w:r>
      <w:r w:rsidRPr="005211E4">
        <w:t xml:space="preserve"> et Georg Simmel </w:t>
      </w:r>
      <w:r w:rsidRPr="005211E4">
        <w:rPr>
          <w:rStyle w:val="Appelnotedebasdep"/>
        </w:rPr>
        <w:footnoteReference w:id="8"/>
      </w:r>
      <w:r w:rsidRPr="005211E4">
        <w:t xml:space="preserve"> ont anal</w:t>
      </w:r>
      <w:r w:rsidRPr="005211E4">
        <w:t>y</w:t>
      </w:r>
      <w:r w:rsidRPr="005211E4">
        <w:t>sé le rôle intégrateur joué par les conflits institutionnalisés dans les sy</w:t>
      </w:r>
      <w:r w:rsidRPr="005211E4">
        <w:t>s</w:t>
      </w:r>
      <w:r w:rsidRPr="005211E4">
        <w:t>tèmes politiques. La création de canaux réguliers pour l’expression des intérêts opposés a contribué à stabiliser la structure d’un grand nombre d’États-nations. Le processus d’égalisation des statuts des d</w:t>
      </w:r>
      <w:r w:rsidRPr="005211E4">
        <w:t>i</w:t>
      </w:r>
      <w:r w:rsidRPr="005211E4">
        <w:t>ve</w:t>
      </w:r>
      <w:r w:rsidRPr="005211E4">
        <w:t>r</w:t>
      </w:r>
      <w:r w:rsidRPr="005211E4">
        <w:t>ses confessions</w:t>
      </w:r>
      <w:r>
        <w:t xml:space="preserve"> </w:t>
      </w:r>
      <w:r w:rsidRPr="005211E4">
        <w:t>[200]</w:t>
      </w:r>
      <w:r>
        <w:t xml:space="preserve"> </w:t>
      </w:r>
      <w:r w:rsidRPr="005211E4">
        <w:t>a permis d’atténuer au maximum le choc des premiers conflits po</w:t>
      </w:r>
      <w:r w:rsidRPr="005211E4">
        <w:t>r</w:t>
      </w:r>
      <w:r w:rsidRPr="005211E4">
        <w:t>tant sur des problèmes religieux. L’extension du suffrage et la liberté d’expression politique ont servi à renforcer la l</w:t>
      </w:r>
      <w:r w:rsidRPr="005211E4">
        <w:t>é</w:t>
      </w:r>
      <w:r w:rsidRPr="005211E4">
        <w:t>gitimité de l’État-nation. L’ouverture de canaux autorisant l’expression de conflits latents ou manifestes entre les classes au po</w:t>
      </w:r>
      <w:r w:rsidRPr="005211E4">
        <w:t>u</w:t>
      </w:r>
      <w:r w:rsidRPr="005211E4">
        <w:t>voir et les classes déshér</w:t>
      </w:r>
      <w:r w:rsidRPr="005211E4">
        <w:t>i</w:t>
      </w:r>
      <w:r w:rsidRPr="005211E4">
        <w:t>tées a peut-être déséquilibré beaucoup de systèmes à leur d</w:t>
      </w:r>
      <w:r w:rsidRPr="005211E4">
        <w:t>é</w:t>
      </w:r>
      <w:r w:rsidRPr="005211E4">
        <w:t>but, mais en définitive a contribué à fortifier l’État avec le temps.</w:t>
      </w:r>
    </w:p>
    <w:p w:rsidR="009F7C50" w:rsidRPr="005211E4" w:rsidRDefault="009F7C50" w:rsidP="009F7C50">
      <w:pPr>
        <w:spacing w:before="120" w:after="120"/>
        <w:jc w:val="both"/>
      </w:pPr>
      <w:r w:rsidRPr="005211E4">
        <w:t>Cette dialectique conflit-intégration est au centre des préoccup</w:t>
      </w:r>
      <w:r w:rsidRPr="005211E4">
        <w:t>a</w:t>
      </w:r>
      <w:r w:rsidRPr="005211E4">
        <w:t>tions actuelles en sociologie comparée des partis politiques. Dans ce</w:t>
      </w:r>
      <w:r w:rsidRPr="005211E4">
        <w:t>t</w:t>
      </w:r>
      <w:r w:rsidRPr="005211E4">
        <w:t xml:space="preserve">te étude, nous insisterons sur les </w:t>
      </w:r>
      <w:r w:rsidRPr="005211E4">
        <w:rPr>
          <w:rFonts w:eastAsia="Courier New"/>
          <w:i/>
        </w:rPr>
        <w:t>conflits et leur traduction en sy</w:t>
      </w:r>
      <w:r w:rsidRPr="005211E4">
        <w:rPr>
          <w:rFonts w:eastAsia="Courier New"/>
          <w:i/>
        </w:rPr>
        <w:t>s</w:t>
      </w:r>
      <w:r w:rsidRPr="005211E4">
        <w:rPr>
          <w:rFonts w:eastAsia="Courier New"/>
          <w:i/>
        </w:rPr>
        <w:t>tèmes de partis politiques</w:t>
      </w:r>
      <w:r w:rsidRPr="005211E4">
        <w:t>, sans pour autant négliger les fonctions d’intégration des partis. Nous avons si</w:t>
      </w:r>
      <w:r w:rsidRPr="005211E4">
        <w:t>m</w:t>
      </w:r>
      <w:r w:rsidRPr="005211E4">
        <w:t>plement choisi, en partant des tensions et des clivages latents ou manifestes, de traiter des tenda</w:t>
      </w:r>
      <w:r w:rsidRPr="005211E4">
        <w:t>n</w:t>
      </w:r>
      <w:r w:rsidRPr="005211E4">
        <w:t xml:space="preserve">ces au compromis et à la réconciliation, qui se greffent sur cette toile de fond constituée par les conflits initiaux. Nous nous intéressons aux partis considérés comme des </w:t>
      </w:r>
      <w:r w:rsidRPr="005211E4">
        <w:rPr>
          <w:rFonts w:eastAsia="Courier New"/>
          <w:i/>
        </w:rPr>
        <w:t>alliances dans des conflits portant sur des programmes et des engagements au sein du corps politique</w:t>
      </w:r>
      <w:r w:rsidRPr="005211E4">
        <w:rPr>
          <w:rFonts w:eastAsia="Courier New"/>
        </w:rPr>
        <w:t>.</w:t>
      </w:r>
      <w:r w:rsidRPr="005211E4">
        <w:t xml:space="preserve"> Les partis exercent sur le sociologue une double fascination. Ils servent à cristalliser et expliciter les intérêts en lutte, les tensions et les contra</w:t>
      </w:r>
      <w:r w:rsidRPr="005211E4">
        <w:t>s</w:t>
      </w:r>
      <w:r w:rsidRPr="005211E4">
        <w:t xml:space="preserve">tes latents dans la structure sociale existante, et ils obligent sujets </w:t>
      </w:r>
      <w:r w:rsidRPr="005211E4">
        <w:lastRenderedPageBreak/>
        <w:t>et citoyens à s’allier par-delà les lignes de clivages structurels, à se cons</w:t>
      </w:r>
      <w:r w:rsidRPr="005211E4">
        <w:t>a</w:t>
      </w:r>
      <w:r w:rsidRPr="005211E4">
        <w:t>crer en priorité à tel ou tel rôle actuel ou futur dans le système. Les partis ont une fonction d’expression ; ils développent une rhétor</w:t>
      </w:r>
      <w:r w:rsidRPr="005211E4">
        <w:t>i</w:t>
      </w:r>
      <w:r w:rsidRPr="005211E4">
        <w:t>que se</w:t>
      </w:r>
      <w:r w:rsidRPr="005211E4">
        <w:t>r</w:t>
      </w:r>
      <w:r w:rsidRPr="005211E4">
        <w:t>vant à traduire des contrastes existant dans la structure socio-culturelle en demandes et pressions. Mais ils ont également des fon</w:t>
      </w:r>
      <w:r w:rsidRPr="005211E4">
        <w:t>c</w:t>
      </w:r>
      <w:r w:rsidRPr="005211E4">
        <w:t>tions instrumentale et représentative : ils forcent les porte-parole des multiples intérêts à conclure des marchés, à échelonner les demandes et à « agréger » les pressions. Les petits partis peuvent se contenter de fonctions d’expression, mais aucun parti ne peut espérer conquérir une influence décisive sur les affaires d’une communauté sans une volonté évidente d’aller au-delà</w:t>
      </w:r>
      <w:r>
        <w:t xml:space="preserve"> </w:t>
      </w:r>
      <w:r w:rsidRPr="005211E4">
        <w:t>[201]</w:t>
      </w:r>
      <w:r>
        <w:t xml:space="preserve"> </w:t>
      </w:r>
      <w:r w:rsidRPr="005211E4">
        <w:t>des clivages existants pour établir des fronts communs avec des ennemis et des opposants virtuels. Ce fut vrai, au premier stade de la formation des partis autour des coteries ou clubs de notables et de parlementaires, mais le besoin de larges allia</w:t>
      </w:r>
      <w:r w:rsidRPr="005211E4">
        <w:t>n</w:t>
      </w:r>
      <w:r w:rsidRPr="005211E4">
        <w:t>ces devint encore plus prononcé avec l’extension des droits de suffr</w:t>
      </w:r>
      <w:r w:rsidRPr="005211E4">
        <w:t>a</w:t>
      </w:r>
      <w:r w:rsidRPr="005211E4">
        <w:t>ge à de nouvelles strates de citoyens. [...] La plupart des partis aspirent à une position major</w:t>
      </w:r>
      <w:r w:rsidRPr="005211E4">
        <w:t>i</w:t>
      </w:r>
      <w:r w:rsidRPr="005211E4">
        <w:t>taire dans les pays occidentaux ; ce sont des conglomérats de groupes d’opinions différentes sur un large éventail de problèmes, mais cepe</w:t>
      </w:r>
      <w:r w:rsidRPr="005211E4">
        <w:t>n</w:t>
      </w:r>
      <w:r w:rsidRPr="005211E4">
        <w:t>dant unis dans leur hostilité plus grande vis-à-vis de leurs concurrents des autres camps. Des conflits et des controverses peuvent naître d’une grande v</w:t>
      </w:r>
      <w:r w:rsidRPr="005211E4">
        <w:t>a</w:t>
      </w:r>
      <w:r w:rsidRPr="005211E4">
        <w:t>riété de relations dans la structure sociale, mais seuls quelques-uns d’entre eux tendent à pol</w:t>
      </w:r>
      <w:r w:rsidRPr="005211E4">
        <w:t>a</w:t>
      </w:r>
      <w:r w:rsidRPr="005211E4">
        <w:t>riser la politique d’un système donné. Il y a une hiérarchie des bases de clivage dans chaque système, et ces ordres de primauté politique non seulement varient selon les régimes, mais tendent encore à subir des changements au cours du temps. De telles différences, de tels changements dans le poids politique des clivages socio-culturels p</w:t>
      </w:r>
      <w:r w:rsidRPr="005211E4">
        <w:t>o</w:t>
      </w:r>
      <w:r w:rsidRPr="005211E4">
        <w:t>sent des problèmes fondamentaux pour la recherche comparative : à quel moment la région, le langage ou le fait ethnique ont-ils le plus de chances de provoquer la polaris</w:t>
      </w:r>
      <w:r w:rsidRPr="005211E4">
        <w:t>a</w:t>
      </w:r>
      <w:r w:rsidRPr="005211E4">
        <w:t>tion ? A quel moment la classe aura-t-elle la primauté et à quel m</w:t>
      </w:r>
      <w:r w:rsidRPr="005211E4">
        <w:t>o</w:t>
      </w:r>
      <w:r w:rsidRPr="005211E4">
        <w:t>ment les engagements confessionnels et les identités religieuses constitueront-ils également d’importantes b</w:t>
      </w:r>
      <w:r w:rsidRPr="005211E4">
        <w:t>a</w:t>
      </w:r>
      <w:r w:rsidRPr="005211E4">
        <w:t>ses de clivage ? Quels ensembles de circonstances ont le plus de cha</w:t>
      </w:r>
      <w:r w:rsidRPr="005211E4">
        <w:t>n</w:t>
      </w:r>
      <w:r w:rsidRPr="005211E4">
        <w:t>ce de favoriser des compromis entre de telles oppos</w:t>
      </w:r>
      <w:r w:rsidRPr="005211E4">
        <w:t>i</w:t>
      </w:r>
      <w:r w:rsidRPr="005211E4">
        <w:t>tions au sein des partis et dans quels cas sont-ils le plus susceptibles de créer des pr</w:t>
      </w:r>
      <w:r w:rsidRPr="005211E4">
        <w:t>o</w:t>
      </w:r>
      <w:r w:rsidRPr="005211E4">
        <w:t>blèmes entre les partis ? Quels types d’alliance ont tendance à accro</w:t>
      </w:r>
      <w:r w:rsidRPr="005211E4">
        <w:t>î</w:t>
      </w:r>
      <w:r w:rsidRPr="005211E4">
        <w:t>tre la tension qui s’exerce sur le système politique et quels sont ceux qui permettent de l’intégrer ? C’est à des questions de cet ordre que la sociologie polit</w:t>
      </w:r>
      <w:r w:rsidRPr="005211E4">
        <w:t>i</w:t>
      </w:r>
      <w:r w:rsidRPr="005211E4">
        <w:t xml:space="preserve">que comparée aura à répondre dans les années </w:t>
      </w:r>
      <w:r w:rsidRPr="005211E4">
        <w:lastRenderedPageBreak/>
        <w:t>à venir. Il n’y a pas pénurie d’hypothèses mais, jusqu’à présent, l’analyse a</w:t>
      </w:r>
      <w:r w:rsidRPr="005211E4">
        <w:t>p</w:t>
      </w:r>
      <w:r w:rsidRPr="005211E4">
        <w:t>profondie po</w:t>
      </w:r>
      <w:r w:rsidRPr="005211E4">
        <w:t>r</w:t>
      </w:r>
      <w:r w:rsidRPr="005211E4">
        <w:t>tant sur plusieurs systèmes a été à peine ébauchée.</w:t>
      </w:r>
    </w:p>
    <w:p w:rsidR="009F7C50" w:rsidRPr="005211E4" w:rsidRDefault="009F7C50" w:rsidP="009F7C50">
      <w:pPr>
        <w:spacing w:before="120" w:after="120"/>
        <w:jc w:val="both"/>
      </w:pPr>
      <w:r w:rsidRPr="005211E4">
        <w:t>[202]</w:t>
      </w:r>
    </w:p>
    <w:p w:rsidR="009F7C50" w:rsidRPr="005211E4" w:rsidRDefault="009F7C50" w:rsidP="009F7C50">
      <w:pPr>
        <w:spacing w:before="120" w:after="120"/>
        <w:jc w:val="both"/>
      </w:pPr>
      <w:r w:rsidRPr="005211E4">
        <w:t>On a souvent suggéré qu’une tension beaucoup plus lourde s’exercerait sur les systèmes où les principales lignes de clivage port</w:t>
      </w:r>
      <w:r w:rsidRPr="005211E4">
        <w:t>e</w:t>
      </w:r>
      <w:r w:rsidRPr="005211E4">
        <w:t>raient sur la morale et la nature de la destinée humaine, plutôt que sur des sujets aussi communs et susceptibles de négociation que les prix des marchandises, les droits du débiteur et du créancier, les salaires et les profits, et la propriété des biens. Toutefois ceci ne nous mène pas très loin ; ce que nous désirons savoir, c’est le moment où l’un des t</w:t>
      </w:r>
      <w:r w:rsidRPr="005211E4">
        <w:t>y</w:t>
      </w:r>
      <w:r w:rsidRPr="005211E4">
        <w:t>pes de clivage s’avérera plus marquant que l’autre, le type d’alliance qu’ils ont suscité, et les conséquences que ces constellations de forces ont eues dans la formation d’un consensus au sein de l’État-nation. Nous pa</w:t>
      </w:r>
      <w:r w:rsidRPr="005211E4">
        <w:t>r</w:t>
      </w:r>
      <w:r w:rsidRPr="005211E4">
        <w:t>tirons des diverses sources logiquement possibles de tensions et d’oppositions dans les structures sociales, et nous procéderons e</w:t>
      </w:r>
      <w:r w:rsidRPr="005211E4">
        <w:t>n</w:t>
      </w:r>
      <w:r w:rsidRPr="005211E4">
        <w:t xml:space="preserve">suite à un </w:t>
      </w:r>
      <w:r w:rsidRPr="005211E4">
        <w:rPr>
          <w:rFonts w:eastAsia="Courier New"/>
          <w:i/>
        </w:rPr>
        <w:t>inventaire des exemples concrets d’expression politique de chaque ensemble de conflits</w:t>
      </w:r>
      <w:r w:rsidRPr="005211E4">
        <w:rPr>
          <w:rFonts w:eastAsia="Courier New"/>
        </w:rPr>
        <w:t>.</w:t>
      </w:r>
      <w:r w:rsidRPr="005211E4">
        <w:t xml:space="preserve"> C’est moins un schéma d’analyse e</w:t>
      </w:r>
      <w:r w:rsidRPr="005211E4">
        <w:t>x</w:t>
      </w:r>
      <w:r w:rsidRPr="005211E4">
        <w:t>haustif qu’une orientation de recherche que nous avons tenté d’esquisser.</w:t>
      </w:r>
    </w:p>
    <w:p w:rsidR="009F7C50" w:rsidRPr="005211E4" w:rsidRDefault="009F7C50" w:rsidP="009F7C50">
      <w:pPr>
        <w:spacing w:before="120" w:after="120"/>
        <w:jc w:val="both"/>
      </w:pPr>
    </w:p>
    <w:p w:rsidR="009F7C50" w:rsidRPr="005211E4" w:rsidRDefault="009F7C50" w:rsidP="009F7C50">
      <w:pPr>
        <w:pStyle w:val="a"/>
      </w:pPr>
      <w:r w:rsidRPr="005211E4">
        <w:t>Plans de clivage :</w:t>
      </w:r>
      <w:r>
        <w:br/>
      </w:r>
      <w:r w:rsidRPr="005211E4">
        <w:t>un modèle possible</w:t>
      </w:r>
    </w:p>
    <w:p w:rsidR="009F7C50" w:rsidRPr="005211E4" w:rsidRDefault="009F7C50" w:rsidP="009F7C50">
      <w:pPr>
        <w:spacing w:before="120" w:after="120"/>
        <w:jc w:val="both"/>
      </w:pPr>
    </w:p>
    <w:p w:rsidR="009F7C50" w:rsidRPr="005211E4" w:rsidRDefault="009F7C50" w:rsidP="009F7C50">
      <w:pPr>
        <w:spacing w:before="120" w:after="120"/>
        <w:jc w:val="both"/>
      </w:pPr>
      <w:r w:rsidRPr="005211E4">
        <w:t>Le schéma à quatre volets de classification des fonctions d’un sy</w:t>
      </w:r>
      <w:r w:rsidRPr="005211E4">
        <w:t>s</w:t>
      </w:r>
      <w:r w:rsidRPr="005211E4">
        <w:t>tème social, imaginé par Talcott Parsons, fournit un point de départ commode pour inventorier les bases de clivage possibles.</w:t>
      </w:r>
    </w:p>
    <w:p w:rsidR="009F7C50" w:rsidRPr="005211E4" w:rsidRDefault="009F7C50" w:rsidP="009F7C50">
      <w:pPr>
        <w:spacing w:before="120" w:after="120"/>
        <w:jc w:val="both"/>
      </w:pPr>
      <w:r w:rsidRPr="005211E4">
        <w:t xml:space="preserve">Ce schéma a été développé à l’origine dans les </w:t>
      </w:r>
      <w:r w:rsidRPr="005211E4">
        <w:rPr>
          <w:rFonts w:eastAsia="Courier New"/>
          <w:i/>
        </w:rPr>
        <w:t>Working Papers in the Theory of Action</w:t>
      </w:r>
      <w:r w:rsidRPr="005211E4">
        <w:rPr>
          <w:rFonts w:eastAsia="Courier New"/>
        </w:rPr>
        <w:t> </w:t>
      </w:r>
      <w:r w:rsidRPr="005211E4">
        <w:rPr>
          <w:rStyle w:val="Appelnotedebasdep"/>
          <w:rFonts w:eastAsia="Courier New"/>
        </w:rPr>
        <w:footnoteReference w:id="9"/>
      </w:r>
      <w:r w:rsidRPr="005211E4">
        <w:t xml:space="preserve"> et a été tiré d’un crois</w:t>
      </w:r>
      <w:r w:rsidRPr="005211E4">
        <w:t>e</w:t>
      </w:r>
      <w:r w:rsidRPr="005211E4">
        <w:t>ment</w:t>
      </w:r>
      <w:r>
        <w:t xml:space="preserve"> </w:t>
      </w:r>
      <w:r w:rsidRPr="005211E4">
        <w:t>[203]</w:t>
      </w:r>
      <w:r>
        <w:t xml:space="preserve"> </w:t>
      </w:r>
      <w:r w:rsidRPr="005211E4">
        <w:t xml:space="preserve">des quatre </w:t>
      </w:r>
      <w:r w:rsidRPr="005211E4">
        <w:lastRenderedPageBreak/>
        <w:t>dilemmes fondamentaux d’orientation inhérents aux r</w:t>
      </w:r>
      <w:r w:rsidRPr="005211E4">
        <w:t>ô</w:t>
      </w:r>
      <w:r w:rsidRPr="005211E4">
        <w:t>les joués par les acteurs des syst</w:t>
      </w:r>
      <w:r w:rsidRPr="005211E4">
        <w:t>è</w:t>
      </w:r>
      <w:r w:rsidRPr="005211E4">
        <w:t>mes sociaux.</w:t>
      </w:r>
    </w:p>
    <w:p w:rsidR="009F7C50" w:rsidRPr="005211E4" w:rsidRDefault="009F7C50" w:rsidP="009F7C50">
      <w:pPr>
        <w:spacing w:before="120" w:after="120"/>
        <w:jc w:val="both"/>
      </w:pPr>
    </w:p>
    <w:p w:rsidR="009F7C50" w:rsidRPr="005211E4" w:rsidRDefault="009F7C50" w:rsidP="009F7C50">
      <w:pPr>
        <w:pStyle w:val="figst"/>
      </w:pPr>
      <w:r w:rsidRPr="005211E4">
        <w:t>Tableau 1</w:t>
      </w:r>
    </w:p>
    <w:tbl>
      <w:tblPr>
        <w:tblOverlap w:val="never"/>
        <w:tblW w:w="0" w:type="auto"/>
        <w:tblLayout w:type="fixed"/>
        <w:tblCellMar>
          <w:left w:w="10" w:type="dxa"/>
          <w:right w:w="10" w:type="dxa"/>
        </w:tblCellMar>
        <w:tblLook w:val="04A0" w:firstRow="1" w:lastRow="0" w:firstColumn="1" w:lastColumn="0" w:noHBand="0" w:noVBand="1"/>
      </w:tblPr>
      <w:tblGrid>
        <w:gridCol w:w="2643"/>
        <w:gridCol w:w="2643"/>
        <w:gridCol w:w="2644"/>
      </w:tblGrid>
      <w:tr w:rsidR="009F7C50" w:rsidRPr="005211E4">
        <w:tblPrEx>
          <w:tblCellMar>
            <w:top w:w="0" w:type="dxa"/>
            <w:bottom w:w="0" w:type="dxa"/>
          </w:tblCellMar>
        </w:tblPrEx>
        <w:tc>
          <w:tcPr>
            <w:tcW w:w="2643" w:type="dxa"/>
            <w:tcBorders>
              <w:top w:val="single" w:sz="4" w:space="0" w:color="auto"/>
              <w:left w:val="single" w:sz="4" w:space="0" w:color="auto"/>
            </w:tcBorders>
            <w:shd w:val="clear" w:color="auto" w:fill="EEECE1"/>
            <w:vAlign w:val="center"/>
          </w:tcPr>
          <w:p w:rsidR="009F7C50" w:rsidRPr="005211E4" w:rsidRDefault="009F7C50" w:rsidP="009F7C50">
            <w:pPr>
              <w:spacing w:before="120" w:after="120"/>
              <w:ind w:left="90" w:right="103" w:firstLine="0"/>
              <w:jc w:val="center"/>
              <w:rPr>
                <w:sz w:val="24"/>
              </w:rPr>
            </w:pPr>
            <w:r w:rsidRPr="005211E4">
              <w:rPr>
                <w:rStyle w:val="Corpsdutexte2Arial75pt"/>
                <w:rFonts w:ascii="Times New Roman" w:hAnsi="Times New Roman"/>
                <w:sz w:val="24"/>
                <w:lang w:val="fr-CA"/>
              </w:rPr>
              <w:t>Classification des objets inclus dans une situ</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tion</w:t>
            </w:r>
          </w:p>
        </w:tc>
        <w:tc>
          <w:tcPr>
            <w:tcW w:w="2643" w:type="dxa"/>
            <w:tcBorders>
              <w:top w:val="single" w:sz="4" w:space="0" w:color="auto"/>
              <w:left w:val="single" w:sz="4" w:space="0" w:color="auto"/>
            </w:tcBorders>
            <w:shd w:val="clear" w:color="auto" w:fill="EEECE1"/>
            <w:vAlign w:val="center"/>
          </w:tcPr>
          <w:p w:rsidR="009F7C50" w:rsidRPr="005211E4" w:rsidRDefault="009F7C50" w:rsidP="009F7C50">
            <w:pPr>
              <w:spacing w:before="120" w:after="120"/>
              <w:ind w:left="90" w:right="103" w:firstLine="0"/>
              <w:jc w:val="center"/>
              <w:rPr>
                <w:sz w:val="24"/>
              </w:rPr>
            </w:pPr>
            <w:r w:rsidRPr="005211E4">
              <w:rPr>
                <w:rStyle w:val="Corpsdutexte2Arial75pt"/>
                <w:rFonts w:ascii="Times New Roman" w:hAnsi="Times New Roman"/>
                <w:sz w:val="24"/>
                <w:lang w:val="fr-CA"/>
              </w:rPr>
              <w:t>Attitudes envers les o</w:t>
            </w:r>
            <w:r w:rsidRPr="005211E4">
              <w:rPr>
                <w:rStyle w:val="Corpsdutexte2Arial75pt"/>
                <w:rFonts w:ascii="Times New Roman" w:hAnsi="Times New Roman"/>
                <w:sz w:val="24"/>
                <w:lang w:val="fr-CA"/>
              </w:rPr>
              <w:t>b</w:t>
            </w:r>
            <w:r w:rsidRPr="005211E4">
              <w:rPr>
                <w:rStyle w:val="Corpsdutexte2Arial75pt"/>
                <w:rFonts w:ascii="Times New Roman" w:hAnsi="Times New Roman"/>
                <w:sz w:val="24"/>
                <w:lang w:val="fr-CA"/>
              </w:rPr>
              <w:t>jets</w:t>
            </w:r>
          </w:p>
        </w:tc>
        <w:tc>
          <w:tcPr>
            <w:tcW w:w="2644" w:type="dxa"/>
            <w:tcBorders>
              <w:top w:val="single" w:sz="4" w:space="0" w:color="auto"/>
              <w:left w:val="single" w:sz="4" w:space="0" w:color="auto"/>
              <w:right w:val="single" w:sz="4" w:space="0" w:color="auto"/>
            </w:tcBorders>
            <w:shd w:val="clear" w:color="auto" w:fill="EEECE1"/>
            <w:vAlign w:val="center"/>
          </w:tcPr>
          <w:p w:rsidR="009F7C50" w:rsidRPr="005211E4" w:rsidRDefault="009F7C50" w:rsidP="009F7C50">
            <w:pPr>
              <w:spacing w:before="120" w:after="120"/>
              <w:ind w:left="90" w:right="103" w:firstLine="0"/>
              <w:jc w:val="center"/>
              <w:rPr>
                <w:sz w:val="24"/>
              </w:rPr>
            </w:pPr>
            <w:r w:rsidRPr="005211E4">
              <w:rPr>
                <w:rStyle w:val="Corpsdutexte2Arial75pt"/>
                <w:rFonts w:ascii="Times New Roman" w:hAnsi="Times New Roman"/>
                <w:sz w:val="24"/>
                <w:lang w:val="fr-CA"/>
              </w:rPr>
              <w:t>Fonctions corresponda</w:t>
            </w:r>
            <w:r w:rsidRPr="005211E4">
              <w:rPr>
                <w:rStyle w:val="Corpsdutexte2Arial75pt"/>
                <w:rFonts w:ascii="Times New Roman" w:hAnsi="Times New Roman"/>
                <w:sz w:val="24"/>
                <w:lang w:val="fr-CA"/>
              </w:rPr>
              <w:t>n</w:t>
            </w:r>
            <w:r w:rsidRPr="005211E4">
              <w:rPr>
                <w:rStyle w:val="Corpsdutexte2Arial75pt"/>
                <w:rFonts w:ascii="Times New Roman" w:hAnsi="Times New Roman"/>
                <w:sz w:val="24"/>
                <w:lang w:val="fr-CA"/>
              </w:rPr>
              <w:t>tes dans le sy</w:t>
            </w:r>
            <w:r w:rsidRPr="005211E4">
              <w:rPr>
                <w:rStyle w:val="Corpsdutexte2Arial75pt"/>
                <w:rFonts w:ascii="Times New Roman" w:hAnsi="Times New Roman"/>
                <w:sz w:val="24"/>
                <w:lang w:val="fr-CA"/>
              </w:rPr>
              <w:t>s</w:t>
            </w:r>
            <w:r w:rsidRPr="005211E4">
              <w:rPr>
                <w:rStyle w:val="Corpsdutexte2Arial75pt"/>
                <w:rFonts w:ascii="Times New Roman" w:hAnsi="Times New Roman"/>
                <w:sz w:val="24"/>
                <w:lang w:val="fr-CA"/>
              </w:rPr>
              <w:t>tème</w:t>
            </w:r>
          </w:p>
        </w:tc>
      </w:tr>
      <w:tr w:rsidR="009F7C50" w:rsidRPr="005211E4">
        <w:tblPrEx>
          <w:tblCellMar>
            <w:top w:w="0" w:type="dxa"/>
            <w:bottom w:w="0" w:type="dxa"/>
          </w:tblCellMar>
        </w:tblPrEx>
        <w:tc>
          <w:tcPr>
            <w:tcW w:w="2643" w:type="dxa"/>
            <w:tcBorders>
              <w:top w:val="single" w:sz="4" w:space="0" w:color="auto"/>
              <w:left w:val="single" w:sz="4" w:space="0" w:color="auto"/>
              <w:bottom w:val="single" w:sz="4" w:space="0" w:color="auto"/>
            </w:tcBorders>
            <w:shd w:val="clear" w:color="auto" w:fill="FFFFFF"/>
          </w:tcPr>
          <w:p w:rsidR="009F7C50" w:rsidRPr="005211E4" w:rsidRDefault="009F7C50" w:rsidP="009F7C50">
            <w:pPr>
              <w:spacing w:before="120" w:after="120"/>
              <w:ind w:left="90" w:right="103" w:firstLine="0"/>
              <w:rPr>
                <w:sz w:val="24"/>
              </w:rPr>
            </w:pPr>
            <w:r w:rsidRPr="005211E4">
              <w:rPr>
                <w:rStyle w:val="Corpsdutexte2Arial75pt"/>
                <w:rFonts w:ascii="Times New Roman" w:hAnsi="Times New Roman"/>
                <w:sz w:val="24"/>
                <w:lang w:val="fr-CA"/>
              </w:rPr>
              <w:t>I. Univers</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lisme</w:t>
            </w:r>
          </w:p>
          <w:p w:rsidR="009F7C50" w:rsidRPr="005211E4" w:rsidRDefault="009F7C50" w:rsidP="009F7C50">
            <w:pPr>
              <w:spacing w:before="120" w:after="120"/>
              <w:ind w:left="360" w:right="103" w:firstLine="0"/>
              <w:rPr>
                <w:sz w:val="24"/>
              </w:rPr>
            </w:pPr>
            <w:r w:rsidRPr="005211E4">
              <w:rPr>
                <w:rStyle w:val="Corpsdutexte2Arial75pt"/>
                <w:rFonts w:ascii="Times New Roman" w:hAnsi="Times New Roman"/>
                <w:sz w:val="24"/>
                <w:lang w:val="fr-CA"/>
              </w:rPr>
              <w:t>- Particulari</w:t>
            </w:r>
            <w:r w:rsidRPr="005211E4">
              <w:rPr>
                <w:rStyle w:val="Corpsdutexte2Arial75pt"/>
                <w:rFonts w:ascii="Times New Roman" w:hAnsi="Times New Roman"/>
                <w:sz w:val="24"/>
                <w:lang w:val="fr-CA"/>
              </w:rPr>
              <w:t>s</w:t>
            </w:r>
            <w:r w:rsidRPr="005211E4">
              <w:rPr>
                <w:rStyle w:val="Corpsdutexte2Arial75pt"/>
                <w:rFonts w:ascii="Times New Roman" w:hAnsi="Times New Roman"/>
                <w:sz w:val="24"/>
                <w:lang w:val="fr-CA"/>
              </w:rPr>
              <w:t>me</w:t>
            </w:r>
          </w:p>
          <w:p w:rsidR="009F7C50" w:rsidRPr="005211E4" w:rsidRDefault="009F7C50" w:rsidP="009F7C50">
            <w:pPr>
              <w:spacing w:before="120" w:after="120"/>
              <w:ind w:left="90" w:right="103" w:firstLine="0"/>
              <w:rPr>
                <w:sz w:val="24"/>
              </w:rPr>
            </w:pPr>
            <w:r w:rsidRPr="005211E4">
              <w:rPr>
                <w:rStyle w:val="Corpsdutexte2Arial75pt"/>
                <w:rFonts w:ascii="Times New Roman" w:hAnsi="Times New Roman"/>
                <w:sz w:val="24"/>
                <w:lang w:val="fr-CA"/>
              </w:rPr>
              <w:t>II. Accompli</w:t>
            </w:r>
            <w:r w:rsidRPr="005211E4">
              <w:rPr>
                <w:rStyle w:val="Corpsdutexte2Arial75pt"/>
                <w:rFonts w:ascii="Times New Roman" w:hAnsi="Times New Roman"/>
                <w:sz w:val="24"/>
                <w:lang w:val="fr-CA"/>
              </w:rPr>
              <w:t>s</w:t>
            </w:r>
            <w:r w:rsidRPr="005211E4">
              <w:rPr>
                <w:rStyle w:val="Corpsdutexte2Arial75pt"/>
                <w:rFonts w:ascii="Times New Roman" w:hAnsi="Times New Roman"/>
                <w:sz w:val="24"/>
                <w:lang w:val="fr-CA"/>
              </w:rPr>
              <w:t>sement</w:t>
            </w:r>
          </w:p>
          <w:p w:rsidR="009F7C50" w:rsidRPr="005211E4" w:rsidRDefault="009F7C50" w:rsidP="009F7C50">
            <w:pPr>
              <w:spacing w:before="120" w:after="120"/>
              <w:ind w:left="360" w:right="103" w:firstLine="0"/>
              <w:rPr>
                <w:sz w:val="24"/>
              </w:rPr>
            </w:pPr>
            <w:r w:rsidRPr="005211E4">
              <w:rPr>
                <w:rStyle w:val="Corpsdutexte2Arial75pt"/>
                <w:rFonts w:ascii="Times New Roman" w:hAnsi="Times New Roman"/>
                <w:sz w:val="24"/>
                <w:lang w:val="fr-CA"/>
              </w:rPr>
              <w:t>- Qualité</w:t>
            </w:r>
          </w:p>
        </w:tc>
        <w:tc>
          <w:tcPr>
            <w:tcW w:w="2643" w:type="dxa"/>
            <w:tcBorders>
              <w:top w:val="single" w:sz="4" w:space="0" w:color="auto"/>
              <w:left w:val="single" w:sz="4" w:space="0" w:color="auto"/>
              <w:bottom w:val="single" w:sz="4" w:space="0" w:color="auto"/>
            </w:tcBorders>
            <w:shd w:val="clear" w:color="auto" w:fill="FFFFFF"/>
            <w:vAlign w:val="center"/>
          </w:tcPr>
          <w:p w:rsidR="009F7C50" w:rsidRPr="005211E4" w:rsidRDefault="009F7C50" w:rsidP="009F7C50">
            <w:pPr>
              <w:spacing w:before="120" w:after="120"/>
              <w:ind w:left="90" w:right="103" w:firstLine="0"/>
              <w:rPr>
                <w:sz w:val="24"/>
              </w:rPr>
            </w:pPr>
            <w:r w:rsidRPr="005211E4">
              <w:rPr>
                <w:rStyle w:val="Corpsdutexte2Arial75pt"/>
                <w:rFonts w:ascii="Times New Roman" w:hAnsi="Times New Roman"/>
                <w:sz w:val="24"/>
                <w:lang w:val="fr-CA"/>
              </w:rPr>
              <w:t>III. Spécific</w:t>
            </w:r>
            <w:r w:rsidRPr="005211E4">
              <w:rPr>
                <w:rStyle w:val="Corpsdutexte2Arial75pt"/>
                <w:rFonts w:ascii="Times New Roman" w:hAnsi="Times New Roman"/>
                <w:sz w:val="24"/>
                <w:lang w:val="fr-CA"/>
              </w:rPr>
              <w:t>i</w:t>
            </w:r>
            <w:r w:rsidRPr="005211E4">
              <w:rPr>
                <w:rStyle w:val="Corpsdutexte2Arial75pt"/>
                <w:rFonts w:ascii="Times New Roman" w:hAnsi="Times New Roman"/>
                <w:sz w:val="24"/>
                <w:lang w:val="fr-CA"/>
              </w:rPr>
              <w:t>té</w:t>
            </w:r>
          </w:p>
          <w:p w:rsidR="009F7C50" w:rsidRPr="005211E4" w:rsidRDefault="009F7C50" w:rsidP="009F7C50">
            <w:pPr>
              <w:spacing w:before="120" w:after="120"/>
              <w:ind w:left="360" w:right="103" w:firstLine="0"/>
              <w:rPr>
                <w:sz w:val="24"/>
              </w:rPr>
            </w:pPr>
            <w:r w:rsidRPr="005211E4">
              <w:rPr>
                <w:rStyle w:val="Corpsdutexte2Arial75pt"/>
                <w:rFonts w:ascii="Times New Roman" w:hAnsi="Times New Roman"/>
                <w:sz w:val="24"/>
                <w:lang w:val="fr-CA"/>
              </w:rPr>
              <w:t>- Diffusion</w:t>
            </w:r>
          </w:p>
          <w:p w:rsidR="009F7C50" w:rsidRPr="005211E4" w:rsidRDefault="009F7C50" w:rsidP="009F7C50">
            <w:pPr>
              <w:spacing w:before="120" w:after="120"/>
              <w:ind w:left="90" w:right="103" w:firstLine="0"/>
              <w:rPr>
                <w:sz w:val="24"/>
              </w:rPr>
            </w:pPr>
            <w:r w:rsidRPr="005211E4">
              <w:rPr>
                <w:rStyle w:val="Corpsdutexte2Arial75pt"/>
                <w:rFonts w:ascii="Times New Roman" w:hAnsi="Times New Roman"/>
                <w:sz w:val="24"/>
                <w:lang w:val="fr-CA"/>
              </w:rPr>
              <w:t>IV. Affectiv</w:t>
            </w:r>
            <w:r w:rsidRPr="005211E4">
              <w:rPr>
                <w:rStyle w:val="Corpsdutexte2Arial75pt"/>
                <w:rFonts w:ascii="Times New Roman" w:hAnsi="Times New Roman"/>
                <w:sz w:val="24"/>
                <w:lang w:val="fr-CA"/>
              </w:rPr>
              <w:t>i</w:t>
            </w:r>
            <w:r w:rsidRPr="005211E4">
              <w:rPr>
                <w:rStyle w:val="Corpsdutexte2Arial75pt"/>
                <w:rFonts w:ascii="Times New Roman" w:hAnsi="Times New Roman"/>
                <w:sz w:val="24"/>
                <w:lang w:val="fr-CA"/>
              </w:rPr>
              <w:t>té</w:t>
            </w:r>
          </w:p>
          <w:p w:rsidR="009F7C50" w:rsidRPr="005211E4" w:rsidRDefault="009F7C50" w:rsidP="009F7C50">
            <w:pPr>
              <w:spacing w:before="120" w:after="120"/>
              <w:ind w:left="360" w:right="103" w:firstLine="0"/>
              <w:rPr>
                <w:sz w:val="24"/>
              </w:rPr>
            </w:pPr>
            <w:r w:rsidRPr="005211E4">
              <w:rPr>
                <w:rStyle w:val="Corpsdutexte2Arial75pt"/>
                <w:rFonts w:ascii="Times New Roman" w:hAnsi="Times New Roman"/>
                <w:sz w:val="24"/>
                <w:lang w:val="fr-CA"/>
              </w:rPr>
              <w:t>- Neutralité affe</w:t>
            </w:r>
            <w:r w:rsidRPr="005211E4">
              <w:rPr>
                <w:rStyle w:val="Corpsdutexte2Arial75pt"/>
                <w:rFonts w:ascii="Times New Roman" w:hAnsi="Times New Roman"/>
                <w:sz w:val="24"/>
                <w:lang w:val="fr-CA"/>
              </w:rPr>
              <w:t>c</w:t>
            </w:r>
            <w:r w:rsidRPr="005211E4">
              <w:rPr>
                <w:rStyle w:val="Corpsdutexte2Arial75pt"/>
                <w:rFonts w:ascii="Times New Roman" w:hAnsi="Times New Roman"/>
                <w:sz w:val="24"/>
                <w:lang w:val="fr-CA"/>
              </w:rPr>
              <w:t>tive</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9F7C50" w:rsidRPr="005211E4" w:rsidRDefault="009F7C50" w:rsidP="009F7C50">
            <w:pPr>
              <w:spacing w:before="120" w:after="120"/>
              <w:ind w:left="90" w:right="103" w:firstLine="0"/>
              <w:rPr>
                <w:sz w:val="24"/>
              </w:rPr>
            </w:pPr>
            <w:r w:rsidRPr="005211E4">
              <w:rPr>
                <w:rStyle w:val="Corpsdutexte2Arial75pt"/>
                <w:rFonts w:ascii="Times New Roman" w:hAnsi="Times New Roman"/>
                <w:sz w:val="24"/>
                <w:lang w:val="fr-CA"/>
              </w:rPr>
              <w:t>Adaptation Intégr</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tion Réalisation des fins L</w:t>
            </w:r>
            <w:r w:rsidRPr="005211E4">
              <w:rPr>
                <w:rStyle w:val="Corpsdutexte2Arial75pt"/>
                <w:rFonts w:ascii="Times New Roman" w:hAnsi="Times New Roman"/>
                <w:sz w:val="24"/>
                <w:lang w:val="fr-CA"/>
              </w:rPr>
              <w:t>a</w:t>
            </w:r>
            <w:r w:rsidRPr="005211E4">
              <w:rPr>
                <w:rStyle w:val="Corpsdutexte2Arial75pt"/>
                <w:rFonts w:ascii="Times New Roman" w:hAnsi="Times New Roman"/>
                <w:sz w:val="24"/>
                <w:lang w:val="fr-CA"/>
              </w:rPr>
              <w:t>tence : maintien des m</w:t>
            </w:r>
            <w:r w:rsidRPr="005211E4">
              <w:rPr>
                <w:rStyle w:val="Corpsdutexte2Arial75pt"/>
                <w:rFonts w:ascii="Times New Roman" w:hAnsi="Times New Roman"/>
                <w:sz w:val="24"/>
                <w:lang w:val="fr-CA"/>
              </w:rPr>
              <w:t>o</w:t>
            </w:r>
            <w:r w:rsidRPr="005211E4">
              <w:rPr>
                <w:rStyle w:val="Corpsdutexte2Arial75pt"/>
                <w:rFonts w:ascii="Times New Roman" w:hAnsi="Times New Roman"/>
                <w:sz w:val="24"/>
                <w:lang w:val="fr-CA"/>
              </w:rPr>
              <w:t>dèles et l</w:t>
            </w:r>
            <w:r w:rsidRPr="005211E4">
              <w:rPr>
                <w:rStyle w:val="Corpsdutexte2Arial75pt"/>
                <w:rFonts w:ascii="Times New Roman" w:hAnsi="Times New Roman"/>
                <w:sz w:val="24"/>
                <w:lang w:val="fr-CA"/>
              </w:rPr>
              <w:t>i</w:t>
            </w:r>
            <w:r w:rsidRPr="005211E4">
              <w:rPr>
                <w:rStyle w:val="Corpsdutexte2Arial75pt"/>
                <w:rFonts w:ascii="Times New Roman" w:hAnsi="Times New Roman"/>
                <w:sz w:val="24"/>
                <w:lang w:val="fr-CA"/>
              </w:rPr>
              <w:t>bération des tensions</w:t>
            </w:r>
          </w:p>
        </w:tc>
      </w:tr>
    </w:tbl>
    <w:p w:rsidR="009F7C50" w:rsidRPr="005211E4" w:rsidRDefault="009F7C50" w:rsidP="009F7C50">
      <w:pPr>
        <w:spacing w:before="120" w:after="120"/>
        <w:jc w:val="both"/>
        <w:rPr>
          <w:szCs w:val="2"/>
        </w:rPr>
      </w:pPr>
    </w:p>
    <w:p w:rsidR="009F7C50" w:rsidRPr="005211E4" w:rsidRDefault="009F7C50" w:rsidP="009F7C50">
      <w:pPr>
        <w:spacing w:before="120" w:after="120"/>
        <w:jc w:val="both"/>
      </w:pPr>
      <w:r w:rsidRPr="005211E4">
        <w:t>On en est venu à se servir de ce schéma abstrait comme paradigme fondamental dans une série de tentatives successives pour tracer un plan des courants et des moyens d’échange entre les acteurs et les co</w:t>
      </w:r>
      <w:r w:rsidRPr="005211E4">
        <w:t>l</w:t>
      </w:r>
      <w:r w:rsidRPr="005211E4">
        <w:t>lectivités à l’intérieur de systèmes sociaux ou à l’intérieur de sociétés territoriales globales. Le paradigme distinguait quatre « sous-systèmes fonctionnels » et six types de relations d’échange dans chaque société.</w:t>
      </w:r>
    </w:p>
    <w:p w:rsidR="009F7C50" w:rsidRPr="005211E4" w:rsidRDefault="009F7C50" w:rsidP="009F7C50">
      <w:pPr>
        <w:spacing w:before="120" w:after="120"/>
        <w:jc w:val="both"/>
      </w:pPr>
      <w:r w:rsidRPr="005211E4">
        <w:t>Trois de ces ensembles de relations d’échange intéressent le sp</w:t>
      </w:r>
      <w:r w:rsidRPr="005211E4">
        <w:t>é</w:t>
      </w:r>
      <w:r w:rsidRPr="005211E4">
        <w:t>cialiste de sociologie politique au plus, haut point : Il souhaite savoir comment les collectivités solidaires, les communautés latentes d’intérêts et de vues, et les associations</w:t>
      </w:r>
    </w:p>
    <w:p w:rsidR="009F7C50" w:rsidRPr="005211E4" w:rsidRDefault="009F7C50" w:rsidP="009F7C50">
      <w:pPr>
        <w:pStyle w:val="p"/>
      </w:pPr>
      <w:r w:rsidRPr="005211E4">
        <w:br w:type="page"/>
      </w:r>
      <w:r w:rsidRPr="005211E4">
        <w:lastRenderedPageBreak/>
        <w:t>[204]</w:t>
      </w:r>
    </w:p>
    <w:p w:rsidR="009F7C50" w:rsidRPr="005211E4" w:rsidRDefault="009F7C50" w:rsidP="009F7C50">
      <w:pPr>
        <w:pStyle w:val="figst"/>
      </w:pPr>
      <w:r w:rsidRPr="005211E4">
        <w:t>Tableau 2</w:t>
      </w:r>
      <w:r w:rsidRPr="005211E4">
        <w:br/>
        <w:t>Le paradigme parsonien des relations d’échange</w:t>
      </w:r>
      <w:r w:rsidRPr="005211E4">
        <w:br/>
        <w:t>dans la société globale</w:t>
      </w:r>
    </w:p>
    <w:p w:rsidR="009F7C50" w:rsidRPr="005211E4" w:rsidRDefault="00BD4053" w:rsidP="009F7C50">
      <w:pPr>
        <w:pStyle w:val="fig"/>
      </w:pPr>
      <w:r>
        <w:rPr>
          <w:noProof/>
        </w:rPr>
        <w:drawing>
          <wp:inline distT="0" distB="0" distL="0" distR="0">
            <wp:extent cx="5181600" cy="6540500"/>
            <wp:effectExtent l="0" t="0" r="0" b="0"/>
            <wp:docPr id="6" name="Image 6" descr="fig_p_204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204_st_50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6540500"/>
                    </a:xfrm>
                    <a:prstGeom prst="rect">
                      <a:avLst/>
                    </a:prstGeom>
                    <a:noFill/>
                    <a:ln>
                      <a:noFill/>
                    </a:ln>
                  </pic:spPr>
                </pic:pic>
              </a:graphicData>
            </a:graphic>
          </wp:inline>
        </w:drawing>
      </w:r>
    </w:p>
    <w:p w:rsidR="009F7C50" w:rsidRPr="005211E4" w:rsidRDefault="009F7C50" w:rsidP="009F7C50">
      <w:pPr>
        <w:spacing w:before="120" w:after="120"/>
        <w:ind w:firstLine="0"/>
        <w:jc w:val="both"/>
      </w:pPr>
      <w:r w:rsidRPr="005211E4">
        <w:br w:type="page"/>
      </w:r>
      <w:r w:rsidRPr="005211E4">
        <w:lastRenderedPageBreak/>
        <w:t>[205]</w:t>
      </w:r>
    </w:p>
    <w:p w:rsidR="009F7C50" w:rsidRPr="005211E4" w:rsidRDefault="009F7C50" w:rsidP="009F7C50">
      <w:pPr>
        <w:spacing w:before="120" w:after="120"/>
        <w:ind w:firstLine="0"/>
        <w:jc w:val="both"/>
      </w:pPr>
      <w:r w:rsidRPr="005211E4">
        <w:t>et mouvements manife</w:t>
      </w:r>
      <w:r w:rsidRPr="005211E4">
        <w:t>s</w:t>
      </w:r>
      <w:r w:rsidRPr="005211E4">
        <w:t>tés au sein d’une société territoriale donnée limitent les options et influent sur les décisions des leaders du gouve</w:t>
      </w:r>
      <w:r w:rsidRPr="005211E4">
        <w:t>r</w:t>
      </w:r>
      <w:r w:rsidRPr="005211E4">
        <w:t>nement et leurs agents d’exécution — ce sont tous les processus de relation d’échange exi</w:t>
      </w:r>
      <w:r w:rsidRPr="005211E4">
        <w:t>s</w:t>
      </w:r>
      <w:r w:rsidRPr="005211E4">
        <w:t>tant entre les sous-systèmes I et G </w:t>
      </w:r>
      <w:r w:rsidRPr="005211E4">
        <w:rPr>
          <w:rStyle w:val="Appelnotedebasdep"/>
        </w:rPr>
        <w:footnoteReference w:id="10"/>
      </w:r>
      <w:r w:rsidRPr="005211E4">
        <w:t>.</w:t>
      </w:r>
    </w:p>
    <w:p w:rsidR="009F7C50" w:rsidRPr="005211E4" w:rsidRDefault="009F7C50" w:rsidP="009F7C50">
      <w:pPr>
        <w:spacing w:before="120" w:after="120"/>
        <w:jc w:val="both"/>
      </w:pPr>
      <w:r w:rsidRPr="005211E4">
        <w:t>Il souhaite savoir combien les individus et les ménages dans la s</w:t>
      </w:r>
      <w:r w:rsidRPr="005211E4">
        <w:t>o</w:t>
      </w:r>
      <w:r w:rsidRPr="005211E4">
        <w:t>ciété sont prêts ou répugnent à être mobilisés pour une action par les divers associations et mouv</w:t>
      </w:r>
      <w:r w:rsidRPr="005211E4">
        <w:t>e</w:t>
      </w:r>
      <w:r w:rsidRPr="005211E4">
        <w:t>ments, et comment ils tranchent en cas de concurrence ou de conflit entre les diff</w:t>
      </w:r>
      <w:r w:rsidRPr="005211E4">
        <w:t>é</w:t>
      </w:r>
      <w:r w:rsidRPr="005211E4">
        <w:t>rents agents mobilisateurs — toutes ces questions sont du domaine des relations d’échange entre les sous-systèmes L et I.</w:t>
      </w:r>
    </w:p>
    <w:p w:rsidR="009F7C50" w:rsidRPr="005211E4" w:rsidRDefault="009F7C50" w:rsidP="009F7C50">
      <w:pPr>
        <w:spacing w:before="120" w:after="120"/>
        <w:jc w:val="both"/>
      </w:pPr>
      <w:r w:rsidRPr="005211E4">
        <w:t>Il se préoccupe enfin de découvrir les constantes dans le compo</w:t>
      </w:r>
      <w:r w:rsidRPr="005211E4">
        <w:t>r</w:t>
      </w:r>
      <w:r w:rsidRPr="005211E4">
        <w:t>tement des individus et des ménagés dans leurs relations d’échanges directes (de L à G, de G à L) avec les agents territoriaux du gouve</w:t>
      </w:r>
      <w:r w:rsidRPr="005211E4">
        <w:t>r</w:t>
      </w:r>
      <w:r w:rsidRPr="005211E4">
        <w:t>nement, que ce soit en tant que citoyen soumis aux lois, contribuable et appelé du contingent, ou électeur aux consultations et élections in</w:t>
      </w:r>
      <w:r w:rsidRPr="005211E4">
        <w:t>s</w:t>
      </w:r>
      <w:r w:rsidRPr="005211E4">
        <w:t>titutionnalisées.</w:t>
      </w:r>
    </w:p>
    <w:p w:rsidR="009F7C50" w:rsidRPr="005211E4" w:rsidRDefault="00BD4053" w:rsidP="009F7C50">
      <w:pPr>
        <w:spacing w:before="120" w:after="120"/>
        <w:jc w:val="both"/>
      </w:pPr>
      <w:r w:rsidRPr="005211E4">
        <w:rPr>
          <w:noProof/>
        </w:rPr>
        <mc:AlternateContent>
          <mc:Choice Requires="wps">
            <w:drawing>
              <wp:anchor distT="0" distB="0" distL="63500" distR="63500" simplePos="0" relativeHeight="251657728" behindDoc="1" locked="0" layoutInCell="1" allowOverlap="1">
                <wp:simplePos x="0" y="0"/>
                <wp:positionH relativeFrom="margin">
                  <wp:posOffset>6987540</wp:posOffset>
                </wp:positionH>
                <wp:positionV relativeFrom="margin">
                  <wp:posOffset>-31115</wp:posOffset>
                </wp:positionV>
                <wp:extent cx="210185" cy="254000"/>
                <wp:effectExtent l="0" t="0" r="0" b="0"/>
                <wp:wrapSquare wrapText="left"/>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50" w:rsidRDefault="009F7C50" w:rsidP="009F7C50">
                            <w:pPr>
                              <w:spacing w:line="200" w:lineRule="exact"/>
                              <w:ind w:firstLine="29"/>
                            </w:pPr>
                            <w:r>
                              <w:t>205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550.2pt;margin-top:-2.45pt;width:16.55pt;height:2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" filled="f" stroked="f">
                <v:path arrowok="t"/>
                <v:textbox style="mso-fit-shape-to-text:t" inset="0,0,0,0">
                  <w:txbxContent>
                    <w:p w:rsidR="009F7C50" w:rsidRDefault="009F7C50" w:rsidP="009F7C50">
                      <w:pPr>
                        <w:spacing w:line="200" w:lineRule="exact"/>
                        <w:ind w:firstLine="29"/>
                      </w:pPr>
                      <w:r>
                        <w:t>205</w:t>
                      </w:r>
                    </w:p>
                  </w:txbxContent>
                </v:textbox>
                <w10:wrap type="square" side="left" anchorx="margin" anchory="margin"/>
              </v:shape>
            </w:pict>
          </mc:Fallback>
        </mc:AlternateContent>
      </w:r>
      <w:r w:rsidR="009F7C50" w:rsidRPr="005211E4">
        <w:t>Cependant notre tâche dans cette étude est plus restreinte. Nous n’avons pas l’intention de nous occuper de toutes les relations d’échange entre I et G, entre I et L, ou entre L et G. Les relations d’échange entre I et G ne nous concernent que dans la mesure où elles favorisent le développement de sy</w:t>
      </w:r>
      <w:r w:rsidR="009F7C50" w:rsidRPr="005211E4">
        <w:t>s</w:t>
      </w:r>
      <w:r w:rsidR="009F7C50" w:rsidRPr="005211E4">
        <w:t>tèmes de partis concurrents. Nous nous intére</w:t>
      </w:r>
      <w:r w:rsidR="009F7C50" w:rsidRPr="005211E4">
        <w:t>s</w:t>
      </w:r>
      <w:r w:rsidR="009F7C50" w:rsidRPr="005211E4">
        <w:t>sons</w:t>
      </w:r>
      <w:r w:rsidR="009F7C50">
        <w:t xml:space="preserve"> </w:t>
      </w:r>
      <w:r w:rsidR="009F7C50" w:rsidRPr="005211E4">
        <w:t>[206]</w:t>
      </w:r>
      <w:r w:rsidR="009F7C50">
        <w:t xml:space="preserve"> </w:t>
      </w:r>
      <w:r w:rsidR="009F7C50" w:rsidRPr="005211E4">
        <w:t xml:space="preserve">aux relations d’échange entre I et L seulement dans la mesure où elles permettent d’établir des </w:t>
      </w:r>
      <w:r w:rsidR="009F7C50" w:rsidRPr="005211E4">
        <w:rPr>
          <w:rFonts w:eastAsia="Courier New"/>
          <w:i/>
        </w:rPr>
        <w:t>liens marqués d'a</w:t>
      </w:r>
      <w:r w:rsidR="009F7C50" w:rsidRPr="005211E4">
        <w:rPr>
          <w:rFonts w:eastAsia="Courier New"/>
          <w:i/>
        </w:rPr>
        <w:t>p</w:t>
      </w:r>
      <w:r w:rsidR="009F7C50" w:rsidRPr="005211E4">
        <w:rPr>
          <w:rFonts w:eastAsia="Courier New"/>
          <w:i/>
        </w:rPr>
        <w:lastRenderedPageBreak/>
        <w:t>partenance, d’identification,</w:t>
      </w:r>
      <w:r w:rsidR="009F7C50" w:rsidRPr="005211E4">
        <w:rPr>
          <w:i/>
        </w:rPr>
        <w:t xml:space="preserve"> et </w:t>
      </w:r>
      <w:r w:rsidR="009F7C50" w:rsidRPr="005211E4">
        <w:rPr>
          <w:rFonts w:eastAsia="Courier New"/>
          <w:i/>
        </w:rPr>
        <w:t>d’aptitude à la mobil</w:t>
      </w:r>
      <w:r w:rsidR="009F7C50" w:rsidRPr="005211E4">
        <w:rPr>
          <w:rFonts w:eastAsia="Courier New"/>
          <w:i/>
        </w:rPr>
        <w:t>i</w:t>
      </w:r>
      <w:r w:rsidR="009F7C50" w:rsidRPr="005211E4">
        <w:rPr>
          <w:rFonts w:eastAsia="Courier New"/>
          <w:i/>
        </w:rPr>
        <w:t>sation</w:t>
      </w:r>
      <w:r w:rsidR="009F7C50" w:rsidRPr="005211E4">
        <w:t xml:space="preserve"> entre des partis donnés et des catégories données d’individus et de ménages. Et nous ne nous intéressons pas à toutes les relations d'échange entre L et G, mais seulement à celles qui trouvent leur expression dans les éle</w:t>
      </w:r>
      <w:r w:rsidR="009F7C50" w:rsidRPr="005211E4">
        <w:t>c</w:t>
      </w:r>
      <w:r w:rsidR="009F7C50" w:rsidRPr="005211E4">
        <w:t xml:space="preserve">tions et les arrangements pour une </w:t>
      </w:r>
      <w:r w:rsidR="009F7C50" w:rsidRPr="005211E4">
        <w:rPr>
          <w:rFonts w:eastAsia="Courier New"/>
          <w:i/>
        </w:rPr>
        <w:t>représe</w:t>
      </w:r>
      <w:r w:rsidR="009F7C50" w:rsidRPr="005211E4">
        <w:rPr>
          <w:rFonts w:eastAsia="Courier New"/>
          <w:i/>
        </w:rPr>
        <w:t>n</w:t>
      </w:r>
      <w:r w:rsidR="009F7C50" w:rsidRPr="005211E4">
        <w:rPr>
          <w:rFonts w:eastAsia="Courier New"/>
          <w:i/>
        </w:rPr>
        <w:t>tation formelle</w:t>
      </w:r>
      <w:r w:rsidR="009F7C50" w:rsidRPr="005211E4">
        <w:rPr>
          <w:rFonts w:eastAsia="Courier New"/>
        </w:rPr>
        <w:t>.</w:t>
      </w:r>
    </w:p>
    <w:p w:rsidR="009F7C50" w:rsidRPr="005211E4" w:rsidRDefault="009F7C50" w:rsidP="009F7C50">
      <w:pPr>
        <w:spacing w:before="120" w:after="120"/>
        <w:jc w:val="both"/>
      </w:pPr>
      <w:r w:rsidRPr="005211E4">
        <w:t>D’après le paradigme de Parsons, nos tâches sont en fait au nombre de quatre :</w:t>
      </w:r>
    </w:p>
    <w:p w:rsidR="009F7C50" w:rsidRPr="005211E4" w:rsidRDefault="009F7C50" w:rsidP="009F7C50">
      <w:pPr>
        <w:spacing w:before="120" w:after="120"/>
        <w:jc w:val="both"/>
      </w:pPr>
      <w:r w:rsidRPr="005211E4">
        <w:t xml:space="preserve">Il nous faut d’abord examiner la </w:t>
      </w:r>
      <w:r w:rsidRPr="005211E4">
        <w:rPr>
          <w:rFonts w:eastAsia="Courier New"/>
          <w:i/>
        </w:rPr>
        <w:t>structure interne</w:t>
      </w:r>
      <w:r w:rsidRPr="005211E4">
        <w:t xml:space="preserve"> du domaine I pour un certain nombre de sociétés territoriales : quels clivages se manifestèrent dans la communauté nationale dans les premières ph</w:t>
      </w:r>
      <w:r w:rsidRPr="005211E4">
        <w:t>a</w:t>
      </w:r>
      <w:r w:rsidRPr="005211E4">
        <w:t>ses de consolidation, et quels clivages apparurent lors des phases po</w:t>
      </w:r>
      <w:r w:rsidRPr="005211E4">
        <w:t>s</w:t>
      </w:r>
      <w:r w:rsidRPr="005211E4">
        <w:t>térieures de centralisation et de croissance économique ? Ce sont des questions de ce type qui seront traitées dans la section su</w:t>
      </w:r>
      <w:r w:rsidRPr="005211E4">
        <w:t>i</w:t>
      </w:r>
      <w:r w:rsidRPr="005211E4">
        <w:t>vante.</w:t>
      </w:r>
    </w:p>
    <w:p w:rsidR="009F7C50" w:rsidRPr="005211E4" w:rsidRDefault="009F7C50" w:rsidP="009F7C50">
      <w:pPr>
        <w:spacing w:before="120" w:after="120"/>
        <w:jc w:val="both"/>
      </w:pPr>
      <w:r w:rsidRPr="005211E4">
        <w:t xml:space="preserve">Ensuite notre tâche consiste à comparer des séries de relations d’échange entre I et G, peur mettre en évidence des régularités dans les processus de </w:t>
      </w:r>
      <w:r w:rsidRPr="005211E4">
        <w:rPr>
          <w:rFonts w:eastAsia="Courier New"/>
          <w:i/>
        </w:rPr>
        <w:t>formation d’un parti</w:t>
      </w:r>
      <w:r w:rsidRPr="005211E4">
        <w:rPr>
          <w:rFonts w:eastAsia="Courier New"/>
        </w:rPr>
        <w:t xml:space="preserve">. </w:t>
      </w:r>
      <w:r w:rsidRPr="005211E4">
        <w:t>Comment les cliv</w:t>
      </w:r>
      <w:r w:rsidRPr="005211E4">
        <w:t>a</w:t>
      </w:r>
      <w:r w:rsidRPr="005211E4">
        <w:t>ges hérités trouvent-ils une expression politique, et comment l’organisation terr</w:t>
      </w:r>
      <w:r w:rsidRPr="005211E4">
        <w:t>i</w:t>
      </w:r>
      <w:r w:rsidRPr="005211E4">
        <w:t>toriale de l’État-nation, la sép</w:t>
      </w:r>
      <w:r w:rsidRPr="005211E4">
        <w:t>a</w:t>
      </w:r>
      <w:r w:rsidRPr="005211E4">
        <w:t>ration des pouvoirs entre exécutif et législatif et l’élargissement des droits de participation et de consult</w:t>
      </w:r>
      <w:r w:rsidRPr="005211E4">
        <w:t>a</w:t>
      </w:r>
      <w:r w:rsidRPr="005211E4">
        <w:t>tion affectèrent-ils le développement d’alliances et d’oppositions entre les tendances et mouvements politiques, et fin</w:t>
      </w:r>
      <w:r w:rsidRPr="005211E4">
        <w:t>a</w:t>
      </w:r>
      <w:r w:rsidRPr="005211E4">
        <w:t>lement produisirent-ils un système de parti original ? Ces questions nous occuperont dans les deux sections suivantes.</w:t>
      </w:r>
    </w:p>
    <w:p w:rsidR="009F7C50" w:rsidRPr="005211E4" w:rsidRDefault="009F7C50" w:rsidP="009F7C50">
      <w:pPr>
        <w:spacing w:before="120" w:after="120"/>
        <w:jc w:val="both"/>
      </w:pPr>
      <w:r w:rsidRPr="005211E4">
        <w:t xml:space="preserve">Notre troisième tâche consiste à étudier les conséquences de ces développements sur les </w:t>
      </w:r>
      <w:r w:rsidRPr="005211E4">
        <w:rPr>
          <w:rFonts w:eastAsia="Courier New"/>
          <w:i/>
        </w:rPr>
        <w:t>relations d’échange</w:t>
      </w:r>
      <w:r w:rsidRPr="005211E4">
        <w:t xml:space="preserve"> entre I et L. Quelles ide</w:t>
      </w:r>
      <w:r w:rsidRPr="005211E4">
        <w:t>n</w:t>
      </w:r>
      <w:r w:rsidRPr="005211E4">
        <w:t>tités, quelles solidarités, quelles potentialités de communauté d’expérience et de destin purent être renforcées et utilisées par les pa</w:t>
      </w:r>
      <w:r w:rsidRPr="005211E4">
        <w:t>r</w:t>
      </w:r>
      <w:r w:rsidRPr="005211E4">
        <w:t>tis naissants, et quelles sont celles qui durent être affaiblies ou ign</w:t>
      </w:r>
      <w:r w:rsidRPr="005211E4">
        <w:t>o</w:t>
      </w:r>
      <w:r w:rsidRPr="005211E4">
        <w:t>rées ? Où, dans la structure sociale, les partis eurent-ils la tâche la plus</w:t>
      </w:r>
      <w:r>
        <w:t xml:space="preserve"> </w:t>
      </w:r>
      <w:r w:rsidRPr="005211E4">
        <w:t>[207]</w:t>
      </w:r>
      <w:r>
        <w:t xml:space="preserve"> </w:t>
      </w:r>
      <w:r w:rsidRPr="005211E4">
        <w:t>facile dans la mobilisation d’un soutien stable, et où rencontr</w:t>
      </w:r>
      <w:r w:rsidRPr="005211E4">
        <w:t>è</w:t>
      </w:r>
      <w:r w:rsidRPr="005211E4">
        <w:t>rent-ils les plus infranchissables barri</w:t>
      </w:r>
      <w:r w:rsidRPr="005211E4">
        <w:t>è</w:t>
      </w:r>
      <w:r w:rsidRPr="005211E4">
        <w:t>res de la méfiance et du refus ?</w:t>
      </w:r>
    </w:p>
    <w:p w:rsidR="009F7C50" w:rsidRPr="005211E4" w:rsidRDefault="009F7C50" w:rsidP="009F7C50">
      <w:pPr>
        <w:spacing w:before="120" w:after="120"/>
        <w:jc w:val="both"/>
      </w:pPr>
      <w:r w:rsidRPr="005211E4">
        <w:t>Notre tâche finale consiste à utiliser ces diverses données pour a</w:t>
      </w:r>
      <w:r w:rsidRPr="005211E4">
        <w:t>p</w:t>
      </w:r>
      <w:r w:rsidRPr="005211E4">
        <w:t xml:space="preserve">profondir l’analyse des </w:t>
      </w:r>
      <w:r w:rsidRPr="005211E4">
        <w:rPr>
          <w:rFonts w:eastAsia="Courier New"/>
          <w:i/>
        </w:rPr>
        <w:t>relations d’échange</w:t>
      </w:r>
      <w:r w:rsidRPr="005211E4">
        <w:t xml:space="preserve"> entre L et G dans l’opération des </w:t>
      </w:r>
      <w:r w:rsidRPr="005211E4">
        <w:rPr>
          <w:rFonts w:eastAsia="Courier New"/>
          <w:i/>
        </w:rPr>
        <w:t>élections et de la désignation des députés</w:t>
      </w:r>
      <w:r w:rsidRPr="005211E4">
        <w:rPr>
          <w:rFonts w:eastAsia="Courier New"/>
        </w:rPr>
        <w:t>.</w:t>
      </w:r>
      <w:r w:rsidRPr="005211E4">
        <w:t xml:space="preserve"> Dans quelle mesure les répartitions électorales reflètent-elles les clivages struct</w:t>
      </w:r>
      <w:r w:rsidRPr="005211E4">
        <w:t>u</w:t>
      </w:r>
      <w:r w:rsidRPr="005211E4">
        <w:t>rels d’une société donnée ? En quoi le co</w:t>
      </w:r>
      <w:r w:rsidRPr="005211E4">
        <w:t>m</w:t>
      </w:r>
      <w:r w:rsidRPr="005211E4">
        <w:t>portement électoral est-il affecté par le rétrécissement des options provoqué par le syst</w:t>
      </w:r>
      <w:r w:rsidRPr="005211E4">
        <w:t>è</w:t>
      </w:r>
      <w:r w:rsidRPr="005211E4">
        <w:t xml:space="preserve">me de </w:t>
      </w:r>
      <w:r w:rsidRPr="005211E4">
        <w:lastRenderedPageBreak/>
        <w:t>partis ? et dans quelle mesure les efforts d’endoctrinement et de mob</w:t>
      </w:r>
      <w:r w:rsidRPr="005211E4">
        <w:t>i</w:t>
      </w:r>
      <w:r w:rsidRPr="005211E4">
        <w:t>lisation sont-ils entravés par le développement d’une machine élect</w:t>
      </w:r>
      <w:r w:rsidRPr="005211E4">
        <w:t>o</w:t>
      </w:r>
      <w:r w:rsidRPr="005211E4">
        <w:t>rale politiquement neutre, la formalisation et la standard</w:t>
      </w:r>
      <w:r w:rsidRPr="005211E4">
        <w:t>i</w:t>
      </w:r>
      <w:r w:rsidRPr="005211E4">
        <w:t>sation des procédures, et l’introduction du vote s</w:t>
      </w:r>
      <w:r w:rsidRPr="005211E4">
        <w:t>e</w:t>
      </w:r>
      <w:r w:rsidRPr="005211E4">
        <w:t>cret </w:t>
      </w:r>
      <w:r w:rsidRPr="005211E4">
        <w:rPr>
          <w:rStyle w:val="Appelnotedebasdep"/>
        </w:rPr>
        <w:footnoteReference w:id="11"/>
      </w:r>
      <w:r w:rsidRPr="005211E4">
        <w:t> ?</w:t>
      </w:r>
    </w:p>
    <w:p w:rsidR="009F7C50" w:rsidRPr="005211E4" w:rsidRDefault="009F7C50" w:rsidP="009F7C50">
      <w:pPr>
        <w:spacing w:before="120" w:after="120"/>
        <w:jc w:val="both"/>
      </w:pPr>
      <w:r w:rsidRPr="005211E4">
        <w:t>Sous-tendant cette interprétation du schéma parsonien, il y a un simple modèle à trois phases du pr</w:t>
      </w:r>
      <w:r w:rsidRPr="005211E4">
        <w:t>o</w:t>
      </w:r>
      <w:r w:rsidRPr="005211E4">
        <w:t>cessus d édification de la nation</w:t>
      </w:r>
      <w:r>
        <w:t>.</w:t>
      </w:r>
    </w:p>
    <w:p w:rsidR="009F7C50" w:rsidRPr="005211E4" w:rsidRDefault="009F7C50" w:rsidP="009F7C50">
      <w:pPr>
        <w:spacing w:before="120" w:after="120"/>
        <w:jc w:val="both"/>
        <w:rPr>
          <w:szCs w:val="2"/>
        </w:rPr>
      </w:pPr>
      <w:r w:rsidRPr="005211E4">
        <w:t>[208]</w:t>
      </w:r>
    </w:p>
    <w:p w:rsidR="009F7C50" w:rsidRPr="005211E4" w:rsidRDefault="009F7C50" w:rsidP="009F7C50">
      <w:pPr>
        <w:spacing w:before="120" w:after="120"/>
        <w:jc w:val="both"/>
      </w:pPr>
      <w:r w:rsidRPr="005211E4">
        <w:t>Dans la première phase, les poussées de pénétration et de standa</w:t>
      </w:r>
      <w:r w:rsidRPr="005211E4">
        <w:t>r</w:t>
      </w:r>
      <w:r w:rsidRPr="005211E4">
        <w:t>disation venant du centre national augmentent les résistances territ</w:t>
      </w:r>
      <w:r w:rsidRPr="005211E4">
        <w:t>o</w:t>
      </w:r>
      <w:r w:rsidRPr="005211E4">
        <w:t>riales et soulèvent les problèmes d’identité culturelle. Le « Suis-je Virginien ou Américain ? » de Robert E. Lee est l’expression typique des tensions engendrées entre G et L par les processus d’édification de la nation.</w:t>
      </w:r>
    </w:p>
    <w:p w:rsidR="009F7C50" w:rsidRPr="005211E4" w:rsidRDefault="009F7C50" w:rsidP="009F7C50">
      <w:pPr>
        <w:spacing w:before="120" w:after="120"/>
        <w:jc w:val="both"/>
      </w:pPr>
      <w:r w:rsidRPr="005211E4">
        <w:t>Dans la deuxième phase, ces oppositions locales à la centralisation produisent un certain nombre d’alliances entre les communautés de la nation : les potentialités de communauté de destins familiaux qui s’inscrivent dans le quadrant L engendrent des associations et des o</w:t>
      </w:r>
      <w:r w:rsidRPr="005211E4">
        <w:t>r</w:t>
      </w:r>
      <w:r w:rsidRPr="005211E4">
        <w:t>ganisations dans le quadrant I. Dans certains cas, ces alliances oppos</w:t>
      </w:r>
      <w:r w:rsidRPr="005211E4">
        <w:t>e</w:t>
      </w:r>
      <w:r w:rsidRPr="005211E4">
        <w:t>ront une partie du territoire national à une autre. C’est typ</w:t>
      </w:r>
      <w:r w:rsidRPr="005211E4">
        <w:t>i</w:t>
      </w:r>
      <w:r w:rsidRPr="005211E4">
        <w:t xml:space="preserve">quement le cas dans les pays où un certain nombre de loyautés opposées à l’ordre </w:t>
      </w:r>
      <w:r w:rsidRPr="005211E4">
        <w:lastRenderedPageBreak/>
        <w:t>établi convergent : fait ethnique, religion, et classe en Irlande sous la domination anglaise, langue et classe en Belgique, Finlande, Espagne et Canada. Dans d’autres cas, les alliances tendront à gagner toute la nation et soulèveront les opposants les uns contre les autres dans ch</w:t>
      </w:r>
      <w:r w:rsidRPr="005211E4">
        <w:t>a</w:t>
      </w:r>
      <w:r w:rsidRPr="005211E4">
        <w:t>que localité.</w:t>
      </w:r>
    </w:p>
    <w:p w:rsidR="009F7C50" w:rsidRPr="005211E4" w:rsidRDefault="009F7C50" w:rsidP="009F7C50">
      <w:pPr>
        <w:spacing w:before="120" w:after="120"/>
        <w:jc w:val="both"/>
      </w:pPr>
      <w:r w:rsidRPr="005211E4">
        <w:t>Dans la troisième phase, les alliances dans le quadrant I entreront dans le quadrant G et obtie</w:t>
      </w:r>
      <w:r w:rsidRPr="005211E4">
        <w:t>n</w:t>
      </w:r>
      <w:r w:rsidRPr="005211E4">
        <w:t>dront un certain degré de contrôle non seulement sur l’usage des ressources centrales nationales (rel</w:t>
      </w:r>
      <w:r w:rsidRPr="005211E4">
        <w:t>a</w:t>
      </w:r>
      <w:r w:rsidRPr="005211E4">
        <w:t>tions d’échange de G à A), mais aussi sur la canalisation des courants de légitimation de L à G. Ceci peut trouver un mode d’expression dans les réformes du droit de vote, dans les changements de procédures d’inscription sur les listes électorales et de scrutin, dans de nouvelles règles d’alliances éle</w:t>
      </w:r>
      <w:r w:rsidRPr="005211E4">
        <w:t>c</w:t>
      </w:r>
      <w:r w:rsidRPr="005211E4">
        <w:t>torales, et dans des extensions des domaines d’intervention du législatif.</w:t>
      </w:r>
    </w:p>
    <w:p w:rsidR="009F7C50" w:rsidRPr="005211E4" w:rsidRDefault="009F7C50" w:rsidP="009F7C50">
      <w:pPr>
        <w:spacing w:before="120" w:after="120"/>
        <w:jc w:val="both"/>
      </w:pPr>
      <w:r w:rsidRPr="005211E4">
        <w:t>Ce modèle peut être développé dans plusieurs directions. Nous avons choisi initialement de centrer notre attention sur les différenci</w:t>
      </w:r>
      <w:r w:rsidRPr="005211E4">
        <w:t>a</w:t>
      </w:r>
      <w:r w:rsidRPr="005211E4">
        <w:t>tions possibles dans le quadrant I, lieu de la formation des partis et des constellations de partis dans les démocraties de masse.</w:t>
      </w:r>
    </w:p>
    <w:p w:rsidR="009F7C50" w:rsidRPr="005211E4" w:rsidRDefault="009F7C50" w:rsidP="009F7C50">
      <w:pPr>
        <w:spacing w:before="120" w:after="120"/>
        <w:jc w:val="both"/>
      </w:pPr>
      <w:r w:rsidRPr="005211E4">
        <w:t>[209]</w:t>
      </w:r>
    </w:p>
    <w:p w:rsidR="009F7C50" w:rsidRPr="005211E4" w:rsidRDefault="009F7C50" w:rsidP="009F7C50">
      <w:pPr>
        <w:spacing w:before="120" w:after="120"/>
        <w:jc w:val="both"/>
      </w:pPr>
    </w:p>
    <w:p w:rsidR="009F7C50" w:rsidRPr="005211E4" w:rsidRDefault="009F7C50" w:rsidP="009F7C50">
      <w:pPr>
        <w:pStyle w:val="a"/>
      </w:pPr>
      <w:r w:rsidRPr="005211E4">
        <w:t>Dimensions de clivage et d’alliance</w:t>
      </w:r>
    </w:p>
    <w:p w:rsidR="009F7C50" w:rsidRPr="005211E4" w:rsidRDefault="009F7C50" w:rsidP="009F7C50">
      <w:pPr>
        <w:spacing w:before="120" w:after="120"/>
        <w:jc w:val="both"/>
      </w:pPr>
    </w:p>
    <w:p w:rsidR="009F7C50" w:rsidRPr="005211E4" w:rsidRDefault="009F7C50" w:rsidP="009F7C50">
      <w:pPr>
        <w:pStyle w:val="b"/>
      </w:pPr>
      <w:r w:rsidRPr="005211E4">
        <w:rPr>
          <w:rFonts w:eastAsia="Courier New"/>
        </w:rPr>
        <w:t>Deux dimens</w:t>
      </w:r>
      <w:r>
        <w:rPr>
          <w:rFonts w:eastAsia="Courier New"/>
        </w:rPr>
        <w:t>ions de clivage :</w:t>
      </w:r>
      <w:r>
        <w:rPr>
          <w:rFonts w:eastAsia="Courier New"/>
        </w:rPr>
        <w:br/>
      </w:r>
      <w:r w:rsidRPr="005211E4">
        <w:rPr>
          <w:rFonts w:eastAsia="Courier New"/>
        </w:rPr>
        <w:t>territoriale-culturelle et fon</w:t>
      </w:r>
      <w:r w:rsidRPr="005211E4">
        <w:rPr>
          <w:rFonts w:eastAsia="Courier New"/>
        </w:rPr>
        <w:t>c</w:t>
      </w:r>
      <w:r w:rsidRPr="005211E4">
        <w:rPr>
          <w:rFonts w:eastAsia="Courier New"/>
        </w:rPr>
        <w:t>tionnelle</w:t>
      </w:r>
    </w:p>
    <w:p w:rsidR="009F7C50" w:rsidRPr="005211E4" w:rsidRDefault="009F7C50" w:rsidP="009F7C50">
      <w:pPr>
        <w:spacing w:before="120" w:after="120"/>
        <w:jc w:val="both"/>
      </w:pPr>
    </w:p>
    <w:p w:rsidR="009F7C50" w:rsidRPr="005211E4" w:rsidRDefault="009F7C50" w:rsidP="009F7C50">
      <w:pPr>
        <w:spacing w:before="120" w:after="120"/>
        <w:jc w:val="both"/>
      </w:pPr>
      <w:r w:rsidRPr="005211E4">
        <w:t>Talcott Parsons a jusque-là accordé, d’ailleurs de manière surpr</w:t>
      </w:r>
      <w:r w:rsidRPr="005211E4">
        <w:t>e</w:t>
      </w:r>
      <w:r w:rsidRPr="005211E4">
        <w:t>nante, peu d’attention aux possibilités de différenciation dans le qu</w:t>
      </w:r>
      <w:r w:rsidRPr="005211E4">
        <w:t>a</w:t>
      </w:r>
      <w:r w:rsidRPr="005211E4">
        <w:t>drant I. Parmi ses collaborateurs, Smelser a consacré beaucoup d’ingéniosité au développement d’un schéma abstrait pour expliquer les réactions et les mouvements collectifs </w:t>
      </w:r>
      <w:r w:rsidRPr="005211E4">
        <w:rPr>
          <w:rStyle w:val="Appelnotedebasdep"/>
        </w:rPr>
        <w:footnoteReference w:id="12"/>
      </w:r>
      <w:r w:rsidRPr="005211E4">
        <w:t>, mais ce procédé compl</w:t>
      </w:r>
      <w:r w:rsidRPr="005211E4">
        <w:t>i</w:t>
      </w:r>
      <w:r w:rsidRPr="005211E4">
        <w:t xml:space="preserve">qué d’analyse palier par palier porte essentiellement sur l’apparition de manifestations particulières, et ne fournit aucun indice pour classer et comparer des </w:t>
      </w:r>
      <w:r w:rsidRPr="005211E4">
        <w:rPr>
          <w:rFonts w:eastAsia="Courier New"/>
          <w:i/>
        </w:rPr>
        <w:t>systèmes</w:t>
      </w:r>
      <w:r w:rsidRPr="005211E4">
        <w:t xml:space="preserve"> de mouvements sociaux et de partis poli</w:t>
      </w:r>
      <w:r w:rsidRPr="005211E4">
        <w:lastRenderedPageBreak/>
        <w:t>t</w:t>
      </w:r>
      <w:r w:rsidRPr="005211E4">
        <w:t>i</w:t>
      </w:r>
      <w:r w:rsidRPr="005211E4">
        <w:t>ques, dans des sociétés historiquement données. Nous ne pouvons e</w:t>
      </w:r>
      <w:r w:rsidRPr="005211E4">
        <w:t>s</w:t>
      </w:r>
      <w:r w:rsidRPr="005211E4">
        <w:t>pérer combler cette lacune de la littérature théorique, mais nous so</w:t>
      </w:r>
      <w:r w:rsidRPr="005211E4">
        <w:t>m</w:t>
      </w:r>
      <w:r w:rsidRPr="005211E4">
        <w:t>mes tentés de suggérer une direction de développement conce</w:t>
      </w:r>
      <w:r w:rsidRPr="005211E4">
        <w:t>p</w:t>
      </w:r>
      <w:r w:rsidRPr="005211E4">
        <w:t xml:space="preserve">tuel à partir du paradigme de base </w:t>
      </w:r>
      <w:r w:rsidRPr="005211E4">
        <w:rPr>
          <w:rFonts w:eastAsia="Courier New"/>
          <w:i/>
        </w:rPr>
        <w:t>a, g, i, l.</w:t>
      </w:r>
      <w:r w:rsidRPr="005211E4">
        <w:t xml:space="preserve"> Nous suggérons que les clivages déc</w:t>
      </w:r>
      <w:r w:rsidRPr="005211E4">
        <w:t>i</w:t>
      </w:r>
      <w:r w:rsidRPr="005211E4">
        <w:t>sifs et leurs expressions politiques peuvent être rangés dans un espace à deux dimensions engendré par les deux diagonales de la double d</w:t>
      </w:r>
      <w:r w:rsidRPr="005211E4">
        <w:t>i</w:t>
      </w:r>
      <w:r w:rsidRPr="005211E4">
        <w:t>chotomie :</w:t>
      </w:r>
    </w:p>
    <w:p w:rsidR="009F7C50" w:rsidRDefault="009F7C50" w:rsidP="009F7C50">
      <w:pPr>
        <w:spacing w:before="120" w:after="120"/>
        <w:jc w:val="both"/>
      </w:pPr>
      <w:r w:rsidRPr="005211E4">
        <w:t>[210]</w:t>
      </w:r>
    </w:p>
    <w:p w:rsidR="009F7C50" w:rsidRPr="005211E4" w:rsidRDefault="009F7C50" w:rsidP="009F7C50">
      <w:pPr>
        <w:spacing w:before="120" w:after="120"/>
        <w:jc w:val="both"/>
      </w:pPr>
    </w:p>
    <w:p w:rsidR="009F7C50" w:rsidRPr="005211E4" w:rsidRDefault="009F7C50" w:rsidP="009F7C50">
      <w:pPr>
        <w:pStyle w:val="figst"/>
      </w:pPr>
      <w:r w:rsidRPr="005211E4">
        <w:t>Tableau 3</w:t>
      </w:r>
      <w:r>
        <w:br/>
      </w:r>
      <w:r w:rsidRPr="005211E4">
        <w:t>Une interprétation possible de la structure interne du quatrant I</w:t>
      </w:r>
    </w:p>
    <w:p w:rsidR="009F7C50" w:rsidRPr="005211E4" w:rsidRDefault="00BD4053" w:rsidP="009F7C50">
      <w:pPr>
        <w:pStyle w:val="fig"/>
      </w:pPr>
      <w:r>
        <w:rPr>
          <w:noProof/>
        </w:rPr>
        <w:drawing>
          <wp:inline distT="0" distB="0" distL="0" distR="0">
            <wp:extent cx="5105400" cy="3098800"/>
            <wp:effectExtent l="0" t="0" r="0" b="0"/>
            <wp:docPr id="7" name="Image 7" descr="fig_p_210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g_p_210_st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3098800"/>
                    </a:xfrm>
                    <a:prstGeom prst="rect">
                      <a:avLst/>
                    </a:prstGeom>
                    <a:noFill/>
                    <a:ln>
                      <a:noFill/>
                    </a:ln>
                  </pic:spPr>
                </pic:pic>
              </a:graphicData>
            </a:graphic>
          </wp:inline>
        </w:drawing>
      </w:r>
    </w:p>
    <w:p w:rsidR="009F7C50" w:rsidRPr="005211E4" w:rsidRDefault="009F7C50" w:rsidP="009F7C50">
      <w:pPr>
        <w:spacing w:before="120" w:after="120"/>
        <w:jc w:val="both"/>
      </w:pPr>
    </w:p>
    <w:p w:rsidR="009F7C50" w:rsidRPr="005211E4" w:rsidRDefault="00BD4053" w:rsidP="009F7C50">
      <w:pPr>
        <w:spacing w:before="120" w:after="120"/>
        <w:jc w:val="both"/>
      </w:pPr>
      <w:r w:rsidRPr="005211E4">
        <w:rPr>
          <w:noProof/>
        </w:rPr>
        <mc:AlternateContent>
          <mc:Choice Requires="wps">
            <w:drawing>
              <wp:anchor distT="0" distB="0" distL="63500" distR="63500" simplePos="0" relativeHeight="251658752" behindDoc="1" locked="0" layoutInCell="1" allowOverlap="1">
                <wp:simplePos x="0" y="0"/>
                <wp:positionH relativeFrom="margin">
                  <wp:posOffset>7040880</wp:posOffset>
                </wp:positionH>
                <wp:positionV relativeFrom="margin">
                  <wp:posOffset>26670</wp:posOffset>
                </wp:positionV>
                <wp:extent cx="210185" cy="254000"/>
                <wp:effectExtent l="0" t="0" r="0" b="0"/>
                <wp:wrapTopAndBottom/>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C50" w:rsidRDefault="009F7C50" w:rsidP="009F7C50">
                            <w:pPr>
                              <w:spacing w:line="200" w:lineRule="exact"/>
                              <w:ind w:firstLine="29"/>
                            </w:pPr>
                            <w:r>
                              <w:t>211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554.4pt;margin-top:2.1pt;width:16.55pt;height:2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" filled="f" stroked="f">
                <v:path arrowok="t"/>
                <v:textbox style="mso-fit-shape-to-text:t" inset="0,0,0,0">
                  <w:txbxContent>
                    <w:p w:rsidR="009F7C50" w:rsidRDefault="009F7C50" w:rsidP="009F7C50">
                      <w:pPr>
                        <w:spacing w:line="200" w:lineRule="exact"/>
                        <w:ind w:firstLine="29"/>
                      </w:pPr>
                      <w:r>
                        <w:t>211</w:t>
                      </w:r>
                    </w:p>
                  </w:txbxContent>
                </v:textbox>
                <w10:wrap type="topAndBottom" anchorx="margin" anchory="margin"/>
              </v:shape>
            </w:pict>
          </mc:Fallback>
        </mc:AlternateContent>
      </w:r>
      <w:r w:rsidR="009F7C50" w:rsidRPr="005211E4">
        <w:t>Dans ce modèle, les dichotomies parsoniennes ont été tran</w:t>
      </w:r>
      <w:r w:rsidR="009F7C50" w:rsidRPr="005211E4">
        <w:t>s</w:t>
      </w:r>
      <w:r w:rsidR="009F7C50" w:rsidRPr="005211E4">
        <w:t xml:space="preserve">formées en coordonnées continues : la droite </w:t>
      </w:r>
      <w:r w:rsidR="009F7C50" w:rsidRPr="005211E4">
        <w:rPr>
          <w:rFonts w:eastAsia="Courier New"/>
          <w:i/>
        </w:rPr>
        <w:t>l-g</w:t>
      </w:r>
      <w:r w:rsidR="009F7C50" w:rsidRPr="005211E4">
        <w:t xml:space="preserve"> représente une dimension </w:t>
      </w:r>
      <w:r w:rsidR="009F7C50" w:rsidRPr="005211E4">
        <w:rPr>
          <w:rFonts w:eastAsia="Courier New"/>
          <w:i/>
        </w:rPr>
        <w:t>te</w:t>
      </w:r>
      <w:r w:rsidR="009F7C50" w:rsidRPr="005211E4">
        <w:rPr>
          <w:rFonts w:eastAsia="Courier New"/>
          <w:i/>
        </w:rPr>
        <w:t>r</w:t>
      </w:r>
      <w:r w:rsidR="009F7C50" w:rsidRPr="005211E4">
        <w:rPr>
          <w:rFonts w:eastAsia="Courier New"/>
          <w:i/>
        </w:rPr>
        <w:t>ritoriale</w:t>
      </w:r>
      <w:r w:rsidR="009F7C50" w:rsidRPr="005211E4">
        <w:t xml:space="preserve"> de la structure du clivage national, et la droite </w:t>
      </w:r>
      <w:r w:rsidR="009F7C50" w:rsidRPr="005211E4">
        <w:rPr>
          <w:rFonts w:eastAsia="Courier New"/>
          <w:i/>
        </w:rPr>
        <w:t>a-i</w:t>
      </w:r>
      <w:r w:rsidR="009F7C50" w:rsidRPr="005211E4">
        <w:rPr>
          <w:rFonts w:eastAsia="Courier New"/>
        </w:rPr>
        <w:t>,</w:t>
      </w:r>
      <w:r w:rsidR="009F7C50" w:rsidRPr="005211E4">
        <w:t xml:space="preserve"> une d</w:t>
      </w:r>
      <w:r w:rsidR="009F7C50" w:rsidRPr="005211E4">
        <w:t>i</w:t>
      </w:r>
      <w:r w:rsidR="009F7C50" w:rsidRPr="005211E4">
        <w:t xml:space="preserve">mension </w:t>
      </w:r>
      <w:r w:rsidR="009F7C50" w:rsidRPr="005211E4">
        <w:rPr>
          <w:rFonts w:eastAsia="Courier New"/>
          <w:i/>
        </w:rPr>
        <w:t>fonctio</w:t>
      </w:r>
      <w:r w:rsidR="009F7C50" w:rsidRPr="005211E4">
        <w:rPr>
          <w:rFonts w:eastAsia="Courier New"/>
          <w:i/>
        </w:rPr>
        <w:t>n</w:t>
      </w:r>
      <w:r w:rsidR="009F7C50" w:rsidRPr="005211E4">
        <w:rPr>
          <w:rFonts w:eastAsia="Courier New"/>
          <w:i/>
        </w:rPr>
        <w:t>nelle</w:t>
      </w:r>
      <w:r w:rsidR="009F7C50" w:rsidRPr="005211E4">
        <w:rPr>
          <w:rFonts w:eastAsia="Courier New"/>
        </w:rPr>
        <w:t> </w:t>
      </w:r>
      <w:r w:rsidR="009F7C50" w:rsidRPr="005211E4">
        <w:rPr>
          <w:rStyle w:val="Appelnotedebasdep"/>
          <w:rFonts w:eastAsia="Courier New"/>
        </w:rPr>
        <w:footnoteReference w:id="13"/>
      </w:r>
      <w:r w:rsidR="009F7C50" w:rsidRPr="005211E4">
        <w:t>.</w:t>
      </w:r>
    </w:p>
    <w:p w:rsidR="009F7C50" w:rsidRDefault="009F7C50" w:rsidP="009F7C50">
      <w:pPr>
        <w:spacing w:before="120" w:after="120"/>
        <w:jc w:val="both"/>
      </w:pPr>
    </w:p>
    <w:p w:rsidR="009F7C50" w:rsidRPr="005211E4" w:rsidRDefault="009F7C50" w:rsidP="009F7C50">
      <w:pPr>
        <w:spacing w:before="120" w:after="120"/>
        <w:jc w:val="both"/>
      </w:pPr>
      <w:r w:rsidRPr="005211E4">
        <w:lastRenderedPageBreak/>
        <w:t xml:space="preserve">À l’extrémité </w:t>
      </w:r>
      <w:r w:rsidRPr="005211E4">
        <w:rPr>
          <w:rFonts w:eastAsia="Courier New"/>
          <w:i/>
        </w:rPr>
        <w:t>i</w:t>
      </w:r>
      <w:r w:rsidRPr="005211E4">
        <w:t xml:space="preserve"> de l’axe territorial, nous trouverions des oppos</w:t>
      </w:r>
      <w:r w:rsidRPr="005211E4">
        <w:t>i</w:t>
      </w:r>
      <w:r w:rsidRPr="005211E4">
        <w:t>tions strictement locales aux empiètements des élites nationales dom</w:t>
      </w:r>
      <w:r w:rsidRPr="005211E4">
        <w:t>i</w:t>
      </w:r>
      <w:r w:rsidRPr="005211E4">
        <w:t>nantes ou aspirant à la domination, et de leur bureaucratie : ce sont les réa</w:t>
      </w:r>
      <w:r w:rsidRPr="005211E4">
        <w:t>c</w:t>
      </w:r>
      <w:r w:rsidRPr="005211E4">
        <w:t>tions typiques des régions périphériques, des minorités linguist</w:t>
      </w:r>
      <w:r w:rsidRPr="005211E4">
        <w:t>i</w:t>
      </w:r>
      <w:r w:rsidRPr="005211E4">
        <w:t>ques, et des populations menacées culturellement aux pressions de la m</w:t>
      </w:r>
      <w:r w:rsidRPr="005211E4">
        <w:t>a</w:t>
      </w:r>
      <w:r w:rsidRPr="005211E4">
        <w:t>chine de l’État-nation, ce</w:t>
      </w:r>
      <w:r w:rsidRPr="005211E4">
        <w:t>n</w:t>
      </w:r>
      <w:r w:rsidRPr="005211E4">
        <w:t xml:space="preserve">tralisatrice, unificatrice et rationalisante. À l’extrémité </w:t>
      </w:r>
      <w:r w:rsidRPr="005211E4">
        <w:rPr>
          <w:rFonts w:eastAsia="Courier New"/>
          <w:i/>
        </w:rPr>
        <w:t>g</w:t>
      </w:r>
      <w:r w:rsidRPr="005211E4">
        <w:t xml:space="preserve"> de l’axe, nous trouverions les conflits, non pas entre un</w:t>
      </w:r>
      <w:r w:rsidRPr="005211E4">
        <w:t>i</w:t>
      </w:r>
      <w:r w:rsidRPr="005211E4">
        <w:t>tés territoriales à l’intérieur du système,</w:t>
      </w:r>
      <w:r>
        <w:t xml:space="preserve"> </w:t>
      </w:r>
      <w:r w:rsidRPr="005211E4">
        <w:t>[211]</w:t>
      </w:r>
      <w:r>
        <w:t xml:space="preserve"> </w:t>
      </w:r>
      <w:r w:rsidRPr="005211E4">
        <w:t>mais à propos du contrôle, de l’organisation, des buts et des options politiques du sy</w:t>
      </w:r>
      <w:r w:rsidRPr="005211E4">
        <w:t>s</w:t>
      </w:r>
      <w:r w:rsidRPr="005211E4">
        <w:t>tème global. Ceux-ci pourraient prendre la fo</w:t>
      </w:r>
      <w:r w:rsidRPr="005211E4">
        <w:t>r</w:t>
      </w:r>
      <w:r w:rsidRPr="005211E4">
        <w:t>me de luttes directes entre élites aux prises pour le pouvoir central, mais pourraient égal</w:t>
      </w:r>
      <w:r w:rsidRPr="005211E4">
        <w:t>e</w:t>
      </w:r>
      <w:r w:rsidRPr="005211E4">
        <w:t>ment refléter des différences plus profondes dans les conceptions de la nation, sur les priorités internes et les stratégies externes.</w:t>
      </w:r>
    </w:p>
    <w:p w:rsidR="009F7C50" w:rsidRPr="005211E4" w:rsidRDefault="009F7C50" w:rsidP="009F7C50">
      <w:pPr>
        <w:spacing w:before="120" w:after="120"/>
        <w:jc w:val="both"/>
      </w:pPr>
      <w:r w:rsidRPr="005211E4">
        <w:t xml:space="preserve">Les conflits le long de l’axe </w:t>
      </w:r>
      <w:r w:rsidRPr="005211E4">
        <w:rPr>
          <w:rFonts w:eastAsia="Courier New"/>
          <w:i/>
        </w:rPr>
        <w:t>a-i</w:t>
      </w:r>
      <w:r w:rsidRPr="005211E4">
        <w:t xml:space="preserve"> traversent les unités territoriales de la nation. Ils produisent des a</w:t>
      </w:r>
      <w:r w:rsidRPr="005211E4">
        <w:t>l</w:t>
      </w:r>
      <w:r w:rsidRPr="005211E4">
        <w:t>liances d’individus et de ménages situés ou orientés de manière comparable dans une grande quantité de local</w:t>
      </w:r>
      <w:r w:rsidRPr="005211E4">
        <w:t>i</w:t>
      </w:r>
      <w:r w:rsidRPr="005211E4">
        <w:t>tés et tendent à saper la solidarité héritée des communautés territori</w:t>
      </w:r>
      <w:r w:rsidRPr="005211E4">
        <w:t>a</w:t>
      </w:r>
      <w:r w:rsidRPr="005211E4">
        <w:t xml:space="preserve">les établies. À l’extrémité </w:t>
      </w:r>
      <w:r w:rsidRPr="005211E4">
        <w:rPr>
          <w:rFonts w:eastAsia="Courier New"/>
        </w:rPr>
        <w:t>a</w:t>
      </w:r>
      <w:r w:rsidRPr="005211E4">
        <w:t xml:space="preserve"> de cette dimension, nous trouverions le conflit typique portant sur les répartitions à court terme ou à long te</w:t>
      </w:r>
      <w:r w:rsidRPr="005211E4">
        <w:t>r</w:t>
      </w:r>
      <w:r w:rsidRPr="005211E4">
        <w:t>me des ressources, des produits, et des bénéfices de l’économie : les conflits entre producteurs et acheteurs, entre travailleurs et e</w:t>
      </w:r>
      <w:r w:rsidRPr="005211E4">
        <w:t>m</w:t>
      </w:r>
      <w:r w:rsidRPr="005211E4">
        <w:t>ployeurs, entre emprunteurs et prêteurs, entre locataires et propriéta</w:t>
      </w:r>
      <w:r w:rsidRPr="005211E4">
        <w:t>i</w:t>
      </w:r>
      <w:r w:rsidRPr="005211E4">
        <w:t>res, entre contribuables et bénéficiaires. À cette extrémité, les align</w:t>
      </w:r>
      <w:r w:rsidRPr="005211E4">
        <w:t>e</w:t>
      </w:r>
      <w:r w:rsidRPr="005211E4">
        <w:t>ments sont spécifiques et les conflits tendent à être résolus par le biais d’un marchandage rationnel et l’établissement de règles unive</w:t>
      </w:r>
      <w:r w:rsidRPr="005211E4">
        <w:t>r</w:t>
      </w:r>
      <w:r w:rsidRPr="005211E4">
        <w:t xml:space="preserve">selles de répartition. Plus nous nous déplaçons vers l’extrémité </w:t>
      </w:r>
      <w:r w:rsidRPr="005211E4">
        <w:rPr>
          <w:rFonts w:eastAsia="Courier New"/>
          <w:i/>
        </w:rPr>
        <w:t>i</w:t>
      </w:r>
      <w:r w:rsidRPr="005211E4">
        <w:t xml:space="preserve"> de l’axe, plus les critères d’alignement deviennent diffus, plus l’identification au groupe « nous » d</w:t>
      </w:r>
      <w:r w:rsidRPr="005211E4">
        <w:t>e</w:t>
      </w:r>
      <w:r w:rsidRPr="005211E4">
        <w:t xml:space="preserve">vient intense, et plus le refus du groupe « eux » devient intransigeant. À l’extrémité </w:t>
      </w:r>
      <w:r w:rsidRPr="005211E4">
        <w:rPr>
          <w:rFonts w:eastAsia="Courier New"/>
          <w:i/>
        </w:rPr>
        <w:t>i</w:t>
      </w:r>
      <w:r w:rsidRPr="005211E4">
        <w:t xml:space="preserve"> de la dimension, nous trouvons les oppositions typiques « ami-ennemi » des mouv</w:t>
      </w:r>
      <w:r w:rsidRPr="005211E4">
        <w:t>e</w:t>
      </w:r>
      <w:r w:rsidRPr="005211E4">
        <w:t>ments étroitement unis, religieux ou idéologiques, à la communauté environnante. Le conflit ne porte plus sur des gains ou des pertes sp</w:t>
      </w:r>
      <w:r w:rsidRPr="005211E4">
        <w:t>é</w:t>
      </w:r>
      <w:r w:rsidRPr="005211E4">
        <w:t>cifiques, mais sur des conceptions de droit moral et sur l’interprétation de l’histoire et de la dest</w:t>
      </w:r>
      <w:r w:rsidRPr="005211E4">
        <w:t>i</w:t>
      </w:r>
      <w:r w:rsidRPr="005211E4">
        <w:t>née humaine ; l’appartenance n’est plus une question d’affiliations multiples, mais bien un engag</w:t>
      </w:r>
      <w:r w:rsidRPr="005211E4">
        <w:t>e</w:t>
      </w:r>
      <w:r w:rsidRPr="005211E4">
        <w:t>ment diffus — de vingt-quatre heures [sur vingt-quatre — incompatible avec d’autres attaches au sein de la communauté ; et on ne laisse plus la commun</w:t>
      </w:r>
      <w:r w:rsidRPr="005211E4">
        <w:t>i</w:t>
      </w:r>
      <w:r w:rsidRPr="005211E4">
        <w:t xml:space="preserve">cation s’établir librement par-delà les lignes de clivage, mais on la </w:t>
      </w:r>
      <w:r w:rsidRPr="005211E4">
        <w:lastRenderedPageBreak/>
        <w:t>re</w:t>
      </w:r>
      <w:r w:rsidRPr="005211E4">
        <w:t>s</w:t>
      </w:r>
      <w:r w:rsidRPr="005211E4">
        <w:t>treint et la réglemente pour</w:t>
      </w:r>
      <w:r>
        <w:t xml:space="preserve"> </w:t>
      </w:r>
      <w:r w:rsidRPr="005211E4">
        <w:t>[212]</w:t>
      </w:r>
      <w:r>
        <w:t xml:space="preserve"> </w:t>
      </w:r>
      <w:r w:rsidRPr="005211E4">
        <w:t>protéger le mouvement des impuretés et des germes de compromis.</w:t>
      </w:r>
    </w:p>
    <w:p w:rsidR="009F7C50" w:rsidRPr="005211E4" w:rsidRDefault="009F7C50" w:rsidP="009F7C50">
      <w:pPr>
        <w:spacing w:before="120" w:after="120"/>
        <w:jc w:val="both"/>
      </w:pPr>
      <w:r w:rsidRPr="005211E4">
        <w:t xml:space="preserve">On trouve rarement des clivages historiquement connus aux pôles des deux axes : un conflit concret est rarement d’ordre exclusivement territorial ou fonctionnel, mais il nourrira des tensions dans les deux sens. Le modèle sert essentiellement de </w:t>
      </w:r>
      <w:r w:rsidRPr="005211E4">
        <w:rPr>
          <w:rFonts w:eastAsia="Courier New"/>
          <w:i/>
        </w:rPr>
        <w:t>grille</w:t>
      </w:r>
      <w:r w:rsidRPr="005211E4">
        <w:t xml:space="preserve"> dans l’analyse comparée des systèmes politiques : la tâche est de localiser les alliances derrière des partis donnés à des époques données dans cet espace à deux d</w:t>
      </w:r>
      <w:r w:rsidRPr="005211E4">
        <w:t>i</w:t>
      </w:r>
      <w:r w:rsidRPr="005211E4">
        <w:t>mensions.</w:t>
      </w:r>
    </w:p>
    <w:p w:rsidR="009F7C50" w:rsidRPr="005211E4" w:rsidRDefault="009F7C50" w:rsidP="009F7C50">
      <w:pPr>
        <w:spacing w:before="120" w:after="120"/>
        <w:jc w:val="both"/>
      </w:pPr>
      <w:r w:rsidRPr="005211E4">
        <w:t>Les axes ne sont pas facilement mesurables, et il se peut qu’ils ne satisfassent pas aux cr</w:t>
      </w:r>
      <w:r w:rsidRPr="005211E4">
        <w:t>i</w:t>
      </w:r>
      <w:r w:rsidRPr="005211E4">
        <w:t>tères d’étalonnage rigoureux ; néanmoins, ils semblent heuristiquement utiles dans des te</w:t>
      </w:r>
      <w:r w:rsidRPr="005211E4">
        <w:t>n</w:t>
      </w:r>
      <w:r w:rsidRPr="005211E4">
        <w:t>tatives telles que la nôtre, où l’on cherche à replacer les variations empiriques des structures p</w:t>
      </w:r>
      <w:r w:rsidRPr="005211E4">
        <w:t>o</w:t>
      </w:r>
      <w:r w:rsidRPr="005211E4">
        <w:t>litiques dans les cadres conceptuels de la théorie sociologique mode</w:t>
      </w:r>
      <w:r w:rsidRPr="005211E4">
        <w:t>r</w:t>
      </w:r>
      <w:r w:rsidRPr="005211E4">
        <w:t>ne.</w:t>
      </w:r>
    </w:p>
    <w:p w:rsidR="009F7C50" w:rsidRPr="005211E4" w:rsidRDefault="009F7C50" w:rsidP="009F7C50">
      <w:pPr>
        <w:spacing w:before="120" w:after="120"/>
        <w:jc w:val="both"/>
      </w:pPr>
    </w:p>
    <w:p w:rsidR="009F7C50" w:rsidRPr="00BD4053" w:rsidRDefault="009F7C50" w:rsidP="009F7C50">
      <w:pPr>
        <w:spacing w:before="120" w:after="120"/>
        <w:ind w:left="2160" w:firstLine="0"/>
        <w:jc w:val="center"/>
        <w:rPr>
          <w:sz w:val="24"/>
          <w:lang w:val="en-US"/>
        </w:rPr>
      </w:pPr>
      <w:r w:rsidRPr="00BD4053">
        <w:rPr>
          <w:i/>
          <w:sz w:val="24"/>
          <w:lang w:val="en-US"/>
        </w:rPr>
        <w:t>Party Systems and Voter Alignments :</w:t>
      </w:r>
      <w:r w:rsidRPr="00BD4053">
        <w:rPr>
          <w:i/>
          <w:sz w:val="24"/>
          <w:lang w:val="en-US"/>
        </w:rPr>
        <w:br/>
        <w:t>Cross-National Perspectives</w:t>
      </w:r>
      <w:r w:rsidRPr="00BD4053">
        <w:rPr>
          <w:sz w:val="24"/>
          <w:lang w:val="en-US"/>
        </w:rPr>
        <w:t>,</w:t>
      </w:r>
      <w:r w:rsidRPr="00BD4053">
        <w:rPr>
          <w:sz w:val="24"/>
          <w:lang w:val="en-US"/>
        </w:rPr>
        <w:br/>
        <w:t>New York, The Free Press of Glencoe,</w:t>
      </w:r>
      <w:r w:rsidRPr="00BD4053">
        <w:rPr>
          <w:sz w:val="24"/>
          <w:lang w:val="en-US"/>
        </w:rPr>
        <w:br/>
      </w:r>
      <w:r w:rsidRPr="00BD4053">
        <w:rPr>
          <w:rFonts w:eastAsia="Courier New"/>
          <w:sz w:val="24"/>
          <w:lang w:val="en-US"/>
        </w:rPr>
        <w:t>1967, pp. 3-11.</w:t>
      </w:r>
    </w:p>
    <w:p w:rsidR="009F7C50" w:rsidRPr="00BD4053" w:rsidRDefault="009F7C50" w:rsidP="009F7C50">
      <w:pPr>
        <w:spacing w:before="120" w:after="120"/>
        <w:jc w:val="both"/>
        <w:rPr>
          <w:lang w:val="en-US"/>
        </w:rPr>
      </w:pPr>
    </w:p>
    <w:sectPr w:rsidR="009F7C50" w:rsidRPr="00BD4053" w:rsidSect="009F7C50">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6C" w:rsidRDefault="0033376C">
      <w:r>
        <w:separator/>
      </w:r>
    </w:p>
  </w:endnote>
  <w:endnote w:type="continuationSeparator" w:id="0">
    <w:p w:rsidR="0033376C" w:rsidRDefault="003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6C" w:rsidRDefault="0033376C">
      <w:pPr>
        <w:ind w:firstLine="0"/>
      </w:pPr>
      <w:r>
        <w:separator/>
      </w:r>
    </w:p>
  </w:footnote>
  <w:footnote w:type="continuationSeparator" w:id="0">
    <w:p w:rsidR="0033376C" w:rsidRDefault="0033376C">
      <w:pPr>
        <w:ind w:firstLine="0"/>
      </w:pPr>
      <w:r>
        <w:separator/>
      </w:r>
    </w:p>
  </w:footnote>
  <w:footnote w:id="1">
    <w:p w:rsidR="009F7C50" w:rsidRPr="007E4EEC" w:rsidRDefault="009F7C50" w:rsidP="009F7C50">
      <w:pPr>
        <w:pStyle w:val="Notedebasdepage"/>
        <w:rPr>
          <w:lang w:val="fr-FR"/>
        </w:rPr>
      </w:pPr>
      <w:r>
        <w:rPr>
          <w:rStyle w:val="Appelnotedebasdep"/>
        </w:rPr>
        <w:footnoteRef/>
      </w:r>
      <w:r>
        <w:t xml:space="preserve"> </w:t>
      </w:r>
      <w:r>
        <w:rPr>
          <w:lang w:val="fr-FR"/>
        </w:rPr>
        <w:tab/>
      </w:r>
      <w:r w:rsidRPr="00040820">
        <w:t xml:space="preserve">Pour une analyse très éclairante de la place de la théorie des partis dans l’histoire de la pensée politique, voir Erwin </w:t>
      </w:r>
      <w:r w:rsidRPr="001F40C9">
        <w:rPr>
          <w:smallCaps/>
        </w:rPr>
        <w:t>Faul</w:t>
      </w:r>
      <w:r w:rsidRPr="00040820">
        <w:t>, «</w:t>
      </w:r>
      <w:r>
        <w:t> </w:t>
      </w:r>
      <w:r w:rsidRPr="00040820">
        <w:t>Verfemung, Duldung und Anerkennung des Parteiwessens in der Geschichte des politischen De</w:t>
      </w:r>
      <w:r w:rsidRPr="00040820">
        <w:t>n</w:t>
      </w:r>
      <w:r w:rsidRPr="00040820">
        <w:t>kens</w:t>
      </w:r>
      <w:r>
        <w:t> </w:t>
      </w:r>
      <w:r w:rsidRPr="00040820">
        <w:t xml:space="preserve">», </w:t>
      </w:r>
      <w:r w:rsidRPr="00040820">
        <w:rPr>
          <w:i/>
        </w:rPr>
        <w:t>Pol. Viertelj.schr</w:t>
      </w:r>
      <w:r w:rsidRPr="00040820">
        <w:t>., 5, mars 1964, pp. 60-80.</w:t>
      </w:r>
    </w:p>
  </w:footnote>
  <w:footnote w:id="2">
    <w:p w:rsidR="009F7C50" w:rsidRPr="007E4EEC" w:rsidRDefault="009F7C50" w:rsidP="009F7C50">
      <w:pPr>
        <w:pStyle w:val="Notedebasdepage"/>
        <w:rPr>
          <w:lang w:val="fr-FR"/>
        </w:rPr>
      </w:pPr>
      <w:r>
        <w:rPr>
          <w:rStyle w:val="Appelnotedebasdep"/>
        </w:rPr>
        <w:footnoteRef/>
      </w:r>
      <w:r>
        <w:t xml:space="preserve"> </w:t>
      </w:r>
      <w:r>
        <w:rPr>
          <w:lang w:val="fr-FR"/>
        </w:rPr>
        <w:tab/>
      </w:r>
      <w:r w:rsidRPr="00040820">
        <w:t xml:space="preserve">Pour une discussion générale des usages du terme « parti » dans le contexte d’une analyse comparative des systèmes politiques pluralistes opposés aux systèmes politiques monolithiques, voir G. </w:t>
      </w:r>
      <w:r w:rsidRPr="001F40C9">
        <w:rPr>
          <w:smallCaps/>
        </w:rPr>
        <w:t>Sartori</w:t>
      </w:r>
      <w:r w:rsidRPr="00040820">
        <w:t xml:space="preserve">, </w:t>
      </w:r>
      <w:r w:rsidRPr="001F40C9">
        <w:rPr>
          <w:i/>
        </w:rPr>
        <w:t>Parties and Party Sy</w:t>
      </w:r>
      <w:r w:rsidRPr="001F40C9">
        <w:rPr>
          <w:i/>
        </w:rPr>
        <w:t>s</w:t>
      </w:r>
      <w:r w:rsidRPr="001F40C9">
        <w:rPr>
          <w:i/>
        </w:rPr>
        <w:t>tems</w:t>
      </w:r>
      <w:r w:rsidRPr="00040820">
        <w:t>, New York, Harper and Row, 1967.</w:t>
      </w:r>
    </w:p>
  </w:footnote>
  <w:footnote w:id="3">
    <w:p w:rsidR="009F7C50" w:rsidRPr="00BD4053" w:rsidRDefault="009F7C50" w:rsidP="009F7C50">
      <w:pPr>
        <w:pStyle w:val="Notedebasdepage"/>
        <w:rPr>
          <w:lang w:val="en-US"/>
        </w:rPr>
      </w:pPr>
      <w:r>
        <w:rPr>
          <w:rStyle w:val="Appelnotedebasdep"/>
        </w:rPr>
        <w:footnoteRef/>
      </w:r>
      <w:r w:rsidRPr="00BD4053">
        <w:rPr>
          <w:lang w:val="en-US"/>
        </w:rPr>
        <w:t xml:space="preserve"> </w:t>
      </w:r>
      <w:r w:rsidRPr="00BD4053">
        <w:rPr>
          <w:lang w:val="en-US"/>
        </w:rPr>
        <w:tab/>
        <w:t xml:space="preserve">« Wenn eine Partei eine geschlossene, durch die Verbandsordnung dem Verwaltungsstab eingegliederte Vergesellschaftung wird — wie z. B. die « parte Guelfa » — so ist sie keine Partei mehr, sondern ein Teilverband des politischen Verbandes », </w:t>
      </w:r>
      <w:r w:rsidRPr="00BD4053">
        <w:rPr>
          <w:rFonts w:eastAsia="Courier New"/>
          <w:i/>
          <w:lang w:val="en-US"/>
        </w:rPr>
        <w:t>Wirtschaft und Gesellschaft</w:t>
      </w:r>
      <w:r w:rsidRPr="00BD4053">
        <w:rPr>
          <w:rFonts w:eastAsia="Courier New"/>
          <w:lang w:val="en-US"/>
        </w:rPr>
        <w:t>,</w:t>
      </w:r>
      <w:r w:rsidRPr="00BD4053">
        <w:rPr>
          <w:lang w:val="en-US"/>
        </w:rPr>
        <w:t xml:space="preserve"> 4</w:t>
      </w:r>
      <w:r w:rsidRPr="00BD4053">
        <w:rPr>
          <w:vertAlign w:val="superscript"/>
          <w:lang w:val="en-US"/>
        </w:rPr>
        <w:t>e</w:t>
      </w:r>
      <w:r w:rsidRPr="00BD4053">
        <w:rPr>
          <w:lang w:val="en-US"/>
        </w:rPr>
        <w:t xml:space="preserve"> éd., Tübingen, Mohr, 1956, I, p. 168 ; voir l’essai de traduction dans </w:t>
      </w:r>
      <w:r w:rsidRPr="00BD4053">
        <w:rPr>
          <w:rFonts w:eastAsia="Courier New"/>
          <w:i/>
          <w:lang w:val="en-US"/>
        </w:rPr>
        <w:t>The Theory of Social and Economic Organisation</w:t>
      </w:r>
      <w:r w:rsidRPr="00BD4053">
        <w:rPr>
          <w:rFonts w:eastAsia="Courier New"/>
          <w:lang w:val="en-US"/>
        </w:rPr>
        <w:t>,</w:t>
      </w:r>
      <w:r w:rsidRPr="00BD4053">
        <w:rPr>
          <w:lang w:val="en-US"/>
        </w:rPr>
        <w:t xml:space="preserve"> New York, The Free Press of Glencoe, 1947, pp. 409-410.</w:t>
      </w:r>
    </w:p>
  </w:footnote>
  <w:footnote w:id="4">
    <w:p w:rsidR="009F7C50" w:rsidRPr="00BD4053" w:rsidRDefault="009F7C50" w:rsidP="009F7C50">
      <w:pPr>
        <w:pStyle w:val="Notedebasdepage"/>
        <w:rPr>
          <w:lang w:val="en-US"/>
        </w:rPr>
      </w:pPr>
      <w:r>
        <w:rPr>
          <w:rStyle w:val="Appelnotedebasdep"/>
        </w:rPr>
        <w:footnoteRef/>
      </w:r>
      <w:r w:rsidRPr="00BD4053">
        <w:rPr>
          <w:lang w:val="en-US"/>
        </w:rPr>
        <w:t xml:space="preserve"> </w:t>
      </w:r>
      <w:r w:rsidRPr="00BD4053">
        <w:rPr>
          <w:lang w:val="en-US"/>
        </w:rPr>
        <w:tab/>
        <w:t xml:space="preserve">W. </w:t>
      </w:r>
      <w:r w:rsidRPr="00BD4053">
        <w:rPr>
          <w:rStyle w:val="Corpsdutexte765ptPetitesmajuscules"/>
          <w:rFonts w:eastAsia="Courier New"/>
          <w:sz w:val="28"/>
          <w:lang w:val="en-US"/>
        </w:rPr>
        <w:t xml:space="preserve">Chambers, </w:t>
      </w:r>
      <w:r w:rsidRPr="00BD4053">
        <w:rPr>
          <w:rFonts w:eastAsia="Courier New"/>
          <w:lang w:val="en-US"/>
        </w:rPr>
        <w:t>Parties in a New Nation</w:t>
      </w:r>
      <w:r w:rsidRPr="00BD4053">
        <w:rPr>
          <w:lang w:val="en-US"/>
        </w:rPr>
        <w:t>, New York, Oxford University Press, 1963, p. 80.</w:t>
      </w:r>
    </w:p>
  </w:footnote>
  <w:footnote w:id="5">
    <w:p w:rsidR="009F7C50" w:rsidRPr="00BD4053" w:rsidRDefault="009F7C50" w:rsidP="009F7C50">
      <w:pPr>
        <w:pStyle w:val="Notedebasdepage"/>
        <w:rPr>
          <w:lang w:val="en-US"/>
        </w:rPr>
      </w:pPr>
      <w:r>
        <w:rPr>
          <w:rStyle w:val="Appelnotedebasdep"/>
        </w:rPr>
        <w:footnoteRef/>
      </w:r>
      <w:r w:rsidRPr="00BD4053">
        <w:rPr>
          <w:lang w:val="en-US"/>
        </w:rPr>
        <w:t xml:space="preserve"> </w:t>
      </w:r>
      <w:r w:rsidRPr="00BD4053">
        <w:rPr>
          <w:lang w:val="en-US"/>
        </w:rPr>
        <w:tab/>
        <w:t xml:space="preserve">Ruth </w:t>
      </w:r>
      <w:r w:rsidRPr="00BD4053">
        <w:rPr>
          <w:rStyle w:val="Corpsdutexte765ptPetitesmajuscules"/>
          <w:rFonts w:eastAsia="Courier New"/>
          <w:sz w:val="28"/>
          <w:lang w:val="en-US"/>
        </w:rPr>
        <w:t xml:space="preserve">Schachter, </w:t>
      </w:r>
      <w:r w:rsidRPr="00BD4053">
        <w:rPr>
          <w:lang w:val="en-US"/>
        </w:rPr>
        <w:t xml:space="preserve">« Single-Party Systems in W est Africa », </w:t>
      </w:r>
      <w:r w:rsidRPr="00BD4053">
        <w:rPr>
          <w:rFonts w:eastAsia="Courier New"/>
          <w:i/>
          <w:lang w:val="en-US"/>
        </w:rPr>
        <w:t>American Political Science R</w:t>
      </w:r>
      <w:r w:rsidRPr="00BD4053">
        <w:rPr>
          <w:rFonts w:eastAsia="Courier New"/>
          <w:i/>
          <w:lang w:val="en-US"/>
        </w:rPr>
        <w:t>e</w:t>
      </w:r>
      <w:r w:rsidRPr="00BD4053">
        <w:rPr>
          <w:rFonts w:eastAsia="Courier New"/>
          <w:i/>
          <w:lang w:val="en-US"/>
        </w:rPr>
        <w:t>view</w:t>
      </w:r>
      <w:r w:rsidRPr="00BD4053">
        <w:rPr>
          <w:lang w:val="en-US"/>
        </w:rPr>
        <w:t>, 45, 1961, p. 301.</w:t>
      </w:r>
    </w:p>
  </w:footnote>
  <w:footnote w:id="6">
    <w:p w:rsidR="009F7C50" w:rsidRPr="00BD4053" w:rsidRDefault="009F7C50" w:rsidP="009F7C50">
      <w:pPr>
        <w:pStyle w:val="Notedebasdepage"/>
        <w:rPr>
          <w:lang w:val="en-US"/>
        </w:rPr>
      </w:pPr>
      <w:r>
        <w:rPr>
          <w:rStyle w:val="Appelnotedebasdep"/>
        </w:rPr>
        <w:footnoteRef/>
      </w:r>
      <w:r w:rsidRPr="00BD4053">
        <w:rPr>
          <w:lang w:val="en-US"/>
        </w:rPr>
        <w:t xml:space="preserve"> </w:t>
      </w:r>
      <w:r w:rsidRPr="00BD4053">
        <w:rPr>
          <w:lang w:val="en-US"/>
        </w:rPr>
        <w:tab/>
        <w:t xml:space="preserve">Pour une analyse générale de ce processus, voir S. M. </w:t>
      </w:r>
      <w:r w:rsidRPr="00BD4053">
        <w:rPr>
          <w:smallCaps/>
          <w:lang w:val="en-US"/>
        </w:rPr>
        <w:t>Lipset</w:t>
      </w:r>
      <w:r w:rsidRPr="00BD4053">
        <w:rPr>
          <w:lang w:val="en-US"/>
        </w:rPr>
        <w:t xml:space="preserve"> </w:t>
      </w:r>
      <w:r w:rsidRPr="00BD4053">
        <w:rPr>
          <w:i/>
          <w:lang w:val="en-US"/>
        </w:rPr>
        <w:t>et al</w:t>
      </w:r>
      <w:r w:rsidRPr="00BD4053">
        <w:rPr>
          <w:lang w:val="en-US"/>
        </w:rPr>
        <w:t xml:space="preserve">, </w:t>
      </w:r>
      <w:r w:rsidRPr="00BD4053">
        <w:rPr>
          <w:i/>
          <w:lang w:val="en-US"/>
        </w:rPr>
        <w:t>Union Democracy</w:t>
      </w:r>
      <w:r w:rsidRPr="00BD4053">
        <w:rPr>
          <w:lang w:val="en-US"/>
        </w:rPr>
        <w:t>, New York, The Free Press of Glencoe, 1956, pp. 268-269.</w:t>
      </w:r>
    </w:p>
  </w:footnote>
  <w:footnote w:id="7">
    <w:p w:rsidR="009F7C50" w:rsidRPr="00081A97" w:rsidRDefault="009F7C50" w:rsidP="009F7C50">
      <w:pPr>
        <w:pStyle w:val="Notedebasdepage"/>
        <w:rPr>
          <w:lang w:val="fr-FR"/>
        </w:rPr>
      </w:pPr>
      <w:r>
        <w:rPr>
          <w:rStyle w:val="Appelnotedebasdep"/>
        </w:rPr>
        <w:footnoteRef/>
      </w:r>
      <w:r>
        <w:t xml:space="preserve"> </w:t>
      </w:r>
      <w:r>
        <w:rPr>
          <w:lang w:val="fr-FR"/>
        </w:rPr>
        <w:tab/>
      </w:r>
      <w:r w:rsidRPr="00040820">
        <w:t xml:space="preserve">E. A. </w:t>
      </w:r>
      <w:r w:rsidRPr="00081A97">
        <w:rPr>
          <w:smallCaps/>
        </w:rPr>
        <w:t>Ross</w:t>
      </w:r>
      <w:r w:rsidRPr="00040820">
        <w:t xml:space="preserve">, </w:t>
      </w:r>
      <w:r w:rsidRPr="00040820">
        <w:rPr>
          <w:i/>
        </w:rPr>
        <w:t>The Principles of Sociology</w:t>
      </w:r>
      <w:r w:rsidRPr="00040820">
        <w:t>, New York,</w:t>
      </w:r>
      <w:r>
        <w:t xml:space="preserve"> Century, 1920 pp. 164-165 (« L</w:t>
      </w:r>
      <w:r w:rsidRPr="00040820">
        <w:t>a société est cimentée par ses conflits i</w:t>
      </w:r>
      <w:r w:rsidRPr="00040820">
        <w:t>n</w:t>
      </w:r>
      <w:r w:rsidRPr="00040820">
        <w:t>ternes</w:t>
      </w:r>
      <w:r>
        <w:t> </w:t>
      </w:r>
      <w:r w:rsidRPr="00040820">
        <w:t>»).</w:t>
      </w:r>
    </w:p>
  </w:footnote>
  <w:footnote w:id="8">
    <w:p w:rsidR="009F7C50" w:rsidRPr="00081A97" w:rsidRDefault="009F7C50" w:rsidP="009F7C50">
      <w:pPr>
        <w:pStyle w:val="Notedebasdepage"/>
        <w:rPr>
          <w:lang w:val="fr-FR"/>
        </w:rPr>
      </w:pPr>
      <w:r>
        <w:rPr>
          <w:rStyle w:val="Appelnotedebasdep"/>
        </w:rPr>
        <w:footnoteRef/>
      </w:r>
      <w:r>
        <w:t xml:space="preserve"> </w:t>
      </w:r>
      <w:r>
        <w:rPr>
          <w:lang w:val="fr-FR"/>
        </w:rPr>
        <w:tab/>
      </w:r>
      <w:r w:rsidRPr="00040820">
        <w:t xml:space="preserve">G. </w:t>
      </w:r>
      <w:r w:rsidRPr="00081A97">
        <w:rPr>
          <w:smallCaps/>
        </w:rPr>
        <w:t>Simmel</w:t>
      </w:r>
      <w:r w:rsidRPr="00040820">
        <w:t xml:space="preserve">, </w:t>
      </w:r>
      <w:r w:rsidRPr="00040820">
        <w:rPr>
          <w:i/>
        </w:rPr>
        <w:t>Soziologie</w:t>
      </w:r>
      <w:r w:rsidRPr="00040820">
        <w:t>, Berlin, Duncker und Humblot, 1923 et 1958, chap. IV</w:t>
      </w:r>
      <w:r>
        <w:t> </w:t>
      </w:r>
      <w:r w:rsidRPr="00040820">
        <w:t xml:space="preserve">; en voir la traduction dans </w:t>
      </w:r>
      <w:r w:rsidRPr="00040820">
        <w:rPr>
          <w:i/>
        </w:rPr>
        <w:t>Conflict and the Web of Group Affiliations</w:t>
      </w:r>
      <w:r w:rsidRPr="00040820">
        <w:t>, New York, The Free Press of Glencoe, 1964</w:t>
      </w:r>
    </w:p>
  </w:footnote>
  <w:footnote w:id="9">
    <w:p w:rsidR="009F7C50" w:rsidRPr="00BD4053" w:rsidRDefault="009F7C50" w:rsidP="009F7C50">
      <w:pPr>
        <w:pStyle w:val="Notedebasdepage"/>
        <w:rPr>
          <w:lang w:val="en-US"/>
        </w:rPr>
      </w:pPr>
      <w:r>
        <w:rPr>
          <w:rStyle w:val="Appelnotedebasdep"/>
        </w:rPr>
        <w:footnoteRef/>
      </w:r>
      <w:r w:rsidRPr="00BD4053">
        <w:rPr>
          <w:lang w:val="en-US"/>
        </w:rPr>
        <w:t xml:space="preserve"> </w:t>
      </w:r>
      <w:r w:rsidRPr="00BD4053">
        <w:rPr>
          <w:lang w:val="en-US"/>
        </w:rPr>
        <w:tab/>
        <w:t xml:space="preserve">T. </w:t>
      </w:r>
      <w:r w:rsidRPr="00BD4053">
        <w:rPr>
          <w:smallCaps/>
          <w:lang w:val="en-US"/>
        </w:rPr>
        <w:t>Parsons</w:t>
      </w:r>
      <w:r w:rsidRPr="00BD4053">
        <w:rPr>
          <w:lang w:val="en-US"/>
        </w:rPr>
        <w:t xml:space="preserve">, R. F. </w:t>
      </w:r>
      <w:r w:rsidRPr="00BD4053">
        <w:rPr>
          <w:smallCaps/>
          <w:lang w:val="en-US"/>
        </w:rPr>
        <w:t>Bales</w:t>
      </w:r>
      <w:r w:rsidRPr="00BD4053">
        <w:rPr>
          <w:lang w:val="en-US"/>
        </w:rPr>
        <w:t xml:space="preserve"> et K. A. </w:t>
      </w:r>
      <w:r w:rsidRPr="00BD4053">
        <w:rPr>
          <w:smallCaps/>
          <w:lang w:val="en-US"/>
        </w:rPr>
        <w:t>Shils</w:t>
      </w:r>
      <w:r w:rsidRPr="00BD4053">
        <w:rPr>
          <w:lang w:val="en-US"/>
        </w:rPr>
        <w:t xml:space="preserve">, </w:t>
      </w:r>
      <w:r w:rsidRPr="00BD4053">
        <w:rPr>
          <w:i/>
          <w:lang w:val="en-US"/>
        </w:rPr>
        <w:t>Working Papers in the Theory of Action</w:t>
      </w:r>
      <w:r w:rsidRPr="00BD4053">
        <w:rPr>
          <w:lang w:val="en-US"/>
        </w:rPr>
        <w:t>, New York, The Free Press of Glencoe, 1953, chap. 3 et 5.</w:t>
      </w:r>
    </w:p>
    <w:p w:rsidR="009F7C50" w:rsidRPr="00081A97" w:rsidRDefault="009F7C50" w:rsidP="009F7C50">
      <w:pPr>
        <w:pStyle w:val="Notedebasdepage"/>
        <w:rPr>
          <w:lang w:val="fr-FR"/>
        </w:rPr>
      </w:pPr>
      <w:r w:rsidRPr="00BD4053">
        <w:rPr>
          <w:lang w:val="en-US"/>
        </w:rPr>
        <w:tab/>
      </w:r>
      <w:r w:rsidRPr="00040820">
        <w:t>On trouve le premier développement approfondi de ce schéma dans T. Pa</w:t>
      </w:r>
      <w:r w:rsidRPr="00040820">
        <w:t>r</w:t>
      </w:r>
      <w:r w:rsidRPr="00040820">
        <w:t xml:space="preserve">sons et N. J. Smelser, </w:t>
      </w:r>
      <w:r w:rsidRPr="00040820">
        <w:rPr>
          <w:i/>
        </w:rPr>
        <w:t>Economy and Society</w:t>
      </w:r>
      <w:r>
        <w:t>, Lon</w:t>
      </w:r>
      <w:r w:rsidRPr="00040820">
        <w:t>dres, Ro</w:t>
      </w:r>
      <w:r w:rsidRPr="00040820">
        <w:t>u</w:t>
      </w:r>
      <w:r w:rsidRPr="00040820">
        <w:t xml:space="preserve">tledge, 1956. On trouve un nouvel énoncé dans T. </w:t>
      </w:r>
      <w:r w:rsidRPr="00081A97">
        <w:rPr>
          <w:smallCaps/>
        </w:rPr>
        <w:t>Parsons</w:t>
      </w:r>
      <w:r w:rsidRPr="00040820">
        <w:t>, «</w:t>
      </w:r>
      <w:r>
        <w:t> </w:t>
      </w:r>
      <w:r w:rsidRPr="00040820">
        <w:t>General Theory in sociology</w:t>
      </w:r>
      <w:r>
        <w:t> </w:t>
      </w:r>
      <w:r w:rsidRPr="00040820">
        <w:t xml:space="preserve">», dans R. K. </w:t>
      </w:r>
      <w:r w:rsidRPr="00081A97">
        <w:rPr>
          <w:smallCaps/>
        </w:rPr>
        <w:t>Merton</w:t>
      </w:r>
      <w:r w:rsidRPr="00040820">
        <w:t xml:space="preserve"> </w:t>
      </w:r>
      <w:r w:rsidRPr="00081A97">
        <w:rPr>
          <w:i/>
        </w:rPr>
        <w:t>et al</w:t>
      </w:r>
      <w:r w:rsidRPr="00040820">
        <w:t xml:space="preserve">. (ed.), </w:t>
      </w:r>
      <w:r w:rsidRPr="00040820">
        <w:rPr>
          <w:i/>
        </w:rPr>
        <w:t>S</w:t>
      </w:r>
      <w:r w:rsidRPr="00040820">
        <w:rPr>
          <w:i/>
        </w:rPr>
        <w:t>o</w:t>
      </w:r>
      <w:r>
        <w:rPr>
          <w:i/>
        </w:rPr>
        <w:t>ciology to</w:t>
      </w:r>
      <w:r w:rsidRPr="00040820">
        <w:rPr>
          <w:i/>
        </w:rPr>
        <w:t>day</w:t>
      </w:r>
      <w:r w:rsidRPr="00040820">
        <w:t>, New York, Basic Books, 1959, pp. 39-78. D’importantes révisions de ce schéma furent</w:t>
      </w:r>
      <w:r>
        <w:t xml:space="preserve"> </w:t>
      </w:r>
      <w:r w:rsidRPr="00084FC9">
        <w:t xml:space="preserve">esquissées dans T. </w:t>
      </w:r>
      <w:r w:rsidRPr="00081A97">
        <w:rPr>
          <w:smallCaps/>
        </w:rPr>
        <w:t>Parsons</w:t>
      </w:r>
      <w:r w:rsidRPr="00084FC9">
        <w:t xml:space="preserve">, </w:t>
      </w:r>
      <w:r>
        <w:t>« </w:t>
      </w:r>
      <w:r w:rsidRPr="00084FC9">
        <w:t>Pattern variables revisited</w:t>
      </w:r>
      <w:r>
        <w:t> »</w:t>
      </w:r>
      <w:r w:rsidRPr="00084FC9">
        <w:t xml:space="preserve">, </w:t>
      </w:r>
      <w:r w:rsidRPr="0059591E">
        <w:rPr>
          <w:rFonts w:eastAsia="Courier New"/>
          <w:i/>
        </w:rPr>
        <w:t>American Sociological R</w:t>
      </w:r>
      <w:r w:rsidRPr="0059591E">
        <w:rPr>
          <w:rFonts w:eastAsia="Courier New"/>
          <w:i/>
        </w:rPr>
        <w:t>e</w:t>
      </w:r>
      <w:r w:rsidRPr="0059591E">
        <w:rPr>
          <w:rFonts w:eastAsia="Courier New"/>
          <w:i/>
        </w:rPr>
        <w:t>view</w:t>
      </w:r>
      <w:r w:rsidRPr="00084FC9">
        <w:rPr>
          <w:rFonts w:eastAsia="Courier New"/>
        </w:rPr>
        <w:t>,</w:t>
      </w:r>
      <w:r>
        <w:t xml:space="preserve"> 25, 1</w:t>
      </w:r>
      <w:r w:rsidRPr="00084FC9">
        <w:t xml:space="preserve">960, pp. 467-483, et ont été présentées avec plus de détails dans </w:t>
      </w:r>
      <w:r>
        <w:t>« </w:t>
      </w:r>
      <w:r w:rsidRPr="00084FC9">
        <w:t>On the concept of political power</w:t>
      </w:r>
      <w:r>
        <w:t> »</w:t>
      </w:r>
      <w:r w:rsidRPr="00084FC9">
        <w:t xml:space="preserve">, </w:t>
      </w:r>
      <w:r w:rsidRPr="00084FC9">
        <w:rPr>
          <w:rFonts w:eastAsia="Courier New"/>
        </w:rPr>
        <w:t>Proceeding of American Phil</w:t>
      </w:r>
      <w:r w:rsidRPr="00084FC9">
        <w:rPr>
          <w:rFonts w:eastAsia="Courier New"/>
        </w:rPr>
        <w:t>o</w:t>
      </w:r>
      <w:r w:rsidRPr="00084FC9">
        <w:rPr>
          <w:rFonts w:eastAsia="Courier New"/>
        </w:rPr>
        <w:t>sophy and Soci</w:t>
      </w:r>
      <w:r w:rsidRPr="00084FC9">
        <w:rPr>
          <w:rFonts w:eastAsia="Courier New"/>
        </w:rPr>
        <w:t>o</w:t>
      </w:r>
      <w:r w:rsidRPr="00084FC9">
        <w:rPr>
          <w:rFonts w:eastAsia="Courier New"/>
        </w:rPr>
        <w:t>logy,</w:t>
      </w:r>
      <w:r>
        <w:t xml:space="preserve"> 107, 1963, pp.</w:t>
      </w:r>
      <w:r w:rsidRPr="00084FC9">
        <w:t xml:space="preserve"> 232-262. Pour une tentative d’utilisation du schéma parsonien dans l’analyse politique, voir W. </w:t>
      </w:r>
      <w:r w:rsidRPr="00690E00">
        <w:rPr>
          <w:smallCaps/>
        </w:rPr>
        <w:t xml:space="preserve">Mitchell, </w:t>
      </w:r>
      <w:r w:rsidRPr="00690E00">
        <w:t>The Polity,</w:t>
      </w:r>
      <w:r w:rsidRPr="00084FC9">
        <w:t xml:space="preserve"> New York, The Free Press, 1962</w:t>
      </w:r>
      <w:r>
        <w:t> ;</w:t>
      </w:r>
      <w:r w:rsidRPr="00084FC9">
        <w:t xml:space="preserve"> voir aussi son récent </w:t>
      </w:r>
      <w:r w:rsidRPr="0059591E">
        <w:rPr>
          <w:rFonts w:eastAsia="Courier New"/>
          <w:i/>
        </w:rPr>
        <w:t>Sociological Anal</w:t>
      </w:r>
      <w:r w:rsidRPr="0059591E">
        <w:rPr>
          <w:rFonts w:eastAsia="Courier New"/>
          <w:i/>
        </w:rPr>
        <w:t>y</w:t>
      </w:r>
      <w:r w:rsidRPr="0059591E">
        <w:rPr>
          <w:rFonts w:eastAsia="Courier New"/>
          <w:i/>
        </w:rPr>
        <w:t>sis and Politics : The theories of Talcott Parsons</w:t>
      </w:r>
      <w:r>
        <w:t>, E</w:t>
      </w:r>
      <w:r w:rsidRPr="00084FC9">
        <w:t>n</w:t>
      </w:r>
      <w:r>
        <w:t>glew</w:t>
      </w:r>
      <w:r w:rsidRPr="00084FC9">
        <w:t>ood Cliffs, Prent</w:t>
      </w:r>
      <w:r w:rsidRPr="00084FC9">
        <w:t>i</w:t>
      </w:r>
      <w:r w:rsidRPr="00084FC9">
        <w:t>ce Hall, 1967.</w:t>
      </w:r>
    </w:p>
  </w:footnote>
  <w:footnote w:id="10">
    <w:p w:rsidR="009F7C50" w:rsidRPr="00F24836" w:rsidRDefault="009F7C50" w:rsidP="009F7C50">
      <w:pPr>
        <w:pStyle w:val="Notedebasdepage"/>
      </w:pPr>
      <w:r>
        <w:rPr>
          <w:rStyle w:val="Appelnotedebasdep"/>
        </w:rPr>
        <w:footnoteRef/>
      </w:r>
      <w:r>
        <w:t xml:space="preserve"> </w:t>
      </w:r>
      <w:r>
        <w:rPr>
          <w:lang w:val="fr-FR"/>
        </w:rPr>
        <w:tab/>
      </w:r>
      <w:r w:rsidRPr="00F24836">
        <w:t>Parsons a précisé les « intrants » et les « extrants » des rel</w:t>
      </w:r>
      <w:r w:rsidRPr="00F24836">
        <w:t>a</w:t>
      </w:r>
      <w:r w:rsidRPr="00F24836">
        <w:t>tions d’échange entre I et G en ces termes :</w:t>
      </w:r>
    </w:p>
    <w:tbl>
      <w:tblPr>
        <w:tblW w:w="0" w:type="auto"/>
        <w:tblInd w:w="648" w:type="dxa"/>
        <w:tblLook w:val="00BF" w:firstRow="1" w:lastRow="0" w:firstColumn="1" w:lastColumn="0" w:noHBand="0" w:noVBand="0"/>
      </w:tblPr>
      <w:tblGrid>
        <w:gridCol w:w="2038"/>
        <w:gridCol w:w="3902"/>
        <w:gridCol w:w="1472"/>
      </w:tblGrid>
      <w:tr w:rsidR="009F7C50">
        <w:tc>
          <w:tcPr>
            <w:tcW w:w="2038" w:type="dxa"/>
          </w:tcPr>
          <w:p w:rsidR="009F7C50" w:rsidRPr="00690E00" w:rsidRDefault="009F7C50" w:rsidP="009F7C50">
            <w:pPr>
              <w:ind w:firstLine="0"/>
              <w:jc w:val="both"/>
              <w:rPr>
                <w:sz w:val="24"/>
              </w:rPr>
            </w:pPr>
          </w:p>
        </w:tc>
        <w:tc>
          <w:tcPr>
            <w:tcW w:w="3902" w:type="dxa"/>
          </w:tcPr>
          <w:p w:rsidR="009F7C50" w:rsidRPr="00690E00" w:rsidRDefault="009F7C50" w:rsidP="009F7C50">
            <w:pPr>
              <w:ind w:firstLine="0"/>
              <w:jc w:val="both"/>
              <w:rPr>
                <w:sz w:val="24"/>
              </w:rPr>
            </w:pPr>
            <w:r w:rsidRPr="00690E00">
              <w:rPr>
                <w:sz w:val="24"/>
              </w:rPr>
              <w:t>Soutien général</w:t>
            </w:r>
            <w:r w:rsidRPr="00690E00">
              <w:rPr>
                <w:sz w:val="24"/>
              </w:rPr>
              <w:br/>
              <w:t>«------------------</w:t>
            </w:r>
          </w:p>
        </w:tc>
        <w:tc>
          <w:tcPr>
            <w:tcW w:w="1472" w:type="dxa"/>
          </w:tcPr>
          <w:p w:rsidR="009F7C50" w:rsidRPr="00690E00" w:rsidRDefault="009F7C50" w:rsidP="009F7C50">
            <w:pPr>
              <w:ind w:firstLine="0"/>
              <w:jc w:val="both"/>
              <w:rPr>
                <w:sz w:val="24"/>
              </w:rPr>
            </w:pPr>
          </w:p>
        </w:tc>
      </w:tr>
      <w:tr w:rsidR="009F7C50">
        <w:tc>
          <w:tcPr>
            <w:tcW w:w="2038" w:type="dxa"/>
          </w:tcPr>
          <w:p w:rsidR="009F7C50" w:rsidRPr="00690E00" w:rsidRDefault="009F7C50" w:rsidP="009F7C50">
            <w:pPr>
              <w:ind w:firstLine="0"/>
              <w:jc w:val="both"/>
              <w:rPr>
                <w:sz w:val="24"/>
              </w:rPr>
            </w:pPr>
          </w:p>
        </w:tc>
        <w:tc>
          <w:tcPr>
            <w:tcW w:w="3902" w:type="dxa"/>
          </w:tcPr>
          <w:p w:rsidR="009F7C50" w:rsidRPr="00690E00" w:rsidRDefault="009F7C50" w:rsidP="009F7C50">
            <w:pPr>
              <w:ind w:firstLine="0"/>
              <w:jc w:val="both"/>
              <w:rPr>
                <w:sz w:val="24"/>
              </w:rPr>
            </w:pPr>
            <w:r w:rsidRPr="00690E00">
              <w:rPr>
                <w:sz w:val="24"/>
              </w:rPr>
              <w:t>Direction effective</w:t>
            </w:r>
            <w:r w:rsidRPr="00690E00">
              <w:rPr>
                <w:sz w:val="24"/>
              </w:rPr>
              <w:br/>
              <w:t>-----------------------»</w:t>
            </w:r>
          </w:p>
        </w:tc>
        <w:tc>
          <w:tcPr>
            <w:tcW w:w="1472" w:type="dxa"/>
          </w:tcPr>
          <w:p w:rsidR="009F7C50" w:rsidRPr="00690E00" w:rsidRDefault="009F7C50" w:rsidP="009F7C50">
            <w:pPr>
              <w:ind w:firstLine="0"/>
              <w:jc w:val="both"/>
              <w:rPr>
                <w:sz w:val="24"/>
              </w:rPr>
            </w:pPr>
          </w:p>
        </w:tc>
      </w:tr>
      <w:tr w:rsidR="009F7C50">
        <w:tc>
          <w:tcPr>
            <w:tcW w:w="2038" w:type="dxa"/>
          </w:tcPr>
          <w:p w:rsidR="009F7C50" w:rsidRPr="00690E00" w:rsidRDefault="009F7C50" w:rsidP="009F7C50">
            <w:pPr>
              <w:ind w:firstLine="0"/>
              <w:jc w:val="both"/>
              <w:rPr>
                <w:sz w:val="24"/>
              </w:rPr>
            </w:pPr>
            <w:r w:rsidRPr="00690E00">
              <w:rPr>
                <w:sz w:val="24"/>
              </w:rPr>
              <w:t>G. Politique</w:t>
            </w:r>
          </w:p>
        </w:tc>
        <w:tc>
          <w:tcPr>
            <w:tcW w:w="3902" w:type="dxa"/>
          </w:tcPr>
          <w:p w:rsidR="009F7C50" w:rsidRPr="00690E00" w:rsidRDefault="009F7C50" w:rsidP="009F7C50">
            <w:pPr>
              <w:ind w:firstLine="0"/>
              <w:jc w:val="both"/>
              <w:rPr>
                <w:sz w:val="24"/>
              </w:rPr>
            </w:pPr>
            <w:r w:rsidRPr="00690E00">
              <w:rPr>
                <w:sz w:val="24"/>
              </w:rPr>
              <w:t>Soutien des programmes polit</w:t>
            </w:r>
            <w:r w:rsidRPr="00690E00">
              <w:rPr>
                <w:sz w:val="24"/>
              </w:rPr>
              <w:t>i</w:t>
            </w:r>
            <w:r w:rsidRPr="00690E00">
              <w:rPr>
                <w:sz w:val="24"/>
              </w:rPr>
              <w:t>ques</w:t>
            </w:r>
            <w:r w:rsidRPr="00690E00">
              <w:rPr>
                <w:sz w:val="24"/>
              </w:rPr>
              <w:br/>
              <w:t>«-----------------------------------</w:t>
            </w:r>
          </w:p>
        </w:tc>
        <w:tc>
          <w:tcPr>
            <w:tcW w:w="1472" w:type="dxa"/>
          </w:tcPr>
          <w:p w:rsidR="009F7C50" w:rsidRPr="00690E00" w:rsidRDefault="009F7C50" w:rsidP="009F7C50">
            <w:pPr>
              <w:ind w:firstLine="0"/>
              <w:jc w:val="both"/>
              <w:rPr>
                <w:sz w:val="24"/>
              </w:rPr>
            </w:pPr>
            <w:r w:rsidRPr="00690E00">
              <w:rPr>
                <w:sz w:val="24"/>
              </w:rPr>
              <w:t>Public I</w:t>
            </w:r>
          </w:p>
        </w:tc>
      </w:tr>
      <w:tr w:rsidR="009F7C50">
        <w:tc>
          <w:tcPr>
            <w:tcW w:w="2038" w:type="dxa"/>
          </w:tcPr>
          <w:p w:rsidR="009F7C50" w:rsidRPr="00690E00" w:rsidRDefault="009F7C50" w:rsidP="009F7C50">
            <w:pPr>
              <w:ind w:firstLine="0"/>
              <w:jc w:val="both"/>
              <w:rPr>
                <w:sz w:val="24"/>
              </w:rPr>
            </w:pPr>
          </w:p>
        </w:tc>
        <w:tc>
          <w:tcPr>
            <w:tcW w:w="3902" w:type="dxa"/>
          </w:tcPr>
          <w:p w:rsidR="009F7C50" w:rsidRPr="00690E00" w:rsidRDefault="009F7C50" w:rsidP="009F7C50">
            <w:pPr>
              <w:ind w:firstLine="0"/>
              <w:jc w:val="both"/>
              <w:rPr>
                <w:sz w:val="24"/>
              </w:rPr>
            </w:pPr>
            <w:r w:rsidRPr="00690E00">
              <w:rPr>
                <w:sz w:val="24"/>
              </w:rPr>
              <w:t>Décisions contraignantes</w:t>
            </w:r>
            <w:r w:rsidRPr="00690E00">
              <w:rPr>
                <w:sz w:val="24"/>
              </w:rPr>
              <w:br/>
              <w:t>---------------------------»</w:t>
            </w:r>
          </w:p>
        </w:tc>
        <w:tc>
          <w:tcPr>
            <w:tcW w:w="1472" w:type="dxa"/>
          </w:tcPr>
          <w:p w:rsidR="009F7C50" w:rsidRPr="00690E00" w:rsidRDefault="009F7C50" w:rsidP="009F7C50">
            <w:pPr>
              <w:ind w:firstLine="0"/>
              <w:jc w:val="both"/>
              <w:rPr>
                <w:sz w:val="24"/>
              </w:rPr>
            </w:pPr>
          </w:p>
        </w:tc>
      </w:tr>
    </w:tbl>
    <w:p w:rsidR="009F7C50" w:rsidRDefault="009F7C50" w:rsidP="009F7C50">
      <w:pPr>
        <w:pStyle w:val="Notedebasdepage"/>
      </w:pPr>
    </w:p>
    <w:p w:rsidR="009F7C50" w:rsidRPr="00BD4053" w:rsidRDefault="009F7C50" w:rsidP="009F7C50">
      <w:pPr>
        <w:pStyle w:val="Notedebasdepage"/>
        <w:rPr>
          <w:lang w:val="en-US"/>
        </w:rPr>
      </w:pPr>
      <w:r w:rsidRPr="00BD4053">
        <w:rPr>
          <w:lang w:val="en-US"/>
        </w:rPr>
        <w:tab/>
        <w:t xml:space="preserve">Voir E. </w:t>
      </w:r>
      <w:r w:rsidRPr="00BD4053">
        <w:rPr>
          <w:smallCaps/>
          <w:lang w:val="en-US"/>
        </w:rPr>
        <w:t>Burdick</w:t>
      </w:r>
      <w:r w:rsidRPr="00BD4053">
        <w:rPr>
          <w:lang w:val="en-US"/>
        </w:rPr>
        <w:t xml:space="preserve"> et A. </w:t>
      </w:r>
      <w:r w:rsidRPr="00BD4053">
        <w:rPr>
          <w:smallCaps/>
          <w:lang w:val="en-US"/>
        </w:rPr>
        <w:t>Brodbeck</w:t>
      </w:r>
      <w:r w:rsidRPr="00BD4053">
        <w:rPr>
          <w:lang w:val="en-US"/>
        </w:rPr>
        <w:t>, « Voting and the equilibrium of the am</w:t>
      </w:r>
      <w:r w:rsidRPr="00BD4053">
        <w:rPr>
          <w:lang w:val="en-US"/>
        </w:rPr>
        <w:t>e</w:t>
      </w:r>
      <w:r w:rsidRPr="00BD4053">
        <w:rPr>
          <w:lang w:val="en-US"/>
        </w:rPr>
        <w:t>r</w:t>
      </w:r>
      <w:r w:rsidRPr="00BD4053">
        <w:rPr>
          <w:lang w:val="en-US"/>
        </w:rPr>
        <w:t>i</w:t>
      </w:r>
      <w:r w:rsidRPr="00BD4053">
        <w:rPr>
          <w:lang w:val="en-US"/>
        </w:rPr>
        <w:t xml:space="preserve">can political System », dans </w:t>
      </w:r>
      <w:r w:rsidRPr="00BD4053">
        <w:rPr>
          <w:i/>
          <w:lang w:val="en-US"/>
        </w:rPr>
        <w:t>American Voting Behavior</w:t>
      </w:r>
      <w:r w:rsidRPr="00BD4053">
        <w:rPr>
          <w:lang w:val="en-US"/>
        </w:rPr>
        <w:t>, New York, The Free Press of Glencoe, 1959, pp. 80-120.</w:t>
      </w:r>
    </w:p>
  </w:footnote>
  <w:footnote w:id="11">
    <w:p w:rsidR="009F7C50" w:rsidRPr="008141F1" w:rsidRDefault="009F7C50" w:rsidP="009F7C50">
      <w:pPr>
        <w:pStyle w:val="Notedebasdepage"/>
        <w:rPr>
          <w:lang w:val="fr-FR"/>
        </w:rPr>
      </w:pPr>
      <w:r>
        <w:rPr>
          <w:rStyle w:val="Appelnotedebasdep"/>
        </w:rPr>
        <w:footnoteRef/>
      </w:r>
      <w:r>
        <w:t xml:space="preserve"> </w:t>
      </w:r>
      <w:r>
        <w:rPr>
          <w:lang w:val="fr-FR"/>
        </w:rPr>
        <w:tab/>
      </w:r>
      <w:r w:rsidRPr="001053DD">
        <w:t xml:space="preserve">Talcott </w:t>
      </w:r>
      <w:r w:rsidRPr="00D36D3D">
        <w:rPr>
          <w:smallCaps/>
        </w:rPr>
        <w:t xml:space="preserve">Parsons, </w:t>
      </w:r>
      <w:r w:rsidRPr="001053DD">
        <w:t>dans une communication privée, a mis en évidence un certain nombre de difficultés dans ces formulations. Nous avons isolé les a</w:t>
      </w:r>
      <w:r w:rsidRPr="001053DD">
        <w:t>t</w:t>
      </w:r>
      <w:r w:rsidRPr="001053DD">
        <w:t>tributs fonctionnels dominants d’une série d’actes politiques concrets sans prendre en considération leurs nombre</w:t>
      </w:r>
      <w:r w:rsidRPr="001053DD">
        <w:t>u</w:t>
      </w:r>
      <w:r w:rsidRPr="001053DD">
        <w:t>ses fonctions secondaires. Il est clair qu’un vote peut être traité comme un acte de soutien d’un mouve</w:t>
      </w:r>
      <w:r>
        <w:t>ment part</w:t>
      </w:r>
      <w:r>
        <w:t>i</w:t>
      </w:r>
      <w:r>
        <w:t>culier (L</w:t>
      </w:r>
      <w:r w:rsidRPr="001053DD">
        <w:t>-</w:t>
      </w:r>
      <w:r>
        <w:t>I</w:t>
      </w:r>
      <w:r w:rsidRPr="001053DD">
        <w:t>) ou d’un ensemble particulier de leaders (I-G), aussi bien que comme un acte caractéristique des relations d’échanges directes entre les ménages et les autorités territ</w:t>
      </w:r>
      <w:r w:rsidRPr="001053DD">
        <w:t>o</w:t>
      </w:r>
      <w:r w:rsidRPr="001053DD">
        <w:t>riales constitué</w:t>
      </w:r>
      <w:r>
        <w:t>es (L</w:t>
      </w:r>
      <w:r w:rsidRPr="001053DD">
        <w:t>-G). Nous soutenons que dans l’étude de la politique électorale de masse des systèmes compétitifs o</w:t>
      </w:r>
      <w:r w:rsidRPr="001053DD">
        <w:t>c</w:t>
      </w:r>
      <w:r w:rsidRPr="001053DD">
        <w:t>cide</w:t>
      </w:r>
      <w:r w:rsidRPr="001053DD">
        <w:t>n</w:t>
      </w:r>
      <w:r w:rsidRPr="001053DD">
        <w:t>taux, on doit faire une distinction décisive entre le vote, acte formel de lég</w:t>
      </w:r>
      <w:r w:rsidRPr="001053DD">
        <w:t>i</w:t>
      </w:r>
      <w:r w:rsidRPr="001053DD">
        <w:t>timation (le représentant élu est légitimé par le total des votes, même par ceux de ses opposants), et le vote, expression d’une fidélité au Parti. L’unification des procédures électorales et la formalisation de l’acte de pr</w:t>
      </w:r>
      <w:r w:rsidRPr="001053DD">
        <w:t>é</w:t>
      </w:r>
      <w:r w:rsidRPr="001053DD">
        <w:t>férence atténue ce</w:t>
      </w:r>
      <w:r w:rsidRPr="001053DD">
        <w:t>t</w:t>
      </w:r>
      <w:r w:rsidRPr="001053DD">
        <w:t>te distinction entre lé</w:t>
      </w:r>
      <w:r>
        <w:t>gitimation (L-G) et soutien (L-I</w:t>
      </w:r>
      <w:r w:rsidRPr="001053DD">
        <w:t>)</w:t>
      </w:r>
      <w:r>
        <w:t>.</w:t>
      </w:r>
      <w:r w:rsidRPr="001053DD">
        <w:t xml:space="preserve"> Pour une plus ample discussion de ces problèmes, voir S. </w:t>
      </w:r>
      <w:r w:rsidRPr="00D36D3D">
        <w:rPr>
          <w:smallCaps/>
        </w:rPr>
        <w:t xml:space="preserve">Rokkan, </w:t>
      </w:r>
      <w:r w:rsidRPr="001053DD">
        <w:t>« Mass Su</w:t>
      </w:r>
      <w:r w:rsidRPr="001053DD">
        <w:t>f</w:t>
      </w:r>
      <w:r w:rsidRPr="001053DD">
        <w:t xml:space="preserve">frage, Secret Voting and Political Participation », </w:t>
      </w:r>
      <w:r w:rsidRPr="00D36D3D">
        <w:t>Archives Européennes de Sociologie</w:t>
      </w:r>
      <w:r w:rsidRPr="001053DD">
        <w:t>, 2,</w:t>
      </w:r>
      <w:r>
        <w:t xml:space="preserve"> 1961, pp.</w:t>
      </w:r>
      <w:r w:rsidRPr="001053DD">
        <w:t xml:space="preserve"> 132-</w:t>
      </w:r>
      <w:r>
        <w:t>1</w:t>
      </w:r>
      <w:r w:rsidRPr="001053DD">
        <w:t xml:space="preserve">52 ; et Talcott </w:t>
      </w:r>
      <w:r w:rsidRPr="00D36D3D">
        <w:rPr>
          <w:smallCaps/>
        </w:rPr>
        <w:t xml:space="preserve">Parsons, </w:t>
      </w:r>
      <w:r w:rsidRPr="001053DD">
        <w:t xml:space="preserve">« Evolutionary Universals in society », </w:t>
      </w:r>
      <w:r w:rsidRPr="008141F1">
        <w:rPr>
          <w:i/>
        </w:rPr>
        <w:t>Amer</w:t>
      </w:r>
      <w:r w:rsidRPr="008141F1">
        <w:rPr>
          <w:i/>
        </w:rPr>
        <w:t>i</w:t>
      </w:r>
      <w:r w:rsidRPr="008141F1">
        <w:rPr>
          <w:i/>
        </w:rPr>
        <w:t>can Sociological Review</w:t>
      </w:r>
      <w:r w:rsidRPr="001053DD">
        <w:t>, 29, juin 1964, pp. 339-357, partic</w:t>
      </w:r>
      <w:r w:rsidRPr="001053DD">
        <w:t>u</w:t>
      </w:r>
      <w:r w:rsidRPr="001053DD">
        <w:t>lièrement la discussion de l’article de Rokkan, pp. 354</w:t>
      </w:r>
      <w:r>
        <w:t>-</w:t>
      </w:r>
      <w:r w:rsidRPr="001053DD">
        <w:t>356.</w:t>
      </w:r>
    </w:p>
  </w:footnote>
  <w:footnote w:id="12">
    <w:p w:rsidR="009F7C50" w:rsidRPr="00DB20D3" w:rsidRDefault="009F7C50" w:rsidP="009F7C50">
      <w:pPr>
        <w:pStyle w:val="Notedebasdepage"/>
        <w:rPr>
          <w:lang w:val="fr-FR"/>
        </w:rPr>
      </w:pPr>
      <w:r>
        <w:rPr>
          <w:rStyle w:val="Appelnotedebasdep"/>
        </w:rPr>
        <w:footnoteRef/>
      </w:r>
      <w:r>
        <w:t xml:space="preserve"> </w:t>
      </w:r>
      <w:r>
        <w:rPr>
          <w:lang w:val="fr-FR"/>
        </w:rPr>
        <w:tab/>
      </w:r>
      <w:r w:rsidRPr="0039406F">
        <w:t xml:space="preserve">Neil J. </w:t>
      </w:r>
      <w:r w:rsidRPr="00D36D3D">
        <w:rPr>
          <w:smallCaps/>
        </w:rPr>
        <w:t>Smelser,</w:t>
      </w:r>
      <w:r w:rsidRPr="0039406F">
        <w:rPr>
          <w:rStyle w:val="Notedebasdepage65ptPetitesmajuscules"/>
        </w:rPr>
        <w:t xml:space="preserve"> </w:t>
      </w:r>
      <w:r w:rsidRPr="004C6D4A">
        <w:rPr>
          <w:i/>
        </w:rPr>
        <w:t>Theory of Collective Behavior</w:t>
      </w:r>
      <w:r>
        <w:t>, L</w:t>
      </w:r>
      <w:r w:rsidRPr="0039406F">
        <w:t>ondres, Routledge, 1962.</w:t>
      </w:r>
    </w:p>
  </w:footnote>
  <w:footnote w:id="13">
    <w:p w:rsidR="009F7C50" w:rsidRPr="00DB20D3" w:rsidRDefault="009F7C50" w:rsidP="009F7C50">
      <w:pPr>
        <w:pStyle w:val="Notedebasdepage"/>
        <w:rPr>
          <w:lang w:val="fr-FR"/>
        </w:rPr>
      </w:pPr>
      <w:r>
        <w:rPr>
          <w:rStyle w:val="Appelnotedebasdep"/>
        </w:rPr>
        <w:footnoteRef/>
      </w:r>
      <w:r>
        <w:t xml:space="preserve"> </w:t>
      </w:r>
      <w:r>
        <w:rPr>
          <w:lang w:val="fr-FR"/>
        </w:rPr>
        <w:tab/>
      </w:r>
      <w:r w:rsidRPr="0039406F">
        <w:t xml:space="preserve">Conformément aux conventions de Parsons, nous utilisons des symboles </w:t>
      </w:r>
      <w:r w:rsidRPr="00DB20D3">
        <w:rPr>
          <w:i/>
        </w:rPr>
        <w:t>minuscules</w:t>
      </w:r>
      <w:r w:rsidRPr="0039406F">
        <w:t xml:space="preserve"> pour les parties des </w:t>
      </w:r>
      <w:r w:rsidRPr="00DB20D3">
        <w:rPr>
          <w:i/>
        </w:rPr>
        <w:t>sous</w:t>
      </w:r>
      <w:r w:rsidRPr="0039406F">
        <w:t xml:space="preserve">-systèmes et des </w:t>
      </w:r>
      <w:r w:rsidRPr="00DB20D3">
        <w:rPr>
          <w:i/>
        </w:rPr>
        <w:t>majuscules</w:t>
      </w:r>
      <w:r w:rsidRPr="0039406F">
        <w:t xml:space="preserve"> pour les parties des systèmes </w:t>
      </w:r>
      <w:r w:rsidRPr="00DB20D3">
        <w:rPr>
          <w:i/>
        </w:rPr>
        <w:t>totaux</w:t>
      </w:r>
      <w:r w:rsidRPr="003940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50" w:rsidRDefault="009F7C50" w:rsidP="009F7C5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B078F7">
      <w:rPr>
        <w:rFonts w:ascii="Times New Roman" w:hAnsi="Times New Roman"/>
      </w:rPr>
      <w:t>“Le parti politique : agent de conflit et instrument d’intégration.”</w:t>
    </w:r>
    <w:r>
      <w:rPr>
        <w:rFonts w:ascii="Times New Roman" w:hAnsi="Times New Roman"/>
      </w:rPr>
      <w:t xml:space="preserve"> (1971)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3376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22</w:t>
    </w:r>
    <w:r>
      <w:rPr>
        <w:rStyle w:val="Numrodepage"/>
        <w:rFonts w:ascii="Times New Roman" w:hAnsi="Times New Roman"/>
      </w:rPr>
      <w:fldChar w:fldCharType="end"/>
    </w:r>
  </w:p>
  <w:p w:rsidR="009F7C50" w:rsidRDefault="009F7C5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3376C"/>
    <w:rsid w:val="009F7C50"/>
    <w:rsid w:val="00BD405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149AB3D-8EA0-E94E-BC1A-8567FF92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4513</Words>
  <Characters>24373</Characters>
  <Application>Microsoft Office Word</Application>
  <DocSecurity>0</DocSecurity>
  <Lines>553</Lines>
  <Paragraphs>87</Paragraphs>
  <ScaleCrop>false</ScaleCrop>
  <HeadingPairs>
    <vt:vector size="2" baseType="variant">
      <vt:variant>
        <vt:lpstr>Title</vt:lpstr>
      </vt:variant>
      <vt:variant>
        <vt:i4>1</vt:i4>
      </vt:variant>
    </vt:vector>
  </HeadingPairs>
  <TitlesOfParts>
    <vt:vector size="1" baseType="lpstr">
      <vt:lpstr>“Le parti politique : agent de conflit et instrument d’intégration.”</vt:lpstr>
    </vt:vector>
  </TitlesOfParts>
  <Manager>par Pierre Patenaude, bénévole, 2020</Manager>
  <Company>Les Classiques des sciences sociales</Company>
  <LinksUpToDate>false</LinksUpToDate>
  <CharactersWithSpaces>28799</CharactersWithSpaces>
  <SharedDoc>false</SharedDoc>
  <HyperlinkBase/>
  <HLinks>
    <vt:vector size="78" baseType="variant">
      <vt:variant>
        <vt:i4>1048623</vt:i4>
      </vt:variant>
      <vt:variant>
        <vt:i4>15</vt:i4>
      </vt:variant>
      <vt:variant>
        <vt:i4>0</vt:i4>
      </vt:variant>
      <vt:variant>
        <vt:i4>5</vt:i4>
      </vt:variant>
      <vt:variant>
        <vt:lpwstr>mailto:birnbaum@univ-paris1.fr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2339</vt:i4>
      </vt:variant>
      <vt:variant>
        <vt:i4>1025</vt:i4>
      </vt:variant>
      <vt:variant>
        <vt:i4>1</vt:i4>
      </vt:variant>
      <vt:variant>
        <vt:lpwstr>css_logo_gris</vt:lpwstr>
      </vt:variant>
      <vt:variant>
        <vt:lpwstr/>
      </vt:variant>
      <vt:variant>
        <vt:i4>5111880</vt:i4>
      </vt:variant>
      <vt:variant>
        <vt:i4>2627</vt:i4>
      </vt:variant>
      <vt:variant>
        <vt:i4>1026</vt:i4>
      </vt:variant>
      <vt:variant>
        <vt:i4>1</vt:i4>
      </vt:variant>
      <vt:variant>
        <vt:lpwstr>UQAC_logo_2018</vt:lpwstr>
      </vt:variant>
      <vt:variant>
        <vt:lpwstr/>
      </vt:variant>
      <vt:variant>
        <vt:i4>4194334</vt:i4>
      </vt:variant>
      <vt:variant>
        <vt:i4>5071</vt:i4>
      </vt:variant>
      <vt:variant>
        <vt:i4>1027</vt:i4>
      </vt:variant>
      <vt:variant>
        <vt:i4>1</vt:i4>
      </vt:variant>
      <vt:variant>
        <vt:lpwstr>Boite_aux_lettres_clair</vt:lpwstr>
      </vt:variant>
      <vt:variant>
        <vt:lpwstr/>
      </vt:variant>
      <vt:variant>
        <vt:i4>1703963</vt:i4>
      </vt:variant>
      <vt:variant>
        <vt:i4>5539</vt:i4>
      </vt:variant>
      <vt:variant>
        <vt:i4>1028</vt:i4>
      </vt:variant>
      <vt:variant>
        <vt:i4>1</vt:i4>
      </vt:variant>
      <vt:variant>
        <vt:lpwstr>fait_sur_mac</vt:lpwstr>
      </vt:variant>
      <vt:variant>
        <vt:lpwstr/>
      </vt:variant>
      <vt:variant>
        <vt:i4>458874</vt:i4>
      </vt:variant>
      <vt:variant>
        <vt:i4>5676</vt:i4>
      </vt:variant>
      <vt:variant>
        <vt:i4>1029</vt:i4>
      </vt:variant>
      <vt:variant>
        <vt:i4>1</vt:i4>
      </vt:variant>
      <vt:variant>
        <vt:lpwstr>socio_pol_t2_L20</vt:lpwstr>
      </vt:variant>
      <vt:variant>
        <vt:lpwstr/>
      </vt:variant>
      <vt:variant>
        <vt:i4>7798896</vt:i4>
      </vt:variant>
      <vt:variant>
        <vt:i4>19566</vt:i4>
      </vt:variant>
      <vt:variant>
        <vt:i4>1030</vt:i4>
      </vt:variant>
      <vt:variant>
        <vt:i4>1</vt:i4>
      </vt:variant>
      <vt:variant>
        <vt:lpwstr>fig_p_204_st_50_low</vt:lpwstr>
      </vt:variant>
      <vt:variant>
        <vt:lpwstr/>
      </vt:variant>
      <vt:variant>
        <vt:i4>6815792</vt:i4>
      </vt:variant>
      <vt:variant>
        <vt:i4>27050</vt:i4>
      </vt:variant>
      <vt:variant>
        <vt:i4>1031</vt:i4>
      </vt:variant>
      <vt:variant>
        <vt:i4>1</vt:i4>
      </vt:variant>
      <vt:variant>
        <vt:lpwstr>fig_p_210_st_low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parti politique : agent de conflit et instrument d’intégration.”</dc:title>
  <dc:subject/>
  <dc:creator>par Seymour Martin Lipset et Stein Rokkan, 1971</dc:creator>
  <cp:keywords>classiques.sc.soc@gmail.com</cp:keywords>
  <dc:description>http://classiques.uqac.ca/</dc:description>
  <cp:lastModifiedBy>Microsoft Office User</cp:lastModifiedBy>
  <cp:revision>2</cp:revision>
  <cp:lastPrinted>2001-08-26T19:33:00Z</cp:lastPrinted>
  <dcterms:created xsi:type="dcterms:W3CDTF">2020-12-30T18:34:00Z</dcterms:created>
  <dcterms:modified xsi:type="dcterms:W3CDTF">2020-12-30T18:34:00Z</dcterms:modified>
  <cp:category>jean-marie tremblay, sociologue, fondateur, 1993.</cp:category>
</cp:coreProperties>
</file>