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682F13" w:rsidRPr="00E07116">
        <w:tblPrEx>
          <w:tblCellMar>
            <w:top w:w="0" w:type="dxa"/>
            <w:bottom w:w="0" w:type="dxa"/>
          </w:tblCellMar>
        </w:tblPrEx>
        <w:tc>
          <w:tcPr>
            <w:tcW w:w="9160" w:type="dxa"/>
            <w:shd w:val="clear" w:color="auto" w:fill="E1E0D4"/>
          </w:tcPr>
          <w:p w:rsidR="00682F13" w:rsidRPr="00E07116" w:rsidRDefault="00682F13" w:rsidP="00682F13">
            <w:pPr>
              <w:pStyle w:val="En-tte"/>
              <w:tabs>
                <w:tab w:val="clear" w:pos="4320"/>
                <w:tab w:val="clear" w:pos="8640"/>
              </w:tabs>
              <w:rPr>
                <w:rFonts w:ascii="Times New Roman" w:hAnsi="Times New Roman"/>
                <w:sz w:val="28"/>
                <w:lang w:val="en-CA" w:bidi="ar-SA"/>
              </w:rPr>
            </w:pPr>
          </w:p>
          <w:p w:rsidR="00682F13" w:rsidRPr="00E07116" w:rsidRDefault="00682F13">
            <w:pPr>
              <w:ind w:firstLine="0"/>
              <w:jc w:val="center"/>
              <w:rPr>
                <w:b/>
                <w:lang w:bidi="ar-SA"/>
              </w:rPr>
            </w:pPr>
          </w:p>
          <w:p w:rsidR="00682F13" w:rsidRPr="00E07116" w:rsidRDefault="00682F13">
            <w:pPr>
              <w:ind w:firstLine="0"/>
              <w:jc w:val="center"/>
              <w:rPr>
                <w:b/>
                <w:lang w:bidi="ar-SA"/>
              </w:rPr>
            </w:pPr>
          </w:p>
          <w:p w:rsidR="00682F13" w:rsidRDefault="00682F13" w:rsidP="00682F13">
            <w:pPr>
              <w:ind w:firstLine="0"/>
              <w:jc w:val="center"/>
              <w:rPr>
                <w:b/>
                <w:sz w:val="20"/>
                <w:lang w:bidi="ar-SA"/>
              </w:rPr>
            </w:pPr>
            <w:r>
              <w:rPr>
                <w:sz w:val="20"/>
                <w:lang w:bidi="ar-SA"/>
              </w:rPr>
              <w:t>OFFICE QUÉBÉCOIS DE LA LANGUE FRANÇAISE</w:t>
            </w:r>
          </w:p>
          <w:p w:rsidR="00682F13" w:rsidRDefault="00682F13" w:rsidP="00682F13">
            <w:pPr>
              <w:ind w:firstLine="0"/>
              <w:jc w:val="center"/>
              <w:rPr>
                <w:b/>
                <w:sz w:val="20"/>
                <w:lang w:bidi="ar-SA"/>
              </w:rPr>
            </w:pPr>
          </w:p>
          <w:p w:rsidR="00682F13" w:rsidRDefault="00682F13" w:rsidP="00682F13">
            <w:pPr>
              <w:ind w:firstLine="0"/>
              <w:jc w:val="center"/>
              <w:rPr>
                <w:b/>
                <w:sz w:val="36"/>
              </w:rPr>
            </w:pPr>
            <w:r>
              <w:rPr>
                <w:sz w:val="36"/>
              </w:rPr>
              <w:t>Richard Y. Bourhis</w:t>
            </w:r>
            <w:r>
              <w:rPr>
                <w:sz w:val="36"/>
              </w:rPr>
              <w:br/>
              <w:t>et Rodrigue Landry</w:t>
            </w:r>
          </w:p>
          <w:p w:rsidR="00682F13" w:rsidRPr="00A947C2" w:rsidRDefault="00682F13" w:rsidP="00682F13">
            <w:pPr>
              <w:ind w:firstLine="0"/>
              <w:jc w:val="center"/>
              <w:rPr>
                <w:sz w:val="20"/>
                <w:lang w:bidi="ar-SA"/>
              </w:rPr>
            </w:pPr>
            <w:r>
              <w:rPr>
                <w:sz w:val="20"/>
                <w:lang w:bidi="ar-SA"/>
              </w:rPr>
              <w:t>Respectivement professeur émérite, Département de psychologie, UQÀM</w:t>
            </w:r>
            <w:r>
              <w:rPr>
                <w:sz w:val="20"/>
                <w:lang w:bidi="ar-SA"/>
              </w:rPr>
              <w:br/>
              <w:t>et Psychologue, directeur, I</w:t>
            </w:r>
            <w:r w:rsidRPr="00A947C2">
              <w:rPr>
                <w:sz w:val="20"/>
                <w:lang w:bidi="ar-SA"/>
              </w:rPr>
              <w:t>nstitut canadien de recherche sur les m</w:t>
            </w:r>
            <w:r>
              <w:rPr>
                <w:sz w:val="20"/>
                <w:lang w:bidi="ar-SA"/>
              </w:rPr>
              <w:t>inorités linguistiques (ICRML)</w:t>
            </w:r>
          </w:p>
          <w:p w:rsidR="00682F13" w:rsidRPr="00F3780C" w:rsidRDefault="00682F13" w:rsidP="00682F13">
            <w:pPr>
              <w:ind w:firstLine="0"/>
              <w:jc w:val="center"/>
              <w:rPr>
                <w:sz w:val="20"/>
                <w:lang w:bidi="ar-SA"/>
              </w:rPr>
            </w:pPr>
            <w:bookmarkStart w:id="0" w:name="_GoBack"/>
            <w:bookmarkEnd w:id="0"/>
          </w:p>
          <w:p w:rsidR="00682F13" w:rsidRPr="00AA0F60" w:rsidRDefault="00682F13" w:rsidP="00682F13">
            <w:pPr>
              <w:pStyle w:val="Corpsdetexte"/>
              <w:widowControl w:val="0"/>
              <w:spacing w:before="0" w:after="0"/>
              <w:rPr>
                <w:sz w:val="44"/>
                <w:lang w:bidi="ar-SA"/>
              </w:rPr>
            </w:pPr>
            <w:r w:rsidRPr="00AA0F60">
              <w:rPr>
                <w:sz w:val="44"/>
                <w:lang w:bidi="ar-SA"/>
              </w:rPr>
              <w:t>(</w:t>
            </w:r>
            <w:r>
              <w:rPr>
                <w:sz w:val="44"/>
                <w:lang w:bidi="ar-SA"/>
              </w:rPr>
              <w:t>2002</w:t>
            </w:r>
            <w:r w:rsidRPr="00AA0F60">
              <w:rPr>
                <w:sz w:val="44"/>
                <w:lang w:bidi="ar-SA"/>
              </w:rPr>
              <w:t>)</w:t>
            </w:r>
          </w:p>
          <w:p w:rsidR="00682F13" w:rsidRDefault="00682F13" w:rsidP="00682F13">
            <w:pPr>
              <w:pStyle w:val="Corpsdetexte"/>
              <w:widowControl w:val="0"/>
              <w:spacing w:before="0" w:after="0"/>
              <w:rPr>
                <w:color w:val="FF0000"/>
                <w:sz w:val="24"/>
                <w:lang w:bidi="ar-SA"/>
              </w:rPr>
            </w:pPr>
          </w:p>
          <w:p w:rsidR="00682F13" w:rsidRDefault="00682F13" w:rsidP="00682F13">
            <w:pPr>
              <w:pStyle w:val="Corpsdetexte"/>
              <w:widowControl w:val="0"/>
              <w:spacing w:before="0" w:after="0"/>
              <w:rPr>
                <w:color w:val="FF0000"/>
                <w:sz w:val="24"/>
                <w:lang w:bidi="ar-SA"/>
              </w:rPr>
            </w:pPr>
          </w:p>
          <w:p w:rsidR="00682F13" w:rsidRPr="00F3780C" w:rsidRDefault="00682F13" w:rsidP="00682F13">
            <w:pPr>
              <w:pStyle w:val="Titlest"/>
            </w:pPr>
            <w:r>
              <w:t>“La loi 101</w:t>
            </w:r>
            <w:r>
              <w:br/>
              <w:t>et l’aménagement</w:t>
            </w:r>
            <w:r>
              <w:br/>
              <w:t>du paysage linguistique</w:t>
            </w:r>
            <w:r>
              <w:br/>
              <w:t>au Québec.”</w:t>
            </w:r>
          </w:p>
          <w:p w:rsidR="00682F13" w:rsidRDefault="00682F13" w:rsidP="00682F13">
            <w:pPr>
              <w:widowControl w:val="0"/>
              <w:ind w:firstLine="0"/>
              <w:jc w:val="center"/>
              <w:rPr>
                <w:lang w:bidi="ar-SA"/>
              </w:rPr>
            </w:pPr>
          </w:p>
          <w:p w:rsidR="00682F13" w:rsidRDefault="00682F13" w:rsidP="00682F13">
            <w:pPr>
              <w:widowControl w:val="0"/>
              <w:ind w:firstLine="0"/>
              <w:jc w:val="center"/>
              <w:rPr>
                <w:sz w:val="20"/>
                <w:lang w:bidi="ar-SA"/>
              </w:rPr>
            </w:pPr>
          </w:p>
          <w:p w:rsidR="00682F13" w:rsidRPr="00384B20" w:rsidRDefault="00682F13">
            <w:pPr>
              <w:widowControl w:val="0"/>
              <w:ind w:firstLine="0"/>
              <w:jc w:val="center"/>
              <w:rPr>
                <w:sz w:val="20"/>
                <w:lang w:bidi="ar-SA"/>
              </w:rPr>
            </w:pPr>
          </w:p>
          <w:p w:rsidR="00682F13" w:rsidRPr="00384B20" w:rsidRDefault="00682F13">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682F13" w:rsidRPr="00E07116" w:rsidRDefault="00682F13">
            <w:pPr>
              <w:widowControl w:val="0"/>
              <w:ind w:firstLine="0"/>
              <w:jc w:val="both"/>
              <w:rPr>
                <w:lang w:bidi="ar-SA"/>
              </w:rPr>
            </w:pPr>
          </w:p>
          <w:p w:rsidR="00682F13" w:rsidRPr="00E07116" w:rsidRDefault="00682F13">
            <w:pPr>
              <w:widowControl w:val="0"/>
              <w:ind w:firstLine="0"/>
              <w:jc w:val="both"/>
              <w:rPr>
                <w:lang w:bidi="ar-SA"/>
              </w:rPr>
            </w:pPr>
          </w:p>
          <w:p w:rsidR="00682F13" w:rsidRDefault="00682F13">
            <w:pPr>
              <w:widowControl w:val="0"/>
              <w:ind w:firstLine="0"/>
              <w:jc w:val="both"/>
              <w:rPr>
                <w:lang w:bidi="ar-SA"/>
              </w:rPr>
            </w:pPr>
          </w:p>
          <w:p w:rsidR="00682F13" w:rsidRDefault="00682F13">
            <w:pPr>
              <w:widowControl w:val="0"/>
              <w:ind w:firstLine="0"/>
              <w:jc w:val="both"/>
              <w:rPr>
                <w:lang w:bidi="ar-SA"/>
              </w:rPr>
            </w:pPr>
          </w:p>
          <w:p w:rsidR="00682F13" w:rsidRPr="00E07116" w:rsidRDefault="00682F13">
            <w:pPr>
              <w:widowControl w:val="0"/>
              <w:ind w:firstLine="0"/>
              <w:jc w:val="both"/>
              <w:rPr>
                <w:lang w:bidi="ar-SA"/>
              </w:rPr>
            </w:pPr>
          </w:p>
          <w:p w:rsidR="00682F13" w:rsidRDefault="00682F13">
            <w:pPr>
              <w:widowControl w:val="0"/>
              <w:ind w:firstLine="0"/>
              <w:jc w:val="both"/>
              <w:rPr>
                <w:lang w:bidi="ar-SA"/>
              </w:rPr>
            </w:pPr>
          </w:p>
          <w:p w:rsidR="00682F13" w:rsidRPr="00E07116" w:rsidRDefault="00682F13">
            <w:pPr>
              <w:widowControl w:val="0"/>
              <w:ind w:firstLine="0"/>
              <w:jc w:val="both"/>
              <w:rPr>
                <w:lang w:bidi="ar-SA"/>
              </w:rPr>
            </w:pPr>
          </w:p>
          <w:p w:rsidR="00682F13" w:rsidRPr="00E07116" w:rsidRDefault="00682F13">
            <w:pPr>
              <w:ind w:firstLine="0"/>
              <w:jc w:val="both"/>
              <w:rPr>
                <w:lang w:bidi="ar-SA"/>
              </w:rPr>
            </w:pPr>
          </w:p>
        </w:tc>
      </w:tr>
    </w:tbl>
    <w:p w:rsidR="00682F13" w:rsidRDefault="00682F13" w:rsidP="00682F13">
      <w:pPr>
        <w:ind w:firstLine="0"/>
        <w:jc w:val="both"/>
      </w:pPr>
      <w:r w:rsidRPr="00E07116">
        <w:br w:type="page"/>
      </w:r>
    </w:p>
    <w:p w:rsidR="00682F13" w:rsidRDefault="00682F13" w:rsidP="00682F13">
      <w:pPr>
        <w:ind w:firstLine="0"/>
        <w:jc w:val="both"/>
      </w:pPr>
    </w:p>
    <w:p w:rsidR="00682F13" w:rsidRDefault="00682F13" w:rsidP="00682F13">
      <w:pPr>
        <w:ind w:firstLine="0"/>
        <w:jc w:val="both"/>
      </w:pPr>
    </w:p>
    <w:p w:rsidR="00682F13" w:rsidRDefault="00682F13" w:rsidP="00682F13">
      <w:pPr>
        <w:ind w:firstLine="0"/>
        <w:jc w:val="both"/>
      </w:pPr>
    </w:p>
    <w:p w:rsidR="00682F13" w:rsidRDefault="008D1A3B" w:rsidP="00682F13">
      <w:pPr>
        <w:ind w:firstLine="0"/>
        <w:jc w:val="right"/>
      </w:pPr>
      <w:r>
        <w:rPr>
          <w:noProof/>
        </w:rPr>
        <w:drawing>
          <wp:inline distT="0" distB="0" distL="0" distR="0">
            <wp:extent cx="2658110" cy="104203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rsidR="00682F13" w:rsidRDefault="00682F13" w:rsidP="00682F13">
      <w:pPr>
        <w:ind w:firstLine="0"/>
        <w:jc w:val="right"/>
      </w:pPr>
      <w:hyperlink r:id="rId9" w:history="1">
        <w:r w:rsidRPr="00302466">
          <w:rPr>
            <w:rStyle w:val="Lienhypertexte"/>
          </w:rPr>
          <w:t>http://classiques.uqac.ca/</w:t>
        </w:r>
      </w:hyperlink>
      <w:r>
        <w:t xml:space="preserve"> </w:t>
      </w:r>
    </w:p>
    <w:p w:rsidR="00682F13" w:rsidRDefault="00682F13" w:rsidP="00682F13">
      <w:pPr>
        <w:ind w:firstLine="0"/>
        <w:jc w:val="both"/>
      </w:pPr>
    </w:p>
    <w:p w:rsidR="00682F13" w:rsidRDefault="00682F13" w:rsidP="00682F13">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682F13" w:rsidRDefault="00682F13" w:rsidP="00682F13">
      <w:pPr>
        <w:ind w:firstLine="0"/>
        <w:jc w:val="both"/>
      </w:pPr>
    </w:p>
    <w:p w:rsidR="00682F13" w:rsidRDefault="00682F13" w:rsidP="00682F13">
      <w:pPr>
        <w:ind w:firstLine="0"/>
        <w:jc w:val="both"/>
      </w:pPr>
    </w:p>
    <w:p w:rsidR="00682F13" w:rsidRDefault="008D1A3B" w:rsidP="00682F13">
      <w:pPr>
        <w:ind w:firstLine="0"/>
        <w:jc w:val="both"/>
      </w:pPr>
      <w:r>
        <w:rPr>
          <w:noProof/>
        </w:rPr>
        <w:drawing>
          <wp:inline distT="0" distB="0" distL="0" distR="0">
            <wp:extent cx="2637155" cy="106299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rsidR="00682F13" w:rsidRDefault="00682F13" w:rsidP="00682F13">
      <w:pPr>
        <w:ind w:firstLine="0"/>
        <w:jc w:val="both"/>
      </w:pPr>
      <w:hyperlink r:id="rId11" w:history="1">
        <w:r w:rsidRPr="00302466">
          <w:rPr>
            <w:rStyle w:val="Lienhypertexte"/>
          </w:rPr>
          <w:t>http://bibliotheque.uqac.ca/</w:t>
        </w:r>
      </w:hyperlink>
      <w:r>
        <w:t xml:space="preserve"> </w:t>
      </w:r>
    </w:p>
    <w:p w:rsidR="00682F13" w:rsidRDefault="00682F13" w:rsidP="00682F13">
      <w:pPr>
        <w:ind w:firstLine="0"/>
        <w:jc w:val="both"/>
      </w:pPr>
    </w:p>
    <w:p w:rsidR="00682F13" w:rsidRDefault="00682F13" w:rsidP="00682F13">
      <w:pPr>
        <w:ind w:firstLine="0"/>
        <w:jc w:val="both"/>
      </w:pPr>
    </w:p>
    <w:p w:rsidR="00682F13" w:rsidRDefault="00682F13" w:rsidP="00682F13">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682F13" w:rsidRPr="00E07116" w:rsidRDefault="00682F13" w:rsidP="00682F13">
      <w:pPr>
        <w:widowControl w:val="0"/>
        <w:autoSpaceDE w:val="0"/>
        <w:autoSpaceDN w:val="0"/>
        <w:adjustRightInd w:val="0"/>
        <w:rPr>
          <w:szCs w:val="32"/>
        </w:rPr>
      </w:pPr>
      <w:r w:rsidRPr="00E07116">
        <w:br w:type="page"/>
      </w:r>
    </w:p>
    <w:p w:rsidR="00682F13" w:rsidRPr="005B6592" w:rsidRDefault="00682F13">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rsidR="00682F13" w:rsidRPr="00E07116" w:rsidRDefault="00682F13">
      <w:pPr>
        <w:widowControl w:val="0"/>
        <w:autoSpaceDE w:val="0"/>
        <w:autoSpaceDN w:val="0"/>
        <w:adjustRightInd w:val="0"/>
        <w:rPr>
          <w:szCs w:val="32"/>
        </w:rPr>
      </w:pPr>
    </w:p>
    <w:p w:rsidR="00682F13" w:rsidRPr="00E07116" w:rsidRDefault="00682F13">
      <w:pPr>
        <w:widowControl w:val="0"/>
        <w:autoSpaceDE w:val="0"/>
        <w:autoSpaceDN w:val="0"/>
        <w:adjustRightInd w:val="0"/>
        <w:jc w:val="both"/>
        <w:rPr>
          <w:color w:val="1C1C1C"/>
          <w:szCs w:val="26"/>
        </w:rPr>
      </w:pPr>
    </w:p>
    <w:p w:rsidR="00682F13" w:rsidRPr="00E07116" w:rsidRDefault="00682F13">
      <w:pPr>
        <w:widowControl w:val="0"/>
        <w:autoSpaceDE w:val="0"/>
        <w:autoSpaceDN w:val="0"/>
        <w:adjustRightInd w:val="0"/>
        <w:jc w:val="both"/>
        <w:rPr>
          <w:color w:val="1C1C1C"/>
          <w:szCs w:val="26"/>
        </w:rPr>
      </w:pPr>
    </w:p>
    <w:p w:rsidR="00682F13" w:rsidRPr="00E07116" w:rsidRDefault="00682F13">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682F13" w:rsidRPr="00E07116" w:rsidRDefault="00682F13">
      <w:pPr>
        <w:widowControl w:val="0"/>
        <w:autoSpaceDE w:val="0"/>
        <w:autoSpaceDN w:val="0"/>
        <w:adjustRightInd w:val="0"/>
        <w:jc w:val="both"/>
        <w:rPr>
          <w:color w:val="1C1C1C"/>
          <w:szCs w:val="26"/>
        </w:rPr>
      </w:pPr>
    </w:p>
    <w:p w:rsidR="00682F13" w:rsidRPr="00E07116" w:rsidRDefault="00682F13" w:rsidP="00682F13">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682F13" w:rsidRPr="00E07116" w:rsidRDefault="00682F13" w:rsidP="00682F13">
      <w:pPr>
        <w:widowControl w:val="0"/>
        <w:autoSpaceDE w:val="0"/>
        <w:autoSpaceDN w:val="0"/>
        <w:adjustRightInd w:val="0"/>
        <w:jc w:val="both"/>
        <w:rPr>
          <w:color w:val="1C1C1C"/>
          <w:szCs w:val="26"/>
        </w:rPr>
      </w:pPr>
    </w:p>
    <w:p w:rsidR="00682F13" w:rsidRPr="00E07116" w:rsidRDefault="00682F13" w:rsidP="00682F13">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682F13" w:rsidRPr="00E07116" w:rsidRDefault="00682F13" w:rsidP="00682F13">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682F13" w:rsidRPr="00E07116" w:rsidRDefault="00682F13" w:rsidP="00682F13">
      <w:pPr>
        <w:widowControl w:val="0"/>
        <w:autoSpaceDE w:val="0"/>
        <w:autoSpaceDN w:val="0"/>
        <w:adjustRightInd w:val="0"/>
        <w:jc w:val="both"/>
        <w:rPr>
          <w:color w:val="1C1C1C"/>
          <w:szCs w:val="26"/>
        </w:rPr>
      </w:pPr>
    </w:p>
    <w:p w:rsidR="00682F13" w:rsidRPr="00E07116" w:rsidRDefault="00682F13">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682F13" w:rsidRPr="00E07116" w:rsidRDefault="00682F13">
      <w:pPr>
        <w:widowControl w:val="0"/>
        <w:autoSpaceDE w:val="0"/>
        <w:autoSpaceDN w:val="0"/>
        <w:adjustRightInd w:val="0"/>
        <w:jc w:val="both"/>
        <w:rPr>
          <w:color w:val="1C1C1C"/>
          <w:szCs w:val="26"/>
        </w:rPr>
      </w:pPr>
    </w:p>
    <w:p w:rsidR="00682F13" w:rsidRPr="00E07116" w:rsidRDefault="00682F13">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682F13" w:rsidRPr="00E07116" w:rsidRDefault="00682F13">
      <w:pPr>
        <w:rPr>
          <w:b/>
          <w:color w:val="1C1C1C"/>
          <w:szCs w:val="26"/>
        </w:rPr>
      </w:pPr>
    </w:p>
    <w:p w:rsidR="00682F13" w:rsidRPr="00E07116" w:rsidRDefault="00682F13">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682F13" w:rsidRPr="00E07116" w:rsidRDefault="00682F13">
      <w:pPr>
        <w:rPr>
          <w:b/>
          <w:color w:val="1C1C1C"/>
          <w:szCs w:val="26"/>
        </w:rPr>
      </w:pPr>
    </w:p>
    <w:p w:rsidR="00682F13" w:rsidRPr="00E07116" w:rsidRDefault="00682F13">
      <w:pPr>
        <w:rPr>
          <w:color w:val="1C1C1C"/>
          <w:szCs w:val="26"/>
        </w:rPr>
      </w:pPr>
      <w:r w:rsidRPr="00E07116">
        <w:rPr>
          <w:color w:val="1C1C1C"/>
          <w:szCs w:val="26"/>
        </w:rPr>
        <w:t>Jean-Marie Tremblay, sociologue</w:t>
      </w:r>
    </w:p>
    <w:p w:rsidR="00682F13" w:rsidRPr="00E07116" w:rsidRDefault="00682F13">
      <w:pPr>
        <w:rPr>
          <w:color w:val="1C1C1C"/>
          <w:szCs w:val="26"/>
        </w:rPr>
      </w:pPr>
      <w:r w:rsidRPr="00E07116">
        <w:rPr>
          <w:color w:val="1C1C1C"/>
          <w:szCs w:val="26"/>
        </w:rPr>
        <w:t>Fondateur et Président-directeur général,</w:t>
      </w:r>
    </w:p>
    <w:p w:rsidR="00682F13" w:rsidRPr="00E07116" w:rsidRDefault="00682F13">
      <w:pPr>
        <w:rPr>
          <w:color w:val="000080"/>
        </w:rPr>
      </w:pPr>
      <w:r w:rsidRPr="00E07116">
        <w:rPr>
          <w:color w:val="000080"/>
          <w:szCs w:val="26"/>
        </w:rPr>
        <w:t>LES CLASSIQUES DES SCIENCES SOCIALES.</w:t>
      </w:r>
    </w:p>
    <w:p w:rsidR="00682F13" w:rsidRPr="00CF4C8E" w:rsidRDefault="00682F13" w:rsidP="00682F13">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682F13" w:rsidRPr="00CF4C8E" w:rsidRDefault="00682F13" w:rsidP="00682F13">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682F13" w:rsidRPr="00CF4C8E" w:rsidRDefault="00682F13" w:rsidP="00682F13">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682F13" w:rsidRPr="00CF4C8E" w:rsidRDefault="00682F13" w:rsidP="00682F13">
      <w:pPr>
        <w:ind w:left="20" w:hanging="20"/>
        <w:jc w:val="both"/>
        <w:rPr>
          <w:sz w:val="24"/>
        </w:rPr>
      </w:pPr>
      <w:r w:rsidRPr="00CF4C8E">
        <w:rPr>
          <w:sz w:val="24"/>
        </w:rPr>
        <w:t>à partir du texte de :</w:t>
      </w:r>
    </w:p>
    <w:p w:rsidR="00682F13" w:rsidRDefault="00682F13" w:rsidP="00682F13">
      <w:pPr>
        <w:ind w:firstLine="0"/>
        <w:jc w:val="both"/>
        <w:rPr>
          <w:sz w:val="24"/>
        </w:rPr>
      </w:pPr>
    </w:p>
    <w:p w:rsidR="00682F13" w:rsidRPr="00384B20" w:rsidRDefault="00682F13" w:rsidP="00682F13">
      <w:pPr>
        <w:ind w:firstLine="0"/>
        <w:jc w:val="both"/>
        <w:rPr>
          <w:sz w:val="24"/>
        </w:rPr>
      </w:pPr>
    </w:p>
    <w:p w:rsidR="00682F13" w:rsidRPr="00E07116" w:rsidRDefault="00682F13" w:rsidP="00682F13">
      <w:pPr>
        <w:ind w:left="20" w:hanging="20"/>
        <w:jc w:val="both"/>
      </w:pPr>
      <w:r>
        <w:t>Richard Y. Bourhis et Rodrigue Landry</w:t>
      </w:r>
    </w:p>
    <w:p w:rsidR="00682F13" w:rsidRPr="00E07116" w:rsidRDefault="00682F13" w:rsidP="00682F13">
      <w:pPr>
        <w:ind w:left="20" w:hanging="20"/>
        <w:jc w:val="both"/>
      </w:pPr>
    </w:p>
    <w:p w:rsidR="00682F13" w:rsidRPr="00A947C2" w:rsidRDefault="00682F13" w:rsidP="00682F13">
      <w:pPr>
        <w:ind w:hanging="20"/>
        <w:jc w:val="both"/>
        <w:rPr>
          <w:b/>
          <w:color w:val="000080"/>
        </w:rPr>
      </w:pPr>
      <w:r w:rsidRPr="00A947C2">
        <w:rPr>
          <w:b/>
          <w:color w:val="000080"/>
        </w:rPr>
        <w:t>“La loi 101</w:t>
      </w:r>
      <w:r>
        <w:rPr>
          <w:b/>
          <w:color w:val="000080"/>
        </w:rPr>
        <w:t xml:space="preserve"> </w:t>
      </w:r>
      <w:r w:rsidRPr="00A947C2">
        <w:rPr>
          <w:b/>
          <w:color w:val="000080"/>
        </w:rPr>
        <w:t>et l’aménagement</w:t>
      </w:r>
      <w:r>
        <w:rPr>
          <w:b/>
          <w:color w:val="000080"/>
        </w:rPr>
        <w:t xml:space="preserve"> </w:t>
      </w:r>
      <w:r w:rsidRPr="00A947C2">
        <w:rPr>
          <w:b/>
          <w:color w:val="000080"/>
        </w:rPr>
        <w:t>du paysage linguistique</w:t>
      </w:r>
      <w:r>
        <w:rPr>
          <w:b/>
          <w:color w:val="000080"/>
        </w:rPr>
        <w:t xml:space="preserve"> </w:t>
      </w:r>
      <w:r w:rsidRPr="00A947C2">
        <w:rPr>
          <w:b/>
          <w:color w:val="000080"/>
        </w:rPr>
        <w:t>au Qu</w:t>
      </w:r>
      <w:r w:rsidRPr="00A947C2">
        <w:rPr>
          <w:b/>
          <w:color w:val="000080"/>
        </w:rPr>
        <w:t>é</w:t>
      </w:r>
      <w:r w:rsidRPr="00A947C2">
        <w:rPr>
          <w:b/>
          <w:color w:val="000080"/>
        </w:rPr>
        <w:t>bec.”</w:t>
      </w:r>
    </w:p>
    <w:p w:rsidR="00682F13" w:rsidRPr="00E07116" w:rsidRDefault="00682F13" w:rsidP="00682F13">
      <w:pPr>
        <w:jc w:val="both"/>
      </w:pPr>
    </w:p>
    <w:p w:rsidR="00682F13" w:rsidRPr="00E07116" w:rsidRDefault="00682F13" w:rsidP="00682F13">
      <w:pPr>
        <w:jc w:val="both"/>
      </w:pPr>
    </w:p>
    <w:p w:rsidR="00682F13" w:rsidRPr="00A947C2" w:rsidRDefault="00682F13" w:rsidP="00682F13">
      <w:pPr>
        <w:jc w:val="both"/>
        <w:rPr>
          <w:sz w:val="24"/>
        </w:rPr>
      </w:pPr>
      <w:r>
        <w:rPr>
          <w:sz w:val="24"/>
        </w:rPr>
        <w:t xml:space="preserve">Un article publié dans </w:t>
      </w:r>
      <w:r>
        <w:rPr>
          <w:b/>
          <w:i/>
          <w:sz w:val="24"/>
        </w:rPr>
        <w:t xml:space="preserve">Revue d’aménagement linguistique, </w:t>
      </w:r>
      <w:r>
        <w:rPr>
          <w:i/>
          <w:sz w:val="24"/>
        </w:rPr>
        <w:t>auparavant TERMINOGRAMME,</w:t>
      </w:r>
      <w:r>
        <w:rPr>
          <w:sz w:val="24"/>
        </w:rPr>
        <w:t xml:space="preserve"> Numéro Hors-série, automne 2002, pp. 107-132. Québec : Office québécois de la langue française. Un numéro thématique intitulé : “</w:t>
      </w:r>
      <w:r w:rsidRPr="00F45B9B">
        <w:rPr>
          <w:i/>
          <w:sz w:val="24"/>
        </w:rPr>
        <w:t>L’aménagement linguistique au Québec: 25 ans d’application de la Charte de la langue française</w:t>
      </w:r>
      <w:r w:rsidRPr="00F45B9B">
        <w:rPr>
          <w:sz w:val="24"/>
        </w:rPr>
        <w:t>.</w:t>
      </w:r>
      <w:r>
        <w:rPr>
          <w:sz w:val="24"/>
        </w:rPr>
        <w:t>”</w:t>
      </w:r>
    </w:p>
    <w:p w:rsidR="00682F13" w:rsidRPr="00384B20" w:rsidRDefault="00682F13" w:rsidP="00682F13">
      <w:pPr>
        <w:jc w:val="both"/>
        <w:rPr>
          <w:sz w:val="24"/>
        </w:rPr>
      </w:pPr>
    </w:p>
    <w:p w:rsidR="00682F13" w:rsidRPr="00384B20" w:rsidRDefault="00682F13" w:rsidP="00682F13">
      <w:pPr>
        <w:ind w:left="20"/>
        <w:jc w:val="both"/>
        <w:rPr>
          <w:sz w:val="24"/>
        </w:rPr>
      </w:pPr>
      <w:r>
        <w:rPr>
          <w:sz w:val="24"/>
        </w:rPr>
        <w:t>Monsieur Bourhis nous a accordé</w:t>
      </w:r>
      <w:r w:rsidRPr="00384B20">
        <w:rPr>
          <w:sz w:val="24"/>
        </w:rPr>
        <w:t xml:space="preserve">, le </w:t>
      </w:r>
      <w:r>
        <w:rPr>
          <w:sz w:val="24"/>
        </w:rPr>
        <w:t>19 mai 2021,</w:t>
      </w:r>
      <w:r w:rsidRPr="00384B20">
        <w:rPr>
          <w:sz w:val="24"/>
        </w:rPr>
        <w:t xml:space="preserve"> l’autoris</w:t>
      </w:r>
      <w:r w:rsidRPr="00384B20">
        <w:rPr>
          <w:sz w:val="24"/>
        </w:rPr>
        <w:t>a</w:t>
      </w:r>
      <w:r w:rsidRPr="00384B20">
        <w:rPr>
          <w:sz w:val="24"/>
        </w:rPr>
        <w:t xml:space="preserve">tion de diffuser en </w:t>
      </w:r>
      <w:r>
        <w:rPr>
          <w:sz w:val="24"/>
        </w:rPr>
        <w:t xml:space="preserve">libre </w:t>
      </w:r>
      <w:r w:rsidRPr="00384B20">
        <w:rPr>
          <w:sz w:val="24"/>
        </w:rPr>
        <w:t xml:space="preserve">accès à tous </w:t>
      </w:r>
      <w:r>
        <w:rPr>
          <w:sz w:val="24"/>
        </w:rPr>
        <w:t>cet article</w:t>
      </w:r>
      <w:r w:rsidRPr="00384B20">
        <w:rPr>
          <w:sz w:val="24"/>
        </w:rPr>
        <w:t xml:space="preserve"> dans Les Classiques des sciences soci</w:t>
      </w:r>
      <w:r w:rsidRPr="00384B20">
        <w:rPr>
          <w:sz w:val="24"/>
        </w:rPr>
        <w:t>a</w:t>
      </w:r>
      <w:r w:rsidRPr="00384B20">
        <w:rPr>
          <w:sz w:val="24"/>
        </w:rPr>
        <w:t>les.</w:t>
      </w:r>
    </w:p>
    <w:p w:rsidR="00682F13" w:rsidRPr="00384B20" w:rsidRDefault="00682F13" w:rsidP="00682F13">
      <w:pPr>
        <w:jc w:val="both"/>
        <w:rPr>
          <w:sz w:val="24"/>
        </w:rPr>
      </w:pPr>
    </w:p>
    <w:p w:rsidR="00682F13" w:rsidRDefault="008D1A3B" w:rsidP="00682F13">
      <w:pPr>
        <w:tabs>
          <w:tab w:val="left" w:pos="3150"/>
        </w:tabs>
        <w:ind w:firstLine="0"/>
        <w:rPr>
          <w:sz w:val="24"/>
        </w:rPr>
      </w:pPr>
      <w:r w:rsidRPr="00384B20">
        <w:rPr>
          <w:noProof/>
          <w:sz w:val="24"/>
        </w:rPr>
        <w:drawing>
          <wp:inline distT="0" distB="0" distL="0" distR="0">
            <wp:extent cx="255270" cy="25527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682F13">
        <w:rPr>
          <w:sz w:val="24"/>
        </w:rPr>
        <w:t xml:space="preserve"> Courriels</w:t>
      </w:r>
      <w:r w:rsidR="00682F13" w:rsidRPr="00384B20">
        <w:rPr>
          <w:sz w:val="24"/>
        </w:rPr>
        <w:t> :</w:t>
      </w:r>
      <w:r w:rsidR="00682F13">
        <w:rPr>
          <w:sz w:val="24"/>
        </w:rPr>
        <w:t xml:space="preserve"> Richard Bourhis : </w:t>
      </w:r>
      <w:hyperlink r:id="rId15" w:history="1">
        <w:r w:rsidR="00682F13" w:rsidRPr="00541866">
          <w:rPr>
            <w:rStyle w:val="Lienhypertexte"/>
            <w:sz w:val="24"/>
          </w:rPr>
          <w:t>bourhis.richard@uqam.ca</w:t>
        </w:r>
      </w:hyperlink>
      <w:r w:rsidR="00682F13">
        <w:rPr>
          <w:sz w:val="24"/>
        </w:rPr>
        <w:t xml:space="preserve"> </w:t>
      </w:r>
    </w:p>
    <w:p w:rsidR="00682F13" w:rsidRPr="00384B20" w:rsidRDefault="00682F13" w:rsidP="00682F13">
      <w:pPr>
        <w:tabs>
          <w:tab w:val="left" w:pos="3150"/>
        </w:tabs>
        <w:ind w:firstLine="0"/>
        <w:rPr>
          <w:sz w:val="24"/>
        </w:rPr>
      </w:pPr>
      <w:r>
        <w:rPr>
          <w:sz w:val="24"/>
        </w:rPr>
        <w:t xml:space="preserve">Rodrigue Landry : </w:t>
      </w:r>
      <w:hyperlink r:id="rId16" w:history="1">
        <w:r w:rsidRPr="00541866">
          <w:rPr>
            <w:rStyle w:val="Lienhypertexte"/>
            <w:sz w:val="24"/>
          </w:rPr>
          <w:t>rodrigue.landry@umoncton.ca</w:t>
        </w:r>
      </w:hyperlink>
      <w:r>
        <w:rPr>
          <w:sz w:val="24"/>
        </w:rPr>
        <w:t xml:space="preserve"> </w:t>
      </w:r>
    </w:p>
    <w:p w:rsidR="00682F13" w:rsidRDefault="00682F13" w:rsidP="00682F13">
      <w:pPr>
        <w:ind w:left="20"/>
        <w:jc w:val="both"/>
        <w:rPr>
          <w:sz w:val="24"/>
        </w:rPr>
      </w:pPr>
    </w:p>
    <w:p w:rsidR="00682F13" w:rsidRDefault="00682F13" w:rsidP="00682F13">
      <w:pPr>
        <w:ind w:left="20"/>
        <w:jc w:val="both"/>
        <w:rPr>
          <w:sz w:val="24"/>
        </w:rPr>
      </w:pPr>
    </w:p>
    <w:p w:rsidR="00682F13" w:rsidRPr="00384B20" w:rsidRDefault="00682F13" w:rsidP="00682F13">
      <w:pPr>
        <w:ind w:left="20"/>
        <w:jc w:val="both"/>
        <w:rPr>
          <w:sz w:val="24"/>
        </w:rPr>
      </w:pPr>
    </w:p>
    <w:p w:rsidR="00682F13" w:rsidRPr="00384B20" w:rsidRDefault="00682F13">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682F13" w:rsidRPr="00384B20" w:rsidRDefault="00682F13">
      <w:pPr>
        <w:ind w:right="1800" w:firstLine="0"/>
        <w:jc w:val="both"/>
        <w:rPr>
          <w:sz w:val="24"/>
        </w:rPr>
      </w:pPr>
    </w:p>
    <w:p w:rsidR="00682F13" w:rsidRPr="00384B20" w:rsidRDefault="00682F13" w:rsidP="00682F13">
      <w:pPr>
        <w:ind w:left="360" w:right="360" w:firstLine="0"/>
        <w:jc w:val="both"/>
        <w:rPr>
          <w:sz w:val="24"/>
        </w:rPr>
      </w:pPr>
      <w:r w:rsidRPr="00384B20">
        <w:rPr>
          <w:sz w:val="24"/>
        </w:rPr>
        <w:t>Pour le texte: Times New Roman, 14 points.</w:t>
      </w:r>
    </w:p>
    <w:p w:rsidR="00682F13" w:rsidRPr="00384B20" w:rsidRDefault="00682F13" w:rsidP="00682F13">
      <w:pPr>
        <w:ind w:left="360" w:right="360" w:firstLine="0"/>
        <w:jc w:val="both"/>
        <w:rPr>
          <w:sz w:val="24"/>
        </w:rPr>
      </w:pPr>
      <w:r w:rsidRPr="00384B20">
        <w:rPr>
          <w:sz w:val="24"/>
        </w:rPr>
        <w:t>Pour les notes de bas de page : Times New Roman, 12 points.</w:t>
      </w:r>
    </w:p>
    <w:p w:rsidR="00682F13" w:rsidRPr="00384B20" w:rsidRDefault="00682F13">
      <w:pPr>
        <w:ind w:left="360" w:right="1800" w:firstLine="0"/>
        <w:jc w:val="both"/>
        <w:rPr>
          <w:sz w:val="24"/>
        </w:rPr>
      </w:pPr>
    </w:p>
    <w:p w:rsidR="00682F13" w:rsidRPr="00384B20" w:rsidRDefault="00682F13">
      <w:pPr>
        <w:ind w:right="360" w:firstLine="0"/>
        <w:jc w:val="both"/>
        <w:rPr>
          <w:sz w:val="24"/>
        </w:rPr>
      </w:pPr>
      <w:r w:rsidRPr="00384B20">
        <w:rPr>
          <w:sz w:val="24"/>
        </w:rPr>
        <w:t>Édition électronique réalisée avec le traitement de textes Microsoft Word 2008 pour Macintosh.</w:t>
      </w:r>
    </w:p>
    <w:p w:rsidR="00682F13" w:rsidRPr="00384B20" w:rsidRDefault="00682F13">
      <w:pPr>
        <w:ind w:right="1800" w:firstLine="0"/>
        <w:jc w:val="both"/>
        <w:rPr>
          <w:sz w:val="24"/>
        </w:rPr>
      </w:pPr>
    </w:p>
    <w:p w:rsidR="00682F13" w:rsidRPr="00384B20" w:rsidRDefault="00682F13" w:rsidP="00682F13">
      <w:pPr>
        <w:ind w:right="540" w:firstLine="0"/>
        <w:jc w:val="both"/>
        <w:rPr>
          <w:sz w:val="24"/>
        </w:rPr>
      </w:pPr>
      <w:r w:rsidRPr="00384B20">
        <w:rPr>
          <w:sz w:val="24"/>
        </w:rPr>
        <w:t>Mise en page sur papier format : LETTRE US, 8.5’’ x 11’’.</w:t>
      </w:r>
    </w:p>
    <w:p w:rsidR="00682F13" w:rsidRPr="00384B20" w:rsidRDefault="00682F13">
      <w:pPr>
        <w:ind w:right="1800" w:firstLine="0"/>
        <w:jc w:val="both"/>
        <w:rPr>
          <w:sz w:val="24"/>
        </w:rPr>
      </w:pPr>
    </w:p>
    <w:p w:rsidR="00682F13" w:rsidRPr="00384B20" w:rsidRDefault="00682F13" w:rsidP="00682F13">
      <w:pPr>
        <w:ind w:firstLine="0"/>
        <w:jc w:val="both"/>
        <w:rPr>
          <w:sz w:val="24"/>
        </w:rPr>
      </w:pPr>
      <w:r w:rsidRPr="00384B20">
        <w:rPr>
          <w:sz w:val="24"/>
        </w:rPr>
        <w:t xml:space="preserve">Édition numérique réalisée le </w:t>
      </w:r>
      <w:r>
        <w:rPr>
          <w:sz w:val="24"/>
        </w:rPr>
        <w:t>5 juin 2021 à Chicoutimi</w:t>
      </w:r>
      <w:r w:rsidRPr="00384B20">
        <w:rPr>
          <w:sz w:val="24"/>
        </w:rPr>
        <w:t>, Qu</w:t>
      </w:r>
      <w:r w:rsidRPr="00384B20">
        <w:rPr>
          <w:sz w:val="24"/>
        </w:rPr>
        <w:t>é</w:t>
      </w:r>
      <w:r w:rsidRPr="00384B20">
        <w:rPr>
          <w:sz w:val="24"/>
        </w:rPr>
        <w:t>bec.</w:t>
      </w:r>
    </w:p>
    <w:p w:rsidR="00682F13" w:rsidRPr="00384B20" w:rsidRDefault="00682F13">
      <w:pPr>
        <w:ind w:right="1800" w:firstLine="0"/>
        <w:jc w:val="both"/>
        <w:rPr>
          <w:sz w:val="24"/>
        </w:rPr>
      </w:pPr>
    </w:p>
    <w:p w:rsidR="00682F13" w:rsidRPr="00E07116" w:rsidRDefault="008D1A3B">
      <w:pPr>
        <w:ind w:right="1800" w:firstLine="0"/>
        <w:jc w:val="both"/>
      </w:pPr>
      <w:r w:rsidRPr="00E07116">
        <w:rPr>
          <w:noProof/>
        </w:rPr>
        <w:drawing>
          <wp:inline distT="0" distB="0" distL="0" distR="0">
            <wp:extent cx="111633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rsidR="00682F13" w:rsidRPr="00E07116" w:rsidRDefault="00682F13" w:rsidP="00682F13">
      <w:pPr>
        <w:ind w:left="20"/>
        <w:jc w:val="both"/>
      </w:pPr>
      <w:r w:rsidRPr="00E07116">
        <w:br w:type="page"/>
      </w:r>
    </w:p>
    <w:p w:rsidR="00682F13" w:rsidRDefault="00682F13" w:rsidP="00682F13">
      <w:pPr>
        <w:ind w:firstLine="0"/>
        <w:jc w:val="center"/>
        <w:rPr>
          <w:b/>
          <w:sz w:val="36"/>
        </w:rPr>
      </w:pPr>
      <w:r>
        <w:rPr>
          <w:sz w:val="36"/>
        </w:rPr>
        <w:t>Richard Y. Bourhis</w:t>
      </w:r>
      <w:r>
        <w:rPr>
          <w:sz w:val="36"/>
        </w:rPr>
        <w:br/>
        <w:t>et Rodrigue Landry</w:t>
      </w:r>
    </w:p>
    <w:p w:rsidR="00682F13" w:rsidRDefault="00682F13" w:rsidP="00682F13">
      <w:pPr>
        <w:ind w:firstLine="0"/>
        <w:jc w:val="center"/>
        <w:rPr>
          <w:sz w:val="20"/>
          <w:lang w:bidi="ar-SA"/>
        </w:rPr>
      </w:pPr>
      <w:r>
        <w:rPr>
          <w:sz w:val="20"/>
          <w:lang w:bidi="ar-SA"/>
        </w:rPr>
        <w:t>Respectivement professeur émérite, Département de psychologie, UQÀM</w:t>
      </w:r>
      <w:r>
        <w:rPr>
          <w:sz w:val="20"/>
          <w:lang w:bidi="ar-SA"/>
        </w:rPr>
        <w:br/>
        <w:t>et Psychologue, directeur, I</w:t>
      </w:r>
      <w:r w:rsidRPr="00A947C2">
        <w:rPr>
          <w:sz w:val="20"/>
          <w:lang w:bidi="ar-SA"/>
        </w:rPr>
        <w:t>nstitut canadien de recherche sur les m</w:t>
      </w:r>
      <w:r>
        <w:rPr>
          <w:sz w:val="20"/>
          <w:lang w:bidi="ar-SA"/>
        </w:rPr>
        <w:t>inorités linguistiques (ICRML)</w:t>
      </w:r>
    </w:p>
    <w:p w:rsidR="00682F13" w:rsidRPr="00E07116" w:rsidRDefault="00682F13" w:rsidP="00682F13">
      <w:pPr>
        <w:ind w:firstLine="0"/>
        <w:jc w:val="center"/>
      </w:pPr>
    </w:p>
    <w:p w:rsidR="00682F13" w:rsidRPr="00F3780C" w:rsidRDefault="00682F13" w:rsidP="00682F13">
      <w:pPr>
        <w:ind w:firstLine="0"/>
        <w:jc w:val="center"/>
        <w:rPr>
          <w:color w:val="000080"/>
          <w:sz w:val="36"/>
        </w:rPr>
      </w:pPr>
      <w:r>
        <w:rPr>
          <w:color w:val="000080"/>
          <w:sz w:val="36"/>
        </w:rPr>
        <w:t>“La loi 101</w:t>
      </w:r>
      <w:r>
        <w:rPr>
          <w:color w:val="000080"/>
          <w:sz w:val="36"/>
        </w:rPr>
        <w:br/>
      </w:r>
      <w:r w:rsidRPr="00F45B9B">
        <w:rPr>
          <w:color w:val="000080"/>
          <w:sz w:val="36"/>
        </w:rPr>
        <w:t>et l’aménagement du paysage linguistique</w:t>
      </w:r>
      <w:r>
        <w:rPr>
          <w:color w:val="000080"/>
          <w:sz w:val="36"/>
        </w:rPr>
        <w:br/>
      </w:r>
      <w:r w:rsidRPr="00F45B9B">
        <w:rPr>
          <w:color w:val="000080"/>
          <w:sz w:val="36"/>
        </w:rPr>
        <w:t>au Qu</w:t>
      </w:r>
      <w:r w:rsidRPr="00F45B9B">
        <w:rPr>
          <w:color w:val="000080"/>
          <w:sz w:val="36"/>
        </w:rPr>
        <w:t>é</w:t>
      </w:r>
      <w:r w:rsidRPr="00F45B9B">
        <w:rPr>
          <w:color w:val="000080"/>
          <w:sz w:val="36"/>
        </w:rPr>
        <w:t>bec.”</w:t>
      </w:r>
    </w:p>
    <w:p w:rsidR="00682F13" w:rsidRPr="00E07116" w:rsidRDefault="00682F13" w:rsidP="00682F13">
      <w:pPr>
        <w:ind w:firstLine="0"/>
        <w:jc w:val="center"/>
      </w:pPr>
    </w:p>
    <w:p w:rsidR="00682F13" w:rsidRPr="00E07116" w:rsidRDefault="008D1A3B" w:rsidP="00682F13">
      <w:pPr>
        <w:ind w:firstLine="0"/>
        <w:jc w:val="center"/>
      </w:pPr>
      <w:r>
        <w:rPr>
          <w:noProof/>
        </w:rPr>
        <w:drawing>
          <wp:inline distT="0" distB="0" distL="0" distR="0">
            <wp:extent cx="2945130" cy="4284980"/>
            <wp:effectExtent l="25400" t="25400" r="13970" b="7620"/>
            <wp:docPr id="5" name="Image 5" descr="RAL_automne_2002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AL_automne_2002_L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5130" cy="4284980"/>
                    </a:xfrm>
                    <a:prstGeom prst="rect">
                      <a:avLst/>
                    </a:prstGeom>
                    <a:noFill/>
                    <a:ln w="19050" cmpd="sng">
                      <a:solidFill>
                        <a:srgbClr val="000000"/>
                      </a:solidFill>
                      <a:miter lim="800000"/>
                      <a:headEnd/>
                      <a:tailEnd/>
                    </a:ln>
                    <a:effectLst/>
                  </pic:spPr>
                </pic:pic>
              </a:graphicData>
            </a:graphic>
          </wp:inline>
        </w:drawing>
      </w:r>
    </w:p>
    <w:p w:rsidR="00682F13" w:rsidRPr="00E07116" w:rsidRDefault="00682F13" w:rsidP="00682F13">
      <w:pPr>
        <w:jc w:val="both"/>
      </w:pPr>
    </w:p>
    <w:p w:rsidR="00682F13" w:rsidRPr="00384B20" w:rsidRDefault="00682F13" w:rsidP="00682F13">
      <w:pPr>
        <w:jc w:val="both"/>
        <w:rPr>
          <w:sz w:val="24"/>
        </w:rPr>
      </w:pPr>
      <w:r>
        <w:rPr>
          <w:sz w:val="24"/>
        </w:rPr>
        <w:t xml:space="preserve">Un article publié dans </w:t>
      </w:r>
      <w:r>
        <w:rPr>
          <w:b/>
          <w:i/>
          <w:sz w:val="24"/>
        </w:rPr>
        <w:t xml:space="preserve">Revue d’aménagement linguistique, </w:t>
      </w:r>
      <w:r>
        <w:rPr>
          <w:i/>
          <w:sz w:val="24"/>
        </w:rPr>
        <w:t>auparavant TERMINOGRAMME,</w:t>
      </w:r>
      <w:r>
        <w:rPr>
          <w:sz w:val="24"/>
        </w:rPr>
        <w:t xml:space="preserve"> Numéro Hors-série, automne 2002, pp. 107-132. Québec : Office québécois de la langue française. Un numéro thématique intitulé : “</w:t>
      </w:r>
      <w:r w:rsidRPr="00F45B9B">
        <w:rPr>
          <w:i/>
          <w:sz w:val="24"/>
        </w:rPr>
        <w:t>L’aménagement linguistique au Québec: 25 ans d’application de la Charte de la langue française</w:t>
      </w:r>
      <w:r w:rsidRPr="00F45B9B">
        <w:rPr>
          <w:sz w:val="24"/>
        </w:rPr>
        <w:t>.</w:t>
      </w:r>
      <w:r>
        <w:rPr>
          <w:sz w:val="24"/>
        </w:rPr>
        <w:t>”</w:t>
      </w:r>
    </w:p>
    <w:p w:rsidR="00682F13" w:rsidRPr="00E07116" w:rsidRDefault="00682F13">
      <w:pPr>
        <w:jc w:val="both"/>
      </w:pPr>
      <w:r w:rsidRPr="00E07116">
        <w:br w:type="page"/>
      </w:r>
    </w:p>
    <w:p w:rsidR="00682F13" w:rsidRPr="00E07116" w:rsidRDefault="00682F13">
      <w:pPr>
        <w:jc w:val="both"/>
      </w:pPr>
    </w:p>
    <w:p w:rsidR="00682F13" w:rsidRPr="00E07116" w:rsidRDefault="00682F13">
      <w:pPr>
        <w:jc w:val="both"/>
      </w:pPr>
    </w:p>
    <w:p w:rsidR="00682F13" w:rsidRPr="00384B20" w:rsidRDefault="00682F13" w:rsidP="00682F13">
      <w:pPr>
        <w:pStyle w:val="planchest"/>
      </w:pPr>
      <w:bookmarkStart w:id="1" w:name="tdm"/>
      <w:r w:rsidRPr="00384B20">
        <w:t>Table des matières</w:t>
      </w:r>
      <w:bookmarkEnd w:id="1"/>
    </w:p>
    <w:p w:rsidR="00682F13" w:rsidRPr="00E07116" w:rsidRDefault="00682F13">
      <w:pPr>
        <w:ind w:firstLine="0"/>
      </w:pPr>
    </w:p>
    <w:p w:rsidR="00682F13" w:rsidRDefault="00682F13">
      <w:pPr>
        <w:ind w:firstLine="0"/>
      </w:pPr>
    </w:p>
    <w:p w:rsidR="00682F13" w:rsidRPr="00E07116" w:rsidRDefault="00682F13">
      <w:pPr>
        <w:ind w:firstLine="0"/>
      </w:pPr>
      <w:hyperlink w:anchor="Loi_101_aménagement_Intro" w:history="1">
        <w:r w:rsidRPr="008900EF">
          <w:rPr>
            <w:rStyle w:val="Lienhypertexte"/>
          </w:rPr>
          <w:t>Introduction</w:t>
        </w:r>
      </w:hyperlink>
      <w:r>
        <w:t xml:space="preserve"> [107]</w:t>
      </w:r>
    </w:p>
    <w:p w:rsidR="00682F13" w:rsidRPr="00E07116" w:rsidRDefault="00682F13" w:rsidP="00682F13">
      <w:pPr>
        <w:ind w:left="540" w:hanging="540"/>
      </w:pPr>
    </w:p>
    <w:p w:rsidR="00682F13" w:rsidRDefault="00682F13" w:rsidP="00682F13">
      <w:pPr>
        <w:pStyle w:val="p"/>
        <w:spacing w:before="120" w:after="120"/>
        <w:ind w:left="360" w:hanging="360"/>
        <w:rPr>
          <w:u w:val="single"/>
        </w:rPr>
      </w:pPr>
      <w:r w:rsidRPr="00543BA6">
        <w:t>1.</w:t>
      </w:r>
      <w:r>
        <w:tab/>
      </w:r>
      <w:hyperlink w:anchor="Loi_101_aménagement_1" w:history="1">
        <w:r w:rsidRPr="008900EF">
          <w:rPr>
            <w:rStyle w:val="Lienhypertexte"/>
          </w:rPr>
          <w:t xml:space="preserve">Le paysage linguistique des années 1960-1970 et la loi 22 </w:t>
        </w:r>
      </w:hyperlink>
      <w:r w:rsidRPr="00543BA6">
        <w:t xml:space="preserve"> [</w:t>
      </w:r>
      <w:r>
        <w:t>108</w:t>
      </w:r>
      <w:r w:rsidRPr="00543BA6">
        <w:t>]</w:t>
      </w:r>
    </w:p>
    <w:p w:rsidR="00682F13" w:rsidRPr="00543BA6" w:rsidRDefault="00682F13" w:rsidP="00682F13">
      <w:pPr>
        <w:pStyle w:val="p"/>
        <w:spacing w:before="120" w:after="120"/>
        <w:ind w:left="360" w:hanging="360"/>
      </w:pPr>
      <w:r w:rsidRPr="00543BA6">
        <w:t>2.</w:t>
      </w:r>
      <w:r>
        <w:tab/>
      </w:r>
      <w:hyperlink w:anchor="Loi_101_aménagement_2" w:history="1">
        <w:r w:rsidRPr="008900EF">
          <w:rPr>
            <w:rStyle w:val="Lienhypertexte"/>
          </w:rPr>
          <w:t>La loi 101 et la francisation du paysage linguistique</w:t>
        </w:r>
      </w:hyperlink>
      <w:r w:rsidRPr="00543BA6">
        <w:t xml:space="preserve"> [</w:t>
      </w:r>
      <w:r>
        <w:t>109</w:t>
      </w:r>
      <w:r w:rsidRPr="00543BA6">
        <w:t>]</w:t>
      </w:r>
    </w:p>
    <w:p w:rsidR="00682F13" w:rsidRDefault="00682F13" w:rsidP="00682F13">
      <w:pPr>
        <w:pStyle w:val="p"/>
        <w:spacing w:before="120" w:after="120"/>
        <w:ind w:left="360" w:hanging="360"/>
      </w:pPr>
      <w:r>
        <w:t>3.</w:t>
      </w:r>
      <w:r>
        <w:tab/>
      </w:r>
      <w:hyperlink w:anchor="Loi_101_aménagement_3" w:history="1">
        <w:r w:rsidRPr="008900EF">
          <w:rPr>
            <w:rStyle w:val="Lienhypertexte"/>
          </w:rPr>
          <w:t>Les contestations juridiques et la loi 178 sur l’affichage comme</w:t>
        </w:r>
        <w:r w:rsidRPr="008900EF">
          <w:rPr>
            <w:rStyle w:val="Lienhypertexte"/>
          </w:rPr>
          <w:t>r</w:t>
        </w:r>
        <w:r w:rsidRPr="008900EF">
          <w:rPr>
            <w:rStyle w:val="Lienhypertexte"/>
          </w:rPr>
          <w:t>cial</w:t>
        </w:r>
      </w:hyperlink>
      <w:r>
        <w:t xml:space="preserve"> [110]</w:t>
      </w:r>
    </w:p>
    <w:p w:rsidR="00682F13" w:rsidRDefault="00682F13" w:rsidP="00682F13">
      <w:pPr>
        <w:pStyle w:val="p"/>
        <w:spacing w:before="120" w:after="120"/>
        <w:ind w:left="360" w:hanging="360"/>
      </w:pPr>
      <w:r>
        <w:t>4.</w:t>
      </w:r>
      <w:r>
        <w:tab/>
      </w:r>
      <w:hyperlink w:anchor="Loi_101_aménagement_4" w:history="1">
        <w:r w:rsidRPr="008900EF">
          <w:rPr>
            <w:rStyle w:val="Lienhypertexte"/>
          </w:rPr>
          <w:t>La loi 86 et le français nettement</w:t>
        </w:r>
        <w:r w:rsidRPr="008900EF">
          <w:rPr>
            <w:rStyle w:val="Lienhypertexte"/>
            <w:i/>
          </w:rPr>
          <w:t xml:space="preserve"> </w:t>
        </w:r>
        <w:r w:rsidRPr="008900EF">
          <w:rPr>
            <w:rStyle w:val="Lienhypertexte"/>
          </w:rPr>
          <w:t>prédominant dans l’affichage commercial</w:t>
        </w:r>
      </w:hyperlink>
      <w:r>
        <w:t xml:space="preserve"> [111]</w:t>
      </w:r>
    </w:p>
    <w:p w:rsidR="00682F13" w:rsidRDefault="00682F13" w:rsidP="00682F13">
      <w:pPr>
        <w:pStyle w:val="p"/>
        <w:spacing w:before="120" w:after="120"/>
        <w:ind w:left="360" w:hanging="360"/>
      </w:pPr>
      <w:r>
        <w:t>5.</w:t>
      </w:r>
      <w:r>
        <w:tab/>
      </w:r>
      <w:hyperlink w:anchor="Loi_101_aménagement_5" w:history="1">
        <w:r w:rsidRPr="008900EF">
          <w:rPr>
            <w:rStyle w:val="Lienhypertexte"/>
          </w:rPr>
          <w:t>Vers un « équilibre linguistique » dans l’affichage</w:t>
        </w:r>
      </w:hyperlink>
      <w:r w:rsidRPr="00146349">
        <w:t xml:space="preserve"> </w:t>
      </w:r>
      <w:r>
        <w:t>[119]</w:t>
      </w:r>
    </w:p>
    <w:p w:rsidR="00682F13" w:rsidRDefault="00682F13" w:rsidP="00682F13">
      <w:pPr>
        <w:pStyle w:val="p"/>
        <w:spacing w:before="120" w:after="120"/>
        <w:ind w:left="360" w:hanging="360"/>
      </w:pPr>
      <w:r>
        <w:t>6.</w:t>
      </w:r>
      <w:r>
        <w:tab/>
      </w:r>
      <w:hyperlink w:anchor="Loi_101_aménagement_6" w:history="1">
        <w:r w:rsidRPr="008900EF">
          <w:rPr>
            <w:rStyle w:val="Lienhypertexte"/>
          </w:rPr>
          <w:t>Controverses et ajustements dans l’application de la loi 86</w:t>
        </w:r>
      </w:hyperlink>
      <w:r>
        <w:t xml:space="preserve"> [121]</w:t>
      </w:r>
    </w:p>
    <w:p w:rsidR="00682F13" w:rsidRPr="00146349" w:rsidRDefault="00682F13" w:rsidP="00682F13">
      <w:pPr>
        <w:pStyle w:val="p"/>
        <w:spacing w:before="120" w:after="120"/>
        <w:ind w:left="360" w:hanging="360"/>
      </w:pPr>
      <w:r>
        <w:t>7.</w:t>
      </w:r>
      <w:r>
        <w:tab/>
      </w:r>
      <w:hyperlink w:anchor="Loi_101_aménagement_7" w:history="1">
        <w:r w:rsidRPr="008900EF">
          <w:rPr>
            <w:rStyle w:val="Lienhypertexte"/>
          </w:rPr>
          <w:t>Conclusion : aspect sociolinguistique du paysage linguistique</w:t>
        </w:r>
      </w:hyperlink>
      <w:r>
        <w:t xml:space="preserve"> [124]</w:t>
      </w:r>
    </w:p>
    <w:p w:rsidR="00682F13" w:rsidRDefault="00682F13" w:rsidP="00682F13">
      <w:pPr>
        <w:pStyle w:val="p"/>
      </w:pPr>
    </w:p>
    <w:p w:rsidR="00682F13" w:rsidRDefault="00682F13" w:rsidP="00682F13">
      <w:pPr>
        <w:pStyle w:val="p"/>
      </w:pPr>
      <w:hyperlink w:anchor="Loi_101_aménagement_résumé" w:history="1">
        <w:r w:rsidRPr="008900EF">
          <w:rPr>
            <w:rStyle w:val="Lienhypertexte"/>
          </w:rPr>
          <w:t>Résumé</w:t>
        </w:r>
      </w:hyperlink>
      <w:r>
        <w:t xml:space="preserve"> / </w:t>
      </w:r>
      <w:hyperlink w:anchor="Loi_101_aménagement_abstract" w:history="1">
        <w:r w:rsidRPr="008900EF">
          <w:rPr>
            <w:rStyle w:val="Lienhypertexte"/>
          </w:rPr>
          <w:t>Abstract</w:t>
        </w:r>
      </w:hyperlink>
      <w:r>
        <w:t xml:space="preserve"> / </w:t>
      </w:r>
      <w:hyperlink w:anchor="Loi_101_aménagement_resumen" w:history="1">
        <w:r w:rsidRPr="008900EF">
          <w:rPr>
            <w:rStyle w:val="Lienhypertexte"/>
          </w:rPr>
          <w:t>Resumen</w:t>
        </w:r>
      </w:hyperlink>
      <w:r>
        <w:t xml:space="preserve"> [129]</w:t>
      </w:r>
    </w:p>
    <w:p w:rsidR="00682F13" w:rsidRDefault="00682F13" w:rsidP="00682F13">
      <w:pPr>
        <w:pStyle w:val="p"/>
      </w:pPr>
    </w:p>
    <w:p w:rsidR="00682F13" w:rsidRDefault="00682F13" w:rsidP="00682F13">
      <w:pPr>
        <w:pStyle w:val="p"/>
      </w:pPr>
      <w:hyperlink w:anchor="Loi_101_aménagement_biblio" w:history="1">
        <w:r w:rsidRPr="008900EF">
          <w:rPr>
            <w:rStyle w:val="Lienhypertexte"/>
          </w:rPr>
          <w:t>Bibliographie</w:t>
        </w:r>
      </w:hyperlink>
      <w:r>
        <w:t xml:space="preserve"> [130]</w:t>
      </w:r>
    </w:p>
    <w:p w:rsidR="00682F13" w:rsidRDefault="00682F13" w:rsidP="00682F13">
      <w:pPr>
        <w:pStyle w:val="p"/>
      </w:pPr>
      <w:r w:rsidRPr="00543BA6">
        <w:br w:type="page"/>
      </w:r>
      <w:r>
        <w:lastRenderedPageBreak/>
        <w:t>[107]</w:t>
      </w:r>
    </w:p>
    <w:p w:rsidR="00682F13" w:rsidRPr="00543BA6" w:rsidRDefault="00682F13" w:rsidP="00682F13">
      <w:pPr>
        <w:pStyle w:val="p"/>
      </w:pPr>
    </w:p>
    <w:p w:rsidR="00682F13" w:rsidRPr="00083CDC" w:rsidRDefault="00682F13" w:rsidP="00682F13">
      <w:pPr>
        <w:spacing w:before="120" w:after="120"/>
        <w:jc w:val="center"/>
      </w:pPr>
      <w:r w:rsidRPr="00083CDC">
        <w:t xml:space="preserve">LA LOI 101 ET L’AMÉNAGEMENT </w:t>
      </w:r>
      <w:r w:rsidRPr="00083CDC">
        <w:br/>
        <w:t>DU PAYSAGE LINGUISTIQUE AU QUÉBEC</w:t>
      </w:r>
    </w:p>
    <w:p w:rsidR="00682F13" w:rsidRPr="00083CDC" w:rsidRDefault="00682F13" w:rsidP="00682F13">
      <w:pPr>
        <w:spacing w:before="120" w:after="120"/>
        <w:jc w:val="center"/>
      </w:pPr>
      <w:r w:rsidRPr="00083CDC">
        <w:t>Richard Y. Bourhis</w:t>
      </w:r>
      <w:r w:rsidRPr="00083CDC">
        <w:br/>
        <w:t>Rodrigue Landry</w:t>
      </w:r>
      <w:r w:rsidRPr="00083CDC">
        <w:rPr>
          <w:rStyle w:val="Appelnotedebasdep"/>
          <w:position w:val="0"/>
          <w:sz w:val="28"/>
        </w:rPr>
        <w:footnoteReference w:customMarkFollows="1" w:id="1"/>
        <w:t>*</w:t>
      </w:r>
    </w:p>
    <w:p w:rsidR="00682F13" w:rsidRPr="00E07116" w:rsidRDefault="00682F13">
      <w:pPr>
        <w:jc w:val="both"/>
      </w:pPr>
    </w:p>
    <w:p w:rsidR="00682F13" w:rsidRPr="00E07116" w:rsidRDefault="00682F13">
      <w:pPr>
        <w:jc w:val="both"/>
      </w:pPr>
    </w:p>
    <w:p w:rsidR="00682F13" w:rsidRDefault="00682F13" w:rsidP="00682F13">
      <w:pPr>
        <w:pStyle w:val="planche"/>
      </w:pPr>
      <w:bookmarkStart w:id="2" w:name="Loi_101_aménagement_Intro"/>
      <w:r>
        <w:t>Introduction</w:t>
      </w:r>
    </w:p>
    <w:bookmarkEnd w:id="2"/>
    <w:p w:rsidR="00682F13" w:rsidRPr="00E07116" w:rsidRDefault="00682F13">
      <w:pPr>
        <w:jc w:val="both"/>
      </w:pPr>
    </w:p>
    <w:p w:rsidR="00682F13" w:rsidRPr="00E07116" w:rsidRDefault="00682F13">
      <w:pPr>
        <w:jc w:val="both"/>
      </w:pPr>
    </w:p>
    <w:p w:rsidR="00682F13" w:rsidRPr="00384B20" w:rsidRDefault="00682F13">
      <w:pPr>
        <w:ind w:right="90" w:firstLine="0"/>
        <w:jc w:val="both"/>
        <w:rPr>
          <w:sz w:val="20"/>
        </w:rPr>
      </w:pPr>
      <w:hyperlink w:anchor="tdm" w:history="1">
        <w:r w:rsidRPr="00384B20">
          <w:rPr>
            <w:rStyle w:val="Lienhypertexte"/>
            <w:sz w:val="20"/>
          </w:rPr>
          <w:t>Retour à la ta</w:t>
        </w:r>
        <w:r w:rsidRPr="00384B20">
          <w:rPr>
            <w:rStyle w:val="Lienhypertexte"/>
            <w:sz w:val="20"/>
          </w:rPr>
          <w:t>b</w:t>
        </w:r>
        <w:r w:rsidRPr="00384B20">
          <w:rPr>
            <w:rStyle w:val="Lienhypertexte"/>
            <w:sz w:val="20"/>
          </w:rPr>
          <w:t>le des matières</w:t>
        </w:r>
      </w:hyperlink>
    </w:p>
    <w:p w:rsidR="00682F13" w:rsidRPr="00083CDC" w:rsidRDefault="00682F13" w:rsidP="00682F13">
      <w:pPr>
        <w:spacing w:before="120" w:after="120"/>
        <w:jc w:val="both"/>
      </w:pPr>
      <w:r w:rsidRPr="00083CDC">
        <w:t>Malgré l’importance des mesures prévues par la Charte de la la</w:t>
      </w:r>
      <w:r w:rsidRPr="00083CDC">
        <w:t>n</w:t>
      </w:r>
      <w:r w:rsidRPr="00083CDC">
        <w:t>gue française (1977) pour consacrer officiellement le français comme langue de scolarisation chez les francophones</w:t>
      </w:r>
      <w:r w:rsidRPr="00083CDC">
        <w:rPr>
          <w:i/>
        </w:rPr>
        <w:t xml:space="preserve"> </w:t>
      </w:r>
      <w:r w:rsidRPr="00083CDC">
        <w:t>et</w:t>
      </w:r>
      <w:r w:rsidRPr="00083CDC">
        <w:rPr>
          <w:i/>
        </w:rPr>
        <w:t xml:space="preserve"> </w:t>
      </w:r>
      <w:r w:rsidRPr="00083CDC">
        <w:t>les imm</w:t>
      </w:r>
      <w:r w:rsidRPr="00083CDC">
        <w:t>i</w:t>
      </w:r>
      <w:r w:rsidRPr="00083CDC">
        <w:t>grants dont les parents n’ont pas fréquenté l’école anglaise,</w:t>
      </w:r>
      <w:r w:rsidRPr="00083CDC">
        <w:rPr>
          <w:i/>
        </w:rPr>
        <w:t xml:space="preserve"> </w:t>
      </w:r>
      <w:r w:rsidRPr="00083CDC">
        <w:t>et pour normaliser l’usage du français dans le monde du travail, les arch</w:t>
      </w:r>
      <w:r w:rsidRPr="00083CDC">
        <w:t>i</w:t>
      </w:r>
      <w:r w:rsidRPr="00083CDC">
        <w:t>tectes de la loi étaient conscients que ces interventions étatiques ne pouvaient pas produire d’effets immédiats sur le statut et l’utilisation du français au Québec. Cependant, en tant que première mesure</w:t>
      </w:r>
      <w:r w:rsidRPr="00083CDC">
        <w:rPr>
          <w:i/>
        </w:rPr>
        <w:t xml:space="preserve"> </w:t>
      </w:r>
      <w:r w:rsidRPr="00083CDC">
        <w:t>législative du go</w:t>
      </w:r>
      <w:r w:rsidRPr="00083CDC">
        <w:t>u</w:t>
      </w:r>
      <w:r w:rsidRPr="00083CDC">
        <w:t>vernement souverainiste du Parti québécois élu en 1976, la loi 101 se devait d’avoir un impact i</w:t>
      </w:r>
      <w:r w:rsidRPr="00083CDC">
        <w:t>m</w:t>
      </w:r>
      <w:r w:rsidRPr="00083CDC">
        <w:t>médiat et positif sur le statut du français par rapport à l’anglais, surtout à Montréal. Le « père » de la loi 101, le docteur Camille Laurin, s’était donné pour mission à la fois de rass</w:t>
      </w:r>
      <w:r w:rsidRPr="00083CDC">
        <w:t>u</w:t>
      </w:r>
      <w:r w:rsidRPr="00083CDC">
        <w:t>rer les franc</w:t>
      </w:r>
      <w:r w:rsidRPr="00083CDC">
        <w:t>o</w:t>
      </w:r>
      <w:r w:rsidRPr="00083CDC">
        <w:t>phones sur le statut et la pérennité du fait français au Québec, et de signifier clairement aux anglophones et aux allophones que le statut du français par rapport à celui de l’anglais était en train de changer dans la province (Rocher, 2000, et dans ce numéro). Gr</w:t>
      </w:r>
      <w:r w:rsidRPr="00083CDC">
        <w:t>â</w:t>
      </w:r>
      <w:r w:rsidRPr="00083CDC">
        <w:t>ce à sa grande visibilité et à son impact immédiat, la francisation du paysage linguistique symbolisa de façon tangible les nouveaux ra</w:t>
      </w:r>
      <w:r w:rsidRPr="00083CDC">
        <w:t>p</w:t>
      </w:r>
      <w:r w:rsidRPr="00083CDC">
        <w:t xml:space="preserve">ports de force entre le français et l’anglais au Québec </w:t>
      </w:r>
      <w:r w:rsidRPr="00083CDC">
        <w:lastRenderedPageBreak/>
        <w:t>(Corbeil, 1980; Leclerc, 1989). Aussi</w:t>
      </w:r>
      <w:r w:rsidRPr="00083CDC">
        <w:rPr>
          <w:i/>
        </w:rPr>
        <w:t xml:space="preserve">, </w:t>
      </w:r>
      <w:r w:rsidRPr="00083CDC">
        <w:t>en plus d’imposer l’unilinguisme</w:t>
      </w:r>
      <w:r w:rsidRPr="00083CDC">
        <w:rPr>
          <w:i/>
        </w:rPr>
        <w:t xml:space="preserve"> </w:t>
      </w:r>
      <w:r w:rsidRPr="00083CDC">
        <w:t>français pour la signalisation routière et l’affichage de l’Administration, la loi 101 énonçait en 1977 que l’affichage p</w:t>
      </w:r>
      <w:r w:rsidRPr="00083CDC">
        <w:t>u</w:t>
      </w:r>
      <w:r w:rsidRPr="00083CDC">
        <w:t>blic et la publicité commerciale devaient être en français uniqu</w:t>
      </w:r>
      <w:r w:rsidRPr="00083CDC">
        <w:t>e</w:t>
      </w:r>
      <w:r w:rsidRPr="00083CDC">
        <w:t>ment (art. 58). Par contre, la publicité véhiculée par des organes d’information (quotidiens, périodiques, st</w:t>
      </w:r>
      <w:r w:rsidRPr="00083CDC">
        <w:t>a</w:t>
      </w:r>
      <w:r w:rsidRPr="00083CDC">
        <w:t>tions de radio et de télévision), ainsi que les messages de type rel</w:t>
      </w:r>
      <w:r w:rsidRPr="00083CDC">
        <w:t>i</w:t>
      </w:r>
      <w:r w:rsidRPr="00083CDC">
        <w:t xml:space="preserve">gieux, </w:t>
      </w:r>
      <w:r>
        <w:t xml:space="preserve">[108] </w:t>
      </w:r>
      <w:r w:rsidRPr="00083CDC">
        <w:t>politique, idéologique ou humanitaire, pouvaient être r</w:t>
      </w:r>
      <w:r w:rsidRPr="00083CDC">
        <w:t>é</w:t>
      </w:r>
      <w:r w:rsidRPr="00083CDC">
        <w:t>digés dans une langue autre que le français pourvu qu’ils ne soient pas à but lucratif (art. 59). De plus, en 1983, la loi 57 modifiant la Charte de la langue française permettait expressément l’affichage bilingue à l’extérieur des établissements spécialisés dans la vente de produits typiques d’une nation étrangère ou d’un groupe ethnique partic</w:t>
      </w:r>
      <w:r w:rsidRPr="00083CDC">
        <w:t>u</w:t>
      </w:r>
      <w:r w:rsidRPr="00083CDC">
        <w:t>lier (art. 62 abrogé en 1993). Supervisés à l’époque par la Co</w:t>
      </w:r>
      <w:r w:rsidRPr="00083CDC">
        <w:t>m</w:t>
      </w:r>
      <w:r w:rsidRPr="00083CDC">
        <w:t>mission de protection de la langue française (</w:t>
      </w:r>
      <w:r w:rsidRPr="00083CDC">
        <w:rPr>
          <w:smallCaps/>
        </w:rPr>
        <w:t>cplf</w:t>
      </w:r>
      <w:r w:rsidRPr="00083CDC">
        <w:t>), ces règl</w:t>
      </w:r>
      <w:r w:rsidRPr="00083CDC">
        <w:t>e</w:t>
      </w:r>
      <w:r w:rsidRPr="00083CDC">
        <w:t>ments sur le paysage linguistique eurent l’avantage de produire des changements hautement visibles en faveur du français moins d’un an après l’adoption de la loi 101. Enfin, en consacrant la mi</w:t>
      </w:r>
      <w:r w:rsidRPr="00083CDC">
        <w:t>s</w:t>
      </w:r>
      <w:r w:rsidRPr="00083CDC">
        <w:t>sion</w:t>
      </w:r>
      <w:r w:rsidRPr="00083CDC">
        <w:rPr>
          <w:i/>
        </w:rPr>
        <w:t xml:space="preserve"> </w:t>
      </w:r>
      <w:r w:rsidRPr="00083CDC">
        <w:t>de la Commission de toponymie, la loi 101 liait le dossier linguistique à celui des noms de lieux et ass</w:t>
      </w:r>
      <w:r w:rsidRPr="00083CDC">
        <w:t>u</w:t>
      </w:r>
      <w:r w:rsidRPr="00083CDC">
        <w:t>rait ainsi une</w:t>
      </w:r>
      <w:r w:rsidRPr="00083CDC">
        <w:rPr>
          <w:i/>
        </w:rPr>
        <w:t xml:space="preserve"> </w:t>
      </w:r>
      <w:r w:rsidRPr="00083CDC">
        <w:t>« francisation relative » de la toponymie du Québec.</w:t>
      </w:r>
    </w:p>
    <w:p w:rsidR="00682F13" w:rsidRPr="00083CDC" w:rsidRDefault="00682F13" w:rsidP="00682F13">
      <w:pPr>
        <w:spacing w:before="120" w:after="120"/>
        <w:jc w:val="both"/>
      </w:pPr>
    </w:p>
    <w:p w:rsidR="00682F13" w:rsidRPr="00083CDC" w:rsidRDefault="00682F13" w:rsidP="00682F13">
      <w:pPr>
        <w:pStyle w:val="planche"/>
        <w:rPr>
          <w:u w:val="single"/>
        </w:rPr>
      </w:pPr>
      <w:bookmarkStart w:id="3" w:name="Loi_101_aménagement_1"/>
      <w:r>
        <w:t>1. Le paysage linguistique</w:t>
      </w:r>
      <w:r>
        <w:br/>
      </w:r>
      <w:r w:rsidRPr="00083CDC">
        <w:t>des années 1960-1970 et la loi 22</w:t>
      </w:r>
      <w:r w:rsidRPr="00083CDC">
        <w:rPr>
          <w:u w:val="single"/>
        </w:rPr>
        <w:t xml:space="preserve"> </w:t>
      </w:r>
    </w:p>
    <w:bookmarkEnd w:id="3"/>
    <w:p w:rsidR="00682F13" w:rsidRDefault="00682F13" w:rsidP="00682F13">
      <w:pPr>
        <w:spacing w:before="120" w:after="120"/>
        <w:jc w:val="both"/>
      </w:pPr>
    </w:p>
    <w:p w:rsidR="00682F13" w:rsidRPr="00384B20" w:rsidRDefault="00682F13" w:rsidP="00682F13">
      <w:pPr>
        <w:ind w:right="90" w:firstLine="0"/>
        <w:jc w:val="both"/>
        <w:rPr>
          <w:sz w:val="20"/>
        </w:rPr>
      </w:pPr>
      <w:hyperlink w:anchor="tdm" w:history="1">
        <w:r w:rsidRPr="00384B20">
          <w:rPr>
            <w:rStyle w:val="Lienhypertexte"/>
            <w:sz w:val="20"/>
          </w:rPr>
          <w:t>Retour à la table des matières</w:t>
        </w:r>
      </w:hyperlink>
    </w:p>
    <w:p w:rsidR="00682F13" w:rsidRPr="00083CDC" w:rsidRDefault="00682F13" w:rsidP="00682F13">
      <w:pPr>
        <w:spacing w:before="120" w:after="120"/>
        <w:jc w:val="both"/>
      </w:pPr>
      <w:r w:rsidRPr="00083CDC">
        <w:t>Dans leur bref survol des textes décrivant le paysage linguist</w:t>
      </w:r>
      <w:r w:rsidRPr="00083CDC">
        <w:t>i</w:t>
      </w:r>
      <w:r w:rsidRPr="00083CDC">
        <w:t xml:space="preserve">que du Québec depuis le </w:t>
      </w:r>
      <w:r w:rsidRPr="00083CDC">
        <w:rPr>
          <w:smallCaps/>
        </w:rPr>
        <w:t>xix</w:t>
      </w:r>
      <w:r w:rsidRPr="00083CDC">
        <w:rPr>
          <w:vertAlign w:val="superscript"/>
        </w:rPr>
        <w:t>e</w:t>
      </w:r>
      <w:r w:rsidRPr="00083CDC">
        <w:t xml:space="preserve"> siècle, Bouchard et Maurais (2000) notent l’omniprésence de l’anglais dans l’affichage commercial, surtout à Montréal, et ce jusqu’aux années 1960-1970. Le paysage linguistique du centre-ville de Montréal des années 1950-1960 fut décrit ainsi par Roland Lorrain :</w:t>
      </w:r>
    </w:p>
    <w:p w:rsidR="00682F13" w:rsidRDefault="00682F13" w:rsidP="00682F13">
      <w:pPr>
        <w:pStyle w:val="Grillecouleur-Accent1"/>
      </w:pPr>
    </w:p>
    <w:p w:rsidR="00682F13" w:rsidRDefault="00682F13" w:rsidP="00682F13">
      <w:pPr>
        <w:pStyle w:val="Grillecouleur-Accent1"/>
      </w:pPr>
      <w:r w:rsidRPr="00083CDC">
        <w:t>« Regardez au centre de la ville, dans le quartier Sainte-Catherine–Peel par exemple : presque toutes les grandes enseignes sont uniqu</w:t>
      </w:r>
      <w:r w:rsidRPr="00083CDC">
        <w:t>e</w:t>
      </w:r>
      <w:r w:rsidRPr="00083CDC">
        <w:t>ment en anglais, et cela malgré la fameuse Révolution tranquille (oh, ce tranquille!) et la majorité française qui fait vivre même le centre de la ville. Il y a bien peu de français sur les pet</w:t>
      </w:r>
      <w:r w:rsidRPr="00083CDC">
        <w:t>i</w:t>
      </w:r>
      <w:r w:rsidRPr="00083CDC">
        <w:t xml:space="preserve">tes pancartes des vitrines et sur les menus, pour </w:t>
      </w:r>
      <w:r w:rsidRPr="00083CDC">
        <w:lastRenderedPageBreak/>
        <w:t>la vente! Mais pour s’affirmer, allez donc! C’est en anglais qu’ils se pr</w:t>
      </w:r>
      <w:r w:rsidRPr="00083CDC">
        <w:t>o</w:t>
      </w:r>
      <w:r w:rsidRPr="00083CDC">
        <w:t>clament, ces commerçants. L’anglais, leur langue, ou celle du plus fort, au Canada, pour laquelle ils ont opté, faisant fi de la réalité démogr</w:t>
      </w:r>
      <w:r w:rsidRPr="00083CDC">
        <w:t>a</w:t>
      </w:r>
      <w:r w:rsidRPr="00083CDC">
        <w:t>phique française du Québec et de Montréal même » (Lorrain, 1966 : 80, cité dans Bouchard et Maurais, 2000 : 2).</w:t>
      </w:r>
    </w:p>
    <w:p w:rsidR="00682F13" w:rsidRPr="00083CDC" w:rsidRDefault="00682F13" w:rsidP="00682F13">
      <w:pPr>
        <w:pStyle w:val="Grillecouleur-Accent1"/>
      </w:pPr>
    </w:p>
    <w:p w:rsidR="00682F13" w:rsidRPr="00083CDC" w:rsidRDefault="00682F13" w:rsidP="00682F13">
      <w:pPr>
        <w:spacing w:before="120" w:after="120"/>
        <w:jc w:val="both"/>
      </w:pPr>
      <w:r w:rsidRPr="00083CDC">
        <w:t>À la suite des critiques de groupes de pression</w:t>
      </w:r>
      <w:r w:rsidRPr="00083CDC">
        <w:rPr>
          <w:i/>
        </w:rPr>
        <w:t xml:space="preserve"> </w:t>
      </w:r>
      <w:r w:rsidRPr="00083CDC">
        <w:t>favorisant le fait français au Québec, le gouvernement du Parti libéral adopta en 1974 la Loi sur la langue officielle (loi 22) qui, entre autres, rendait oblig</w:t>
      </w:r>
      <w:r w:rsidRPr="00083CDC">
        <w:t>a</w:t>
      </w:r>
      <w:r w:rsidRPr="00083CDC">
        <w:t>toire la présence du français dans l’affichage public tout en permettant le bilinguisme égalitaire français/anglais. Pour les nationalistes québ</w:t>
      </w:r>
      <w:r w:rsidRPr="00083CDC">
        <w:t>é</w:t>
      </w:r>
      <w:r w:rsidRPr="00083CDC">
        <w:t>cois de l’époque, cette consécration du bili</w:t>
      </w:r>
      <w:r w:rsidRPr="00083CDC">
        <w:t>n</w:t>
      </w:r>
      <w:r w:rsidRPr="00083CDC">
        <w:t>guisme dans l’affichage commercial fut vivement contestée car elle symbolisait la perpétuation de la dominance et du prestige de l’anglais au Québec. Après l’adoption de la loi 22, le rejet du bilinguisme dans l’affichage co</w:t>
      </w:r>
      <w:r w:rsidRPr="00083CDC">
        <w:t>m</w:t>
      </w:r>
      <w:r w:rsidRPr="00083CDC">
        <w:t>mercial fut exprimé on ne peut plus vivement par René Lévesque dans la déclaration suivante :</w:t>
      </w:r>
    </w:p>
    <w:p w:rsidR="00682F13" w:rsidRDefault="00682F13" w:rsidP="00682F13">
      <w:pPr>
        <w:pStyle w:val="Grillecouleur-Accent1"/>
      </w:pPr>
    </w:p>
    <w:p w:rsidR="00682F13" w:rsidRPr="00083CDC" w:rsidRDefault="00682F13" w:rsidP="00682F13">
      <w:pPr>
        <w:pStyle w:val="Grillecouleur-Accent1"/>
      </w:pPr>
      <w:r w:rsidRPr="00083CDC">
        <w:t>« Il est important que le visage du Québec soit d’abord français, ne s</w:t>
      </w:r>
      <w:r w:rsidRPr="00083CDC">
        <w:t>e</w:t>
      </w:r>
      <w:r w:rsidRPr="00083CDC">
        <w:t>rait-ce que pour ne pas ressusciter aux yeux des no</w:t>
      </w:r>
      <w:r w:rsidRPr="00083CDC">
        <w:t>u</w:t>
      </w:r>
      <w:r w:rsidRPr="00083CDC">
        <w:t>veaux venus l’ambiguïté qui prévalait autrefois quant au caractère de notre société, a</w:t>
      </w:r>
      <w:r w:rsidRPr="00083CDC">
        <w:t>m</w:t>
      </w:r>
      <w:r w:rsidRPr="00083CDC">
        <w:t>biguïté qui nous a valu des crises déchirantes. À sa manière en effet, ch</w:t>
      </w:r>
      <w:r w:rsidRPr="00083CDC">
        <w:t>a</w:t>
      </w:r>
      <w:r w:rsidRPr="00083CDC">
        <w:t>que affiche bilingue dit à l’immigrant : “ Il y a deux langues ici, l’anglais et le français; on choisit celle qu’on veut. ” Elle dit à l’anglophone : “ Pas besoin d’apprendre le français, tout est traduit. ” Ce n’est pas là le mess</w:t>
      </w:r>
      <w:r w:rsidRPr="00083CDC">
        <w:t>a</w:t>
      </w:r>
      <w:r w:rsidRPr="00083CDC">
        <w:t>ge que nous voulons faire passer. Il nous app</w:t>
      </w:r>
      <w:r w:rsidRPr="00083CDC">
        <w:t>a</w:t>
      </w:r>
      <w:r w:rsidRPr="00083CDC">
        <w:t>raît vital que tous prennent con</w:t>
      </w:r>
      <w:r w:rsidRPr="00083CDC">
        <w:t>s</w:t>
      </w:r>
      <w:r w:rsidRPr="00083CDC">
        <w:t xml:space="preserve">cience du caractère français de notre société. Or, en dehors de </w:t>
      </w:r>
      <w:r>
        <w:t xml:space="preserve">[109] </w:t>
      </w:r>
      <w:r w:rsidRPr="00083CDC">
        <w:t>l’affichage, ce caractère n’est pas toujours évident » (Cité dans Bernard, 2000 : 96).</w:t>
      </w:r>
    </w:p>
    <w:p w:rsidR="00682F13" w:rsidRPr="00083CDC" w:rsidRDefault="00682F13" w:rsidP="00682F13">
      <w:pPr>
        <w:spacing w:before="120" w:after="120"/>
        <w:jc w:val="both"/>
        <w:rPr>
          <w:b/>
        </w:rPr>
      </w:pPr>
    </w:p>
    <w:p w:rsidR="00682F13" w:rsidRPr="00083CDC" w:rsidRDefault="00682F13" w:rsidP="00682F13">
      <w:pPr>
        <w:pStyle w:val="planche"/>
        <w:rPr>
          <w:u w:val="single"/>
        </w:rPr>
      </w:pPr>
      <w:bookmarkStart w:id="4" w:name="Loi_101_aménagement_2"/>
      <w:r w:rsidRPr="00083CDC">
        <w:t>2. La loi 101</w:t>
      </w:r>
      <w:r>
        <w:t xml:space="preserve"> et la francisation</w:t>
      </w:r>
      <w:r>
        <w:br/>
      </w:r>
      <w:r w:rsidRPr="00083CDC">
        <w:t>du paysage linguistique</w:t>
      </w:r>
      <w:r w:rsidRPr="00083CDC">
        <w:rPr>
          <w:u w:val="single"/>
        </w:rPr>
        <w:t xml:space="preserve"> </w:t>
      </w:r>
    </w:p>
    <w:bookmarkEnd w:id="4"/>
    <w:p w:rsidR="00682F13" w:rsidRPr="00083CDC" w:rsidRDefault="00682F13" w:rsidP="00682F13">
      <w:pPr>
        <w:spacing w:before="120" w:after="120"/>
        <w:jc w:val="both"/>
      </w:pPr>
    </w:p>
    <w:p w:rsidR="00682F13" w:rsidRPr="00384B20" w:rsidRDefault="00682F13" w:rsidP="00682F13">
      <w:pPr>
        <w:ind w:right="90" w:firstLine="0"/>
        <w:jc w:val="both"/>
        <w:rPr>
          <w:sz w:val="20"/>
        </w:rPr>
      </w:pPr>
      <w:hyperlink w:anchor="tdm" w:history="1">
        <w:r w:rsidRPr="00384B20">
          <w:rPr>
            <w:rStyle w:val="Lienhypertexte"/>
            <w:sz w:val="20"/>
          </w:rPr>
          <w:t>Retour à la table des matières</w:t>
        </w:r>
      </w:hyperlink>
    </w:p>
    <w:p w:rsidR="00682F13" w:rsidRPr="00083CDC" w:rsidRDefault="00682F13" w:rsidP="00682F13">
      <w:pPr>
        <w:spacing w:before="120" w:after="120"/>
        <w:jc w:val="both"/>
      </w:pPr>
      <w:r w:rsidRPr="00083CDC">
        <w:t>En 1976, les remous provoqués par l’application de la loi 22 incit</w:t>
      </w:r>
      <w:r w:rsidRPr="00083CDC">
        <w:t>è</w:t>
      </w:r>
      <w:r w:rsidRPr="00083CDC">
        <w:t>rent le gouvernement libéral à tenir des élections qui se so</w:t>
      </w:r>
      <w:r w:rsidRPr="00083CDC">
        <w:t>l</w:t>
      </w:r>
      <w:r w:rsidRPr="00083CDC">
        <w:t>dèrent par la victoire surprise du Parti québécois, qui allait se di</w:t>
      </w:r>
      <w:r w:rsidRPr="00083CDC">
        <w:t>s</w:t>
      </w:r>
      <w:r w:rsidRPr="00083CDC">
        <w:t xml:space="preserve">tinguer par sa législation linguistique destinée à contrer chacune des menaces à la </w:t>
      </w:r>
      <w:r w:rsidRPr="00083CDC">
        <w:lastRenderedPageBreak/>
        <w:t>langue française soulignées par la commission Gendron (D’Anglejan, 1984; Bourhis, 1984a, 2001a; Rocher, 2000). Ainsi, contrairement à la loi 22 qui admettait la coexistence du français et de l’anglais dans pl</w:t>
      </w:r>
      <w:r w:rsidRPr="00083CDC">
        <w:t>u</w:t>
      </w:r>
      <w:r w:rsidRPr="00083CDC">
        <w:t>sieurs domaines, la loi 101 fa</w:t>
      </w:r>
      <w:r w:rsidRPr="00083CDC">
        <w:t>i</w:t>
      </w:r>
      <w:r w:rsidRPr="00083CDC">
        <w:t>sait du français la seule langue officielle du Québec (art. 1). Comme le démontre le préambule de la loi 101</w:t>
      </w:r>
      <w:r w:rsidRPr="00083CDC">
        <w:rPr>
          <w:i/>
        </w:rPr>
        <w:t xml:space="preserve">, </w:t>
      </w:r>
      <w:r w:rsidRPr="00083CDC">
        <w:t>le français était déclaré</w:t>
      </w:r>
      <w:r w:rsidRPr="00083CDC">
        <w:rPr>
          <w:i/>
        </w:rPr>
        <w:t xml:space="preserve"> </w:t>
      </w:r>
      <w:r w:rsidRPr="00083CDC">
        <w:t>symbole de l’identité québécoise (Bariteau, 2000) :</w:t>
      </w:r>
    </w:p>
    <w:p w:rsidR="00682F13" w:rsidRDefault="00682F13" w:rsidP="00682F13">
      <w:pPr>
        <w:pStyle w:val="Grillecouleur-Accent1"/>
      </w:pPr>
    </w:p>
    <w:p w:rsidR="00682F13" w:rsidRDefault="00682F13" w:rsidP="00682F13">
      <w:pPr>
        <w:pStyle w:val="Grillecouleur-Accent1"/>
      </w:pPr>
      <w:r w:rsidRPr="00083CDC">
        <w:t>« Langue distinctive d’un peuple majoritairement francophone, la la</w:t>
      </w:r>
      <w:r w:rsidRPr="00083CDC">
        <w:t>n</w:t>
      </w:r>
      <w:r w:rsidRPr="00083CDC">
        <w:t>gue française permet au peuple québécois d’exprimer son identité. L’Assemblée nationale reconnaît la volonté des Québ</w:t>
      </w:r>
      <w:r w:rsidRPr="00083CDC">
        <w:t>é</w:t>
      </w:r>
      <w:r w:rsidRPr="00083CDC">
        <w:t>cois d’assurer la qualité et le rayonnement de la langue française. Elle est donc rés</w:t>
      </w:r>
      <w:r w:rsidRPr="00083CDC">
        <w:t>o</w:t>
      </w:r>
      <w:r w:rsidRPr="00083CDC">
        <w:t>lue à faire du français la langue de l’État et de la Loi aussi bien que la langue normale et habituelle du travail, de l’enseignement, des co</w:t>
      </w:r>
      <w:r w:rsidRPr="00083CDC">
        <w:t>m</w:t>
      </w:r>
      <w:r w:rsidRPr="00083CDC">
        <w:t>munications, du commerce et des affa</w:t>
      </w:r>
      <w:r w:rsidRPr="00083CDC">
        <w:t>i</w:t>
      </w:r>
      <w:r w:rsidRPr="00083CDC">
        <w:t>res » (Québec, 1977).</w:t>
      </w:r>
    </w:p>
    <w:p w:rsidR="00682F13" w:rsidRPr="00083CDC" w:rsidRDefault="00682F13" w:rsidP="00682F13">
      <w:pPr>
        <w:pStyle w:val="Grillecouleur-Accent1"/>
      </w:pPr>
    </w:p>
    <w:p w:rsidR="00682F13" w:rsidRPr="00083CDC" w:rsidRDefault="00682F13" w:rsidP="00682F13">
      <w:pPr>
        <w:spacing w:before="120" w:after="120"/>
        <w:jc w:val="both"/>
      </w:pPr>
      <w:r w:rsidRPr="00083CDC">
        <w:t>Comme nous l’avons vu, cette nouvelle relation de pouvoir e</w:t>
      </w:r>
      <w:r w:rsidRPr="00083CDC">
        <w:t>n</w:t>
      </w:r>
      <w:r w:rsidRPr="00083CDC">
        <w:t>tre le français et l’anglais fut symbolisée surtout dans les dispos</w:t>
      </w:r>
      <w:r w:rsidRPr="00083CDC">
        <w:t>i</w:t>
      </w:r>
      <w:r w:rsidRPr="00083CDC">
        <w:t>tions de la loi 101 portant sur le paysage linguistique.</w:t>
      </w:r>
    </w:p>
    <w:p w:rsidR="00682F13" w:rsidRPr="00083CDC" w:rsidRDefault="00682F13" w:rsidP="00682F13">
      <w:pPr>
        <w:spacing w:before="120" w:after="120"/>
        <w:jc w:val="both"/>
      </w:pPr>
      <w:r w:rsidRPr="00083CDC">
        <w:t>Les réactions des francophones à la loi 101 furent très positives puisqu’elle les rassurait sur leur avenir linguistique et culturel en tant que majorité au Québec, malgré leur statut de minorité li</w:t>
      </w:r>
      <w:r w:rsidRPr="00083CDC">
        <w:t>n</w:t>
      </w:r>
      <w:r w:rsidRPr="00083CDC">
        <w:t>guistique à l’échelle du Canada et de l’Amérique du Nord (Lepicq et Bourhis, 1994). Les premières études évaluant l’impact de la Charte sur le st</w:t>
      </w:r>
      <w:r w:rsidRPr="00083CDC">
        <w:t>a</w:t>
      </w:r>
      <w:r w:rsidRPr="00083CDC">
        <w:t>tut et l’accroissement de l’usage du français dans la rue, comme la</w:t>
      </w:r>
      <w:r w:rsidRPr="00083CDC">
        <w:t>n</w:t>
      </w:r>
      <w:r w:rsidRPr="00083CDC">
        <w:t xml:space="preserve">gue de commerce, et au travail, démontrèrent plusieurs effets positifs de la loi (Bourhis, 1984b; Genesee et Bourhis, 1988; Laporte, 1984). Ces tendances se confirmèrent dans les études sur l’usage public du français par rapport à l’anglais durant les années 1990 (Béland, 1999; Moise et Bourhis, 1994). </w:t>
      </w:r>
    </w:p>
    <w:p w:rsidR="00682F13" w:rsidRPr="00083CDC" w:rsidRDefault="00682F13" w:rsidP="00682F13">
      <w:pPr>
        <w:spacing w:before="120" w:after="120"/>
        <w:jc w:val="both"/>
      </w:pPr>
      <w:r w:rsidRPr="00083CDC">
        <w:t>Mais la loi 101 suscita des réactions négatives chez les angloph</w:t>
      </w:r>
      <w:r w:rsidRPr="00083CDC">
        <w:t>o</w:t>
      </w:r>
      <w:r w:rsidRPr="00083CDC">
        <w:t>nes qui y virent une atteinte au statut de leur communauté et une m</w:t>
      </w:r>
      <w:r w:rsidRPr="00083CDC">
        <w:t>e</w:t>
      </w:r>
      <w:r w:rsidRPr="00083CDC">
        <w:t>nace à leur avenir démographique et institutionnel au Qu</w:t>
      </w:r>
      <w:r w:rsidRPr="00083CDC">
        <w:t>é</w:t>
      </w:r>
      <w:r w:rsidRPr="00083CDC">
        <w:t xml:space="preserve">bec (D’Anglejan, 1984). Symboliquement, les anglophones se sentirent surtout menacés par les dispositions concernant l’affichage unilingue français. Exclus du paysage linguistique à la fois gouvernemental et commercial, les anglophones ressentirent la précarité de leur statut en tant que minorité nationale après plus de trois cents ans de présence au </w:t>
      </w:r>
      <w:r w:rsidRPr="00083CDC">
        <w:lastRenderedPageBreak/>
        <w:t>Québec (Chambers, 2000). Par</w:t>
      </w:r>
      <w:r w:rsidRPr="00083CDC">
        <w:t>a</w:t>
      </w:r>
      <w:r w:rsidRPr="00083CDC">
        <w:t>doxalement, cette dévalorisation de l’anglais sous-jacente à la loi 101 contribua à faire de cette même la</w:t>
      </w:r>
      <w:r w:rsidRPr="00083CDC">
        <w:t>n</w:t>
      </w:r>
      <w:r w:rsidRPr="00083CDC">
        <w:t>gue un symbole important de l’identité des Anglo-Québécois (Bou</w:t>
      </w:r>
      <w:r w:rsidRPr="00083CDC">
        <w:t>r</w:t>
      </w:r>
      <w:r w:rsidRPr="00083CDC">
        <w:t>his, 2001b; Taylor et S</w:t>
      </w:r>
      <w:r w:rsidRPr="00083CDC">
        <w:t>i</w:t>
      </w:r>
      <w:r w:rsidRPr="00083CDC">
        <w:t>mard, 1984). Ainsi, la rivalité entre le français et l’anglais dans le paysage linguistique se vit dotée d’une signific</w:t>
      </w:r>
      <w:r w:rsidRPr="00083CDC">
        <w:t>a</w:t>
      </w:r>
      <w:r w:rsidRPr="00083CDC">
        <w:t>tion tout aussi symbolique pour les membres des</w:t>
      </w:r>
      <w:r>
        <w:t xml:space="preserve"> [110]</w:t>
      </w:r>
      <w:r w:rsidRPr="00083CDC">
        <w:t xml:space="preserve"> deux princip</w:t>
      </w:r>
      <w:r w:rsidRPr="00083CDC">
        <w:t>a</w:t>
      </w:r>
      <w:r w:rsidRPr="00083CDC">
        <w:t>les communautés linguistiques du Québec. En tant que nouveaux i</w:t>
      </w:r>
      <w:r w:rsidRPr="00083CDC">
        <w:t>m</w:t>
      </w:r>
      <w:r w:rsidRPr="00083CDC">
        <w:t>migrants ou membres de communautés issues de l’immigration, les all</w:t>
      </w:r>
      <w:r w:rsidRPr="00083CDC">
        <w:t>o</w:t>
      </w:r>
      <w:r w:rsidRPr="00083CDC">
        <w:t>phones eurent des perceptions plus ambivalentes à l’égard de la loi 101 et de ses dispositions sur la francisation du paysage linguistique (Bourhis, 1994a; Helly et van Schendel, 2001).</w:t>
      </w:r>
    </w:p>
    <w:p w:rsidR="00682F13" w:rsidRPr="00083CDC" w:rsidRDefault="00682F13" w:rsidP="00682F13">
      <w:pPr>
        <w:spacing w:before="120" w:after="120"/>
        <w:jc w:val="both"/>
      </w:pPr>
      <w:r w:rsidRPr="00083CDC">
        <w:t>Démographiquement, les anglophones se sentirent menacés par les dispositions</w:t>
      </w:r>
      <w:r w:rsidRPr="00083CDC">
        <w:rPr>
          <w:i/>
        </w:rPr>
        <w:t xml:space="preserve"> </w:t>
      </w:r>
      <w:r w:rsidRPr="00083CDC">
        <w:t>concernant le choix obligatoire du français comme langue d’enseignement pour les enfants</w:t>
      </w:r>
      <w:r w:rsidRPr="00083CDC">
        <w:rPr>
          <w:i/>
        </w:rPr>
        <w:t xml:space="preserve"> </w:t>
      </w:r>
      <w:r w:rsidRPr="00083CDC">
        <w:t>d’immigrants dont les p</w:t>
      </w:r>
      <w:r w:rsidRPr="00083CDC">
        <w:t>a</w:t>
      </w:r>
      <w:r w:rsidRPr="00083CDC">
        <w:t>rents n’avaient pas fréquenté l’école anglaise. En effet, après la loi 101, les anglophones ne pouvaient plus compter sur l’anglicisation des imm</w:t>
      </w:r>
      <w:r w:rsidRPr="00083CDC">
        <w:t>i</w:t>
      </w:r>
      <w:r w:rsidRPr="00083CDC">
        <w:t>grants, ni sur l’immigration d’anglophones issus d’autres provinces du Canada pour assurer le maintien de leur communauté linguistique (Caldwell, 1984). De plus, en perte de fertilité autant que les franc</w:t>
      </w:r>
      <w:r w:rsidRPr="00083CDC">
        <w:t>o</w:t>
      </w:r>
      <w:r w:rsidRPr="00083CDC">
        <w:t>phones, les anglophones constatèrent le déclin de leur réseau scolaire, surtout au niveau primaire et secondaire (Mallae, 1984; Mc Andrew, dans ce numéro; Paillé, dans ce n</w:t>
      </w:r>
      <w:r w:rsidRPr="00083CDC">
        <w:t>u</w:t>
      </w:r>
      <w:r w:rsidRPr="00083CDC">
        <w:t>méro). Ainsi, le système scolaire anglophone étant considérablement réduit, il en résulta un affaibli</w:t>
      </w:r>
      <w:r w:rsidRPr="00083CDC">
        <w:t>s</w:t>
      </w:r>
      <w:r w:rsidRPr="00083CDC">
        <w:t>sement de soutien institutio</w:t>
      </w:r>
      <w:r w:rsidRPr="00083CDC">
        <w:t>n</w:t>
      </w:r>
      <w:r w:rsidRPr="00083CDC">
        <w:t>nel de la minorité anglophone du Québec (Bourhis, 1994a, 2001a; Caldwell, 1994, et dans ce numéro).</w:t>
      </w:r>
    </w:p>
    <w:p w:rsidR="00682F13" w:rsidRPr="00083CDC" w:rsidRDefault="00682F13" w:rsidP="00682F13">
      <w:pPr>
        <w:spacing w:before="120" w:after="120"/>
        <w:jc w:val="both"/>
      </w:pPr>
      <w:r w:rsidRPr="00083CDC">
        <w:t>Mécontents de la politique linguistique et fiscale pratiquée au Québec, plus de 120 000 anglophones quittèrent le Québec durant la décennie suivant l’adoption de la loi 101, réduisant leurs effectifs d</w:t>
      </w:r>
      <w:r w:rsidRPr="00083CDC">
        <w:t>é</w:t>
      </w:r>
      <w:r w:rsidRPr="00083CDC">
        <w:t>mographiques de 12 % à 10,5 % de la population québécoise (Cal</w:t>
      </w:r>
      <w:r w:rsidRPr="00083CDC">
        <w:t>d</w:t>
      </w:r>
      <w:r w:rsidRPr="00083CDC">
        <w:t>well, 1984, 1994, et dans ce numéro). Parmi les angl</w:t>
      </w:r>
      <w:r w:rsidRPr="00083CDC">
        <w:t>o</w:t>
      </w:r>
      <w:r w:rsidRPr="00083CDC">
        <w:t>phones restés au Québec après la loi 101, beaucoup se mobilis</w:t>
      </w:r>
      <w:r w:rsidRPr="00083CDC">
        <w:t>è</w:t>
      </w:r>
      <w:r w:rsidRPr="00083CDC">
        <w:t>rent pour défendre leur situation en tant que minorité linguistique à l’échelle du Québec, mais avec l’assurance d’une majorité nationale à l’échelle du Canada (L</w:t>
      </w:r>
      <w:r w:rsidRPr="00083CDC">
        <w:t>e</w:t>
      </w:r>
      <w:r w:rsidRPr="00083CDC">
        <w:t>gault, 1992; Scowen, 1991). En 1982, cette mobilisation aboutit à la création d’un groupe de pre</w:t>
      </w:r>
      <w:r w:rsidRPr="00083CDC">
        <w:t>s</w:t>
      </w:r>
      <w:r w:rsidRPr="00083CDC">
        <w:t>sion connu sous le nom d’« Alliance Québec », dont le but était de sauvegarder et de promouvoir les int</w:t>
      </w:r>
      <w:r w:rsidRPr="00083CDC">
        <w:t>é</w:t>
      </w:r>
      <w:r w:rsidRPr="00083CDC">
        <w:t>rêts linguistiques de la minorité anglophone (Stevenson, 1999). Su</w:t>
      </w:r>
      <w:r w:rsidRPr="00083CDC">
        <w:t>b</w:t>
      </w:r>
      <w:r w:rsidRPr="00083CDC">
        <w:lastRenderedPageBreak/>
        <w:t>ventionnés par le gouve</w:t>
      </w:r>
      <w:r w:rsidRPr="00083CDC">
        <w:t>r</w:t>
      </w:r>
      <w:r w:rsidRPr="00083CDC">
        <w:t>nement fédéral du Canada, les groupes de pression pro-anglophones comme Alliance Québec se mobilisèrent pour contester juridiquement les éléments perçus comme les plus irr</w:t>
      </w:r>
      <w:r w:rsidRPr="00083CDC">
        <w:t>i</w:t>
      </w:r>
      <w:r w:rsidRPr="00083CDC">
        <w:t>tants de la loi 101, tels que l’affichage commercial uniquement en français et les règlements scolaires obligeant les anglophones origina</w:t>
      </w:r>
      <w:r w:rsidRPr="00083CDC">
        <w:t>i</w:t>
      </w:r>
      <w:r w:rsidRPr="00083CDC">
        <w:t>res des autres provinces canadiennes et les immigrants internationaux à envoyer leurs enfants dans des écoles françaises (Caldwell, 1998; Levine, 1990). Les anglophones se mobilisèrent en sachant bien que leur communauté linguistique était plus avantagée, au niveau du so</w:t>
      </w:r>
      <w:r w:rsidRPr="00083CDC">
        <w:t>u</w:t>
      </w:r>
      <w:r w:rsidRPr="00083CDC">
        <w:t>tien institutionnel, au niveau du statut et démogr</w:t>
      </w:r>
      <w:r w:rsidRPr="00083CDC">
        <w:t>a</w:t>
      </w:r>
      <w:r w:rsidRPr="00083CDC">
        <w:t>phiquement, que la plupart des minorités francophones hors Qu</w:t>
      </w:r>
      <w:r w:rsidRPr="00083CDC">
        <w:t>é</w:t>
      </w:r>
      <w:r w:rsidRPr="00083CDC">
        <w:t>bec (Bourhis, 1994b; de Vries, 1994). C’est justement pour ne pas subir le même sort que les francophones hors Québec que les A</w:t>
      </w:r>
      <w:r w:rsidRPr="00083CDC">
        <w:t>n</w:t>
      </w:r>
      <w:r w:rsidRPr="00083CDC">
        <w:t>glo-Québécois se mobilisèrent pour défendre la vitalité de leur communauté en tant que minorité li</w:t>
      </w:r>
      <w:r w:rsidRPr="00083CDC">
        <w:t>n</w:t>
      </w:r>
      <w:r w:rsidRPr="00083CDC">
        <w:t>guistique au Québec.</w:t>
      </w:r>
    </w:p>
    <w:p w:rsidR="00682F13" w:rsidRPr="00083CDC" w:rsidRDefault="00682F13" w:rsidP="00682F13">
      <w:pPr>
        <w:spacing w:before="120" w:after="120"/>
        <w:jc w:val="both"/>
      </w:pPr>
    </w:p>
    <w:p w:rsidR="00682F13" w:rsidRPr="00083CDC" w:rsidRDefault="00682F13" w:rsidP="00682F13">
      <w:pPr>
        <w:pStyle w:val="planche"/>
        <w:rPr>
          <w:u w:val="single"/>
        </w:rPr>
      </w:pPr>
      <w:bookmarkStart w:id="5" w:name="Loi_101_aménagement_3"/>
      <w:r w:rsidRPr="00083CDC">
        <w:t>3. Les contestations juri</w:t>
      </w:r>
      <w:r>
        <w:t>diques</w:t>
      </w:r>
      <w:r>
        <w:br/>
      </w:r>
      <w:r w:rsidRPr="00083CDC">
        <w:t>et la loi 178 sur l’affichage commercial</w:t>
      </w:r>
    </w:p>
    <w:bookmarkEnd w:id="5"/>
    <w:p w:rsidR="00682F13" w:rsidRPr="00083CDC" w:rsidRDefault="00682F13" w:rsidP="00682F13">
      <w:pPr>
        <w:spacing w:before="120" w:after="120"/>
        <w:jc w:val="both"/>
      </w:pPr>
    </w:p>
    <w:p w:rsidR="00682F13" w:rsidRPr="00384B20" w:rsidRDefault="00682F13" w:rsidP="00682F13">
      <w:pPr>
        <w:ind w:right="90" w:firstLine="0"/>
        <w:jc w:val="both"/>
        <w:rPr>
          <w:sz w:val="20"/>
        </w:rPr>
      </w:pPr>
      <w:hyperlink w:anchor="tdm" w:history="1">
        <w:r w:rsidRPr="00384B20">
          <w:rPr>
            <w:rStyle w:val="Lienhypertexte"/>
            <w:sz w:val="20"/>
          </w:rPr>
          <w:t>Retour à la table des matières</w:t>
        </w:r>
      </w:hyperlink>
    </w:p>
    <w:p w:rsidR="00682F13" w:rsidRPr="00083CDC" w:rsidRDefault="00682F13" w:rsidP="00682F13">
      <w:pPr>
        <w:spacing w:before="120" w:after="120"/>
        <w:jc w:val="both"/>
      </w:pPr>
      <w:r w:rsidRPr="00083CDC">
        <w:t>En 1988, à la suite des contestations juridiques de la loi 101 par des commerçants anglophones de Montréal, la Cour suprême du C</w:t>
      </w:r>
      <w:r w:rsidRPr="00083CDC">
        <w:t>a</w:t>
      </w:r>
      <w:r w:rsidRPr="00083CDC">
        <w:t>nada déclara que l’obligation de l’affichage commercial uniquement en français contrevenait à la fois à la Charte des droits de la personne du Québec et à la Charte canadienne des droits et libertés. S’il</w:t>
      </w:r>
      <w:r>
        <w:t xml:space="preserve"> [111]</w:t>
      </w:r>
      <w:r w:rsidRPr="00083CDC">
        <w:t xml:space="preserve"> était justifié pour le Québec d’exiger l’usage « nettement prédom</w:t>
      </w:r>
      <w:r w:rsidRPr="00083CDC">
        <w:t>i</w:t>
      </w:r>
      <w:r w:rsidRPr="00083CDC">
        <w:t>nant » de la langue française dans l’affichage commercial, il ne l’était pas d’exiger l’utilisation exclusive du français. La Cour suprême du C</w:t>
      </w:r>
      <w:r w:rsidRPr="00083CDC">
        <w:t>a</w:t>
      </w:r>
      <w:r w:rsidRPr="00083CDC">
        <w:t>nada décida alors que l’interdiction d’employer une autre langue que le français dans l’affichage public et la publicité commerciale a</w:t>
      </w:r>
      <w:r w:rsidRPr="00083CDC">
        <w:t>l</w:t>
      </w:r>
      <w:r w:rsidRPr="00083CDC">
        <w:t>lait à l’encontre de la liberté d’expression, y compris de la liberté de s’exprimer dans la langue de son choix dans le domaine commercial (arrêts Ford, Devine, 1988).</w:t>
      </w:r>
    </w:p>
    <w:p w:rsidR="00682F13" w:rsidRPr="00083CDC" w:rsidRDefault="00682F13" w:rsidP="00682F13">
      <w:pPr>
        <w:spacing w:before="120" w:after="120"/>
        <w:jc w:val="both"/>
      </w:pPr>
      <w:r w:rsidRPr="00083CDC">
        <w:t xml:space="preserve">En réponse aux jugements de la Cour suprême du Canada, face à une forte mobilisation de francophones pour la défense de la loi 101, et craignant la démission de son ministre de l’Éducation, Claude </w:t>
      </w:r>
      <w:r w:rsidRPr="00083CDC">
        <w:lastRenderedPageBreak/>
        <w:t>Ryan, le premier ministre Robert Bourassa fit adopter en 1993</w:t>
      </w:r>
      <w:r w:rsidRPr="00083CDC">
        <w:rPr>
          <w:i/>
        </w:rPr>
        <w:t xml:space="preserve"> </w:t>
      </w:r>
      <w:r w:rsidRPr="00083CDC">
        <w:t>la loi 178, qui ne fut satisfaisante pour aucune des communautés linguist</w:t>
      </w:r>
      <w:r w:rsidRPr="00083CDC">
        <w:t>i</w:t>
      </w:r>
      <w:r w:rsidRPr="00083CDC">
        <w:t>ques du Québec. Désolante pour les anglophones, la loi 178 maint</w:t>
      </w:r>
      <w:r w:rsidRPr="00083CDC">
        <w:t>e</w:t>
      </w:r>
      <w:r w:rsidRPr="00083CDC">
        <w:t>nait la règle de l’unilinguisme français dans l’affichage public et la publicité commerciale à l’extérieur des commerces. Toutefois, la loi permettait toujours d’utiliser une a</w:t>
      </w:r>
      <w:r w:rsidRPr="00083CDC">
        <w:t>u</w:t>
      </w:r>
      <w:r w:rsidRPr="00083CDC">
        <w:t>tre langue en plus du français dans l’affichage à l’extérieur des établissements spécialisés dans la vente des produits culturels et des produits typiques d’un groupe ethnique particulier. Frustrante pour les groupes de pression</w:t>
      </w:r>
      <w:r w:rsidRPr="00083CDC">
        <w:rPr>
          <w:i/>
        </w:rPr>
        <w:t xml:space="preserve"> </w:t>
      </w:r>
      <w:r w:rsidRPr="00083CDC">
        <w:t>francophones, la loi 178 permettait le bilinguisme dans l’affichage commercial à l’intérieur des co</w:t>
      </w:r>
      <w:r w:rsidRPr="00083CDC">
        <w:t>m</w:t>
      </w:r>
      <w:r w:rsidRPr="00083CDC">
        <w:t>merces de moins de 50 employés à condition que le français figure de façon nettement prédominante. En contradiction avec les arrêts de la Cour suprême du Canada, la loi 178 fut adoptée en décembre 1988</w:t>
      </w:r>
      <w:r w:rsidRPr="00083CDC">
        <w:rPr>
          <w:i/>
        </w:rPr>
        <w:t xml:space="preserve">, </w:t>
      </w:r>
      <w:r w:rsidRPr="00083CDC">
        <w:t>en invoquant une disposition permettant de dér</w:t>
      </w:r>
      <w:r w:rsidRPr="00083CDC">
        <w:t>o</w:t>
      </w:r>
      <w:r w:rsidRPr="00083CDC">
        <w:t>ger à la Constitution canadienne et exemptant pour des périodes r</w:t>
      </w:r>
      <w:r w:rsidRPr="00083CDC">
        <w:t>e</w:t>
      </w:r>
      <w:r w:rsidRPr="00083CDC">
        <w:t>nouv</w:t>
      </w:r>
      <w:r w:rsidRPr="00083CDC">
        <w:t>e</w:t>
      </w:r>
      <w:r w:rsidRPr="00083CDC">
        <w:t>lables de cinq ans, les provinces et le parlement fédéral des droits enchâssés dans la Charte canadienne des droits et libertés. La Charte canadienne avait été adoptée par les neuf provinces à maj</w:t>
      </w:r>
      <w:r w:rsidRPr="00083CDC">
        <w:t>o</w:t>
      </w:r>
      <w:r w:rsidRPr="00083CDC">
        <w:t>rité anglophone en 1982, mais elle ne fut jamais ratifiée par le Québec qui n’en est pas moins tenu de s’y conformer (Bourhis, 1994b).</w:t>
      </w:r>
    </w:p>
    <w:p w:rsidR="00682F13" w:rsidRPr="00083CDC" w:rsidRDefault="00682F13" w:rsidP="00682F13">
      <w:pPr>
        <w:spacing w:before="120" w:after="120"/>
        <w:jc w:val="both"/>
      </w:pPr>
      <w:r w:rsidRPr="00083CDC">
        <w:t>Les anglophones avaient largement contribué à l’élection du Parti libéral en 1985, à la suite, entre autres, de la promesse d’inclure les langues autres que le français dans l’affichage co</w:t>
      </w:r>
      <w:r w:rsidRPr="00083CDC">
        <w:t>m</w:t>
      </w:r>
      <w:r w:rsidRPr="00083CDC">
        <w:t>mercial externe. Outrés, les trois seuls ministres anglophones du gouvernement libéral protestèrent contre la loi 178 en démissio</w:t>
      </w:r>
      <w:r w:rsidRPr="00083CDC">
        <w:t>n</w:t>
      </w:r>
      <w:r w:rsidRPr="00083CDC">
        <w:t>nant du cabinet de Robert Bourassa. Les anglophones se sentant trahis par le Parti libéral lors de l’adoption de la loi 178, formèrent l’« </w:t>
      </w:r>
      <w:r w:rsidRPr="006522C8">
        <w:rPr>
          <w:i/>
        </w:rPr>
        <w:t>Equality Party </w:t>
      </w:r>
      <w:r w:rsidRPr="00083CDC">
        <w:t>» en 1989, parti qui réclamait l’abolition de la loi 178 ainsi que le rétablissement du bilinguisme intégral dans la province. Aux élections provinciales de septembre 1989, l’opposition des</w:t>
      </w:r>
      <w:r w:rsidRPr="00083CDC">
        <w:rPr>
          <w:i/>
        </w:rPr>
        <w:t xml:space="preserve"> </w:t>
      </w:r>
      <w:r w:rsidRPr="00083CDC">
        <w:t>anglophones à la loi 178 se solda par l’élection de quatre candidats anglophones de l’</w:t>
      </w:r>
      <w:r w:rsidRPr="006522C8">
        <w:rPr>
          <w:i/>
        </w:rPr>
        <w:t xml:space="preserve">Equality Party </w:t>
      </w:r>
      <w:r w:rsidRPr="00083CDC">
        <w:t>et cinq autres candidats de ce parti se classèrent au second rang dans les ci</w:t>
      </w:r>
      <w:r w:rsidRPr="00083CDC">
        <w:t>r</w:t>
      </w:r>
      <w:r w:rsidRPr="00083CDC">
        <w:t>conscriptions à majorité anglophone de l’Ouest de Montréal. En considérant les seize circonscriptions de l’Ouest de Montréal, on con</w:t>
      </w:r>
      <w:r w:rsidRPr="00083CDC">
        <w:t>s</w:t>
      </w:r>
      <w:r w:rsidRPr="00083CDC">
        <w:t>tata que l’</w:t>
      </w:r>
      <w:r w:rsidRPr="006522C8">
        <w:rPr>
          <w:i/>
        </w:rPr>
        <w:t xml:space="preserve">Equality Party </w:t>
      </w:r>
      <w:r w:rsidRPr="00083CDC">
        <w:t>avait obtenu 26 % des suffrages par ra</w:t>
      </w:r>
      <w:r w:rsidRPr="00083CDC">
        <w:t>p</w:t>
      </w:r>
      <w:r w:rsidRPr="00083CDC">
        <w:t>port à 22 % pour le Parti québécois et 46 % pour le Parti libéral. Pour l’ensemble du Québec, le Parti libéral obtenait 50 % des su</w:t>
      </w:r>
      <w:r w:rsidRPr="00083CDC">
        <w:t>f</w:t>
      </w:r>
      <w:r w:rsidRPr="00083CDC">
        <w:t>frages, le Parti québécois en obtenait 40 %, et l’</w:t>
      </w:r>
      <w:r w:rsidRPr="006522C8">
        <w:rPr>
          <w:i/>
        </w:rPr>
        <w:t xml:space="preserve">Equality Party </w:t>
      </w:r>
      <w:r w:rsidRPr="00083CDC">
        <w:t xml:space="preserve">5 %. Bien que le </w:t>
      </w:r>
      <w:r w:rsidRPr="00083CDC">
        <w:lastRenderedPageBreak/>
        <w:t>Parti libéral ait obtenu les sièges nécessaires pour former le gouve</w:t>
      </w:r>
      <w:r w:rsidRPr="00083CDC">
        <w:t>r</w:t>
      </w:r>
      <w:r w:rsidRPr="00083CDC">
        <w:t>nement, l’élection des quatre candidats de l’</w:t>
      </w:r>
      <w:r w:rsidRPr="00487995">
        <w:rPr>
          <w:i/>
        </w:rPr>
        <w:t xml:space="preserve">Equality Party </w:t>
      </w:r>
      <w:r w:rsidRPr="00083CDC">
        <w:t>à l’Assemblée nationale fut une manifestation concrète du mécontent</w:t>
      </w:r>
      <w:r w:rsidRPr="00083CDC">
        <w:t>e</w:t>
      </w:r>
      <w:r w:rsidRPr="00083CDC">
        <w:t>ment des anglophones à l’égard de la politique du gouvernement lib</w:t>
      </w:r>
      <w:r w:rsidRPr="00083CDC">
        <w:t>é</w:t>
      </w:r>
      <w:r w:rsidRPr="00083CDC">
        <w:t>ral dans le domaine de la langue d’affichage. De plus, plusieurs o</w:t>
      </w:r>
      <w:r w:rsidRPr="00083CDC">
        <w:t>b</w:t>
      </w:r>
      <w:r w:rsidRPr="00083CDC">
        <w:t xml:space="preserve">servateurs de la scène politique québécoise et </w:t>
      </w:r>
      <w:r>
        <w:t xml:space="preserve">[112] </w:t>
      </w:r>
      <w:r w:rsidRPr="00083CDC">
        <w:t>canadienne imp</w:t>
      </w:r>
      <w:r w:rsidRPr="00083CDC">
        <w:t>u</w:t>
      </w:r>
      <w:r w:rsidRPr="00083CDC">
        <w:t>tèrent la défaite de l’Accord du lac Meech à la flambée anti-québécoise des Canadiens anglais à la suite de l’adoption de la loi 178 par le Parti l</w:t>
      </w:r>
      <w:r w:rsidRPr="00083CDC">
        <w:t>i</w:t>
      </w:r>
      <w:r w:rsidRPr="00083CDC">
        <w:t>béral (MacDonald, 2002).</w:t>
      </w:r>
    </w:p>
    <w:p w:rsidR="00682F13" w:rsidRPr="00083CDC" w:rsidRDefault="00682F13" w:rsidP="00682F13">
      <w:pPr>
        <w:spacing w:before="120" w:after="120"/>
        <w:jc w:val="both"/>
        <w:rPr>
          <w:b/>
        </w:rPr>
      </w:pPr>
    </w:p>
    <w:p w:rsidR="00682F13" w:rsidRPr="00083CDC" w:rsidRDefault="00682F13" w:rsidP="00682F13">
      <w:pPr>
        <w:pStyle w:val="planche"/>
      </w:pPr>
      <w:bookmarkStart w:id="6" w:name="Loi_101_aménagement_4"/>
      <w:r w:rsidRPr="00083CDC">
        <w:t>4. La loi 86 et le français nettement</w:t>
      </w:r>
      <w:r w:rsidRPr="00083CDC">
        <w:rPr>
          <w:i/>
        </w:rPr>
        <w:t xml:space="preserve"> </w:t>
      </w:r>
      <w:r w:rsidRPr="00083CDC">
        <w:t>prédomina</w:t>
      </w:r>
      <w:r>
        <w:t>nt</w:t>
      </w:r>
      <w:r>
        <w:br/>
        <w:t>dans l’affichage commercial</w:t>
      </w:r>
    </w:p>
    <w:bookmarkEnd w:id="6"/>
    <w:p w:rsidR="00682F13" w:rsidRPr="00083CDC" w:rsidRDefault="00682F13" w:rsidP="00682F13">
      <w:pPr>
        <w:spacing w:before="120" w:after="120"/>
        <w:jc w:val="both"/>
      </w:pPr>
    </w:p>
    <w:p w:rsidR="00682F13" w:rsidRPr="00384B20" w:rsidRDefault="00682F13" w:rsidP="00682F13">
      <w:pPr>
        <w:ind w:right="90" w:firstLine="0"/>
        <w:jc w:val="both"/>
        <w:rPr>
          <w:sz w:val="20"/>
        </w:rPr>
      </w:pPr>
      <w:hyperlink w:anchor="tdm" w:history="1">
        <w:r w:rsidRPr="00384B20">
          <w:rPr>
            <w:rStyle w:val="Lienhypertexte"/>
            <w:sz w:val="20"/>
          </w:rPr>
          <w:t>Retour à la table des matières</w:t>
        </w:r>
      </w:hyperlink>
    </w:p>
    <w:p w:rsidR="00682F13" w:rsidRPr="00083CDC" w:rsidRDefault="00682F13" w:rsidP="00682F13">
      <w:pPr>
        <w:spacing w:before="120" w:after="120"/>
        <w:jc w:val="both"/>
      </w:pPr>
      <w:r w:rsidRPr="00083CDC">
        <w:t>La disposition dérogatoire</w:t>
      </w:r>
      <w:r w:rsidRPr="00083CDC">
        <w:rPr>
          <w:i/>
        </w:rPr>
        <w:t xml:space="preserve"> </w:t>
      </w:r>
      <w:r w:rsidRPr="00083CDC">
        <w:t>de la Constitution canadienne éno</w:t>
      </w:r>
      <w:r w:rsidRPr="00083CDC">
        <w:t>n</w:t>
      </w:r>
      <w:r w:rsidRPr="00083CDC">
        <w:t>ce que les lois provinciales qui transgressent les droits individuels d</w:t>
      </w:r>
      <w:r w:rsidRPr="00083CDC">
        <w:t>e</w:t>
      </w:r>
      <w:r w:rsidRPr="00083CDC">
        <w:t>viennent inopérantes après une période de cinq ans, doivent être r</w:t>
      </w:r>
      <w:r w:rsidRPr="00083CDC">
        <w:t>e</w:t>
      </w:r>
      <w:r w:rsidRPr="00083CDC">
        <w:t>nouvelées ou doivent être</w:t>
      </w:r>
      <w:r w:rsidRPr="00083CDC">
        <w:rPr>
          <w:i/>
        </w:rPr>
        <w:t xml:space="preserve"> </w:t>
      </w:r>
      <w:r w:rsidRPr="00083CDC">
        <w:t>transformées par une nouvelle législ</w:t>
      </w:r>
      <w:r w:rsidRPr="00083CDC">
        <w:t>a</w:t>
      </w:r>
      <w:r w:rsidRPr="00083CDC">
        <w:t>tion adoptée par le parlement de la province en question. Au bout de cinq ans, le gouvernement libéral du Québec décida de mod</w:t>
      </w:r>
      <w:r w:rsidRPr="00083CDC">
        <w:t>i</w:t>
      </w:r>
      <w:r w:rsidRPr="00083CDC">
        <w:t>fier à nouveau la Charte de la langue française en ce qui a trait à</w:t>
      </w:r>
      <w:r w:rsidRPr="00083CDC">
        <w:rPr>
          <w:i/>
        </w:rPr>
        <w:t xml:space="preserve"> </w:t>
      </w:r>
      <w:r w:rsidRPr="00083CDC">
        <w:t>l’affichage comme</w:t>
      </w:r>
      <w:r w:rsidRPr="00083CDC">
        <w:t>r</w:t>
      </w:r>
      <w:r w:rsidRPr="00083CDC">
        <w:t>cial en suivant les recommandations de la Cour suprême relatives à la nette prédominance du français.</w:t>
      </w:r>
    </w:p>
    <w:p w:rsidR="00682F13" w:rsidRPr="00083CDC" w:rsidRDefault="00682F13" w:rsidP="00682F13">
      <w:pPr>
        <w:spacing w:before="120" w:after="120"/>
        <w:jc w:val="both"/>
      </w:pPr>
      <w:r w:rsidRPr="00083CDC">
        <w:t>Une des enquêtes préliminaires à l’élaboration de la nouvelle loi i</w:t>
      </w:r>
      <w:r w:rsidRPr="00083CDC">
        <w:t>l</w:t>
      </w:r>
      <w:r w:rsidRPr="00083CDC">
        <w:t xml:space="preserve">lustre la cohérence des opinions québécoises dans le domaine du paysage linguistique et des autres volets importants de la loi 101. Un sondage </w:t>
      </w:r>
      <w:r w:rsidRPr="00083CDC">
        <w:rPr>
          <w:smallCaps/>
        </w:rPr>
        <w:t xml:space="preserve">crop </w:t>
      </w:r>
      <w:r w:rsidRPr="00083CDC">
        <w:t>(1993) fut entrepris auprès d’un échantillon représent</w:t>
      </w:r>
      <w:r w:rsidRPr="00083CDC">
        <w:t>a</w:t>
      </w:r>
      <w:r w:rsidRPr="00083CDC">
        <w:t>tif de la population québécoise (taux de réponse : 70 %). Avec une marge d’erreur de ± 3 %, le sondage téléphonique fut entrepris auprès de 964 répondants de 18 ans ou plus; ont répondu 830 personnes dont la langue d’usage était le français (84 % fra</w:t>
      </w:r>
      <w:r w:rsidRPr="00083CDC">
        <w:t>n</w:t>
      </w:r>
      <w:r w:rsidRPr="00083CDC">
        <w:t>cophones), 95 dont l’anglais était la langue d’usage (12 % anglophones) et 39 dont la la</w:t>
      </w:r>
      <w:r w:rsidRPr="00083CDC">
        <w:t>n</w:t>
      </w:r>
      <w:r w:rsidRPr="00083CDC">
        <w:t>gue d’usage était autre que le français ou l’anglais (4 % allophones).</w:t>
      </w:r>
    </w:p>
    <w:p w:rsidR="00682F13" w:rsidRPr="00083CDC" w:rsidRDefault="00682F13" w:rsidP="00682F13">
      <w:pPr>
        <w:spacing w:before="120" w:after="120"/>
        <w:jc w:val="both"/>
      </w:pPr>
      <w:r w:rsidRPr="00083CDC">
        <w:t>La première partie du sondage portait sur les opinions conce</w:t>
      </w:r>
      <w:r w:rsidRPr="00083CDC">
        <w:t>r</w:t>
      </w:r>
      <w:r w:rsidRPr="00083CDC">
        <w:t xml:space="preserve">nant quatre éléments importants de la loi 101 qui pouvaient contribuer à l’usage du français au Québec. Ces facteurs étaient considérés à </w:t>
      </w:r>
      <w:r w:rsidRPr="00083CDC">
        <w:lastRenderedPageBreak/>
        <w:t>l’époque comme étant les quatre piliers de la loi 101 les plus suscept</w:t>
      </w:r>
      <w:r w:rsidRPr="00083CDC">
        <w:t>i</w:t>
      </w:r>
      <w:r w:rsidRPr="00083CDC">
        <w:t>bles de promouvoir le fait français au Québec. Le sondage téléphon</w:t>
      </w:r>
      <w:r w:rsidRPr="00083CDC">
        <w:t>i</w:t>
      </w:r>
      <w:r w:rsidRPr="00083CDC">
        <w:t>que débutait ainsi :</w:t>
      </w:r>
    </w:p>
    <w:p w:rsidR="00682F13" w:rsidRPr="00083CDC" w:rsidRDefault="00682F13" w:rsidP="00682F13">
      <w:pPr>
        <w:spacing w:before="120" w:after="120"/>
        <w:jc w:val="both"/>
      </w:pPr>
      <w:r w:rsidRPr="00083CDC">
        <w:t>« Voici d’abord quelques questions sur la langue au Québec.</w:t>
      </w:r>
    </w:p>
    <w:p w:rsidR="00682F13" w:rsidRDefault="00682F13" w:rsidP="00682F13">
      <w:pPr>
        <w:spacing w:before="120" w:after="120"/>
        <w:jc w:val="both"/>
      </w:pPr>
    </w:p>
    <w:p w:rsidR="00682F13" w:rsidRPr="00487995" w:rsidRDefault="00682F13" w:rsidP="00682F13">
      <w:pPr>
        <w:spacing w:before="120" w:after="120"/>
        <w:ind w:left="720"/>
        <w:jc w:val="both"/>
        <w:rPr>
          <w:color w:val="000090"/>
        </w:rPr>
      </w:pPr>
      <w:r w:rsidRPr="00487995">
        <w:rPr>
          <w:color w:val="000090"/>
        </w:rPr>
        <w:t>Q1. Parmi les facteurs suivants, lequel vous incite le plus à ut</w:t>
      </w:r>
      <w:r w:rsidRPr="00487995">
        <w:rPr>
          <w:color w:val="000090"/>
        </w:rPr>
        <w:t>i</w:t>
      </w:r>
      <w:r w:rsidRPr="00487995">
        <w:rPr>
          <w:color w:val="000090"/>
        </w:rPr>
        <w:t>liser le français dans votre vie quotidienne, à l’intérieur comme à l’extérieur du foyer? »</w:t>
      </w:r>
    </w:p>
    <w:p w:rsidR="00682F13" w:rsidRPr="00487995" w:rsidRDefault="00682F13" w:rsidP="00682F13">
      <w:pPr>
        <w:spacing w:before="120" w:after="120"/>
        <w:ind w:left="720"/>
        <w:jc w:val="both"/>
        <w:rPr>
          <w:color w:val="000090"/>
        </w:rPr>
      </w:pPr>
      <w:r w:rsidRPr="00487995">
        <w:rPr>
          <w:color w:val="000090"/>
        </w:rPr>
        <w:t>(rotation des options).</w:t>
      </w:r>
    </w:p>
    <w:p w:rsidR="00682F13" w:rsidRPr="00487995" w:rsidRDefault="00682F13" w:rsidP="00682F13">
      <w:pPr>
        <w:spacing w:before="120" w:after="120"/>
        <w:jc w:val="both"/>
        <w:rPr>
          <w:color w:val="000090"/>
        </w:rPr>
      </w:pPr>
    </w:p>
    <w:p w:rsidR="00682F13" w:rsidRPr="00487995" w:rsidRDefault="00682F13" w:rsidP="00682F13">
      <w:pPr>
        <w:ind w:left="1080" w:hanging="360"/>
        <w:jc w:val="both"/>
        <w:rPr>
          <w:color w:val="000090"/>
        </w:rPr>
      </w:pPr>
      <w:r w:rsidRPr="00487995">
        <w:rPr>
          <w:smallCaps/>
          <w:color w:val="000090"/>
        </w:rPr>
        <w:t>a</w:t>
      </w:r>
      <w:r w:rsidRPr="00487995">
        <w:rPr>
          <w:color w:val="000090"/>
        </w:rPr>
        <w:t>)</w:t>
      </w:r>
      <w:r w:rsidRPr="00487995">
        <w:rPr>
          <w:color w:val="000090"/>
        </w:rPr>
        <w:tab/>
        <w:t>le français langue de travail;</w:t>
      </w:r>
    </w:p>
    <w:p w:rsidR="00682F13" w:rsidRPr="00487995" w:rsidRDefault="00682F13" w:rsidP="00682F13">
      <w:pPr>
        <w:ind w:left="1080" w:hanging="360"/>
        <w:jc w:val="both"/>
        <w:rPr>
          <w:color w:val="000090"/>
        </w:rPr>
      </w:pPr>
      <w:r w:rsidRPr="00487995">
        <w:rPr>
          <w:smallCaps/>
          <w:color w:val="000090"/>
        </w:rPr>
        <w:t>b</w:t>
      </w:r>
      <w:r w:rsidRPr="00487995">
        <w:rPr>
          <w:color w:val="000090"/>
        </w:rPr>
        <w:t>)</w:t>
      </w:r>
      <w:r w:rsidRPr="00487995">
        <w:rPr>
          <w:color w:val="000090"/>
        </w:rPr>
        <w:tab/>
        <w:t>la francisation des immigrants par l’école;</w:t>
      </w:r>
    </w:p>
    <w:p w:rsidR="00682F13" w:rsidRPr="00487995" w:rsidRDefault="00682F13" w:rsidP="00682F13">
      <w:pPr>
        <w:ind w:left="1080" w:hanging="360"/>
        <w:jc w:val="both"/>
        <w:rPr>
          <w:color w:val="000090"/>
        </w:rPr>
      </w:pPr>
      <w:r w:rsidRPr="00487995">
        <w:rPr>
          <w:smallCaps/>
          <w:color w:val="000090"/>
        </w:rPr>
        <w:t>c</w:t>
      </w:r>
      <w:r w:rsidRPr="00487995">
        <w:rPr>
          <w:color w:val="000090"/>
        </w:rPr>
        <w:t>)</w:t>
      </w:r>
      <w:r w:rsidRPr="00487995">
        <w:rPr>
          <w:color w:val="000090"/>
        </w:rPr>
        <w:tab/>
        <w:t>le français langue d’accueil et de service dans les comme</w:t>
      </w:r>
      <w:r w:rsidRPr="00487995">
        <w:rPr>
          <w:color w:val="000090"/>
        </w:rPr>
        <w:t>r</w:t>
      </w:r>
      <w:r w:rsidRPr="00487995">
        <w:rPr>
          <w:color w:val="000090"/>
        </w:rPr>
        <w:t>ces;</w:t>
      </w:r>
    </w:p>
    <w:p w:rsidR="00682F13" w:rsidRPr="00487995" w:rsidRDefault="00682F13" w:rsidP="00682F13">
      <w:pPr>
        <w:ind w:left="1080" w:hanging="360"/>
        <w:jc w:val="both"/>
        <w:rPr>
          <w:color w:val="000090"/>
        </w:rPr>
      </w:pPr>
      <w:r w:rsidRPr="00487995">
        <w:rPr>
          <w:smallCaps/>
          <w:color w:val="000090"/>
        </w:rPr>
        <w:t>d</w:t>
      </w:r>
      <w:r w:rsidRPr="00487995">
        <w:rPr>
          <w:color w:val="000090"/>
        </w:rPr>
        <w:t>)</w:t>
      </w:r>
      <w:r w:rsidRPr="00487995">
        <w:rPr>
          <w:color w:val="000090"/>
        </w:rPr>
        <w:tab/>
        <w:t>l’affichage commercial uniquement en français;</w:t>
      </w:r>
    </w:p>
    <w:p w:rsidR="00682F13" w:rsidRPr="00487995" w:rsidRDefault="00682F13" w:rsidP="00682F13">
      <w:pPr>
        <w:ind w:left="1080" w:hanging="360"/>
        <w:jc w:val="both"/>
        <w:rPr>
          <w:color w:val="000090"/>
        </w:rPr>
      </w:pPr>
      <w:r w:rsidRPr="00487995">
        <w:rPr>
          <w:smallCaps/>
          <w:color w:val="000090"/>
        </w:rPr>
        <w:t>e</w:t>
      </w:r>
      <w:r w:rsidRPr="00487995">
        <w:rPr>
          <w:color w:val="000090"/>
        </w:rPr>
        <w:t>)</w:t>
      </w:r>
      <w:r w:rsidRPr="00487995">
        <w:rPr>
          <w:color w:val="000090"/>
        </w:rPr>
        <w:tab/>
        <w:t>tous également;</w:t>
      </w:r>
    </w:p>
    <w:p w:rsidR="00682F13" w:rsidRPr="00487995" w:rsidRDefault="00682F13" w:rsidP="00682F13">
      <w:pPr>
        <w:ind w:left="1080" w:hanging="360"/>
        <w:jc w:val="both"/>
        <w:rPr>
          <w:color w:val="000090"/>
        </w:rPr>
      </w:pPr>
      <w:r w:rsidRPr="00487995">
        <w:rPr>
          <w:smallCaps/>
          <w:color w:val="000090"/>
        </w:rPr>
        <w:t>f</w:t>
      </w:r>
      <w:r w:rsidRPr="00487995">
        <w:rPr>
          <w:color w:val="000090"/>
        </w:rPr>
        <w:t>)</w:t>
      </w:r>
      <w:r w:rsidRPr="00487995">
        <w:rPr>
          <w:color w:val="000090"/>
        </w:rPr>
        <w:tab/>
        <w:t>aucun des facteurs.</w:t>
      </w:r>
    </w:p>
    <w:p w:rsidR="00682F13" w:rsidRPr="00487995" w:rsidRDefault="00682F13" w:rsidP="00682F13">
      <w:pPr>
        <w:spacing w:before="120" w:after="120"/>
        <w:jc w:val="both"/>
        <w:rPr>
          <w:color w:val="000090"/>
        </w:rPr>
      </w:pPr>
    </w:p>
    <w:p w:rsidR="00682F13" w:rsidRPr="00083CDC" w:rsidRDefault="00682F13" w:rsidP="00682F13">
      <w:pPr>
        <w:spacing w:before="120" w:after="120"/>
        <w:ind w:left="720"/>
        <w:jc w:val="both"/>
      </w:pPr>
      <w:r w:rsidRPr="00487995">
        <w:rPr>
          <w:color w:val="000090"/>
        </w:rPr>
        <w:t>Les résultats sont présentés au tableau 1 en distinguant les réponses obtenues de la part des francophones (</w:t>
      </w:r>
      <w:r w:rsidRPr="00487995">
        <w:rPr>
          <w:smallCaps/>
          <w:color w:val="000090"/>
        </w:rPr>
        <w:t>f</w:t>
      </w:r>
      <w:r w:rsidRPr="00487995">
        <w:rPr>
          <w:color w:val="000090"/>
        </w:rPr>
        <w:t>) et l’ensemble des réponses obtenues de la part des anglophones et des all</w:t>
      </w:r>
      <w:r w:rsidRPr="00487995">
        <w:rPr>
          <w:color w:val="000090"/>
        </w:rPr>
        <w:t>o</w:t>
      </w:r>
      <w:r w:rsidRPr="00487995">
        <w:rPr>
          <w:color w:val="000090"/>
        </w:rPr>
        <w:t xml:space="preserve">phones combinés (non-francophone, </w:t>
      </w:r>
      <w:r w:rsidRPr="00487995">
        <w:rPr>
          <w:smallCaps/>
          <w:color w:val="000090"/>
        </w:rPr>
        <w:t>nf</w:t>
      </w:r>
      <w:r w:rsidRPr="00487995">
        <w:rPr>
          <w:color w:val="000090"/>
        </w:rPr>
        <w:t>).</w:t>
      </w:r>
    </w:p>
    <w:p w:rsidR="00682F13" w:rsidRDefault="00682F13" w:rsidP="00682F13">
      <w:pPr>
        <w:pStyle w:val="p"/>
      </w:pPr>
      <w:r w:rsidRPr="00083CDC">
        <w:br w:type="page"/>
      </w:r>
      <w:r>
        <w:lastRenderedPageBreak/>
        <w:t>[113]</w:t>
      </w:r>
    </w:p>
    <w:p w:rsidR="00682F13" w:rsidRPr="00083CDC" w:rsidRDefault="00682F13" w:rsidP="00682F13">
      <w:pPr>
        <w:pStyle w:val="figst"/>
      </w:pPr>
      <w:r w:rsidRPr="00083CDC">
        <w:t>Tableau 1</w:t>
      </w:r>
    </w:p>
    <w:p w:rsidR="00682F13" w:rsidRPr="00083CDC" w:rsidRDefault="00682F13" w:rsidP="00682F13">
      <w:pPr>
        <w:pStyle w:val="figst"/>
      </w:pPr>
      <w:r w:rsidRPr="00083CDC">
        <w:t>Contribution des 4 éléments des lois 101 et 178</w:t>
      </w:r>
      <w:r w:rsidRPr="00083CDC">
        <w:br/>
        <w:t>à l’épanouissement du français au Québec</w:t>
      </w:r>
    </w:p>
    <w:p w:rsidR="00682F13" w:rsidRDefault="00682F13" w:rsidP="00682F13">
      <w:pPr>
        <w:pStyle w:val="figst"/>
      </w:pPr>
      <w:r w:rsidRPr="00083CDC">
        <w:rPr>
          <w:smallCaps/>
        </w:rPr>
        <w:t>f</w:t>
      </w:r>
      <w:r w:rsidRPr="00083CDC">
        <w:t xml:space="preserve"> = francophones (</w:t>
      </w:r>
      <w:r w:rsidRPr="00083CDC">
        <w:rPr>
          <w:smallCaps/>
        </w:rPr>
        <w:t>n</w:t>
      </w:r>
      <w:r w:rsidRPr="00083CDC">
        <w:t xml:space="preserve"> = 830); </w:t>
      </w:r>
      <w:r w:rsidRPr="00083CDC">
        <w:rPr>
          <w:smallCaps/>
        </w:rPr>
        <w:t>nf</w:t>
      </w:r>
      <w:r w:rsidRPr="00083CDC">
        <w:t xml:space="preserve"> = anglophones + allophones (</w:t>
      </w:r>
      <w:r w:rsidRPr="00083CDC">
        <w:rPr>
          <w:smallCaps/>
        </w:rPr>
        <w:t>n</w:t>
      </w:r>
      <w:r w:rsidRPr="00083CDC">
        <w:t xml:space="preserve"> = 134)</w:t>
      </w:r>
    </w:p>
    <w:tbl>
      <w:tblPr>
        <w:tblW w:w="0" w:type="auto"/>
        <w:tblInd w:w="-1640" w:type="dxa"/>
        <w:tblLayout w:type="fixed"/>
        <w:tblCellMar>
          <w:left w:w="70" w:type="dxa"/>
          <w:right w:w="70" w:type="dxa"/>
        </w:tblCellMar>
        <w:tblLook w:val="0000" w:firstRow="0" w:lastRow="0" w:firstColumn="0" w:lastColumn="0" w:noHBand="0" w:noVBand="0"/>
      </w:tblPr>
      <w:tblGrid>
        <w:gridCol w:w="2430"/>
        <w:gridCol w:w="540"/>
        <w:gridCol w:w="1098"/>
        <w:gridCol w:w="1098"/>
        <w:gridCol w:w="1098"/>
        <w:gridCol w:w="1098"/>
        <w:gridCol w:w="1098"/>
        <w:gridCol w:w="808"/>
      </w:tblGrid>
      <w:tr w:rsidR="00682F13" w:rsidRPr="00083CDC">
        <w:tblPrEx>
          <w:tblCellMar>
            <w:top w:w="0" w:type="dxa"/>
            <w:bottom w:w="0" w:type="dxa"/>
          </w:tblCellMar>
        </w:tblPrEx>
        <w:tc>
          <w:tcPr>
            <w:tcW w:w="2430" w:type="dxa"/>
            <w:tcBorders>
              <w:top w:val="single" w:sz="2" w:space="0" w:color="auto"/>
              <w:bottom w:val="single" w:sz="2" w:space="0" w:color="auto"/>
            </w:tcBorders>
            <w:shd w:val="clear" w:color="auto" w:fill="EEECE1"/>
          </w:tcPr>
          <w:p w:rsidR="00682F13" w:rsidRPr="00487995" w:rsidRDefault="00682F13" w:rsidP="00682F13">
            <w:pPr>
              <w:spacing w:before="60" w:after="60"/>
              <w:ind w:firstLine="0"/>
              <w:jc w:val="both"/>
              <w:rPr>
                <w:sz w:val="20"/>
              </w:rPr>
            </w:pPr>
            <w:r w:rsidRPr="00487995">
              <w:rPr>
                <w:sz w:val="20"/>
              </w:rPr>
              <w:t>Types de contrib</w:t>
            </w:r>
            <w:r w:rsidRPr="00487995">
              <w:rPr>
                <w:sz w:val="20"/>
              </w:rPr>
              <w:t>u</w:t>
            </w:r>
            <w:r w:rsidRPr="00487995">
              <w:rPr>
                <w:sz w:val="20"/>
              </w:rPr>
              <w:t>tion</w:t>
            </w:r>
          </w:p>
        </w:tc>
        <w:tc>
          <w:tcPr>
            <w:tcW w:w="540" w:type="dxa"/>
            <w:tcBorders>
              <w:top w:val="single" w:sz="2" w:space="0" w:color="auto"/>
              <w:bottom w:val="single" w:sz="2" w:space="0" w:color="auto"/>
            </w:tcBorders>
            <w:shd w:val="clear" w:color="auto" w:fill="EEECE1"/>
          </w:tcPr>
          <w:p w:rsidR="00682F13" w:rsidRPr="00487995" w:rsidRDefault="00682F13" w:rsidP="00682F13">
            <w:pPr>
              <w:spacing w:before="60" w:after="60"/>
              <w:ind w:firstLine="0"/>
              <w:jc w:val="both"/>
              <w:rPr>
                <w:sz w:val="20"/>
              </w:rPr>
            </w:pPr>
          </w:p>
        </w:tc>
        <w:tc>
          <w:tcPr>
            <w:tcW w:w="1098" w:type="dxa"/>
            <w:tcBorders>
              <w:top w:val="single" w:sz="2" w:space="0" w:color="auto"/>
              <w:bottom w:val="single" w:sz="2" w:space="0" w:color="auto"/>
            </w:tcBorders>
            <w:shd w:val="clear" w:color="auto" w:fill="EEECE1"/>
          </w:tcPr>
          <w:p w:rsidR="00682F13" w:rsidRPr="00487995" w:rsidRDefault="00682F13" w:rsidP="00682F13">
            <w:pPr>
              <w:spacing w:before="60" w:after="60"/>
              <w:ind w:firstLine="0"/>
              <w:rPr>
                <w:sz w:val="20"/>
              </w:rPr>
            </w:pPr>
            <w:r w:rsidRPr="00487995">
              <w:rPr>
                <w:sz w:val="20"/>
              </w:rPr>
              <w:t>Français langue de tr</w:t>
            </w:r>
            <w:r w:rsidRPr="00487995">
              <w:rPr>
                <w:sz w:val="20"/>
              </w:rPr>
              <w:t>a</w:t>
            </w:r>
            <w:r w:rsidRPr="00487995">
              <w:rPr>
                <w:sz w:val="20"/>
              </w:rPr>
              <w:t>vail</w:t>
            </w:r>
          </w:p>
        </w:tc>
        <w:tc>
          <w:tcPr>
            <w:tcW w:w="1098" w:type="dxa"/>
            <w:tcBorders>
              <w:top w:val="single" w:sz="2" w:space="0" w:color="auto"/>
              <w:bottom w:val="single" w:sz="2" w:space="0" w:color="auto"/>
            </w:tcBorders>
            <w:shd w:val="clear" w:color="auto" w:fill="EEECE1"/>
          </w:tcPr>
          <w:p w:rsidR="00682F13" w:rsidRPr="00487995" w:rsidRDefault="00682F13" w:rsidP="00682F13">
            <w:pPr>
              <w:spacing w:before="60" w:after="60"/>
              <w:ind w:firstLine="0"/>
              <w:rPr>
                <w:sz w:val="20"/>
              </w:rPr>
            </w:pPr>
            <w:r w:rsidRPr="00487995">
              <w:rPr>
                <w:sz w:val="20"/>
              </w:rPr>
              <w:t>Francis</w:t>
            </w:r>
            <w:r w:rsidRPr="00487995">
              <w:rPr>
                <w:sz w:val="20"/>
              </w:rPr>
              <w:t>a</w:t>
            </w:r>
            <w:r w:rsidRPr="00487995">
              <w:rPr>
                <w:sz w:val="20"/>
              </w:rPr>
              <w:t>tion des imm</w:t>
            </w:r>
            <w:r w:rsidRPr="00487995">
              <w:rPr>
                <w:sz w:val="20"/>
              </w:rPr>
              <w:t>i</w:t>
            </w:r>
            <w:r w:rsidRPr="00487995">
              <w:rPr>
                <w:sz w:val="20"/>
              </w:rPr>
              <w:t>grants par l'école</w:t>
            </w:r>
          </w:p>
        </w:tc>
        <w:tc>
          <w:tcPr>
            <w:tcW w:w="1098" w:type="dxa"/>
            <w:tcBorders>
              <w:top w:val="single" w:sz="2" w:space="0" w:color="auto"/>
              <w:bottom w:val="single" w:sz="2" w:space="0" w:color="auto"/>
            </w:tcBorders>
            <w:shd w:val="clear" w:color="auto" w:fill="EEECE1"/>
          </w:tcPr>
          <w:p w:rsidR="00682F13" w:rsidRPr="00487995" w:rsidRDefault="00682F13" w:rsidP="00682F13">
            <w:pPr>
              <w:spacing w:before="60" w:after="60"/>
              <w:ind w:firstLine="0"/>
              <w:rPr>
                <w:sz w:val="20"/>
              </w:rPr>
            </w:pPr>
            <w:r w:rsidRPr="00487995">
              <w:rPr>
                <w:sz w:val="20"/>
              </w:rPr>
              <w:t>Fra</w:t>
            </w:r>
            <w:r w:rsidRPr="00487995">
              <w:rPr>
                <w:sz w:val="20"/>
              </w:rPr>
              <w:t>n</w:t>
            </w:r>
            <w:r w:rsidRPr="00487995">
              <w:rPr>
                <w:sz w:val="20"/>
              </w:rPr>
              <w:t>çais langue d’accueil dans les comme</w:t>
            </w:r>
            <w:r w:rsidRPr="00487995">
              <w:rPr>
                <w:sz w:val="20"/>
              </w:rPr>
              <w:t>r</w:t>
            </w:r>
            <w:r w:rsidRPr="00487995">
              <w:rPr>
                <w:sz w:val="20"/>
              </w:rPr>
              <w:t>ces</w:t>
            </w:r>
          </w:p>
        </w:tc>
        <w:tc>
          <w:tcPr>
            <w:tcW w:w="1098" w:type="dxa"/>
            <w:tcBorders>
              <w:top w:val="single" w:sz="2" w:space="0" w:color="auto"/>
              <w:bottom w:val="single" w:sz="2" w:space="0" w:color="auto"/>
            </w:tcBorders>
            <w:shd w:val="clear" w:color="auto" w:fill="EEECE1"/>
          </w:tcPr>
          <w:p w:rsidR="00682F13" w:rsidRPr="00487995" w:rsidRDefault="00682F13" w:rsidP="00682F13">
            <w:pPr>
              <w:spacing w:before="60" w:after="60"/>
              <w:ind w:firstLine="0"/>
              <w:rPr>
                <w:sz w:val="20"/>
              </w:rPr>
            </w:pPr>
            <w:r w:rsidRPr="00487995">
              <w:rPr>
                <w:sz w:val="20"/>
              </w:rPr>
              <w:t>Affich</w:t>
            </w:r>
            <w:r w:rsidRPr="00487995">
              <w:rPr>
                <w:sz w:val="20"/>
              </w:rPr>
              <w:t>a</w:t>
            </w:r>
            <w:r w:rsidRPr="00487995">
              <w:rPr>
                <w:sz w:val="20"/>
              </w:rPr>
              <w:t>ge un</w:t>
            </w:r>
            <w:r w:rsidRPr="00487995">
              <w:rPr>
                <w:sz w:val="20"/>
              </w:rPr>
              <w:t>i</w:t>
            </w:r>
            <w:r w:rsidRPr="00487995">
              <w:rPr>
                <w:sz w:val="20"/>
              </w:rPr>
              <w:t>lingue fra</w:t>
            </w:r>
            <w:r w:rsidRPr="00487995">
              <w:rPr>
                <w:sz w:val="20"/>
              </w:rPr>
              <w:t>n</w:t>
            </w:r>
            <w:r w:rsidRPr="00487995">
              <w:rPr>
                <w:sz w:val="20"/>
              </w:rPr>
              <w:t>çais</w:t>
            </w:r>
          </w:p>
        </w:tc>
        <w:tc>
          <w:tcPr>
            <w:tcW w:w="1098" w:type="dxa"/>
            <w:tcBorders>
              <w:top w:val="single" w:sz="2" w:space="0" w:color="auto"/>
              <w:bottom w:val="single" w:sz="2" w:space="0" w:color="auto"/>
            </w:tcBorders>
            <w:shd w:val="clear" w:color="auto" w:fill="EEECE1"/>
          </w:tcPr>
          <w:p w:rsidR="00682F13" w:rsidRPr="00487995" w:rsidRDefault="00682F13" w:rsidP="00682F13">
            <w:pPr>
              <w:spacing w:before="60" w:after="60"/>
              <w:ind w:firstLine="0"/>
              <w:rPr>
                <w:sz w:val="20"/>
              </w:rPr>
            </w:pPr>
            <w:r w:rsidRPr="00487995">
              <w:rPr>
                <w:sz w:val="20"/>
              </w:rPr>
              <w:t>Tous ég</w:t>
            </w:r>
            <w:r w:rsidRPr="00487995">
              <w:rPr>
                <w:sz w:val="20"/>
              </w:rPr>
              <w:t>a</w:t>
            </w:r>
            <w:r w:rsidRPr="00487995">
              <w:rPr>
                <w:sz w:val="20"/>
              </w:rPr>
              <w:t>lement</w:t>
            </w:r>
          </w:p>
        </w:tc>
        <w:tc>
          <w:tcPr>
            <w:tcW w:w="808" w:type="dxa"/>
            <w:tcBorders>
              <w:top w:val="single" w:sz="2" w:space="0" w:color="auto"/>
              <w:bottom w:val="single" w:sz="2" w:space="0" w:color="auto"/>
            </w:tcBorders>
            <w:shd w:val="clear" w:color="auto" w:fill="EEECE1"/>
          </w:tcPr>
          <w:p w:rsidR="00682F13" w:rsidRPr="00083CDC" w:rsidRDefault="00682F13" w:rsidP="00682F13">
            <w:pPr>
              <w:spacing w:before="60" w:after="60"/>
              <w:ind w:firstLine="0"/>
              <w:jc w:val="both"/>
              <w:rPr>
                <w:sz w:val="20"/>
              </w:rPr>
            </w:pPr>
            <w:r w:rsidRPr="00083CDC">
              <w:rPr>
                <w:sz w:val="20"/>
              </w:rPr>
              <w:t>A</w:t>
            </w:r>
            <w:r w:rsidRPr="00083CDC">
              <w:rPr>
                <w:sz w:val="20"/>
              </w:rPr>
              <w:t>u</w:t>
            </w:r>
            <w:r w:rsidRPr="00083CDC">
              <w:rPr>
                <w:sz w:val="20"/>
              </w:rPr>
              <w:t>cun</w:t>
            </w:r>
          </w:p>
        </w:tc>
      </w:tr>
      <w:tr w:rsidR="00682F13" w:rsidRPr="00083CDC">
        <w:tblPrEx>
          <w:tblCellMar>
            <w:top w:w="0" w:type="dxa"/>
            <w:bottom w:w="0" w:type="dxa"/>
          </w:tblCellMar>
        </w:tblPrEx>
        <w:tc>
          <w:tcPr>
            <w:tcW w:w="2430" w:type="dxa"/>
            <w:tcBorders>
              <w:top w:val="single" w:sz="2" w:space="0" w:color="auto"/>
            </w:tcBorders>
          </w:tcPr>
          <w:p w:rsidR="00682F13" w:rsidRPr="0045364D" w:rsidRDefault="00682F13" w:rsidP="00682F13">
            <w:pPr>
              <w:spacing w:before="60" w:after="60"/>
              <w:ind w:firstLine="0"/>
              <w:jc w:val="both"/>
              <w:rPr>
                <w:sz w:val="24"/>
              </w:rPr>
            </w:pPr>
            <w:r w:rsidRPr="0045364D">
              <w:rPr>
                <w:b/>
                <w:sz w:val="24"/>
              </w:rPr>
              <w:t>Q1</w:t>
            </w:r>
            <w:r w:rsidRPr="0045364D">
              <w:rPr>
                <w:b/>
                <w:sz w:val="24"/>
              </w:rPr>
              <w:br/>
            </w:r>
            <w:r w:rsidRPr="0045364D">
              <w:rPr>
                <w:sz w:val="24"/>
              </w:rPr>
              <w:t>Vous incite le plus</w:t>
            </w:r>
            <w:r w:rsidRPr="0045364D">
              <w:rPr>
                <w:sz w:val="24"/>
              </w:rPr>
              <w:br/>
              <w:t>à l’usage du fra</w:t>
            </w:r>
            <w:r w:rsidRPr="0045364D">
              <w:rPr>
                <w:sz w:val="24"/>
              </w:rPr>
              <w:t>n</w:t>
            </w:r>
            <w:r w:rsidRPr="0045364D">
              <w:rPr>
                <w:sz w:val="24"/>
              </w:rPr>
              <w:t>çais</w:t>
            </w:r>
          </w:p>
        </w:tc>
        <w:tc>
          <w:tcPr>
            <w:tcW w:w="540" w:type="dxa"/>
            <w:tcBorders>
              <w:top w:val="single" w:sz="2" w:space="0" w:color="auto"/>
            </w:tcBorders>
            <w:vAlign w:val="center"/>
          </w:tcPr>
          <w:p w:rsidR="00682F13" w:rsidRPr="0045364D" w:rsidRDefault="00682F13" w:rsidP="00682F13">
            <w:pPr>
              <w:spacing w:before="60" w:after="60"/>
              <w:ind w:firstLine="0"/>
              <w:jc w:val="both"/>
              <w:rPr>
                <w:caps/>
                <w:sz w:val="24"/>
              </w:rPr>
            </w:pPr>
            <w:r w:rsidRPr="0045364D">
              <w:rPr>
                <w:caps/>
                <w:sz w:val="24"/>
              </w:rPr>
              <w:t>f</w:t>
            </w:r>
            <w:r w:rsidRPr="0045364D">
              <w:rPr>
                <w:caps/>
                <w:sz w:val="24"/>
              </w:rPr>
              <w:br/>
              <w:t>nf</w:t>
            </w:r>
          </w:p>
        </w:tc>
        <w:tc>
          <w:tcPr>
            <w:tcW w:w="1098" w:type="dxa"/>
            <w:tcBorders>
              <w:top w:val="single" w:sz="2" w:space="0" w:color="auto"/>
            </w:tcBorders>
            <w:vAlign w:val="center"/>
          </w:tcPr>
          <w:p w:rsidR="00682F13" w:rsidRPr="0045364D" w:rsidRDefault="00682F13" w:rsidP="00682F13">
            <w:pPr>
              <w:spacing w:before="60" w:after="60"/>
              <w:ind w:firstLine="0"/>
              <w:jc w:val="both"/>
              <w:rPr>
                <w:sz w:val="24"/>
              </w:rPr>
            </w:pPr>
            <w:r w:rsidRPr="0045364D">
              <w:rPr>
                <w:sz w:val="24"/>
              </w:rPr>
              <w:t>33 %</w:t>
            </w:r>
            <w:r w:rsidRPr="0045364D">
              <w:rPr>
                <w:sz w:val="24"/>
              </w:rPr>
              <w:br/>
              <w:t>36 %</w:t>
            </w:r>
          </w:p>
        </w:tc>
        <w:tc>
          <w:tcPr>
            <w:tcW w:w="1098" w:type="dxa"/>
            <w:tcBorders>
              <w:top w:val="single" w:sz="2" w:space="0" w:color="auto"/>
            </w:tcBorders>
            <w:vAlign w:val="center"/>
          </w:tcPr>
          <w:p w:rsidR="00682F13" w:rsidRPr="0045364D" w:rsidRDefault="00682F13" w:rsidP="00682F13">
            <w:pPr>
              <w:spacing w:before="60" w:after="60"/>
              <w:ind w:firstLine="0"/>
              <w:jc w:val="both"/>
              <w:rPr>
                <w:sz w:val="24"/>
              </w:rPr>
            </w:pPr>
            <w:r w:rsidRPr="0045364D">
              <w:rPr>
                <w:sz w:val="24"/>
              </w:rPr>
              <w:t>6 %</w:t>
            </w:r>
            <w:r w:rsidRPr="0045364D">
              <w:rPr>
                <w:sz w:val="24"/>
              </w:rPr>
              <w:br/>
              <w:t>8 %</w:t>
            </w:r>
          </w:p>
        </w:tc>
        <w:tc>
          <w:tcPr>
            <w:tcW w:w="1098" w:type="dxa"/>
            <w:tcBorders>
              <w:top w:val="single" w:sz="2" w:space="0" w:color="auto"/>
            </w:tcBorders>
            <w:vAlign w:val="center"/>
          </w:tcPr>
          <w:p w:rsidR="00682F13" w:rsidRPr="0045364D" w:rsidRDefault="00682F13" w:rsidP="00682F13">
            <w:pPr>
              <w:spacing w:before="60" w:after="60"/>
              <w:ind w:firstLine="0"/>
              <w:jc w:val="both"/>
              <w:rPr>
                <w:sz w:val="24"/>
              </w:rPr>
            </w:pPr>
            <w:r w:rsidRPr="0045364D">
              <w:rPr>
                <w:sz w:val="24"/>
              </w:rPr>
              <w:t>13 %</w:t>
            </w:r>
            <w:r w:rsidRPr="0045364D">
              <w:rPr>
                <w:sz w:val="24"/>
              </w:rPr>
              <w:br/>
              <w:t>18 %</w:t>
            </w:r>
          </w:p>
        </w:tc>
        <w:tc>
          <w:tcPr>
            <w:tcW w:w="1098" w:type="dxa"/>
            <w:tcBorders>
              <w:top w:val="single" w:sz="2" w:space="0" w:color="auto"/>
            </w:tcBorders>
            <w:vAlign w:val="center"/>
          </w:tcPr>
          <w:p w:rsidR="00682F13" w:rsidRPr="0045364D" w:rsidRDefault="00682F13" w:rsidP="00682F13">
            <w:pPr>
              <w:spacing w:before="60" w:after="60"/>
              <w:ind w:firstLine="0"/>
              <w:jc w:val="both"/>
              <w:rPr>
                <w:sz w:val="24"/>
              </w:rPr>
            </w:pPr>
            <w:r w:rsidRPr="0045364D">
              <w:rPr>
                <w:sz w:val="24"/>
              </w:rPr>
              <w:t>5 %</w:t>
            </w:r>
            <w:r w:rsidRPr="0045364D">
              <w:rPr>
                <w:sz w:val="24"/>
              </w:rPr>
              <w:br/>
              <w:t>2 %</w:t>
            </w:r>
          </w:p>
        </w:tc>
        <w:tc>
          <w:tcPr>
            <w:tcW w:w="1098" w:type="dxa"/>
            <w:tcBorders>
              <w:top w:val="single" w:sz="2" w:space="0" w:color="auto"/>
            </w:tcBorders>
            <w:vAlign w:val="center"/>
          </w:tcPr>
          <w:p w:rsidR="00682F13" w:rsidRPr="0045364D" w:rsidRDefault="00682F13" w:rsidP="00682F13">
            <w:pPr>
              <w:spacing w:before="60" w:after="60"/>
              <w:ind w:firstLine="0"/>
              <w:jc w:val="both"/>
              <w:rPr>
                <w:sz w:val="24"/>
              </w:rPr>
            </w:pPr>
            <w:r w:rsidRPr="0045364D">
              <w:rPr>
                <w:sz w:val="24"/>
              </w:rPr>
              <w:t>20 %</w:t>
            </w:r>
            <w:r w:rsidRPr="0045364D">
              <w:rPr>
                <w:sz w:val="24"/>
              </w:rPr>
              <w:br/>
              <w:t>13 %</w:t>
            </w:r>
          </w:p>
        </w:tc>
        <w:tc>
          <w:tcPr>
            <w:tcW w:w="808" w:type="dxa"/>
            <w:tcBorders>
              <w:top w:val="single" w:sz="2" w:space="0" w:color="auto"/>
            </w:tcBorders>
            <w:vAlign w:val="center"/>
          </w:tcPr>
          <w:p w:rsidR="00682F13" w:rsidRPr="0045364D" w:rsidRDefault="00682F13" w:rsidP="00682F13">
            <w:pPr>
              <w:spacing w:before="60" w:after="60"/>
              <w:ind w:firstLine="0"/>
              <w:jc w:val="both"/>
              <w:rPr>
                <w:sz w:val="24"/>
              </w:rPr>
            </w:pPr>
            <w:r w:rsidRPr="0045364D">
              <w:rPr>
                <w:sz w:val="24"/>
              </w:rPr>
              <w:t>18 %</w:t>
            </w:r>
            <w:r w:rsidRPr="0045364D">
              <w:rPr>
                <w:sz w:val="24"/>
              </w:rPr>
              <w:br/>
              <w:t>17 %</w:t>
            </w:r>
          </w:p>
        </w:tc>
      </w:tr>
      <w:tr w:rsidR="00682F13" w:rsidRPr="00083CDC">
        <w:tblPrEx>
          <w:tblCellMar>
            <w:top w:w="0" w:type="dxa"/>
            <w:bottom w:w="0" w:type="dxa"/>
          </w:tblCellMar>
        </w:tblPrEx>
        <w:tc>
          <w:tcPr>
            <w:tcW w:w="2430" w:type="dxa"/>
          </w:tcPr>
          <w:p w:rsidR="00682F13" w:rsidRPr="0045364D" w:rsidRDefault="00682F13" w:rsidP="00682F13">
            <w:pPr>
              <w:spacing w:before="60" w:after="60"/>
              <w:ind w:firstLine="0"/>
              <w:jc w:val="both"/>
              <w:rPr>
                <w:b/>
                <w:sz w:val="24"/>
              </w:rPr>
            </w:pPr>
            <w:r w:rsidRPr="0045364D">
              <w:rPr>
                <w:b/>
                <w:sz w:val="24"/>
              </w:rPr>
              <w:t>Q2</w:t>
            </w:r>
            <w:r w:rsidRPr="0045364D">
              <w:rPr>
                <w:b/>
                <w:sz w:val="24"/>
              </w:rPr>
              <w:br/>
            </w:r>
            <w:r w:rsidRPr="0045364D">
              <w:rPr>
                <w:sz w:val="24"/>
              </w:rPr>
              <w:t>Incite les</w:t>
            </w:r>
            <w:r w:rsidRPr="0045364D">
              <w:rPr>
                <w:sz w:val="24"/>
              </w:rPr>
              <w:br/>
              <w:t>franc</w:t>
            </w:r>
            <w:r w:rsidRPr="0045364D">
              <w:rPr>
                <w:sz w:val="24"/>
              </w:rPr>
              <w:t>o</w:t>
            </w:r>
            <w:r w:rsidRPr="0045364D">
              <w:rPr>
                <w:sz w:val="24"/>
              </w:rPr>
              <w:t>phones</w:t>
            </w:r>
            <w:r w:rsidRPr="0045364D">
              <w:rPr>
                <w:sz w:val="24"/>
              </w:rPr>
              <w:br/>
              <w:t>à l’usage du fra</w:t>
            </w:r>
            <w:r w:rsidRPr="0045364D">
              <w:rPr>
                <w:sz w:val="24"/>
              </w:rPr>
              <w:t>n</w:t>
            </w:r>
            <w:r w:rsidRPr="0045364D">
              <w:rPr>
                <w:sz w:val="24"/>
              </w:rPr>
              <w:t>çais</w:t>
            </w:r>
          </w:p>
        </w:tc>
        <w:tc>
          <w:tcPr>
            <w:tcW w:w="540" w:type="dxa"/>
            <w:vAlign w:val="center"/>
          </w:tcPr>
          <w:p w:rsidR="00682F13" w:rsidRPr="0045364D" w:rsidRDefault="00682F13" w:rsidP="00682F13">
            <w:pPr>
              <w:spacing w:before="60" w:after="60"/>
              <w:ind w:firstLine="0"/>
              <w:jc w:val="both"/>
              <w:rPr>
                <w:caps/>
                <w:sz w:val="24"/>
              </w:rPr>
            </w:pPr>
            <w:r w:rsidRPr="0045364D">
              <w:rPr>
                <w:caps/>
                <w:sz w:val="24"/>
              </w:rPr>
              <w:t>f</w:t>
            </w:r>
            <w:r w:rsidRPr="0045364D">
              <w:rPr>
                <w:caps/>
                <w:sz w:val="24"/>
              </w:rPr>
              <w:br/>
              <w:t>nf</w:t>
            </w:r>
          </w:p>
        </w:tc>
        <w:tc>
          <w:tcPr>
            <w:tcW w:w="1098" w:type="dxa"/>
            <w:vAlign w:val="center"/>
          </w:tcPr>
          <w:p w:rsidR="00682F13" w:rsidRPr="0045364D" w:rsidRDefault="00682F13" w:rsidP="00682F13">
            <w:pPr>
              <w:spacing w:before="60" w:after="60"/>
              <w:ind w:firstLine="0"/>
              <w:jc w:val="both"/>
              <w:rPr>
                <w:sz w:val="24"/>
              </w:rPr>
            </w:pPr>
            <w:r w:rsidRPr="0045364D">
              <w:rPr>
                <w:sz w:val="24"/>
              </w:rPr>
              <w:t>35 %</w:t>
            </w:r>
            <w:r w:rsidRPr="0045364D">
              <w:rPr>
                <w:sz w:val="24"/>
              </w:rPr>
              <w:br/>
              <w:t>39 %</w:t>
            </w:r>
          </w:p>
        </w:tc>
        <w:tc>
          <w:tcPr>
            <w:tcW w:w="1098" w:type="dxa"/>
            <w:vAlign w:val="center"/>
          </w:tcPr>
          <w:p w:rsidR="00682F13" w:rsidRPr="0045364D" w:rsidRDefault="00682F13" w:rsidP="00682F13">
            <w:pPr>
              <w:spacing w:before="60" w:after="60"/>
              <w:ind w:firstLine="0"/>
              <w:jc w:val="both"/>
              <w:rPr>
                <w:sz w:val="24"/>
              </w:rPr>
            </w:pPr>
            <w:r w:rsidRPr="0045364D">
              <w:rPr>
                <w:sz w:val="24"/>
              </w:rPr>
              <w:t>7 %</w:t>
            </w:r>
            <w:r w:rsidRPr="0045364D">
              <w:rPr>
                <w:sz w:val="24"/>
              </w:rPr>
              <w:br/>
              <w:t>9 %</w:t>
            </w:r>
          </w:p>
        </w:tc>
        <w:tc>
          <w:tcPr>
            <w:tcW w:w="1098" w:type="dxa"/>
            <w:vAlign w:val="center"/>
          </w:tcPr>
          <w:p w:rsidR="00682F13" w:rsidRPr="0045364D" w:rsidRDefault="00682F13" w:rsidP="00682F13">
            <w:pPr>
              <w:spacing w:before="60" w:after="60"/>
              <w:ind w:firstLine="0"/>
              <w:jc w:val="both"/>
              <w:rPr>
                <w:sz w:val="24"/>
              </w:rPr>
            </w:pPr>
            <w:r w:rsidRPr="0045364D">
              <w:rPr>
                <w:sz w:val="24"/>
              </w:rPr>
              <w:t>16 %</w:t>
            </w:r>
            <w:r w:rsidRPr="0045364D">
              <w:rPr>
                <w:sz w:val="24"/>
              </w:rPr>
              <w:br/>
              <w:t>18 %</w:t>
            </w:r>
          </w:p>
        </w:tc>
        <w:tc>
          <w:tcPr>
            <w:tcW w:w="1098" w:type="dxa"/>
            <w:vAlign w:val="center"/>
          </w:tcPr>
          <w:p w:rsidR="00682F13" w:rsidRPr="0045364D" w:rsidRDefault="00682F13" w:rsidP="00682F13">
            <w:pPr>
              <w:spacing w:before="60" w:after="60"/>
              <w:ind w:firstLine="0"/>
              <w:jc w:val="both"/>
              <w:rPr>
                <w:sz w:val="24"/>
              </w:rPr>
            </w:pPr>
            <w:r w:rsidRPr="0045364D">
              <w:rPr>
                <w:sz w:val="24"/>
              </w:rPr>
              <w:t>6 %</w:t>
            </w:r>
            <w:r w:rsidRPr="0045364D">
              <w:rPr>
                <w:sz w:val="24"/>
              </w:rPr>
              <w:br/>
              <w:t>8 %</w:t>
            </w:r>
          </w:p>
        </w:tc>
        <w:tc>
          <w:tcPr>
            <w:tcW w:w="1098" w:type="dxa"/>
            <w:vAlign w:val="center"/>
          </w:tcPr>
          <w:p w:rsidR="00682F13" w:rsidRPr="0045364D" w:rsidRDefault="00682F13" w:rsidP="00682F13">
            <w:pPr>
              <w:spacing w:before="60" w:after="60"/>
              <w:ind w:firstLine="0"/>
              <w:jc w:val="both"/>
              <w:rPr>
                <w:sz w:val="24"/>
              </w:rPr>
            </w:pPr>
            <w:r w:rsidRPr="0045364D">
              <w:rPr>
                <w:sz w:val="24"/>
              </w:rPr>
              <w:t>18 %</w:t>
            </w:r>
            <w:r w:rsidRPr="0045364D">
              <w:rPr>
                <w:sz w:val="24"/>
              </w:rPr>
              <w:br/>
              <w:t>15 %</w:t>
            </w:r>
          </w:p>
        </w:tc>
        <w:tc>
          <w:tcPr>
            <w:tcW w:w="808" w:type="dxa"/>
            <w:vAlign w:val="center"/>
          </w:tcPr>
          <w:p w:rsidR="00682F13" w:rsidRPr="0045364D" w:rsidRDefault="00682F13" w:rsidP="00682F13">
            <w:pPr>
              <w:spacing w:before="60" w:after="60"/>
              <w:ind w:firstLine="0"/>
              <w:jc w:val="both"/>
              <w:rPr>
                <w:sz w:val="24"/>
              </w:rPr>
            </w:pPr>
            <w:r w:rsidRPr="0045364D">
              <w:rPr>
                <w:sz w:val="24"/>
              </w:rPr>
              <w:t>12 %</w:t>
            </w:r>
            <w:r w:rsidRPr="0045364D">
              <w:rPr>
                <w:sz w:val="24"/>
              </w:rPr>
              <w:br/>
              <w:t>13 %</w:t>
            </w:r>
          </w:p>
        </w:tc>
      </w:tr>
      <w:tr w:rsidR="00682F13" w:rsidRPr="00083CDC">
        <w:tblPrEx>
          <w:tblCellMar>
            <w:top w:w="0" w:type="dxa"/>
            <w:bottom w:w="0" w:type="dxa"/>
          </w:tblCellMar>
        </w:tblPrEx>
        <w:tc>
          <w:tcPr>
            <w:tcW w:w="2430" w:type="dxa"/>
          </w:tcPr>
          <w:p w:rsidR="00682F13" w:rsidRPr="0045364D" w:rsidRDefault="00682F13" w:rsidP="00682F13">
            <w:pPr>
              <w:spacing w:before="60" w:after="60"/>
              <w:ind w:firstLine="0"/>
              <w:jc w:val="both"/>
              <w:rPr>
                <w:b/>
                <w:sz w:val="24"/>
              </w:rPr>
            </w:pPr>
            <w:r w:rsidRPr="0045364D">
              <w:rPr>
                <w:b/>
                <w:sz w:val="24"/>
              </w:rPr>
              <w:t>Q3</w:t>
            </w:r>
            <w:r w:rsidRPr="0045364D">
              <w:rPr>
                <w:b/>
                <w:sz w:val="24"/>
              </w:rPr>
              <w:br/>
            </w:r>
            <w:r w:rsidRPr="0045364D">
              <w:rPr>
                <w:sz w:val="24"/>
              </w:rPr>
              <w:t>Incite les imm</w:t>
            </w:r>
            <w:r w:rsidRPr="0045364D">
              <w:rPr>
                <w:sz w:val="24"/>
              </w:rPr>
              <w:t>i</w:t>
            </w:r>
            <w:r w:rsidRPr="0045364D">
              <w:rPr>
                <w:sz w:val="24"/>
              </w:rPr>
              <w:t>grants</w:t>
            </w:r>
            <w:r w:rsidRPr="0045364D">
              <w:rPr>
                <w:sz w:val="24"/>
              </w:rPr>
              <w:br/>
              <w:t>à l’usage du fra</w:t>
            </w:r>
            <w:r w:rsidRPr="0045364D">
              <w:rPr>
                <w:sz w:val="24"/>
              </w:rPr>
              <w:t>n</w:t>
            </w:r>
            <w:r w:rsidRPr="0045364D">
              <w:rPr>
                <w:sz w:val="24"/>
              </w:rPr>
              <w:t>çais</w:t>
            </w:r>
          </w:p>
        </w:tc>
        <w:tc>
          <w:tcPr>
            <w:tcW w:w="540" w:type="dxa"/>
            <w:vAlign w:val="center"/>
          </w:tcPr>
          <w:p w:rsidR="00682F13" w:rsidRPr="0045364D" w:rsidRDefault="00682F13" w:rsidP="00682F13">
            <w:pPr>
              <w:spacing w:before="60" w:after="60"/>
              <w:ind w:firstLine="0"/>
              <w:jc w:val="both"/>
              <w:rPr>
                <w:caps/>
                <w:sz w:val="24"/>
              </w:rPr>
            </w:pPr>
            <w:r w:rsidRPr="0045364D">
              <w:rPr>
                <w:caps/>
                <w:sz w:val="24"/>
              </w:rPr>
              <w:t>f</w:t>
            </w:r>
            <w:r w:rsidRPr="0045364D">
              <w:rPr>
                <w:caps/>
                <w:sz w:val="24"/>
              </w:rPr>
              <w:br/>
              <w:t>nf</w:t>
            </w:r>
          </w:p>
        </w:tc>
        <w:tc>
          <w:tcPr>
            <w:tcW w:w="1098" w:type="dxa"/>
            <w:vAlign w:val="center"/>
          </w:tcPr>
          <w:p w:rsidR="00682F13" w:rsidRPr="0045364D" w:rsidRDefault="00682F13" w:rsidP="00682F13">
            <w:pPr>
              <w:spacing w:before="60" w:after="60"/>
              <w:ind w:firstLine="0"/>
              <w:jc w:val="both"/>
              <w:rPr>
                <w:sz w:val="24"/>
              </w:rPr>
            </w:pPr>
            <w:r w:rsidRPr="0045364D">
              <w:rPr>
                <w:sz w:val="24"/>
              </w:rPr>
              <w:t>27 %</w:t>
            </w:r>
            <w:r w:rsidRPr="0045364D">
              <w:rPr>
                <w:sz w:val="24"/>
              </w:rPr>
              <w:br/>
              <w:t>35 %</w:t>
            </w:r>
          </w:p>
        </w:tc>
        <w:tc>
          <w:tcPr>
            <w:tcW w:w="1098" w:type="dxa"/>
            <w:vAlign w:val="center"/>
          </w:tcPr>
          <w:p w:rsidR="00682F13" w:rsidRPr="0045364D" w:rsidRDefault="00682F13" w:rsidP="00682F13">
            <w:pPr>
              <w:spacing w:before="60" w:after="60"/>
              <w:ind w:firstLine="0"/>
              <w:jc w:val="both"/>
              <w:rPr>
                <w:sz w:val="24"/>
              </w:rPr>
            </w:pPr>
            <w:r w:rsidRPr="0045364D">
              <w:rPr>
                <w:sz w:val="24"/>
              </w:rPr>
              <w:t>35 %</w:t>
            </w:r>
            <w:r w:rsidRPr="0045364D">
              <w:rPr>
                <w:sz w:val="24"/>
              </w:rPr>
              <w:br/>
              <w:t>31 %</w:t>
            </w:r>
          </w:p>
        </w:tc>
        <w:tc>
          <w:tcPr>
            <w:tcW w:w="1098" w:type="dxa"/>
            <w:vAlign w:val="center"/>
          </w:tcPr>
          <w:p w:rsidR="00682F13" w:rsidRPr="0045364D" w:rsidRDefault="00682F13" w:rsidP="00682F13">
            <w:pPr>
              <w:spacing w:before="60" w:after="60"/>
              <w:ind w:firstLine="0"/>
              <w:jc w:val="both"/>
              <w:rPr>
                <w:sz w:val="24"/>
              </w:rPr>
            </w:pPr>
            <w:r w:rsidRPr="0045364D">
              <w:rPr>
                <w:sz w:val="24"/>
              </w:rPr>
              <w:t>16 %</w:t>
            </w:r>
            <w:r w:rsidRPr="0045364D">
              <w:rPr>
                <w:sz w:val="24"/>
              </w:rPr>
              <w:br/>
              <w:t>15 %</w:t>
            </w:r>
          </w:p>
        </w:tc>
        <w:tc>
          <w:tcPr>
            <w:tcW w:w="1098" w:type="dxa"/>
            <w:vAlign w:val="center"/>
          </w:tcPr>
          <w:p w:rsidR="00682F13" w:rsidRPr="0045364D" w:rsidRDefault="00682F13" w:rsidP="00682F13">
            <w:pPr>
              <w:spacing w:before="60" w:after="60"/>
              <w:ind w:firstLine="0"/>
              <w:jc w:val="both"/>
              <w:rPr>
                <w:sz w:val="24"/>
              </w:rPr>
            </w:pPr>
            <w:r w:rsidRPr="0045364D">
              <w:rPr>
                <w:sz w:val="24"/>
              </w:rPr>
              <w:t>5 %</w:t>
            </w:r>
            <w:r w:rsidRPr="0045364D">
              <w:rPr>
                <w:sz w:val="24"/>
              </w:rPr>
              <w:br/>
              <w:t>1 %</w:t>
            </w:r>
          </w:p>
        </w:tc>
        <w:tc>
          <w:tcPr>
            <w:tcW w:w="1098" w:type="dxa"/>
            <w:vAlign w:val="center"/>
          </w:tcPr>
          <w:p w:rsidR="00682F13" w:rsidRPr="0045364D" w:rsidRDefault="00682F13" w:rsidP="00682F13">
            <w:pPr>
              <w:spacing w:before="60" w:after="60"/>
              <w:ind w:firstLine="0"/>
              <w:jc w:val="both"/>
              <w:rPr>
                <w:sz w:val="24"/>
              </w:rPr>
            </w:pPr>
            <w:r w:rsidRPr="0045364D">
              <w:rPr>
                <w:sz w:val="24"/>
              </w:rPr>
              <w:t>10 %</w:t>
            </w:r>
            <w:r w:rsidRPr="0045364D">
              <w:rPr>
                <w:sz w:val="24"/>
              </w:rPr>
              <w:br/>
              <w:t>10 %</w:t>
            </w:r>
          </w:p>
        </w:tc>
        <w:tc>
          <w:tcPr>
            <w:tcW w:w="808" w:type="dxa"/>
            <w:vAlign w:val="center"/>
          </w:tcPr>
          <w:p w:rsidR="00682F13" w:rsidRPr="0045364D" w:rsidRDefault="00682F13" w:rsidP="00682F13">
            <w:pPr>
              <w:spacing w:before="60" w:after="60"/>
              <w:ind w:firstLine="0"/>
              <w:jc w:val="both"/>
              <w:rPr>
                <w:sz w:val="24"/>
              </w:rPr>
            </w:pPr>
            <w:r w:rsidRPr="0045364D">
              <w:rPr>
                <w:sz w:val="24"/>
              </w:rPr>
              <w:t>1 %</w:t>
            </w:r>
            <w:r w:rsidRPr="0045364D">
              <w:rPr>
                <w:sz w:val="24"/>
              </w:rPr>
              <w:br/>
              <w:t>5 %</w:t>
            </w:r>
          </w:p>
        </w:tc>
      </w:tr>
      <w:tr w:rsidR="00682F13" w:rsidRPr="00083CDC">
        <w:tblPrEx>
          <w:tblCellMar>
            <w:top w:w="0" w:type="dxa"/>
            <w:bottom w:w="0" w:type="dxa"/>
          </w:tblCellMar>
        </w:tblPrEx>
        <w:tc>
          <w:tcPr>
            <w:tcW w:w="2430" w:type="dxa"/>
          </w:tcPr>
          <w:p w:rsidR="00682F13" w:rsidRPr="0045364D" w:rsidRDefault="00682F13" w:rsidP="00682F13">
            <w:pPr>
              <w:spacing w:before="60" w:after="60"/>
              <w:ind w:firstLine="0"/>
              <w:jc w:val="both"/>
              <w:rPr>
                <w:b/>
                <w:sz w:val="24"/>
              </w:rPr>
            </w:pPr>
            <w:r w:rsidRPr="0045364D">
              <w:rPr>
                <w:b/>
                <w:sz w:val="24"/>
              </w:rPr>
              <w:t>Q4</w:t>
            </w:r>
            <w:r w:rsidRPr="0045364D">
              <w:rPr>
                <w:b/>
                <w:sz w:val="24"/>
              </w:rPr>
              <w:br/>
            </w:r>
            <w:r w:rsidRPr="0045364D">
              <w:rPr>
                <w:sz w:val="24"/>
              </w:rPr>
              <w:t>Incite les angl</w:t>
            </w:r>
            <w:r w:rsidRPr="0045364D">
              <w:rPr>
                <w:sz w:val="24"/>
              </w:rPr>
              <w:t>o</w:t>
            </w:r>
            <w:r w:rsidRPr="0045364D">
              <w:rPr>
                <w:sz w:val="24"/>
              </w:rPr>
              <w:t>phones</w:t>
            </w:r>
            <w:r w:rsidRPr="0045364D">
              <w:rPr>
                <w:sz w:val="24"/>
              </w:rPr>
              <w:br/>
              <w:t>à l’usage du fra</w:t>
            </w:r>
            <w:r w:rsidRPr="0045364D">
              <w:rPr>
                <w:sz w:val="24"/>
              </w:rPr>
              <w:t>n</w:t>
            </w:r>
            <w:r w:rsidRPr="0045364D">
              <w:rPr>
                <w:sz w:val="24"/>
              </w:rPr>
              <w:t>çais</w:t>
            </w:r>
          </w:p>
        </w:tc>
        <w:tc>
          <w:tcPr>
            <w:tcW w:w="540" w:type="dxa"/>
            <w:vAlign w:val="center"/>
          </w:tcPr>
          <w:p w:rsidR="00682F13" w:rsidRPr="0045364D" w:rsidRDefault="00682F13" w:rsidP="00682F13">
            <w:pPr>
              <w:spacing w:before="60" w:after="60"/>
              <w:ind w:firstLine="0"/>
              <w:jc w:val="both"/>
              <w:rPr>
                <w:caps/>
                <w:sz w:val="24"/>
              </w:rPr>
            </w:pPr>
            <w:r w:rsidRPr="0045364D">
              <w:rPr>
                <w:caps/>
                <w:sz w:val="24"/>
              </w:rPr>
              <w:t>f</w:t>
            </w:r>
            <w:r w:rsidRPr="0045364D">
              <w:rPr>
                <w:caps/>
                <w:sz w:val="24"/>
              </w:rPr>
              <w:br/>
              <w:t>nf</w:t>
            </w:r>
          </w:p>
        </w:tc>
        <w:tc>
          <w:tcPr>
            <w:tcW w:w="1098" w:type="dxa"/>
            <w:vAlign w:val="center"/>
          </w:tcPr>
          <w:p w:rsidR="00682F13" w:rsidRPr="0045364D" w:rsidRDefault="00682F13" w:rsidP="00682F13">
            <w:pPr>
              <w:spacing w:before="60" w:after="60"/>
              <w:ind w:firstLine="0"/>
              <w:jc w:val="both"/>
              <w:rPr>
                <w:sz w:val="24"/>
              </w:rPr>
            </w:pPr>
            <w:r w:rsidRPr="0045364D">
              <w:rPr>
                <w:sz w:val="24"/>
              </w:rPr>
              <w:t>40 %</w:t>
            </w:r>
            <w:r w:rsidRPr="0045364D">
              <w:rPr>
                <w:sz w:val="24"/>
              </w:rPr>
              <w:br/>
              <w:t>45 %</w:t>
            </w:r>
          </w:p>
        </w:tc>
        <w:tc>
          <w:tcPr>
            <w:tcW w:w="1098" w:type="dxa"/>
            <w:vAlign w:val="center"/>
          </w:tcPr>
          <w:p w:rsidR="00682F13" w:rsidRPr="0045364D" w:rsidRDefault="00682F13" w:rsidP="00682F13">
            <w:pPr>
              <w:spacing w:before="60" w:after="60"/>
              <w:ind w:firstLine="0"/>
              <w:jc w:val="both"/>
              <w:rPr>
                <w:sz w:val="24"/>
              </w:rPr>
            </w:pPr>
            <w:r w:rsidRPr="0045364D">
              <w:rPr>
                <w:sz w:val="24"/>
              </w:rPr>
              <w:t>7 %</w:t>
            </w:r>
            <w:r w:rsidRPr="0045364D">
              <w:rPr>
                <w:sz w:val="24"/>
              </w:rPr>
              <w:br/>
              <w:t>13 %</w:t>
            </w:r>
          </w:p>
        </w:tc>
        <w:tc>
          <w:tcPr>
            <w:tcW w:w="1098" w:type="dxa"/>
            <w:vAlign w:val="center"/>
          </w:tcPr>
          <w:p w:rsidR="00682F13" w:rsidRPr="0045364D" w:rsidRDefault="00682F13" w:rsidP="00682F13">
            <w:pPr>
              <w:spacing w:before="60" w:after="60"/>
              <w:ind w:firstLine="0"/>
              <w:jc w:val="both"/>
              <w:rPr>
                <w:sz w:val="24"/>
              </w:rPr>
            </w:pPr>
            <w:r w:rsidRPr="0045364D">
              <w:rPr>
                <w:sz w:val="24"/>
              </w:rPr>
              <w:t>21 %</w:t>
            </w:r>
            <w:r w:rsidRPr="0045364D">
              <w:rPr>
                <w:sz w:val="24"/>
              </w:rPr>
              <w:br/>
              <w:t>25 %</w:t>
            </w:r>
          </w:p>
        </w:tc>
        <w:tc>
          <w:tcPr>
            <w:tcW w:w="1098" w:type="dxa"/>
            <w:vAlign w:val="center"/>
          </w:tcPr>
          <w:p w:rsidR="00682F13" w:rsidRPr="0045364D" w:rsidRDefault="00682F13" w:rsidP="00682F13">
            <w:pPr>
              <w:spacing w:before="60" w:after="60"/>
              <w:ind w:firstLine="0"/>
              <w:jc w:val="both"/>
              <w:rPr>
                <w:sz w:val="24"/>
              </w:rPr>
            </w:pPr>
            <w:r w:rsidRPr="0045364D">
              <w:rPr>
                <w:sz w:val="24"/>
              </w:rPr>
              <w:t>10 %</w:t>
            </w:r>
            <w:r w:rsidRPr="0045364D">
              <w:rPr>
                <w:sz w:val="24"/>
              </w:rPr>
              <w:br/>
              <w:t>3 %</w:t>
            </w:r>
          </w:p>
        </w:tc>
        <w:tc>
          <w:tcPr>
            <w:tcW w:w="1098" w:type="dxa"/>
            <w:vAlign w:val="center"/>
          </w:tcPr>
          <w:p w:rsidR="00682F13" w:rsidRPr="0045364D" w:rsidRDefault="00682F13" w:rsidP="00682F13">
            <w:pPr>
              <w:spacing w:before="60" w:after="60"/>
              <w:ind w:firstLine="0"/>
              <w:jc w:val="both"/>
              <w:rPr>
                <w:sz w:val="24"/>
              </w:rPr>
            </w:pPr>
            <w:r w:rsidRPr="0045364D">
              <w:rPr>
                <w:sz w:val="24"/>
              </w:rPr>
              <w:t>10 %</w:t>
            </w:r>
            <w:r w:rsidRPr="0045364D">
              <w:rPr>
                <w:sz w:val="24"/>
              </w:rPr>
              <w:br/>
              <w:t>8 %</w:t>
            </w:r>
          </w:p>
        </w:tc>
        <w:tc>
          <w:tcPr>
            <w:tcW w:w="808" w:type="dxa"/>
            <w:vAlign w:val="center"/>
          </w:tcPr>
          <w:p w:rsidR="00682F13" w:rsidRPr="0045364D" w:rsidRDefault="00682F13" w:rsidP="00682F13">
            <w:pPr>
              <w:spacing w:before="60" w:after="60"/>
              <w:ind w:firstLine="0"/>
              <w:jc w:val="both"/>
              <w:rPr>
                <w:sz w:val="24"/>
              </w:rPr>
            </w:pPr>
            <w:r w:rsidRPr="0045364D">
              <w:rPr>
                <w:sz w:val="24"/>
              </w:rPr>
              <w:t>6 %</w:t>
            </w:r>
            <w:r w:rsidRPr="0045364D">
              <w:rPr>
                <w:sz w:val="24"/>
              </w:rPr>
              <w:br/>
              <w:t>5 %</w:t>
            </w:r>
          </w:p>
        </w:tc>
      </w:tr>
      <w:tr w:rsidR="00682F13" w:rsidRPr="00083CDC">
        <w:tblPrEx>
          <w:tblCellMar>
            <w:top w:w="0" w:type="dxa"/>
            <w:bottom w:w="0" w:type="dxa"/>
          </w:tblCellMar>
        </w:tblPrEx>
        <w:tc>
          <w:tcPr>
            <w:tcW w:w="2430" w:type="dxa"/>
          </w:tcPr>
          <w:p w:rsidR="00682F13" w:rsidRPr="0045364D" w:rsidRDefault="00682F13" w:rsidP="00682F13">
            <w:pPr>
              <w:spacing w:before="60" w:after="60"/>
              <w:ind w:firstLine="0"/>
              <w:jc w:val="both"/>
              <w:rPr>
                <w:b/>
                <w:sz w:val="24"/>
              </w:rPr>
            </w:pPr>
            <w:r w:rsidRPr="0045364D">
              <w:rPr>
                <w:b/>
                <w:sz w:val="24"/>
              </w:rPr>
              <w:t>Q5</w:t>
            </w:r>
            <w:r w:rsidRPr="0045364D">
              <w:rPr>
                <w:b/>
                <w:sz w:val="24"/>
              </w:rPr>
              <w:br/>
            </w:r>
            <w:r w:rsidRPr="0045364D">
              <w:rPr>
                <w:sz w:val="24"/>
              </w:rPr>
              <w:t>Contr</w:t>
            </w:r>
            <w:r w:rsidRPr="0045364D">
              <w:rPr>
                <w:sz w:val="24"/>
              </w:rPr>
              <w:t>i</w:t>
            </w:r>
            <w:r w:rsidRPr="0045364D">
              <w:rPr>
                <w:sz w:val="24"/>
              </w:rPr>
              <w:t>bue le plus à</w:t>
            </w:r>
            <w:r w:rsidRPr="0045364D">
              <w:rPr>
                <w:sz w:val="24"/>
              </w:rPr>
              <w:br/>
              <w:t>l’épanouissement</w:t>
            </w:r>
            <w:r w:rsidRPr="0045364D">
              <w:rPr>
                <w:sz w:val="24"/>
              </w:rPr>
              <w:br/>
              <w:t>du français au Qu</w:t>
            </w:r>
            <w:r w:rsidRPr="0045364D">
              <w:rPr>
                <w:sz w:val="24"/>
              </w:rPr>
              <w:t>é</w:t>
            </w:r>
            <w:r w:rsidRPr="0045364D">
              <w:rPr>
                <w:sz w:val="24"/>
              </w:rPr>
              <w:t>bec</w:t>
            </w:r>
          </w:p>
        </w:tc>
        <w:tc>
          <w:tcPr>
            <w:tcW w:w="540" w:type="dxa"/>
            <w:vAlign w:val="center"/>
          </w:tcPr>
          <w:p w:rsidR="00682F13" w:rsidRPr="0045364D" w:rsidRDefault="00682F13" w:rsidP="00682F13">
            <w:pPr>
              <w:spacing w:before="60" w:after="60"/>
              <w:ind w:firstLine="0"/>
              <w:jc w:val="both"/>
              <w:rPr>
                <w:caps/>
                <w:sz w:val="24"/>
              </w:rPr>
            </w:pPr>
            <w:r w:rsidRPr="0045364D">
              <w:rPr>
                <w:caps/>
                <w:sz w:val="24"/>
              </w:rPr>
              <w:t>f</w:t>
            </w:r>
            <w:r w:rsidRPr="0045364D">
              <w:rPr>
                <w:caps/>
                <w:sz w:val="24"/>
              </w:rPr>
              <w:br/>
              <w:t>nf</w:t>
            </w:r>
          </w:p>
        </w:tc>
        <w:tc>
          <w:tcPr>
            <w:tcW w:w="1098" w:type="dxa"/>
            <w:vAlign w:val="center"/>
          </w:tcPr>
          <w:p w:rsidR="00682F13" w:rsidRPr="0045364D" w:rsidRDefault="00682F13" w:rsidP="00682F13">
            <w:pPr>
              <w:spacing w:before="60" w:after="60"/>
              <w:ind w:firstLine="0"/>
              <w:jc w:val="both"/>
              <w:rPr>
                <w:sz w:val="24"/>
              </w:rPr>
            </w:pPr>
            <w:r w:rsidRPr="0045364D">
              <w:rPr>
                <w:sz w:val="24"/>
              </w:rPr>
              <w:t>26 %</w:t>
            </w:r>
            <w:r w:rsidRPr="0045364D">
              <w:rPr>
                <w:sz w:val="24"/>
              </w:rPr>
              <w:br/>
              <w:t>30 %</w:t>
            </w:r>
          </w:p>
        </w:tc>
        <w:tc>
          <w:tcPr>
            <w:tcW w:w="1098" w:type="dxa"/>
            <w:vAlign w:val="center"/>
          </w:tcPr>
          <w:p w:rsidR="00682F13" w:rsidRPr="0045364D" w:rsidRDefault="00682F13" w:rsidP="00682F13">
            <w:pPr>
              <w:spacing w:before="60" w:after="60"/>
              <w:ind w:firstLine="0"/>
              <w:jc w:val="both"/>
              <w:rPr>
                <w:sz w:val="24"/>
              </w:rPr>
            </w:pPr>
            <w:r w:rsidRPr="0045364D">
              <w:rPr>
                <w:sz w:val="24"/>
              </w:rPr>
              <w:t>20 %</w:t>
            </w:r>
            <w:r w:rsidRPr="0045364D">
              <w:rPr>
                <w:sz w:val="24"/>
              </w:rPr>
              <w:br/>
              <w:t>15 %</w:t>
            </w:r>
          </w:p>
        </w:tc>
        <w:tc>
          <w:tcPr>
            <w:tcW w:w="1098" w:type="dxa"/>
            <w:vAlign w:val="center"/>
          </w:tcPr>
          <w:p w:rsidR="00682F13" w:rsidRPr="0045364D" w:rsidRDefault="00682F13" w:rsidP="00682F13">
            <w:pPr>
              <w:spacing w:before="60" w:after="60"/>
              <w:ind w:firstLine="0"/>
              <w:jc w:val="both"/>
              <w:rPr>
                <w:sz w:val="24"/>
              </w:rPr>
            </w:pPr>
            <w:r w:rsidRPr="0045364D">
              <w:rPr>
                <w:sz w:val="24"/>
              </w:rPr>
              <w:t>17 %</w:t>
            </w:r>
            <w:r w:rsidRPr="0045364D">
              <w:rPr>
                <w:sz w:val="24"/>
              </w:rPr>
              <w:br/>
              <w:t>23 %</w:t>
            </w:r>
          </w:p>
        </w:tc>
        <w:tc>
          <w:tcPr>
            <w:tcW w:w="1098" w:type="dxa"/>
            <w:vAlign w:val="center"/>
          </w:tcPr>
          <w:p w:rsidR="00682F13" w:rsidRPr="0045364D" w:rsidRDefault="00682F13" w:rsidP="00682F13">
            <w:pPr>
              <w:spacing w:before="60" w:after="60"/>
              <w:ind w:firstLine="0"/>
              <w:jc w:val="both"/>
              <w:rPr>
                <w:sz w:val="24"/>
              </w:rPr>
            </w:pPr>
            <w:r w:rsidRPr="0045364D">
              <w:rPr>
                <w:sz w:val="24"/>
              </w:rPr>
              <w:t>12 %</w:t>
            </w:r>
            <w:r w:rsidRPr="0045364D">
              <w:rPr>
                <w:sz w:val="24"/>
              </w:rPr>
              <w:br/>
              <w:t>10 %</w:t>
            </w:r>
          </w:p>
        </w:tc>
        <w:tc>
          <w:tcPr>
            <w:tcW w:w="1098" w:type="dxa"/>
            <w:vAlign w:val="center"/>
          </w:tcPr>
          <w:p w:rsidR="00682F13" w:rsidRPr="0045364D" w:rsidRDefault="00682F13" w:rsidP="00682F13">
            <w:pPr>
              <w:spacing w:before="60" w:after="60"/>
              <w:ind w:firstLine="0"/>
              <w:jc w:val="both"/>
              <w:rPr>
                <w:sz w:val="24"/>
              </w:rPr>
            </w:pPr>
            <w:r w:rsidRPr="0045364D">
              <w:rPr>
                <w:sz w:val="24"/>
              </w:rPr>
              <w:t>18 %</w:t>
            </w:r>
            <w:r w:rsidRPr="0045364D">
              <w:rPr>
                <w:sz w:val="24"/>
              </w:rPr>
              <w:br/>
              <w:t>13 %</w:t>
            </w:r>
          </w:p>
        </w:tc>
        <w:tc>
          <w:tcPr>
            <w:tcW w:w="808" w:type="dxa"/>
            <w:vAlign w:val="center"/>
          </w:tcPr>
          <w:p w:rsidR="00682F13" w:rsidRPr="0045364D" w:rsidRDefault="00682F13" w:rsidP="00682F13">
            <w:pPr>
              <w:spacing w:before="60" w:after="60"/>
              <w:ind w:firstLine="0"/>
              <w:jc w:val="both"/>
              <w:rPr>
                <w:sz w:val="24"/>
              </w:rPr>
            </w:pPr>
            <w:r w:rsidRPr="0045364D">
              <w:rPr>
                <w:sz w:val="24"/>
              </w:rPr>
              <w:t>3 %</w:t>
            </w:r>
            <w:r w:rsidRPr="0045364D">
              <w:rPr>
                <w:sz w:val="24"/>
              </w:rPr>
              <w:br/>
              <w:t>8 %</w:t>
            </w:r>
          </w:p>
        </w:tc>
      </w:tr>
      <w:tr w:rsidR="00682F13" w:rsidRPr="00083CDC">
        <w:tblPrEx>
          <w:tblCellMar>
            <w:top w:w="0" w:type="dxa"/>
            <w:bottom w:w="0" w:type="dxa"/>
          </w:tblCellMar>
        </w:tblPrEx>
        <w:tc>
          <w:tcPr>
            <w:tcW w:w="2430" w:type="dxa"/>
            <w:tcBorders>
              <w:bottom w:val="single" w:sz="2" w:space="0" w:color="auto"/>
            </w:tcBorders>
          </w:tcPr>
          <w:p w:rsidR="00682F13" w:rsidRPr="0045364D" w:rsidRDefault="00682F13" w:rsidP="00682F13">
            <w:pPr>
              <w:spacing w:before="60" w:after="60"/>
              <w:ind w:firstLine="0"/>
              <w:jc w:val="both"/>
              <w:rPr>
                <w:b/>
                <w:sz w:val="24"/>
              </w:rPr>
            </w:pPr>
            <w:r w:rsidRPr="0045364D">
              <w:rPr>
                <w:b/>
                <w:sz w:val="24"/>
              </w:rPr>
              <w:t>Q6</w:t>
            </w:r>
            <w:r w:rsidRPr="0045364D">
              <w:rPr>
                <w:b/>
                <w:sz w:val="24"/>
              </w:rPr>
              <w:br/>
            </w:r>
            <w:r w:rsidRPr="0045364D">
              <w:rPr>
                <w:sz w:val="24"/>
              </w:rPr>
              <w:t>Contr</w:t>
            </w:r>
            <w:r w:rsidRPr="0045364D">
              <w:rPr>
                <w:sz w:val="24"/>
              </w:rPr>
              <w:t>i</w:t>
            </w:r>
            <w:r w:rsidRPr="0045364D">
              <w:rPr>
                <w:sz w:val="24"/>
              </w:rPr>
              <w:t>bue le plus</w:t>
            </w:r>
            <w:r w:rsidRPr="0045364D">
              <w:rPr>
                <w:sz w:val="24"/>
              </w:rPr>
              <w:br/>
              <w:t>à donner au Qu</w:t>
            </w:r>
            <w:r w:rsidRPr="0045364D">
              <w:rPr>
                <w:sz w:val="24"/>
              </w:rPr>
              <w:t>é</w:t>
            </w:r>
            <w:r w:rsidRPr="0045364D">
              <w:rPr>
                <w:sz w:val="24"/>
              </w:rPr>
              <w:t>bec</w:t>
            </w:r>
            <w:r w:rsidRPr="0045364D">
              <w:rPr>
                <w:sz w:val="24"/>
              </w:rPr>
              <w:br/>
              <w:t>un visage fra</w:t>
            </w:r>
            <w:r w:rsidRPr="0045364D">
              <w:rPr>
                <w:sz w:val="24"/>
              </w:rPr>
              <w:t>n</w:t>
            </w:r>
            <w:r w:rsidRPr="0045364D">
              <w:rPr>
                <w:sz w:val="24"/>
              </w:rPr>
              <w:t>çais</w:t>
            </w:r>
          </w:p>
        </w:tc>
        <w:tc>
          <w:tcPr>
            <w:tcW w:w="540" w:type="dxa"/>
            <w:tcBorders>
              <w:bottom w:val="single" w:sz="2" w:space="0" w:color="auto"/>
            </w:tcBorders>
            <w:vAlign w:val="center"/>
          </w:tcPr>
          <w:p w:rsidR="00682F13" w:rsidRPr="0045364D" w:rsidRDefault="00682F13" w:rsidP="00682F13">
            <w:pPr>
              <w:spacing w:before="60" w:after="60"/>
              <w:ind w:firstLine="0"/>
              <w:jc w:val="both"/>
              <w:rPr>
                <w:caps/>
                <w:sz w:val="24"/>
              </w:rPr>
            </w:pPr>
            <w:r w:rsidRPr="0045364D">
              <w:rPr>
                <w:caps/>
                <w:sz w:val="24"/>
              </w:rPr>
              <w:t>f</w:t>
            </w:r>
            <w:r w:rsidRPr="0045364D">
              <w:rPr>
                <w:caps/>
                <w:sz w:val="24"/>
              </w:rPr>
              <w:br/>
              <w:t>nf</w:t>
            </w:r>
          </w:p>
        </w:tc>
        <w:tc>
          <w:tcPr>
            <w:tcW w:w="1098" w:type="dxa"/>
            <w:tcBorders>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16 %</w:t>
            </w:r>
            <w:r w:rsidRPr="0045364D">
              <w:rPr>
                <w:sz w:val="24"/>
              </w:rPr>
              <w:br/>
              <w:t>11 %</w:t>
            </w:r>
          </w:p>
        </w:tc>
        <w:tc>
          <w:tcPr>
            <w:tcW w:w="1098" w:type="dxa"/>
            <w:tcBorders>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11 %</w:t>
            </w:r>
            <w:r w:rsidRPr="0045364D">
              <w:rPr>
                <w:sz w:val="24"/>
              </w:rPr>
              <w:br/>
              <w:t>7 %</w:t>
            </w:r>
          </w:p>
        </w:tc>
        <w:tc>
          <w:tcPr>
            <w:tcW w:w="1098" w:type="dxa"/>
            <w:tcBorders>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21 %</w:t>
            </w:r>
            <w:r w:rsidRPr="0045364D">
              <w:rPr>
                <w:sz w:val="24"/>
              </w:rPr>
              <w:br/>
              <w:t>31 %</w:t>
            </w:r>
          </w:p>
        </w:tc>
        <w:tc>
          <w:tcPr>
            <w:tcW w:w="1098" w:type="dxa"/>
            <w:tcBorders>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28 %</w:t>
            </w:r>
            <w:r w:rsidRPr="0045364D">
              <w:rPr>
                <w:sz w:val="24"/>
              </w:rPr>
              <w:br/>
              <w:t>18 %</w:t>
            </w:r>
          </w:p>
        </w:tc>
        <w:tc>
          <w:tcPr>
            <w:tcW w:w="1098" w:type="dxa"/>
            <w:tcBorders>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17 %</w:t>
            </w:r>
            <w:r w:rsidRPr="0045364D">
              <w:rPr>
                <w:sz w:val="24"/>
              </w:rPr>
              <w:br/>
              <w:t>17 %</w:t>
            </w:r>
          </w:p>
        </w:tc>
        <w:tc>
          <w:tcPr>
            <w:tcW w:w="808" w:type="dxa"/>
            <w:tcBorders>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2 %</w:t>
            </w:r>
            <w:r w:rsidRPr="0045364D">
              <w:rPr>
                <w:sz w:val="24"/>
              </w:rPr>
              <w:br/>
              <w:t>9 %</w:t>
            </w:r>
          </w:p>
        </w:tc>
      </w:tr>
      <w:tr w:rsidR="00682F13" w:rsidRPr="00083CDC">
        <w:tblPrEx>
          <w:tblCellMar>
            <w:top w:w="0" w:type="dxa"/>
            <w:bottom w:w="0" w:type="dxa"/>
          </w:tblCellMar>
        </w:tblPrEx>
        <w:tc>
          <w:tcPr>
            <w:tcW w:w="2430" w:type="dxa"/>
            <w:tcBorders>
              <w:top w:val="single" w:sz="2" w:space="0" w:color="auto"/>
              <w:bottom w:val="single" w:sz="2" w:space="0" w:color="auto"/>
            </w:tcBorders>
          </w:tcPr>
          <w:p w:rsidR="00682F13" w:rsidRPr="0045364D" w:rsidRDefault="00682F13" w:rsidP="00682F13">
            <w:pPr>
              <w:spacing w:before="60" w:after="60"/>
              <w:ind w:firstLine="0"/>
              <w:jc w:val="both"/>
              <w:rPr>
                <w:b/>
                <w:sz w:val="24"/>
              </w:rPr>
            </w:pPr>
            <w:r w:rsidRPr="0045364D">
              <w:rPr>
                <w:sz w:val="24"/>
              </w:rPr>
              <w:t>Moyenne des</w:t>
            </w:r>
            <w:r w:rsidRPr="0045364D">
              <w:rPr>
                <w:sz w:val="24"/>
              </w:rPr>
              <w:br/>
              <w:t>6 contrib</w:t>
            </w:r>
            <w:r w:rsidRPr="0045364D">
              <w:rPr>
                <w:sz w:val="24"/>
              </w:rPr>
              <w:t>u</w:t>
            </w:r>
            <w:r w:rsidRPr="0045364D">
              <w:rPr>
                <w:sz w:val="24"/>
              </w:rPr>
              <w:t>tions</w:t>
            </w:r>
          </w:p>
        </w:tc>
        <w:tc>
          <w:tcPr>
            <w:tcW w:w="540"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caps/>
                <w:sz w:val="24"/>
              </w:rPr>
            </w:pPr>
            <w:r w:rsidRPr="0045364D">
              <w:rPr>
                <w:caps/>
                <w:sz w:val="24"/>
              </w:rPr>
              <w:t>f</w:t>
            </w:r>
            <w:r w:rsidRPr="0045364D">
              <w:rPr>
                <w:caps/>
                <w:sz w:val="24"/>
              </w:rPr>
              <w:br/>
              <w:t>nf</w:t>
            </w:r>
          </w:p>
        </w:tc>
        <w:tc>
          <w:tcPr>
            <w:tcW w:w="1098"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30 %</w:t>
            </w:r>
            <w:r w:rsidRPr="0045364D">
              <w:rPr>
                <w:sz w:val="24"/>
              </w:rPr>
              <w:br/>
              <w:t>33 %</w:t>
            </w:r>
          </w:p>
        </w:tc>
        <w:tc>
          <w:tcPr>
            <w:tcW w:w="1098"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14 %</w:t>
            </w:r>
            <w:r w:rsidRPr="0045364D">
              <w:rPr>
                <w:sz w:val="24"/>
              </w:rPr>
              <w:br/>
              <w:t>14 %</w:t>
            </w:r>
          </w:p>
        </w:tc>
        <w:tc>
          <w:tcPr>
            <w:tcW w:w="1098"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17 %</w:t>
            </w:r>
            <w:r w:rsidRPr="0045364D">
              <w:rPr>
                <w:sz w:val="24"/>
              </w:rPr>
              <w:br/>
              <w:t>22 %</w:t>
            </w:r>
          </w:p>
        </w:tc>
        <w:tc>
          <w:tcPr>
            <w:tcW w:w="1098"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11 %</w:t>
            </w:r>
            <w:r w:rsidRPr="0045364D">
              <w:rPr>
                <w:sz w:val="24"/>
              </w:rPr>
              <w:br/>
              <w:t>6 %</w:t>
            </w:r>
          </w:p>
        </w:tc>
        <w:tc>
          <w:tcPr>
            <w:tcW w:w="1098"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16 %</w:t>
            </w:r>
            <w:r w:rsidRPr="0045364D">
              <w:rPr>
                <w:sz w:val="24"/>
              </w:rPr>
              <w:br/>
              <w:t>13 %</w:t>
            </w:r>
          </w:p>
        </w:tc>
        <w:tc>
          <w:tcPr>
            <w:tcW w:w="808"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7 %</w:t>
            </w:r>
            <w:r w:rsidRPr="0045364D">
              <w:rPr>
                <w:sz w:val="24"/>
              </w:rPr>
              <w:br/>
              <w:t>9 %</w:t>
            </w:r>
          </w:p>
        </w:tc>
      </w:tr>
      <w:tr w:rsidR="00682F13" w:rsidRPr="00083CDC">
        <w:tblPrEx>
          <w:tblCellMar>
            <w:top w:w="0" w:type="dxa"/>
            <w:bottom w:w="0" w:type="dxa"/>
          </w:tblCellMar>
        </w:tblPrEx>
        <w:tc>
          <w:tcPr>
            <w:tcW w:w="2430" w:type="dxa"/>
            <w:tcBorders>
              <w:top w:val="single" w:sz="2" w:space="0" w:color="auto"/>
              <w:bottom w:val="single" w:sz="2" w:space="0" w:color="auto"/>
            </w:tcBorders>
          </w:tcPr>
          <w:p w:rsidR="00682F13" w:rsidRPr="0045364D" w:rsidRDefault="00682F13" w:rsidP="00682F13">
            <w:pPr>
              <w:spacing w:before="60" w:after="60"/>
              <w:ind w:firstLine="0"/>
              <w:jc w:val="both"/>
              <w:rPr>
                <w:sz w:val="24"/>
              </w:rPr>
            </w:pPr>
            <w:r w:rsidRPr="0045364D">
              <w:rPr>
                <w:sz w:val="24"/>
              </w:rPr>
              <w:t>Ordre</w:t>
            </w:r>
            <w:r>
              <w:rPr>
                <w:sz w:val="24"/>
              </w:rPr>
              <w:t xml:space="preserve"> </w:t>
            </w:r>
            <w:r w:rsidRPr="0045364D">
              <w:rPr>
                <w:sz w:val="24"/>
              </w:rPr>
              <w:t>d’importance</w:t>
            </w:r>
          </w:p>
        </w:tc>
        <w:tc>
          <w:tcPr>
            <w:tcW w:w="540"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mallCaps/>
                <w:sz w:val="24"/>
              </w:rPr>
            </w:pPr>
          </w:p>
        </w:tc>
        <w:tc>
          <w:tcPr>
            <w:tcW w:w="1098"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b/>
                <w:sz w:val="24"/>
              </w:rPr>
            </w:pPr>
            <w:r w:rsidRPr="0045364D">
              <w:rPr>
                <w:b/>
                <w:sz w:val="24"/>
              </w:rPr>
              <w:t>(1)</w:t>
            </w:r>
          </w:p>
        </w:tc>
        <w:tc>
          <w:tcPr>
            <w:tcW w:w="1098"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b/>
                <w:sz w:val="24"/>
              </w:rPr>
              <w:t>(3)</w:t>
            </w:r>
          </w:p>
        </w:tc>
        <w:tc>
          <w:tcPr>
            <w:tcW w:w="1098"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b/>
                <w:sz w:val="24"/>
              </w:rPr>
              <w:t>(2)</w:t>
            </w:r>
          </w:p>
        </w:tc>
        <w:tc>
          <w:tcPr>
            <w:tcW w:w="1098"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b/>
                <w:sz w:val="24"/>
              </w:rPr>
              <w:t>(4)</w:t>
            </w:r>
          </w:p>
        </w:tc>
        <w:tc>
          <w:tcPr>
            <w:tcW w:w="1098"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p>
        </w:tc>
        <w:tc>
          <w:tcPr>
            <w:tcW w:w="808"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p>
        </w:tc>
      </w:tr>
    </w:tbl>
    <w:p w:rsidR="00682F13" w:rsidRPr="00083CDC" w:rsidRDefault="00682F13" w:rsidP="00682F13">
      <w:pPr>
        <w:pStyle w:val="figst"/>
      </w:pPr>
      <w:r w:rsidRPr="00083CDC">
        <w:t xml:space="preserve">Sondage </w:t>
      </w:r>
      <w:r w:rsidRPr="00083CDC">
        <w:rPr>
          <w:smallCaps/>
        </w:rPr>
        <w:t>crop</w:t>
      </w:r>
      <w:r w:rsidRPr="00083CDC">
        <w:t>, pour le Conseil de la langue française, janvier 1993.</w:t>
      </w:r>
    </w:p>
    <w:p w:rsidR="00682F13" w:rsidRDefault="00682F13" w:rsidP="00682F13">
      <w:pPr>
        <w:spacing w:before="120" w:after="120"/>
        <w:jc w:val="both"/>
      </w:pPr>
      <w:r w:rsidRPr="00083CDC">
        <w:br w:type="page"/>
      </w:r>
      <w:r>
        <w:lastRenderedPageBreak/>
        <w:t>[114]</w:t>
      </w:r>
    </w:p>
    <w:p w:rsidR="00682F13" w:rsidRPr="00083CDC" w:rsidRDefault="00682F13" w:rsidP="00682F13">
      <w:pPr>
        <w:spacing w:before="120" w:after="120"/>
        <w:jc w:val="both"/>
      </w:pPr>
      <w:r w:rsidRPr="00083CDC">
        <w:t>Comme l’indique le tableau</w:t>
      </w:r>
      <w:r>
        <w:t> </w:t>
      </w:r>
      <w:r w:rsidRPr="00083CDC">
        <w:t>1, c’est le français langue de tr</w:t>
      </w:r>
      <w:r w:rsidRPr="00083CDC">
        <w:t>a</w:t>
      </w:r>
      <w:r w:rsidRPr="00083CDC">
        <w:t>vail qui incite la plus large proportion de francophones (33 %) et d’anglophones/allophones (36 %) à faire usage du français dans leur vie quotidienne. Ces résultats impliquent que la francisation du monde du travail peut avoir eu un « effet d’entraînement » en incitant les francophones et les non-francophones à faire usage du français à l’intérieur comme à l’extérieur du foyer. Notons que l’affichage e</w:t>
      </w:r>
      <w:r w:rsidRPr="00083CDC">
        <w:t>x</w:t>
      </w:r>
      <w:r w:rsidRPr="00083CDC">
        <w:t>terne uniquement en français tel que prescrit par la loi 101 de 1977</w:t>
      </w:r>
      <w:r w:rsidRPr="00083CDC">
        <w:rPr>
          <w:i/>
        </w:rPr>
        <w:t xml:space="preserve"> </w:t>
      </w:r>
      <w:r w:rsidRPr="00083CDC">
        <w:t>et la loi 178 est perçu par l’ensemble des répo</w:t>
      </w:r>
      <w:r w:rsidRPr="00083CDC">
        <w:t>n</w:t>
      </w:r>
      <w:r w:rsidRPr="00083CDC">
        <w:t>dants comme ayant peu d’impact sur l’usage du français dans leur vie quotidienne. Ces résu</w:t>
      </w:r>
      <w:r w:rsidRPr="00083CDC">
        <w:t>l</w:t>
      </w:r>
      <w:r w:rsidRPr="00083CDC">
        <w:t>tats sont confirmés lorsque l’ensemble des répondants évaluent ce qui incite les francophones à faire usage du français dans leur vie quot</w:t>
      </w:r>
      <w:r w:rsidRPr="00083CDC">
        <w:t>i</w:t>
      </w:r>
      <w:r w:rsidRPr="00083CDC">
        <w:t>dienne (Q2, tableau 1).</w:t>
      </w:r>
    </w:p>
    <w:p w:rsidR="00682F13" w:rsidRPr="00083CDC" w:rsidRDefault="00682F13" w:rsidP="00682F13">
      <w:pPr>
        <w:spacing w:before="120" w:after="120"/>
        <w:jc w:val="both"/>
      </w:pPr>
      <w:r w:rsidRPr="00083CDC">
        <w:t>La francisation des immigrants par l’école et le français langue de travail sont les facteurs reconnus par les francophones et les angl</w:t>
      </w:r>
      <w:r w:rsidRPr="00083CDC">
        <w:t>o</w:t>
      </w:r>
      <w:r w:rsidRPr="00083CDC">
        <w:t xml:space="preserve">phones/allophones comme ayant le plus d’influence sur l’usage du français par les immigrants (Q3). Par ailleurs, 40 % des francophones et 45 % des anglophones/allophones considèrent le français langue de travail comme ayant le plus d’impact favorable sur l’usage du français bien que le français langue d’accueil dans les commerces soit aussi perçu comme un facteur favorable par plus de 20 % des répondants (Q4). </w:t>
      </w:r>
    </w:p>
    <w:p w:rsidR="00682F13" w:rsidRPr="00083CDC" w:rsidRDefault="00682F13" w:rsidP="00682F13">
      <w:pPr>
        <w:spacing w:before="120" w:after="120"/>
        <w:jc w:val="both"/>
      </w:pPr>
      <w:r w:rsidRPr="00083CDC">
        <w:t>Quand il s’agit des facteurs qui contribuent le plus à l’épanouissement du français au Québec (Q5), chacun des quatre fa</w:t>
      </w:r>
      <w:r w:rsidRPr="00083CDC">
        <w:t>c</w:t>
      </w:r>
      <w:r w:rsidRPr="00083CDC">
        <w:t>teurs est perçu par les répondants comme ayant un rôle à jouer, bien que plus de répondants se prononcent en faveur du français langue de travail (F=26 %, NF=30 %) que pour l’affichage unili</w:t>
      </w:r>
      <w:r w:rsidRPr="00083CDC">
        <w:t>n</w:t>
      </w:r>
      <w:r w:rsidRPr="00083CDC">
        <w:t>gue français (F=12 %, NF= 10 %). Finalement, comme prévu, le français langue d’accueil dans les commerces ainsi que l’affichage unilingue français sont les facteurs perçus par les francophones et les angloph</w:t>
      </w:r>
      <w:r w:rsidRPr="00083CDC">
        <w:t>o</w:t>
      </w:r>
      <w:r w:rsidRPr="00083CDC">
        <w:t>nes/allophones comme contribuant le plus fortement à donner au Québec un visage français (Q6). En considérant la moyenne des six contributions, les francophones (11 %) plus que les angloph</w:t>
      </w:r>
      <w:r w:rsidRPr="00083CDC">
        <w:t>o</w:t>
      </w:r>
      <w:r w:rsidRPr="00083CDC">
        <w:t>nes/allophones (6 %) considèrent l’affichage unilingue français co</w:t>
      </w:r>
      <w:r w:rsidRPr="00083CDC">
        <w:t>m</w:t>
      </w:r>
      <w:r w:rsidRPr="00083CDC">
        <w:t>me étant un facteur contribuant à l’usage du français et à son ép</w:t>
      </w:r>
      <w:r w:rsidRPr="00083CDC">
        <w:t>a</w:t>
      </w:r>
      <w:r w:rsidRPr="00083CDC">
        <w:t>nouissement au Québec. Il demeure qu’en général, l’affichage unili</w:t>
      </w:r>
      <w:r w:rsidRPr="00083CDC">
        <w:t>n</w:t>
      </w:r>
      <w:r w:rsidRPr="00083CDC">
        <w:t>gue français est perçu par l’ensemble des r</w:t>
      </w:r>
      <w:r w:rsidRPr="00083CDC">
        <w:t>é</w:t>
      </w:r>
      <w:r w:rsidRPr="00083CDC">
        <w:t xml:space="preserve">pondants comme ayant </w:t>
      </w:r>
      <w:r w:rsidRPr="00083CDC">
        <w:lastRenderedPageBreak/>
        <w:t>moins d’influence comme facteur incitant à l’usage du français que chacun des autres facteurs, y compris la francisation des imm</w:t>
      </w:r>
      <w:r w:rsidRPr="00083CDC">
        <w:t>i</w:t>
      </w:r>
      <w:r w:rsidRPr="00083CDC">
        <w:t>grants par l’école, le français langue d’accueil dans les commerces et le français langue de travail. L’analyse de ces résultats selon les inte</w:t>
      </w:r>
      <w:r w:rsidRPr="00083CDC">
        <w:t>n</w:t>
      </w:r>
      <w:r w:rsidRPr="00083CDC">
        <w:t>tions de vote démontrait que les sympathisants du Parti québécois et du Parti libéral part</w:t>
      </w:r>
      <w:r w:rsidRPr="00083CDC">
        <w:t>a</w:t>
      </w:r>
      <w:r w:rsidRPr="00083CDC">
        <w:t>geaient des opinions semblables concernant le rôle respectif des quatre facteurs contribuant à l’usage du français.</w:t>
      </w:r>
    </w:p>
    <w:p w:rsidR="00682F13" w:rsidRPr="00083CDC" w:rsidRDefault="00682F13" w:rsidP="00682F13">
      <w:pPr>
        <w:spacing w:before="120" w:after="120"/>
        <w:jc w:val="both"/>
      </w:pPr>
      <w:r w:rsidRPr="00083CDC">
        <w:t>Dans la deuxième partie du sondage, les répondants se prono</w:t>
      </w:r>
      <w:r w:rsidRPr="00083CDC">
        <w:t>n</w:t>
      </w:r>
      <w:r w:rsidRPr="00083CDC">
        <w:t>çaient sur les effets nuisibles que pouvait avoir chacun des quatre p</w:t>
      </w:r>
      <w:r w:rsidRPr="00083CDC">
        <w:t>i</w:t>
      </w:r>
      <w:r w:rsidRPr="00083CDC">
        <w:t>liers de la loi 101 dans différents types de relations au Québec, au C</w:t>
      </w:r>
      <w:r w:rsidRPr="00083CDC">
        <w:t>a</w:t>
      </w:r>
      <w:r w:rsidRPr="00083CDC">
        <w:t>nada et à l’étranger. Par exemple, les répondants offraient leurs op</w:t>
      </w:r>
      <w:r w:rsidRPr="00083CDC">
        <w:t>i</w:t>
      </w:r>
      <w:r w:rsidRPr="00083CDC">
        <w:t xml:space="preserve">nions concernant la question suivante : </w:t>
      </w:r>
    </w:p>
    <w:p w:rsidR="00682F13" w:rsidRDefault="00682F13" w:rsidP="00682F13">
      <w:pPr>
        <w:pStyle w:val="Grillecouleur-Accent1"/>
      </w:pPr>
    </w:p>
    <w:p w:rsidR="00682F13" w:rsidRDefault="00682F13" w:rsidP="00682F13">
      <w:pPr>
        <w:pStyle w:val="Grillecouleur-Accent1"/>
      </w:pPr>
      <w:r w:rsidRPr="00083CDC">
        <w:t>« Selon vous, lequel des facteurs suivants vous semble le plus nu</w:t>
      </w:r>
      <w:r w:rsidRPr="00083CDC">
        <w:t>i</w:t>
      </w:r>
      <w:r w:rsidRPr="00083CDC">
        <w:t>sible aux relations entre les francophones et les angloph</w:t>
      </w:r>
      <w:r w:rsidRPr="00083CDC">
        <w:t>o</w:t>
      </w:r>
      <w:r w:rsidRPr="00083CDC">
        <w:t>nes? » (rotation des mêmes options que celles offertes dans la premi</w:t>
      </w:r>
      <w:r w:rsidRPr="00083CDC">
        <w:t>è</w:t>
      </w:r>
      <w:r w:rsidRPr="00083CDC">
        <w:t>re partie du sondage).</w:t>
      </w:r>
    </w:p>
    <w:p w:rsidR="00682F13" w:rsidRPr="00083CDC" w:rsidRDefault="00682F13" w:rsidP="00682F13">
      <w:pPr>
        <w:pStyle w:val="Grillecouleur-Accent1"/>
      </w:pPr>
    </w:p>
    <w:p w:rsidR="00682F13" w:rsidRDefault="00682F13" w:rsidP="00682F13">
      <w:pPr>
        <w:spacing w:before="120" w:after="120"/>
        <w:jc w:val="both"/>
      </w:pPr>
      <w:r>
        <w:t>[115]</w:t>
      </w:r>
    </w:p>
    <w:p w:rsidR="00682F13" w:rsidRPr="00083CDC" w:rsidRDefault="00682F13" w:rsidP="00682F13">
      <w:pPr>
        <w:spacing w:before="120" w:after="120"/>
        <w:jc w:val="both"/>
      </w:pPr>
      <w:r w:rsidRPr="00083CDC">
        <w:t>Comme le démontrent les résultats présentés au tableau 2, c’est l’affichage uniquement en français qui est perçu par la majorité des francophones (44 %) et des anglophones/allophones (41 %) comme étant le plus nuisible aux relations entre francophones et anglophones de la province.</w:t>
      </w:r>
    </w:p>
    <w:p w:rsidR="00682F13" w:rsidRPr="00083CDC" w:rsidRDefault="00682F13" w:rsidP="00682F13">
      <w:pPr>
        <w:pStyle w:val="figst"/>
      </w:pPr>
      <w:r>
        <w:br w:type="page"/>
      </w:r>
      <w:r w:rsidRPr="00083CDC">
        <w:lastRenderedPageBreak/>
        <w:t>Tableau 2</w:t>
      </w:r>
    </w:p>
    <w:p w:rsidR="00682F13" w:rsidRPr="00083CDC" w:rsidRDefault="00682F13" w:rsidP="00682F13">
      <w:pPr>
        <w:pStyle w:val="figst"/>
        <w:rPr>
          <w:b/>
        </w:rPr>
      </w:pPr>
      <w:r w:rsidRPr="00083CDC">
        <w:t>Effets nuisibles des 4 éléments des lois 101 et 178</w:t>
      </w:r>
      <w:r w:rsidRPr="00083CDC">
        <w:br/>
        <w:t>à l’essor de la société québécoise</w:t>
      </w:r>
    </w:p>
    <w:p w:rsidR="00682F13" w:rsidRPr="00083CDC" w:rsidRDefault="00682F13" w:rsidP="00682F13">
      <w:pPr>
        <w:pStyle w:val="figst"/>
      </w:pPr>
      <w:r w:rsidRPr="00083CDC">
        <w:rPr>
          <w:smallCaps/>
        </w:rPr>
        <w:t>f</w:t>
      </w:r>
      <w:r w:rsidRPr="00083CDC">
        <w:t xml:space="preserve"> = francophones (</w:t>
      </w:r>
      <w:r w:rsidRPr="00083CDC">
        <w:rPr>
          <w:smallCaps/>
        </w:rPr>
        <w:t>n</w:t>
      </w:r>
      <w:r w:rsidRPr="00083CDC">
        <w:t xml:space="preserve"> = 830); </w:t>
      </w:r>
      <w:r w:rsidRPr="00083CDC">
        <w:rPr>
          <w:smallCaps/>
        </w:rPr>
        <w:t>nf</w:t>
      </w:r>
      <w:r w:rsidRPr="00083CDC">
        <w:t xml:space="preserve"> = anglophones + allophones (</w:t>
      </w:r>
      <w:r w:rsidRPr="00083CDC">
        <w:rPr>
          <w:smallCaps/>
        </w:rPr>
        <w:t>n</w:t>
      </w:r>
      <w:r w:rsidRPr="00083CDC">
        <w:t xml:space="preserve"> = 134)</w:t>
      </w:r>
    </w:p>
    <w:tbl>
      <w:tblPr>
        <w:tblW w:w="0" w:type="auto"/>
        <w:tblInd w:w="-1550" w:type="dxa"/>
        <w:tblLayout w:type="fixed"/>
        <w:tblCellMar>
          <w:left w:w="70" w:type="dxa"/>
          <w:right w:w="70" w:type="dxa"/>
        </w:tblCellMar>
        <w:tblLook w:val="0000" w:firstRow="0" w:lastRow="0" w:firstColumn="0" w:lastColumn="0" w:noHBand="0" w:noVBand="0"/>
      </w:tblPr>
      <w:tblGrid>
        <w:gridCol w:w="2610"/>
        <w:gridCol w:w="522"/>
        <w:gridCol w:w="1083"/>
        <w:gridCol w:w="1084"/>
        <w:gridCol w:w="1083"/>
        <w:gridCol w:w="1084"/>
        <w:gridCol w:w="1084"/>
        <w:gridCol w:w="990"/>
      </w:tblGrid>
      <w:tr w:rsidR="00682F13" w:rsidRPr="00083CDC">
        <w:tblPrEx>
          <w:tblCellMar>
            <w:top w:w="0" w:type="dxa"/>
            <w:bottom w:w="0" w:type="dxa"/>
          </w:tblCellMar>
        </w:tblPrEx>
        <w:tc>
          <w:tcPr>
            <w:tcW w:w="2610" w:type="dxa"/>
            <w:tcBorders>
              <w:top w:val="single" w:sz="2" w:space="0" w:color="auto"/>
              <w:bottom w:val="single" w:sz="2" w:space="0" w:color="auto"/>
            </w:tcBorders>
            <w:shd w:val="clear" w:color="auto" w:fill="EEECE1"/>
            <w:vAlign w:val="center"/>
          </w:tcPr>
          <w:p w:rsidR="00682F13" w:rsidRPr="0045364D" w:rsidRDefault="00682F13" w:rsidP="00682F13">
            <w:pPr>
              <w:spacing w:before="60" w:after="60"/>
              <w:ind w:firstLine="0"/>
              <w:jc w:val="both"/>
              <w:rPr>
                <w:sz w:val="24"/>
              </w:rPr>
            </w:pPr>
            <w:r w:rsidRPr="0045364D">
              <w:rPr>
                <w:sz w:val="24"/>
              </w:rPr>
              <w:t>Types</w:t>
            </w:r>
            <w:r w:rsidRPr="0045364D">
              <w:rPr>
                <w:sz w:val="24"/>
              </w:rPr>
              <w:br/>
              <w:t>d’effets nuisibles</w:t>
            </w:r>
          </w:p>
        </w:tc>
        <w:tc>
          <w:tcPr>
            <w:tcW w:w="522" w:type="dxa"/>
            <w:tcBorders>
              <w:top w:val="single" w:sz="2" w:space="0" w:color="auto"/>
              <w:bottom w:val="single" w:sz="2" w:space="0" w:color="auto"/>
            </w:tcBorders>
            <w:shd w:val="clear" w:color="auto" w:fill="EEECE1"/>
          </w:tcPr>
          <w:p w:rsidR="00682F13" w:rsidRPr="00146349" w:rsidRDefault="00682F13" w:rsidP="00682F13">
            <w:pPr>
              <w:spacing w:before="60" w:after="60"/>
              <w:ind w:firstLine="0"/>
              <w:jc w:val="both"/>
              <w:rPr>
                <w:caps/>
                <w:sz w:val="24"/>
              </w:rPr>
            </w:pPr>
          </w:p>
        </w:tc>
        <w:tc>
          <w:tcPr>
            <w:tcW w:w="1083" w:type="dxa"/>
            <w:tcBorders>
              <w:top w:val="single" w:sz="2" w:space="0" w:color="auto"/>
              <w:bottom w:val="single" w:sz="2" w:space="0" w:color="auto"/>
            </w:tcBorders>
            <w:shd w:val="clear" w:color="auto" w:fill="EEECE1"/>
          </w:tcPr>
          <w:p w:rsidR="00682F13" w:rsidRPr="0045364D" w:rsidRDefault="00682F13" w:rsidP="00682F13">
            <w:pPr>
              <w:spacing w:before="60" w:after="60"/>
              <w:ind w:firstLine="0"/>
              <w:jc w:val="both"/>
              <w:rPr>
                <w:sz w:val="24"/>
              </w:rPr>
            </w:pPr>
            <w:r w:rsidRPr="0045364D">
              <w:rPr>
                <w:sz w:val="24"/>
              </w:rPr>
              <w:t>Fra</w:t>
            </w:r>
            <w:r w:rsidRPr="0045364D">
              <w:rPr>
                <w:sz w:val="24"/>
              </w:rPr>
              <w:t>n</w:t>
            </w:r>
            <w:r w:rsidRPr="0045364D">
              <w:rPr>
                <w:sz w:val="24"/>
              </w:rPr>
              <w:t>çais</w:t>
            </w:r>
            <w:r w:rsidRPr="0045364D">
              <w:rPr>
                <w:sz w:val="24"/>
              </w:rPr>
              <w:br/>
              <w:t>la</w:t>
            </w:r>
            <w:r w:rsidRPr="0045364D">
              <w:rPr>
                <w:sz w:val="24"/>
              </w:rPr>
              <w:t>n</w:t>
            </w:r>
            <w:r w:rsidRPr="0045364D">
              <w:rPr>
                <w:sz w:val="24"/>
              </w:rPr>
              <w:t>gue</w:t>
            </w:r>
            <w:r w:rsidRPr="0045364D">
              <w:rPr>
                <w:sz w:val="24"/>
              </w:rPr>
              <w:br/>
              <w:t>de tr</w:t>
            </w:r>
            <w:r w:rsidRPr="0045364D">
              <w:rPr>
                <w:sz w:val="24"/>
              </w:rPr>
              <w:t>a</w:t>
            </w:r>
            <w:r w:rsidRPr="0045364D">
              <w:rPr>
                <w:sz w:val="24"/>
              </w:rPr>
              <w:t>vail</w:t>
            </w:r>
          </w:p>
        </w:tc>
        <w:tc>
          <w:tcPr>
            <w:tcW w:w="1084" w:type="dxa"/>
            <w:tcBorders>
              <w:top w:val="single" w:sz="2" w:space="0" w:color="auto"/>
              <w:bottom w:val="single" w:sz="2" w:space="0" w:color="auto"/>
            </w:tcBorders>
            <w:shd w:val="clear" w:color="auto" w:fill="EEECE1"/>
          </w:tcPr>
          <w:p w:rsidR="00682F13" w:rsidRPr="0045364D" w:rsidRDefault="00682F13" w:rsidP="00682F13">
            <w:pPr>
              <w:spacing w:before="60" w:after="60"/>
              <w:ind w:firstLine="0"/>
              <w:jc w:val="both"/>
              <w:rPr>
                <w:sz w:val="24"/>
              </w:rPr>
            </w:pPr>
            <w:r w:rsidRPr="0045364D">
              <w:rPr>
                <w:sz w:val="24"/>
              </w:rPr>
              <w:t>Francis</w:t>
            </w:r>
            <w:r w:rsidRPr="0045364D">
              <w:rPr>
                <w:sz w:val="24"/>
              </w:rPr>
              <w:t>a</w:t>
            </w:r>
            <w:r w:rsidRPr="0045364D">
              <w:rPr>
                <w:sz w:val="24"/>
              </w:rPr>
              <w:t>tion</w:t>
            </w:r>
            <w:r w:rsidRPr="0045364D">
              <w:rPr>
                <w:sz w:val="24"/>
              </w:rPr>
              <w:br/>
              <w:t>des</w:t>
            </w:r>
            <w:r w:rsidRPr="0045364D">
              <w:rPr>
                <w:sz w:val="24"/>
              </w:rPr>
              <w:br/>
              <w:t>imm</w:t>
            </w:r>
            <w:r w:rsidRPr="0045364D">
              <w:rPr>
                <w:sz w:val="24"/>
              </w:rPr>
              <w:t>i</w:t>
            </w:r>
            <w:r w:rsidRPr="0045364D">
              <w:rPr>
                <w:sz w:val="24"/>
              </w:rPr>
              <w:t>grants</w:t>
            </w:r>
            <w:r w:rsidRPr="0045364D">
              <w:rPr>
                <w:sz w:val="24"/>
              </w:rPr>
              <w:br/>
              <w:t>par l’école</w:t>
            </w:r>
          </w:p>
        </w:tc>
        <w:tc>
          <w:tcPr>
            <w:tcW w:w="1083" w:type="dxa"/>
            <w:tcBorders>
              <w:top w:val="single" w:sz="2" w:space="0" w:color="auto"/>
              <w:bottom w:val="single" w:sz="2" w:space="0" w:color="auto"/>
            </w:tcBorders>
            <w:shd w:val="clear" w:color="auto" w:fill="EEECE1"/>
          </w:tcPr>
          <w:p w:rsidR="00682F13" w:rsidRPr="0045364D" w:rsidRDefault="00682F13" w:rsidP="00682F13">
            <w:pPr>
              <w:spacing w:before="60" w:after="60"/>
              <w:ind w:firstLine="0"/>
              <w:jc w:val="both"/>
              <w:rPr>
                <w:sz w:val="24"/>
              </w:rPr>
            </w:pPr>
            <w:r w:rsidRPr="0045364D">
              <w:rPr>
                <w:sz w:val="24"/>
              </w:rPr>
              <w:t>Fra</w:t>
            </w:r>
            <w:r w:rsidRPr="0045364D">
              <w:rPr>
                <w:sz w:val="24"/>
              </w:rPr>
              <w:t>n</w:t>
            </w:r>
            <w:r w:rsidRPr="0045364D">
              <w:rPr>
                <w:sz w:val="24"/>
              </w:rPr>
              <w:t>çais</w:t>
            </w:r>
            <w:r w:rsidRPr="0045364D">
              <w:rPr>
                <w:sz w:val="24"/>
              </w:rPr>
              <w:br/>
              <w:t>langue</w:t>
            </w:r>
            <w:r w:rsidRPr="0045364D">
              <w:rPr>
                <w:sz w:val="24"/>
              </w:rPr>
              <w:br/>
              <w:t>d’accueil</w:t>
            </w:r>
            <w:r w:rsidRPr="0045364D">
              <w:rPr>
                <w:sz w:val="24"/>
              </w:rPr>
              <w:br/>
              <w:t>dans les</w:t>
            </w:r>
            <w:r w:rsidRPr="0045364D">
              <w:rPr>
                <w:sz w:val="24"/>
              </w:rPr>
              <w:br/>
              <w:t>comme</w:t>
            </w:r>
            <w:r w:rsidRPr="0045364D">
              <w:rPr>
                <w:sz w:val="24"/>
              </w:rPr>
              <w:t>r</w:t>
            </w:r>
            <w:r w:rsidRPr="0045364D">
              <w:rPr>
                <w:sz w:val="24"/>
              </w:rPr>
              <w:t>ces</w:t>
            </w:r>
          </w:p>
        </w:tc>
        <w:tc>
          <w:tcPr>
            <w:tcW w:w="1084" w:type="dxa"/>
            <w:tcBorders>
              <w:top w:val="single" w:sz="2" w:space="0" w:color="auto"/>
              <w:bottom w:val="single" w:sz="2" w:space="0" w:color="auto"/>
            </w:tcBorders>
            <w:shd w:val="clear" w:color="auto" w:fill="EEECE1"/>
          </w:tcPr>
          <w:p w:rsidR="00682F13" w:rsidRPr="0045364D" w:rsidRDefault="00682F13" w:rsidP="00682F13">
            <w:pPr>
              <w:spacing w:before="60" w:after="60"/>
              <w:ind w:firstLine="0"/>
              <w:jc w:val="both"/>
              <w:rPr>
                <w:sz w:val="24"/>
              </w:rPr>
            </w:pPr>
            <w:r w:rsidRPr="0045364D">
              <w:rPr>
                <w:sz w:val="24"/>
              </w:rPr>
              <w:t>Affich</w:t>
            </w:r>
            <w:r w:rsidRPr="0045364D">
              <w:rPr>
                <w:sz w:val="24"/>
              </w:rPr>
              <w:t>a</w:t>
            </w:r>
            <w:r w:rsidRPr="0045364D">
              <w:rPr>
                <w:sz w:val="24"/>
              </w:rPr>
              <w:t>ge</w:t>
            </w:r>
            <w:r w:rsidRPr="0045364D">
              <w:rPr>
                <w:sz w:val="24"/>
              </w:rPr>
              <w:br/>
              <w:t>unili</w:t>
            </w:r>
            <w:r w:rsidRPr="0045364D">
              <w:rPr>
                <w:sz w:val="24"/>
              </w:rPr>
              <w:t>n</w:t>
            </w:r>
            <w:r w:rsidRPr="0045364D">
              <w:rPr>
                <w:sz w:val="24"/>
              </w:rPr>
              <w:t>gue</w:t>
            </w:r>
            <w:r w:rsidRPr="0045364D">
              <w:rPr>
                <w:sz w:val="24"/>
              </w:rPr>
              <w:br/>
              <w:t>fra</w:t>
            </w:r>
            <w:r w:rsidRPr="0045364D">
              <w:rPr>
                <w:sz w:val="24"/>
              </w:rPr>
              <w:t>n</w:t>
            </w:r>
            <w:r w:rsidRPr="0045364D">
              <w:rPr>
                <w:sz w:val="24"/>
              </w:rPr>
              <w:t>çais</w:t>
            </w:r>
          </w:p>
        </w:tc>
        <w:tc>
          <w:tcPr>
            <w:tcW w:w="1084" w:type="dxa"/>
            <w:tcBorders>
              <w:top w:val="single" w:sz="2" w:space="0" w:color="auto"/>
              <w:bottom w:val="single" w:sz="2" w:space="0" w:color="auto"/>
            </w:tcBorders>
            <w:shd w:val="clear" w:color="auto" w:fill="EEECE1"/>
          </w:tcPr>
          <w:p w:rsidR="00682F13" w:rsidRPr="0045364D" w:rsidRDefault="00682F13" w:rsidP="00682F13">
            <w:pPr>
              <w:spacing w:before="60" w:after="60"/>
              <w:ind w:firstLine="0"/>
              <w:jc w:val="both"/>
              <w:rPr>
                <w:sz w:val="24"/>
              </w:rPr>
            </w:pPr>
            <w:r w:rsidRPr="0045364D">
              <w:rPr>
                <w:sz w:val="24"/>
              </w:rPr>
              <w:t>Tous</w:t>
            </w:r>
            <w:r w:rsidRPr="0045364D">
              <w:rPr>
                <w:sz w:val="24"/>
              </w:rPr>
              <w:br/>
              <w:t>égal</w:t>
            </w:r>
            <w:r w:rsidRPr="0045364D">
              <w:rPr>
                <w:sz w:val="24"/>
              </w:rPr>
              <w:t>e</w:t>
            </w:r>
            <w:r w:rsidRPr="0045364D">
              <w:rPr>
                <w:sz w:val="24"/>
              </w:rPr>
              <w:t>ment</w:t>
            </w:r>
          </w:p>
        </w:tc>
        <w:tc>
          <w:tcPr>
            <w:tcW w:w="990" w:type="dxa"/>
            <w:tcBorders>
              <w:top w:val="single" w:sz="2" w:space="0" w:color="auto"/>
              <w:bottom w:val="single" w:sz="2" w:space="0" w:color="auto"/>
            </w:tcBorders>
            <w:shd w:val="clear" w:color="auto" w:fill="EEECE1"/>
          </w:tcPr>
          <w:p w:rsidR="00682F13" w:rsidRPr="0045364D" w:rsidRDefault="00682F13" w:rsidP="00682F13">
            <w:pPr>
              <w:spacing w:before="60" w:after="60"/>
              <w:ind w:firstLine="0"/>
              <w:jc w:val="both"/>
              <w:rPr>
                <w:sz w:val="24"/>
              </w:rPr>
            </w:pPr>
            <w:r w:rsidRPr="0045364D">
              <w:rPr>
                <w:sz w:val="24"/>
              </w:rPr>
              <w:t>A</w:t>
            </w:r>
            <w:r w:rsidRPr="0045364D">
              <w:rPr>
                <w:sz w:val="24"/>
              </w:rPr>
              <w:t>u</w:t>
            </w:r>
            <w:r w:rsidRPr="0045364D">
              <w:rPr>
                <w:sz w:val="24"/>
              </w:rPr>
              <w:t>cun</w:t>
            </w:r>
          </w:p>
        </w:tc>
      </w:tr>
      <w:tr w:rsidR="00682F13" w:rsidRPr="00083CDC">
        <w:tblPrEx>
          <w:tblCellMar>
            <w:top w:w="0" w:type="dxa"/>
            <w:bottom w:w="0" w:type="dxa"/>
          </w:tblCellMar>
        </w:tblPrEx>
        <w:tc>
          <w:tcPr>
            <w:tcW w:w="2610" w:type="dxa"/>
            <w:tcBorders>
              <w:top w:val="single" w:sz="2" w:space="0" w:color="auto"/>
            </w:tcBorders>
          </w:tcPr>
          <w:p w:rsidR="00682F13" w:rsidRPr="0045364D" w:rsidRDefault="00682F13" w:rsidP="00682F13">
            <w:pPr>
              <w:spacing w:before="60" w:after="60"/>
              <w:ind w:firstLine="0"/>
              <w:jc w:val="both"/>
              <w:rPr>
                <w:sz w:val="24"/>
              </w:rPr>
            </w:pPr>
            <w:r w:rsidRPr="0045364D">
              <w:rPr>
                <w:b/>
                <w:sz w:val="24"/>
              </w:rPr>
              <w:t>Q8</w:t>
            </w:r>
            <w:r w:rsidRPr="0045364D">
              <w:rPr>
                <w:b/>
                <w:sz w:val="24"/>
              </w:rPr>
              <w:br/>
            </w:r>
            <w:r w:rsidRPr="0045364D">
              <w:rPr>
                <w:sz w:val="24"/>
              </w:rPr>
              <w:t>… aux rel</w:t>
            </w:r>
            <w:r w:rsidRPr="0045364D">
              <w:rPr>
                <w:sz w:val="24"/>
              </w:rPr>
              <w:t>a</w:t>
            </w:r>
            <w:r w:rsidRPr="0045364D">
              <w:rPr>
                <w:sz w:val="24"/>
              </w:rPr>
              <w:t>tions</w:t>
            </w:r>
            <w:r w:rsidRPr="0045364D">
              <w:rPr>
                <w:sz w:val="24"/>
              </w:rPr>
              <w:br/>
              <w:t>entre franc</w:t>
            </w:r>
            <w:r w:rsidRPr="0045364D">
              <w:rPr>
                <w:sz w:val="24"/>
              </w:rPr>
              <w:t>o</w:t>
            </w:r>
            <w:r w:rsidRPr="0045364D">
              <w:rPr>
                <w:sz w:val="24"/>
              </w:rPr>
              <w:t>phones</w:t>
            </w:r>
            <w:r w:rsidRPr="0045364D">
              <w:rPr>
                <w:sz w:val="24"/>
              </w:rPr>
              <w:br/>
              <w:t>et angloph</w:t>
            </w:r>
            <w:r w:rsidRPr="0045364D">
              <w:rPr>
                <w:sz w:val="24"/>
              </w:rPr>
              <w:t>o</w:t>
            </w:r>
            <w:r w:rsidRPr="0045364D">
              <w:rPr>
                <w:sz w:val="24"/>
              </w:rPr>
              <w:t>nes</w:t>
            </w:r>
          </w:p>
        </w:tc>
        <w:tc>
          <w:tcPr>
            <w:tcW w:w="522" w:type="dxa"/>
            <w:tcBorders>
              <w:top w:val="single" w:sz="2" w:space="0" w:color="auto"/>
            </w:tcBorders>
            <w:vAlign w:val="center"/>
          </w:tcPr>
          <w:p w:rsidR="00682F13" w:rsidRPr="00146349" w:rsidRDefault="00682F13" w:rsidP="00682F13">
            <w:pPr>
              <w:spacing w:before="60" w:after="60"/>
              <w:ind w:firstLine="0"/>
              <w:jc w:val="both"/>
              <w:rPr>
                <w:caps/>
                <w:sz w:val="24"/>
              </w:rPr>
            </w:pPr>
            <w:r w:rsidRPr="00146349">
              <w:rPr>
                <w:caps/>
                <w:sz w:val="24"/>
              </w:rPr>
              <w:t>f</w:t>
            </w:r>
            <w:r w:rsidRPr="00146349">
              <w:rPr>
                <w:caps/>
                <w:sz w:val="24"/>
              </w:rPr>
              <w:br/>
              <w:t>nf</w:t>
            </w:r>
          </w:p>
        </w:tc>
        <w:tc>
          <w:tcPr>
            <w:tcW w:w="1083" w:type="dxa"/>
            <w:tcBorders>
              <w:top w:val="single" w:sz="2" w:space="0" w:color="auto"/>
            </w:tcBorders>
            <w:vAlign w:val="center"/>
          </w:tcPr>
          <w:p w:rsidR="00682F13" w:rsidRPr="0045364D" w:rsidRDefault="00682F13" w:rsidP="00682F13">
            <w:pPr>
              <w:spacing w:before="60" w:after="60"/>
              <w:ind w:firstLine="0"/>
              <w:jc w:val="both"/>
              <w:rPr>
                <w:sz w:val="24"/>
              </w:rPr>
            </w:pPr>
            <w:r w:rsidRPr="0045364D">
              <w:rPr>
                <w:sz w:val="24"/>
              </w:rPr>
              <w:t>17 %</w:t>
            </w:r>
            <w:r w:rsidRPr="0045364D">
              <w:rPr>
                <w:sz w:val="24"/>
              </w:rPr>
              <w:br/>
              <w:t>21 %</w:t>
            </w:r>
          </w:p>
        </w:tc>
        <w:tc>
          <w:tcPr>
            <w:tcW w:w="1084" w:type="dxa"/>
            <w:tcBorders>
              <w:top w:val="single" w:sz="2" w:space="0" w:color="auto"/>
            </w:tcBorders>
            <w:vAlign w:val="center"/>
          </w:tcPr>
          <w:p w:rsidR="00682F13" w:rsidRPr="0045364D" w:rsidRDefault="00682F13" w:rsidP="00682F13">
            <w:pPr>
              <w:spacing w:before="60" w:after="60"/>
              <w:ind w:firstLine="0"/>
              <w:jc w:val="both"/>
              <w:rPr>
                <w:sz w:val="24"/>
              </w:rPr>
            </w:pPr>
            <w:r w:rsidRPr="0045364D">
              <w:rPr>
                <w:sz w:val="24"/>
              </w:rPr>
              <w:t>7 %</w:t>
            </w:r>
            <w:r w:rsidRPr="0045364D">
              <w:rPr>
                <w:sz w:val="24"/>
              </w:rPr>
              <w:br/>
              <w:t>8 %</w:t>
            </w:r>
          </w:p>
        </w:tc>
        <w:tc>
          <w:tcPr>
            <w:tcW w:w="1083" w:type="dxa"/>
            <w:tcBorders>
              <w:top w:val="single" w:sz="2" w:space="0" w:color="auto"/>
            </w:tcBorders>
            <w:vAlign w:val="center"/>
          </w:tcPr>
          <w:p w:rsidR="00682F13" w:rsidRPr="0045364D" w:rsidRDefault="00682F13" w:rsidP="00682F13">
            <w:pPr>
              <w:spacing w:before="60" w:after="60"/>
              <w:ind w:firstLine="0"/>
              <w:jc w:val="both"/>
              <w:rPr>
                <w:sz w:val="24"/>
              </w:rPr>
            </w:pPr>
            <w:r w:rsidRPr="0045364D">
              <w:rPr>
                <w:sz w:val="24"/>
              </w:rPr>
              <w:t>12 %</w:t>
            </w:r>
            <w:r w:rsidRPr="0045364D">
              <w:rPr>
                <w:sz w:val="24"/>
              </w:rPr>
              <w:br/>
              <w:t>10 %</w:t>
            </w:r>
          </w:p>
        </w:tc>
        <w:tc>
          <w:tcPr>
            <w:tcW w:w="1084" w:type="dxa"/>
            <w:tcBorders>
              <w:top w:val="single" w:sz="2" w:space="0" w:color="auto"/>
            </w:tcBorders>
            <w:vAlign w:val="center"/>
          </w:tcPr>
          <w:p w:rsidR="00682F13" w:rsidRPr="0045364D" w:rsidRDefault="00682F13" w:rsidP="00682F13">
            <w:pPr>
              <w:spacing w:before="60" w:after="60"/>
              <w:ind w:firstLine="0"/>
              <w:jc w:val="both"/>
              <w:rPr>
                <w:sz w:val="24"/>
              </w:rPr>
            </w:pPr>
            <w:r w:rsidRPr="0045364D">
              <w:rPr>
                <w:sz w:val="24"/>
              </w:rPr>
              <w:t>44 %</w:t>
            </w:r>
            <w:r w:rsidRPr="0045364D">
              <w:rPr>
                <w:sz w:val="24"/>
              </w:rPr>
              <w:br/>
              <w:t>41 %</w:t>
            </w:r>
          </w:p>
        </w:tc>
        <w:tc>
          <w:tcPr>
            <w:tcW w:w="1084" w:type="dxa"/>
            <w:tcBorders>
              <w:top w:val="single" w:sz="2" w:space="0" w:color="auto"/>
            </w:tcBorders>
            <w:vAlign w:val="center"/>
          </w:tcPr>
          <w:p w:rsidR="00682F13" w:rsidRPr="0045364D" w:rsidRDefault="00682F13" w:rsidP="00682F13">
            <w:pPr>
              <w:spacing w:before="60" w:after="60"/>
              <w:ind w:firstLine="0"/>
              <w:jc w:val="both"/>
              <w:rPr>
                <w:sz w:val="24"/>
              </w:rPr>
            </w:pPr>
            <w:r w:rsidRPr="0045364D">
              <w:rPr>
                <w:sz w:val="24"/>
              </w:rPr>
              <w:t>6 %</w:t>
            </w:r>
            <w:r w:rsidRPr="0045364D">
              <w:rPr>
                <w:sz w:val="24"/>
              </w:rPr>
              <w:br/>
              <w:t>12 %</w:t>
            </w:r>
          </w:p>
        </w:tc>
        <w:tc>
          <w:tcPr>
            <w:tcW w:w="990" w:type="dxa"/>
            <w:tcBorders>
              <w:top w:val="single" w:sz="2" w:space="0" w:color="auto"/>
            </w:tcBorders>
            <w:vAlign w:val="center"/>
          </w:tcPr>
          <w:p w:rsidR="00682F13" w:rsidRPr="0045364D" w:rsidRDefault="00682F13" w:rsidP="00682F13">
            <w:pPr>
              <w:spacing w:before="60" w:after="60"/>
              <w:ind w:firstLine="0"/>
              <w:jc w:val="both"/>
              <w:rPr>
                <w:sz w:val="24"/>
              </w:rPr>
            </w:pPr>
            <w:r w:rsidRPr="0045364D">
              <w:rPr>
                <w:sz w:val="24"/>
              </w:rPr>
              <w:t>7 %</w:t>
            </w:r>
            <w:r w:rsidRPr="0045364D">
              <w:rPr>
                <w:sz w:val="24"/>
              </w:rPr>
              <w:br/>
              <w:t>5 %</w:t>
            </w:r>
          </w:p>
        </w:tc>
      </w:tr>
      <w:tr w:rsidR="00682F13" w:rsidRPr="00083CDC">
        <w:tblPrEx>
          <w:tblCellMar>
            <w:top w:w="0" w:type="dxa"/>
            <w:bottom w:w="0" w:type="dxa"/>
          </w:tblCellMar>
        </w:tblPrEx>
        <w:tc>
          <w:tcPr>
            <w:tcW w:w="2610" w:type="dxa"/>
          </w:tcPr>
          <w:p w:rsidR="00682F13" w:rsidRPr="0045364D" w:rsidRDefault="00682F13" w:rsidP="00682F13">
            <w:pPr>
              <w:spacing w:before="60" w:after="60"/>
              <w:ind w:firstLine="0"/>
              <w:jc w:val="both"/>
              <w:rPr>
                <w:b/>
                <w:sz w:val="24"/>
              </w:rPr>
            </w:pPr>
            <w:r w:rsidRPr="0045364D">
              <w:rPr>
                <w:b/>
                <w:sz w:val="24"/>
              </w:rPr>
              <w:t>Q9</w:t>
            </w:r>
            <w:r w:rsidRPr="0045364D">
              <w:rPr>
                <w:b/>
                <w:sz w:val="24"/>
              </w:rPr>
              <w:br/>
            </w:r>
            <w:r w:rsidRPr="0045364D">
              <w:rPr>
                <w:sz w:val="24"/>
              </w:rPr>
              <w:t>… aux rel</w:t>
            </w:r>
            <w:r w:rsidRPr="0045364D">
              <w:rPr>
                <w:sz w:val="24"/>
              </w:rPr>
              <w:t>a</w:t>
            </w:r>
            <w:r w:rsidRPr="0045364D">
              <w:rPr>
                <w:sz w:val="24"/>
              </w:rPr>
              <w:t>tions</w:t>
            </w:r>
            <w:r w:rsidRPr="0045364D">
              <w:rPr>
                <w:sz w:val="24"/>
              </w:rPr>
              <w:br/>
              <w:t>entre</w:t>
            </w:r>
            <w:r>
              <w:rPr>
                <w:sz w:val="24"/>
              </w:rPr>
              <w:t xml:space="preserve"> </w:t>
            </w:r>
            <w:r w:rsidRPr="0045364D">
              <w:rPr>
                <w:sz w:val="24"/>
              </w:rPr>
              <w:t>franc</w:t>
            </w:r>
            <w:r w:rsidRPr="0045364D">
              <w:rPr>
                <w:sz w:val="24"/>
              </w:rPr>
              <w:t>o</w:t>
            </w:r>
            <w:r w:rsidRPr="0045364D">
              <w:rPr>
                <w:sz w:val="24"/>
              </w:rPr>
              <w:t>phones</w:t>
            </w:r>
            <w:r w:rsidRPr="0045364D">
              <w:rPr>
                <w:sz w:val="24"/>
              </w:rPr>
              <w:br/>
              <w:t>et imm</w:t>
            </w:r>
            <w:r w:rsidRPr="0045364D">
              <w:rPr>
                <w:sz w:val="24"/>
              </w:rPr>
              <w:t>i</w:t>
            </w:r>
            <w:r w:rsidRPr="0045364D">
              <w:rPr>
                <w:sz w:val="24"/>
              </w:rPr>
              <w:t>grants</w:t>
            </w:r>
          </w:p>
        </w:tc>
        <w:tc>
          <w:tcPr>
            <w:tcW w:w="522" w:type="dxa"/>
            <w:vAlign w:val="center"/>
          </w:tcPr>
          <w:p w:rsidR="00682F13" w:rsidRPr="00146349" w:rsidRDefault="00682F13" w:rsidP="00682F13">
            <w:pPr>
              <w:spacing w:before="60" w:after="60"/>
              <w:ind w:firstLine="0"/>
              <w:jc w:val="both"/>
              <w:rPr>
                <w:caps/>
                <w:sz w:val="24"/>
              </w:rPr>
            </w:pPr>
            <w:r w:rsidRPr="00146349">
              <w:rPr>
                <w:caps/>
                <w:sz w:val="24"/>
              </w:rPr>
              <w:t>f</w:t>
            </w:r>
            <w:r w:rsidRPr="00146349">
              <w:rPr>
                <w:caps/>
                <w:sz w:val="24"/>
              </w:rPr>
              <w:br/>
              <w:t>nf</w:t>
            </w:r>
          </w:p>
        </w:tc>
        <w:tc>
          <w:tcPr>
            <w:tcW w:w="1083" w:type="dxa"/>
            <w:vAlign w:val="center"/>
          </w:tcPr>
          <w:p w:rsidR="00682F13" w:rsidRPr="0045364D" w:rsidRDefault="00682F13" w:rsidP="00682F13">
            <w:pPr>
              <w:spacing w:before="60" w:after="60"/>
              <w:ind w:firstLine="0"/>
              <w:jc w:val="both"/>
              <w:rPr>
                <w:sz w:val="24"/>
              </w:rPr>
            </w:pPr>
            <w:r w:rsidRPr="0045364D">
              <w:rPr>
                <w:sz w:val="24"/>
              </w:rPr>
              <w:t>18 %</w:t>
            </w:r>
            <w:r w:rsidRPr="0045364D">
              <w:rPr>
                <w:sz w:val="24"/>
              </w:rPr>
              <w:br/>
              <w:t>17 %</w:t>
            </w:r>
          </w:p>
        </w:tc>
        <w:tc>
          <w:tcPr>
            <w:tcW w:w="1084" w:type="dxa"/>
            <w:vAlign w:val="center"/>
          </w:tcPr>
          <w:p w:rsidR="00682F13" w:rsidRPr="0045364D" w:rsidRDefault="00682F13" w:rsidP="00682F13">
            <w:pPr>
              <w:spacing w:before="60" w:after="60"/>
              <w:ind w:firstLine="0"/>
              <w:jc w:val="both"/>
              <w:rPr>
                <w:sz w:val="24"/>
              </w:rPr>
            </w:pPr>
            <w:r w:rsidRPr="0045364D">
              <w:rPr>
                <w:sz w:val="24"/>
              </w:rPr>
              <w:t>24 %</w:t>
            </w:r>
            <w:r w:rsidRPr="0045364D">
              <w:rPr>
                <w:sz w:val="24"/>
              </w:rPr>
              <w:br/>
              <w:t>28 %</w:t>
            </w:r>
          </w:p>
        </w:tc>
        <w:tc>
          <w:tcPr>
            <w:tcW w:w="1083" w:type="dxa"/>
            <w:vAlign w:val="center"/>
          </w:tcPr>
          <w:p w:rsidR="00682F13" w:rsidRPr="0045364D" w:rsidRDefault="00682F13" w:rsidP="00682F13">
            <w:pPr>
              <w:spacing w:before="60" w:after="60"/>
              <w:ind w:firstLine="0"/>
              <w:jc w:val="both"/>
              <w:rPr>
                <w:sz w:val="24"/>
              </w:rPr>
            </w:pPr>
            <w:r w:rsidRPr="0045364D">
              <w:rPr>
                <w:sz w:val="24"/>
              </w:rPr>
              <w:t>12 %</w:t>
            </w:r>
            <w:r w:rsidRPr="0045364D">
              <w:rPr>
                <w:sz w:val="24"/>
              </w:rPr>
              <w:br/>
              <w:t>11 %</w:t>
            </w:r>
          </w:p>
        </w:tc>
        <w:tc>
          <w:tcPr>
            <w:tcW w:w="1084" w:type="dxa"/>
            <w:vAlign w:val="center"/>
          </w:tcPr>
          <w:p w:rsidR="00682F13" w:rsidRPr="0045364D" w:rsidRDefault="00682F13" w:rsidP="00682F13">
            <w:pPr>
              <w:spacing w:before="60" w:after="60"/>
              <w:ind w:firstLine="0"/>
              <w:jc w:val="both"/>
              <w:rPr>
                <w:sz w:val="24"/>
              </w:rPr>
            </w:pPr>
            <w:r w:rsidRPr="0045364D">
              <w:rPr>
                <w:sz w:val="24"/>
              </w:rPr>
              <w:t>16 %</w:t>
            </w:r>
            <w:r w:rsidRPr="0045364D">
              <w:rPr>
                <w:sz w:val="24"/>
              </w:rPr>
              <w:br/>
              <w:t>18 %</w:t>
            </w:r>
          </w:p>
        </w:tc>
        <w:tc>
          <w:tcPr>
            <w:tcW w:w="1084" w:type="dxa"/>
            <w:vAlign w:val="center"/>
          </w:tcPr>
          <w:p w:rsidR="00682F13" w:rsidRPr="0045364D" w:rsidRDefault="00682F13" w:rsidP="00682F13">
            <w:pPr>
              <w:spacing w:before="60" w:after="60"/>
              <w:ind w:firstLine="0"/>
              <w:jc w:val="both"/>
              <w:rPr>
                <w:sz w:val="24"/>
              </w:rPr>
            </w:pPr>
            <w:r w:rsidRPr="0045364D">
              <w:rPr>
                <w:sz w:val="24"/>
              </w:rPr>
              <w:t>8 %</w:t>
            </w:r>
            <w:r w:rsidRPr="0045364D">
              <w:rPr>
                <w:sz w:val="24"/>
              </w:rPr>
              <w:br/>
              <w:t>10 %</w:t>
            </w:r>
          </w:p>
        </w:tc>
        <w:tc>
          <w:tcPr>
            <w:tcW w:w="990" w:type="dxa"/>
            <w:vAlign w:val="center"/>
          </w:tcPr>
          <w:p w:rsidR="00682F13" w:rsidRPr="0045364D" w:rsidRDefault="00682F13" w:rsidP="00682F13">
            <w:pPr>
              <w:spacing w:before="60" w:after="60"/>
              <w:ind w:firstLine="0"/>
              <w:jc w:val="both"/>
              <w:rPr>
                <w:sz w:val="24"/>
              </w:rPr>
            </w:pPr>
            <w:r w:rsidRPr="0045364D">
              <w:rPr>
                <w:sz w:val="24"/>
              </w:rPr>
              <w:t>11 %</w:t>
            </w:r>
            <w:r w:rsidRPr="0045364D">
              <w:rPr>
                <w:sz w:val="24"/>
              </w:rPr>
              <w:br/>
              <w:t>9 %</w:t>
            </w:r>
          </w:p>
        </w:tc>
      </w:tr>
      <w:tr w:rsidR="00682F13" w:rsidRPr="00083CDC">
        <w:tblPrEx>
          <w:tblCellMar>
            <w:top w:w="0" w:type="dxa"/>
            <w:bottom w:w="0" w:type="dxa"/>
          </w:tblCellMar>
        </w:tblPrEx>
        <w:tc>
          <w:tcPr>
            <w:tcW w:w="2610" w:type="dxa"/>
          </w:tcPr>
          <w:p w:rsidR="00682F13" w:rsidRPr="0045364D" w:rsidRDefault="00682F13" w:rsidP="00682F13">
            <w:pPr>
              <w:spacing w:before="60" w:after="60"/>
              <w:ind w:firstLine="0"/>
              <w:jc w:val="both"/>
              <w:rPr>
                <w:b/>
                <w:sz w:val="24"/>
              </w:rPr>
            </w:pPr>
            <w:r w:rsidRPr="0045364D">
              <w:rPr>
                <w:b/>
                <w:sz w:val="24"/>
              </w:rPr>
              <w:t>Q10</w:t>
            </w:r>
            <w:r w:rsidRPr="0045364D">
              <w:rPr>
                <w:b/>
                <w:sz w:val="24"/>
              </w:rPr>
              <w:br/>
            </w:r>
            <w:r w:rsidRPr="0045364D">
              <w:rPr>
                <w:sz w:val="24"/>
              </w:rPr>
              <w:t>… au</w:t>
            </w:r>
            <w:r>
              <w:rPr>
                <w:sz w:val="24"/>
              </w:rPr>
              <w:t xml:space="preserve"> </w:t>
            </w:r>
            <w:r w:rsidRPr="0045364D">
              <w:rPr>
                <w:sz w:val="24"/>
              </w:rPr>
              <w:t>développ</w:t>
            </w:r>
            <w:r w:rsidRPr="0045364D">
              <w:rPr>
                <w:sz w:val="24"/>
              </w:rPr>
              <w:t>e</w:t>
            </w:r>
            <w:r w:rsidRPr="0045364D">
              <w:rPr>
                <w:sz w:val="24"/>
              </w:rPr>
              <w:t>ment</w:t>
            </w:r>
            <w:r w:rsidRPr="0045364D">
              <w:rPr>
                <w:sz w:val="24"/>
              </w:rPr>
              <w:br/>
              <w:t>économique</w:t>
            </w:r>
            <w:r>
              <w:rPr>
                <w:sz w:val="24"/>
              </w:rPr>
              <w:t xml:space="preserve"> </w:t>
            </w:r>
            <w:r w:rsidRPr="0045364D">
              <w:rPr>
                <w:sz w:val="24"/>
              </w:rPr>
              <w:t>du Qu</w:t>
            </w:r>
            <w:r w:rsidRPr="0045364D">
              <w:rPr>
                <w:sz w:val="24"/>
              </w:rPr>
              <w:t>é</w:t>
            </w:r>
            <w:r w:rsidRPr="0045364D">
              <w:rPr>
                <w:sz w:val="24"/>
              </w:rPr>
              <w:t>bec</w:t>
            </w:r>
          </w:p>
        </w:tc>
        <w:tc>
          <w:tcPr>
            <w:tcW w:w="522" w:type="dxa"/>
            <w:vAlign w:val="center"/>
          </w:tcPr>
          <w:p w:rsidR="00682F13" w:rsidRPr="00146349" w:rsidRDefault="00682F13" w:rsidP="00682F13">
            <w:pPr>
              <w:spacing w:before="60" w:after="60"/>
              <w:ind w:firstLine="0"/>
              <w:jc w:val="both"/>
              <w:rPr>
                <w:caps/>
                <w:sz w:val="24"/>
              </w:rPr>
            </w:pPr>
            <w:r w:rsidRPr="00146349">
              <w:rPr>
                <w:caps/>
                <w:sz w:val="24"/>
              </w:rPr>
              <w:t>f</w:t>
            </w:r>
            <w:r w:rsidRPr="00146349">
              <w:rPr>
                <w:caps/>
                <w:sz w:val="24"/>
              </w:rPr>
              <w:br/>
              <w:t>nf</w:t>
            </w:r>
          </w:p>
        </w:tc>
        <w:tc>
          <w:tcPr>
            <w:tcW w:w="1083" w:type="dxa"/>
            <w:vAlign w:val="center"/>
          </w:tcPr>
          <w:p w:rsidR="00682F13" w:rsidRPr="0045364D" w:rsidRDefault="00682F13" w:rsidP="00682F13">
            <w:pPr>
              <w:spacing w:before="60" w:after="60"/>
              <w:ind w:firstLine="0"/>
              <w:jc w:val="both"/>
              <w:rPr>
                <w:sz w:val="24"/>
              </w:rPr>
            </w:pPr>
            <w:r w:rsidRPr="0045364D">
              <w:rPr>
                <w:sz w:val="24"/>
              </w:rPr>
              <w:t>15 %</w:t>
            </w:r>
            <w:r w:rsidRPr="0045364D">
              <w:rPr>
                <w:sz w:val="24"/>
              </w:rPr>
              <w:br/>
              <w:t>26 %</w:t>
            </w:r>
          </w:p>
        </w:tc>
        <w:tc>
          <w:tcPr>
            <w:tcW w:w="1084" w:type="dxa"/>
            <w:vAlign w:val="center"/>
          </w:tcPr>
          <w:p w:rsidR="00682F13" w:rsidRPr="0045364D" w:rsidRDefault="00682F13" w:rsidP="00682F13">
            <w:pPr>
              <w:spacing w:before="60" w:after="60"/>
              <w:ind w:firstLine="0"/>
              <w:jc w:val="both"/>
              <w:rPr>
                <w:sz w:val="24"/>
              </w:rPr>
            </w:pPr>
            <w:r w:rsidRPr="0045364D">
              <w:rPr>
                <w:sz w:val="24"/>
              </w:rPr>
              <w:t>9 %</w:t>
            </w:r>
            <w:r w:rsidRPr="0045364D">
              <w:rPr>
                <w:sz w:val="24"/>
              </w:rPr>
              <w:br/>
              <w:t>3 %</w:t>
            </w:r>
          </w:p>
        </w:tc>
        <w:tc>
          <w:tcPr>
            <w:tcW w:w="1083" w:type="dxa"/>
            <w:vAlign w:val="center"/>
          </w:tcPr>
          <w:p w:rsidR="00682F13" w:rsidRPr="0045364D" w:rsidRDefault="00682F13" w:rsidP="00682F13">
            <w:pPr>
              <w:spacing w:before="60" w:after="60"/>
              <w:ind w:firstLine="0"/>
              <w:jc w:val="both"/>
              <w:rPr>
                <w:sz w:val="24"/>
              </w:rPr>
            </w:pPr>
            <w:r w:rsidRPr="0045364D">
              <w:rPr>
                <w:sz w:val="24"/>
              </w:rPr>
              <w:t>10 %</w:t>
            </w:r>
            <w:r w:rsidRPr="0045364D">
              <w:rPr>
                <w:sz w:val="24"/>
              </w:rPr>
              <w:br/>
              <w:t>15 %</w:t>
            </w:r>
          </w:p>
        </w:tc>
        <w:tc>
          <w:tcPr>
            <w:tcW w:w="1084" w:type="dxa"/>
            <w:vAlign w:val="center"/>
          </w:tcPr>
          <w:p w:rsidR="00682F13" w:rsidRPr="0045364D" w:rsidRDefault="00682F13" w:rsidP="00682F13">
            <w:pPr>
              <w:spacing w:before="60" w:after="60"/>
              <w:ind w:firstLine="0"/>
              <w:jc w:val="both"/>
              <w:rPr>
                <w:sz w:val="24"/>
              </w:rPr>
            </w:pPr>
            <w:r w:rsidRPr="0045364D">
              <w:rPr>
                <w:sz w:val="24"/>
              </w:rPr>
              <w:t>28 %</w:t>
            </w:r>
            <w:r w:rsidRPr="0045364D">
              <w:rPr>
                <w:sz w:val="24"/>
              </w:rPr>
              <w:br/>
              <w:t>26 %</w:t>
            </w:r>
          </w:p>
        </w:tc>
        <w:tc>
          <w:tcPr>
            <w:tcW w:w="1084" w:type="dxa"/>
            <w:vAlign w:val="center"/>
          </w:tcPr>
          <w:p w:rsidR="00682F13" w:rsidRPr="0045364D" w:rsidRDefault="00682F13" w:rsidP="00682F13">
            <w:pPr>
              <w:spacing w:before="60" w:after="60"/>
              <w:ind w:firstLine="0"/>
              <w:jc w:val="both"/>
              <w:rPr>
                <w:sz w:val="24"/>
              </w:rPr>
            </w:pPr>
            <w:r w:rsidRPr="0045364D">
              <w:rPr>
                <w:sz w:val="24"/>
              </w:rPr>
              <w:t>5 %</w:t>
            </w:r>
            <w:r w:rsidRPr="0045364D">
              <w:rPr>
                <w:sz w:val="24"/>
              </w:rPr>
              <w:br/>
              <w:t>13 %</w:t>
            </w:r>
          </w:p>
        </w:tc>
        <w:tc>
          <w:tcPr>
            <w:tcW w:w="990" w:type="dxa"/>
            <w:vAlign w:val="center"/>
          </w:tcPr>
          <w:p w:rsidR="00682F13" w:rsidRPr="0045364D" w:rsidRDefault="00682F13" w:rsidP="00682F13">
            <w:pPr>
              <w:spacing w:before="60" w:after="60"/>
              <w:ind w:firstLine="0"/>
              <w:jc w:val="both"/>
              <w:rPr>
                <w:sz w:val="24"/>
              </w:rPr>
            </w:pPr>
            <w:r w:rsidRPr="0045364D">
              <w:rPr>
                <w:sz w:val="24"/>
              </w:rPr>
              <w:t>21 %</w:t>
            </w:r>
            <w:r w:rsidRPr="0045364D">
              <w:rPr>
                <w:sz w:val="24"/>
              </w:rPr>
              <w:br/>
              <w:t>8 %</w:t>
            </w:r>
          </w:p>
        </w:tc>
      </w:tr>
      <w:tr w:rsidR="00682F13" w:rsidRPr="00083CDC">
        <w:tblPrEx>
          <w:tblCellMar>
            <w:top w:w="0" w:type="dxa"/>
            <w:bottom w:w="0" w:type="dxa"/>
          </w:tblCellMar>
        </w:tblPrEx>
        <w:tc>
          <w:tcPr>
            <w:tcW w:w="2610" w:type="dxa"/>
          </w:tcPr>
          <w:p w:rsidR="00682F13" w:rsidRPr="0045364D" w:rsidRDefault="00682F13" w:rsidP="00682F13">
            <w:pPr>
              <w:spacing w:before="60" w:after="60"/>
              <w:ind w:firstLine="0"/>
              <w:jc w:val="both"/>
              <w:rPr>
                <w:b/>
                <w:sz w:val="24"/>
              </w:rPr>
            </w:pPr>
            <w:r w:rsidRPr="0045364D">
              <w:rPr>
                <w:b/>
                <w:sz w:val="24"/>
              </w:rPr>
              <w:t>Q11</w:t>
            </w:r>
            <w:r w:rsidRPr="0045364D">
              <w:rPr>
                <w:b/>
                <w:sz w:val="24"/>
              </w:rPr>
              <w:br/>
            </w:r>
            <w:r w:rsidRPr="0045364D">
              <w:rPr>
                <w:sz w:val="24"/>
              </w:rPr>
              <w:t>… à</w:t>
            </w:r>
            <w:r>
              <w:rPr>
                <w:sz w:val="24"/>
              </w:rPr>
              <w:t xml:space="preserve"> </w:t>
            </w:r>
            <w:r w:rsidRPr="0045364D">
              <w:rPr>
                <w:sz w:val="24"/>
              </w:rPr>
              <w:t>la réput</w:t>
            </w:r>
            <w:r w:rsidRPr="0045364D">
              <w:rPr>
                <w:sz w:val="24"/>
              </w:rPr>
              <w:t>a</w:t>
            </w:r>
            <w:r w:rsidRPr="0045364D">
              <w:rPr>
                <w:sz w:val="24"/>
              </w:rPr>
              <w:t>tion</w:t>
            </w:r>
            <w:r w:rsidRPr="0045364D">
              <w:rPr>
                <w:sz w:val="24"/>
              </w:rPr>
              <w:br/>
              <w:t>du Québec</w:t>
            </w:r>
            <w:r>
              <w:rPr>
                <w:sz w:val="24"/>
              </w:rPr>
              <w:t xml:space="preserve"> </w:t>
            </w:r>
            <w:r w:rsidRPr="0045364D">
              <w:rPr>
                <w:sz w:val="24"/>
              </w:rPr>
              <w:t>au Can</w:t>
            </w:r>
            <w:r w:rsidRPr="0045364D">
              <w:rPr>
                <w:sz w:val="24"/>
              </w:rPr>
              <w:t>a</w:t>
            </w:r>
            <w:r w:rsidRPr="0045364D">
              <w:rPr>
                <w:sz w:val="24"/>
              </w:rPr>
              <w:t>da</w:t>
            </w:r>
          </w:p>
        </w:tc>
        <w:tc>
          <w:tcPr>
            <w:tcW w:w="522" w:type="dxa"/>
            <w:vAlign w:val="center"/>
          </w:tcPr>
          <w:p w:rsidR="00682F13" w:rsidRPr="00146349" w:rsidRDefault="00682F13" w:rsidP="00682F13">
            <w:pPr>
              <w:spacing w:before="60" w:after="60"/>
              <w:ind w:firstLine="0"/>
              <w:jc w:val="both"/>
              <w:rPr>
                <w:caps/>
                <w:sz w:val="24"/>
              </w:rPr>
            </w:pPr>
            <w:r w:rsidRPr="00146349">
              <w:rPr>
                <w:caps/>
                <w:sz w:val="24"/>
              </w:rPr>
              <w:t>f</w:t>
            </w:r>
            <w:r w:rsidRPr="00146349">
              <w:rPr>
                <w:caps/>
                <w:sz w:val="24"/>
              </w:rPr>
              <w:br/>
              <w:t>nf</w:t>
            </w:r>
          </w:p>
        </w:tc>
        <w:tc>
          <w:tcPr>
            <w:tcW w:w="1083" w:type="dxa"/>
            <w:vAlign w:val="center"/>
          </w:tcPr>
          <w:p w:rsidR="00682F13" w:rsidRPr="0045364D" w:rsidRDefault="00682F13" w:rsidP="00682F13">
            <w:pPr>
              <w:spacing w:before="60" w:after="60"/>
              <w:ind w:firstLine="0"/>
              <w:jc w:val="both"/>
              <w:rPr>
                <w:sz w:val="24"/>
              </w:rPr>
            </w:pPr>
            <w:r w:rsidRPr="0045364D">
              <w:rPr>
                <w:sz w:val="24"/>
              </w:rPr>
              <w:t>14 %</w:t>
            </w:r>
            <w:r w:rsidRPr="0045364D">
              <w:rPr>
                <w:sz w:val="24"/>
              </w:rPr>
              <w:br/>
              <w:t>11 %</w:t>
            </w:r>
          </w:p>
        </w:tc>
        <w:tc>
          <w:tcPr>
            <w:tcW w:w="1084" w:type="dxa"/>
            <w:vAlign w:val="center"/>
          </w:tcPr>
          <w:p w:rsidR="00682F13" w:rsidRPr="0045364D" w:rsidRDefault="00682F13" w:rsidP="00682F13">
            <w:pPr>
              <w:spacing w:before="60" w:after="60"/>
              <w:ind w:firstLine="0"/>
              <w:jc w:val="both"/>
              <w:rPr>
                <w:sz w:val="24"/>
              </w:rPr>
            </w:pPr>
            <w:r w:rsidRPr="0045364D">
              <w:rPr>
                <w:sz w:val="24"/>
              </w:rPr>
              <w:t>10 %</w:t>
            </w:r>
            <w:r w:rsidRPr="0045364D">
              <w:rPr>
                <w:sz w:val="24"/>
              </w:rPr>
              <w:br/>
              <w:t>8 %</w:t>
            </w:r>
          </w:p>
        </w:tc>
        <w:tc>
          <w:tcPr>
            <w:tcW w:w="1083" w:type="dxa"/>
            <w:vAlign w:val="center"/>
          </w:tcPr>
          <w:p w:rsidR="00682F13" w:rsidRPr="0045364D" w:rsidRDefault="00682F13" w:rsidP="00682F13">
            <w:pPr>
              <w:spacing w:before="60" w:after="60"/>
              <w:ind w:firstLine="0"/>
              <w:jc w:val="both"/>
              <w:rPr>
                <w:sz w:val="24"/>
              </w:rPr>
            </w:pPr>
            <w:r w:rsidRPr="0045364D">
              <w:rPr>
                <w:sz w:val="24"/>
              </w:rPr>
              <w:t>9 %</w:t>
            </w:r>
            <w:r w:rsidRPr="0045364D">
              <w:rPr>
                <w:sz w:val="24"/>
              </w:rPr>
              <w:br/>
              <w:t>18 %</w:t>
            </w:r>
          </w:p>
        </w:tc>
        <w:tc>
          <w:tcPr>
            <w:tcW w:w="1084" w:type="dxa"/>
            <w:vAlign w:val="center"/>
          </w:tcPr>
          <w:p w:rsidR="00682F13" w:rsidRPr="0045364D" w:rsidRDefault="00682F13" w:rsidP="00682F13">
            <w:pPr>
              <w:spacing w:before="60" w:after="60"/>
              <w:ind w:firstLine="0"/>
              <w:jc w:val="both"/>
              <w:rPr>
                <w:sz w:val="24"/>
              </w:rPr>
            </w:pPr>
            <w:r w:rsidRPr="0045364D">
              <w:rPr>
                <w:sz w:val="24"/>
              </w:rPr>
              <w:t>39 %</w:t>
            </w:r>
            <w:r w:rsidRPr="0045364D">
              <w:rPr>
                <w:sz w:val="24"/>
              </w:rPr>
              <w:br/>
              <w:t>38 %</w:t>
            </w:r>
          </w:p>
        </w:tc>
        <w:tc>
          <w:tcPr>
            <w:tcW w:w="1084" w:type="dxa"/>
            <w:vAlign w:val="center"/>
          </w:tcPr>
          <w:p w:rsidR="00682F13" w:rsidRPr="0045364D" w:rsidRDefault="00682F13" w:rsidP="00682F13">
            <w:pPr>
              <w:spacing w:before="60" w:after="60"/>
              <w:ind w:firstLine="0"/>
              <w:jc w:val="both"/>
              <w:rPr>
                <w:sz w:val="24"/>
              </w:rPr>
            </w:pPr>
            <w:r w:rsidRPr="0045364D">
              <w:rPr>
                <w:sz w:val="24"/>
              </w:rPr>
              <w:t>8 %</w:t>
            </w:r>
            <w:r w:rsidRPr="0045364D">
              <w:rPr>
                <w:sz w:val="24"/>
              </w:rPr>
              <w:br/>
              <w:t>14 %</w:t>
            </w:r>
          </w:p>
        </w:tc>
        <w:tc>
          <w:tcPr>
            <w:tcW w:w="990" w:type="dxa"/>
            <w:vAlign w:val="center"/>
          </w:tcPr>
          <w:p w:rsidR="00682F13" w:rsidRPr="0045364D" w:rsidRDefault="00682F13" w:rsidP="00682F13">
            <w:pPr>
              <w:spacing w:before="60" w:after="60"/>
              <w:ind w:firstLine="0"/>
              <w:jc w:val="both"/>
              <w:rPr>
                <w:sz w:val="24"/>
              </w:rPr>
            </w:pPr>
            <w:r w:rsidRPr="0045364D">
              <w:rPr>
                <w:sz w:val="24"/>
              </w:rPr>
              <w:t>11 %</w:t>
            </w:r>
            <w:r w:rsidRPr="0045364D">
              <w:rPr>
                <w:sz w:val="24"/>
              </w:rPr>
              <w:br/>
              <w:t>7 %</w:t>
            </w:r>
          </w:p>
        </w:tc>
      </w:tr>
      <w:tr w:rsidR="00682F13" w:rsidRPr="00083CDC">
        <w:tblPrEx>
          <w:tblCellMar>
            <w:top w:w="0" w:type="dxa"/>
            <w:bottom w:w="0" w:type="dxa"/>
          </w:tblCellMar>
        </w:tblPrEx>
        <w:tc>
          <w:tcPr>
            <w:tcW w:w="2610" w:type="dxa"/>
          </w:tcPr>
          <w:p w:rsidR="00682F13" w:rsidRPr="0045364D" w:rsidRDefault="00682F13" w:rsidP="00682F13">
            <w:pPr>
              <w:spacing w:before="60" w:after="60"/>
              <w:ind w:firstLine="0"/>
              <w:jc w:val="both"/>
              <w:rPr>
                <w:b/>
                <w:sz w:val="24"/>
              </w:rPr>
            </w:pPr>
            <w:r w:rsidRPr="0045364D">
              <w:rPr>
                <w:b/>
                <w:sz w:val="24"/>
              </w:rPr>
              <w:t>Q12</w:t>
            </w:r>
            <w:r w:rsidRPr="0045364D">
              <w:rPr>
                <w:b/>
                <w:sz w:val="24"/>
              </w:rPr>
              <w:br/>
            </w:r>
            <w:r w:rsidRPr="0045364D">
              <w:rPr>
                <w:sz w:val="24"/>
              </w:rPr>
              <w:t>… à</w:t>
            </w:r>
            <w:r>
              <w:rPr>
                <w:sz w:val="24"/>
              </w:rPr>
              <w:t xml:space="preserve"> </w:t>
            </w:r>
            <w:r w:rsidRPr="0045364D">
              <w:rPr>
                <w:sz w:val="24"/>
              </w:rPr>
              <w:t>la réput</w:t>
            </w:r>
            <w:r w:rsidRPr="0045364D">
              <w:rPr>
                <w:sz w:val="24"/>
              </w:rPr>
              <w:t>a</w:t>
            </w:r>
            <w:r w:rsidRPr="0045364D">
              <w:rPr>
                <w:sz w:val="24"/>
              </w:rPr>
              <w:t>tion</w:t>
            </w:r>
            <w:r w:rsidRPr="0045364D">
              <w:rPr>
                <w:sz w:val="24"/>
              </w:rPr>
              <w:br/>
              <w:t>du Qu</w:t>
            </w:r>
            <w:r w:rsidRPr="0045364D">
              <w:rPr>
                <w:sz w:val="24"/>
              </w:rPr>
              <w:t>é</w:t>
            </w:r>
            <w:r w:rsidRPr="0045364D">
              <w:rPr>
                <w:sz w:val="24"/>
              </w:rPr>
              <w:t>bec</w:t>
            </w:r>
            <w:r>
              <w:rPr>
                <w:sz w:val="24"/>
              </w:rPr>
              <w:t xml:space="preserve"> </w:t>
            </w:r>
            <w:r w:rsidRPr="0045364D">
              <w:rPr>
                <w:sz w:val="24"/>
              </w:rPr>
              <w:t>à l’échelle</w:t>
            </w:r>
            <w:r w:rsidRPr="0045364D">
              <w:rPr>
                <w:sz w:val="24"/>
              </w:rPr>
              <w:br/>
              <w:t>internation</w:t>
            </w:r>
            <w:r w:rsidRPr="0045364D">
              <w:rPr>
                <w:sz w:val="24"/>
              </w:rPr>
              <w:t>a</w:t>
            </w:r>
            <w:r w:rsidRPr="0045364D">
              <w:rPr>
                <w:sz w:val="24"/>
              </w:rPr>
              <w:t>le</w:t>
            </w:r>
          </w:p>
        </w:tc>
        <w:tc>
          <w:tcPr>
            <w:tcW w:w="522" w:type="dxa"/>
            <w:vAlign w:val="center"/>
          </w:tcPr>
          <w:p w:rsidR="00682F13" w:rsidRPr="00146349" w:rsidRDefault="00682F13" w:rsidP="00682F13">
            <w:pPr>
              <w:spacing w:before="60" w:after="60"/>
              <w:ind w:firstLine="0"/>
              <w:jc w:val="both"/>
              <w:rPr>
                <w:caps/>
                <w:sz w:val="24"/>
              </w:rPr>
            </w:pPr>
            <w:r w:rsidRPr="00146349">
              <w:rPr>
                <w:caps/>
                <w:sz w:val="24"/>
              </w:rPr>
              <w:t>f</w:t>
            </w:r>
            <w:r w:rsidRPr="00146349">
              <w:rPr>
                <w:caps/>
                <w:sz w:val="24"/>
              </w:rPr>
              <w:br/>
              <w:t>nf</w:t>
            </w:r>
          </w:p>
        </w:tc>
        <w:tc>
          <w:tcPr>
            <w:tcW w:w="1083" w:type="dxa"/>
            <w:vAlign w:val="center"/>
          </w:tcPr>
          <w:p w:rsidR="00682F13" w:rsidRPr="0045364D" w:rsidRDefault="00682F13" w:rsidP="00682F13">
            <w:pPr>
              <w:spacing w:before="60" w:after="60"/>
              <w:ind w:firstLine="0"/>
              <w:jc w:val="both"/>
              <w:rPr>
                <w:sz w:val="24"/>
              </w:rPr>
            </w:pPr>
            <w:r w:rsidRPr="0045364D">
              <w:rPr>
                <w:sz w:val="24"/>
              </w:rPr>
              <w:t>14 %</w:t>
            </w:r>
            <w:r w:rsidRPr="0045364D">
              <w:rPr>
                <w:sz w:val="24"/>
              </w:rPr>
              <w:br/>
              <w:t>11 %</w:t>
            </w:r>
          </w:p>
        </w:tc>
        <w:tc>
          <w:tcPr>
            <w:tcW w:w="1084" w:type="dxa"/>
            <w:vAlign w:val="center"/>
          </w:tcPr>
          <w:p w:rsidR="00682F13" w:rsidRPr="0045364D" w:rsidRDefault="00682F13" w:rsidP="00682F13">
            <w:pPr>
              <w:spacing w:before="60" w:after="60"/>
              <w:ind w:firstLine="0"/>
              <w:jc w:val="both"/>
              <w:rPr>
                <w:sz w:val="24"/>
              </w:rPr>
            </w:pPr>
            <w:r w:rsidRPr="0045364D">
              <w:rPr>
                <w:sz w:val="24"/>
              </w:rPr>
              <w:t>8 %</w:t>
            </w:r>
            <w:r w:rsidRPr="0045364D">
              <w:rPr>
                <w:sz w:val="24"/>
              </w:rPr>
              <w:br/>
              <w:t>10 %</w:t>
            </w:r>
          </w:p>
        </w:tc>
        <w:tc>
          <w:tcPr>
            <w:tcW w:w="1083" w:type="dxa"/>
            <w:vAlign w:val="center"/>
          </w:tcPr>
          <w:p w:rsidR="00682F13" w:rsidRPr="0045364D" w:rsidRDefault="00682F13" w:rsidP="00682F13">
            <w:pPr>
              <w:spacing w:before="60" w:after="60"/>
              <w:ind w:firstLine="0"/>
              <w:jc w:val="both"/>
              <w:rPr>
                <w:sz w:val="24"/>
              </w:rPr>
            </w:pPr>
            <w:r w:rsidRPr="0045364D">
              <w:rPr>
                <w:sz w:val="24"/>
              </w:rPr>
              <w:t>11 %</w:t>
            </w:r>
            <w:r w:rsidRPr="0045364D">
              <w:rPr>
                <w:sz w:val="24"/>
              </w:rPr>
              <w:br/>
              <w:t>13 %</w:t>
            </w:r>
          </w:p>
        </w:tc>
        <w:tc>
          <w:tcPr>
            <w:tcW w:w="1084" w:type="dxa"/>
            <w:vAlign w:val="center"/>
          </w:tcPr>
          <w:p w:rsidR="00682F13" w:rsidRPr="0045364D" w:rsidRDefault="00682F13" w:rsidP="00682F13">
            <w:pPr>
              <w:spacing w:before="60" w:after="60"/>
              <w:ind w:firstLine="0"/>
              <w:jc w:val="both"/>
              <w:rPr>
                <w:sz w:val="24"/>
              </w:rPr>
            </w:pPr>
            <w:r w:rsidRPr="0045364D">
              <w:rPr>
                <w:sz w:val="24"/>
              </w:rPr>
              <w:t>30 %</w:t>
            </w:r>
            <w:r w:rsidRPr="0045364D">
              <w:rPr>
                <w:sz w:val="24"/>
              </w:rPr>
              <w:br/>
              <w:t>31 %</w:t>
            </w:r>
          </w:p>
        </w:tc>
        <w:tc>
          <w:tcPr>
            <w:tcW w:w="1084" w:type="dxa"/>
            <w:vAlign w:val="center"/>
          </w:tcPr>
          <w:p w:rsidR="00682F13" w:rsidRPr="0045364D" w:rsidRDefault="00682F13" w:rsidP="00682F13">
            <w:pPr>
              <w:spacing w:before="60" w:after="60"/>
              <w:ind w:firstLine="0"/>
              <w:jc w:val="both"/>
              <w:rPr>
                <w:sz w:val="24"/>
              </w:rPr>
            </w:pPr>
            <w:r w:rsidRPr="0045364D">
              <w:rPr>
                <w:sz w:val="24"/>
              </w:rPr>
              <w:t>4 %</w:t>
            </w:r>
            <w:r w:rsidRPr="0045364D">
              <w:rPr>
                <w:sz w:val="24"/>
              </w:rPr>
              <w:br/>
              <w:t>16 %</w:t>
            </w:r>
          </w:p>
        </w:tc>
        <w:tc>
          <w:tcPr>
            <w:tcW w:w="990" w:type="dxa"/>
            <w:vAlign w:val="center"/>
          </w:tcPr>
          <w:p w:rsidR="00682F13" w:rsidRPr="0045364D" w:rsidRDefault="00682F13" w:rsidP="00682F13">
            <w:pPr>
              <w:spacing w:before="60" w:after="60"/>
              <w:ind w:firstLine="0"/>
              <w:jc w:val="both"/>
              <w:rPr>
                <w:sz w:val="24"/>
              </w:rPr>
            </w:pPr>
            <w:r w:rsidRPr="0045364D">
              <w:rPr>
                <w:sz w:val="24"/>
              </w:rPr>
              <w:t>20 %</w:t>
            </w:r>
            <w:r w:rsidRPr="0045364D">
              <w:rPr>
                <w:sz w:val="24"/>
              </w:rPr>
              <w:br/>
              <w:t>12 %</w:t>
            </w:r>
          </w:p>
        </w:tc>
      </w:tr>
      <w:tr w:rsidR="00682F13" w:rsidRPr="00083CDC">
        <w:tblPrEx>
          <w:tblCellMar>
            <w:top w:w="0" w:type="dxa"/>
            <w:bottom w:w="0" w:type="dxa"/>
          </w:tblCellMar>
        </w:tblPrEx>
        <w:tc>
          <w:tcPr>
            <w:tcW w:w="2610" w:type="dxa"/>
            <w:tcBorders>
              <w:top w:val="single" w:sz="2" w:space="0" w:color="auto"/>
              <w:bottom w:val="single" w:sz="2" w:space="0" w:color="auto"/>
            </w:tcBorders>
          </w:tcPr>
          <w:p w:rsidR="00682F13" w:rsidRPr="0045364D" w:rsidRDefault="00682F13" w:rsidP="00682F13">
            <w:pPr>
              <w:spacing w:before="60" w:after="60"/>
              <w:ind w:firstLine="0"/>
              <w:jc w:val="both"/>
              <w:rPr>
                <w:b/>
                <w:sz w:val="24"/>
              </w:rPr>
            </w:pPr>
            <w:r w:rsidRPr="0045364D">
              <w:rPr>
                <w:sz w:val="24"/>
              </w:rPr>
              <w:t>Moye</w:t>
            </w:r>
            <w:r w:rsidRPr="0045364D">
              <w:rPr>
                <w:sz w:val="24"/>
              </w:rPr>
              <w:t>n</w:t>
            </w:r>
            <w:r w:rsidRPr="0045364D">
              <w:rPr>
                <w:sz w:val="24"/>
              </w:rPr>
              <w:t>ne des</w:t>
            </w:r>
            <w:r w:rsidRPr="0045364D">
              <w:rPr>
                <w:sz w:val="24"/>
              </w:rPr>
              <w:br/>
              <w:t>5 effets nu</w:t>
            </w:r>
            <w:r w:rsidRPr="0045364D">
              <w:rPr>
                <w:sz w:val="24"/>
              </w:rPr>
              <w:t>i</w:t>
            </w:r>
            <w:r w:rsidRPr="0045364D">
              <w:rPr>
                <w:sz w:val="24"/>
              </w:rPr>
              <w:t>sibles</w:t>
            </w:r>
          </w:p>
        </w:tc>
        <w:tc>
          <w:tcPr>
            <w:tcW w:w="522" w:type="dxa"/>
            <w:tcBorders>
              <w:top w:val="single" w:sz="2" w:space="0" w:color="auto"/>
              <w:bottom w:val="single" w:sz="2" w:space="0" w:color="auto"/>
            </w:tcBorders>
            <w:vAlign w:val="center"/>
          </w:tcPr>
          <w:p w:rsidR="00682F13" w:rsidRPr="00146349" w:rsidRDefault="00682F13" w:rsidP="00682F13">
            <w:pPr>
              <w:spacing w:before="60" w:after="60"/>
              <w:ind w:firstLine="0"/>
              <w:jc w:val="both"/>
              <w:rPr>
                <w:caps/>
                <w:sz w:val="24"/>
              </w:rPr>
            </w:pPr>
            <w:r w:rsidRPr="00146349">
              <w:rPr>
                <w:caps/>
                <w:sz w:val="24"/>
              </w:rPr>
              <w:t>f</w:t>
            </w:r>
            <w:r w:rsidRPr="00146349">
              <w:rPr>
                <w:caps/>
                <w:sz w:val="24"/>
              </w:rPr>
              <w:br/>
              <w:t>nf</w:t>
            </w:r>
          </w:p>
        </w:tc>
        <w:tc>
          <w:tcPr>
            <w:tcW w:w="1083"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16 %</w:t>
            </w:r>
            <w:r w:rsidRPr="0045364D">
              <w:rPr>
                <w:sz w:val="24"/>
              </w:rPr>
              <w:br/>
              <w:t>17 %</w:t>
            </w:r>
          </w:p>
        </w:tc>
        <w:tc>
          <w:tcPr>
            <w:tcW w:w="1084"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12 %</w:t>
            </w:r>
            <w:r w:rsidRPr="0045364D">
              <w:rPr>
                <w:sz w:val="24"/>
              </w:rPr>
              <w:br/>
              <w:t>11 %</w:t>
            </w:r>
          </w:p>
        </w:tc>
        <w:tc>
          <w:tcPr>
            <w:tcW w:w="1083"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11 %</w:t>
            </w:r>
            <w:r w:rsidRPr="0045364D">
              <w:rPr>
                <w:sz w:val="24"/>
              </w:rPr>
              <w:br/>
              <w:t>13 %</w:t>
            </w:r>
          </w:p>
        </w:tc>
        <w:tc>
          <w:tcPr>
            <w:tcW w:w="1084"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31 %</w:t>
            </w:r>
            <w:r w:rsidRPr="0045364D">
              <w:rPr>
                <w:sz w:val="24"/>
              </w:rPr>
              <w:br/>
              <w:t>31 %</w:t>
            </w:r>
          </w:p>
        </w:tc>
        <w:tc>
          <w:tcPr>
            <w:tcW w:w="1084"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6 %</w:t>
            </w:r>
            <w:r w:rsidRPr="0045364D">
              <w:rPr>
                <w:sz w:val="24"/>
              </w:rPr>
              <w:br/>
              <w:t>13 %</w:t>
            </w:r>
          </w:p>
        </w:tc>
        <w:tc>
          <w:tcPr>
            <w:tcW w:w="990"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sz w:val="24"/>
              </w:rPr>
              <w:t>14 %</w:t>
            </w:r>
            <w:r w:rsidRPr="0045364D">
              <w:rPr>
                <w:sz w:val="24"/>
              </w:rPr>
              <w:br/>
              <w:t>8 %</w:t>
            </w:r>
          </w:p>
        </w:tc>
      </w:tr>
      <w:tr w:rsidR="00682F13" w:rsidRPr="00083CDC">
        <w:tblPrEx>
          <w:tblCellMar>
            <w:top w:w="0" w:type="dxa"/>
            <w:bottom w:w="0" w:type="dxa"/>
          </w:tblCellMar>
        </w:tblPrEx>
        <w:trPr>
          <w:trHeight w:val="418"/>
        </w:trPr>
        <w:tc>
          <w:tcPr>
            <w:tcW w:w="2610" w:type="dxa"/>
            <w:tcBorders>
              <w:top w:val="single" w:sz="2" w:space="0" w:color="auto"/>
              <w:bottom w:val="single" w:sz="2" w:space="0" w:color="auto"/>
            </w:tcBorders>
          </w:tcPr>
          <w:p w:rsidR="00682F13" w:rsidRPr="0045364D" w:rsidRDefault="00682F13" w:rsidP="00682F13">
            <w:pPr>
              <w:spacing w:before="60" w:after="60"/>
              <w:ind w:firstLine="0"/>
              <w:jc w:val="both"/>
              <w:rPr>
                <w:sz w:val="24"/>
              </w:rPr>
            </w:pPr>
            <w:r w:rsidRPr="0045364D">
              <w:rPr>
                <w:sz w:val="24"/>
              </w:rPr>
              <w:t>Ordre</w:t>
            </w:r>
            <w:r>
              <w:rPr>
                <w:sz w:val="24"/>
              </w:rPr>
              <w:t xml:space="preserve"> </w:t>
            </w:r>
            <w:r w:rsidRPr="0045364D">
              <w:rPr>
                <w:sz w:val="24"/>
              </w:rPr>
              <w:t>d’importance</w:t>
            </w:r>
          </w:p>
        </w:tc>
        <w:tc>
          <w:tcPr>
            <w:tcW w:w="522" w:type="dxa"/>
            <w:tcBorders>
              <w:top w:val="single" w:sz="2" w:space="0" w:color="auto"/>
              <w:bottom w:val="single" w:sz="2" w:space="0" w:color="auto"/>
            </w:tcBorders>
            <w:vAlign w:val="center"/>
          </w:tcPr>
          <w:p w:rsidR="00682F13" w:rsidRPr="00146349" w:rsidRDefault="00682F13" w:rsidP="00682F13">
            <w:pPr>
              <w:spacing w:before="60" w:after="60"/>
              <w:ind w:firstLine="0"/>
              <w:jc w:val="both"/>
              <w:rPr>
                <w:caps/>
                <w:sz w:val="24"/>
              </w:rPr>
            </w:pPr>
          </w:p>
        </w:tc>
        <w:tc>
          <w:tcPr>
            <w:tcW w:w="1083"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b/>
                <w:sz w:val="24"/>
              </w:rPr>
            </w:pPr>
            <w:r w:rsidRPr="0045364D">
              <w:rPr>
                <w:b/>
                <w:sz w:val="24"/>
              </w:rPr>
              <w:t>(2)</w:t>
            </w:r>
          </w:p>
        </w:tc>
        <w:tc>
          <w:tcPr>
            <w:tcW w:w="1084"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b/>
                <w:sz w:val="24"/>
              </w:rPr>
              <w:t>(4)</w:t>
            </w:r>
          </w:p>
        </w:tc>
        <w:tc>
          <w:tcPr>
            <w:tcW w:w="1083"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b/>
                <w:sz w:val="24"/>
              </w:rPr>
              <w:t>(3)</w:t>
            </w:r>
          </w:p>
        </w:tc>
        <w:tc>
          <w:tcPr>
            <w:tcW w:w="1084"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r w:rsidRPr="0045364D">
              <w:rPr>
                <w:b/>
                <w:sz w:val="24"/>
              </w:rPr>
              <w:t>(1)</w:t>
            </w:r>
          </w:p>
        </w:tc>
        <w:tc>
          <w:tcPr>
            <w:tcW w:w="1084"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p>
        </w:tc>
        <w:tc>
          <w:tcPr>
            <w:tcW w:w="990" w:type="dxa"/>
            <w:tcBorders>
              <w:top w:val="single" w:sz="2" w:space="0" w:color="auto"/>
              <w:bottom w:val="single" w:sz="2" w:space="0" w:color="auto"/>
            </w:tcBorders>
            <w:vAlign w:val="center"/>
          </w:tcPr>
          <w:p w:rsidR="00682F13" w:rsidRPr="0045364D" w:rsidRDefault="00682F13" w:rsidP="00682F13">
            <w:pPr>
              <w:spacing w:before="60" w:after="60"/>
              <w:ind w:firstLine="0"/>
              <w:jc w:val="both"/>
              <w:rPr>
                <w:sz w:val="24"/>
              </w:rPr>
            </w:pPr>
          </w:p>
        </w:tc>
      </w:tr>
    </w:tbl>
    <w:p w:rsidR="00682F13" w:rsidRPr="00083CDC" w:rsidRDefault="00682F13" w:rsidP="00682F13">
      <w:pPr>
        <w:pStyle w:val="figst"/>
      </w:pPr>
      <w:r w:rsidRPr="00083CDC">
        <w:t xml:space="preserve">Sondage </w:t>
      </w:r>
      <w:r w:rsidRPr="00083CDC">
        <w:rPr>
          <w:smallCaps/>
        </w:rPr>
        <w:t>crop</w:t>
      </w:r>
      <w:r w:rsidRPr="00083CDC">
        <w:t>, pour le Conseil de la langue française, janvier 1993.</w:t>
      </w:r>
    </w:p>
    <w:p w:rsidR="00682F13" w:rsidRDefault="00682F13" w:rsidP="00682F13">
      <w:pPr>
        <w:spacing w:before="120" w:after="120"/>
        <w:jc w:val="both"/>
      </w:pPr>
    </w:p>
    <w:p w:rsidR="00682F13" w:rsidRDefault="00682F13" w:rsidP="00682F13">
      <w:pPr>
        <w:spacing w:before="120" w:after="120"/>
        <w:jc w:val="both"/>
      </w:pPr>
      <w:r>
        <w:br w:type="page"/>
      </w:r>
      <w:r>
        <w:lastRenderedPageBreak/>
        <w:t>[116]</w:t>
      </w:r>
    </w:p>
    <w:p w:rsidR="00682F13" w:rsidRPr="00083CDC" w:rsidRDefault="00682F13" w:rsidP="00682F13">
      <w:pPr>
        <w:spacing w:before="120" w:after="120"/>
        <w:jc w:val="both"/>
      </w:pPr>
      <w:r w:rsidRPr="00083CDC">
        <w:t>Dans le cas des effets nuisibles aux relations entre les francoph</w:t>
      </w:r>
      <w:r w:rsidRPr="00083CDC">
        <w:t>o</w:t>
      </w:r>
      <w:r w:rsidRPr="00083CDC">
        <w:t>nes et les immigrants (Q9), les résultats se partagent assez ég</w:t>
      </w:r>
      <w:r w:rsidRPr="00083CDC">
        <w:t>a</w:t>
      </w:r>
      <w:r w:rsidRPr="00083CDC">
        <w:t>lement entre les quatre facteurs, bien que la francisation des i</w:t>
      </w:r>
      <w:r w:rsidRPr="00083CDC">
        <w:t>m</w:t>
      </w:r>
      <w:r w:rsidRPr="00083CDC">
        <w:t>migrants soit perçue comme un élément nuisible par 24 % des francophones et 28 % des anglophones/allophones. L’ensemble des répondants perço</w:t>
      </w:r>
      <w:r w:rsidRPr="00083CDC">
        <w:t>i</w:t>
      </w:r>
      <w:r w:rsidRPr="00083CDC">
        <w:t>vent que par rapport aux trois autres piliers de la loi 101, c’est l’affichage unilingue français qui est perçu comme étant le plus nuis</w:t>
      </w:r>
      <w:r w:rsidRPr="00083CDC">
        <w:t>i</w:t>
      </w:r>
      <w:r w:rsidRPr="00083CDC">
        <w:t>ble au développement économique du Québec (Q10), à la réputation du Québec au Canada (Q11) et à l’échelle internationale (Q12). L’analyse de ces résultats selon les intentions de vote démontrait que les sympathisants du Parti qu</w:t>
      </w:r>
      <w:r w:rsidRPr="00083CDC">
        <w:t>é</w:t>
      </w:r>
      <w:r w:rsidRPr="00083CDC">
        <w:t>bécois et du Parti libéral partageaient des opinions semblables à propos des effets nuisibles de chacun des facteurs, y compris l’affichage unilingue français.</w:t>
      </w:r>
    </w:p>
    <w:p w:rsidR="00682F13" w:rsidRPr="00083CDC" w:rsidRDefault="00682F13" w:rsidP="00682F13">
      <w:pPr>
        <w:spacing w:before="120" w:after="120"/>
        <w:jc w:val="both"/>
      </w:pPr>
      <w:r w:rsidRPr="00083CDC">
        <w:t>Ainsi, dans l’ensemble, c’est l’affichage uniquement en fra</w:t>
      </w:r>
      <w:r w:rsidRPr="00083CDC">
        <w:t>n</w:t>
      </w:r>
      <w:r w:rsidRPr="00083CDC">
        <w:t>çais qui était perçu comme ayant le plus d’effets nuisibles pour les rel</w:t>
      </w:r>
      <w:r w:rsidRPr="00083CDC">
        <w:t>a</w:t>
      </w:r>
      <w:r w:rsidRPr="00083CDC">
        <w:t>tions ethniques et pour la réputation du Québec, tout en étant perçu comme le facteur ayant le moins d’impact favorable sur l’usage du français. Par ailleurs, c’est le français langue de travail qui fut perçu par l’ensemble des répondants comme ayant le plus d’impact favor</w:t>
      </w:r>
      <w:r w:rsidRPr="00083CDC">
        <w:t>a</w:t>
      </w:r>
      <w:r w:rsidRPr="00083CDC">
        <w:t>ble sur l’usage du français. Le français langue d’accueil dans les commerces et la francisation des immigrants furent perçus comme ayant le moins d’effets nuisibles pour les relations ethniques et la r</w:t>
      </w:r>
      <w:r w:rsidRPr="00083CDC">
        <w:t>é</w:t>
      </w:r>
      <w:r w:rsidRPr="00083CDC">
        <w:t xml:space="preserve">putation du Québec. Cette analyse de la perception des coûts/bénéfices des piliers de la loi 101 démontrait clairement l’aspect contentieux de l’affichage </w:t>
      </w:r>
      <w:r w:rsidRPr="00083CDC">
        <w:rPr>
          <w:i/>
        </w:rPr>
        <w:t>uniquement</w:t>
      </w:r>
      <w:r w:rsidRPr="00083CDC">
        <w:t xml:space="preserve"> en fra</w:t>
      </w:r>
      <w:r w:rsidRPr="00083CDC">
        <w:t>n</w:t>
      </w:r>
      <w:r w:rsidRPr="00083CDC">
        <w:t xml:space="preserve">çais par rapport aux trois autres piliers de la législation. </w:t>
      </w:r>
    </w:p>
    <w:p w:rsidR="00682F13" w:rsidRPr="00083CDC" w:rsidRDefault="00682F13" w:rsidP="00682F13">
      <w:pPr>
        <w:spacing w:before="120" w:after="120"/>
        <w:jc w:val="both"/>
      </w:pPr>
      <w:r w:rsidRPr="00083CDC">
        <w:t>Le troisième volet du sondage portait sur les préférences des r</w:t>
      </w:r>
      <w:r w:rsidRPr="00083CDC">
        <w:t>é</w:t>
      </w:r>
      <w:r w:rsidRPr="00083CDC">
        <w:t>pondants concernant la langue d’affichage pour les grandes entrepr</w:t>
      </w:r>
      <w:r w:rsidRPr="00083CDC">
        <w:t>i</w:t>
      </w:r>
      <w:r w:rsidRPr="00083CDC">
        <w:t xml:space="preserve">ses et les petits commerces. Les répondants se prononçaient sur les options suivantes : </w:t>
      </w:r>
    </w:p>
    <w:p w:rsidR="00682F13" w:rsidRDefault="00682F13" w:rsidP="00682F13">
      <w:pPr>
        <w:spacing w:before="120" w:after="120"/>
        <w:ind w:left="720"/>
        <w:jc w:val="both"/>
      </w:pPr>
      <w:r>
        <w:br w:type="page"/>
      </w:r>
    </w:p>
    <w:p w:rsidR="00682F13" w:rsidRPr="00487995" w:rsidRDefault="00682F13" w:rsidP="00682F13">
      <w:pPr>
        <w:spacing w:before="120" w:after="120"/>
        <w:ind w:left="720"/>
        <w:jc w:val="both"/>
        <w:rPr>
          <w:color w:val="000090"/>
        </w:rPr>
      </w:pPr>
      <w:r w:rsidRPr="00487995">
        <w:rPr>
          <w:color w:val="000090"/>
        </w:rPr>
        <w:t>« Nous aimerions maintenant connaître vos opinions conce</w:t>
      </w:r>
      <w:r w:rsidRPr="00487995">
        <w:rPr>
          <w:color w:val="000090"/>
        </w:rPr>
        <w:t>r</w:t>
      </w:r>
      <w:r w:rsidRPr="00487995">
        <w:rPr>
          <w:color w:val="000090"/>
        </w:rPr>
        <w:t xml:space="preserve">nant la langue d’affichage des commerces et entreprises. Notez que, pour ce sondage, le terme </w:t>
      </w:r>
      <w:r w:rsidRPr="00487995">
        <w:rPr>
          <w:i/>
          <w:color w:val="000090"/>
        </w:rPr>
        <w:t>français prédominant</w:t>
      </w:r>
      <w:r w:rsidRPr="00487995">
        <w:rPr>
          <w:color w:val="000090"/>
        </w:rPr>
        <w:t xml:space="preserve"> i</w:t>
      </w:r>
      <w:r w:rsidRPr="00487995">
        <w:rPr>
          <w:color w:val="000090"/>
        </w:rPr>
        <w:t>n</w:t>
      </w:r>
      <w:r w:rsidRPr="00487995">
        <w:rPr>
          <w:color w:val="000090"/>
        </w:rPr>
        <w:t>dique que le français est deux fois plus important sur l’affiche que l’ensemble des autres la</w:t>
      </w:r>
      <w:r w:rsidRPr="00487995">
        <w:rPr>
          <w:color w:val="000090"/>
        </w:rPr>
        <w:t>n</w:t>
      </w:r>
      <w:r w:rsidRPr="00487995">
        <w:rPr>
          <w:color w:val="000090"/>
        </w:rPr>
        <w:t>gues.</w:t>
      </w:r>
    </w:p>
    <w:p w:rsidR="00682F13" w:rsidRPr="00487995" w:rsidRDefault="00682F13" w:rsidP="00682F13">
      <w:pPr>
        <w:spacing w:before="120" w:after="120"/>
        <w:ind w:left="720"/>
        <w:jc w:val="both"/>
        <w:rPr>
          <w:color w:val="000090"/>
        </w:rPr>
      </w:pPr>
      <w:r w:rsidRPr="00487995">
        <w:rPr>
          <w:color w:val="000090"/>
        </w:rPr>
        <w:t xml:space="preserve">Personnellement, laquelle des options suivantes préférez-vous pour les petits commerces au Québec ? </w:t>
      </w:r>
    </w:p>
    <w:p w:rsidR="00682F13" w:rsidRPr="00487995" w:rsidRDefault="00682F13" w:rsidP="00682F13">
      <w:pPr>
        <w:spacing w:before="120" w:after="120"/>
        <w:ind w:left="720"/>
        <w:jc w:val="both"/>
        <w:rPr>
          <w:color w:val="000090"/>
        </w:rPr>
      </w:pPr>
    </w:p>
    <w:p w:rsidR="00682F13" w:rsidRPr="00487995" w:rsidRDefault="00682F13" w:rsidP="00682F13">
      <w:pPr>
        <w:spacing w:before="120" w:after="120"/>
        <w:ind w:left="1080" w:hanging="360"/>
        <w:jc w:val="both"/>
        <w:rPr>
          <w:color w:val="000090"/>
        </w:rPr>
      </w:pPr>
      <w:r w:rsidRPr="00487995">
        <w:rPr>
          <w:smallCaps/>
          <w:color w:val="000090"/>
        </w:rPr>
        <w:t>a</w:t>
      </w:r>
      <w:r w:rsidRPr="00487995">
        <w:rPr>
          <w:color w:val="000090"/>
        </w:rPr>
        <w:t>)</w:t>
      </w:r>
      <w:r w:rsidRPr="00487995">
        <w:rPr>
          <w:color w:val="000090"/>
        </w:rPr>
        <w:tab/>
        <w:t xml:space="preserve">l’affichage doit être uniquement en français; </w:t>
      </w:r>
    </w:p>
    <w:p w:rsidR="00682F13" w:rsidRPr="00487995" w:rsidRDefault="00682F13" w:rsidP="00682F13">
      <w:pPr>
        <w:spacing w:before="120" w:after="120"/>
        <w:ind w:left="1080" w:hanging="360"/>
        <w:jc w:val="both"/>
        <w:rPr>
          <w:color w:val="000090"/>
        </w:rPr>
      </w:pPr>
      <w:r w:rsidRPr="00487995">
        <w:rPr>
          <w:smallCaps/>
          <w:color w:val="000090"/>
        </w:rPr>
        <w:t>b</w:t>
      </w:r>
      <w:r w:rsidRPr="00487995">
        <w:rPr>
          <w:color w:val="000090"/>
        </w:rPr>
        <w:t>)</w:t>
      </w:r>
      <w:r w:rsidRPr="00487995">
        <w:rPr>
          <w:color w:val="000090"/>
        </w:rPr>
        <w:tab/>
        <w:t>l’affichage doit être en français prédominant et peut inclure une ou plusieurs autres langues;</w:t>
      </w:r>
    </w:p>
    <w:p w:rsidR="00682F13" w:rsidRDefault="00682F13" w:rsidP="00682F13">
      <w:pPr>
        <w:spacing w:before="120" w:after="120"/>
        <w:ind w:left="1080" w:hanging="360"/>
        <w:jc w:val="both"/>
      </w:pPr>
      <w:r w:rsidRPr="00487995">
        <w:rPr>
          <w:smallCaps/>
          <w:color w:val="000090"/>
        </w:rPr>
        <w:t>c</w:t>
      </w:r>
      <w:r w:rsidRPr="00487995">
        <w:rPr>
          <w:color w:val="000090"/>
        </w:rPr>
        <w:t>)</w:t>
      </w:r>
      <w:r w:rsidRPr="00487995">
        <w:rPr>
          <w:color w:val="000090"/>
        </w:rPr>
        <w:tab/>
        <w:t>la langue d’affichage doit être laissée au libre choix du co</w:t>
      </w:r>
      <w:r w:rsidRPr="00487995">
        <w:rPr>
          <w:color w:val="000090"/>
        </w:rPr>
        <w:t>m</w:t>
      </w:r>
      <w:r w:rsidRPr="00487995">
        <w:rPr>
          <w:color w:val="000090"/>
        </w:rPr>
        <w:t>merçant. »</w:t>
      </w:r>
    </w:p>
    <w:p w:rsidR="00682F13" w:rsidRDefault="00682F13" w:rsidP="00682F13">
      <w:pPr>
        <w:pStyle w:val="p"/>
      </w:pPr>
      <w:r>
        <w:br w:type="page"/>
      </w:r>
      <w:r>
        <w:lastRenderedPageBreak/>
        <w:t>[117]</w:t>
      </w:r>
    </w:p>
    <w:p w:rsidR="00682F13" w:rsidRPr="00083CDC" w:rsidRDefault="00682F13" w:rsidP="00682F13">
      <w:pPr>
        <w:spacing w:before="120" w:after="120"/>
        <w:jc w:val="both"/>
      </w:pPr>
    </w:p>
    <w:p w:rsidR="00682F13" w:rsidRPr="00083CDC" w:rsidRDefault="008D1A3B" w:rsidP="00682F13">
      <w:pPr>
        <w:spacing w:before="120" w:after="120"/>
        <w:ind w:firstLine="0"/>
        <w:jc w:val="both"/>
      </w:pPr>
      <w:r w:rsidRPr="00083CDC">
        <w:rPr>
          <w:noProof/>
        </w:rPr>
        <w:drawing>
          <wp:inline distT="0" distB="0" distL="0" distR="0">
            <wp:extent cx="5082540" cy="6071235"/>
            <wp:effectExtent l="0" t="0" r="0" b="0"/>
            <wp:docPr id="6" name="Image 6" descr="Bourhis_Langue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ourhis_Langueint"/>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2540" cy="6071235"/>
                    </a:xfrm>
                    <a:prstGeom prst="rect">
                      <a:avLst/>
                    </a:prstGeom>
                    <a:noFill/>
                    <a:ln>
                      <a:noFill/>
                    </a:ln>
                  </pic:spPr>
                </pic:pic>
              </a:graphicData>
            </a:graphic>
          </wp:inline>
        </w:drawing>
      </w:r>
    </w:p>
    <w:p w:rsidR="00682F13" w:rsidRDefault="00682F13" w:rsidP="00682F13">
      <w:pPr>
        <w:spacing w:before="120" w:after="120"/>
        <w:jc w:val="both"/>
      </w:pPr>
      <w:r w:rsidRPr="00083CDC">
        <w:br w:type="page"/>
      </w:r>
      <w:r>
        <w:lastRenderedPageBreak/>
        <w:t>[118]</w:t>
      </w:r>
    </w:p>
    <w:p w:rsidR="00682F13" w:rsidRPr="00083CDC" w:rsidRDefault="00682F13" w:rsidP="00682F13">
      <w:pPr>
        <w:spacing w:before="120" w:after="120"/>
        <w:jc w:val="both"/>
      </w:pPr>
      <w:r w:rsidRPr="00083CDC">
        <w:t>Comme le montre la figure</w:t>
      </w:r>
      <w:r>
        <w:t> </w:t>
      </w:r>
      <w:r w:rsidRPr="00083CDC">
        <w:t>1A, la majorité des francophones (64 %) et des anglophones/allophones (54 %) déclaraient leur préf</w:t>
      </w:r>
      <w:r w:rsidRPr="00083CDC">
        <w:t>é</w:t>
      </w:r>
      <w:r w:rsidRPr="00083CDC">
        <w:t>rence pour le bilinguisme avec prédominance du français, comme la</w:t>
      </w:r>
      <w:r w:rsidRPr="00083CDC">
        <w:t>n</w:t>
      </w:r>
      <w:r w:rsidRPr="00083CDC">
        <w:t>gue d’affichage commercial des grandes entreprises. Chez les franc</w:t>
      </w:r>
      <w:r w:rsidRPr="00083CDC">
        <w:t>o</w:t>
      </w:r>
      <w:r w:rsidRPr="00083CDC">
        <w:t>phones, le statu quo de l’affichage uniquement en fra</w:t>
      </w:r>
      <w:r w:rsidRPr="00083CDC">
        <w:t>n</w:t>
      </w:r>
      <w:r w:rsidRPr="00083CDC">
        <w:t>çais obtient plus de soutien (22 %) que la liberté de choix (13 %) qui caractérisait la situation québécoise jusqu’au début des années 1970. Chez les angl</w:t>
      </w:r>
      <w:r w:rsidRPr="00083CDC">
        <w:t>o</w:t>
      </w:r>
      <w:r w:rsidRPr="00083CDC">
        <w:t>phones/allophones, l’affichage uniquement en français est rejeté, car cette option consacre l’exclusion de l’anglais et des autres langues du paysage linguistique (loi 101, version 1977; loi 178). L’évolution des opinions chez les angl</w:t>
      </w:r>
      <w:r w:rsidRPr="00083CDC">
        <w:t>o</w:t>
      </w:r>
      <w:r w:rsidRPr="00083CDC">
        <w:t>phones/allophones est caractérisée par le fait que les opinions en faveur du libre choix dans l’affichage (40 %) se révèle moins p</w:t>
      </w:r>
      <w:r w:rsidRPr="00083CDC">
        <w:t>o</w:t>
      </w:r>
      <w:r w:rsidRPr="00083CDC">
        <w:t>pulaire que la prédominance du français (54 %). De plus, la préf</w:t>
      </w:r>
      <w:r w:rsidRPr="00083CDC">
        <w:t>é</w:t>
      </w:r>
      <w:r w:rsidRPr="00083CDC">
        <w:t>rence pour la prédominance du français par rapport aux autres o</w:t>
      </w:r>
      <w:r w:rsidRPr="00083CDC">
        <w:t>p</w:t>
      </w:r>
      <w:r w:rsidRPr="00083CDC">
        <w:t>tions se maintient à la fois pour les sympathisants du Parti libéral (68 %) et pour ceux du Parti québécois (42 %; figure 1B).</w:t>
      </w:r>
    </w:p>
    <w:p w:rsidR="00682F13" w:rsidRPr="00083CDC" w:rsidRDefault="00682F13" w:rsidP="00682F13">
      <w:pPr>
        <w:spacing w:before="120" w:after="120"/>
        <w:jc w:val="both"/>
      </w:pPr>
      <w:r w:rsidRPr="00083CDC">
        <w:t>En ce qui concerne l’affichage commercial des petits comme</w:t>
      </w:r>
      <w:r w:rsidRPr="00083CDC">
        <w:t>r</w:t>
      </w:r>
      <w:r w:rsidRPr="00083CDC">
        <w:t>ces, le consensus en faveur de la prédominance du français s’estompe puisque 57 % des francophones choisissent cette option par rapport à 39 % dans le cas des anglophones/allophones (figure</w:t>
      </w:r>
      <w:r>
        <w:t> </w:t>
      </w:r>
      <w:r w:rsidRPr="00083CDC">
        <w:t>1C). Chez les francophones, la liberté de choix pour l’affichage des petits comme</w:t>
      </w:r>
      <w:r w:rsidRPr="00083CDC">
        <w:t>r</w:t>
      </w:r>
      <w:r w:rsidRPr="00083CDC">
        <w:t>ces (17 %) est un peu plus endossée que pour celui des grandes entr</w:t>
      </w:r>
      <w:r w:rsidRPr="00083CDC">
        <w:t>e</w:t>
      </w:r>
      <w:r w:rsidRPr="00083CDC">
        <w:t>prises (13 %). La majorité des angloph</w:t>
      </w:r>
      <w:r w:rsidRPr="00083CDC">
        <w:t>o</w:t>
      </w:r>
      <w:r w:rsidRPr="00083CDC">
        <w:t>nes/allophones préfèrent la liberté de choix (57 %) plutôt que la prédominance du français (39 %) comme langue d’affichage des petits commerces. Pour ces répondants, la langue d’affichage des petits commerces de proximité situés dans les quartiers multilingues (chinois, italiens, indo-pakistanais) et a</w:t>
      </w:r>
      <w:r w:rsidRPr="00083CDC">
        <w:t>n</w:t>
      </w:r>
      <w:r w:rsidRPr="00083CDC">
        <w:t>glophones de l’ouest de Montréal représente une faible menace pour la langue frança</w:t>
      </w:r>
      <w:r w:rsidRPr="00083CDC">
        <w:t>i</w:t>
      </w:r>
      <w:r w:rsidRPr="00083CDC">
        <w:t>se. En préférant moins la liberté de choix pour les grandes entr</w:t>
      </w:r>
      <w:r w:rsidRPr="00083CDC">
        <w:t>e</w:t>
      </w:r>
      <w:r w:rsidRPr="00083CDC">
        <w:t>prises (40 %) que pour les petits commerces (57 %), les angl</w:t>
      </w:r>
      <w:r w:rsidRPr="00083CDC">
        <w:t>o</w:t>
      </w:r>
      <w:r w:rsidRPr="00083CDC">
        <w:t>phones/allophones témoignent d’une certaine reconnaissance du fait que les grandes entreprises sont souvent anglo-canadiennes ou anglo-américaines. Par ailleurs, les données démontrent une nette pr</w:t>
      </w:r>
      <w:r w:rsidRPr="00083CDC">
        <w:t>é</w:t>
      </w:r>
      <w:r w:rsidRPr="00083CDC">
        <w:t>férence pour la prédominance du français dans l’affichage des grandes entreprises à la fois chez les sympathisants du Parti libéral (54 %) et ceux du Parti québécois (57 %; figure</w:t>
      </w:r>
      <w:r>
        <w:t> </w:t>
      </w:r>
      <w:r w:rsidRPr="00083CDC">
        <w:t>1D). Dans l’ensemble, les do</w:t>
      </w:r>
      <w:r w:rsidRPr="00083CDC">
        <w:t>n</w:t>
      </w:r>
      <w:r w:rsidRPr="00083CDC">
        <w:t xml:space="preserve">nées du sondage </w:t>
      </w:r>
      <w:r w:rsidRPr="00083CDC">
        <w:rPr>
          <w:smallCaps/>
        </w:rPr>
        <w:t>crop</w:t>
      </w:r>
      <w:r w:rsidRPr="00083CDC">
        <w:t xml:space="preserve"> (1993) démontrèrent </w:t>
      </w:r>
      <w:r w:rsidRPr="00083CDC">
        <w:lastRenderedPageBreak/>
        <w:t>un consensus intergroupe assez soutenu en faveur de la prédominance du français dans l’affichage commercial, et un consensus inte</w:t>
      </w:r>
      <w:r w:rsidRPr="00083CDC">
        <w:t>r</w:t>
      </w:r>
      <w:r w:rsidRPr="00083CDC">
        <w:t>communautaire absent pour l’option affichage uniquement en fr</w:t>
      </w:r>
      <w:r>
        <w:t>ançais ou l’option libre choix.</w:t>
      </w:r>
    </w:p>
    <w:p w:rsidR="00682F13" w:rsidRPr="00083CDC" w:rsidRDefault="00682F13" w:rsidP="00682F13">
      <w:pPr>
        <w:spacing w:before="120" w:after="120"/>
        <w:jc w:val="both"/>
      </w:pPr>
      <w:r w:rsidRPr="00083CDC">
        <w:t>En fin de compte, l’option qui accordait la prédominance au fra</w:t>
      </w:r>
      <w:r w:rsidRPr="00083CDC">
        <w:t>n</w:t>
      </w:r>
      <w:r w:rsidRPr="00083CDC">
        <w:t>çais l’emporta dans les trois communautés linguistiques et, compte tenu du niveau de soutien même chez les sympathisants du Parti qu</w:t>
      </w:r>
      <w:r w:rsidRPr="00083CDC">
        <w:t>é</w:t>
      </w:r>
      <w:r w:rsidRPr="00083CDC">
        <w:t>bécois, le gouvernement libéral adopta de nouvelles dispositions rel</w:t>
      </w:r>
      <w:r w:rsidRPr="00083CDC">
        <w:t>a</w:t>
      </w:r>
      <w:r w:rsidRPr="00083CDC">
        <w:t>tives à la langue</w:t>
      </w:r>
      <w:r w:rsidRPr="00083CDC">
        <w:rPr>
          <w:i/>
        </w:rPr>
        <w:t xml:space="preserve"> </w:t>
      </w:r>
      <w:r w:rsidRPr="00083CDC">
        <w:t>de l’affichage en 1993. La loi 86 permettait que d’autres langues que le français apparaissent dans l’affichage co</w:t>
      </w:r>
      <w:r w:rsidRPr="00083CDC">
        <w:t>m</w:t>
      </w:r>
      <w:r w:rsidRPr="00083CDC">
        <w:t>mercial externe et interne, pourvu que l’impact visuel du français soit « beaucoup plus important que le texte r</w:t>
      </w:r>
      <w:r w:rsidRPr="00083CDC">
        <w:t>é</w:t>
      </w:r>
      <w:r w:rsidRPr="00083CDC">
        <w:t>digé dans l’autre langue », quel que soit le moyen employé pour accorder une plus grande visib</w:t>
      </w:r>
      <w:r w:rsidRPr="00083CDC">
        <w:t>i</w:t>
      </w:r>
      <w:r w:rsidRPr="00083CDC">
        <w:t>lité au français. La loi avait l’avantage d’être conforme aux arrêts de la Cour suprême du C</w:t>
      </w:r>
      <w:r w:rsidRPr="00083CDC">
        <w:t>a</w:t>
      </w:r>
      <w:r w:rsidRPr="00083CDC">
        <w:t>nada de 1988 et permettait d’éviter le recours à la disposition de dérogation touchant la liberté d’expression de la Constitution c</w:t>
      </w:r>
      <w:r w:rsidRPr="00083CDC">
        <w:t>a</w:t>
      </w:r>
      <w:r w:rsidRPr="00083CDC">
        <w:t>nadienne. La loi 86 modifiait notamment</w:t>
      </w:r>
      <w:r w:rsidRPr="00083CDC">
        <w:rPr>
          <w:i/>
        </w:rPr>
        <w:t xml:space="preserve"> </w:t>
      </w:r>
      <w:r w:rsidRPr="00083CDC">
        <w:t>les articles 58 et 59 de la Charte comme suit :</w:t>
      </w:r>
    </w:p>
    <w:p w:rsidR="00682F13" w:rsidRDefault="00682F13" w:rsidP="00682F13">
      <w:pPr>
        <w:spacing w:before="120" w:after="120"/>
        <w:jc w:val="both"/>
      </w:pPr>
      <w:r>
        <w:t>[119]</w:t>
      </w:r>
    </w:p>
    <w:p w:rsidR="00682F13" w:rsidRDefault="00682F13" w:rsidP="00682F13">
      <w:pPr>
        <w:pStyle w:val="Grillecouleur-Accent1"/>
      </w:pPr>
    </w:p>
    <w:p w:rsidR="00682F13" w:rsidRPr="00083CDC" w:rsidRDefault="00682F13" w:rsidP="00682F13">
      <w:pPr>
        <w:pStyle w:val="Grillecouleur-Accent1"/>
      </w:pPr>
      <w:r w:rsidRPr="00083CDC">
        <w:t>« Article 58. L’affichage public et la publicité commerciale do</w:t>
      </w:r>
      <w:r w:rsidRPr="00083CDC">
        <w:t>i</w:t>
      </w:r>
      <w:r w:rsidRPr="00083CDC">
        <w:t>vent se faire en français. Ils peuvent également être faits à la fois en français et dans une autre langue pourvu que le français y figure de façon nettement prédominante. Toutefois, le gouvernement peut d</w:t>
      </w:r>
      <w:r w:rsidRPr="00083CDC">
        <w:t>é</w:t>
      </w:r>
      <w:r w:rsidRPr="00083CDC">
        <w:t>terminer, par règlement, les lieux, les cas, les conditions ou les ci</w:t>
      </w:r>
      <w:r w:rsidRPr="00083CDC">
        <w:t>r</w:t>
      </w:r>
      <w:r w:rsidRPr="00083CDC">
        <w:t>constances où l’affichage public et la publicité commerciale doivent se faire uniquement en français ou peuvent se faire sans prédominance du français ou uniquement dans une autre langue. </w:t>
      </w:r>
    </w:p>
    <w:p w:rsidR="00682F13" w:rsidRDefault="00682F13" w:rsidP="00682F13">
      <w:pPr>
        <w:pStyle w:val="Grillecouleur-Accent1"/>
      </w:pPr>
      <w:r w:rsidRPr="00083CDC">
        <w:t>Article 59. L’article 58 ne s’applique pas à la publicité véhic</w:t>
      </w:r>
      <w:r w:rsidRPr="00083CDC">
        <w:t>u</w:t>
      </w:r>
      <w:r w:rsidRPr="00083CDC">
        <w:t>lée par des organes d’information diffusant dans une langue autre que le français, ni aux messages de type religieux, politique, idé</w:t>
      </w:r>
      <w:r w:rsidRPr="00083CDC">
        <w:t>o</w:t>
      </w:r>
      <w:r w:rsidRPr="00083CDC">
        <w:t>logique ou humanitaire pourvu qu’ils ne soient pas à but lucratif. »</w:t>
      </w:r>
    </w:p>
    <w:p w:rsidR="00682F13" w:rsidRPr="00083CDC" w:rsidRDefault="00682F13" w:rsidP="00682F13">
      <w:pPr>
        <w:pStyle w:val="Grillecouleur-Accent1"/>
      </w:pPr>
    </w:p>
    <w:p w:rsidR="00682F13" w:rsidRPr="00083CDC" w:rsidRDefault="00682F13" w:rsidP="00682F13">
      <w:pPr>
        <w:spacing w:before="120" w:after="120"/>
        <w:jc w:val="both"/>
      </w:pPr>
      <w:r w:rsidRPr="00083CDC">
        <w:t>Pour se conformer à la loi 86, les commerçants pouvaient aff</w:t>
      </w:r>
      <w:r w:rsidRPr="00083CDC">
        <w:t>i</w:t>
      </w:r>
      <w:r w:rsidRPr="00083CDC">
        <w:t>cher seulement en français ou afficher en français et dans une a</w:t>
      </w:r>
      <w:r w:rsidRPr="00083CDC">
        <w:t>u</w:t>
      </w:r>
      <w:r w:rsidRPr="00083CDC">
        <w:t>tre langue, mais en faisant en sorte que « le français figure de f</w:t>
      </w:r>
      <w:r w:rsidRPr="00083CDC">
        <w:t>a</w:t>
      </w:r>
      <w:r w:rsidRPr="00083CDC">
        <w:t>çon nettement prédominante » selon les modalités décrites à l’art. 1 du Règlement.</w:t>
      </w:r>
      <w:r w:rsidRPr="00083CDC">
        <w:rPr>
          <w:i/>
        </w:rPr>
        <w:t xml:space="preserve"> </w:t>
      </w:r>
      <w:r w:rsidRPr="00083CDC">
        <w:t>Dans le cadre des conférences, des salons et des expositions intern</w:t>
      </w:r>
      <w:r w:rsidRPr="00083CDC">
        <w:t>a</w:t>
      </w:r>
      <w:r w:rsidRPr="00083CDC">
        <w:lastRenderedPageBreak/>
        <w:t>tionales, ainsi que dans les commerces vendant des produits culturels dans d’autres langues que le français, comme les librairies, les cin</w:t>
      </w:r>
      <w:r w:rsidRPr="00083CDC">
        <w:t>é</w:t>
      </w:r>
      <w:r w:rsidRPr="00083CDC">
        <w:t>mas et les clubs vidéo, l’affichage dans d’autres langues est autorisé sans la présence du français, mais à condition qu’ils n’offrent pas au</w:t>
      </w:r>
      <w:r w:rsidRPr="00083CDC">
        <w:t>s</w:t>
      </w:r>
      <w:r w:rsidRPr="00083CDC">
        <w:t>si des produits en français. Le bilinguisme équivalent (français/une autre langue) est permis pour l’affichage public concernant la santé, la sécurité publique, pour les événements internationaux ainsi que dans les musées, les e</w:t>
      </w:r>
      <w:r w:rsidRPr="00083CDC">
        <w:t>x</w:t>
      </w:r>
      <w:r w:rsidRPr="00083CDC">
        <w:t>positions culturelles ou scientifiques et l’information touristique. Enfin, la publicité doit figurer uniquement en français sur les pa</w:t>
      </w:r>
      <w:r w:rsidRPr="00083CDC">
        <w:t>n</w:t>
      </w:r>
      <w:r w:rsidRPr="00083CDC">
        <w:t>neaux d’affichage aux abords des routes, les affiches de très grand format (16 m</w:t>
      </w:r>
      <w:r w:rsidRPr="00083CDC">
        <w:rPr>
          <w:vertAlign w:val="superscript"/>
        </w:rPr>
        <w:t>2</w:t>
      </w:r>
      <w:r w:rsidRPr="00083CDC">
        <w:t xml:space="preserve"> ou plus</w:t>
      </w:r>
      <w:r w:rsidRPr="00083CDC">
        <w:rPr>
          <w:vertAlign w:val="superscript"/>
        </w:rPr>
        <w:t xml:space="preserve"> </w:t>
      </w:r>
      <w:r w:rsidRPr="00083CDC">
        <w:t>) et les annonces publicitaires sur les tran</w:t>
      </w:r>
      <w:r w:rsidRPr="00083CDC">
        <w:t>s</w:t>
      </w:r>
      <w:r w:rsidRPr="00083CDC">
        <w:t>ports en commun.</w:t>
      </w:r>
    </w:p>
    <w:p w:rsidR="00682F13" w:rsidRPr="00083CDC" w:rsidRDefault="00682F13" w:rsidP="00682F13">
      <w:pPr>
        <w:spacing w:before="120" w:after="120"/>
        <w:jc w:val="both"/>
      </w:pPr>
    </w:p>
    <w:p w:rsidR="00682F13" w:rsidRPr="00083CDC" w:rsidRDefault="00682F13" w:rsidP="00682F13">
      <w:pPr>
        <w:pStyle w:val="planche"/>
      </w:pPr>
      <w:bookmarkStart w:id="7" w:name="Loi_101_aménagement_5"/>
      <w:r w:rsidRPr="00083CDC">
        <w:t>5. Vers un « équilibre linguistique »</w:t>
      </w:r>
      <w:r>
        <w:br/>
      </w:r>
      <w:r w:rsidRPr="00083CDC">
        <w:t xml:space="preserve">dans l’affichage </w:t>
      </w:r>
    </w:p>
    <w:bookmarkEnd w:id="7"/>
    <w:p w:rsidR="00682F13" w:rsidRPr="00083CDC" w:rsidRDefault="00682F13" w:rsidP="00682F13">
      <w:pPr>
        <w:spacing w:before="120" w:after="120"/>
        <w:jc w:val="both"/>
      </w:pPr>
    </w:p>
    <w:p w:rsidR="00682F13" w:rsidRPr="00384B20" w:rsidRDefault="00682F13" w:rsidP="00682F13">
      <w:pPr>
        <w:ind w:right="90" w:firstLine="0"/>
        <w:jc w:val="both"/>
        <w:rPr>
          <w:sz w:val="20"/>
        </w:rPr>
      </w:pPr>
      <w:hyperlink w:anchor="tdm" w:history="1">
        <w:r w:rsidRPr="00384B20">
          <w:rPr>
            <w:rStyle w:val="Lienhypertexte"/>
            <w:sz w:val="20"/>
          </w:rPr>
          <w:t>Retour à la table des matières</w:t>
        </w:r>
      </w:hyperlink>
    </w:p>
    <w:p w:rsidR="00682F13" w:rsidRPr="00083CDC" w:rsidRDefault="00682F13" w:rsidP="00682F13">
      <w:pPr>
        <w:spacing w:before="120" w:after="120"/>
        <w:jc w:val="both"/>
      </w:pPr>
      <w:r w:rsidRPr="00083CDC">
        <w:t>La loi 86 s’avéra populaire en 1996 lorsque des sondages à l’échelle du Québec montrèrent que 87 % des Québécois dés</w:t>
      </w:r>
      <w:r w:rsidRPr="00083CDC">
        <w:t>i</w:t>
      </w:r>
      <w:r w:rsidRPr="00083CDC">
        <w:t>raient maintenir la prédominance du français dans l’affichage commercial. Après quelques années de mise en vigueur de la loi 86, l’Office de la langue française (</w:t>
      </w:r>
      <w:r w:rsidRPr="00083CDC">
        <w:rPr>
          <w:smallCaps/>
        </w:rPr>
        <w:t>olf</w:t>
      </w:r>
      <w:r w:rsidRPr="00083CDC">
        <w:t>) et le Conseil de la langue française (</w:t>
      </w:r>
      <w:r w:rsidRPr="00083CDC">
        <w:rPr>
          <w:smallCaps/>
        </w:rPr>
        <w:t>clf</w:t>
      </w:r>
      <w:r w:rsidRPr="00083CDC">
        <w:t>) ont effectué trois études de grande envergure sur la francisation du pays</w:t>
      </w:r>
      <w:r w:rsidRPr="00083CDC">
        <w:t>a</w:t>
      </w:r>
      <w:r w:rsidRPr="00083CDC">
        <w:t>ge linguistique dans l’île de Montréal (Qu</w:t>
      </w:r>
      <w:r w:rsidRPr="00083CDC">
        <w:t>é</w:t>
      </w:r>
      <w:r w:rsidRPr="00083CDC">
        <w:t>bec, 1997). L’affichage commercial a été étudié par des enqu</w:t>
      </w:r>
      <w:r w:rsidRPr="00083CDC">
        <w:t>ê</w:t>
      </w:r>
      <w:r w:rsidRPr="00083CDC">
        <w:t>teurs indépendants dans 2008 magasins de Montréal en 1995, dans 2040 magasins en 1996 et dans 2016 magasins en 1997. Les e</w:t>
      </w:r>
      <w:r w:rsidRPr="00083CDC">
        <w:t>n</w:t>
      </w:r>
      <w:r w:rsidRPr="00083CDC">
        <w:t>quêtes ont porté sur l’affichage visible de la rue, des vitrines et des façades des commerces et des entreprises de services, à l’exception de l’affichage des gouvernements, des ét</w:t>
      </w:r>
      <w:r w:rsidRPr="00083CDC">
        <w:t>a</w:t>
      </w:r>
      <w:r w:rsidRPr="00083CDC">
        <w:t>blissements scolaires publics et des édifices religieux. Les marques de co</w:t>
      </w:r>
      <w:r w:rsidRPr="00083CDC">
        <w:t>m</w:t>
      </w:r>
      <w:r w:rsidRPr="00083CDC">
        <w:t>merces (Canadian Tire, McDonald’s, Music World, Second Cup) étaient exclues des analyses parce que la loi ne peut obliger à tr</w:t>
      </w:r>
      <w:r w:rsidRPr="00083CDC">
        <w:t>a</w:t>
      </w:r>
      <w:r w:rsidRPr="00083CDC">
        <w:t>duire une marque de commerce, compte tenu des accords intern</w:t>
      </w:r>
      <w:r w:rsidRPr="00083CDC">
        <w:t>a</w:t>
      </w:r>
      <w:r w:rsidRPr="00083CDC">
        <w:t>tionaux. Parmi les magasins recensés dans les études, la propo</w:t>
      </w:r>
      <w:r w:rsidRPr="00083CDC">
        <w:t>r</w:t>
      </w:r>
      <w:r w:rsidRPr="00083CDC">
        <w:t xml:space="preserve">tion de ceux qui utilisaient au moins un message en français a augmenté, passant de 94 % en 1995 à 97 % en 1997, tandis que la proportion de ceux qui </w:t>
      </w:r>
      <w:r w:rsidRPr="00083CDC">
        <w:lastRenderedPageBreak/>
        <w:t>utilisaient au moins un message en anglais a augmenté de 45 % en 1995 à 50 % en 1997. Dans toute l’île, la proportion des magasins a</w:t>
      </w:r>
      <w:r w:rsidRPr="00083CDC">
        <w:t>f</w:t>
      </w:r>
      <w:r w:rsidRPr="00083CDC">
        <w:t>fichant</w:t>
      </w:r>
      <w:r>
        <w:t xml:space="preserve"> [120]</w:t>
      </w:r>
      <w:r w:rsidRPr="00083CDC">
        <w:t xml:space="preserve"> uniquement en anglais a décliné de 2,5 % en 1995 à 1 % en 1997. Dans la partie ouest de l’île de Montréal, où les anglophones constituent la majorité, la proportion des commerces affichant un</w:t>
      </w:r>
      <w:r w:rsidRPr="00083CDC">
        <w:t>i</w:t>
      </w:r>
      <w:r w:rsidRPr="00083CDC">
        <w:t>quement en anglais a baissé, passant de 3,8 % en 1995 à 1,5 % en 1997. L’enquête de 1997 démontre en plus</w:t>
      </w:r>
      <w:r w:rsidRPr="00083CDC">
        <w:rPr>
          <w:i/>
        </w:rPr>
        <w:t xml:space="preserve"> </w:t>
      </w:r>
      <w:r w:rsidRPr="00083CDC">
        <w:t>que 76 % des commerces sont conformes à la loi. Ces commerces conformes se répartissent de la façon suivante : 47 % le sont parce qu’ils présentent un affichage unilingue français, 17 ont des messages unilingues français et un ce</w:t>
      </w:r>
      <w:r w:rsidRPr="00083CDC">
        <w:t>r</w:t>
      </w:r>
      <w:r w:rsidRPr="00083CDC">
        <w:t>tain nombre de messages bilingues avec une nette prédominance du français. Ai</w:t>
      </w:r>
      <w:r w:rsidRPr="00083CDC">
        <w:t>n</w:t>
      </w:r>
      <w:r w:rsidRPr="00083CDC">
        <w:t>si, après seulement quatre ans d’application, la loi 86 avait contr</w:t>
      </w:r>
      <w:r w:rsidRPr="00083CDC">
        <w:t>i</w:t>
      </w:r>
      <w:r w:rsidRPr="00083CDC">
        <w:t>bué à la consolidation du paysage français de Montréal, tout en respectant le droit des minorités linguistiques d’utiliser leur propre langue dans l’affichage commercial. Cette évolution des aju</w:t>
      </w:r>
      <w:r w:rsidRPr="00083CDC">
        <w:t>s</w:t>
      </w:r>
      <w:r w:rsidRPr="00083CDC">
        <w:t>tements juridiques de la loi 101 de 1977, aboutissant à la loi 86 de 1993, témoignait de l’évolution des mentalités et laissait entrevoir pour l’avenir</w:t>
      </w:r>
      <w:r w:rsidRPr="00083CDC">
        <w:rPr>
          <w:i/>
        </w:rPr>
        <w:t xml:space="preserve"> </w:t>
      </w:r>
      <w:r w:rsidRPr="00083CDC">
        <w:t>une certaine paix linguistique sur le front de la francis</w:t>
      </w:r>
      <w:r w:rsidRPr="00083CDC">
        <w:t>a</w:t>
      </w:r>
      <w:r w:rsidRPr="00083CDC">
        <w:t xml:space="preserve">tion du paysage linguistique du Québec (Woehrling, 2000). </w:t>
      </w:r>
    </w:p>
    <w:p w:rsidR="00682F13" w:rsidRPr="00083CDC" w:rsidRDefault="00682F13" w:rsidP="00682F13">
      <w:pPr>
        <w:spacing w:before="120" w:after="120"/>
        <w:jc w:val="both"/>
      </w:pPr>
      <w:r w:rsidRPr="00083CDC">
        <w:t>Cependant, après quinze ans d’unilinguisme français dans l’affichage commercial, en conformité avec les lois 101 et 178, les grands commerces du centre-ville et à l’ouest de l’île de Montréal f</w:t>
      </w:r>
      <w:r w:rsidRPr="00083CDC">
        <w:t>u</w:t>
      </w:r>
      <w:r w:rsidRPr="00083CDC">
        <w:t>rent lents à réintroduire le bilinguisme en ajoutant jusqu’à un tiers d’une autre</w:t>
      </w:r>
      <w:r w:rsidRPr="00083CDC">
        <w:rPr>
          <w:i/>
        </w:rPr>
        <w:t xml:space="preserve"> </w:t>
      </w:r>
      <w:r w:rsidRPr="00083CDC">
        <w:t>langue</w:t>
      </w:r>
      <w:r w:rsidRPr="00083CDC">
        <w:rPr>
          <w:i/>
        </w:rPr>
        <w:t xml:space="preserve"> </w:t>
      </w:r>
      <w:r w:rsidRPr="00083CDC">
        <w:t>(incluant l’anglais) sur leurs affiches comme le permettait la loi 86. En 1996, un groupe de militants anglophones d</w:t>
      </w:r>
      <w:r w:rsidRPr="00083CDC">
        <w:t>i</w:t>
      </w:r>
      <w:r w:rsidRPr="00083CDC">
        <w:t>rigé par Howard Galganov se mit à boycotter les grandes surfaces de l’ouest de Montréal qui, selon eux, n’offraient pas à l’anglais le tiers de la prédominance qui pouvait revenir à cette langue dans l’affichage commercial externe et interne. La campagne de boycottage fut un su</w:t>
      </w:r>
      <w:r w:rsidRPr="00083CDC">
        <w:t>c</w:t>
      </w:r>
      <w:r w:rsidRPr="00083CDC">
        <w:t>cès et beaucoup de grands magasins dans l’ouest de Montréal pass</w:t>
      </w:r>
      <w:r w:rsidRPr="00083CDC">
        <w:t>è</w:t>
      </w:r>
      <w:r w:rsidRPr="00083CDC">
        <w:t>rent de l’unilinguisme français au bilinguisme avec nette</w:t>
      </w:r>
      <w:r w:rsidRPr="00083CDC">
        <w:rPr>
          <w:i/>
        </w:rPr>
        <w:t xml:space="preserve"> </w:t>
      </w:r>
      <w:r w:rsidRPr="00083CDC">
        <w:t>prédomina</w:t>
      </w:r>
      <w:r w:rsidRPr="00083CDC">
        <w:t>n</w:t>
      </w:r>
      <w:r w:rsidRPr="00083CDC">
        <w:t>ce du français.</w:t>
      </w:r>
    </w:p>
    <w:p w:rsidR="00682F13" w:rsidRPr="00083CDC" w:rsidRDefault="00682F13" w:rsidP="00682F13">
      <w:pPr>
        <w:spacing w:before="120" w:after="120"/>
        <w:jc w:val="both"/>
      </w:pPr>
      <w:r w:rsidRPr="00083CDC">
        <w:t>Par contre, le boycott d’Alliance Québec de 1998 pour changer l’affichage unilingue français des grands magasins du centre-ville de Montréal fut déjoué par la concertation du gouvernement du Québec et des syndicats francophones de la région montréalaise. Au nom de la majorité des consommateurs francophones de Mo</w:t>
      </w:r>
      <w:r w:rsidRPr="00083CDC">
        <w:t>n</w:t>
      </w:r>
      <w:r w:rsidRPr="00083CDC">
        <w:t xml:space="preserve">tréal, les syndicats francophones menacèrent d’organiser à leur tour un boycott des </w:t>
      </w:r>
      <w:r w:rsidRPr="00083CDC">
        <w:lastRenderedPageBreak/>
        <w:t>grands magasins du centre-ville si ces derniers passaient au bilingui</w:t>
      </w:r>
      <w:r w:rsidRPr="00083CDC">
        <w:t>s</w:t>
      </w:r>
      <w:r w:rsidRPr="00083CDC">
        <w:t>me dans l’affichage. Pris entre deux feux, les propriétaires des grands magasins du centre-ville révélèrent qu’un accord secret avait été passé en 1993 avec le gouvernement libéral pour établir un « équilibre li</w:t>
      </w:r>
      <w:r w:rsidRPr="00083CDC">
        <w:t>n</w:t>
      </w:r>
      <w:r w:rsidRPr="00083CDC">
        <w:t>guistique » par lequel l’affichage commercial resterait unilingue fra</w:t>
      </w:r>
      <w:r w:rsidRPr="00083CDC">
        <w:t>n</w:t>
      </w:r>
      <w:r w:rsidRPr="00083CDC">
        <w:t>çais, notamment dans le but de maintenir l’aspect essentiellement francophone du paysage linguistique du centre-ville de Montréal. Su</w:t>
      </w:r>
      <w:r w:rsidRPr="00083CDC">
        <w:t>i</w:t>
      </w:r>
      <w:r w:rsidRPr="00083CDC">
        <w:t>te à des discussions avec le premier ministre Lucien Bouchard en 1998, il était évident que le gouvernement du Parti québécois désirait lui aussi maintenir « l’équilibre linguistique » même si cela voulait dire que les pr</w:t>
      </w:r>
      <w:r w:rsidRPr="00083CDC">
        <w:t>o</w:t>
      </w:r>
      <w:r w:rsidRPr="00083CDC">
        <w:t>priétaires des grands magasins du centre-ville devaient abdiquer leur droit d’afficher dans les deux langues, comme le pe</w:t>
      </w:r>
      <w:r w:rsidRPr="00083CDC">
        <w:t>r</w:t>
      </w:r>
      <w:r w:rsidRPr="00083CDC">
        <w:t>mettait la loi 86. Le statut quo qui en résulta quant à l’affichage un</w:t>
      </w:r>
      <w:r w:rsidRPr="00083CDC">
        <w:t>i</w:t>
      </w:r>
      <w:r w:rsidRPr="00083CDC">
        <w:t>lingue français dans le centre-ville de Montréal entraîna une scission dans la direction d’Alliance Québec. La vieille garde des membres d’Alliance Québec forma une association rivale déterminée à améli</w:t>
      </w:r>
      <w:r w:rsidRPr="00083CDC">
        <w:t>o</w:t>
      </w:r>
      <w:r w:rsidRPr="00083CDC">
        <w:t>rer la situation de l’anglais en poursuivant le dialogue avec le gouve</w:t>
      </w:r>
      <w:r w:rsidRPr="00083CDC">
        <w:t>r</w:t>
      </w:r>
      <w:r w:rsidRPr="00083CDC">
        <w:t>nement du Québec. D’autres anglophones restèrent au sein d’Alliance Québec qui se fit plus militante sous la présidence de William Joh</w:t>
      </w:r>
      <w:r w:rsidRPr="00083CDC">
        <w:t>n</w:t>
      </w:r>
      <w:r w:rsidRPr="00083CDC">
        <w:t xml:space="preserve">son, se </w:t>
      </w:r>
      <w:r>
        <w:t xml:space="preserve">[121] </w:t>
      </w:r>
      <w:r w:rsidRPr="00083CDC">
        <w:t>jurant de continuer la lutte pour assurer le bilinguisme dans l’affichage commercial. M. Johnson commenta ainsi le coup d’envoi de son nouveau plan d’action d’Alliance Québec afin de rét</w:t>
      </w:r>
      <w:r w:rsidRPr="00083CDC">
        <w:t>a</w:t>
      </w:r>
      <w:r w:rsidRPr="00083CDC">
        <w:t>blir l’affichage commercial systématiquement bilingue au Québec :</w:t>
      </w:r>
    </w:p>
    <w:p w:rsidR="00682F13" w:rsidRDefault="00682F13" w:rsidP="00682F13">
      <w:pPr>
        <w:pStyle w:val="Grillecouleur-Accent1"/>
      </w:pPr>
    </w:p>
    <w:p w:rsidR="00682F13" w:rsidRPr="00083CDC" w:rsidRDefault="00682F13" w:rsidP="00682F13">
      <w:pPr>
        <w:pStyle w:val="Grillecouleur-Accent1"/>
      </w:pPr>
      <w:r w:rsidRPr="00083CDC">
        <w:t>« Il est vrai que les affiches commerciales ne constituent pas l’enjeu principal pour la communauté anglophone, mais nous d</w:t>
      </w:r>
      <w:r w:rsidRPr="00083CDC">
        <w:t>e</w:t>
      </w:r>
      <w:r w:rsidRPr="00083CDC">
        <w:t>vions commencer quelque part, et les affiches commerciales ont leur importance, symbol</w:t>
      </w:r>
      <w:r w:rsidRPr="00083CDC">
        <w:t>i</w:t>
      </w:r>
      <w:r w:rsidRPr="00083CDC">
        <w:t>que, parce qu’elles se retrouvent dans la vie de tous les jours de tout le monde. Si vous ne pouvez pas voir une affiche en a</w:t>
      </w:r>
      <w:r w:rsidRPr="00083CDC">
        <w:t>n</w:t>
      </w:r>
      <w:r w:rsidRPr="00083CDC">
        <w:t>glais chez Eaton rue Sainte-Catherine, le message que cela envoie, c’est que l’anglais ne com</w:t>
      </w:r>
      <w:r w:rsidRPr="00083CDC">
        <w:t>p</w:t>
      </w:r>
      <w:r w:rsidRPr="00083CDC">
        <w:t>te pas au Québec, qu’on peut l’ignorer et le bannir à volonté. Nous en viendrons aux autres questions, laissez-nous simplement le temps… Bie</w:t>
      </w:r>
      <w:r w:rsidRPr="00083CDC">
        <w:t>n</w:t>
      </w:r>
      <w:r w:rsidRPr="00083CDC">
        <w:t>venue dans le futur, attachez vos t</w:t>
      </w:r>
      <w:r w:rsidRPr="00083CDC">
        <w:t>u</w:t>
      </w:r>
      <w:r w:rsidRPr="00083CDC">
        <w:t>ques! » (</w:t>
      </w:r>
      <w:r w:rsidRPr="00083CDC">
        <w:rPr>
          <w:i/>
        </w:rPr>
        <w:t>Le Devoir</w:t>
      </w:r>
      <w:r w:rsidRPr="00083CDC">
        <w:t>, 10 septembre 1998).</w:t>
      </w:r>
    </w:p>
    <w:p w:rsidR="00682F13" w:rsidRPr="00083CDC" w:rsidRDefault="00682F13" w:rsidP="00682F13">
      <w:pPr>
        <w:spacing w:before="120" w:after="120"/>
        <w:jc w:val="both"/>
        <w:rPr>
          <w:b/>
        </w:rPr>
      </w:pPr>
      <w:r>
        <w:rPr>
          <w:b/>
        </w:rPr>
        <w:br w:type="page"/>
      </w:r>
    </w:p>
    <w:p w:rsidR="00682F13" w:rsidRPr="00083CDC" w:rsidRDefault="00682F13" w:rsidP="00682F13">
      <w:pPr>
        <w:pStyle w:val="planche"/>
      </w:pPr>
      <w:bookmarkStart w:id="8" w:name="Loi_101_aménagement_6"/>
      <w:r>
        <w:t>6. Controverses et ajustements</w:t>
      </w:r>
      <w:r>
        <w:br/>
      </w:r>
      <w:r w:rsidRPr="00083CDC">
        <w:t>dans l’application de la loi 86</w:t>
      </w:r>
    </w:p>
    <w:bookmarkEnd w:id="8"/>
    <w:p w:rsidR="00682F13" w:rsidRPr="00083CDC" w:rsidRDefault="00682F13" w:rsidP="00682F13">
      <w:pPr>
        <w:spacing w:before="120" w:after="120"/>
        <w:jc w:val="both"/>
      </w:pPr>
    </w:p>
    <w:p w:rsidR="00682F13" w:rsidRPr="00384B20" w:rsidRDefault="00682F13" w:rsidP="00682F13">
      <w:pPr>
        <w:ind w:right="90" w:firstLine="0"/>
        <w:jc w:val="both"/>
        <w:rPr>
          <w:sz w:val="20"/>
        </w:rPr>
      </w:pPr>
      <w:hyperlink w:anchor="tdm" w:history="1">
        <w:r w:rsidRPr="00384B20">
          <w:rPr>
            <w:rStyle w:val="Lienhypertexte"/>
            <w:sz w:val="20"/>
          </w:rPr>
          <w:t>Retour à la table des matières</w:t>
        </w:r>
      </w:hyperlink>
    </w:p>
    <w:p w:rsidR="00682F13" w:rsidRPr="00083CDC" w:rsidRDefault="00682F13" w:rsidP="00682F13">
      <w:pPr>
        <w:spacing w:before="120" w:after="120"/>
        <w:jc w:val="both"/>
      </w:pPr>
      <w:r w:rsidRPr="00083CDC">
        <w:t>L’application des dispositions relatives à l’affichage comme</w:t>
      </w:r>
      <w:r w:rsidRPr="00083CDC">
        <w:t>r</w:t>
      </w:r>
      <w:r w:rsidRPr="00083CDC">
        <w:t>cial par l’</w:t>
      </w:r>
      <w:r w:rsidRPr="00083CDC">
        <w:rPr>
          <w:smallCaps/>
        </w:rPr>
        <w:t>olf</w:t>
      </w:r>
      <w:r w:rsidRPr="00083CDC">
        <w:t xml:space="preserve"> et la Commission de protection de la langue frança</w:t>
      </w:r>
      <w:r w:rsidRPr="00083CDC">
        <w:t>i</w:t>
      </w:r>
      <w:r w:rsidRPr="00083CDC">
        <w:t>se (</w:t>
      </w:r>
      <w:r w:rsidRPr="00083CDC">
        <w:rPr>
          <w:smallCaps/>
        </w:rPr>
        <w:t>cplf</w:t>
      </w:r>
      <w:r w:rsidRPr="00083CDC">
        <w:t>) suscitèrent quelques contro</w:t>
      </w:r>
      <w:r w:rsidRPr="00083CDC">
        <w:softHyphen/>
        <w:t>verses hautement médiatisées au Québec, au Canada et aux États-Unis (Fishman, 1991 et dans ce numéro). Par exemple, en 1996, à la veille de la fête de Pass</w:t>
      </w:r>
      <w:r w:rsidRPr="00083CDC">
        <w:t>o</w:t>
      </w:r>
      <w:r w:rsidRPr="00083CDC">
        <w:t>ver, des médias ont rapporté que</w:t>
      </w:r>
      <w:r w:rsidRPr="00083CDC">
        <w:rPr>
          <w:i/>
        </w:rPr>
        <w:t xml:space="preserve"> </w:t>
      </w:r>
      <w:r w:rsidRPr="00083CDC">
        <w:t>l’</w:t>
      </w:r>
      <w:r w:rsidRPr="00083CDC">
        <w:rPr>
          <w:smallCaps/>
        </w:rPr>
        <w:t>olf</w:t>
      </w:r>
      <w:r w:rsidRPr="00083CDC">
        <w:t xml:space="preserve"> avait avisé certaines</w:t>
      </w:r>
      <w:r w:rsidRPr="00083CDC">
        <w:rPr>
          <w:i/>
        </w:rPr>
        <w:t xml:space="preserve"> </w:t>
      </w:r>
      <w:r w:rsidRPr="00083CDC">
        <w:t>épic</w:t>
      </w:r>
      <w:r w:rsidRPr="00083CDC">
        <w:t>e</w:t>
      </w:r>
      <w:r w:rsidRPr="00083CDC">
        <w:t>ries de Montréal qu’elles trans</w:t>
      </w:r>
      <w:r w:rsidRPr="00083CDC">
        <w:softHyphen/>
        <w:t>gressaient la loi parce que les pr</w:t>
      </w:r>
      <w:r w:rsidRPr="00083CDC">
        <w:t>o</w:t>
      </w:r>
      <w:r w:rsidRPr="00083CDC">
        <w:t>duits kasher sur leurs étagères portaient des étiquettes uniquement en anglais, en hébreu ou en yi</w:t>
      </w:r>
      <w:r w:rsidRPr="00083CDC">
        <w:t>d</w:t>
      </w:r>
      <w:r w:rsidRPr="00083CDC">
        <w:t>dish. En conséquence, un certain nombre de magasins d’alimentation enlevèrent les produits kasher de leurs étagères durant cette importa</w:t>
      </w:r>
      <w:r w:rsidRPr="00083CDC">
        <w:t>n</w:t>
      </w:r>
      <w:r w:rsidRPr="00083CDC">
        <w:t>te fête religieuse hébraïque. Malgré les représentations faites par la communauté juive de Montréal, l’</w:t>
      </w:r>
      <w:r w:rsidRPr="00083CDC">
        <w:rPr>
          <w:smallCaps/>
        </w:rPr>
        <w:t>olf</w:t>
      </w:r>
      <w:r w:rsidRPr="00083CDC">
        <w:t xml:space="preserve"> avait refusé d’exempter les pr</w:t>
      </w:r>
      <w:r w:rsidRPr="00083CDC">
        <w:t>o</w:t>
      </w:r>
      <w:r w:rsidRPr="00083CDC">
        <w:t>duits kasher importés de New York des dispositions de la loi conce</w:t>
      </w:r>
      <w:r w:rsidRPr="00083CDC">
        <w:t>r</w:t>
      </w:r>
      <w:r w:rsidRPr="00083CDC">
        <w:t>nant l’étiquetage (art. 51). Pourtant, la loi prévoyait, et c’est encore le cas, des exemptions pour les produits spécialisés n’ayant aucun équ</w:t>
      </w:r>
      <w:r w:rsidRPr="00083CDC">
        <w:t>i</w:t>
      </w:r>
      <w:r w:rsidRPr="00083CDC">
        <w:t>valent étiqueté en français sur le marché québécois (art. 2 du Règl</w:t>
      </w:r>
      <w:r w:rsidRPr="00083CDC">
        <w:t>e</w:t>
      </w:r>
      <w:r w:rsidRPr="00083CDC">
        <w:t>ment sur la langue du commerce et des affaires). En 1997, une entr</w:t>
      </w:r>
      <w:r w:rsidRPr="00083CDC">
        <w:t>e</w:t>
      </w:r>
      <w:r w:rsidRPr="00083CDC">
        <w:t>pr</w:t>
      </w:r>
      <w:r w:rsidRPr="00083CDC">
        <w:t>i</w:t>
      </w:r>
      <w:r w:rsidRPr="00083CDC">
        <w:t xml:space="preserve">se de monuments funéraires juive établie de longue date sur une artère importante du centre-ville de Montréal reçut aussi une lettre d’avertissement de la </w:t>
      </w:r>
      <w:r w:rsidRPr="00083CDC">
        <w:rPr>
          <w:smallCaps/>
        </w:rPr>
        <w:t>cplf</w:t>
      </w:r>
      <w:r w:rsidRPr="00083CDC">
        <w:t xml:space="preserve"> parce que figuraient sur son enseigne commerciale des caractères hébreux un peu plus grands que leur tr</w:t>
      </w:r>
      <w:r w:rsidRPr="00083CDC">
        <w:t>a</w:t>
      </w:r>
      <w:r w:rsidRPr="00083CDC">
        <w:t>duction en français. Ces deux cas hautement médiatisés au C</w:t>
      </w:r>
      <w:r w:rsidRPr="00083CDC">
        <w:t>a</w:t>
      </w:r>
      <w:r w:rsidRPr="00083CDC">
        <w:t>nada et aux États-Unis furent résolus grâce à des accords spéciaux avec la m</w:t>
      </w:r>
      <w:r w:rsidRPr="00083CDC">
        <w:t>i</w:t>
      </w:r>
      <w:r w:rsidRPr="00083CDC">
        <w:t>nistre</w:t>
      </w:r>
      <w:r w:rsidRPr="00083CDC">
        <w:rPr>
          <w:i/>
        </w:rPr>
        <w:t xml:space="preserve"> </w:t>
      </w:r>
      <w:r w:rsidRPr="00083CDC">
        <w:t>chargée de l’application de la loi 101.</w:t>
      </w:r>
    </w:p>
    <w:p w:rsidR="00682F13" w:rsidRPr="00083CDC" w:rsidRDefault="00682F13" w:rsidP="00682F13">
      <w:pPr>
        <w:spacing w:before="120" w:after="120"/>
        <w:jc w:val="both"/>
      </w:pPr>
      <w:r w:rsidRPr="00083CDC">
        <w:t>En 1997, à la suite de nombreuses plaintes concernant l’affichage commercial dans le quartier chinois</w:t>
      </w:r>
      <w:r w:rsidRPr="00083CDC">
        <w:rPr>
          <w:i/>
        </w:rPr>
        <w:t>,</w:t>
      </w:r>
      <w:r w:rsidRPr="00083CDC">
        <w:t xml:space="preserve"> les fonctionnaires de la </w:t>
      </w:r>
      <w:r w:rsidRPr="00083CDC">
        <w:rPr>
          <w:smallCaps/>
        </w:rPr>
        <w:t xml:space="preserve">cplf </w:t>
      </w:r>
      <w:r w:rsidRPr="00083CDC">
        <w:t>o</w:t>
      </w:r>
      <w:r w:rsidRPr="00083CDC">
        <w:t>r</w:t>
      </w:r>
      <w:r w:rsidRPr="00083CDC">
        <w:t>ganisèrent une série de rencontres avec des dirigeants influents de la communauté chinoise et</w:t>
      </w:r>
      <w:r w:rsidRPr="00083CDC">
        <w:rPr>
          <w:i/>
        </w:rPr>
        <w:t xml:space="preserve"> </w:t>
      </w:r>
      <w:r w:rsidRPr="00083CDC">
        <w:t>des commerçants. Par la suite, des fonctio</w:t>
      </w:r>
      <w:r w:rsidRPr="00083CDC">
        <w:t>n</w:t>
      </w:r>
      <w:r w:rsidRPr="00083CDC">
        <w:t xml:space="preserve">naires de la </w:t>
      </w:r>
      <w:r w:rsidRPr="00083CDC">
        <w:rPr>
          <w:smallCaps/>
        </w:rPr>
        <w:t>cplf</w:t>
      </w:r>
      <w:r w:rsidRPr="00083CDC">
        <w:t xml:space="preserve"> se sont rendus visiter une pa</w:t>
      </w:r>
      <w:r w:rsidRPr="00083CDC">
        <w:t>r</w:t>
      </w:r>
      <w:r w:rsidRPr="00083CDC">
        <w:t>tie des commerces du quartier pour examiner leur conformité. Des infractions ayant été constatées, une lettre fut expédiée à un nombre important de comme</w:t>
      </w:r>
      <w:r w:rsidRPr="00083CDC">
        <w:t>r</w:t>
      </w:r>
      <w:r w:rsidRPr="00083CDC">
        <w:lastRenderedPageBreak/>
        <w:t>çants chinois pour leur signaler les éléments à corriger (le français d</w:t>
      </w:r>
      <w:r w:rsidRPr="00083CDC">
        <w:t>e</w:t>
      </w:r>
      <w:r w:rsidRPr="00083CDC">
        <w:t>vant être prédominant par rapport au chinois) et leur demander de proposer un échéancier</w:t>
      </w:r>
      <w:r w:rsidRPr="00083CDC">
        <w:rPr>
          <w:i/>
        </w:rPr>
        <w:t xml:space="preserve"> </w:t>
      </w:r>
      <w:r w:rsidRPr="00083CDC">
        <w:t>raisonn</w:t>
      </w:r>
      <w:r w:rsidRPr="00083CDC">
        <w:t>a</w:t>
      </w:r>
      <w:r w:rsidRPr="00083CDC">
        <w:t>ble de correction. La Chambre de commerce du quartier chinois s’opposa vivement à ces exigences, a</w:t>
      </w:r>
      <w:r w:rsidRPr="00083CDC">
        <w:t>r</w:t>
      </w:r>
      <w:r w:rsidRPr="00083CDC">
        <w:t>guant que le français était moins menacé par la présence du chinois sur les enseignes co</w:t>
      </w:r>
      <w:r w:rsidRPr="00083CDC">
        <w:t>m</w:t>
      </w:r>
      <w:r w:rsidRPr="00083CDC">
        <w:t xml:space="preserve">merciales </w:t>
      </w:r>
      <w:r>
        <w:t xml:space="preserve">[122] </w:t>
      </w:r>
      <w:r w:rsidRPr="00083CDC">
        <w:t>du quartier que par l’influence de l’anglais à l’échelle de l’île de Montréal. La cause étant fortement médiatisée au Québec et au Canada, un moratoire fut établi au début de 1998 de la part du gouvernement, et des rencontres de médiation entre de hauts fonctionnaires et les commerçants chinois eurent lieu pour mener, un an plus tard, à une entente à l’amiable. En reconnai</w:t>
      </w:r>
      <w:r w:rsidRPr="00083CDC">
        <w:t>s</w:t>
      </w:r>
      <w:r w:rsidRPr="00083CDC">
        <w:t>sant l’importance de leur clientèle francophone, les commerçants a</w:t>
      </w:r>
      <w:r w:rsidRPr="00083CDC">
        <w:t>c</w:t>
      </w:r>
      <w:r w:rsidRPr="00083CDC">
        <w:t>ceptèrent dès lors</w:t>
      </w:r>
      <w:r w:rsidRPr="00083CDC">
        <w:rPr>
          <w:i/>
        </w:rPr>
        <w:t xml:space="preserve"> </w:t>
      </w:r>
      <w:r w:rsidRPr="00083CDC">
        <w:t>volontairement d’assurer une « présence évide</w:t>
      </w:r>
      <w:r w:rsidRPr="00083CDC">
        <w:t>n</w:t>
      </w:r>
      <w:r w:rsidRPr="00083CDC">
        <w:t>te » du français sur les affiches commerciales du quartier chinois. Le co</w:t>
      </w:r>
      <w:r w:rsidRPr="00083CDC">
        <w:t>m</w:t>
      </w:r>
      <w:r w:rsidRPr="00083CDC">
        <w:t>promis, par rapport à la règle de la « nette prédominance du fra</w:t>
      </w:r>
      <w:r w:rsidRPr="00083CDC">
        <w:t>n</w:t>
      </w:r>
      <w:r w:rsidRPr="00083CDC">
        <w:t>çais », reposait sur l’hypothèse de ce qui ressort visuell</w:t>
      </w:r>
      <w:r w:rsidRPr="00083CDC">
        <w:t>e</w:t>
      </w:r>
      <w:r w:rsidRPr="00083CDC">
        <w:t>ment dans l’affichage bilingue comprenant une graphie autre (ch</w:t>
      </w:r>
      <w:r w:rsidRPr="00083CDC">
        <w:t>i</w:t>
      </w:r>
      <w:r w:rsidRPr="00083CDC">
        <w:t>noise, arabe, grecque) que romaine (français, anglais, espagnol). Dans ce type d’affichage bilingue, le regard des lecteurs francophones ou angl</w:t>
      </w:r>
      <w:r w:rsidRPr="00083CDC">
        <w:t>o</w:t>
      </w:r>
      <w:r w:rsidRPr="00083CDC">
        <w:t>phones se porte</w:t>
      </w:r>
      <w:r w:rsidRPr="00083CDC">
        <w:rPr>
          <w:i/>
        </w:rPr>
        <w:t xml:space="preserve"> </w:t>
      </w:r>
      <w:r w:rsidRPr="00083CDC">
        <w:t>plus spontanément vers la partie de l’affiche incluant la graphie romaine que vers la graphie chinoise, arabe ou grecque. I</w:t>
      </w:r>
      <w:r w:rsidRPr="00083CDC">
        <w:t>n</w:t>
      </w:r>
      <w:r w:rsidRPr="00083CDC">
        <w:t>dépendamment de la prédominance de la graphie chinoise dans l’affichage bilingue du quartier chinois, il s’agissait surtout d’assurer la nette</w:t>
      </w:r>
      <w:r w:rsidRPr="00083CDC">
        <w:rPr>
          <w:i/>
        </w:rPr>
        <w:t xml:space="preserve"> </w:t>
      </w:r>
      <w:r w:rsidRPr="00083CDC">
        <w:t xml:space="preserve">prédominance du français par rapport aux autres langues de graphie romaine telles que l’anglais. Ce compromis en faveur d’une « présence évidente » du français semblait acceptable aux deux partis étant donné la prédominance de la graphie chinoise dans l’affichage commercial des quartiers asiatiques des autres grandes villes de l’Amérique du Nord, de l’Europe et de l’Australie. </w:t>
      </w:r>
    </w:p>
    <w:p w:rsidR="00682F13" w:rsidRPr="00083CDC" w:rsidRDefault="00682F13" w:rsidP="00682F13">
      <w:pPr>
        <w:spacing w:before="120" w:after="120"/>
        <w:jc w:val="both"/>
      </w:pPr>
      <w:r w:rsidRPr="00083CDC">
        <w:t>Suite à ces évènements controversés, une autre étude d’envergure fut entreprise par l’</w:t>
      </w:r>
      <w:r w:rsidRPr="00083CDC">
        <w:rPr>
          <w:smallCaps/>
        </w:rPr>
        <w:t>olf</w:t>
      </w:r>
      <w:r w:rsidRPr="00083CDC">
        <w:t xml:space="preserve"> et le </w:t>
      </w:r>
      <w:r w:rsidRPr="00083CDC">
        <w:rPr>
          <w:smallCaps/>
        </w:rPr>
        <w:t>clf</w:t>
      </w:r>
      <w:r w:rsidRPr="00083CDC">
        <w:t xml:space="preserve"> durant l’année 1999 pour établir le bilan de l’affichage commercial sur l’ensemble de l’île de Montréal (Bouchard et Maurais, 2000). Utilisant une no</w:t>
      </w:r>
      <w:r w:rsidRPr="00083CDC">
        <w:t>u</w:t>
      </w:r>
      <w:r w:rsidRPr="00083CDC">
        <w:t>velle méthode d’enquête élaborée en 1997 à partir d’une enquête pilote, l’étude de 1999 portait sur 2593 commerces de l’île de Montréal. Les résultats démontrent que 76 % des commerces de l’île de Montréal respectent la nette prédominance du français dans leur affichage commercial, par rapport au score de 79 % o</w:t>
      </w:r>
      <w:r w:rsidRPr="00083CDC">
        <w:t>b</w:t>
      </w:r>
      <w:r w:rsidRPr="00083CDC">
        <w:t xml:space="preserve">tenu en 1997. En 1999, le pourcentage de </w:t>
      </w:r>
      <w:r w:rsidRPr="00083CDC">
        <w:lastRenderedPageBreak/>
        <w:t>commerces conformes à la loi était de 69 % dans le centre-ville et dans la zone ouest de l’île de Montréal, par rapport à 74 % au centre-ville et 73 % dans l’ouest de Montréal en 1997. Les 76 % de comme</w:t>
      </w:r>
      <w:r w:rsidRPr="00083CDC">
        <w:t>r</w:t>
      </w:r>
      <w:r w:rsidRPr="00083CDC">
        <w:t>ces conformes en 1999 se répartissent de la façon suivante : 47 % le sont parce qu’ils présentent un affichage unilingue français, 23 % ont à la fois des messages unilingues français et des messages bilingues respectant la nette prédominance du français. Les 24 % des comme</w:t>
      </w:r>
      <w:r w:rsidRPr="00083CDC">
        <w:t>r</w:t>
      </w:r>
      <w:r w:rsidRPr="00083CDC">
        <w:t>ces non conformes ont les caractéristiques suivantes : 9 % des co</w:t>
      </w:r>
      <w:r w:rsidRPr="00083CDC">
        <w:t>m</w:t>
      </w:r>
      <w:r w:rsidRPr="00083CDC">
        <w:t>merces qui tout en ayant des messages en français, ont aussi des me</w:t>
      </w:r>
      <w:r w:rsidRPr="00083CDC">
        <w:t>s</w:t>
      </w:r>
      <w:r w:rsidRPr="00083CDC">
        <w:t>sages unilingues anglais et des messages bilingues n’accordant pas la nette prédominance au français; 7 % des co</w:t>
      </w:r>
      <w:r w:rsidRPr="00083CDC">
        <w:t>m</w:t>
      </w:r>
      <w:r w:rsidRPr="00083CDC">
        <w:t>merces qui ont à la fois des messages unilingues français et des messages unilingues anglais; 3 % des commerces qui ont des me</w:t>
      </w:r>
      <w:r w:rsidRPr="00083CDC">
        <w:t>s</w:t>
      </w:r>
      <w:r w:rsidRPr="00083CDC">
        <w:t>sages unilingues français et des messages bilingues fra</w:t>
      </w:r>
      <w:r w:rsidRPr="00083CDC">
        <w:t>n</w:t>
      </w:r>
      <w:r w:rsidRPr="00083CDC">
        <w:t>çais/anglais sans prédominance du français; 2 % qui ont uniqu</w:t>
      </w:r>
      <w:r w:rsidRPr="00083CDC">
        <w:t>e</w:t>
      </w:r>
      <w:r w:rsidRPr="00083CDC">
        <w:t>ment des messages bilingues français/anglais sans nette prédom</w:t>
      </w:r>
      <w:r w:rsidRPr="00083CDC">
        <w:t>i</w:t>
      </w:r>
      <w:r w:rsidRPr="00083CDC">
        <w:t>nance du français; et 3 % des commerces qui constituent les autres cas de commerces non conformes.</w:t>
      </w:r>
    </w:p>
    <w:p w:rsidR="00682F13" w:rsidRPr="00083CDC" w:rsidRDefault="00682F13" w:rsidP="00682F13">
      <w:pPr>
        <w:spacing w:before="120" w:after="120"/>
        <w:jc w:val="both"/>
      </w:pPr>
      <w:r w:rsidRPr="00083CDC">
        <w:t>L’enquête de 1999 démontre aussi que 47 % des commerces de l’île de Montréal n’affichaient que du français sur leur façade; 43 % avaient des messages en français et en anglais, 5 % avaient des me</w:t>
      </w:r>
      <w:r w:rsidRPr="00083CDC">
        <w:t>s</w:t>
      </w:r>
      <w:r w:rsidRPr="00083CDC">
        <w:t>sages en trois langues dont le français, et 2 % en deux la</w:t>
      </w:r>
      <w:r w:rsidRPr="00083CDC">
        <w:t>n</w:t>
      </w:r>
      <w:r w:rsidRPr="00083CDC">
        <w:t>gues dont le français, pour un total de 97 % de présence du fra</w:t>
      </w:r>
      <w:r w:rsidRPr="00083CDC">
        <w:t>n</w:t>
      </w:r>
      <w:r w:rsidRPr="00083CDC">
        <w:t xml:space="preserve">çais (Bouchard et </w:t>
      </w:r>
      <w:r>
        <w:t xml:space="preserve">[123] </w:t>
      </w:r>
      <w:r w:rsidRPr="00083CDC">
        <w:t>Maurais, 2000). Les auteurs notent aussi que, de 1997 à 1999, la pr</w:t>
      </w:r>
      <w:r w:rsidRPr="00083CDC">
        <w:t>o</w:t>
      </w:r>
      <w:r w:rsidRPr="00083CDC">
        <w:t>portion des commerces qui n’affichent qu’en français a connu une baisse, passant de 52 % à 47 % pour l’ensemble de l’île de Montréal. De plus, les commerces affichant des messages bilingues fra</w:t>
      </w:r>
      <w:r w:rsidRPr="00083CDC">
        <w:t>n</w:t>
      </w:r>
      <w:r w:rsidRPr="00083CDC">
        <w:t>çais/anglais ont augmenté de 37 % en 1997 à 43 % en 1999. Malgré une légère chute dans la proportion de commerces jugés conformes à la loi en 1999, il demeure que la francisation de l’affichage comme</w:t>
      </w:r>
      <w:r w:rsidRPr="00083CDC">
        <w:t>r</w:t>
      </w:r>
      <w:r w:rsidRPr="00083CDC">
        <w:t>cial se maintient, et ce, malgré les controverses impliquant les co</w:t>
      </w:r>
      <w:r w:rsidRPr="00083CDC">
        <w:t>m</w:t>
      </w:r>
      <w:r w:rsidRPr="00083CDC">
        <w:t>munautés anglophone, juive et chinoise de Montréal.</w:t>
      </w:r>
    </w:p>
    <w:p w:rsidR="00682F13" w:rsidRPr="00083CDC" w:rsidRDefault="00682F13" w:rsidP="00682F13">
      <w:pPr>
        <w:spacing w:before="120" w:after="120"/>
        <w:jc w:val="both"/>
      </w:pPr>
      <w:r w:rsidRPr="00083CDC">
        <w:t>En général, les militants francophones étaient d’accord avec la v</w:t>
      </w:r>
      <w:r w:rsidRPr="00083CDC">
        <w:t>i</w:t>
      </w:r>
      <w:r w:rsidRPr="00083CDC">
        <w:t xml:space="preserve">gilance exercée par les fonctionnaires de la </w:t>
      </w:r>
      <w:r w:rsidRPr="00083CDC">
        <w:rPr>
          <w:smallCaps/>
        </w:rPr>
        <w:t>cplf</w:t>
      </w:r>
      <w:r w:rsidRPr="00083CDC">
        <w:t xml:space="preserve"> pour assurer l’application de la loi 86 dans l’affichage commercial au Québec. En revanche, une large part de l’opinion francophone, anglophone et a</w:t>
      </w:r>
      <w:r w:rsidRPr="00083CDC">
        <w:t>l</w:t>
      </w:r>
      <w:r w:rsidRPr="00083CDC">
        <w:t>lophone considérait ces interventions comme exagérées com</w:t>
      </w:r>
      <w:r w:rsidRPr="00083CDC">
        <w:t>p</w:t>
      </w:r>
      <w:r w:rsidRPr="00083CDC">
        <w:t xml:space="preserve">te tenu des progrès déjà documentés dans les études du </w:t>
      </w:r>
      <w:r w:rsidRPr="00083CDC">
        <w:rPr>
          <w:smallCaps/>
        </w:rPr>
        <w:t>clf</w:t>
      </w:r>
      <w:r w:rsidRPr="00083CDC">
        <w:t xml:space="preserve"> et de l’</w:t>
      </w:r>
      <w:r w:rsidRPr="00083CDC">
        <w:rPr>
          <w:smallCaps/>
        </w:rPr>
        <w:t>olf</w:t>
      </w:r>
      <w:r w:rsidRPr="00083CDC">
        <w:t xml:space="preserve"> sur la francisation de l’affichage commercial à Montréal. Il n’en reste pas </w:t>
      </w:r>
      <w:r w:rsidRPr="00083CDC">
        <w:lastRenderedPageBreak/>
        <w:t>moins que les controverses sur la langue d’affichage furent l’objet d’une publicité négative dans la presse anglophone, non seulement au Québec et au Canada mais aussi aux États-Unis et en Europe. En 1999, le gouvernement du Québec chargea un institut de sondage de mener des études sur la perception des lois linguistiques du Québec auprès d’Américains influents sélectio</w:t>
      </w:r>
      <w:r w:rsidRPr="00083CDC">
        <w:t>n</w:t>
      </w:r>
      <w:r w:rsidRPr="00083CDC">
        <w:t>nés à New York, Boston, Atlanta et Chicago. Les répondants r</w:t>
      </w:r>
      <w:r w:rsidRPr="00083CDC">
        <w:t>e</w:t>
      </w:r>
      <w:r w:rsidRPr="00083CDC">
        <w:t>présentaient les décideurs du monde des affaires, des experts de certaines grandes universités, des professionnels du tourisme et du journalisme. Les études révélèrent que ces Américains avaient une perception négative des lois linguist</w:t>
      </w:r>
      <w:r w:rsidRPr="00083CDC">
        <w:t>i</w:t>
      </w:r>
      <w:r w:rsidRPr="00083CDC">
        <w:t>ques du Québec. Quand on leur demandait ce que le Québec évoquait pour eux en général, les répondants mentionnaient la langue française, le mouvement sép</w:t>
      </w:r>
      <w:r w:rsidRPr="00083CDC">
        <w:t>a</w:t>
      </w:r>
      <w:r w:rsidRPr="00083CDC">
        <w:t>ratiste et la volonté de sa population de conserver sa langue et sa culture. Au fil des thèmes abordés dans les discussions de gro</w:t>
      </w:r>
      <w:r w:rsidRPr="00083CDC">
        <w:t>u</w:t>
      </w:r>
      <w:r w:rsidRPr="00083CDC">
        <w:t>pes, on relève des perceptions négatives et souvent inexactes de la situation linguistique du Québec, entre autres les remarques su</w:t>
      </w:r>
      <w:r w:rsidRPr="00083CDC">
        <w:t>i</w:t>
      </w:r>
      <w:r w:rsidRPr="00083CDC">
        <w:t>vantes : « Les écoles publiques sont toutes en français et les ét</w:t>
      </w:r>
      <w:r w:rsidRPr="00083CDC">
        <w:t>u</w:t>
      </w:r>
      <w:r w:rsidRPr="00083CDC">
        <w:t>diants anglophones ont seulement accès aux institutions privées ou bilingues. L’anglais est proscrit sur les affiches et le fait de violer les lois sur l’affichage est puni de prison. Les lois linguistiques du Québec sont discriminatoires et restrictives. » La moitié des r</w:t>
      </w:r>
      <w:r w:rsidRPr="00083CDC">
        <w:t>é</w:t>
      </w:r>
      <w:r w:rsidRPr="00083CDC">
        <w:t>pondants affirmèrent qu’ils préfèreraient travailler à Toronto plutôt qu’à Montréal; les e</w:t>
      </w:r>
      <w:r w:rsidRPr="00083CDC">
        <w:t>n</w:t>
      </w:r>
      <w:r w:rsidRPr="00083CDC">
        <w:t>trepreneurs préfèreraient s’établir à T</w:t>
      </w:r>
      <w:r w:rsidRPr="00083CDC">
        <w:t>o</w:t>
      </w:r>
      <w:r w:rsidRPr="00083CDC">
        <w:t>ronto pour éviter qu’on leur impose le français. Ceux qui avaient visité le Québec se sont déclarés irrités en raison des affiches un</w:t>
      </w:r>
      <w:r w:rsidRPr="00083CDC">
        <w:t>i</w:t>
      </w:r>
      <w:r w:rsidRPr="00083CDC">
        <w:t xml:space="preserve">lingues en français. </w:t>
      </w:r>
    </w:p>
    <w:p w:rsidR="00682F13" w:rsidRPr="00083CDC" w:rsidRDefault="00682F13" w:rsidP="00682F13">
      <w:pPr>
        <w:spacing w:before="120" w:after="120"/>
        <w:jc w:val="both"/>
      </w:pPr>
      <w:r w:rsidRPr="00083CDC">
        <w:t>Quand on lui demanda de commenter les résultats de cette reche</w:t>
      </w:r>
      <w:r w:rsidRPr="00083CDC">
        <w:t>r</w:t>
      </w:r>
      <w:r w:rsidRPr="00083CDC">
        <w:t>che, le président du Comité américain pour les études québécoises d</w:t>
      </w:r>
      <w:r w:rsidRPr="00083CDC">
        <w:t>é</w:t>
      </w:r>
      <w:r w:rsidRPr="00083CDC">
        <w:t>clara que l’étude reflétait de façon assez exacte ce que les décideurs américains pensaient du Québec (</w:t>
      </w:r>
      <w:r w:rsidRPr="00083CDC">
        <w:rPr>
          <w:i/>
        </w:rPr>
        <w:t>The Gazette</w:t>
      </w:r>
      <w:r w:rsidRPr="00083CDC">
        <w:t>, 8 mai 1999). Il précisa que ce sont les cas extrêmes ou les plus litigieux portant sur les que</w:t>
      </w:r>
      <w:r w:rsidRPr="00083CDC">
        <w:t>s</w:t>
      </w:r>
      <w:r w:rsidRPr="00083CDC">
        <w:t>tions linguistiques qui figurent dans les jou</w:t>
      </w:r>
      <w:r w:rsidRPr="00083CDC">
        <w:t>r</w:t>
      </w:r>
      <w:r w:rsidRPr="00083CDC">
        <w:t>naux américains, comme les litiges concernant les caractères h</w:t>
      </w:r>
      <w:r w:rsidRPr="00083CDC">
        <w:t>é</w:t>
      </w:r>
      <w:r w:rsidRPr="00083CDC">
        <w:t>breux et chinois sur les affiches commerciales et l’étiquetage de produits kasher à Montréal. Le prés</w:t>
      </w:r>
      <w:r w:rsidRPr="00083CDC">
        <w:t>i</w:t>
      </w:r>
      <w:r w:rsidRPr="00083CDC">
        <w:t>dent du Comité conclut :</w:t>
      </w:r>
      <w:r>
        <w:t xml:space="preserve"> </w:t>
      </w:r>
      <w:r w:rsidRPr="00083CDC">
        <w:t>« Les cas les plus problématiques sont ceux qui frappent l’opinion publique et ce sont ceux dont on se souvient. »</w:t>
      </w:r>
    </w:p>
    <w:p w:rsidR="00682F13" w:rsidRPr="00083CDC" w:rsidRDefault="00682F13" w:rsidP="00682F13">
      <w:pPr>
        <w:spacing w:before="120" w:after="120"/>
        <w:jc w:val="both"/>
      </w:pPr>
      <w:r w:rsidRPr="00083CDC">
        <w:t xml:space="preserve">Quelle que soit l’efficacité des efforts pour rectifier l’information négative concernant l’affichage commercial publiée dans les médias anglophones, le gouvernement du </w:t>
      </w:r>
      <w:r>
        <w:t xml:space="preserve">[124] </w:t>
      </w:r>
      <w:r w:rsidRPr="00083CDC">
        <w:t xml:space="preserve">Québec aurait payé très cher </w:t>
      </w:r>
      <w:r w:rsidRPr="00083CDC">
        <w:lastRenderedPageBreak/>
        <w:t>cette contre-information dans les pages des journaux américains ou européens. De plus, cette information gouve</w:t>
      </w:r>
      <w:r w:rsidRPr="00083CDC">
        <w:t>r</w:t>
      </w:r>
      <w:r w:rsidRPr="00083CDC">
        <w:t>nementale en faveur de la législation québécoise n’aurait sans doute pas la crédibilité néce</w:t>
      </w:r>
      <w:r w:rsidRPr="00083CDC">
        <w:t>s</w:t>
      </w:r>
      <w:r w:rsidRPr="00083CDC">
        <w:t>saire pour changer les perceptions déjà négatives de l’affichage co</w:t>
      </w:r>
      <w:r w:rsidRPr="00083CDC">
        <w:t>m</w:t>
      </w:r>
      <w:r w:rsidRPr="00083CDC">
        <w:t>mercial au Québec qui découlent des comptes rendus publiés par des journalistes connus et indépendants de ces médias anglophones. Su</w:t>
      </w:r>
      <w:r w:rsidRPr="00083CDC">
        <w:t>r</w:t>
      </w:r>
      <w:r w:rsidRPr="00083CDC">
        <w:t>tout dans le monde a</w:t>
      </w:r>
      <w:r w:rsidRPr="00083CDC">
        <w:t>n</w:t>
      </w:r>
      <w:r w:rsidRPr="00083CDC">
        <w:t>glophone, les controverses dans l’application de la loi sur l’affichage ont non seulement nui aux perceptions liées à la légitimité de ce pilier de la loi 101, mais ont sans doute terni la réput</w:t>
      </w:r>
      <w:r w:rsidRPr="00083CDC">
        <w:t>a</w:t>
      </w:r>
      <w:r w:rsidRPr="00083CDC">
        <w:t>tion des autres mesures prévues par la Charte pour assurer la p</w:t>
      </w:r>
      <w:r w:rsidRPr="00083CDC">
        <w:t>é</w:t>
      </w:r>
      <w:r w:rsidRPr="00083CDC">
        <w:t>rennité du français au Québec. Il semblerait que les conséquences négatives de certaines applications des dispositions relatives à l’affichage co</w:t>
      </w:r>
      <w:r w:rsidRPr="00083CDC">
        <w:t>m</w:t>
      </w:r>
      <w:r w:rsidRPr="00083CDC">
        <w:t>mercial fassent désormais partie du coût à payer pour assurer la fra</w:t>
      </w:r>
      <w:r w:rsidRPr="00083CDC">
        <w:t>n</w:t>
      </w:r>
      <w:r w:rsidRPr="00083CDC">
        <w:t>cis</w:t>
      </w:r>
      <w:r w:rsidRPr="00083CDC">
        <w:t>a</w:t>
      </w:r>
      <w:r w:rsidRPr="00083CDC">
        <w:t>tion du paysage linguistique du Québec.</w:t>
      </w:r>
    </w:p>
    <w:p w:rsidR="00682F13" w:rsidRPr="00083CDC" w:rsidRDefault="00682F13" w:rsidP="00682F13">
      <w:pPr>
        <w:spacing w:before="120" w:after="120"/>
        <w:jc w:val="both"/>
      </w:pPr>
    </w:p>
    <w:p w:rsidR="00682F13" w:rsidRPr="00083CDC" w:rsidRDefault="00682F13" w:rsidP="00682F13">
      <w:pPr>
        <w:pStyle w:val="planche"/>
      </w:pPr>
      <w:bookmarkStart w:id="9" w:name="Loi_101_aménagement_7"/>
      <w:r>
        <w:t>7. Conclusion :</w:t>
      </w:r>
      <w:r>
        <w:br/>
        <w:t>aspect sociolinguistique</w:t>
      </w:r>
      <w:r>
        <w:br/>
      </w:r>
      <w:r w:rsidRPr="00083CDC">
        <w:t>du paysage lingui</w:t>
      </w:r>
      <w:r w:rsidRPr="00083CDC">
        <w:t>s</w:t>
      </w:r>
      <w:r w:rsidRPr="00083CDC">
        <w:t>tique</w:t>
      </w:r>
    </w:p>
    <w:bookmarkEnd w:id="9"/>
    <w:p w:rsidR="00682F13" w:rsidRPr="00083CDC" w:rsidRDefault="00682F13" w:rsidP="00682F13">
      <w:pPr>
        <w:spacing w:before="120" w:after="120"/>
        <w:jc w:val="both"/>
      </w:pPr>
    </w:p>
    <w:p w:rsidR="00682F13" w:rsidRPr="00384B20" w:rsidRDefault="00682F13" w:rsidP="00682F13">
      <w:pPr>
        <w:ind w:right="90" w:firstLine="0"/>
        <w:jc w:val="both"/>
        <w:rPr>
          <w:sz w:val="20"/>
        </w:rPr>
      </w:pPr>
      <w:hyperlink w:anchor="tdm" w:history="1">
        <w:r w:rsidRPr="00384B20">
          <w:rPr>
            <w:rStyle w:val="Lienhypertexte"/>
            <w:sz w:val="20"/>
          </w:rPr>
          <w:t>Retour à la table des matières</w:t>
        </w:r>
      </w:hyperlink>
    </w:p>
    <w:p w:rsidR="00682F13" w:rsidRPr="00083CDC" w:rsidRDefault="00682F13" w:rsidP="00682F13">
      <w:pPr>
        <w:spacing w:before="120" w:after="120"/>
        <w:jc w:val="both"/>
      </w:pPr>
      <w:r w:rsidRPr="00083CDC">
        <w:t>Nous avons vu que le paysage linguistique est constitué de la la</w:t>
      </w:r>
      <w:r w:rsidRPr="00083CDC">
        <w:t>n</w:t>
      </w:r>
      <w:r w:rsidRPr="00083CDC">
        <w:t>gue de la signalisation routière, de la toponymie, de l’affichage sur les bâtiments administratifs (écoles, hôpitaux, cours de justice, minist</w:t>
      </w:r>
      <w:r w:rsidRPr="00083CDC">
        <w:t>è</w:t>
      </w:r>
      <w:r w:rsidRPr="00083CDC">
        <w:t>res) et de l’affichage commercial (Leclerc, 1989). Dans son survol des lois linguistiques à travers le monde, Leclerc (1994) notait que les gouvernements de trente pays ou régions avaient adopté des lois concernant l’aménagement de leurs paysages linguistiques. En gén</w:t>
      </w:r>
      <w:r w:rsidRPr="00083CDC">
        <w:t>é</w:t>
      </w:r>
      <w:r w:rsidRPr="00083CDC">
        <w:t>ral, les gouvernements sont en mesure d’avoir un contrôle assez so</w:t>
      </w:r>
      <w:r w:rsidRPr="00083CDC">
        <w:t>u</w:t>
      </w:r>
      <w:r w:rsidRPr="00083CDC">
        <w:t>tenu de l’</w:t>
      </w:r>
      <w:r w:rsidRPr="00083CDC">
        <w:rPr>
          <w:i/>
        </w:rPr>
        <w:t xml:space="preserve">affichage gouvernemental </w:t>
      </w:r>
      <w:r w:rsidRPr="00083CDC">
        <w:t>sur</w:t>
      </w:r>
      <w:r w:rsidRPr="00083CDC">
        <w:rPr>
          <w:i/>
        </w:rPr>
        <w:t xml:space="preserve"> </w:t>
      </w:r>
      <w:r w:rsidRPr="00083CDC">
        <w:t>leur territoire, y compris la signalisation routière, la toponymie et l’affichage sur leurs bâtiments administratifs. Ainsi, un gouve</w:t>
      </w:r>
      <w:r w:rsidRPr="00083CDC">
        <w:t>r</w:t>
      </w:r>
      <w:r w:rsidRPr="00083CDC">
        <w:t>nement peut déclarer que l’affichage de l’Administration doit être constitué d’une seule langue commune et officielle pour l’ensemble des citoyens d’une ville, d’une province ou d’un pays. Dans les pays démocratiques, les gouvernements doivent respecter la liberté d’expression des individus et, à ce titre, le contrôle de l’État sur l’</w:t>
      </w:r>
      <w:r w:rsidRPr="00083CDC">
        <w:rPr>
          <w:i/>
        </w:rPr>
        <w:t xml:space="preserve">affichage commercial </w:t>
      </w:r>
      <w:r w:rsidRPr="00083CDC">
        <w:t xml:space="preserve">n’est pas total (Pupier, 1993). </w:t>
      </w:r>
      <w:r w:rsidRPr="00083CDC">
        <w:lastRenderedPageBreak/>
        <w:t>Ainsi, les dispositions</w:t>
      </w:r>
      <w:r w:rsidRPr="00083CDC">
        <w:rPr>
          <w:i/>
        </w:rPr>
        <w:t xml:space="preserve"> </w:t>
      </w:r>
      <w:r w:rsidRPr="00083CDC">
        <w:t>de la loi 101 exigeant l’affichage comme</w:t>
      </w:r>
      <w:r w:rsidRPr="00083CDC">
        <w:t>r</w:t>
      </w:r>
      <w:r w:rsidRPr="00083CDC">
        <w:t>cial uniquement en français ont dû être modifiées par la loi 86 d</w:t>
      </w:r>
      <w:r w:rsidRPr="00083CDC">
        <w:t>é</w:t>
      </w:r>
      <w:r w:rsidRPr="00083CDC">
        <w:t>clarant le français nettement prédominant, à la suite des arrêts de la Cour s</w:t>
      </w:r>
      <w:r w:rsidRPr="00083CDC">
        <w:t>u</w:t>
      </w:r>
      <w:r w:rsidRPr="00083CDC">
        <w:t>prême du Canada inspirés par les chartes québécoise et canadienne des droits et libertés de la personne. Par conséquent, l’affichage co</w:t>
      </w:r>
      <w:r w:rsidRPr="00083CDC">
        <w:t>m</w:t>
      </w:r>
      <w:r w:rsidRPr="00083CDC">
        <w:t>mercial révèle une situation sociolinguistique plus complexe et plus dynamique que ce que l’affichage de l’Administration laisse entrevoir. En effet, ce type d’affichage est plus susceptible de refléter la divers</w:t>
      </w:r>
      <w:r w:rsidRPr="00083CDC">
        <w:t>i</w:t>
      </w:r>
      <w:r w:rsidRPr="00083CDC">
        <w:t>té linguistique des minorités nationales et des communautés imm</w:t>
      </w:r>
      <w:r w:rsidRPr="00083CDC">
        <w:t>i</w:t>
      </w:r>
      <w:r w:rsidRPr="00083CDC">
        <w:t>grantes récemment établies dans le pays d’accueil.</w:t>
      </w:r>
    </w:p>
    <w:p w:rsidR="00682F13" w:rsidRPr="00083CDC" w:rsidRDefault="00682F13" w:rsidP="00682F13">
      <w:pPr>
        <w:spacing w:before="120" w:after="120"/>
        <w:jc w:val="both"/>
      </w:pPr>
      <w:r w:rsidRPr="00083CDC">
        <w:t>Notre survol de l’impact de la législation sur l’affichage public et la publicité commerciale dans la société québécoise illustre deux fon</w:t>
      </w:r>
      <w:r w:rsidRPr="00083CDC">
        <w:t>c</w:t>
      </w:r>
      <w:r w:rsidRPr="00083CDC">
        <w:t>tions fondamentales du paysage linguistique dans les contextes bili</w:t>
      </w:r>
      <w:r w:rsidRPr="00083CDC">
        <w:t>n</w:t>
      </w:r>
      <w:r w:rsidRPr="00083CDC">
        <w:t>gues ou multilingues. Une première fonction du paysage linguistique est informationnelle et une deuxième est symbolique (Landry et Bourhis, 1997). Voici quelques considér</w:t>
      </w:r>
      <w:r w:rsidRPr="00083CDC">
        <w:t>a</w:t>
      </w:r>
      <w:r w:rsidRPr="00083CDC">
        <w:t xml:space="preserve">tions concernant la </w:t>
      </w:r>
      <w:r w:rsidRPr="00083CDC">
        <w:rPr>
          <w:i/>
        </w:rPr>
        <w:t>fonction informationnelle</w:t>
      </w:r>
      <w:r w:rsidRPr="00083CDC">
        <w:t xml:space="preserve"> du paysage linguistique. Dans certains cas, les go</w:t>
      </w:r>
      <w:r w:rsidRPr="00083CDC">
        <w:t>u</w:t>
      </w:r>
      <w:r w:rsidRPr="00083CDC">
        <w:t>vernements régionaux ou nationaux cherchent à maximiser la coh</w:t>
      </w:r>
      <w:r w:rsidRPr="00083CDC">
        <w:t>é</w:t>
      </w:r>
      <w:r w:rsidRPr="00083CDC">
        <w:t>rence de l’affichage de l’Administration et de l’affichage commercial</w:t>
      </w:r>
      <w:r w:rsidRPr="00083CDC">
        <w:rPr>
          <w:i/>
        </w:rPr>
        <w:t xml:space="preserve"> </w:t>
      </w:r>
      <w:r w:rsidRPr="00083CDC">
        <w:t>afin que les c</w:t>
      </w:r>
      <w:r w:rsidRPr="00083CDC">
        <w:t>i</w:t>
      </w:r>
      <w:r w:rsidRPr="00083CDC">
        <w:t>toyens et visiteurs puissent saisir d’emblée l’identité linguistique du territoire où ils se trouvent (Leclerc, 1989). Ainsi, les éléments de l’affichage gouvernemental et commercial</w:t>
      </w:r>
      <w:r w:rsidRPr="00083CDC">
        <w:rPr>
          <w:i/>
        </w:rPr>
        <w:t xml:space="preserve"> </w:t>
      </w:r>
      <w:r w:rsidRPr="00083CDC">
        <w:t>peuvent non seulement constituer des</w:t>
      </w:r>
      <w:r>
        <w:t xml:space="preserve"> [125]</w:t>
      </w:r>
      <w:r w:rsidRPr="00083CDC">
        <w:t xml:space="preserve"> marqueurs de l’unité linguistique d’un territoire donné, mais peuvent également servir à délimiter assez cla</w:t>
      </w:r>
      <w:r w:rsidRPr="00083CDC">
        <w:t>i</w:t>
      </w:r>
      <w:r w:rsidRPr="00083CDC">
        <w:t>rement les limites et frontières d’un territoire linguistique par ra</w:t>
      </w:r>
      <w:r w:rsidRPr="00083CDC">
        <w:t>p</w:t>
      </w:r>
      <w:r w:rsidRPr="00083CDC">
        <w:t>port à une ou plusieurs autres zones linguistiques alliées ou rivales (Co</w:t>
      </w:r>
      <w:r w:rsidRPr="00083CDC">
        <w:t>r</w:t>
      </w:r>
      <w:r w:rsidRPr="00083CDC">
        <w:t>beil, 1980). En établissant des frontières linguistiques distinctes, la cohérence de l’affichage administratif et commercial peut potentie</w:t>
      </w:r>
      <w:r w:rsidRPr="00083CDC">
        <w:t>l</w:t>
      </w:r>
      <w:r w:rsidRPr="00083CDC">
        <w:t>lement renforcer l’identité linguistique et nationale de ses citoyens.</w:t>
      </w:r>
    </w:p>
    <w:p w:rsidR="00682F13" w:rsidRPr="00083CDC" w:rsidRDefault="00682F13" w:rsidP="00682F13">
      <w:pPr>
        <w:spacing w:before="120" w:after="120"/>
        <w:jc w:val="both"/>
      </w:pPr>
      <w:r w:rsidRPr="00083CDC">
        <w:t>L’affichage peut être unilingue, bilingue ou multilingue. Dans les territoires bilingues ou multilingues, l’affichage gouverneme</w:t>
      </w:r>
      <w:r w:rsidRPr="00083CDC">
        <w:t>n</w:t>
      </w:r>
      <w:r w:rsidRPr="00083CDC">
        <w:t>tal et commercial informe les citoyens des langues qu’ils peuvent utiliser pour obtenir des services dans les établissements de ces zones lingui</w:t>
      </w:r>
      <w:r w:rsidRPr="00083CDC">
        <w:t>s</w:t>
      </w:r>
      <w:r w:rsidRPr="00083CDC">
        <w:t>tiques. Par contre, un sentiment de frustration ou d’exclusion peut être ressenti par les individus dans les cas où les langues d’accueil et de service employées dans les établissements ne sont pas conformes aux attentes suscitées par la composition linguistique de l’affichage de ces établissements. Ce décalage e</w:t>
      </w:r>
      <w:r w:rsidRPr="00083CDC">
        <w:t>n</w:t>
      </w:r>
      <w:r w:rsidRPr="00083CDC">
        <w:t xml:space="preserve">tre la langue d’affichage et la langue de </w:t>
      </w:r>
      <w:r w:rsidRPr="00083CDC">
        <w:lastRenderedPageBreak/>
        <w:t>service est plus probable dans les environnements bilingues et mult</w:t>
      </w:r>
      <w:r w:rsidRPr="00083CDC">
        <w:t>i</w:t>
      </w:r>
      <w:r w:rsidRPr="00083CDC">
        <w:t>lingues dont le statut et les fonctions des langues en contact deme</w:t>
      </w:r>
      <w:r w:rsidRPr="00083CDC">
        <w:t>u</w:t>
      </w:r>
      <w:r w:rsidRPr="00083CDC">
        <w:t>rent instables ou sont sujets à contestations entre groupes linguistiques rivaux.</w:t>
      </w:r>
    </w:p>
    <w:p w:rsidR="00682F13" w:rsidRPr="00083CDC" w:rsidRDefault="00682F13" w:rsidP="00682F13">
      <w:pPr>
        <w:spacing w:before="120" w:after="120"/>
        <w:jc w:val="both"/>
      </w:pPr>
      <w:r w:rsidRPr="00083CDC">
        <w:t>La prédominance d’une langue par rapport à une ou plusieurs a</w:t>
      </w:r>
      <w:r w:rsidRPr="00083CDC">
        <w:t>u</w:t>
      </w:r>
      <w:r w:rsidRPr="00083CDC">
        <w:t>tres langues sur les mêmes affiches commerciales et panneaux routiers peut révéler le statut relatif des langues et communautés linguistiques en présence sur ce même territoire. Ainsi, l’affichage administratif et commercial</w:t>
      </w:r>
      <w:r w:rsidRPr="00083CDC">
        <w:rPr>
          <w:i/>
        </w:rPr>
        <w:t xml:space="preserve"> </w:t>
      </w:r>
      <w:r w:rsidRPr="00083CDC">
        <w:t>peut servir de marqueur d’une réalité sociolinguistique qui peut être assez complexe et qui peut varier du bilinguisme plus ou moins égalitaire à la domination marquée d’une majorité linguistique sur une ou plusieurs minorités linguistiques. Chaque affiche gouve</w:t>
      </w:r>
      <w:r w:rsidRPr="00083CDC">
        <w:t>r</w:t>
      </w:r>
      <w:r w:rsidRPr="00083CDC">
        <w:t>nementale ou commerciale peut ai</w:t>
      </w:r>
      <w:r w:rsidRPr="00083CDC">
        <w:t>n</w:t>
      </w:r>
      <w:r w:rsidRPr="00083CDC">
        <w:t>si révéler le statut et le pouvoir respectif des communautés li</w:t>
      </w:r>
      <w:r w:rsidRPr="00083CDC">
        <w:t>n</w:t>
      </w:r>
      <w:r w:rsidRPr="00083CDC">
        <w:t>guistiques partageant le même territoire urbain, régional ou nati</w:t>
      </w:r>
      <w:r w:rsidRPr="00083CDC">
        <w:t>o</w:t>
      </w:r>
      <w:r w:rsidRPr="00083CDC">
        <w:t>nal.</w:t>
      </w:r>
    </w:p>
    <w:p w:rsidR="00682F13" w:rsidRPr="00083CDC" w:rsidRDefault="00682F13" w:rsidP="00682F13">
      <w:pPr>
        <w:spacing w:before="120" w:after="120"/>
        <w:jc w:val="both"/>
      </w:pPr>
      <w:r w:rsidRPr="00083CDC">
        <w:t>Bien que la cohérence linguistique de l’affichage administratif et commercial</w:t>
      </w:r>
      <w:r w:rsidRPr="00083CDC">
        <w:rPr>
          <w:i/>
        </w:rPr>
        <w:t xml:space="preserve"> </w:t>
      </w:r>
      <w:r w:rsidRPr="00083CDC">
        <w:t>soit assez marquée dans la plupart des régions majorita</w:t>
      </w:r>
      <w:r w:rsidRPr="00083CDC">
        <w:t>i</w:t>
      </w:r>
      <w:r w:rsidRPr="00083CDC">
        <w:t>rement francophones du Québec, l’affichage commercial de Montréal révèle une situation linguistique plus hétérogène et co</w:t>
      </w:r>
      <w:r w:rsidRPr="00083CDC">
        <w:t>m</w:t>
      </w:r>
      <w:r w:rsidRPr="00083CDC">
        <w:t>plexe d’un quartier de la ville à l’autre. Ainsi, la richesse du cap</w:t>
      </w:r>
      <w:r w:rsidRPr="00083CDC">
        <w:t>i</w:t>
      </w:r>
      <w:r w:rsidRPr="00083CDC">
        <w:t>tal linguistique et culturel des anciens et nouveaux immigrants établis à Montréal est révélée en partie par l’affichage commercial des quartiers à forte de</w:t>
      </w:r>
      <w:r w:rsidRPr="00083CDC">
        <w:t>n</w:t>
      </w:r>
      <w:r w:rsidRPr="00083CDC">
        <w:t>sité d’immigration. En fait, même la coh</w:t>
      </w:r>
      <w:r w:rsidRPr="00083CDC">
        <w:t>é</w:t>
      </w:r>
      <w:r w:rsidRPr="00083CDC">
        <w:t>rence linguistique de l’affichage des régions francophones de la province est relative, co</w:t>
      </w:r>
      <w:r w:rsidRPr="00083CDC">
        <w:t>m</w:t>
      </w:r>
      <w:r w:rsidRPr="00083CDC">
        <w:t>me le témoigne la variabilité linguistique de la toponymie du Québec. Ainsi, un bilan de l’évolution des noms de lieux officiels du Québec démontrait les tendances su</w:t>
      </w:r>
      <w:r w:rsidRPr="00083CDC">
        <w:t>i</w:t>
      </w:r>
      <w:r w:rsidRPr="00083CDC">
        <w:t>vantes en 1978, un an après l’adoption de la loi 101 (Richard, à paraître). À cette époque, les noms de lieux de langue française incluant les odonymes constituaient 73,9 % du total des 61 381 noms de lieux de la province. Toujours en 1978, les noms de lieux d’origine anglaise constituaient 13,7 % du total, suivis des noms de lieux autochtones (4,5 %), et ceux d’autres origines linguist</w:t>
      </w:r>
      <w:r w:rsidRPr="00083CDC">
        <w:t>i</w:t>
      </w:r>
      <w:r w:rsidRPr="00083CDC">
        <w:t>ques (7,9 % ). En 2001, la taille du corpus des noms de lieux a plus que triplé par rapport à 1978, passant à 216 759. La propo</w:t>
      </w:r>
      <w:r w:rsidRPr="00083CDC">
        <w:t>r</w:t>
      </w:r>
      <w:r w:rsidRPr="00083CDC">
        <w:t>tion des noms de lieux de langue française a aussi augmenté pour atteindre 80,5 % du total. Par contre, la proportion des noms de lieux angl</w:t>
      </w:r>
      <w:r w:rsidRPr="00083CDC">
        <w:t>o</w:t>
      </w:r>
      <w:r w:rsidRPr="00083CDC">
        <w:t>phones a chuté (10,6 %), ainsi que ceux d’autres la</w:t>
      </w:r>
      <w:r w:rsidRPr="00083CDC">
        <w:t>n</w:t>
      </w:r>
      <w:r w:rsidRPr="00083CDC">
        <w:t>gues (3,3 %), bien que ceux d’origine autochtone aient bénéficié d’une lé</w:t>
      </w:r>
      <w:r w:rsidRPr="00083CDC">
        <w:lastRenderedPageBreak/>
        <w:t>gère augment</w:t>
      </w:r>
      <w:r w:rsidRPr="00083CDC">
        <w:t>a</w:t>
      </w:r>
      <w:r w:rsidRPr="00083CDC">
        <w:t>tion (5,6 %). Malgré la chute relative des noms de</w:t>
      </w:r>
      <w:r>
        <w:t xml:space="preserve"> [126]</w:t>
      </w:r>
      <w:r w:rsidRPr="00083CDC">
        <w:t xml:space="preserve"> lieux d’origine a</w:t>
      </w:r>
      <w:r w:rsidRPr="00083CDC">
        <w:t>n</w:t>
      </w:r>
      <w:r w:rsidRPr="00083CDC">
        <w:t>glaise, l’ensemble des habitants de la province ont plutôt vécu une augmentation de la quantité absolue des noms de lieux de toutes origines linguistiques. Ainsi les noms de lieux de langue a</w:t>
      </w:r>
      <w:r w:rsidRPr="00083CDC">
        <w:t>n</w:t>
      </w:r>
      <w:r w:rsidRPr="00083CDC">
        <w:t>glaise sont passés de 8</w:t>
      </w:r>
      <w:r>
        <w:t> </w:t>
      </w:r>
      <w:r w:rsidRPr="00083CDC">
        <w:t>392 en 1978 à 23</w:t>
      </w:r>
      <w:r>
        <w:t> </w:t>
      </w:r>
      <w:r w:rsidRPr="00083CDC">
        <w:t>052 en 2001 et ceux d’origine autocht</w:t>
      </w:r>
      <w:r w:rsidRPr="00083CDC">
        <w:t>o</w:t>
      </w:r>
      <w:r w:rsidRPr="00083CDC">
        <w:t>ne ont augmenté de 2</w:t>
      </w:r>
      <w:r>
        <w:t> </w:t>
      </w:r>
      <w:r w:rsidRPr="00083CDC">
        <w:t>737 à 12</w:t>
      </w:r>
      <w:r>
        <w:t> </w:t>
      </w:r>
      <w:r w:rsidRPr="00083CDC">
        <w:t>209 durant cette même période. Il d</w:t>
      </w:r>
      <w:r w:rsidRPr="00083CDC">
        <w:t>e</w:t>
      </w:r>
      <w:r w:rsidRPr="00083CDC">
        <w:t>meure que l’augmentation absolue des noms de lieux français a été substantielle passant de 45</w:t>
      </w:r>
      <w:r>
        <w:t> </w:t>
      </w:r>
      <w:r w:rsidRPr="00083CDC">
        <w:t>400 en 1978 à 174</w:t>
      </w:r>
      <w:r>
        <w:t> </w:t>
      </w:r>
      <w:r w:rsidRPr="00083CDC">
        <w:t>451 en 2001. L’augmentation du corpus des noms de lieux de la province témoigne de l’ampleur du travail accompli par la Commission de t</w:t>
      </w:r>
      <w:r w:rsidRPr="00083CDC">
        <w:t>o</w:t>
      </w:r>
      <w:r w:rsidRPr="00083CDC">
        <w:t>ponymie.</w:t>
      </w:r>
    </w:p>
    <w:p w:rsidR="00682F13" w:rsidRPr="00083CDC" w:rsidRDefault="00682F13" w:rsidP="00682F13">
      <w:pPr>
        <w:spacing w:before="120" w:after="120"/>
        <w:jc w:val="both"/>
      </w:pPr>
      <w:r w:rsidRPr="00083CDC">
        <w:t xml:space="preserve">C’est dans la mesure où les individus s’identifient fortement à leur endogroupe linguistique que le paysage linguistique acquiert sa charge symbolique. La </w:t>
      </w:r>
      <w:r w:rsidRPr="00083CDC">
        <w:rPr>
          <w:i/>
        </w:rPr>
        <w:t>fonction symbolique</w:t>
      </w:r>
      <w:r w:rsidRPr="00083CDC">
        <w:t xml:space="preserve"> de l’affichage est encore plus forte dans les groupes ethniques pour qui la langue est devenue le symbole le plus important de leur identité sociale par rapport à d’autres critères tels que la religion, le territoire ou les liens de sang (Bariteau, 2000; Helly, dans ce numéro; Sachdev et Bourhis, 1990). La présence de la langue endogroupe dans l’affichage contribue au sentiment que sa propre langue est valor</w:t>
      </w:r>
      <w:r w:rsidRPr="00083CDC">
        <w:t>i</w:t>
      </w:r>
      <w:r w:rsidRPr="00083CDC">
        <w:t>sée et jouit d’un certain statut par rapport aux autres langues en contact sur le territoire donné. Cette présence de la langue end</w:t>
      </w:r>
      <w:r w:rsidRPr="00083CDC">
        <w:t>o</w:t>
      </w:r>
      <w:r w:rsidRPr="00083CDC">
        <w:t>groupe dans le paysage linguistique peut même contribuer à un sentiment de fierté en tant que membres de son propre groupe d’appartenance et ainsi contribuer positivement à l’identité sociale des individus. Cet apport symbolique du paysage linguistique fonctionne à la fois pour les membres de la majorité li</w:t>
      </w:r>
      <w:r w:rsidRPr="00083CDC">
        <w:t>n</w:t>
      </w:r>
      <w:r w:rsidRPr="00083CDC">
        <w:t>guistique et pour les membres des minorités linguistiques. Étant donné leur faiblesse démographique et institutionnelle par rapport à la maj</w:t>
      </w:r>
      <w:r w:rsidRPr="00083CDC">
        <w:t>o</w:t>
      </w:r>
      <w:r w:rsidRPr="00083CDC">
        <w:t>rité dominante, les minorités linguistiques peuvent être encore plus tributaires de la présence de leur propre langue dans l’affichage pour se sentir valorisées et « incluses » en tant que membres de la société majoritaire.</w:t>
      </w:r>
    </w:p>
    <w:p w:rsidR="00682F13" w:rsidRPr="00083CDC" w:rsidRDefault="00682F13" w:rsidP="00682F13">
      <w:pPr>
        <w:spacing w:before="120" w:after="120"/>
        <w:jc w:val="both"/>
      </w:pPr>
      <w:r w:rsidRPr="00083CDC">
        <w:t>La fonction symbolique de l’affichage administratif et commercial reflète souvent la nature des relations entre les groupes linguistiques en contact dans les quartiers d’une ville, dans une province, un pays ou à l’échelle d’un continent. La présence soutenue d’une langue pl</w:t>
      </w:r>
      <w:r w:rsidRPr="00083CDC">
        <w:t>u</w:t>
      </w:r>
      <w:r w:rsidRPr="00083CDC">
        <w:t xml:space="preserve">tôt qu’une autre dans l’affichage administratif et commercial peut symboliser la vitalité linguistique de cette communauté. La « vitalité </w:t>
      </w:r>
      <w:r w:rsidRPr="00083CDC">
        <w:lastRenderedPageBreak/>
        <w:t>objective » est constituée de la force démographique, du soutien inst</w:t>
      </w:r>
      <w:r w:rsidRPr="00083CDC">
        <w:t>i</w:t>
      </w:r>
      <w:r w:rsidRPr="00083CDC">
        <w:t>tutionnel et du prestige d’une communauté linguistique par rapport à l’ensemble des autres communautés linguistiques du territoire (Bou</w:t>
      </w:r>
      <w:r w:rsidRPr="00083CDC">
        <w:t>r</w:t>
      </w:r>
      <w:r w:rsidRPr="00083CDC">
        <w:t>his, Giles et Rosenthal, 1981). Dans certains cas, la présence d’une langue dans le paysage linguistique peut être très « symbolique » dans les situations où cette présence dans l’affichage ne concorde pas avec la « vitalité objective » des communautés linguistiques en contact. Le taux de présence d’une langue dans l’affichage peut soit exagérer, soit sous-estimer la vitalité objective des majorités et minorités linguist</w:t>
      </w:r>
      <w:r w:rsidRPr="00083CDC">
        <w:t>i</w:t>
      </w:r>
      <w:r w:rsidRPr="00083CDC">
        <w:t>ques d’une région donnée. Ce type de discordance peut aussi fausser les représentations de la vitalité respective des communautés lingui</w:t>
      </w:r>
      <w:r w:rsidRPr="00083CDC">
        <w:t>s</w:t>
      </w:r>
      <w:r w:rsidRPr="00083CDC">
        <w:t>tiques en présence sur un territoire donné (Harwood, Giles et Bourhis, 1994).</w:t>
      </w:r>
    </w:p>
    <w:p w:rsidR="00682F13" w:rsidRPr="00083CDC" w:rsidRDefault="00682F13" w:rsidP="00682F13">
      <w:pPr>
        <w:spacing w:before="120" w:after="120"/>
        <w:jc w:val="both"/>
      </w:pPr>
      <w:r w:rsidRPr="00083CDC">
        <w:t xml:space="preserve">La présence systématique d’une langue minoritaire dans le paysage linguistique peut avoir un « effet d’entraînement » dans le taux d’usage de cette langue dans les situations publiques et formelles. Plus la langue minoritaire est représentée dans l’affichage administratif et commercial, plus les locuteurs de cette langue peuvent s’encourager à en </w:t>
      </w:r>
      <w:r>
        <w:t xml:space="preserve">[127] </w:t>
      </w:r>
      <w:r w:rsidRPr="00083CDC">
        <w:t>faire usage, surtout dans les établissements où la langue est affichée de façon soutenue. De plus, l’affichage de la langue minor</w:t>
      </w:r>
      <w:r w:rsidRPr="00083CDC">
        <w:t>i</w:t>
      </w:r>
      <w:r w:rsidRPr="00083CDC">
        <w:t>taire peut, chez les locuteurs de cette langue, contribuer à des repr</w:t>
      </w:r>
      <w:r w:rsidRPr="00083CDC">
        <w:t>é</w:t>
      </w:r>
      <w:r w:rsidRPr="00083CDC">
        <w:t>sentations favorables de la vitalité de cette minorité, y compris la fo</w:t>
      </w:r>
      <w:r w:rsidRPr="00083CDC">
        <w:t>r</w:t>
      </w:r>
      <w:r w:rsidRPr="00083CDC">
        <w:t>ce d</w:t>
      </w:r>
      <w:r w:rsidRPr="00083CDC">
        <w:t>é</w:t>
      </w:r>
      <w:r w:rsidRPr="00083CDC">
        <w:t>mographique, la perception du soutien institutionnel dans l’éducation, le commerce, les médias et l’appréciation du prestige de la langue e</w:t>
      </w:r>
      <w:r w:rsidRPr="00083CDC">
        <w:t>n</w:t>
      </w:r>
      <w:r w:rsidRPr="00083CDC">
        <w:t>dogroupe. Certaines de ces hypothèses ont été vérifiées dans des ét</w:t>
      </w:r>
      <w:r w:rsidRPr="00083CDC">
        <w:t>u</w:t>
      </w:r>
      <w:r w:rsidRPr="00083CDC">
        <w:t>des canadiennes et québécoises.</w:t>
      </w:r>
    </w:p>
    <w:p w:rsidR="00682F13" w:rsidRPr="00083CDC" w:rsidRDefault="00682F13" w:rsidP="00682F13">
      <w:pPr>
        <w:spacing w:before="120" w:after="120"/>
        <w:jc w:val="both"/>
      </w:pPr>
      <w:r w:rsidRPr="00DF59A6">
        <w:rPr>
          <w:i/>
        </w:rPr>
        <w:t>Une première étude</w:t>
      </w:r>
      <w:r w:rsidRPr="00083CDC">
        <w:t xml:space="preserve"> a porté sur le développement bilingue de plus de 2</w:t>
      </w:r>
      <w:r>
        <w:t> </w:t>
      </w:r>
      <w:r w:rsidRPr="00083CDC">
        <w:t>000 adolescents francophones inscrits dans des écoles seconda</w:t>
      </w:r>
      <w:r w:rsidRPr="00083CDC">
        <w:t>i</w:t>
      </w:r>
      <w:r w:rsidRPr="00083CDC">
        <w:t>res francophones situées dans les neuf provinces majoritairement a</w:t>
      </w:r>
      <w:r w:rsidRPr="00083CDC">
        <w:t>n</w:t>
      </w:r>
      <w:r w:rsidRPr="00083CDC">
        <w:t>glophones du Canada et dans une école francophone du Québec (La</w:t>
      </w:r>
      <w:r w:rsidRPr="00083CDC">
        <w:t>n</w:t>
      </w:r>
      <w:r w:rsidRPr="00083CDC">
        <w:t>dry et Bourhis, 1997). Ces élèves de 5</w:t>
      </w:r>
      <w:r w:rsidRPr="00083CDC">
        <w:rPr>
          <w:vertAlign w:val="superscript"/>
        </w:rPr>
        <w:t>e</w:t>
      </w:r>
      <w:r w:rsidRPr="00083CDC">
        <w:t xml:space="preserve"> secondaire faisaient partie de populations francophones très diversifiées sur le plan de la vitalité démographique (de 2 % à 99 % de la population locale). Dans un premier temps, les résultats ont démontré que les contacts avec l’ensemble du paysage linguistique (affiches commerciales internes et externes, panneaux routiers, noms de lieux, publicités livrées à la ma</w:t>
      </w:r>
      <w:r w:rsidRPr="00083CDC">
        <w:t>i</w:t>
      </w:r>
      <w:r w:rsidRPr="00083CDC">
        <w:t xml:space="preserve">son, etc.) constituaient un facteur de vécu langagier indépendant des autres types de contacts langagiers étudiés : les médias, les contacts </w:t>
      </w:r>
      <w:r w:rsidRPr="00083CDC">
        <w:lastRenderedPageBreak/>
        <w:t>interpersonnels du réseau social et la scolarisation. De plus, les résu</w:t>
      </w:r>
      <w:r w:rsidRPr="00083CDC">
        <w:t>l</w:t>
      </w:r>
      <w:r w:rsidRPr="00083CDC">
        <w:t>tats ont démontré que plus les élèves percevaient leur paysage lingui</w:t>
      </w:r>
      <w:r w:rsidRPr="00083CDC">
        <w:t>s</w:t>
      </w:r>
      <w:r w:rsidRPr="00083CDC">
        <w:t>tique comme étant francophone, plus ils considéraient que la vitalité de leur communauté francophone locale était forte dans les domaines de la démographie et du soutien institutionnel. L’hypothèse de « l’effet d’entraînement » du paysage linguistique a aussi été appuyée par les résultats. Plus les élèves percevaient leur paysage linguistique comme étant francophone, plus ils avaient tendance à faire usage du français dans les établissements publics de leur lieu d’habitation comme les magasins, les centres communautaires et lors d’activités culturelles.</w:t>
      </w:r>
    </w:p>
    <w:p w:rsidR="00682F13" w:rsidRPr="00083CDC" w:rsidRDefault="00682F13" w:rsidP="00682F13">
      <w:pPr>
        <w:spacing w:before="120" w:after="120"/>
        <w:jc w:val="both"/>
      </w:pPr>
      <w:r w:rsidRPr="00DF59A6">
        <w:rPr>
          <w:i/>
        </w:rPr>
        <w:t>La deuxième étude</w:t>
      </w:r>
      <w:r w:rsidRPr="00083CDC">
        <w:t xml:space="preserve"> (Bourhis et Landry, 2002) s’appuyait sur les données d’une étude plus vaste (Landry, Allard et Bourhis, 1997), portant sur le développement bilingue de 350 élèves francophones et de 552 élèves anglophones issus de 12 écoles secondaires francoph</w:t>
      </w:r>
      <w:r w:rsidRPr="00083CDC">
        <w:t>o</w:t>
      </w:r>
      <w:r w:rsidRPr="00083CDC">
        <w:t>nes et anglophones du Québec. Les écoles furent choisies pour repr</w:t>
      </w:r>
      <w:r w:rsidRPr="00083CDC">
        <w:t>é</w:t>
      </w:r>
      <w:r w:rsidRPr="00083CDC">
        <w:t>senter des poids démographiques variés pour chacune des populations linguistiques de la province (allant de 10 % à plus de 90 %). À que</w:t>
      </w:r>
      <w:r w:rsidRPr="00083CDC">
        <w:t>l</w:t>
      </w:r>
      <w:r w:rsidRPr="00083CDC">
        <w:t>ques différences près, les résultats obtenus chez les anglophones et francophones au Québec ont confirmé ceux obtenus chez les franc</w:t>
      </w:r>
      <w:r w:rsidRPr="00083CDC">
        <w:t>o</w:t>
      </w:r>
      <w:r w:rsidRPr="00083CDC">
        <w:t>phones de l’ensemble du Canada. Pour les francophones du Québec, plus les élèves percevaient leur paysage linguistique comme étant francophone, plus ils considéraient que la vitalité de leur communauté francophone locale était forte et plus ils avaient tendance à faire usage du français dans les établissements publics de leur lieu d’habitation. De même, plus les élèves anglophones percevaient leur paysage li</w:t>
      </w:r>
      <w:r w:rsidRPr="00083CDC">
        <w:t>n</w:t>
      </w:r>
      <w:r w:rsidRPr="00083CDC">
        <w:t>guistique comme étant anglophone, plus ils avaient tendance à faire usage de l’anglais dans les établissements publics de leur lieu d’habitation. Ainsi, « l’effet d’entraînement » de l’ensemble du paysage linguistique sur l’usage de la langue endogroupe a été confirmé : chez les francophones minoritaires résidant au Canada a</w:t>
      </w:r>
      <w:r w:rsidRPr="00083CDC">
        <w:t>n</w:t>
      </w:r>
      <w:r w:rsidRPr="00083CDC">
        <w:t>glais, chez les francophones du Québec et chez les élèves de la min</w:t>
      </w:r>
      <w:r w:rsidRPr="00083CDC">
        <w:t>o</w:t>
      </w:r>
      <w:r w:rsidRPr="00083CDC">
        <w:t>rité anglophone du Québec. Donc, l’affichage gouvernemental et commercial peut avoir un « effet d’entraînement » sur l’usage de la langue endogroupe de la majorité et sur celles des groupes minorita</w:t>
      </w:r>
      <w:r w:rsidRPr="00083CDC">
        <w:t>i</w:t>
      </w:r>
      <w:r w:rsidRPr="00083CDC">
        <w:t xml:space="preserve">res. Notons que dans les deux études, les résultats démontrent aussi que moins la langue de </w:t>
      </w:r>
      <w:r>
        <w:t xml:space="preserve">[128] </w:t>
      </w:r>
      <w:r w:rsidRPr="00083CDC">
        <w:t>l’endogroupe est présente dans le pays</w:t>
      </w:r>
      <w:r w:rsidRPr="00083CDC">
        <w:t>a</w:t>
      </w:r>
      <w:r w:rsidRPr="00083CDC">
        <w:t>ge linguis</w:t>
      </w:r>
      <w:r w:rsidRPr="00083CDC">
        <w:lastRenderedPageBreak/>
        <w:t>tique, moins les locuteurs font usage de leur langue end</w:t>
      </w:r>
      <w:r w:rsidRPr="00083CDC">
        <w:t>o</w:t>
      </w:r>
      <w:r w:rsidRPr="00083CDC">
        <w:t>groupe dans les établissements publics de leur lieu d’habitation.</w:t>
      </w:r>
    </w:p>
    <w:p w:rsidR="00682F13" w:rsidRPr="00083CDC" w:rsidRDefault="00682F13" w:rsidP="00682F13">
      <w:pPr>
        <w:spacing w:before="120" w:after="120"/>
        <w:jc w:val="both"/>
      </w:pPr>
      <w:r w:rsidRPr="00083CDC">
        <w:t>L’exclusion de la langue endogroupe du paysage linguistique peut symboliser un statut et une valeur peu élevés attribués à cette langue par la société dominante. L’exclusion de la langue minoritaire de l’affichage peut consolider des normes sociolinguistiques qui incitent les locuteurs de cette langue à réduire leur usage de leur langue dans les situations publiques, contribuant à une situation de diglossie face à la langue de prestige de la majorité dominante. En excluant une la</w:t>
      </w:r>
      <w:r w:rsidRPr="00083CDC">
        <w:t>n</w:t>
      </w:r>
      <w:r w:rsidRPr="00083CDC">
        <w:t>gue minoritaire du paysage linguistique, en limitant son enseignement dans les écoles et en réduisant les services hospitaliers, juridiques et administratifs offerts dans cette langue, la majorité dominante réduit la vitalité objective de la minorité linguistique, transforme à la baisse la représentation de la force et de la vitalité de sa communauté lingui</w:t>
      </w:r>
      <w:r w:rsidRPr="00083CDC">
        <w:t>s</w:t>
      </w:r>
      <w:r w:rsidRPr="00083CDC">
        <w:t xml:space="preserve">tique, fragilise son désir de transmette la langue à sa progéniture et peut réussir à miner sa volonté de se mobiliser afin de survivre en tant que communauté linguistique distincte. </w:t>
      </w:r>
    </w:p>
    <w:p w:rsidR="00682F13" w:rsidRPr="00083CDC" w:rsidRDefault="00682F13" w:rsidP="00682F13">
      <w:pPr>
        <w:spacing w:before="120" w:after="120"/>
        <w:jc w:val="both"/>
      </w:pPr>
      <w:r w:rsidRPr="00083CDC">
        <w:t>Par ailleurs, l’exclusion de certaines langues minoritaires du paysage linguistique peut mobiliser ces minorités en vue de lutter d</w:t>
      </w:r>
      <w:r w:rsidRPr="00083CDC">
        <w:t>é</w:t>
      </w:r>
      <w:r w:rsidRPr="00083CDC">
        <w:t>mocratiquement (partis politiques, groupes de pression, contestations juridiques) en faveur de leur inclusion ou maintien non seulement dans le paysage linguistique mais aussi dans les autres domaines de la vitalité tels l’enseignement, les soins de santé, les services juridiques et administratifs de la région administrative en cause. Nous avons o</w:t>
      </w:r>
      <w:r w:rsidRPr="00083CDC">
        <w:t>b</w:t>
      </w:r>
      <w:r w:rsidRPr="00083CDC">
        <w:t>servé ce type de mobilisation chez la minorité anglophone du Québec exclue du paysage linguistique par les lois 101 et 178, et auparavant chez les activistes francophones qui militaient en faveur de l’affichage en français à Montréal durant les années 1950-1970 (par exemple pét</w:t>
      </w:r>
      <w:r w:rsidRPr="00083CDC">
        <w:t>i</w:t>
      </w:r>
      <w:r w:rsidRPr="00083CDC">
        <w:t>tion pour la francisation de l’affiche de l’hôtel Queen Elizabeth en 1955). Faute pour les militants d’aboutir aux effets voulus dans un laps de temps considéré comme acceptable, il arrive que nous obse</w:t>
      </w:r>
      <w:r w:rsidRPr="00083CDC">
        <w:t>r</w:t>
      </w:r>
      <w:r w:rsidRPr="00083CDC">
        <w:t>vions aussi des campagnes de graffitis dont le but est de « forcer » l’inclusion de la langue endogroupe dans l’affichage administratif et commercial sous contrôle du groupe dominant. Ce type de campagne de graffitis peut aussi inclure la suppression de la langue dominante de l’affichage gouvernemental et commercial (badigeonnage ou de</w:t>
      </w:r>
      <w:r w:rsidRPr="00083CDC">
        <w:t>s</w:t>
      </w:r>
      <w:r w:rsidRPr="00083CDC">
        <w:t>truction de panneaux routiers et d’affiches commerciales). Des ca</w:t>
      </w:r>
      <w:r w:rsidRPr="00083CDC">
        <w:t>m</w:t>
      </w:r>
      <w:r w:rsidRPr="00083CDC">
        <w:t>pagnes de graffitis pour inclure une langue minoritaire dans le pay</w:t>
      </w:r>
      <w:r w:rsidRPr="00083CDC">
        <w:lastRenderedPageBreak/>
        <w:t>s</w:t>
      </w:r>
      <w:r w:rsidRPr="00083CDC">
        <w:t>a</w:t>
      </w:r>
      <w:r w:rsidRPr="00083CDC">
        <w:t>ge linguistique ont eu lieu à différentes époques au Pays de Galles, en Catalogne, en Bretagne, et demeurent d’actualité au Pays basque e</w:t>
      </w:r>
      <w:r w:rsidRPr="00083CDC">
        <w:t>s</w:t>
      </w:r>
      <w:r w:rsidRPr="00083CDC">
        <w:t>pagnol et français. Ainsi, les anciens et les nouveaux graffitis, visibles dans le paysage linguistique, peuvent témoigner des luttes anciennes et actuelles entre les communautés linguistiques rivales d’une ville, d’une région ou d’un État. Les murs parlent, non seulement par la voix officielle de l’affichage administratif et commercial mais aussi par les chuchotements et les cris des « graffiteurs » partisans des camps linguistiques rivaux. Étant donné que la majorité linguistique contrôle mieux l’affichage administratif et commercial que peuvent le faire les minorités linguistiques, la lecture de l’ensemble du paysage linguistique nous offre un indicateur révélateur de la façon dont la m</w:t>
      </w:r>
      <w:r w:rsidRPr="00083CDC">
        <w:t>a</w:t>
      </w:r>
      <w:r w:rsidRPr="00083CDC">
        <w:t>jorité dominante traite ses minorités linguistiques.</w:t>
      </w:r>
    </w:p>
    <w:p w:rsidR="00682F13" w:rsidRPr="00DF59A6" w:rsidRDefault="00682F13" w:rsidP="00682F13">
      <w:pPr>
        <w:spacing w:before="120" w:after="120"/>
        <w:jc w:val="both"/>
      </w:pPr>
      <w:r w:rsidRPr="00DF59A6">
        <w:t>[129]</w:t>
      </w:r>
    </w:p>
    <w:p w:rsidR="00682F13" w:rsidRPr="00DF59A6" w:rsidRDefault="00682F13" w:rsidP="00682F13">
      <w:pPr>
        <w:spacing w:before="120" w:after="120"/>
        <w:jc w:val="both"/>
      </w:pPr>
    </w:p>
    <w:p w:rsidR="00682F13" w:rsidRPr="00083CDC" w:rsidRDefault="00682F13" w:rsidP="00682F13">
      <w:pPr>
        <w:pStyle w:val="planche"/>
      </w:pPr>
      <w:bookmarkStart w:id="10" w:name="Loi_101_aménagement_résumé"/>
      <w:r w:rsidRPr="00083CDC">
        <w:t>Résumé</w:t>
      </w:r>
    </w:p>
    <w:bookmarkEnd w:id="10"/>
    <w:p w:rsidR="00682F13" w:rsidRPr="00083CDC" w:rsidRDefault="00682F13" w:rsidP="00682F13">
      <w:pPr>
        <w:spacing w:before="120" w:after="120"/>
        <w:jc w:val="both"/>
        <w:rPr>
          <w:i/>
        </w:rPr>
      </w:pPr>
      <w:r w:rsidRPr="00083CDC">
        <w:rPr>
          <w:i/>
        </w:rPr>
        <w:t>La loi 101 et le paysage linguistique du Québec</w:t>
      </w:r>
    </w:p>
    <w:p w:rsidR="00682F13" w:rsidRDefault="00682F13" w:rsidP="00682F13">
      <w:pPr>
        <w:spacing w:before="120" w:after="120"/>
        <w:jc w:val="both"/>
      </w:pPr>
    </w:p>
    <w:p w:rsidR="00682F13" w:rsidRPr="00384B20" w:rsidRDefault="00682F13" w:rsidP="00682F13">
      <w:pPr>
        <w:ind w:right="90" w:firstLine="0"/>
        <w:jc w:val="both"/>
        <w:rPr>
          <w:sz w:val="20"/>
        </w:rPr>
      </w:pPr>
      <w:hyperlink w:anchor="tdm" w:history="1">
        <w:r w:rsidRPr="00384B20">
          <w:rPr>
            <w:rStyle w:val="Lienhypertexte"/>
            <w:sz w:val="20"/>
          </w:rPr>
          <w:t>Retour à la table des matières</w:t>
        </w:r>
      </w:hyperlink>
    </w:p>
    <w:p w:rsidR="00682F13" w:rsidRDefault="00682F13" w:rsidP="00682F13">
      <w:pPr>
        <w:spacing w:before="120" w:after="120"/>
        <w:jc w:val="both"/>
      </w:pPr>
      <w:r w:rsidRPr="00083CDC">
        <w:t>Le paysage linguistique d’un territoire donné renvoie à la visibilité et au caractère plus ou moins prédominant des différentes langues qui figurent sur les panneaux de signalisation des voies publiques, sur les panneaux indicateurs de noms de rues, dans les noms de lieux,  l’affichage commercial, les panneaux publicitaires et les véhicules privés. Le paysage linguistique exerce d’importantes fonctions sy</w:t>
      </w:r>
      <w:r w:rsidRPr="00083CDC">
        <w:t>m</w:t>
      </w:r>
      <w:r w:rsidRPr="00083CDC">
        <w:t>boliques et informationnelles qui définissent les limites et les fronti</w:t>
      </w:r>
      <w:r w:rsidRPr="00083CDC">
        <w:t>è</w:t>
      </w:r>
      <w:r w:rsidRPr="00083CDC">
        <w:t>res territoriales des communautés linguistiques, tout en reflétant aussi le pouvoir et le statut relatifs des majorités et des minorités linguist</w:t>
      </w:r>
      <w:r w:rsidRPr="00083CDC">
        <w:t>i</w:t>
      </w:r>
      <w:r w:rsidRPr="00083CDC">
        <w:t>ques. L’auteur passe en revue les lois linguistiques adoptées pour faire en sorte que le français soit nettement prédominant dans le paysage linguistique du Québec, reflétant ainsi le statut dominant de la major</w:t>
      </w:r>
      <w:r w:rsidRPr="00083CDC">
        <w:t>i</w:t>
      </w:r>
      <w:r w:rsidRPr="00083CDC">
        <w:t xml:space="preserve">té francophone au Québec. L’article souligne aussi de quelle manière la minorité anglophone a lutté pour maintenir sa présence dans le paysage linguistique québécois, par la mobilisation politique et des contestations juridiques au terme desquelles elle a eu gain de cause, en invoquant les chartes québécoise et canadienne des droits et </w:t>
      </w:r>
      <w:r w:rsidRPr="00083CDC">
        <w:lastRenderedPageBreak/>
        <w:t>libertés. Après trois décennies, le paysage linguistique du Québec a atteint un « équilibre linguistique » qui reflète le statut majoritaire du français, tout en respectant la présence de ses minorités linguistiques angl</w:t>
      </w:r>
      <w:r w:rsidRPr="00083CDC">
        <w:t>o</w:t>
      </w:r>
      <w:r w:rsidRPr="00083CDC">
        <w:t>phone et allophone dans l’affichage public et les noms de lieux.</w:t>
      </w:r>
    </w:p>
    <w:p w:rsidR="00682F13" w:rsidRPr="00083CDC" w:rsidRDefault="00682F13" w:rsidP="00682F13">
      <w:pPr>
        <w:spacing w:before="120" w:after="120"/>
        <w:jc w:val="both"/>
      </w:pPr>
    </w:p>
    <w:p w:rsidR="00682F13" w:rsidRPr="00083CDC" w:rsidRDefault="00682F13" w:rsidP="00682F13">
      <w:pPr>
        <w:pStyle w:val="planche"/>
      </w:pPr>
      <w:bookmarkStart w:id="11" w:name="Loi_101_aménagement_abstract"/>
      <w:r w:rsidRPr="00083CDC">
        <w:t>Abstract</w:t>
      </w:r>
    </w:p>
    <w:bookmarkEnd w:id="11"/>
    <w:p w:rsidR="00682F13" w:rsidRPr="00083CDC" w:rsidRDefault="00682F13" w:rsidP="00682F13">
      <w:pPr>
        <w:spacing w:before="120" w:after="120"/>
        <w:jc w:val="both"/>
        <w:rPr>
          <w:i/>
        </w:rPr>
      </w:pPr>
      <w:r w:rsidRPr="00083CDC">
        <w:rPr>
          <w:i/>
        </w:rPr>
        <w:t>Bill 101 and the Québec linguistic landscape</w:t>
      </w:r>
    </w:p>
    <w:p w:rsidR="00682F13" w:rsidRDefault="00682F13" w:rsidP="00682F13">
      <w:pPr>
        <w:spacing w:before="120" w:after="120"/>
        <w:jc w:val="both"/>
      </w:pPr>
    </w:p>
    <w:p w:rsidR="00682F13" w:rsidRPr="00384B20" w:rsidRDefault="00682F13" w:rsidP="00682F13">
      <w:pPr>
        <w:ind w:right="90" w:firstLine="0"/>
        <w:jc w:val="both"/>
        <w:rPr>
          <w:sz w:val="20"/>
        </w:rPr>
      </w:pPr>
      <w:hyperlink w:anchor="tdm" w:history="1">
        <w:r w:rsidRPr="00384B20">
          <w:rPr>
            <w:rStyle w:val="Lienhypertexte"/>
            <w:sz w:val="20"/>
          </w:rPr>
          <w:t>Retour à la table des matières</w:t>
        </w:r>
      </w:hyperlink>
    </w:p>
    <w:p w:rsidR="00682F13" w:rsidRDefault="00682F13" w:rsidP="00682F13">
      <w:pPr>
        <w:spacing w:before="120" w:after="120"/>
        <w:jc w:val="both"/>
      </w:pPr>
      <w:r w:rsidRPr="00083CDC">
        <w:t>The linguistic landscape of a given territory refers to the visibility and salience of different languages posted on public road signs, street names, place names, commercial shop signs, advertising billboards and private vehicles. The linguistic landscape serves important info</w:t>
      </w:r>
      <w:r w:rsidRPr="00083CDC">
        <w:t>r</w:t>
      </w:r>
      <w:r w:rsidRPr="00083CDC">
        <w:t>mational and symbolic functions defining the territorial limits and boundaries of language communities while also reflecting the relative power and status of language majorities and minorities. The author provides a review of the language laws that were adopted to make the Québec linguistic landscape predominently  French,  thus reflecting the dominant status of the French majority in Québec. The article also highlights how the anglophone minority struggled to maintain  its pr</w:t>
      </w:r>
      <w:r w:rsidRPr="00083CDC">
        <w:t>e</w:t>
      </w:r>
      <w:r w:rsidRPr="00083CDC">
        <w:t>sence in the Québec linguistic landscape through political mobiliz</w:t>
      </w:r>
      <w:r w:rsidRPr="00083CDC">
        <w:t>a</w:t>
      </w:r>
      <w:r w:rsidRPr="00083CDC">
        <w:t>tion and successful court challenges invoking the Québec and Can</w:t>
      </w:r>
      <w:r w:rsidRPr="00083CDC">
        <w:t>a</w:t>
      </w:r>
      <w:r w:rsidRPr="00083CDC">
        <w:t>dian Charters of rights and freedoms. After three decades, the Québec linguistic landscape reached a “linguistic equilibrium” reflecting the majority status of French while respecting the presence of its angl</w:t>
      </w:r>
      <w:r w:rsidRPr="00083CDC">
        <w:t>o</w:t>
      </w:r>
      <w:r w:rsidRPr="00083CDC">
        <w:t>phone and allophone linguistic minorities on public signs and place names.</w:t>
      </w:r>
    </w:p>
    <w:p w:rsidR="00682F13" w:rsidRPr="00083CDC" w:rsidRDefault="00682F13" w:rsidP="00682F13">
      <w:pPr>
        <w:spacing w:before="120" w:after="120"/>
        <w:jc w:val="both"/>
      </w:pPr>
    </w:p>
    <w:p w:rsidR="00682F13" w:rsidRPr="00083CDC" w:rsidRDefault="00682F13" w:rsidP="00682F13">
      <w:pPr>
        <w:pStyle w:val="planche"/>
      </w:pPr>
      <w:bookmarkStart w:id="12" w:name="Loi_101_aménagement_resumen"/>
      <w:r>
        <w:t>Resumen</w:t>
      </w:r>
    </w:p>
    <w:bookmarkEnd w:id="12"/>
    <w:p w:rsidR="00682F13" w:rsidRPr="00083CDC" w:rsidRDefault="00682F13" w:rsidP="00682F13">
      <w:pPr>
        <w:spacing w:before="120" w:after="120"/>
        <w:jc w:val="both"/>
        <w:rPr>
          <w:i/>
        </w:rPr>
      </w:pPr>
      <w:r w:rsidRPr="00083CDC">
        <w:rPr>
          <w:i/>
        </w:rPr>
        <w:t>La ley 101 y el paisaje lingüístico del Québec</w:t>
      </w:r>
    </w:p>
    <w:p w:rsidR="00682F13" w:rsidRDefault="00682F13" w:rsidP="00682F13">
      <w:pPr>
        <w:spacing w:before="120" w:after="120"/>
        <w:jc w:val="both"/>
      </w:pPr>
    </w:p>
    <w:p w:rsidR="00682F13" w:rsidRPr="00384B20" w:rsidRDefault="00682F13" w:rsidP="00682F13">
      <w:pPr>
        <w:ind w:right="90" w:firstLine="0"/>
        <w:jc w:val="both"/>
        <w:rPr>
          <w:sz w:val="20"/>
        </w:rPr>
      </w:pPr>
      <w:hyperlink w:anchor="tdm" w:history="1">
        <w:r w:rsidRPr="00384B20">
          <w:rPr>
            <w:rStyle w:val="Lienhypertexte"/>
            <w:sz w:val="20"/>
          </w:rPr>
          <w:t>Retour à la table des matières</w:t>
        </w:r>
      </w:hyperlink>
    </w:p>
    <w:p w:rsidR="00682F13" w:rsidRDefault="00682F13" w:rsidP="00682F13">
      <w:pPr>
        <w:spacing w:before="120" w:after="120"/>
        <w:jc w:val="both"/>
      </w:pPr>
      <w:r w:rsidRPr="00083CDC">
        <w:t xml:space="preserve">El paisage lingüístico de un territorio dado remite a la visibilidad y al carácter más o menos predominante de las diferentes lenguas que </w:t>
      </w:r>
      <w:r w:rsidRPr="00083CDC">
        <w:lastRenderedPageBreak/>
        <w:t>figuran sobre los paneles de señalización de las vías públicas, las s</w:t>
      </w:r>
      <w:r w:rsidRPr="00083CDC">
        <w:t>e</w:t>
      </w:r>
      <w:r w:rsidRPr="00083CDC">
        <w:t>ñales indicadoras de nombres de calles, en los nombres de lugares, los anuncios comerciales, carteles publicitarios y vehículos privados. El paisaje lingüístico ejerce importantes funciones simbólicas e inform</w:t>
      </w:r>
      <w:r w:rsidRPr="00083CDC">
        <w:t>a</w:t>
      </w:r>
      <w:r w:rsidRPr="00083CDC">
        <w:t>cionales que definen los límites y las fronteras territoriales de las c</w:t>
      </w:r>
      <w:r w:rsidRPr="00083CDC">
        <w:t>o</w:t>
      </w:r>
      <w:r w:rsidRPr="00083CDC">
        <w:t>munidades lingüísticas, reflejando a la par el poder y el estatuto relat</w:t>
      </w:r>
      <w:r w:rsidRPr="00083CDC">
        <w:t>i</w:t>
      </w:r>
      <w:r w:rsidRPr="00083CDC">
        <w:t>vo de las mayorías y minorías lingüísticas.  El autor revisa las leyes lingüísticas adoptadas para obtener que el francés sea netamente pr</w:t>
      </w:r>
      <w:r w:rsidRPr="00083CDC">
        <w:t>e</w:t>
      </w:r>
      <w:r w:rsidRPr="00083CDC">
        <w:t>dominante en el panorama lingüístico del Québec, reflejando así el estatuto dominante de la mayoría de habla francesa en el Québec. El artículo subraya tambien de qué manera la minoría anglófona luchó por manetener su presencia en el horizonte lingüístico quebecense, mediante la movilización política y las contestaciones jurídicas, al c</w:t>
      </w:r>
      <w:r w:rsidRPr="00083CDC">
        <w:t>a</w:t>
      </w:r>
      <w:r w:rsidRPr="00083CDC">
        <w:t>bo de las cuales ganó el pleito, invocando las cartas quebecense y c</w:t>
      </w:r>
      <w:r w:rsidRPr="00083CDC">
        <w:t>a</w:t>
      </w:r>
      <w:r w:rsidRPr="00083CDC">
        <w:t>nadiense de derechos y libertades. Después de tres décadas, el paisaje lingüístico del Québec alcanzó un « equilibrio lingüístico » que refleja el estatuto mayoritario del francés, respetando la presencia de min</w:t>
      </w:r>
      <w:r w:rsidRPr="00083CDC">
        <w:t>o</w:t>
      </w:r>
      <w:r w:rsidRPr="00083CDC">
        <w:t>rías lingüísticas anglófona y alófona en los carteles.</w:t>
      </w:r>
    </w:p>
    <w:p w:rsidR="00682F13" w:rsidRDefault="00682F13" w:rsidP="00682F13">
      <w:pPr>
        <w:spacing w:before="120" w:after="120"/>
        <w:jc w:val="both"/>
      </w:pPr>
      <w:r>
        <w:t>[130]</w:t>
      </w:r>
    </w:p>
    <w:p w:rsidR="00682F13" w:rsidRPr="00083CDC" w:rsidRDefault="00682F13" w:rsidP="00682F13">
      <w:pPr>
        <w:spacing w:before="120" w:after="120"/>
        <w:jc w:val="both"/>
      </w:pPr>
    </w:p>
    <w:p w:rsidR="00682F13" w:rsidRPr="00083CDC" w:rsidRDefault="00682F13" w:rsidP="00682F13">
      <w:pPr>
        <w:pStyle w:val="planche"/>
      </w:pPr>
      <w:bookmarkStart w:id="13" w:name="Loi_101_aménagement_biblio"/>
      <w:r w:rsidRPr="00083CDC">
        <w:t>Bibliographie</w:t>
      </w:r>
    </w:p>
    <w:bookmarkEnd w:id="13"/>
    <w:p w:rsidR="00682F13" w:rsidRDefault="00682F13" w:rsidP="00682F13">
      <w:pPr>
        <w:spacing w:before="120" w:after="120"/>
        <w:jc w:val="both"/>
      </w:pPr>
    </w:p>
    <w:p w:rsidR="00682F13" w:rsidRPr="00384B20" w:rsidRDefault="00682F13" w:rsidP="00682F13">
      <w:pPr>
        <w:ind w:right="90" w:firstLine="0"/>
        <w:jc w:val="both"/>
        <w:rPr>
          <w:sz w:val="20"/>
        </w:rPr>
      </w:pPr>
      <w:hyperlink w:anchor="tdm" w:history="1">
        <w:r w:rsidRPr="00384B20">
          <w:rPr>
            <w:rStyle w:val="Lienhypertexte"/>
            <w:sz w:val="20"/>
          </w:rPr>
          <w:t>Retour à la table des matières</w:t>
        </w:r>
      </w:hyperlink>
    </w:p>
    <w:p w:rsidR="00682F13" w:rsidRPr="00083CDC" w:rsidRDefault="00682F13" w:rsidP="00682F13">
      <w:pPr>
        <w:spacing w:before="120" w:after="120"/>
        <w:jc w:val="both"/>
      </w:pPr>
      <w:r w:rsidRPr="00083CDC">
        <w:t>D’A</w:t>
      </w:r>
      <w:r w:rsidRPr="00083CDC">
        <w:rPr>
          <w:smallCaps/>
        </w:rPr>
        <w:t>nglejan</w:t>
      </w:r>
      <w:r w:rsidRPr="00083CDC">
        <w:t>, A. (1984). « Language planning in Quebec : An hi</w:t>
      </w:r>
      <w:r w:rsidRPr="00083CDC">
        <w:t>s</w:t>
      </w:r>
      <w:r w:rsidRPr="00083CDC">
        <w:t xml:space="preserve">torical overview and future trends », dans : R.Y. Bourhis (dir.), </w:t>
      </w:r>
      <w:r w:rsidRPr="00083CDC">
        <w:rPr>
          <w:i/>
        </w:rPr>
        <w:t>Conflict and Language Planning in Quebec</w:t>
      </w:r>
      <w:r w:rsidRPr="00083CDC">
        <w:t>, Clevedon, Angleterre, Multilingual Matters, p. 29-52.</w:t>
      </w:r>
    </w:p>
    <w:p w:rsidR="00682F13" w:rsidRPr="00083CDC" w:rsidRDefault="00682F13" w:rsidP="00682F13">
      <w:pPr>
        <w:spacing w:before="120" w:after="120"/>
        <w:jc w:val="both"/>
      </w:pPr>
      <w:r w:rsidRPr="00083CDC">
        <w:t>B</w:t>
      </w:r>
      <w:r w:rsidRPr="00083CDC">
        <w:rPr>
          <w:smallCaps/>
        </w:rPr>
        <w:t>ariteau</w:t>
      </w:r>
      <w:r w:rsidRPr="00083CDC">
        <w:t xml:space="preserve">, C. (2000). « Langue et dynamiques identitaires au Québec », dans : M. Plourde, H. Duval et P. Georgeault (dirs), </w:t>
      </w:r>
      <w:r w:rsidRPr="00083CDC">
        <w:rPr>
          <w:i/>
        </w:rPr>
        <w:t>Le français au Québec : 400 ans d’histoire et de vie</w:t>
      </w:r>
      <w:r w:rsidRPr="00083CDC">
        <w:t>, Québec, Conseil de la langue française, Gouvernement du Québec, p. 357-361.</w:t>
      </w:r>
    </w:p>
    <w:p w:rsidR="00682F13" w:rsidRPr="00083CDC" w:rsidRDefault="00682F13" w:rsidP="00682F13">
      <w:pPr>
        <w:spacing w:before="120" w:after="120"/>
        <w:jc w:val="both"/>
      </w:pPr>
      <w:r w:rsidRPr="00083CDC">
        <w:t>B</w:t>
      </w:r>
      <w:r w:rsidRPr="00083CDC">
        <w:rPr>
          <w:smallCaps/>
        </w:rPr>
        <w:t>éland</w:t>
      </w:r>
      <w:r w:rsidRPr="00083CDC">
        <w:t xml:space="preserve">, P. (1999). </w:t>
      </w:r>
      <w:r w:rsidRPr="00083CDC">
        <w:rPr>
          <w:i/>
        </w:rPr>
        <w:t>Le français, langue d’usage public au Québec en 1997</w:t>
      </w:r>
      <w:r w:rsidRPr="00083CDC">
        <w:t xml:space="preserve">, Québec, Conseil de la langue française. </w:t>
      </w:r>
    </w:p>
    <w:p w:rsidR="00682F13" w:rsidRPr="00083CDC" w:rsidRDefault="00682F13" w:rsidP="00682F13">
      <w:pPr>
        <w:spacing w:before="120" w:after="120"/>
        <w:jc w:val="both"/>
      </w:pPr>
      <w:r w:rsidRPr="00083CDC">
        <w:t>B</w:t>
      </w:r>
      <w:r w:rsidRPr="00083CDC">
        <w:rPr>
          <w:smallCaps/>
        </w:rPr>
        <w:t>ernard</w:t>
      </w:r>
      <w:r w:rsidRPr="00083CDC">
        <w:t xml:space="preserve">, A. (2000). « Les répercussions sociales et politiques de la loi 101 », dans : M. Plourde, H. Duval et P. Georgeault (dirs), </w:t>
      </w:r>
      <w:r w:rsidRPr="00083CDC">
        <w:rPr>
          <w:i/>
        </w:rPr>
        <w:t xml:space="preserve">Le </w:t>
      </w:r>
      <w:r w:rsidRPr="00083CDC">
        <w:rPr>
          <w:i/>
        </w:rPr>
        <w:lastRenderedPageBreak/>
        <w:t>français au Québec : 400 ans d’histoire et de vie</w:t>
      </w:r>
      <w:r w:rsidRPr="00083CDC">
        <w:t>, Québec, Conseil de la langue française, Gouvernement du Québec, p. 292-299.</w:t>
      </w:r>
    </w:p>
    <w:p w:rsidR="00682F13" w:rsidRPr="00083CDC" w:rsidRDefault="00682F13" w:rsidP="00682F13">
      <w:pPr>
        <w:spacing w:before="120" w:after="120"/>
        <w:jc w:val="both"/>
      </w:pPr>
      <w:r w:rsidRPr="00083CDC">
        <w:t>B</w:t>
      </w:r>
      <w:r w:rsidRPr="00083CDC">
        <w:rPr>
          <w:smallCaps/>
        </w:rPr>
        <w:t>ouchard</w:t>
      </w:r>
      <w:r w:rsidRPr="00083CDC">
        <w:t>, P. et M</w:t>
      </w:r>
      <w:r w:rsidRPr="00083CDC">
        <w:rPr>
          <w:smallCaps/>
        </w:rPr>
        <w:t>aurais</w:t>
      </w:r>
      <w:r w:rsidRPr="00083CDC">
        <w:t xml:space="preserve">, J. (2000). </w:t>
      </w:r>
      <w:r w:rsidRPr="00083CDC">
        <w:rPr>
          <w:i/>
        </w:rPr>
        <w:t>L’affichage à Montréal de 1997 à 1999</w:t>
      </w:r>
      <w:r w:rsidRPr="00083CDC">
        <w:t>, Montréal, Conseil de la langue française et Office de la langue française.</w:t>
      </w:r>
    </w:p>
    <w:p w:rsidR="00682F13" w:rsidRPr="00083CDC" w:rsidRDefault="00682F13" w:rsidP="00682F13">
      <w:pPr>
        <w:spacing w:before="120" w:after="120"/>
        <w:jc w:val="both"/>
      </w:pPr>
      <w:r w:rsidRPr="00083CDC">
        <w:t>B</w:t>
      </w:r>
      <w:r w:rsidRPr="00083CDC">
        <w:rPr>
          <w:smallCaps/>
        </w:rPr>
        <w:t>ourhis</w:t>
      </w:r>
      <w:r w:rsidRPr="00083CDC">
        <w:t xml:space="preserve">, R. Y. (1984a)(dir.). </w:t>
      </w:r>
      <w:r w:rsidRPr="00083CDC">
        <w:rPr>
          <w:i/>
        </w:rPr>
        <w:t>Conflict and Language Planning in Québec</w:t>
      </w:r>
      <w:r w:rsidRPr="00083CDC">
        <w:t>, Clevedon, Angleterre, Multilingual Matters.</w:t>
      </w:r>
    </w:p>
    <w:p w:rsidR="00682F13" w:rsidRPr="00083CDC" w:rsidRDefault="00682F13" w:rsidP="00682F13">
      <w:pPr>
        <w:spacing w:before="120" w:after="120"/>
        <w:jc w:val="both"/>
      </w:pPr>
      <w:r w:rsidRPr="00083CDC">
        <w:t>B</w:t>
      </w:r>
      <w:r w:rsidRPr="00083CDC">
        <w:rPr>
          <w:smallCaps/>
        </w:rPr>
        <w:t>ourhis</w:t>
      </w:r>
      <w:r w:rsidRPr="00083CDC">
        <w:t>, R. Y. (1984b). « Cross-cultural communication in Mo</w:t>
      </w:r>
      <w:r w:rsidRPr="00083CDC">
        <w:t>n</w:t>
      </w:r>
      <w:r w:rsidRPr="00083CDC">
        <w:t xml:space="preserve">tréal : Two field studies since Bill 101 », dans : </w:t>
      </w:r>
      <w:r w:rsidRPr="00083CDC">
        <w:rPr>
          <w:i/>
        </w:rPr>
        <w:t>International Journal of the Sociology of Language</w:t>
      </w:r>
      <w:r w:rsidRPr="00083CDC">
        <w:t>, n</w:t>
      </w:r>
      <w:r w:rsidRPr="00083CDC">
        <w:rPr>
          <w:vertAlign w:val="superscript"/>
        </w:rPr>
        <w:t>o</w:t>
      </w:r>
      <w:r w:rsidRPr="00083CDC">
        <w:t xml:space="preserve"> 46, p. 33-47.</w:t>
      </w:r>
    </w:p>
    <w:p w:rsidR="00682F13" w:rsidRPr="00083CDC" w:rsidRDefault="00682F13" w:rsidP="00682F13">
      <w:pPr>
        <w:spacing w:before="120" w:after="120"/>
        <w:jc w:val="both"/>
      </w:pPr>
      <w:r w:rsidRPr="00083CDC">
        <w:t>B</w:t>
      </w:r>
      <w:r w:rsidRPr="00083CDC">
        <w:rPr>
          <w:smallCaps/>
        </w:rPr>
        <w:t>ourhis</w:t>
      </w:r>
      <w:r w:rsidRPr="00083CDC">
        <w:t>, R. Y. (1994a). « Ethnic and language attitudes in Qu</w:t>
      </w:r>
      <w:r w:rsidRPr="00083CDC">
        <w:t>é</w:t>
      </w:r>
      <w:r w:rsidRPr="00083CDC">
        <w:t xml:space="preserve">bec », dans : J. Berry et J. Laponce (dirs), </w:t>
      </w:r>
      <w:r w:rsidRPr="00083CDC">
        <w:rPr>
          <w:i/>
        </w:rPr>
        <w:t>Ethnicity and Culture in Canada : The Research Landscape</w:t>
      </w:r>
      <w:r w:rsidRPr="00083CDC">
        <w:t>, Toronto, Toronto University Press, p. 322-360.</w:t>
      </w:r>
    </w:p>
    <w:p w:rsidR="00682F13" w:rsidRPr="00083CDC" w:rsidRDefault="00682F13" w:rsidP="00682F13">
      <w:pPr>
        <w:spacing w:before="120" w:after="120"/>
        <w:jc w:val="both"/>
      </w:pPr>
      <w:r w:rsidRPr="00083CDC">
        <w:t>B</w:t>
      </w:r>
      <w:r w:rsidRPr="00083CDC">
        <w:rPr>
          <w:smallCaps/>
        </w:rPr>
        <w:t>ourhis</w:t>
      </w:r>
      <w:r w:rsidRPr="00083CDC">
        <w:t xml:space="preserve">, R. Y. (1994b). « Introduction and overview of language events in Canada », dans : </w:t>
      </w:r>
      <w:r w:rsidRPr="00083CDC">
        <w:rPr>
          <w:i/>
        </w:rPr>
        <w:t>International Journal of the Sociology of Language</w:t>
      </w:r>
      <w:r w:rsidRPr="00083CDC">
        <w:t>, n</w:t>
      </w:r>
      <w:r w:rsidRPr="00083CDC">
        <w:rPr>
          <w:vertAlign w:val="superscript"/>
        </w:rPr>
        <w:t>o</w:t>
      </w:r>
      <w:r w:rsidRPr="00083CDC">
        <w:t xml:space="preserve"> 105-106, p. 5-36.</w:t>
      </w:r>
    </w:p>
    <w:p w:rsidR="00682F13" w:rsidRPr="00083CDC" w:rsidRDefault="00682F13" w:rsidP="00682F13">
      <w:pPr>
        <w:spacing w:before="120" w:after="120"/>
        <w:jc w:val="both"/>
      </w:pPr>
      <w:r w:rsidRPr="00083CDC">
        <w:t>B</w:t>
      </w:r>
      <w:r w:rsidRPr="00083CDC">
        <w:rPr>
          <w:smallCaps/>
        </w:rPr>
        <w:t>ourhis</w:t>
      </w:r>
      <w:r w:rsidRPr="00083CDC">
        <w:t>, R. Y. (2001a). « Reversing language shift in Québec », dans : J.A. Fishman (dir</w:t>
      </w:r>
      <w:r w:rsidRPr="00083CDC">
        <w:rPr>
          <w:i/>
        </w:rPr>
        <w:t>.), Can Threatened Languages Be Saved?</w:t>
      </w:r>
      <w:r w:rsidRPr="00083CDC">
        <w:t>, Clevedon, Angleterre, Multilingual Matters, p. 101-141.</w:t>
      </w:r>
    </w:p>
    <w:p w:rsidR="00682F13" w:rsidRPr="00083CDC" w:rsidRDefault="00682F13" w:rsidP="00682F13">
      <w:pPr>
        <w:spacing w:before="120" w:after="120"/>
        <w:jc w:val="both"/>
      </w:pPr>
      <w:r w:rsidRPr="00083CDC">
        <w:t>B</w:t>
      </w:r>
      <w:r w:rsidRPr="00083CDC">
        <w:rPr>
          <w:smallCaps/>
        </w:rPr>
        <w:t>ourhis</w:t>
      </w:r>
      <w:r w:rsidRPr="00083CDC">
        <w:t>, R. Y. (2001b). « Identité linguistique et acculturation », communication présentée à la Commission des états généraux sur la situation de la langue française au Québec, Thématique 2 : enjeux démographiques et intégration des immigrants, Montréal.</w:t>
      </w:r>
    </w:p>
    <w:p w:rsidR="00682F13" w:rsidRPr="00083CDC" w:rsidRDefault="00682F13" w:rsidP="00682F13">
      <w:pPr>
        <w:spacing w:before="120" w:after="120"/>
        <w:jc w:val="both"/>
      </w:pPr>
      <w:r w:rsidRPr="00083CDC">
        <w:t>B</w:t>
      </w:r>
      <w:r w:rsidRPr="00083CDC">
        <w:rPr>
          <w:smallCaps/>
        </w:rPr>
        <w:t>ourhis</w:t>
      </w:r>
      <w:r w:rsidRPr="00083CDC">
        <w:t>, R. Y. G</w:t>
      </w:r>
      <w:r w:rsidRPr="00083CDC">
        <w:rPr>
          <w:smallCaps/>
        </w:rPr>
        <w:t>iles</w:t>
      </w:r>
      <w:r w:rsidRPr="00083CDC">
        <w:t>, H. et D. R</w:t>
      </w:r>
      <w:r w:rsidRPr="00083CDC">
        <w:rPr>
          <w:smallCaps/>
        </w:rPr>
        <w:t>osenthal</w:t>
      </w:r>
      <w:r w:rsidRPr="00083CDC">
        <w:t xml:space="preserve"> (1981). « Notes on the construction of the subjective vitality questionnaire », dans : </w:t>
      </w:r>
      <w:r w:rsidRPr="00083CDC">
        <w:rPr>
          <w:i/>
        </w:rPr>
        <w:t>Journal of Multilingual and Multicultural Development</w:t>
      </w:r>
      <w:r w:rsidRPr="00083CDC">
        <w:t>, n</w:t>
      </w:r>
      <w:r w:rsidRPr="00083CDC">
        <w:rPr>
          <w:vertAlign w:val="superscript"/>
        </w:rPr>
        <w:t>o</w:t>
      </w:r>
      <w:r w:rsidRPr="00083CDC">
        <w:t xml:space="preserve"> 2, p. 145-155.</w:t>
      </w:r>
    </w:p>
    <w:p w:rsidR="00682F13" w:rsidRPr="00083CDC" w:rsidRDefault="00682F13" w:rsidP="00682F13">
      <w:pPr>
        <w:spacing w:before="120" w:after="120"/>
        <w:jc w:val="both"/>
      </w:pPr>
      <w:r w:rsidRPr="00083CDC">
        <w:t>B</w:t>
      </w:r>
      <w:r w:rsidRPr="00083CDC">
        <w:rPr>
          <w:smallCaps/>
        </w:rPr>
        <w:t>ourhis</w:t>
      </w:r>
      <w:r w:rsidRPr="00083CDC">
        <w:t>, R. Y. et L</w:t>
      </w:r>
      <w:r w:rsidRPr="00083CDC">
        <w:rPr>
          <w:smallCaps/>
        </w:rPr>
        <w:t>andry</w:t>
      </w:r>
      <w:r w:rsidRPr="00083CDC">
        <w:t xml:space="preserve">, R. (2002). </w:t>
      </w:r>
      <w:r w:rsidRPr="00083CDC">
        <w:rPr>
          <w:i/>
        </w:rPr>
        <w:t>The ‘carry-over’ effect of linguistic landscape on self-reports of language use</w:t>
      </w:r>
      <w:r w:rsidRPr="00083CDC">
        <w:t>, Montréal, Un</w:t>
      </w:r>
      <w:r w:rsidRPr="00083CDC">
        <w:t>i</w:t>
      </w:r>
      <w:r w:rsidRPr="00083CDC">
        <w:t>versité du Québec à Montréal, manuscrit en cours d’évaluation.</w:t>
      </w:r>
    </w:p>
    <w:p w:rsidR="00682F13" w:rsidRPr="00083CDC" w:rsidRDefault="00682F13" w:rsidP="00682F13">
      <w:pPr>
        <w:spacing w:before="120" w:after="120"/>
        <w:jc w:val="both"/>
      </w:pPr>
      <w:r w:rsidRPr="00083CDC">
        <w:t>C</w:t>
      </w:r>
      <w:r w:rsidRPr="00083CDC">
        <w:rPr>
          <w:smallCaps/>
        </w:rPr>
        <w:t>aldwell</w:t>
      </w:r>
      <w:r w:rsidRPr="00083CDC">
        <w:t xml:space="preserve">, G. (1984). « Anglo-Quebec : Demographic realities and options for the future » , dans : R.Y. Bourhis (dir.), </w:t>
      </w:r>
      <w:r w:rsidRPr="00083CDC">
        <w:rPr>
          <w:i/>
        </w:rPr>
        <w:t>Conflict and Language Planning in Quebec</w:t>
      </w:r>
      <w:r w:rsidRPr="00083CDC">
        <w:t>, Clevedon, Angleterre, Multilingual Matters, p. 205</w:t>
      </w:r>
      <w:r w:rsidRPr="00083CDC">
        <w:noBreakHyphen/>
        <w:t>221.</w:t>
      </w:r>
    </w:p>
    <w:p w:rsidR="00682F13" w:rsidRPr="00083CDC" w:rsidRDefault="00682F13" w:rsidP="00682F13">
      <w:pPr>
        <w:spacing w:before="120" w:after="120"/>
        <w:jc w:val="both"/>
      </w:pPr>
      <w:r w:rsidRPr="00083CDC">
        <w:lastRenderedPageBreak/>
        <w:t>C</w:t>
      </w:r>
      <w:r w:rsidRPr="00083CDC">
        <w:rPr>
          <w:smallCaps/>
        </w:rPr>
        <w:t>aldwell</w:t>
      </w:r>
      <w:r w:rsidRPr="00083CDC">
        <w:t>, G. (1994). « English Québec : Demographic and cult</w:t>
      </w:r>
      <w:r w:rsidRPr="00083CDC">
        <w:t>u</w:t>
      </w:r>
      <w:r w:rsidRPr="00083CDC">
        <w:t xml:space="preserve">ral reproduction », dans : </w:t>
      </w:r>
      <w:r w:rsidRPr="00083CDC">
        <w:rPr>
          <w:i/>
        </w:rPr>
        <w:t>International Journal of the Sociology of Language</w:t>
      </w:r>
      <w:r w:rsidRPr="00083CDC">
        <w:t>, n</w:t>
      </w:r>
      <w:r w:rsidRPr="00083CDC">
        <w:rPr>
          <w:vertAlign w:val="superscript"/>
        </w:rPr>
        <w:t xml:space="preserve">o </w:t>
      </w:r>
      <w:r w:rsidRPr="00083CDC">
        <w:t>105-106, p. 153-179.</w:t>
      </w:r>
    </w:p>
    <w:p w:rsidR="00682F13" w:rsidRPr="00083CDC" w:rsidRDefault="00682F13" w:rsidP="00682F13">
      <w:pPr>
        <w:spacing w:before="120" w:after="120"/>
        <w:jc w:val="both"/>
      </w:pPr>
      <w:r w:rsidRPr="00083CDC">
        <w:t>C</w:t>
      </w:r>
      <w:r w:rsidRPr="00083CDC">
        <w:rPr>
          <w:smallCaps/>
        </w:rPr>
        <w:t>aldwell</w:t>
      </w:r>
      <w:r w:rsidRPr="00083CDC">
        <w:t xml:space="preserve">, G. (1998). « English Québec », dans : J. Edwards (dir.), </w:t>
      </w:r>
      <w:r w:rsidRPr="00083CDC">
        <w:rPr>
          <w:i/>
        </w:rPr>
        <w:t>Language in Canada</w:t>
      </w:r>
      <w:r w:rsidRPr="00083CDC">
        <w:t>, New York, Cambridge University Press, p. 177-201.</w:t>
      </w:r>
    </w:p>
    <w:p w:rsidR="00682F13" w:rsidRPr="00083CDC" w:rsidRDefault="00682F13" w:rsidP="00682F13">
      <w:pPr>
        <w:spacing w:before="120" w:after="120"/>
        <w:jc w:val="both"/>
      </w:pPr>
      <w:r w:rsidRPr="00083CDC">
        <w:rPr>
          <w:smallCaps/>
        </w:rPr>
        <w:t>Chambers</w:t>
      </w:r>
      <w:r w:rsidRPr="00083CDC">
        <w:t>, G. (2000). « Les relations entre anglophones et fra</w:t>
      </w:r>
      <w:r w:rsidRPr="00083CDC">
        <w:t>n</w:t>
      </w:r>
      <w:r w:rsidRPr="00083CDC">
        <w:t xml:space="preserve">cophones », dans : M. Plourde, H. Duval et P. Georgeault (dirs), </w:t>
      </w:r>
      <w:r w:rsidRPr="00083CDC">
        <w:rPr>
          <w:i/>
        </w:rPr>
        <w:t>Le français au Québec : 400 ans d’histoire et de vie</w:t>
      </w:r>
      <w:r w:rsidRPr="00083CDC">
        <w:t>, Québec, Conseil de la langue française, Gouvernement du Québec, p. 319-325.</w:t>
      </w:r>
    </w:p>
    <w:p w:rsidR="00682F13" w:rsidRPr="00083CDC" w:rsidRDefault="00682F13" w:rsidP="00682F13">
      <w:pPr>
        <w:spacing w:before="120" w:after="120"/>
        <w:jc w:val="both"/>
      </w:pPr>
      <w:r w:rsidRPr="00083CDC">
        <w:rPr>
          <w:smallCaps/>
        </w:rPr>
        <w:t xml:space="preserve">Commission de protection de la langue française </w:t>
      </w:r>
      <w:r w:rsidRPr="00083CDC">
        <w:t xml:space="preserve">(1997). </w:t>
      </w:r>
      <w:r w:rsidRPr="00083CDC">
        <w:rPr>
          <w:i/>
        </w:rPr>
        <w:t>L’évolution de la situation de l’affichage à Montréal de 1995 à 1997</w:t>
      </w:r>
      <w:r w:rsidRPr="00083CDC">
        <w:t>, Québec, Conseil de la langue française et Office de la langue frança</w:t>
      </w:r>
      <w:r w:rsidRPr="00083CDC">
        <w:t>i</w:t>
      </w:r>
      <w:r w:rsidRPr="00083CDC">
        <w:t>se.</w:t>
      </w:r>
    </w:p>
    <w:p w:rsidR="00682F13" w:rsidRPr="00083CDC" w:rsidRDefault="00682F13" w:rsidP="00682F13">
      <w:pPr>
        <w:spacing w:before="120" w:after="120"/>
        <w:jc w:val="both"/>
      </w:pPr>
      <w:r w:rsidRPr="00083CDC">
        <w:t>C</w:t>
      </w:r>
      <w:r w:rsidRPr="00083CDC">
        <w:rPr>
          <w:smallCaps/>
        </w:rPr>
        <w:t>orbeil</w:t>
      </w:r>
      <w:r w:rsidRPr="00083CDC">
        <w:t xml:space="preserve">, J.C. (1980). </w:t>
      </w:r>
      <w:r w:rsidRPr="00083CDC">
        <w:rPr>
          <w:i/>
        </w:rPr>
        <w:t>L’aménagement linguistique du Québec</w:t>
      </w:r>
      <w:r w:rsidRPr="00083CDC">
        <w:t>, Montréal, Éditions Guérin, coll. « Langues et sociétés ».</w:t>
      </w:r>
    </w:p>
    <w:p w:rsidR="00682F13" w:rsidRPr="00083CDC" w:rsidRDefault="00682F13" w:rsidP="00682F13">
      <w:pPr>
        <w:spacing w:before="120" w:after="120"/>
        <w:jc w:val="both"/>
      </w:pPr>
      <w:r w:rsidRPr="00083CDC">
        <w:rPr>
          <w:smallCaps/>
        </w:rPr>
        <w:t>crop,</w:t>
      </w:r>
      <w:r w:rsidRPr="00083CDC">
        <w:t xml:space="preserve"> C. </w:t>
      </w:r>
      <w:r w:rsidRPr="00083CDC">
        <w:rPr>
          <w:smallCaps/>
        </w:rPr>
        <w:t>Gauthier</w:t>
      </w:r>
      <w:r w:rsidRPr="00083CDC">
        <w:t xml:space="preserve"> et R. Y. </w:t>
      </w:r>
      <w:r w:rsidRPr="00083CDC">
        <w:rPr>
          <w:smallCaps/>
        </w:rPr>
        <w:t xml:space="preserve">Bourhis </w:t>
      </w:r>
      <w:r w:rsidRPr="00083CDC">
        <w:t xml:space="preserve">(1993). </w:t>
      </w:r>
      <w:r w:rsidRPr="00083CDC">
        <w:rPr>
          <w:i/>
        </w:rPr>
        <w:t>Les Québécois et la question linguistique… et plus particulièrement la langue d’affichage commercial</w:t>
      </w:r>
      <w:r w:rsidRPr="00083CDC">
        <w:t>, Montréal, Conseil de la langue française.</w:t>
      </w:r>
    </w:p>
    <w:p w:rsidR="00682F13" w:rsidRPr="00083CDC" w:rsidRDefault="00682F13" w:rsidP="00682F13">
      <w:pPr>
        <w:spacing w:before="120" w:after="120"/>
        <w:jc w:val="both"/>
      </w:pPr>
      <w:r w:rsidRPr="00083CDC">
        <w:t>F</w:t>
      </w:r>
      <w:r w:rsidRPr="00083CDC">
        <w:rPr>
          <w:smallCaps/>
        </w:rPr>
        <w:t>ishman</w:t>
      </w:r>
      <w:r w:rsidRPr="00083CDC">
        <w:t xml:space="preserve">, J.A. (1991). </w:t>
      </w:r>
      <w:r w:rsidRPr="00083CDC">
        <w:rPr>
          <w:i/>
        </w:rPr>
        <w:t>Reversing Language Shift</w:t>
      </w:r>
      <w:r w:rsidRPr="00083CDC">
        <w:t>, Clevedon, A</w:t>
      </w:r>
      <w:r w:rsidRPr="00083CDC">
        <w:t>n</w:t>
      </w:r>
      <w:r w:rsidRPr="00083CDC">
        <w:t>gleterre, Multilingual Matters.</w:t>
      </w:r>
    </w:p>
    <w:p w:rsidR="00682F13" w:rsidRPr="00083CDC" w:rsidRDefault="00682F13" w:rsidP="00682F13">
      <w:pPr>
        <w:spacing w:before="120" w:after="120"/>
        <w:jc w:val="both"/>
      </w:pPr>
      <w:r w:rsidRPr="00083CDC">
        <w:t>G</w:t>
      </w:r>
      <w:r w:rsidRPr="00083CDC">
        <w:rPr>
          <w:smallCaps/>
        </w:rPr>
        <w:t>enesee</w:t>
      </w:r>
      <w:r w:rsidRPr="00083CDC">
        <w:t>, F. et R.Y. B</w:t>
      </w:r>
      <w:r w:rsidRPr="00083CDC">
        <w:rPr>
          <w:smallCaps/>
        </w:rPr>
        <w:t>ourhis</w:t>
      </w:r>
      <w:r w:rsidRPr="00083CDC">
        <w:t xml:space="preserve"> (1988). « Evaluative reactions to language choice strategies : The role of sociostructural variables », dans : </w:t>
      </w:r>
      <w:r w:rsidRPr="00083CDC">
        <w:rPr>
          <w:i/>
        </w:rPr>
        <w:t>Language and Communication</w:t>
      </w:r>
      <w:r w:rsidRPr="00083CDC">
        <w:t>, n</w:t>
      </w:r>
      <w:r w:rsidRPr="00083CDC">
        <w:rPr>
          <w:vertAlign w:val="superscript"/>
        </w:rPr>
        <w:t>o</w:t>
      </w:r>
      <w:r w:rsidRPr="00083CDC">
        <w:t xml:space="preserve"> 8, p. 229-250.</w:t>
      </w:r>
    </w:p>
    <w:p w:rsidR="00682F13" w:rsidRPr="00083CDC" w:rsidRDefault="00682F13" w:rsidP="00682F13">
      <w:pPr>
        <w:spacing w:before="120" w:after="120"/>
        <w:jc w:val="both"/>
      </w:pPr>
      <w:r w:rsidRPr="00083CDC">
        <w:t>H</w:t>
      </w:r>
      <w:r w:rsidRPr="00083CDC">
        <w:rPr>
          <w:smallCaps/>
        </w:rPr>
        <w:t>arwood</w:t>
      </w:r>
      <w:r w:rsidRPr="00083CDC">
        <w:t>, J., H. G</w:t>
      </w:r>
      <w:r w:rsidRPr="00083CDC">
        <w:rPr>
          <w:smallCaps/>
        </w:rPr>
        <w:t>iles</w:t>
      </w:r>
      <w:r w:rsidRPr="00083CDC">
        <w:t xml:space="preserve"> et R.Y. B</w:t>
      </w:r>
      <w:r w:rsidRPr="00083CDC">
        <w:rPr>
          <w:smallCaps/>
        </w:rPr>
        <w:t>ourhis</w:t>
      </w:r>
      <w:r w:rsidRPr="00083CDC">
        <w:t xml:space="preserve"> (1994). « The Genesis of vitality theory : Historical patterns and discoursal dimensions », dans :</w:t>
      </w:r>
      <w:r w:rsidRPr="00083CDC">
        <w:rPr>
          <w:i/>
        </w:rPr>
        <w:t xml:space="preserve"> International Journal of the Sociology of Language,</w:t>
      </w:r>
      <w:r w:rsidRPr="00083CDC">
        <w:t xml:space="preserve"> n</w:t>
      </w:r>
      <w:r w:rsidRPr="00083CDC">
        <w:rPr>
          <w:vertAlign w:val="superscript"/>
        </w:rPr>
        <w:t>o</w:t>
      </w:r>
      <w:r w:rsidRPr="00083CDC">
        <w:t xml:space="preserve"> 108, p. 167-206.</w:t>
      </w:r>
    </w:p>
    <w:p w:rsidR="00682F13" w:rsidRPr="00083CDC" w:rsidRDefault="00682F13" w:rsidP="00682F13">
      <w:pPr>
        <w:spacing w:before="120" w:after="120"/>
        <w:jc w:val="both"/>
      </w:pPr>
      <w:r w:rsidRPr="00083CDC">
        <w:t>H</w:t>
      </w:r>
      <w:r w:rsidRPr="00083CDC">
        <w:rPr>
          <w:smallCaps/>
        </w:rPr>
        <w:t>elly</w:t>
      </w:r>
      <w:r w:rsidRPr="00083CDC">
        <w:t xml:space="preserve">, D. et N. </w:t>
      </w:r>
      <w:r w:rsidRPr="00083CDC">
        <w:rPr>
          <w:smallCaps/>
        </w:rPr>
        <w:t>van</w:t>
      </w:r>
      <w:r w:rsidRPr="00083CDC">
        <w:t xml:space="preserve"> S</w:t>
      </w:r>
      <w:r w:rsidRPr="00083CDC">
        <w:rPr>
          <w:smallCaps/>
        </w:rPr>
        <w:t>chendel</w:t>
      </w:r>
      <w:r w:rsidRPr="00083CDC">
        <w:t xml:space="preserve"> (2001). </w:t>
      </w:r>
      <w:r w:rsidRPr="00083CDC">
        <w:rPr>
          <w:i/>
        </w:rPr>
        <w:t>Appartenir au Québec : Citoyenneté, nation et société civile : Enquête à Montréal, 1995</w:t>
      </w:r>
      <w:r w:rsidRPr="00083CDC">
        <w:t>, Qu</w:t>
      </w:r>
      <w:r w:rsidRPr="00083CDC">
        <w:t>é</w:t>
      </w:r>
      <w:r w:rsidRPr="00083CDC">
        <w:t>bec, Presses de l’Université Laval.</w:t>
      </w:r>
    </w:p>
    <w:p w:rsidR="00682F13" w:rsidRPr="00083CDC" w:rsidRDefault="00682F13" w:rsidP="00682F13">
      <w:pPr>
        <w:spacing w:before="120" w:after="120"/>
        <w:jc w:val="both"/>
      </w:pPr>
      <w:r w:rsidRPr="00083CDC">
        <w:t>L</w:t>
      </w:r>
      <w:r w:rsidRPr="00083CDC">
        <w:rPr>
          <w:smallCaps/>
        </w:rPr>
        <w:t>andry</w:t>
      </w:r>
      <w:r w:rsidRPr="00083CDC">
        <w:t>, R., R. A</w:t>
      </w:r>
      <w:r w:rsidRPr="00083CDC">
        <w:rPr>
          <w:smallCaps/>
        </w:rPr>
        <w:t>llard</w:t>
      </w:r>
      <w:r w:rsidRPr="00083CDC">
        <w:t xml:space="preserve"> et R. Y. B</w:t>
      </w:r>
      <w:r w:rsidRPr="00083CDC">
        <w:rPr>
          <w:smallCaps/>
        </w:rPr>
        <w:t xml:space="preserve">ourhis </w:t>
      </w:r>
      <w:r w:rsidRPr="00083CDC">
        <w:t>(1997). « Profils soci</w:t>
      </w:r>
      <w:r w:rsidRPr="00083CDC">
        <w:t>o</w:t>
      </w:r>
      <w:r w:rsidRPr="00083CDC">
        <w:t>langagiers des jeunes francophones et anglohones du Québec en fon</w:t>
      </w:r>
      <w:r w:rsidRPr="00083CDC">
        <w:t>c</w:t>
      </w:r>
      <w:r w:rsidRPr="00083CDC">
        <w:t xml:space="preserve">tion de la vitalité des communautés linguistiques », dans : G. Budach </w:t>
      </w:r>
      <w:r w:rsidRPr="00083CDC">
        <w:lastRenderedPageBreak/>
        <w:t xml:space="preserve">et J. Erfut (dirs), </w:t>
      </w:r>
      <w:r w:rsidRPr="00083CDC">
        <w:rPr>
          <w:i/>
        </w:rPr>
        <w:t>Identité franco-canadienne et société civile québ</w:t>
      </w:r>
      <w:r w:rsidRPr="00083CDC">
        <w:rPr>
          <w:i/>
        </w:rPr>
        <w:t>é</w:t>
      </w:r>
      <w:r w:rsidRPr="00083CDC">
        <w:rPr>
          <w:i/>
        </w:rPr>
        <w:t>coise</w:t>
      </w:r>
      <w:r w:rsidRPr="00083CDC">
        <w:t>, Leipzig, Allemagne, Leipziger Universitatsverlag, p. 123-150.</w:t>
      </w:r>
    </w:p>
    <w:p w:rsidR="00682F13" w:rsidRPr="00083CDC" w:rsidRDefault="00682F13" w:rsidP="00682F13">
      <w:pPr>
        <w:spacing w:before="120" w:after="120"/>
        <w:jc w:val="both"/>
      </w:pPr>
      <w:r w:rsidRPr="00083CDC">
        <w:t>L</w:t>
      </w:r>
      <w:r w:rsidRPr="00083CDC">
        <w:rPr>
          <w:smallCaps/>
        </w:rPr>
        <w:t>andry</w:t>
      </w:r>
      <w:r w:rsidRPr="00083CDC">
        <w:t>, R. et R.Y. B</w:t>
      </w:r>
      <w:r w:rsidRPr="00083CDC">
        <w:rPr>
          <w:smallCaps/>
        </w:rPr>
        <w:t>ourhis</w:t>
      </w:r>
      <w:r w:rsidRPr="00083CDC">
        <w:t xml:space="preserve"> (1997). « Linguistic landscape and ethnolinguistic vitality : An empirical study », dans : </w:t>
      </w:r>
      <w:r w:rsidRPr="00083CDC">
        <w:rPr>
          <w:i/>
        </w:rPr>
        <w:t>Journal of La</w:t>
      </w:r>
      <w:r w:rsidRPr="00083CDC">
        <w:rPr>
          <w:i/>
        </w:rPr>
        <w:t>n</w:t>
      </w:r>
      <w:r w:rsidRPr="00083CDC">
        <w:rPr>
          <w:i/>
        </w:rPr>
        <w:t>guage and Social Psychology</w:t>
      </w:r>
      <w:r w:rsidRPr="00083CDC">
        <w:t>, n</w:t>
      </w:r>
      <w:r w:rsidRPr="00083CDC">
        <w:rPr>
          <w:vertAlign w:val="superscript"/>
        </w:rPr>
        <w:t>o</w:t>
      </w:r>
      <w:r w:rsidRPr="00083CDC">
        <w:t xml:space="preserve"> 16, p. 23-49. </w:t>
      </w:r>
    </w:p>
    <w:p w:rsidR="00682F13" w:rsidRPr="00083CDC" w:rsidRDefault="00682F13" w:rsidP="00682F13">
      <w:pPr>
        <w:spacing w:before="120" w:after="120"/>
        <w:jc w:val="both"/>
      </w:pPr>
      <w:r w:rsidRPr="00083CDC">
        <w:t>L</w:t>
      </w:r>
      <w:r w:rsidRPr="00083CDC">
        <w:rPr>
          <w:smallCaps/>
        </w:rPr>
        <w:t>aporte</w:t>
      </w:r>
      <w:r w:rsidRPr="00083CDC">
        <w:t xml:space="preserve">, P.-E. (1984). « Status language planning in Québec », dans : R.Y. Bourhis (dir.), </w:t>
      </w:r>
      <w:r w:rsidRPr="00083CDC">
        <w:rPr>
          <w:i/>
        </w:rPr>
        <w:t>Conflict and Language Planning in Qu</w:t>
      </w:r>
      <w:r w:rsidRPr="00083CDC">
        <w:rPr>
          <w:i/>
        </w:rPr>
        <w:t>é</w:t>
      </w:r>
      <w:r w:rsidRPr="00083CDC">
        <w:rPr>
          <w:i/>
        </w:rPr>
        <w:t>bec</w:t>
      </w:r>
      <w:r w:rsidRPr="00083CDC">
        <w:t>, Clevedon, Angleterre , Multilingual Matters p. 53-80.</w:t>
      </w:r>
    </w:p>
    <w:p w:rsidR="00682F13" w:rsidRPr="00083CDC" w:rsidRDefault="00682F13" w:rsidP="00682F13">
      <w:pPr>
        <w:spacing w:before="120" w:after="120"/>
        <w:jc w:val="both"/>
      </w:pPr>
      <w:r w:rsidRPr="00083CDC">
        <w:t>L</w:t>
      </w:r>
      <w:r w:rsidRPr="00083CDC">
        <w:rPr>
          <w:smallCaps/>
        </w:rPr>
        <w:t>eclerc</w:t>
      </w:r>
      <w:r w:rsidRPr="00083CDC">
        <w:t xml:space="preserve">, J. (1989). </w:t>
      </w:r>
      <w:r w:rsidRPr="00083CDC">
        <w:rPr>
          <w:i/>
        </w:rPr>
        <w:t>La guerre des langues dans l’affichage</w:t>
      </w:r>
      <w:r w:rsidRPr="00083CDC">
        <w:t>, Mo</w:t>
      </w:r>
      <w:r w:rsidRPr="00083CDC">
        <w:t>n</w:t>
      </w:r>
      <w:r w:rsidRPr="00083CDC">
        <w:t>tréal, VLB éditeur.</w:t>
      </w:r>
    </w:p>
    <w:p w:rsidR="00682F13" w:rsidRPr="00083CDC" w:rsidRDefault="00682F13" w:rsidP="00682F13">
      <w:pPr>
        <w:spacing w:before="120" w:after="120"/>
        <w:jc w:val="both"/>
      </w:pPr>
      <w:r w:rsidRPr="00083CDC">
        <w:t>L</w:t>
      </w:r>
      <w:r w:rsidRPr="00083CDC">
        <w:rPr>
          <w:smallCaps/>
        </w:rPr>
        <w:t>eclerc</w:t>
      </w:r>
      <w:r w:rsidRPr="00083CDC">
        <w:t xml:space="preserve">, J. (1994). </w:t>
      </w:r>
      <w:r w:rsidRPr="00083CDC">
        <w:rPr>
          <w:i/>
        </w:rPr>
        <w:t>Recueil des législations linguistiques dans le monde</w:t>
      </w:r>
      <w:r w:rsidRPr="00083CDC">
        <w:t xml:space="preserve">, Québec, Centre international de recherches sur le bilinguisme. </w:t>
      </w:r>
    </w:p>
    <w:p w:rsidR="00682F13" w:rsidRPr="00083CDC" w:rsidRDefault="00682F13" w:rsidP="00682F13">
      <w:pPr>
        <w:spacing w:before="120" w:after="120"/>
        <w:jc w:val="both"/>
      </w:pPr>
      <w:r w:rsidRPr="00083CDC">
        <w:t>L</w:t>
      </w:r>
      <w:r w:rsidRPr="00083CDC">
        <w:rPr>
          <w:smallCaps/>
        </w:rPr>
        <w:t>egault</w:t>
      </w:r>
      <w:r w:rsidRPr="00083CDC">
        <w:t xml:space="preserve">, J. (1992). </w:t>
      </w:r>
      <w:r w:rsidRPr="00083CDC">
        <w:rPr>
          <w:i/>
        </w:rPr>
        <w:t>L’invention d’une minorité : les Anglo-Québécois</w:t>
      </w:r>
      <w:r w:rsidRPr="00083CDC">
        <w:t>, Montréal, Boréal.</w:t>
      </w:r>
    </w:p>
    <w:p w:rsidR="00682F13" w:rsidRPr="00083CDC" w:rsidRDefault="00682F13" w:rsidP="00682F13">
      <w:pPr>
        <w:spacing w:before="120" w:after="120"/>
        <w:jc w:val="both"/>
      </w:pPr>
      <w:r w:rsidRPr="00083CDC">
        <w:t>L</w:t>
      </w:r>
      <w:r w:rsidRPr="00083CDC">
        <w:rPr>
          <w:smallCaps/>
        </w:rPr>
        <w:t>epicq</w:t>
      </w:r>
      <w:r w:rsidRPr="00083CDC">
        <w:t xml:space="preserve">, D. et R. Y. </w:t>
      </w:r>
      <w:r w:rsidRPr="00083CDC">
        <w:rPr>
          <w:smallCaps/>
        </w:rPr>
        <w:t>Bourhis</w:t>
      </w:r>
      <w:r w:rsidRPr="00083CDC">
        <w:t xml:space="preserve"> (1994). « Psychologie sociale et aménagement linguistique : le cas du Québec », dans : P. Martel et J. Maurais (dirs), </w:t>
      </w:r>
      <w:r w:rsidRPr="00083CDC">
        <w:rPr>
          <w:i/>
        </w:rPr>
        <w:t>Langues et sociétés en contact. Mélanges offerts à Jean-Claude Corbeil</w:t>
      </w:r>
      <w:r w:rsidRPr="00083CDC">
        <w:t>, Tubingen, Allemagne, Max Niemeyer Verlag, p. 409-433.</w:t>
      </w:r>
    </w:p>
    <w:p w:rsidR="00682F13" w:rsidRPr="00083CDC" w:rsidRDefault="00682F13" w:rsidP="00682F13">
      <w:pPr>
        <w:spacing w:before="120" w:after="120"/>
        <w:jc w:val="both"/>
      </w:pPr>
      <w:r w:rsidRPr="00083CDC">
        <w:t>L</w:t>
      </w:r>
      <w:r w:rsidRPr="00083CDC">
        <w:rPr>
          <w:smallCaps/>
        </w:rPr>
        <w:t>evine</w:t>
      </w:r>
      <w:r w:rsidRPr="00083CDC">
        <w:t xml:space="preserve">, M. (1990). </w:t>
      </w:r>
      <w:r w:rsidRPr="00083CDC">
        <w:rPr>
          <w:i/>
        </w:rPr>
        <w:t>The Reconquest of Montreal : Language policy and social change in a bilingual city</w:t>
      </w:r>
      <w:r w:rsidRPr="00083CDC">
        <w:t>, Philadelphie, Temple University Press.</w:t>
      </w:r>
    </w:p>
    <w:p w:rsidR="00682F13" w:rsidRPr="00083CDC" w:rsidRDefault="00682F13" w:rsidP="00682F13">
      <w:pPr>
        <w:spacing w:before="120" w:after="120"/>
        <w:jc w:val="both"/>
      </w:pPr>
      <w:r w:rsidRPr="00083CDC">
        <w:t>L</w:t>
      </w:r>
      <w:r w:rsidRPr="00083CDC">
        <w:rPr>
          <w:smallCaps/>
        </w:rPr>
        <w:t>orrain</w:t>
      </w:r>
      <w:r w:rsidRPr="00083CDC">
        <w:t xml:space="preserve">, R. (1966). </w:t>
      </w:r>
      <w:r w:rsidRPr="00083CDC">
        <w:rPr>
          <w:i/>
        </w:rPr>
        <w:t>La mort de mon joual</w:t>
      </w:r>
      <w:r w:rsidRPr="00083CDC">
        <w:t>, Montréal, Éditions du Jour.</w:t>
      </w:r>
    </w:p>
    <w:p w:rsidR="00682F13" w:rsidRPr="00083CDC" w:rsidRDefault="00682F13" w:rsidP="00682F13">
      <w:pPr>
        <w:spacing w:before="120" w:after="120"/>
        <w:jc w:val="both"/>
      </w:pPr>
      <w:r w:rsidRPr="00083CDC">
        <w:t>MacD</w:t>
      </w:r>
      <w:r w:rsidRPr="00083CDC">
        <w:rPr>
          <w:smallCaps/>
        </w:rPr>
        <w:t>onald</w:t>
      </w:r>
      <w:r w:rsidRPr="00083CDC">
        <w:t xml:space="preserve">, L. (2002). </w:t>
      </w:r>
      <w:r w:rsidRPr="00083CDC">
        <w:rPr>
          <w:i/>
        </w:rPr>
        <w:t>From Bourassa to Bourassa : Wilderness to Restoration</w:t>
      </w:r>
      <w:r w:rsidRPr="00083CDC">
        <w:t>, 2</w:t>
      </w:r>
      <w:r w:rsidRPr="00083CDC">
        <w:rPr>
          <w:vertAlign w:val="superscript"/>
        </w:rPr>
        <w:t>e</w:t>
      </w:r>
      <w:r w:rsidRPr="00083CDC">
        <w:t xml:space="preserve"> édition, Montréal, McGill-Queen’s University Press.</w:t>
      </w:r>
    </w:p>
    <w:p w:rsidR="00682F13" w:rsidRPr="00083CDC" w:rsidRDefault="00682F13" w:rsidP="00682F13">
      <w:pPr>
        <w:spacing w:before="120" w:after="120"/>
        <w:jc w:val="both"/>
      </w:pPr>
      <w:r w:rsidRPr="00083CDC">
        <w:t>M</w:t>
      </w:r>
      <w:r w:rsidRPr="00083CDC">
        <w:rPr>
          <w:smallCaps/>
        </w:rPr>
        <w:t>allea</w:t>
      </w:r>
      <w:r w:rsidRPr="00083CDC">
        <w:t xml:space="preserve">, J. (1984). « Minority language education in Québec and Anglophone Canada », dans : R.Y. Bourhis (dir.), </w:t>
      </w:r>
      <w:r w:rsidRPr="00083CDC">
        <w:rPr>
          <w:i/>
        </w:rPr>
        <w:t>Conflict and La</w:t>
      </w:r>
      <w:r w:rsidRPr="00083CDC">
        <w:rPr>
          <w:i/>
        </w:rPr>
        <w:t>n</w:t>
      </w:r>
      <w:r w:rsidRPr="00083CDC">
        <w:rPr>
          <w:i/>
        </w:rPr>
        <w:t>guage Planning in Québec</w:t>
      </w:r>
      <w:r w:rsidRPr="00083CDC">
        <w:t>, Clevedon, Angleterre, Multilingual Ma</w:t>
      </w:r>
      <w:r w:rsidRPr="00083CDC">
        <w:t>t</w:t>
      </w:r>
      <w:r w:rsidRPr="00083CDC">
        <w:t>ters, p. 222</w:t>
      </w:r>
      <w:r w:rsidRPr="00083CDC">
        <w:noBreakHyphen/>
        <w:t>260.</w:t>
      </w:r>
    </w:p>
    <w:p w:rsidR="00682F13" w:rsidRPr="00083CDC" w:rsidRDefault="00682F13" w:rsidP="00682F13">
      <w:pPr>
        <w:spacing w:before="120" w:after="120"/>
        <w:jc w:val="both"/>
      </w:pPr>
      <w:r w:rsidRPr="00083CDC">
        <w:t>M</w:t>
      </w:r>
      <w:r w:rsidRPr="00083CDC">
        <w:rPr>
          <w:smallCaps/>
        </w:rPr>
        <w:t>oise</w:t>
      </w:r>
      <w:r w:rsidRPr="00083CDC">
        <w:t>, L.C. et R.Y. B</w:t>
      </w:r>
      <w:r w:rsidRPr="00083CDC">
        <w:rPr>
          <w:smallCaps/>
        </w:rPr>
        <w:t>ourhis</w:t>
      </w:r>
      <w:r w:rsidRPr="00083CDC">
        <w:t xml:space="preserve"> (1994). « Language et ethnicité : Communication interculturelle à Montréal, 1977-1991 », dans : </w:t>
      </w:r>
      <w:r w:rsidRPr="00083CDC">
        <w:rPr>
          <w:i/>
        </w:rPr>
        <w:t>Can</w:t>
      </w:r>
      <w:r w:rsidRPr="00083CDC">
        <w:rPr>
          <w:i/>
        </w:rPr>
        <w:t>a</w:t>
      </w:r>
      <w:r w:rsidRPr="00083CDC">
        <w:rPr>
          <w:i/>
        </w:rPr>
        <w:t>dian Ethnic Studies/Études ethniques au Canada</w:t>
      </w:r>
      <w:r w:rsidRPr="00083CDC">
        <w:t>, n</w:t>
      </w:r>
      <w:r w:rsidRPr="00083CDC">
        <w:rPr>
          <w:vertAlign w:val="superscript"/>
        </w:rPr>
        <w:t xml:space="preserve">o </w:t>
      </w:r>
      <w:r w:rsidRPr="00083CDC">
        <w:t>26, p. 86-107.</w:t>
      </w:r>
    </w:p>
    <w:p w:rsidR="00682F13" w:rsidRPr="00083CDC" w:rsidRDefault="00682F13" w:rsidP="00682F13">
      <w:pPr>
        <w:spacing w:before="120" w:after="120"/>
        <w:jc w:val="both"/>
      </w:pPr>
      <w:r w:rsidRPr="00083CDC">
        <w:lastRenderedPageBreak/>
        <w:t>P</w:t>
      </w:r>
      <w:r w:rsidRPr="00083CDC">
        <w:rPr>
          <w:smallCaps/>
        </w:rPr>
        <w:t>upier</w:t>
      </w:r>
      <w:r w:rsidRPr="00083CDC">
        <w:t xml:space="preserve">, P. (1993). « Il est interdit d’interdire! Il n’est pas interdit d’imposer! Il est recommandé de promouvoir », dans : </w:t>
      </w:r>
      <w:r w:rsidRPr="00083CDC">
        <w:rPr>
          <w:i/>
        </w:rPr>
        <w:t>Language Problems and Language Planning</w:t>
      </w:r>
      <w:r w:rsidRPr="00083CDC">
        <w:t>, n</w:t>
      </w:r>
      <w:r w:rsidRPr="00083CDC">
        <w:rPr>
          <w:vertAlign w:val="superscript"/>
        </w:rPr>
        <w:t>o</w:t>
      </w:r>
      <w:r w:rsidRPr="00083CDC">
        <w:t xml:space="preserve"> 17, p. 22-36.</w:t>
      </w:r>
    </w:p>
    <w:p w:rsidR="00682F13" w:rsidRPr="00083CDC" w:rsidRDefault="00682F13" w:rsidP="00682F13">
      <w:pPr>
        <w:spacing w:before="120" w:after="120"/>
        <w:jc w:val="both"/>
      </w:pPr>
      <w:r w:rsidRPr="00083CDC">
        <w:t>R</w:t>
      </w:r>
      <w:r w:rsidRPr="00083CDC">
        <w:rPr>
          <w:smallCaps/>
        </w:rPr>
        <w:t>ichard</w:t>
      </w:r>
      <w:r w:rsidRPr="00083CDC">
        <w:t xml:space="preserve">, M. (à paraître). </w:t>
      </w:r>
      <w:r w:rsidRPr="00083CDC">
        <w:rPr>
          <w:i/>
        </w:rPr>
        <w:t>La Commission de toponymie du Qu</w:t>
      </w:r>
      <w:r w:rsidRPr="00083CDC">
        <w:rPr>
          <w:i/>
        </w:rPr>
        <w:t>é</w:t>
      </w:r>
      <w:r w:rsidRPr="00083CDC">
        <w:rPr>
          <w:i/>
        </w:rPr>
        <w:t>bec, parcours 1912-2002 : neuf décennies de gestion publique de noms de lieux</w:t>
      </w:r>
      <w:r w:rsidRPr="00083CDC">
        <w:t>, Québec, Gouvernement du Québec.</w:t>
      </w:r>
    </w:p>
    <w:p w:rsidR="00682F13" w:rsidRPr="00083CDC" w:rsidRDefault="00682F13" w:rsidP="00682F13">
      <w:pPr>
        <w:spacing w:before="120" w:after="120"/>
        <w:jc w:val="both"/>
      </w:pPr>
      <w:r w:rsidRPr="00083CDC">
        <w:rPr>
          <w:smallCaps/>
        </w:rPr>
        <w:t>Rocher</w:t>
      </w:r>
      <w:r w:rsidRPr="00083CDC">
        <w:t xml:space="preserve">, G. (2000). « La politique et la loi linguistique au Québec en 1977 », dans : M. Plourde, H. Duval et P. Georgeault (dirs), </w:t>
      </w:r>
      <w:r w:rsidRPr="00083CDC">
        <w:rPr>
          <w:i/>
        </w:rPr>
        <w:t>Le français au Québec : 400 ans d’histoire et de vie</w:t>
      </w:r>
      <w:r w:rsidRPr="00083CDC">
        <w:t>, Québec, Conseil de la langue française, Gouvernement du Québec, p. 273-284.</w:t>
      </w:r>
    </w:p>
    <w:p w:rsidR="00682F13" w:rsidRPr="00083CDC" w:rsidRDefault="00682F13" w:rsidP="00682F13">
      <w:pPr>
        <w:spacing w:before="120" w:after="120"/>
        <w:jc w:val="both"/>
      </w:pPr>
      <w:r w:rsidRPr="00083CDC">
        <w:t>S</w:t>
      </w:r>
      <w:r w:rsidRPr="00083CDC">
        <w:rPr>
          <w:smallCaps/>
        </w:rPr>
        <w:t>achdev</w:t>
      </w:r>
      <w:r w:rsidRPr="00083CDC">
        <w:t>, I. et B</w:t>
      </w:r>
      <w:r w:rsidRPr="00083CDC">
        <w:rPr>
          <w:smallCaps/>
        </w:rPr>
        <w:t>ourhis</w:t>
      </w:r>
      <w:r w:rsidRPr="00083CDC">
        <w:t xml:space="preserve">, R. Y. (1990). « Language and Social Identification », dans : D. Abrams et M. Hogg (dirs), </w:t>
      </w:r>
      <w:r w:rsidRPr="00083CDC">
        <w:rPr>
          <w:i/>
        </w:rPr>
        <w:t>Social Identity Theory : Constructive and Critical Advances</w:t>
      </w:r>
      <w:r w:rsidRPr="00083CDC">
        <w:t>, New York, Harvester-Wheatsheat, p 211</w:t>
      </w:r>
      <w:r w:rsidRPr="00083CDC">
        <w:noBreakHyphen/>
        <w:t xml:space="preserve">229. </w:t>
      </w:r>
    </w:p>
    <w:p w:rsidR="00682F13" w:rsidRPr="00083CDC" w:rsidRDefault="00682F13" w:rsidP="00682F13">
      <w:pPr>
        <w:spacing w:before="120" w:after="120"/>
        <w:jc w:val="both"/>
      </w:pPr>
      <w:r w:rsidRPr="00083CDC">
        <w:t>S</w:t>
      </w:r>
      <w:r w:rsidRPr="00083CDC">
        <w:rPr>
          <w:smallCaps/>
        </w:rPr>
        <w:t>cowen</w:t>
      </w:r>
      <w:r w:rsidRPr="00083CDC">
        <w:t xml:space="preserve">, R. (1991). </w:t>
      </w:r>
      <w:r w:rsidRPr="00083CDC">
        <w:rPr>
          <w:i/>
        </w:rPr>
        <w:t>A Different Vision : The English in Quebec in the 1990s</w:t>
      </w:r>
      <w:r w:rsidRPr="00083CDC">
        <w:t>, Don Mills, Ontario, Maxwell Macmillan Canada.</w:t>
      </w:r>
    </w:p>
    <w:p w:rsidR="00682F13" w:rsidRPr="00083CDC" w:rsidRDefault="00682F13" w:rsidP="00682F13">
      <w:pPr>
        <w:spacing w:before="120" w:after="120"/>
        <w:jc w:val="both"/>
      </w:pPr>
      <w:r w:rsidRPr="00083CDC">
        <w:t>S</w:t>
      </w:r>
      <w:r w:rsidRPr="00083CDC">
        <w:rPr>
          <w:smallCaps/>
        </w:rPr>
        <w:t>tevenson</w:t>
      </w:r>
      <w:r w:rsidRPr="00083CDC">
        <w:t xml:space="preserve">, G. (1999). </w:t>
      </w:r>
      <w:r w:rsidRPr="00083CDC">
        <w:rPr>
          <w:i/>
        </w:rPr>
        <w:t>Community besieged : The anglophone minority and the politics of Québec</w:t>
      </w:r>
      <w:r w:rsidRPr="00083CDC">
        <w:t>, Montréal, McGill/Queen’s Un</w:t>
      </w:r>
      <w:r w:rsidRPr="00083CDC">
        <w:t>i</w:t>
      </w:r>
      <w:r w:rsidRPr="00083CDC">
        <w:t xml:space="preserve">versity Press. </w:t>
      </w:r>
    </w:p>
    <w:p w:rsidR="00682F13" w:rsidRPr="00083CDC" w:rsidRDefault="00682F13" w:rsidP="00682F13">
      <w:pPr>
        <w:spacing w:before="120" w:after="120"/>
        <w:jc w:val="both"/>
      </w:pPr>
      <w:r w:rsidRPr="00083CDC">
        <w:t>T</w:t>
      </w:r>
      <w:r w:rsidRPr="00083CDC">
        <w:rPr>
          <w:smallCaps/>
        </w:rPr>
        <w:t>aylor</w:t>
      </w:r>
      <w:r w:rsidRPr="00083CDC">
        <w:t>, D. et D</w:t>
      </w:r>
      <w:r w:rsidRPr="00083CDC">
        <w:rPr>
          <w:smallCaps/>
        </w:rPr>
        <w:t>ubé</w:t>
      </w:r>
      <w:r w:rsidRPr="00083CDC">
        <w:t>-S</w:t>
      </w:r>
      <w:r w:rsidRPr="00083CDC">
        <w:rPr>
          <w:smallCaps/>
        </w:rPr>
        <w:t>imard</w:t>
      </w:r>
      <w:r w:rsidRPr="00083CDC">
        <w:t xml:space="preserve">, L. (1984). « Language planning and intergroup relations : Anglophone and Francophone attitudes toward the Charter of the French Language », dans : R.Y. Bourhis (dir.), </w:t>
      </w:r>
      <w:r w:rsidRPr="00083CDC">
        <w:rPr>
          <w:i/>
        </w:rPr>
        <w:t>Conflict and Language Planning in Québec</w:t>
      </w:r>
      <w:r w:rsidRPr="00083CDC">
        <w:t>, Clevedon, Angleterre, Multilingual Matters, p. 148-173.</w:t>
      </w:r>
    </w:p>
    <w:p w:rsidR="00682F13" w:rsidRPr="00083CDC" w:rsidRDefault="00682F13" w:rsidP="00682F13">
      <w:pPr>
        <w:spacing w:before="120" w:after="120"/>
        <w:jc w:val="both"/>
      </w:pPr>
      <w:r w:rsidRPr="00083CDC">
        <w:rPr>
          <w:smallCaps/>
        </w:rPr>
        <w:t>de</w:t>
      </w:r>
      <w:r w:rsidRPr="00083CDC">
        <w:t>V</w:t>
      </w:r>
      <w:r w:rsidRPr="00083CDC">
        <w:rPr>
          <w:smallCaps/>
        </w:rPr>
        <w:t>ries</w:t>
      </w:r>
      <w:r w:rsidRPr="00083CDC">
        <w:t>, J. (1994). « Canada’s official language communities : An overview of the current demolinguistic situation », dans </w:t>
      </w:r>
      <w:r w:rsidRPr="00083CDC">
        <w:rPr>
          <w:i/>
        </w:rPr>
        <w:t>: Internati</w:t>
      </w:r>
      <w:r w:rsidRPr="00083CDC">
        <w:rPr>
          <w:i/>
        </w:rPr>
        <w:t>o</w:t>
      </w:r>
      <w:r w:rsidRPr="00083CDC">
        <w:rPr>
          <w:i/>
        </w:rPr>
        <w:t>nal Journal of the Sociology of Language,</w:t>
      </w:r>
      <w:r w:rsidRPr="00083CDC">
        <w:t xml:space="preserve"> n</w:t>
      </w:r>
      <w:r w:rsidRPr="00083CDC">
        <w:rPr>
          <w:smallCaps/>
          <w:vertAlign w:val="superscript"/>
        </w:rPr>
        <w:t>o</w:t>
      </w:r>
      <w:r w:rsidRPr="00083CDC">
        <w:t xml:space="preserve"> 105-106, p. 37-68.</w:t>
      </w:r>
    </w:p>
    <w:p w:rsidR="00682F13" w:rsidRPr="00083CDC" w:rsidRDefault="00682F13" w:rsidP="00682F13">
      <w:pPr>
        <w:spacing w:before="120" w:after="120"/>
        <w:jc w:val="both"/>
      </w:pPr>
      <w:r w:rsidRPr="00083CDC">
        <w:t>W</w:t>
      </w:r>
      <w:r w:rsidRPr="00083CDC">
        <w:rPr>
          <w:smallCaps/>
        </w:rPr>
        <w:t>oehrling</w:t>
      </w:r>
      <w:r w:rsidRPr="00083CDC">
        <w:t xml:space="preserve">, J. (2000). « La Charte de la langue française : les ajustements juridiques », dans : M. Plourde, H. Duval et P. Georgeault (dirs), </w:t>
      </w:r>
      <w:r w:rsidRPr="00083CDC">
        <w:rPr>
          <w:i/>
        </w:rPr>
        <w:t>Le français au Québec : 400 ans d’histoire et de vie</w:t>
      </w:r>
      <w:r w:rsidRPr="00083CDC">
        <w:t>, Québec, Conseil de la langue française, Gouvernement du Québec, p. 285-291.</w:t>
      </w:r>
    </w:p>
    <w:p w:rsidR="00682F13" w:rsidRDefault="00682F13">
      <w:pPr>
        <w:jc w:val="both"/>
      </w:pPr>
    </w:p>
    <w:p w:rsidR="00682F13" w:rsidRPr="00E07116" w:rsidRDefault="00682F13">
      <w:pPr>
        <w:pStyle w:val="suite"/>
      </w:pPr>
      <w:r w:rsidRPr="00E07116">
        <w:t>Fin du texte</w:t>
      </w:r>
    </w:p>
    <w:p w:rsidR="00682F13" w:rsidRPr="00E07116" w:rsidRDefault="00682F13">
      <w:pPr>
        <w:jc w:val="both"/>
      </w:pPr>
    </w:p>
    <w:sectPr w:rsidR="00682F13" w:rsidRPr="00E07116" w:rsidSect="00682F13">
      <w:headerReference w:type="default" r:id="rId20"/>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6E5" w:rsidRDefault="00DD36E5">
      <w:r>
        <w:separator/>
      </w:r>
    </w:p>
  </w:endnote>
  <w:endnote w:type="continuationSeparator" w:id="0">
    <w:p w:rsidR="00DD36E5" w:rsidRDefault="00DD3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ooper Black">
    <w:panose1 w:val="0208090404030B0204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6E5" w:rsidRDefault="00DD36E5">
      <w:pPr>
        <w:ind w:firstLine="0"/>
      </w:pPr>
      <w:r>
        <w:separator/>
      </w:r>
    </w:p>
  </w:footnote>
  <w:footnote w:type="continuationSeparator" w:id="0">
    <w:p w:rsidR="00DD36E5" w:rsidRDefault="00DD36E5">
      <w:pPr>
        <w:ind w:firstLine="0"/>
      </w:pPr>
      <w:r>
        <w:separator/>
      </w:r>
    </w:p>
  </w:footnote>
  <w:footnote w:id="1">
    <w:p w:rsidR="00682F13" w:rsidRPr="003A1F79" w:rsidRDefault="00682F13" w:rsidP="00682F13">
      <w:pPr>
        <w:pStyle w:val="Notedebasdepage"/>
      </w:pPr>
      <w:r w:rsidRPr="003A1F79">
        <w:rPr>
          <w:rStyle w:val="Appelnotedebasdep"/>
        </w:rPr>
        <w:t>*</w:t>
      </w:r>
      <w:r>
        <w:rPr>
          <w:rStyle w:val="Appelnotedebasdep"/>
        </w:rPr>
        <w:tab/>
      </w:r>
      <w:r w:rsidRPr="003A1F79">
        <w:t>Richard Y. Bourhis est professeur au Département de psychologie à l’Université du Québec à Montréal, directeur à l’uqam de la Chaire Conco</w:t>
      </w:r>
      <w:r w:rsidRPr="003A1F79">
        <w:t>r</w:t>
      </w:r>
      <w:r w:rsidRPr="003A1F79">
        <w:t>dia-</w:t>
      </w:r>
      <w:r>
        <w:t>UQÀM</w:t>
      </w:r>
      <w:r w:rsidRPr="003A1F79">
        <w:t xml:space="preserve"> en études ethniques et chercheur au Centre d’études ethniques des universités montréalaises (ceetum); Rodrigue Landry est dire</w:t>
      </w:r>
      <w:r w:rsidRPr="003A1F79">
        <w:t>c</w:t>
      </w:r>
      <w:r w:rsidRPr="003A1F79">
        <w:t>teur de l’Institut canadien de recherches sur les minorités linguistiques à l’Université de Mon</w:t>
      </w:r>
      <w:r w:rsidRPr="003A1F79">
        <w:t>c</w:t>
      </w:r>
      <w:r w:rsidRPr="003A1F79">
        <w:t>ton.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F13" w:rsidRDefault="00682F13" w:rsidP="00682F13">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r>
    <w:r w:rsidRPr="00C6589F">
      <w:rPr>
        <w:rFonts w:ascii="Times New Roman" w:hAnsi="Times New Roman"/>
      </w:rPr>
      <w:t>“La loi 101 et l’aménagement du paysage linguistique au Québec.”</w:t>
    </w:r>
    <w:r w:rsidRPr="00C90835">
      <w:rPr>
        <w:rFonts w:ascii="Times New Roman" w:hAnsi="Times New Roman"/>
      </w:rPr>
      <w:t xml:space="preserve"> </w:t>
    </w:r>
    <w:r>
      <w:rPr>
        <w:rFonts w:ascii="Times New Roman" w:hAnsi="Times New Roman"/>
      </w:rPr>
      <w:t>(2002)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DD36E5">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6</w:t>
    </w:r>
    <w:r>
      <w:rPr>
        <w:rStyle w:val="Numrodepage"/>
        <w:rFonts w:ascii="Times New Roman" w:hAnsi="Times New Roman"/>
      </w:rPr>
      <w:fldChar w:fldCharType="end"/>
    </w:r>
  </w:p>
  <w:p w:rsidR="00682F13" w:rsidRDefault="00682F13">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D77E0"/>
    <w:multiLevelType w:val="singleLevel"/>
    <w:tmpl w:val="29028C88"/>
    <w:lvl w:ilvl="0">
      <w:start w:val="1"/>
      <w:numFmt w:val="lowerLetter"/>
      <w:lvlText w:val="%1)"/>
      <w:lvlJc w:val="left"/>
      <w:pPr>
        <w:tabs>
          <w:tab w:val="num" w:pos="1350"/>
        </w:tabs>
        <w:ind w:left="1350" w:hanging="360"/>
      </w:pPr>
      <w:rPr>
        <w:rFonts w:hint="default"/>
      </w:rPr>
    </w:lvl>
  </w:abstractNum>
  <w:abstractNum w:abstractNumId="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0130226"/>
    <w:multiLevelType w:val="singleLevel"/>
    <w:tmpl w:val="455A0632"/>
    <w:lvl w:ilvl="0">
      <w:start w:val="1"/>
      <w:numFmt w:val="upperLetter"/>
      <w:lvlText w:val="%1)"/>
      <w:lvlJc w:val="left"/>
      <w:pPr>
        <w:tabs>
          <w:tab w:val="num" w:pos="910"/>
        </w:tabs>
        <w:ind w:left="910" w:hanging="3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871C2"/>
    <w:rsid w:val="00682F13"/>
    <w:rsid w:val="008D1A3B"/>
    <w:rsid w:val="00DD36E5"/>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EF52E78"/>
  <w15:chartTrackingRefBased/>
  <w15:docId w15:val="{0718801A-D42C-4040-BA7B-8ECC24DF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qFormat/>
    <w:rsid w:val="006614FD"/>
    <w:pPr>
      <w:outlineLvl w:val="0"/>
    </w:pPr>
    <w:rPr>
      <w:rFonts w:eastAsia="Times New Roman"/>
      <w:noProof/>
      <w:lang w:eastAsia="en-US"/>
    </w:rPr>
  </w:style>
  <w:style w:type="paragraph" w:styleId="Titre2">
    <w:name w:val="heading 2"/>
    <w:next w:val="Normal"/>
    <w:qFormat/>
    <w:rsid w:val="006614FD"/>
    <w:pPr>
      <w:outlineLvl w:val="1"/>
    </w:pPr>
    <w:rPr>
      <w:rFonts w:eastAsia="Times New Roman"/>
      <w:noProof/>
      <w:lang w:eastAsia="en-US"/>
    </w:rPr>
  </w:style>
  <w:style w:type="paragraph" w:styleId="Titre3">
    <w:name w:val="heading 3"/>
    <w:next w:val="Normal"/>
    <w:qFormat/>
    <w:rsid w:val="006614FD"/>
    <w:pPr>
      <w:outlineLvl w:val="2"/>
    </w:pPr>
    <w:rPr>
      <w:rFonts w:eastAsia="Times New Roman"/>
      <w:noProof/>
      <w:lang w:eastAsia="en-US"/>
    </w:rPr>
  </w:style>
  <w:style w:type="paragraph" w:styleId="Titre4">
    <w:name w:val="heading 4"/>
    <w:next w:val="Normal"/>
    <w:qFormat/>
    <w:rsid w:val="006614FD"/>
    <w:pPr>
      <w:outlineLvl w:val="3"/>
    </w:pPr>
    <w:rPr>
      <w:rFonts w:eastAsia="Times New Roman"/>
      <w:noProof/>
      <w:lang w:eastAsia="en-US"/>
    </w:rPr>
  </w:style>
  <w:style w:type="paragraph" w:styleId="Titre5">
    <w:name w:val="heading 5"/>
    <w:next w:val="Normal"/>
    <w:qFormat/>
    <w:rsid w:val="006614FD"/>
    <w:pPr>
      <w:outlineLvl w:val="4"/>
    </w:pPr>
    <w:rPr>
      <w:rFonts w:eastAsia="Times New Roman"/>
      <w:noProof/>
      <w:lang w:eastAsia="en-US"/>
    </w:rPr>
  </w:style>
  <w:style w:type="paragraph" w:styleId="Titre6">
    <w:name w:val="heading 6"/>
    <w:next w:val="Normal"/>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522C8"/>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rsid w:val="006614FD"/>
    <w:pPr>
      <w:spacing w:before="360" w:after="240"/>
      <w:ind w:firstLine="0"/>
      <w:jc w:val="center"/>
    </w:pPr>
    <w:rPr>
      <w:sz w:val="72"/>
    </w:rPr>
  </w:style>
  <w:style w:type="paragraph" w:styleId="En-tte">
    <w:name w:val="header"/>
    <w:basedOn w:val="Normal"/>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autoRedefine/>
    <w:rsid w:val="00543BA6"/>
    <w:pPr>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F3780C"/>
    <w:rPr>
      <w:b w:val="0"/>
      <w:sz w:val="6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146349"/>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styleId="Adresseexpditeur">
    <w:name w:val="envelope return"/>
    <w:basedOn w:val="Normal"/>
    <w:rsid w:val="00F45B9B"/>
    <w:rPr>
      <w:rFonts w:ascii="Cooper Black" w:hAnsi="Cooper Black"/>
      <w:sz w:val="20"/>
    </w:rPr>
  </w:style>
  <w:style w:type="paragraph" w:styleId="Adressedestinataire">
    <w:name w:val="envelope address"/>
    <w:basedOn w:val="Normal"/>
    <w:rsid w:val="00F45B9B"/>
    <w:pPr>
      <w:framePr w:w="7938" w:h="1985" w:hRule="exact" w:hSpace="141" w:wrap="auto" w:hAnchor="page" w:xAlign="center" w:yAlign="bottom"/>
      <w:ind w:left="2835"/>
    </w:pPr>
    <w:rPr>
      <w:i/>
    </w:rPr>
  </w:style>
  <w:style w:type="paragraph" w:styleId="Corpsdetexte2">
    <w:name w:val="Body Text 2"/>
    <w:basedOn w:val="Normal"/>
    <w:link w:val="Corpsdetexte2Car"/>
    <w:rsid w:val="00F45B9B"/>
    <w:rPr>
      <w:rFonts w:ascii="Arial" w:hAnsi="Arial"/>
    </w:rPr>
  </w:style>
  <w:style w:type="character" w:customStyle="1" w:styleId="Corpsdetexte2Car">
    <w:name w:val="Corps de texte 2 Car"/>
    <w:basedOn w:val="Policepardfaut"/>
    <w:link w:val="Corpsdetexte2"/>
    <w:rsid w:val="00F45B9B"/>
    <w:rPr>
      <w:rFonts w:ascii="Arial" w:eastAsia="Times New Roman" w:hAnsi="Arial"/>
      <w:sz w:val="28"/>
      <w:lang w:val="fr-CA" w:eastAsia="en-US"/>
    </w:rPr>
  </w:style>
  <w:style w:type="paragraph" w:styleId="Sous-titre">
    <w:name w:val="Subtitle"/>
    <w:basedOn w:val="Normal"/>
    <w:link w:val="Sous-titreCar"/>
    <w:qFormat/>
    <w:rsid w:val="00F45B9B"/>
    <w:pPr>
      <w:spacing w:line="360" w:lineRule="auto"/>
      <w:ind w:right="1184"/>
      <w:jc w:val="both"/>
    </w:pPr>
    <w:rPr>
      <w:b/>
      <w:bCs/>
      <w:sz w:val="24"/>
    </w:rPr>
  </w:style>
  <w:style w:type="character" w:customStyle="1" w:styleId="Sous-titreCar">
    <w:name w:val="Sous-titre Car"/>
    <w:basedOn w:val="Policepardfaut"/>
    <w:link w:val="Sous-titre"/>
    <w:rsid w:val="00F45B9B"/>
    <w:rPr>
      <w:rFonts w:ascii="Times New Roman" w:eastAsia="Times New Roman" w:hAnsi="Times New Roman"/>
      <w:b/>
      <w:bCs/>
      <w:sz w:val="24"/>
      <w:lang w:val="fr-CA" w:eastAsia="en-US"/>
    </w:rPr>
  </w:style>
  <w:style w:type="paragraph" w:customStyle="1" w:styleId="Courrier">
    <w:name w:val="Courrier"/>
    <w:basedOn w:val="Normal"/>
    <w:autoRedefine/>
    <w:rsid w:val="00F45B9B"/>
    <w:rPr>
      <w:rFonts w:cs="Arial"/>
    </w:rPr>
  </w:style>
  <w:style w:type="paragraph" w:customStyle="1" w:styleId="Courrier48">
    <w:name w:val="Courrier 48"/>
    <w:basedOn w:val="Normal"/>
    <w:next w:val="Courrier72"/>
    <w:autoRedefine/>
    <w:rsid w:val="00F45B9B"/>
    <w:pPr>
      <w:jc w:val="center"/>
    </w:pPr>
    <w:rPr>
      <w:rFonts w:cs="Arial"/>
      <w:i/>
      <w:sz w:val="96"/>
    </w:rPr>
  </w:style>
  <w:style w:type="paragraph" w:customStyle="1" w:styleId="Courrier72">
    <w:name w:val="Courrier 72"/>
    <w:basedOn w:val="Courrier48"/>
    <w:autoRedefine/>
    <w:rsid w:val="00F45B9B"/>
    <w:rPr>
      <w:i w:val="0"/>
      <w:sz w:val="144"/>
    </w:rPr>
  </w:style>
  <w:style w:type="character" w:customStyle="1" w:styleId="Stylepersonneldecomposition">
    <w:name w:val="Style personnel de composition"/>
    <w:basedOn w:val="Policepardfaut"/>
    <w:rsid w:val="00F45B9B"/>
    <w:rPr>
      <w:rFonts w:ascii="Arial" w:hAnsi="Arial" w:cs="Arial"/>
      <w:color w:val="auto"/>
      <w:sz w:val="20"/>
    </w:rPr>
  </w:style>
  <w:style w:type="character" w:customStyle="1" w:styleId="Stylepersonnelderponse">
    <w:name w:val="Style personnel de réponse"/>
    <w:basedOn w:val="Policepardfaut"/>
    <w:rsid w:val="00F45B9B"/>
    <w:rPr>
      <w:rFonts w:ascii="Arial" w:hAnsi="Arial" w:cs="Arial"/>
      <w:color w:val="auto"/>
      <w:sz w:val="20"/>
    </w:rPr>
  </w:style>
  <w:style w:type="paragraph" w:customStyle="1" w:styleId="aa">
    <w:name w:val="aa"/>
    <w:basedOn w:val="Normal"/>
    <w:autoRedefine/>
    <w:rsid w:val="00F45B9B"/>
    <w:pPr>
      <w:spacing w:before="120"/>
    </w:pPr>
    <w:rPr>
      <w:b/>
      <w:i/>
      <w:color w:val="FF0000"/>
      <w:sz w:val="32"/>
      <w:lang w:bidi="fr-FR"/>
    </w:rPr>
  </w:style>
  <w:style w:type="paragraph" w:customStyle="1" w:styleId="b">
    <w:name w:val="b"/>
    <w:basedOn w:val="Normal"/>
    <w:autoRedefine/>
    <w:rsid w:val="00F45B9B"/>
    <w:pPr>
      <w:spacing w:before="120"/>
      <w:ind w:left="720"/>
    </w:pPr>
    <w:rPr>
      <w:i/>
      <w:color w:val="0000FF"/>
      <w:lang w:bidi="fr-FR"/>
    </w:rPr>
  </w:style>
  <w:style w:type="paragraph" w:customStyle="1" w:styleId="bb">
    <w:name w:val="bb"/>
    <w:basedOn w:val="Normal"/>
    <w:rsid w:val="00F45B9B"/>
    <w:pPr>
      <w:spacing w:before="120"/>
      <w:ind w:left="540"/>
    </w:pPr>
    <w:rPr>
      <w:i/>
      <w:color w:val="0000FF"/>
      <w:lang w:bidi="fr-FR"/>
    </w:rPr>
  </w:style>
  <w:style w:type="character" w:customStyle="1" w:styleId="Grillecouleur-Accent1Car">
    <w:name w:val="Grille couleur - Accent 1 Car"/>
    <w:basedOn w:val="Policepardfaut"/>
    <w:link w:val="Grillecouleur-Accent1"/>
    <w:rsid w:val="006522C8"/>
    <w:rPr>
      <w:rFonts w:ascii="Times New Roman" w:eastAsia="Times New Roman" w:hAnsi="Times New Roman"/>
      <w:color w:val="000080"/>
      <w:sz w:val="24"/>
      <w:lang w:val="fr-CA" w:eastAsia="en-US"/>
    </w:rPr>
  </w:style>
  <w:style w:type="paragraph" w:styleId="Corpsdetexte3">
    <w:name w:val="Body Text 3"/>
    <w:basedOn w:val="Normal"/>
    <w:link w:val="Corpsdetexte3Car"/>
    <w:rsid w:val="00F45B9B"/>
    <w:pPr>
      <w:tabs>
        <w:tab w:val="left" w:pos="510"/>
        <w:tab w:val="left" w:pos="510"/>
      </w:tabs>
    </w:pPr>
    <w:rPr>
      <w:rFonts w:ascii="Arial" w:hAnsi="Arial"/>
      <w:sz w:val="20"/>
    </w:rPr>
  </w:style>
  <w:style w:type="character" w:customStyle="1" w:styleId="Corpsdetexte3Car">
    <w:name w:val="Corps de texte 3 Car"/>
    <w:basedOn w:val="Policepardfaut"/>
    <w:link w:val="Corpsdetexte3"/>
    <w:rsid w:val="00F45B9B"/>
    <w:rPr>
      <w:rFonts w:ascii="Arial" w:eastAsia="Times New Roman" w:hAnsi="Arial"/>
      <w:lang w:val="fr-CA" w:eastAsia="en-US"/>
    </w:rPr>
  </w:style>
  <w:style w:type="paragraph" w:customStyle="1" w:styleId="dd">
    <w:name w:val="dd"/>
    <w:basedOn w:val="Normal"/>
    <w:autoRedefine/>
    <w:rsid w:val="00F45B9B"/>
    <w:pPr>
      <w:spacing w:before="120"/>
      <w:ind w:left="1080"/>
    </w:pPr>
    <w:rPr>
      <w:i/>
      <w:color w:val="008000"/>
      <w:lang w:bidi="fr-FR"/>
    </w:rPr>
  </w:style>
  <w:style w:type="paragraph" w:customStyle="1" w:styleId="figlgende">
    <w:name w:val="fig légende"/>
    <w:basedOn w:val="Normal0"/>
    <w:rsid w:val="00F45B9B"/>
    <w:pPr>
      <w:spacing w:after="0"/>
      <w:jc w:val="left"/>
    </w:pPr>
    <w:rPr>
      <w:color w:val="000090"/>
      <w:sz w:val="24"/>
      <w:szCs w:val="16"/>
      <w:lang w:eastAsia="fr-FR"/>
    </w:rPr>
  </w:style>
  <w:style w:type="paragraph" w:customStyle="1" w:styleId="figst">
    <w:name w:val="fig st"/>
    <w:basedOn w:val="Normal"/>
    <w:autoRedefine/>
    <w:rsid w:val="0045364D"/>
    <w:pPr>
      <w:spacing w:before="120" w:after="120"/>
      <w:jc w:val="center"/>
    </w:pPr>
    <w:rPr>
      <w:rFonts w:cs="Arial"/>
      <w:color w:val="000090"/>
      <w:sz w:val="24"/>
      <w:szCs w:val="16"/>
    </w:rPr>
  </w:style>
  <w:style w:type="paragraph" w:customStyle="1" w:styleId="figtitre">
    <w:name w:val="fig titre"/>
    <w:basedOn w:val="Normal"/>
    <w:autoRedefine/>
    <w:rsid w:val="00F45B9B"/>
    <w:pPr>
      <w:spacing w:before="120"/>
      <w:jc w:val="center"/>
    </w:pPr>
    <w:rPr>
      <w:rFonts w:cs="Arial"/>
      <w:b/>
      <w:bCs/>
      <w:color w:val="000000"/>
      <w:sz w:val="24"/>
      <w:szCs w:val="12"/>
    </w:rPr>
  </w:style>
  <w:style w:type="character" w:customStyle="1" w:styleId="NotedefinCar">
    <w:name w:val="Note de fin Car"/>
    <w:basedOn w:val="Policepardfaut"/>
    <w:link w:val="Notedefin"/>
    <w:rsid w:val="00F45B9B"/>
    <w:rPr>
      <w:rFonts w:ascii="Times New Roman" w:eastAsia="Times New Roman" w:hAnsi="Times New Roman"/>
      <w:lang w:eastAsia="en-US"/>
    </w:rPr>
  </w:style>
  <w:style w:type="character" w:customStyle="1" w:styleId="RetraitcorpsdetexteCar">
    <w:name w:val="Retrait corps de texte Car"/>
    <w:basedOn w:val="Policepardfaut"/>
    <w:link w:val="Retraitcorpsdetexte"/>
    <w:rsid w:val="00F45B9B"/>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F45B9B"/>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F45B9B"/>
    <w:rPr>
      <w:rFonts w:ascii="Arial" w:eastAsia="Times New Roman" w:hAnsi="Arial"/>
      <w:sz w:val="28"/>
      <w:lang w:val="fr-CA" w:eastAsia="en-US"/>
    </w:rPr>
  </w:style>
  <w:style w:type="character" w:customStyle="1" w:styleId="Titre7Car">
    <w:name w:val="Titre 7 Car"/>
    <w:basedOn w:val="Policepardfaut"/>
    <w:link w:val="Titre7"/>
    <w:rsid w:val="00F45B9B"/>
    <w:rPr>
      <w:rFonts w:eastAsia="Times New Roman"/>
      <w:noProof/>
      <w:lang w:val="fr-CA" w:eastAsia="en-US" w:bidi="ar-SA"/>
    </w:rPr>
  </w:style>
  <w:style w:type="character" w:customStyle="1" w:styleId="Titre8Car">
    <w:name w:val="Titre 8 Car"/>
    <w:basedOn w:val="Policepardfaut"/>
    <w:link w:val="Titre8"/>
    <w:rsid w:val="00F45B9B"/>
    <w:rPr>
      <w:rFonts w:eastAsia="Times New Roman"/>
      <w:noProof/>
      <w:lang w:val="fr-CA" w:eastAsia="en-US" w:bidi="ar-SA"/>
    </w:rPr>
  </w:style>
  <w:style w:type="character" w:customStyle="1" w:styleId="Titre9Car">
    <w:name w:val="Titre 9 Car"/>
    <w:basedOn w:val="Policepardfaut"/>
    <w:link w:val="Titre9"/>
    <w:rsid w:val="00F45B9B"/>
    <w:rPr>
      <w:rFonts w:eastAsia="Times New Roman"/>
      <w:noProof/>
      <w:lang w:val="fr-C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mailto:rodrigue.landry@umoncton.c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5" Type="http://schemas.openxmlformats.org/officeDocument/2006/relationships/footnotes" Target="footnotes.xml"/><Relationship Id="rId15" Type="http://schemas.openxmlformats.org/officeDocument/2006/relationships/hyperlink" Target="mailto:bourhis.richard@uqam.ca" TargetMode="Externa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13118</Words>
  <Characters>72151</Characters>
  <Application>Microsoft Office Word</Application>
  <DocSecurity>0</DocSecurity>
  <Lines>601</Lines>
  <Paragraphs>170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“La loi 101 et l’aménagement du paysage linguistique au Québec.”</vt:lpstr>
      <vt:lpstr>“La loi 101 et l’aménagement du paysage linguistique au Québec.”</vt:lpstr>
    </vt:vector>
  </TitlesOfParts>
  <Manager>Jean marie Tremblay, sociologue, bénévole, 2021</Manager>
  <Company>Les Classiques des sciences sociales</Company>
  <LinksUpToDate>false</LinksUpToDate>
  <CharactersWithSpaces>85099</CharactersWithSpaces>
  <SharedDoc>false</SharedDoc>
  <HyperlinkBase/>
  <HLinks>
    <vt:vector size="186" baseType="variant">
      <vt:variant>
        <vt:i4>6553716</vt:i4>
      </vt:variant>
      <vt:variant>
        <vt:i4>90</vt:i4>
      </vt:variant>
      <vt:variant>
        <vt:i4>0</vt:i4>
      </vt:variant>
      <vt:variant>
        <vt:i4>5</vt:i4>
      </vt:variant>
      <vt:variant>
        <vt:lpwstr/>
      </vt:variant>
      <vt:variant>
        <vt:lpwstr>tdm</vt:lpwstr>
      </vt:variant>
      <vt:variant>
        <vt:i4>6553716</vt:i4>
      </vt:variant>
      <vt:variant>
        <vt:i4>87</vt:i4>
      </vt:variant>
      <vt:variant>
        <vt:i4>0</vt:i4>
      </vt:variant>
      <vt:variant>
        <vt:i4>5</vt:i4>
      </vt:variant>
      <vt:variant>
        <vt:lpwstr/>
      </vt:variant>
      <vt:variant>
        <vt:lpwstr>tdm</vt:lpwstr>
      </vt:variant>
      <vt:variant>
        <vt:i4>6553716</vt:i4>
      </vt:variant>
      <vt:variant>
        <vt:i4>84</vt:i4>
      </vt:variant>
      <vt:variant>
        <vt:i4>0</vt:i4>
      </vt:variant>
      <vt:variant>
        <vt:i4>5</vt:i4>
      </vt:variant>
      <vt:variant>
        <vt:lpwstr/>
      </vt:variant>
      <vt:variant>
        <vt:lpwstr>tdm</vt:lpwstr>
      </vt:variant>
      <vt:variant>
        <vt:i4>6553716</vt:i4>
      </vt:variant>
      <vt:variant>
        <vt:i4>81</vt:i4>
      </vt:variant>
      <vt:variant>
        <vt:i4>0</vt:i4>
      </vt:variant>
      <vt:variant>
        <vt:i4>5</vt:i4>
      </vt:variant>
      <vt:variant>
        <vt:lpwstr/>
      </vt:variant>
      <vt:variant>
        <vt:lpwstr>tdm</vt:lpwstr>
      </vt:variant>
      <vt:variant>
        <vt:i4>6553716</vt:i4>
      </vt:variant>
      <vt:variant>
        <vt:i4>78</vt:i4>
      </vt:variant>
      <vt:variant>
        <vt:i4>0</vt:i4>
      </vt:variant>
      <vt:variant>
        <vt:i4>5</vt:i4>
      </vt:variant>
      <vt:variant>
        <vt:lpwstr/>
      </vt:variant>
      <vt:variant>
        <vt:lpwstr>tdm</vt:lpwstr>
      </vt:variant>
      <vt:variant>
        <vt:i4>6553716</vt:i4>
      </vt:variant>
      <vt:variant>
        <vt:i4>75</vt:i4>
      </vt:variant>
      <vt:variant>
        <vt:i4>0</vt:i4>
      </vt:variant>
      <vt:variant>
        <vt:i4>5</vt:i4>
      </vt:variant>
      <vt:variant>
        <vt:lpwstr/>
      </vt:variant>
      <vt:variant>
        <vt:lpwstr>tdm</vt:lpwstr>
      </vt:variant>
      <vt:variant>
        <vt:i4>6553716</vt:i4>
      </vt:variant>
      <vt:variant>
        <vt:i4>72</vt:i4>
      </vt:variant>
      <vt:variant>
        <vt:i4>0</vt:i4>
      </vt:variant>
      <vt:variant>
        <vt:i4>5</vt:i4>
      </vt:variant>
      <vt:variant>
        <vt:lpwstr/>
      </vt:variant>
      <vt:variant>
        <vt:lpwstr>tdm</vt:lpwstr>
      </vt:variant>
      <vt:variant>
        <vt:i4>6553716</vt:i4>
      </vt:variant>
      <vt:variant>
        <vt:i4>69</vt:i4>
      </vt:variant>
      <vt:variant>
        <vt:i4>0</vt:i4>
      </vt:variant>
      <vt:variant>
        <vt:i4>5</vt:i4>
      </vt:variant>
      <vt:variant>
        <vt:lpwstr/>
      </vt:variant>
      <vt:variant>
        <vt:lpwstr>tdm</vt:lpwstr>
      </vt:variant>
      <vt:variant>
        <vt:i4>6553716</vt:i4>
      </vt:variant>
      <vt:variant>
        <vt:i4>66</vt:i4>
      </vt:variant>
      <vt:variant>
        <vt:i4>0</vt:i4>
      </vt:variant>
      <vt:variant>
        <vt:i4>5</vt:i4>
      </vt:variant>
      <vt:variant>
        <vt:lpwstr/>
      </vt:variant>
      <vt:variant>
        <vt:lpwstr>tdm</vt:lpwstr>
      </vt:variant>
      <vt:variant>
        <vt:i4>6553716</vt:i4>
      </vt:variant>
      <vt:variant>
        <vt:i4>63</vt:i4>
      </vt:variant>
      <vt:variant>
        <vt:i4>0</vt:i4>
      </vt:variant>
      <vt:variant>
        <vt:i4>5</vt:i4>
      </vt:variant>
      <vt:variant>
        <vt:lpwstr/>
      </vt:variant>
      <vt:variant>
        <vt:lpwstr>tdm</vt:lpwstr>
      </vt:variant>
      <vt:variant>
        <vt:i4>6553716</vt:i4>
      </vt:variant>
      <vt:variant>
        <vt:i4>60</vt:i4>
      </vt:variant>
      <vt:variant>
        <vt:i4>0</vt:i4>
      </vt:variant>
      <vt:variant>
        <vt:i4>5</vt:i4>
      </vt:variant>
      <vt:variant>
        <vt:lpwstr/>
      </vt:variant>
      <vt:variant>
        <vt:lpwstr>tdm</vt:lpwstr>
      </vt:variant>
      <vt:variant>
        <vt:i4>6553716</vt:i4>
      </vt:variant>
      <vt:variant>
        <vt:i4>57</vt:i4>
      </vt:variant>
      <vt:variant>
        <vt:i4>0</vt:i4>
      </vt:variant>
      <vt:variant>
        <vt:i4>5</vt:i4>
      </vt:variant>
      <vt:variant>
        <vt:lpwstr/>
      </vt:variant>
      <vt:variant>
        <vt:lpwstr>tdm</vt:lpwstr>
      </vt:variant>
      <vt:variant>
        <vt:i4>852209</vt:i4>
      </vt:variant>
      <vt:variant>
        <vt:i4>54</vt:i4>
      </vt:variant>
      <vt:variant>
        <vt:i4>0</vt:i4>
      </vt:variant>
      <vt:variant>
        <vt:i4>5</vt:i4>
      </vt:variant>
      <vt:variant>
        <vt:lpwstr/>
      </vt:variant>
      <vt:variant>
        <vt:lpwstr>Loi_101_aménagement_biblio</vt:lpwstr>
      </vt:variant>
      <vt:variant>
        <vt:i4>1179892</vt:i4>
      </vt:variant>
      <vt:variant>
        <vt:i4>51</vt:i4>
      </vt:variant>
      <vt:variant>
        <vt:i4>0</vt:i4>
      </vt:variant>
      <vt:variant>
        <vt:i4>5</vt:i4>
      </vt:variant>
      <vt:variant>
        <vt:lpwstr/>
      </vt:variant>
      <vt:variant>
        <vt:lpwstr>Loi_101_aménagement_resumen</vt:lpwstr>
      </vt:variant>
      <vt:variant>
        <vt:i4>6553755</vt:i4>
      </vt:variant>
      <vt:variant>
        <vt:i4>48</vt:i4>
      </vt:variant>
      <vt:variant>
        <vt:i4>0</vt:i4>
      </vt:variant>
      <vt:variant>
        <vt:i4>5</vt:i4>
      </vt:variant>
      <vt:variant>
        <vt:lpwstr/>
      </vt:variant>
      <vt:variant>
        <vt:lpwstr>Loi_101_aménagement_abstract</vt:lpwstr>
      </vt:variant>
      <vt:variant>
        <vt:i4>1179892</vt:i4>
      </vt:variant>
      <vt:variant>
        <vt:i4>45</vt:i4>
      </vt:variant>
      <vt:variant>
        <vt:i4>0</vt:i4>
      </vt:variant>
      <vt:variant>
        <vt:i4>5</vt:i4>
      </vt:variant>
      <vt:variant>
        <vt:lpwstr/>
      </vt:variant>
      <vt:variant>
        <vt:lpwstr>Loi_101_aménagement_résumé</vt:lpwstr>
      </vt:variant>
      <vt:variant>
        <vt:i4>6750360</vt:i4>
      </vt:variant>
      <vt:variant>
        <vt:i4>42</vt:i4>
      </vt:variant>
      <vt:variant>
        <vt:i4>0</vt:i4>
      </vt:variant>
      <vt:variant>
        <vt:i4>5</vt:i4>
      </vt:variant>
      <vt:variant>
        <vt:lpwstr/>
      </vt:variant>
      <vt:variant>
        <vt:lpwstr>Loi_101_aménagement_7</vt:lpwstr>
      </vt:variant>
      <vt:variant>
        <vt:i4>6750360</vt:i4>
      </vt:variant>
      <vt:variant>
        <vt:i4>39</vt:i4>
      </vt:variant>
      <vt:variant>
        <vt:i4>0</vt:i4>
      </vt:variant>
      <vt:variant>
        <vt:i4>5</vt:i4>
      </vt:variant>
      <vt:variant>
        <vt:lpwstr/>
      </vt:variant>
      <vt:variant>
        <vt:lpwstr>Loi_101_aménagement_6</vt:lpwstr>
      </vt:variant>
      <vt:variant>
        <vt:i4>6750360</vt:i4>
      </vt:variant>
      <vt:variant>
        <vt:i4>36</vt:i4>
      </vt:variant>
      <vt:variant>
        <vt:i4>0</vt:i4>
      </vt:variant>
      <vt:variant>
        <vt:i4>5</vt:i4>
      </vt:variant>
      <vt:variant>
        <vt:lpwstr/>
      </vt:variant>
      <vt:variant>
        <vt:lpwstr>Loi_101_aménagement_5</vt:lpwstr>
      </vt:variant>
      <vt:variant>
        <vt:i4>6750360</vt:i4>
      </vt:variant>
      <vt:variant>
        <vt:i4>33</vt:i4>
      </vt:variant>
      <vt:variant>
        <vt:i4>0</vt:i4>
      </vt:variant>
      <vt:variant>
        <vt:i4>5</vt:i4>
      </vt:variant>
      <vt:variant>
        <vt:lpwstr/>
      </vt:variant>
      <vt:variant>
        <vt:lpwstr>Loi_101_aménagement_4</vt:lpwstr>
      </vt:variant>
      <vt:variant>
        <vt:i4>6750360</vt:i4>
      </vt:variant>
      <vt:variant>
        <vt:i4>30</vt:i4>
      </vt:variant>
      <vt:variant>
        <vt:i4>0</vt:i4>
      </vt:variant>
      <vt:variant>
        <vt:i4>5</vt:i4>
      </vt:variant>
      <vt:variant>
        <vt:lpwstr/>
      </vt:variant>
      <vt:variant>
        <vt:lpwstr>Loi_101_aménagement_3</vt:lpwstr>
      </vt:variant>
      <vt:variant>
        <vt:i4>6750360</vt:i4>
      </vt:variant>
      <vt:variant>
        <vt:i4>27</vt:i4>
      </vt:variant>
      <vt:variant>
        <vt:i4>0</vt:i4>
      </vt:variant>
      <vt:variant>
        <vt:i4>5</vt:i4>
      </vt:variant>
      <vt:variant>
        <vt:lpwstr/>
      </vt:variant>
      <vt:variant>
        <vt:lpwstr>Loi_101_aménagement_2</vt:lpwstr>
      </vt:variant>
      <vt:variant>
        <vt:i4>6750360</vt:i4>
      </vt:variant>
      <vt:variant>
        <vt:i4>24</vt:i4>
      </vt:variant>
      <vt:variant>
        <vt:i4>0</vt:i4>
      </vt:variant>
      <vt:variant>
        <vt:i4>5</vt:i4>
      </vt:variant>
      <vt:variant>
        <vt:lpwstr/>
      </vt:variant>
      <vt:variant>
        <vt:lpwstr>Loi_101_aménagement_1</vt:lpwstr>
      </vt:variant>
      <vt:variant>
        <vt:i4>8061061</vt:i4>
      </vt:variant>
      <vt:variant>
        <vt:i4>21</vt:i4>
      </vt:variant>
      <vt:variant>
        <vt:i4>0</vt:i4>
      </vt:variant>
      <vt:variant>
        <vt:i4>5</vt:i4>
      </vt:variant>
      <vt:variant>
        <vt:lpwstr/>
      </vt:variant>
      <vt:variant>
        <vt:lpwstr>Loi_101_aménagement_Intro</vt:lpwstr>
      </vt:variant>
      <vt:variant>
        <vt:i4>6488095</vt:i4>
      </vt:variant>
      <vt:variant>
        <vt:i4>18</vt:i4>
      </vt:variant>
      <vt:variant>
        <vt:i4>0</vt:i4>
      </vt:variant>
      <vt:variant>
        <vt:i4>5</vt:i4>
      </vt:variant>
      <vt:variant>
        <vt:lpwstr>mailto:rodrigue.landry@umoncton.ca</vt:lpwstr>
      </vt:variant>
      <vt:variant>
        <vt:lpwstr/>
      </vt:variant>
      <vt:variant>
        <vt:i4>2162780</vt:i4>
      </vt:variant>
      <vt:variant>
        <vt:i4>15</vt:i4>
      </vt:variant>
      <vt:variant>
        <vt:i4>0</vt:i4>
      </vt:variant>
      <vt:variant>
        <vt:i4>5</vt:i4>
      </vt:variant>
      <vt:variant>
        <vt:lpwstr>mailto:bourhis.richard@uqam.ca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loi 101 et l’aménagement du paysage linguistique au Québec.”</dc:title>
  <dc:subject/>
  <dc:creator>par Richard Y. Bourhis et Rodrigue Landry, psychologues</dc:creator>
  <cp:keywords>classiques.sc.soc@gmail.com</cp:keywords>
  <dc:description>http://classiques.uqac.ca/</dc:description>
  <cp:lastModifiedBy>Microsoft Office User</cp:lastModifiedBy>
  <cp:revision>2</cp:revision>
  <cp:lastPrinted>2001-08-26T19:33:00Z</cp:lastPrinted>
  <dcterms:created xsi:type="dcterms:W3CDTF">2021-06-05T12:45:00Z</dcterms:created>
  <dcterms:modified xsi:type="dcterms:W3CDTF">2021-06-05T12:45:00Z</dcterms:modified>
  <cp:category>jean-marie tremblay, sociologue, fondateur, 1993.</cp:category>
</cp:coreProperties>
</file>